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sidP="00FD0175">
      <w:pPr>
        <w:pStyle w:val="Heading1"/>
      </w:pPr>
      <w:bookmarkStart w:id="0" w:name="_Toc204981469"/>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bookmarkEnd w:id="0"/>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594CF669" w14:textId="7DE7D92F" w:rsidR="0000384A" w:rsidRDefault="00DC035B" w:rsidP="0000384A">
      <w:pPr>
        <w:ind w:right="1229"/>
        <w:rPr>
          <w:rFonts w:ascii="Arial" w:hAnsi="Arial" w:cs="Arial"/>
          <w:sz w:val="28"/>
          <w:szCs w:val="28"/>
        </w:rPr>
      </w:pPr>
      <w:r>
        <w:rPr>
          <w:rFonts w:ascii="Arial" w:hAnsi="Arial" w:cs="Arial"/>
          <w:sz w:val="28"/>
          <w:szCs w:val="28"/>
        </w:rPr>
        <w:t xml:space="preserve">                </w:t>
      </w:r>
      <w:r w:rsidR="00063B4C" w:rsidRPr="0000384A">
        <w:rPr>
          <w:rFonts w:ascii="Arial" w:hAnsi="Arial" w:cs="Arial"/>
          <w:sz w:val="28"/>
          <w:szCs w:val="28"/>
        </w:rPr>
        <w:t>Institute of Inner-City Learning Birmingham Campus</w:t>
      </w:r>
    </w:p>
    <w:p w14:paraId="4CE6C3EC" w14:textId="238E20B1" w:rsidR="0000384A" w:rsidRDefault="00DC035B" w:rsidP="0000384A">
      <w:pPr>
        <w:ind w:right="1229"/>
        <w:rPr>
          <w:rFonts w:ascii="Arial" w:hAnsi="Arial" w:cs="Arial"/>
          <w:sz w:val="28"/>
          <w:szCs w:val="28"/>
        </w:rPr>
      </w:pPr>
      <w:r>
        <w:rPr>
          <w:rFonts w:ascii="Arial" w:hAnsi="Arial" w:cs="Arial"/>
          <w:sz w:val="28"/>
          <w:szCs w:val="28"/>
        </w:rPr>
        <w:t xml:space="preserve">                            </w:t>
      </w:r>
      <w:r w:rsidR="00063B4C" w:rsidRPr="0000384A">
        <w:rPr>
          <w:rFonts w:ascii="Arial" w:hAnsi="Arial" w:cs="Arial"/>
          <w:sz w:val="28"/>
          <w:szCs w:val="28"/>
        </w:rPr>
        <w:t>BSc</w:t>
      </w:r>
      <w:r w:rsidR="0000384A">
        <w:rPr>
          <w:rFonts w:ascii="Arial" w:hAnsi="Arial" w:cs="Arial"/>
          <w:sz w:val="28"/>
          <w:szCs w:val="28"/>
        </w:rPr>
        <w:t xml:space="preserve"> </w:t>
      </w:r>
      <w:r w:rsidR="00063B4C" w:rsidRPr="0000384A">
        <w:rPr>
          <w:rFonts w:ascii="Arial" w:hAnsi="Arial" w:cs="Arial"/>
          <w:sz w:val="28"/>
          <w:szCs w:val="28"/>
        </w:rPr>
        <w:t>(Hons) Health and Social Care</w:t>
      </w:r>
    </w:p>
    <w:p w14:paraId="783FC3CF" w14:textId="77777777" w:rsidR="002C5CEA" w:rsidRDefault="004B0A5C" w:rsidP="0000384A">
      <w:pPr>
        <w:ind w:right="1229"/>
        <w:rPr>
          <w:rFonts w:ascii="Arial" w:hAnsi="Arial" w:cs="Arial"/>
          <w:sz w:val="28"/>
          <w:szCs w:val="28"/>
        </w:rPr>
      </w:pPr>
      <w:r>
        <w:rPr>
          <w:rFonts w:ascii="Arial" w:hAnsi="Arial" w:cs="Arial"/>
          <w:sz w:val="28"/>
          <w:szCs w:val="28"/>
        </w:rPr>
        <w:t xml:space="preserve">                                 </w:t>
      </w:r>
    </w:p>
    <w:p w14:paraId="7BA5DB55" w14:textId="77777777" w:rsidR="002C5CEA" w:rsidRDefault="002C5CEA" w:rsidP="0000384A">
      <w:pPr>
        <w:ind w:right="1229"/>
        <w:rPr>
          <w:rFonts w:ascii="Arial" w:hAnsi="Arial" w:cs="Arial"/>
          <w:sz w:val="28"/>
          <w:szCs w:val="28"/>
        </w:rPr>
      </w:pPr>
    </w:p>
    <w:p w14:paraId="32B8AF71" w14:textId="77777777" w:rsidR="002C5CEA" w:rsidRDefault="002C5CEA" w:rsidP="0000384A">
      <w:pPr>
        <w:ind w:right="1229"/>
        <w:rPr>
          <w:rFonts w:ascii="Arial" w:hAnsi="Arial" w:cs="Arial"/>
          <w:sz w:val="28"/>
          <w:szCs w:val="28"/>
        </w:rPr>
      </w:pPr>
    </w:p>
    <w:p w14:paraId="398ED2ED" w14:textId="36F4BD48" w:rsidR="004B0A5C" w:rsidRDefault="002C5CEA" w:rsidP="0000384A">
      <w:pPr>
        <w:ind w:right="1229"/>
        <w:rPr>
          <w:rFonts w:ascii="Arial" w:hAnsi="Arial" w:cs="Arial"/>
          <w:sz w:val="28"/>
          <w:szCs w:val="28"/>
        </w:rPr>
      </w:pPr>
      <w:r>
        <w:rPr>
          <w:rFonts w:ascii="Arial" w:hAnsi="Arial" w:cs="Arial"/>
          <w:sz w:val="28"/>
          <w:szCs w:val="28"/>
        </w:rPr>
        <w:t xml:space="preserve">                               </w:t>
      </w:r>
      <w:r w:rsidR="00BA56EF">
        <w:rPr>
          <w:rFonts w:ascii="Arial" w:hAnsi="Arial" w:cs="Arial"/>
          <w:sz w:val="28"/>
          <w:szCs w:val="28"/>
        </w:rPr>
        <w:t xml:space="preserve">    </w:t>
      </w:r>
      <w:r w:rsidRPr="004B0A5C">
        <w:rPr>
          <w:rFonts w:ascii="Arial" w:hAnsi="Arial" w:cs="Arial"/>
          <w:b/>
          <w:bCs/>
          <w:sz w:val="44"/>
          <w:szCs w:val="44"/>
        </w:rPr>
        <w:t>DISSERTATION</w:t>
      </w:r>
    </w:p>
    <w:p w14:paraId="61E62D7C" w14:textId="7B39B790" w:rsidR="00270301" w:rsidRDefault="00DC035B" w:rsidP="007230E8">
      <w:pPr>
        <w:tabs>
          <w:tab w:val="left" w:pos="4480"/>
        </w:tabs>
        <w:ind w:right="1229"/>
        <w:rPr>
          <w:rFonts w:ascii="Arial" w:hAnsi="Arial" w:cs="Arial"/>
          <w:b/>
          <w:bCs/>
          <w:sz w:val="28"/>
          <w:szCs w:val="28"/>
        </w:rPr>
      </w:pPr>
      <w:r w:rsidRPr="00D73D7B">
        <w:rPr>
          <w:rFonts w:ascii="Arial" w:hAnsi="Arial" w:cs="Arial"/>
          <w:b/>
          <w:bCs/>
          <w:sz w:val="28"/>
          <w:szCs w:val="28"/>
        </w:rPr>
        <w:t xml:space="preserve">                   </w:t>
      </w:r>
      <w:r w:rsidR="007230E8">
        <w:rPr>
          <w:rFonts w:ascii="Arial" w:hAnsi="Arial" w:cs="Arial"/>
          <w:b/>
          <w:bCs/>
          <w:sz w:val="28"/>
          <w:szCs w:val="28"/>
        </w:rPr>
        <w:tab/>
      </w:r>
    </w:p>
    <w:p w14:paraId="481EB188" w14:textId="77777777" w:rsidR="00270301" w:rsidRDefault="00270301" w:rsidP="00D73D7B">
      <w:pPr>
        <w:ind w:right="1229"/>
        <w:rPr>
          <w:rFonts w:ascii="Arial" w:hAnsi="Arial" w:cs="Arial"/>
          <w:b/>
          <w:bCs/>
          <w:sz w:val="28"/>
          <w:szCs w:val="28"/>
        </w:rPr>
      </w:pPr>
    </w:p>
    <w:p w14:paraId="3BD91442" w14:textId="77777777" w:rsidR="00270301" w:rsidRDefault="00270301" w:rsidP="00D73D7B">
      <w:pPr>
        <w:ind w:right="1229"/>
        <w:rPr>
          <w:rFonts w:ascii="Arial" w:hAnsi="Arial" w:cs="Arial"/>
          <w:b/>
          <w:bCs/>
          <w:sz w:val="28"/>
          <w:szCs w:val="28"/>
        </w:rPr>
      </w:pPr>
    </w:p>
    <w:p w14:paraId="77FFBD90" w14:textId="5E70961F" w:rsidR="00270301" w:rsidRPr="004B0A5C" w:rsidRDefault="004B0A5C" w:rsidP="00270301">
      <w:pPr>
        <w:ind w:right="1229"/>
        <w:rPr>
          <w:rFonts w:ascii="Arial" w:hAnsi="Arial" w:cs="Arial"/>
          <w:b/>
          <w:bCs/>
          <w:sz w:val="44"/>
          <w:szCs w:val="44"/>
        </w:rPr>
      </w:pPr>
      <w:r w:rsidRPr="004B0A5C">
        <w:rPr>
          <w:rFonts w:ascii="Arial" w:hAnsi="Arial" w:cs="Arial"/>
          <w:b/>
          <w:bCs/>
          <w:sz w:val="44"/>
          <w:szCs w:val="44"/>
        </w:rPr>
        <w:t xml:space="preserve">                                         </w:t>
      </w:r>
      <w:r>
        <w:rPr>
          <w:rFonts w:ascii="Arial" w:hAnsi="Arial" w:cs="Arial"/>
          <w:b/>
          <w:bCs/>
          <w:sz w:val="44"/>
          <w:szCs w:val="44"/>
        </w:rPr>
        <w:t xml:space="preserve">                            </w:t>
      </w:r>
    </w:p>
    <w:p w14:paraId="1EEC0615" w14:textId="77777777" w:rsidR="00270301" w:rsidRDefault="00270301" w:rsidP="00FD0175">
      <w:pPr>
        <w:pStyle w:val="Heading1"/>
      </w:pPr>
    </w:p>
    <w:p w14:paraId="4FACDB9B" w14:textId="77777777" w:rsidR="00270301" w:rsidRDefault="00270301" w:rsidP="00FD0175">
      <w:pPr>
        <w:pStyle w:val="Heading1"/>
      </w:pPr>
    </w:p>
    <w:p w14:paraId="7AC6B918" w14:textId="77777777" w:rsidR="004B0A5C" w:rsidRDefault="004B0A5C" w:rsidP="00FD0175">
      <w:pPr>
        <w:pStyle w:val="Heading1"/>
      </w:pPr>
    </w:p>
    <w:p w14:paraId="0AF921C2" w14:textId="77777777" w:rsidR="004B0A5C" w:rsidRDefault="004B0A5C" w:rsidP="00FD0175">
      <w:pPr>
        <w:pStyle w:val="Heading1"/>
      </w:pPr>
    </w:p>
    <w:p w14:paraId="59EF55A5" w14:textId="77777777" w:rsidR="004B0A5C" w:rsidRDefault="004B0A5C" w:rsidP="00FD0175">
      <w:pPr>
        <w:pStyle w:val="Heading1"/>
      </w:pPr>
    </w:p>
    <w:p w14:paraId="6D29CD44" w14:textId="75C545B1" w:rsidR="00063B4C" w:rsidRPr="00063B4C" w:rsidRDefault="00063B4C" w:rsidP="00FD0175">
      <w:pPr>
        <w:pStyle w:val="Heading1"/>
      </w:pPr>
      <w:bookmarkStart w:id="1" w:name="_Toc204981470"/>
      <w:r w:rsidRPr="00063B4C">
        <w:t>Disclaimer</w:t>
      </w:r>
      <w:bookmarkEnd w:id="1"/>
    </w:p>
    <w:p w14:paraId="2A79588F" w14:textId="1AF36439" w:rsidR="00F10985" w:rsidRPr="004B0A5C" w:rsidRDefault="00063B4C" w:rsidP="004B0A5C">
      <w:pPr>
        <w:spacing w:before="62"/>
        <w:ind w:right="96"/>
        <w:rPr>
          <w:rFonts w:cs="Arial"/>
          <w:sz w:val="20"/>
        </w:rPr>
      </w:pPr>
      <w:r w:rsidRPr="00063B4C">
        <w:rPr>
          <w:rFonts w:cs="Arial"/>
          <w:sz w:val="20"/>
        </w:rPr>
        <w:t xml:space="preserve">This document was correct at the time of publication. The Module Coordinator reserves the right to modify any </w:t>
      </w:r>
      <w:proofErr w:type="gramStart"/>
      <w:r w:rsidRPr="00063B4C">
        <w:rPr>
          <w:rFonts w:cs="Arial"/>
          <w:sz w:val="20"/>
        </w:rPr>
        <w:t>statement</w:t>
      </w:r>
      <w:proofErr w:type="gramEnd"/>
      <w:r w:rsidRPr="00063B4C">
        <w:rPr>
          <w:rFonts w:cs="Arial"/>
          <w:sz w:val="20"/>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3492E4C4" w14:textId="1FE18A0A" w:rsidR="00604A87" w:rsidRPr="0073280B" w:rsidRDefault="00604A87" w:rsidP="00604A87">
      <w:pPr>
        <w:rPr>
          <w:rFonts w:eastAsia="Times New Roman" w:cs="Arial"/>
          <w:b/>
          <w:sz w:val="28"/>
          <w:szCs w:val="28"/>
        </w:rPr>
      </w:pPr>
      <w:r w:rsidRPr="0073280B">
        <w:rPr>
          <w:rFonts w:eastAsia="Times New Roman" w:cs="Arial"/>
          <w:b/>
          <w:sz w:val="28"/>
          <w:szCs w:val="28"/>
        </w:rPr>
        <w:lastRenderedPageBreak/>
        <w:t>DECLARATION</w:t>
      </w:r>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3D5D1AEB" w:rsidR="00604A87" w:rsidRPr="00604A87" w:rsidRDefault="00604A87" w:rsidP="00604A87">
      <w:pPr>
        <w:rPr>
          <w:rFonts w:eastAsia="Times New Roman" w:cs="Arial"/>
        </w:rPr>
      </w:pPr>
      <w:r w:rsidRPr="00604A87">
        <w:rPr>
          <w:rFonts w:eastAsia="Times New Roman" w:cs="Arial"/>
        </w:rPr>
        <w:t>Signed</w:t>
      </w:r>
      <w:r w:rsidR="009E6D43">
        <w:rPr>
          <w:rFonts w:eastAsia="Times New Roman" w:cs="Arial"/>
        </w:rPr>
        <w:t xml:space="preserve"> Vilma Ibe </w:t>
      </w:r>
      <w:r w:rsidRPr="00604A87">
        <w:rPr>
          <w:rFonts w:eastAsia="Times New Roman" w:cs="Arial"/>
        </w:rPr>
        <w:t>……………………………………………</w:t>
      </w:r>
    </w:p>
    <w:p w14:paraId="16B6CB34" w14:textId="10B3F81D" w:rsidR="00604A87" w:rsidRPr="00604A87" w:rsidRDefault="00604A87" w:rsidP="00604A87">
      <w:pPr>
        <w:rPr>
          <w:rFonts w:eastAsia="Times New Roman" w:cs="Arial"/>
        </w:rPr>
      </w:pPr>
      <w:r w:rsidRPr="00604A87">
        <w:rPr>
          <w:rFonts w:eastAsia="Times New Roman" w:cs="Arial"/>
        </w:rPr>
        <w:t>Date</w:t>
      </w:r>
      <w:r w:rsidR="009E6D43">
        <w:rPr>
          <w:rFonts w:eastAsia="Times New Roman" w:cs="Arial"/>
        </w:rPr>
        <w:t xml:space="preserve"> 01.08.2025</w:t>
      </w:r>
      <w:r w:rsidRPr="00604A87">
        <w:rPr>
          <w:rFonts w:eastAsia="Times New Roman" w:cs="Arial"/>
        </w:rPr>
        <w:t>………………………………………………</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4277B2A0" w:rsidR="00604A87" w:rsidRPr="00604A87" w:rsidRDefault="00604A87" w:rsidP="00604A87">
      <w:pPr>
        <w:rPr>
          <w:rFonts w:eastAsia="Times New Roman" w:cs="Arial"/>
        </w:rPr>
      </w:pPr>
      <w:r w:rsidRPr="00604A87">
        <w:rPr>
          <w:rFonts w:eastAsia="Times New Roman" w:cs="Arial"/>
        </w:rPr>
        <w:t>Signed</w:t>
      </w:r>
      <w:r w:rsidR="009E6D43">
        <w:rPr>
          <w:rFonts w:eastAsia="Times New Roman" w:cs="Arial"/>
        </w:rPr>
        <w:t xml:space="preserve"> Vilma Ibe </w:t>
      </w:r>
      <w:r w:rsidRPr="00604A87">
        <w:rPr>
          <w:rFonts w:eastAsia="Times New Roman" w:cs="Arial"/>
        </w:rPr>
        <w:t xml:space="preserve">……………………………………………. </w:t>
      </w:r>
    </w:p>
    <w:p w14:paraId="21F5E413" w14:textId="4CEA99AB" w:rsidR="00604A87" w:rsidRPr="00604A87" w:rsidRDefault="00604A87" w:rsidP="00604A87">
      <w:pPr>
        <w:rPr>
          <w:rFonts w:eastAsia="Times New Roman" w:cs="Arial"/>
        </w:rPr>
      </w:pPr>
      <w:r w:rsidRPr="00604A87">
        <w:rPr>
          <w:rFonts w:eastAsia="Times New Roman" w:cs="Arial"/>
        </w:rPr>
        <w:t>Date</w:t>
      </w:r>
      <w:r w:rsidR="009E6D43">
        <w:rPr>
          <w:rFonts w:eastAsia="Times New Roman" w:cs="Arial"/>
        </w:rPr>
        <w:t xml:space="preserve"> 01.08.2025</w:t>
      </w:r>
      <w:r w:rsidRPr="00604A87">
        <w:rPr>
          <w:rFonts w:eastAsia="Times New Roman" w:cs="Arial"/>
        </w:rPr>
        <w:t>………………………………………………</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1182669A" w:rsidR="00604A87" w:rsidRPr="00604A87" w:rsidRDefault="009E6D43" w:rsidP="00604A87">
      <w:pPr>
        <w:rPr>
          <w:rFonts w:eastAsia="Times New Roman" w:cs="Arial"/>
        </w:rPr>
      </w:pPr>
      <w:r w:rsidRPr="00604A87">
        <w:rPr>
          <w:rFonts w:eastAsia="Times New Roman" w:cs="Arial"/>
        </w:rPr>
        <w:t xml:space="preserve">Signed </w:t>
      </w:r>
      <w:r>
        <w:rPr>
          <w:rFonts w:eastAsia="Times New Roman" w:cs="Arial"/>
        </w:rPr>
        <w:t>Vilma Ibe</w:t>
      </w:r>
      <w:r w:rsidR="00604A87" w:rsidRPr="00604A87">
        <w:rPr>
          <w:rFonts w:eastAsia="Times New Roman" w:cs="Arial"/>
        </w:rPr>
        <w:t>……………………………………………</w:t>
      </w:r>
    </w:p>
    <w:p w14:paraId="1CB40FFB" w14:textId="52D808EA" w:rsidR="00604A87" w:rsidRPr="00604A87" w:rsidRDefault="00604A87" w:rsidP="00604A87">
      <w:pPr>
        <w:rPr>
          <w:rFonts w:eastAsia="Times New Roman" w:cs="Arial"/>
        </w:rPr>
      </w:pPr>
      <w:r w:rsidRPr="00604A87">
        <w:rPr>
          <w:rFonts w:eastAsia="Times New Roman" w:cs="Arial"/>
        </w:rPr>
        <w:t>Date</w:t>
      </w:r>
      <w:r w:rsidR="009E6D43">
        <w:rPr>
          <w:rFonts w:eastAsia="Times New Roman" w:cs="Arial"/>
        </w:rPr>
        <w:t xml:space="preserve"> 01.08</w:t>
      </w:r>
      <w:r w:rsidR="00154771">
        <w:rPr>
          <w:rFonts w:eastAsia="Times New Roman" w:cs="Arial"/>
        </w:rPr>
        <w:t>.2025</w:t>
      </w:r>
      <w:r w:rsidR="009E6D43">
        <w:rPr>
          <w:rFonts w:eastAsia="Times New Roman" w:cs="Arial"/>
        </w:rPr>
        <w:t>.</w:t>
      </w:r>
      <w:r w:rsidRPr="00604A87">
        <w:rPr>
          <w:rFonts w:eastAsia="Times New Roman" w:cs="Arial"/>
        </w:rPr>
        <w:t xml:space="preserv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060FF877" w:rsidR="00604A87" w:rsidRPr="00604A87" w:rsidRDefault="00604A87" w:rsidP="00604A87">
      <w:pPr>
        <w:rPr>
          <w:rFonts w:eastAsia="Times New Roman" w:cs="Arial"/>
        </w:rPr>
      </w:pPr>
      <w:r w:rsidRPr="00604A87">
        <w:rPr>
          <w:rFonts w:eastAsia="Times New Roman" w:cs="Arial"/>
        </w:rPr>
        <w:t>Signed</w:t>
      </w:r>
      <w:r w:rsidR="00154771">
        <w:rPr>
          <w:rFonts w:eastAsia="Times New Roman" w:cs="Arial"/>
        </w:rPr>
        <w:t xml:space="preserve"> Vilma Ibe</w:t>
      </w:r>
      <w:r w:rsidRPr="00604A87">
        <w:rPr>
          <w:rFonts w:eastAsia="Times New Roman" w:cs="Arial"/>
        </w:rPr>
        <w:t>………………………………………………</w:t>
      </w:r>
    </w:p>
    <w:p w14:paraId="021196D1" w14:textId="7E7D6B3E"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154771">
        <w:rPr>
          <w:rFonts w:eastAsia="Times New Roman" w:cs="Arial"/>
        </w:rPr>
        <w:t xml:space="preserve"> 01.08.2025</w:t>
      </w:r>
      <w:r w:rsidRPr="00604A87">
        <w:rPr>
          <w:rFonts w:eastAsia="Times New Roman" w:cs="Arial"/>
        </w:rPr>
        <w:t>…………………………………………………</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041AD786" w:rsidR="00604A87" w:rsidRPr="00604A87" w:rsidRDefault="00604A87" w:rsidP="00604A87">
      <w:pPr>
        <w:rPr>
          <w:rFonts w:eastAsia="Times New Roman" w:cs="Arial"/>
        </w:rPr>
      </w:pPr>
      <w:r w:rsidRPr="00604A87">
        <w:rPr>
          <w:rFonts w:eastAsia="Times New Roman" w:cs="Arial"/>
        </w:rPr>
        <w:t>Signed</w:t>
      </w:r>
      <w:r w:rsidR="00154771">
        <w:rPr>
          <w:rFonts w:eastAsia="Times New Roman" w:cs="Arial"/>
        </w:rPr>
        <w:t xml:space="preserve"> Vilma Ibe</w:t>
      </w:r>
      <w:r w:rsidRPr="00604A87">
        <w:rPr>
          <w:rFonts w:eastAsia="Times New Roman" w:cs="Arial"/>
        </w:rPr>
        <w:t>………………………………………………</w:t>
      </w:r>
    </w:p>
    <w:p w14:paraId="2BDDE109" w14:textId="13C13223"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154771">
        <w:rPr>
          <w:rFonts w:eastAsia="Times New Roman" w:cs="Arial"/>
        </w:rPr>
        <w:t xml:space="preserve"> 01.08.2025</w:t>
      </w:r>
      <w:r w:rsidRPr="00604A87">
        <w:rPr>
          <w:rFonts w:eastAsia="Times New Roman" w:cs="Arial"/>
        </w:rPr>
        <w:t>…………………………………………………</w:t>
      </w:r>
    </w:p>
    <w:p w14:paraId="1ABB5978" w14:textId="77777777" w:rsidR="00D73D7B" w:rsidRDefault="00D73D7B" w:rsidP="00F10985">
      <w:pPr>
        <w:rPr>
          <w:rFonts w:ascii="Arial" w:hAnsi="Arial" w:cs="Arial"/>
          <w:b/>
          <w:bCs/>
          <w:sz w:val="44"/>
          <w:szCs w:val="44"/>
        </w:rPr>
      </w:pPr>
    </w:p>
    <w:p w14:paraId="69E4F63C" w14:textId="57ACC982" w:rsidR="00995444" w:rsidRPr="001A3C70" w:rsidRDefault="0011171F" w:rsidP="00995444">
      <w:pPr>
        <w:jc w:val="center"/>
        <w:rPr>
          <w:rFonts w:eastAsia="Times New Roman" w:cs="Times New Roman"/>
          <w:sz w:val="44"/>
          <w:szCs w:val="44"/>
        </w:rPr>
      </w:pPr>
      <w:r w:rsidRPr="001A3C70">
        <w:rPr>
          <w:rFonts w:ascii="Arial" w:hAnsi="Arial" w:cs="Arial"/>
          <w:b/>
          <w:bCs/>
          <w:sz w:val="44"/>
          <w:szCs w:val="44"/>
        </w:rPr>
        <w:lastRenderedPageBreak/>
        <w:t xml:space="preserve">How Effective Are the UK’s Healthcare Provisions for Individuals with Schizophrenia?  </w:t>
      </w:r>
    </w:p>
    <w:p w14:paraId="0FC75915" w14:textId="77777777" w:rsidR="00995444" w:rsidRPr="009E3D77"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44"/>
          <w:szCs w:val="44"/>
        </w:rPr>
      </w:pPr>
    </w:p>
    <w:p w14:paraId="2451D8D1" w14:textId="77777777" w:rsidR="009601FA" w:rsidRDefault="009601FA" w:rsidP="00A877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44"/>
          <w:szCs w:val="44"/>
        </w:rPr>
      </w:pPr>
    </w:p>
    <w:p w14:paraId="4C7E7859" w14:textId="77777777" w:rsidR="009601FA" w:rsidRPr="001A3C70" w:rsidRDefault="009601FA" w:rsidP="00A877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44"/>
          <w:szCs w:val="44"/>
        </w:rPr>
      </w:pPr>
    </w:p>
    <w:p w14:paraId="7B2CDBE5" w14:textId="1F51CF16" w:rsidR="009601FA" w:rsidRPr="001A3C70" w:rsidRDefault="009337FE" w:rsidP="00A877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44"/>
          <w:szCs w:val="44"/>
        </w:rPr>
      </w:pPr>
      <w:r w:rsidRPr="001A3C70">
        <w:rPr>
          <w:rFonts w:ascii="Arial" w:eastAsia="Arial Unicode MS" w:hAnsi="Arial" w:cs="Arial"/>
          <w:b/>
          <w:sz w:val="44"/>
          <w:szCs w:val="44"/>
        </w:rPr>
        <w:t xml:space="preserve"> Student Name: </w:t>
      </w:r>
      <w:r w:rsidR="00A8773E" w:rsidRPr="001A3C70">
        <w:rPr>
          <w:rFonts w:ascii="Arial" w:eastAsia="Arial Unicode MS" w:hAnsi="Arial" w:cs="Arial"/>
          <w:bCs/>
          <w:sz w:val="44"/>
          <w:szCs w:val="44"/>
        </w:rPr>
        <w:t>Vilma Ibe</w:t>
      </w:r>
      <w:r w:rsidR="00A8773E" w:rsidRPr="001A3C70">
        <w:rPr>
          <w:rFonts w:ascii="Arial" w:eastAsia="Arial Unicode MS" w:hAnsi="Arial" w:cs="Arial"/>
          <w:b/>
          <w:sz w:val="44"/>
          <w:szCs w:val="44"/>
        </w:rPr>
        <w:t xml:space="preserve"> </w:t>
      </w:r>
    </w:p>
    <w:p w14:paraId="6DB122B7" w14:textId="00D80B0E" w:rsidR="00995444" w:rsidRPr="001A3C70" w:rsidRDefault="00995444" w:rsidP="00A877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44"/>
          <w:szCs w:val="44"/>
        </w:rPr>
      </w:pPr>
      <w:r w:rsidRPr="001A3C70">
        <w:rPr>
          <w:rFonts w:ascii="Arial" w:eastAsia="Arial Unicode MS" w:hAnsi="Arial" w:cs="Arial"/>
          <w:b/>
          <w:sz w:val="44"/>
          <w:szCs w:val="44"/>
        </w:rPr>
        <w:t xml:space="preserve"> </w:t>
      </w:r>
      <w:r w:rsidR="0060043B" w:rsidRPr="001A3C70">
        <w:rPr>
          <w:rFonts w:ascii="Arial" w:eastAsia="Arial Unicode MS" w:hAnsi="Arial" w:cs="Arial"/>
          <w:b/>
          <w:sz w:val="44"/>
          <w:szCs w:val="44"/>
        </w:rPr>
        <w:t xml:space="preserve">Student </w:t>
      </w:r>
      <w:r w:rsidRPr="001A3C70">
        <w:rPr>
          <w:rFonts w:ascii="Arial" w:eastAsia="Arial Unicode MS" w:hAnsi="Arial" w:cs="Arial"/>
          <w:b/>
          <w:sz w:val="44"/>
          <w:szCs w:val="44"/>
        </w:rPr>
        <w:t>Number</w:t>
      </w:r>
      <w:r w:rsidR="0060043B" w:rsidRPr="001A3C70">
        <w:rPr>
          <w:rFonts w:ascii="Arial" w:eastAsia="Arial Unicode MS" w:hAnsi="Arial" w:cs="Arial"/>
          <w:b/>
          <w:sz w:val="44"/>
          <w:szCs w:val="44"/>
        </w:rPr>
        <w:t>:</w:t>
      </w:r>
      <w:r w:rsidR="0060043B" w:rsidRPr="001A3C70">
        <w:rPr>
          <w:rFonts w:ascii="Arial" w:eastAsia="Arial Unicode MS" w:hAnsi="Arial" w:cs="Arial"/>
          <w:bCs/>
          <w:sz w:val="44"/>
          <w:szCs w:val="44"/>
        </w:rPr>
        <w:t xml:space="preserve"> 2022163623</w:t>
      </w: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3DCD6B36" w14:textId="77777777" w:rsidR="007D38A6" w:rsidRDefault="007D38A6"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0E440726" w14:textId="77777777" w:rsidR="007D38A6" w:rsidRDefault="007D38A6"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511C5247" w14:textId="77777777" w:rsidR="007D38A6" w:rsidRDefault="007D38A6" w:rsidP="009601F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sz w:val="40"/>
          <w:szCs w:val="40"/>
        </w:rPr>
      </w:pPr>
    </w:p>
    <w:p w14:paraId="108FBAD3" w14:textId="77777777" w:rsidR="000452BA" w:rsidRDefault="000452BA"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2057C793" w14:textId="09B71E91" w:rsidR="00995444" w:rsidRPr="000452BA"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sz w:val="28"/>
          <w:szCs w:val="28"/>
        </w:rPr>
      </w:pPr>
      <w:r w:rsidRPr="000452BA">
        <w:rPr>
          <w:rFonts w:ascii="Arial" w:eastAsia="Arial Unicode MS" w:hAnsi="Arial" w:cs="Arial"/>
          <w:sz w:val="28"/>
          <w:szCs w:val="28"/>
        </w:rPr>
        <w:lastRenderedPageBreak/>
        <w:t>Dissertation submitted as part of the requirements for the award BSc (Hons) Health and Social Care</w:t>
      </w:r>
    </w:p>
    <w:p w14:paraId="03004EEE" w14:textId="77777777" w:rsidR="00063B4C" w:rsidRDefault="00063B4C"/>
    <w:p w14:paraId="65358A57" w14:textId="77777777" w:rsidR="00995444" w:rsidRDefault="00995444"/>
    <w:p w14:paraId="0F4A849F" w14:textId="31A75991" w:rsidR="00995444" w:rsidRDefault="00995444" w:rsidP="00FD0175">
      <w:pPr>
        <w:pStyle w:val="Heading1"/>
      </w:pPr>
      <w:bookmarkStart w:id="2" w:name="_Toc204981471"/>
      <w:r w:rsidRPr="007A3D0F">
        <w:t>ACKNOWLEDGEMENTS</w:t>
      </w:r>
      <w:bookmarkEnd w:id="2"/>
      <w:r w:rsidRPr="007A3D0F">
        <w:t xml:space="preserve"> </w:t>
      </w:r>
    </w:p>
    <w:p w14:paraId="491043A9" w14:textId="77777777" w:rsidR="002675CD" w:rsidRPr="007A3D0F" w:rsidRDefault="002675CD" w:rsidP="00FD0175">
      <w:pPr>
        <w:pStyle w:val="Heading1"/>
      </w:pPr>
    </w:p>
    <w:p w14:paraId="3E93B9A1" w14:textId="3919B7E9" w:rsidR="00CD6351" w:rsidRPr="00CD6351" w:rsidRDefault="00CD6351" w:rsidP="003C4C3E">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rPr>
      </w:pPr>
      <w:r w:rsidRPr="00CD6351">
        <w:rPr>
          <w:rFonts w:ascii="Arial" w:eastAsia="Arial Unicode MS" w:hAnsi="Arial" w:cs="Arial"/>
          <w:bCs/>
        </w:rPr>
        <w:t xml:space="preserve">I would like to express my sincere gratitude to </w:t>
      </w:r>
      <w:r w:rsidR="007240C9">
        <w:rPr>
          <w:rFonts w:ascii="Arial" w:eastAsia="Arial Unicode MS" w:hAnsi="Arial" w:cs="Arial"/>
          <w:bCs/>
        </w:rPr>
        <w:t>all</w:t>
      </w:r>
      <w:r w:rsidR="007240C9" w:rsidRPr="00CD6351">
        <w:rPr>
          <w:rFonts w:ascii="Arial" w:eastAsia="Arial Unicode MS" w:hAnsi="Arial" w:cs="Arial"/>
          <w:bCs/>
        </w:rPr>
        <w:t xml:space="preserve"> the academic staff</w:t>
      </w:r>
      <w:r w:rsidRPr="00CD6351">
        <w:rPr>
          <w:rFonts w:ascii="Arial" w:eastAsia="Arial Unicode MS" w:hAnsi="Arial" w:cs="Arial"/>
          <w:bCs/>
        </w:rPr>
        <w:t xml:space="preserve"> for their invaluable guidance, constructive </w:t>
      </w:r>
      <w:r w:rsidR="007240C9" w:rsidRPr="00CD6351">
        <w:rPr>
          <w:rFonts w:ascii="Arial" w:eastAsia="Arial Unicode MS" w:hAnsi="Arial" w:cs="Arial"/>
          <w:bCs/>
        </w:rPr>
        <w:t>feedback</w:t>
      </w:r>
      <w:r w:rsidRPr="00CD6351">
        <w:rPr>
          <w:rFonts w:ascii="Arial" w:eastAsia="Arial Unicode MS" w:hAnsi="Arial" w:cs="Arial"/>
          <w:bCs/>
        </w:rPr>
        <w:t>, and consistent support throughout the research and writing of this dissertation. I am also grateful to the</w:t>
      </w:r>
      <w:r w:rsidR="007240C9" w:rsidRPr="00CD6351">
        <w:rPr>
          <w:rFonts w:ascii="Arial" w:eastAsia="Arial Unicode MS" w:hAnsi="Arial" w:cs="Arial"/>
          <w:bCs/>
        </w:rPr>
        <w:t xml:space="preserve"> </w:t>
      </w:r>
      <w:r w:rsidRPr="00CD6351">
        <w:rPr>
          <w:rFonts w:ascii="Arial" w:eastAsia="Arial Unicode MS" w:hAnsi="Arial" w:cs="Arial"/>
          <w:bCs/>
        </w:rPr>
        <w:t>librarians who offered helpful resources and direction at key stages of my study.</w:t>
      </w:r>
    </w:p>
    <w:p w14:paraId="44452390" w14:textId="77777777" w:rsidR="00CD6351" w:rsidRPr="00CD6351" w:rsidRDefault="00CD6351" w:rsidP="003C4C3E">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CD6351">
        <w:rPr>
          <w:rFonts w:ascii="Arial" w:eastAsia="Arial Unicode MS" w:hAnsi="Arial" w:cs="Arial"/>
          <w:bCs/>
        </w:rPr>
        <w:t>Special thanks go to my peers for their encouragement, which helped shape the development of my ideas. Finally, I acknowledge the authors and researchers whose work provided the foundation for this project</w:t>
      </w:r>
      <w:r w:rsidRPr="00CD6351">
        <w:rPr>
          <w:rFonts w:eastAsia="Arial Unicode MS" w:cs="Arial"/>
          <w:bCs/>
        </w:rPr>
        <w:t>.</w:t>
      </w:r>
    </w:p>
    <w:p w14:paraId="05F95EB4" w14:textId="77777777" w:rsidR="00CD6351" w:rsidRPr="0025020C" w:rsidRDefault="00CD6351"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p>
    <w:p w14:paraId="5C86F893" w14:textId="77777777" w:rsidR="00263361" w:rsidRDefault="00263361" w:rsidP="00C14D54">
      <w:pPr>
        <w:pStyle w:val="NormalWeb"/>
        <w:shd w:val="clear" w:color="auto" w:fill="FFFFFF"/>
        <w:spacing w:before="0" w:beforeAutospacing="0" w:after="150" w:afterAutospacing="0" w:line="300" w:lineRule="atLeast"/>
        <w:jc w:val="both"/>
        <w:rPr>
          <w:rFonts w:ascii="Aptos" w:hAnsi="Aptos" w:cs="Arial"/>
          <w:color w:val="333333"/>
          <w:sz w:val="22"/>
          <w:szCs w:val="22"/>
        </w:rPr>
      </w:pPr>
    </w:p>
    <w:p w14:paraId="7804A803" w14:textId="77777777" w:rsidR="00263361" w:rsidRDefault="00263361" w:rsidP="00C14D54">
      <w:pPr>
        <w:pStyle w:val="NormalWeb"/>
        <w:shd w:val="clear" w:color="auto" w:fill="FFFFFF"/>
        <w:spacing w:before="0" w:beforeAutospacing="0" w:after="150" w:afterAutospacing="0" w:line="300" w:lineRule="atLeast"/>
        <w:jc w:val="both"/>
        <w:rPr>
          <w:rFonts w:ascii="Aptos" w:hAnsi="Aptos" w:cs="Arial"/>
          <w:color w:val="333333"/>
          <w:sz w:val="22"/>
          <w:szCs w:val="22"/>
        </w:rPr>
      </w:pPr>
    </w:p>
    <w:p w14:paraId="00601543" w14:textId="77777777" w:rsidR="00C14D54" w:rsidRPr="00995444" w:rsidRDefault="00C14D54" w:rsidP="0073280B">
      <w:pPr>
        <w:pStyle w:val="NormalWeb"/>
        <w:shd w:val="clear" w:color="auto" w:fill="FFFFFF"/>
        <w:spacing w:before="0" w:beforeAutospacing="0" w:after="150" w:afterAutospacing="0" w:line="300" w:lineRule="atLeast"/>
        <w:jc w:val="both"/>
        <w:rPr>
          <w:rFonts w:ascii="Aptos" w:hAnsi="Aptos" w:cs="Arial"/>
          <w:color w:val="333333"/>
          <w:sz w:val="22"/>
          <w:szCs w:val="22"/>
        </w:rPr>
      </w:pPr>
    </w:p>
    <w:p w14:paraId="40A3E6C2" w14:textId="77777777" w:rsidR="00995444" w:rsidRDefault="00995444"/>
    <w:p w14:paraId="7EA8A979" w14:textId="77777777" w:rsidR="0073280B" w:rsidRDefault="0073280B"/>
    <w:p w14:paraId="24382F47" w14:textId="77777777" w:rsidR="0073280B" w:rsidRDefault="0073280B"/>
    <w:p w14:paraId="6A8FCE15" w14:textId="77777777" w:rsidR="0073280B" w:rsidRDefault="0073280B"/>
    <w:p w14:paraId="5B45260B" w14:textId="77777777" w:rsidR="0073280B" w:rsidRDefault="0073280B"/>
    <w:p w14:paraId="29F99602" w14:textId="77777777" w:rsidR="0073280B" w:rsidRDefault="0073280B"/>
    <w:p w14:paraId="7FFDFCFF" w14:textId="77777777" w:rsidR="0073280B" w:rsidRDefault="0073280B"/>
    <w:p w14:paraId="1E61CB56" w14:textId="77777777" w:rsidR="0073280B" w:rsidRDefault="0073280B"/>
    <w:p w14:paraId="58131FA4" w14:textId="77777777" w:rsidR="0073280B" w:rsidRDefault="0073280B"/>
    <w:p w14:paraId="6C0EC770" w14:textId="77777777" w:rsidR="0073280B" w:rsidRDefault="0073280B"/>
    <w:p w14:paraId="089F1F15" w14:textId="77777777" w:rsidR="0094518B" w:rsidRDefault="0094518B"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68249928" w14:textId="3FEF3F2A" w:rsidR="0073280B" w:rsidRDefault="007D38A6" w:rsidP="00FD0175">
      <w:pPr>
        <w:pStyle w:val="Heading1"/>
      </w:pPr>
      <w:bookmarkStart w:id="3" w:name="_Toc204981472"/>
      <w:r w:rsidRPr="00FB4391">
        <w:lastRenderedPageBreak/>
        <w:t>ABSTRACT</w:t>
      </w:r>
      <w:bookmarkEnd w:id="3"/>
      <w:r w:rsidRPr="00FB4391">
        <w:t xml:space="preserve"> </w:t>
      </w:r>
    </w:p>
    <w:p w14:paraId="74F77ED5" w14:textId="77777777" w:rsidR="00FB4391" w:rsidRPr="00FB4391" w:rsidRDefault="00FB4391" w:rsidP="00FD0175">
      <w:pPr>
        <w:pStyle w:val="Heading1"/>
      </w:pPr>
    </w:p>
    <w:p w14:paraId="09A0582D" w14:textId="4AD61D1C" w:rsidR="00AD40B0" w:rsidRPr="007D08A1" w:rsidRDefault="0094518B" w:rsidP="00AD40B0">
      <w:pPr>
        <w:pStyle w:val="NormalWeb"/>
        <w:spacing w:line="360" w:lineRule="auto"/>
        <w:jc w:val="both"/>
        <w:rPr>
          <w:rFonts w:ascii="Arial" w:hAnsi="Arial" w:cs="Arial"/>
          <w:sz w:val="22"/>
          <w:szCs w:val="22"/>
        </w:rPr>
      </w:pPr>
      <w:r w:rsidRPr="007D08A1">
        <w:rPr>
          <w:rFonts w:ascii="Arial" w:eastAsia="Arial Unicode MS" w:hAnsi="Arial" w:cs="Arial"/>
          <w:sz w:val="22"/>
          <w:szCs w:val="22"/>
        </w:rPr>
        <w:t xml:space="preserve">This dissertation explores the </w:t>
      </w:r>
      <w:r w:rsidR="00A85D8C" w:rsidRPr="007D08A1">
        <w:rPr>
          <w:rFonts w:ascii="Arial" w:eastAsia="Arial Unicode MS" w:hAnsi="Arial" w:cs="Arial"/>
          <w:sz w:val="22"/>
          <w:szCs w:val="22"/>
        </w:rPr>
        <w:t>E</w:t>
      </w:r>
      <w:r w:rsidRPr="007D08A1">
        <w:rPr>
          <w:rFonts w:ascii="Arial" w:eastAsia="Arial Unicode MS" w:hAnsi="Arial" w:cs="Arial"/>
          <w:sz w:val="22"/>
          <w:szCs w:val="22"/>
        </w:rPr>
        <w:t xml:space="preserve">ffectiveness of </w:t>
      </w:r>
      <w:r w:rsidR="00A85D8C" w:rsidRPr="007D08A1">
        <w:rPr>
          <w:rFonts w:ascii="Arial" w:eastAsia="Arial Unicode MS" w:hAnsi="Arial" w:cs="Arial"/>
          <w:sz w:val="22"/>
          <w:szCs w:val="22"/>
        </w:rPr>
        <w:t>H</w:t>
      </w:r>
      <w:r w:rsidRPr="007D08A1">
        <w:rPr>
          <w:rFonts w:ascii="Arial" w:eastAsia="Arial Unicode MS" w:hAnsi="Arial" w:cs="Arial"/>
          <w:sz w:val="22"/>
          <w:szCs w:val="22"/>
        </w:rPr>
        <w:t xml:space="preserve">ealthcare </w:t>
      </w:r>
      <w:r w:rsidR="00A85D8C" w:rsidRPr="007D08A1">
        <w:rPr>
          <w:rFonts w:ascii="Arial" w:eastAsia="Arial Unicode MS" w:hAnsi="Arial" w:cs="Arial"/>
          <w:sz w:val="22"/>
          <w:szCs w:val="22"/>
        </w:rPr>
        <w:t>P</w:t>
      </w:r>
      <w:r w:rsidRPr="007D08A1">
        <w:rPr>
          <w:rFonts w:ascii="Arial" w:eastAsia="Arial Unicode MS" w:hAnsi="Arial" w:cs="Arial"/>
          <w:sz w:val="22"/>
          <w:szCs w:val="22"/>
        </w:rPr>
        <w:t xml:space="preserve">rovisions for </w:t>
      </w:r>
      <w:r w:rsidR="00A85D8C" w:rsidRPr="007D08A1">
        <w:rPr>
          <w:rFonts w:ascii="Arial" w:eastAsia="Arial Unicode MS" w:hAnsi="Arial" w:cs="Arial"/>
          <w:sz w:val="22"/>
          <w:szCs w:val="22"/>
        </w:rPr>
        <w:t>I</w:t>
      </w:r>
      <w:r w:rsidRPr="007D08A1">
        <w:rPr>
          <w:rFonts w:ascii="Arial" w:eastAsia="Arial Unicode MS" w:hAnsi="Arial" w:cs="Arial"/>
          <w:sz w:val="22"/>
          <w:szCs w:val="22"/>
        </w:rPr>
        <w:t xml:space="preserve">ndividuals </w:t>
      </w:r>
      <w:r w:rsidR="00A85D8C" w:rsidRPr="007D08A1">
        <w:rPr>
          <w:rFonts w:ascii="Arial" w:eastAsia="Arial Unicode MS" w:hAnsi="Arial" w:cs="Arial"/>
          <w:sz w:val="22"/>
          <w:szCs w:val="22"/>
        </w:rPr>
        <w:t>D</w:t>
      </w:r>
      <w:r w:rsidRPr="007D08A1">
        <w:rPr>
          <w:rFonts w:ascii="Arial" w:eastAsia="Arial Unicode MS" w:hAnsi="Arial" w:cs="Arial"/>
          <w:sz w:val="22"/>
          <w:szCs w:val="22"/>
        </w:rPr>
        <w:t xml:space="preserve">iagnosed with </w:t>
      </w:r>
      <w:r w:rsidR="00A85D8C" w:rsidRPr="007D08A1">
        <w:rPr>
          <w:rFonts w:ascii="Arial" w:eastAsia="Arial Unicode MS" w:hAnsi="Arial" w:cs="Arial"/>
          <w:sz w:val="22"/>
          <w:szCs w:val="22"/>
        </w:rPr>
        <w:t>S</w:t>
      </w:r>
      <w:r w:rsidRPr="007D08A1">
        <w:rPr>
          <w:rFonts w:ascii="Arial" w:eastAsia="Arial Unicode MS" w:hAnsi="Arial" w:cs="Arial"/>
          <w:sz w:val="22"/>
          <w:szCs w:val="22"/>
        </w:rPr>
        <w:t>chizophrenia (SCZ) in the United Kingdom</w:t>
      </w:r>
      <w:r w:rsidR="006B2BCB" w:rsidRPr="007D08A1">
        <w:rPr>
          <w:rFonts w:ascii="Arial" w:eastAsia="Arial Unicode MS" w:hAnsi="Arial" w:cs="Arial"/>
          <w:sz w:val="22"/>
          <w:szCs w:val="22"/>
        </w:rPr>
        <w:t xml:space="preserve"> (UK)</w:t>
      </w:r>
      <w:r w:rsidRPr="007D08A1">
        <w:rPr>
          <w:rFonts w:ascii="Arial" w:eastAsia="Arial Unicode MS" w:hAnsi="Arial" w:cs="Arial"/>
          <w:sz w:val="22"/>
          <w:szCs w:val="22"/>
        </w:rPr>
        <w:t>, with a particular focus on access, treatment delivery, and cultural equity. The study is grounded in the context of persistent disparities in care despite national guidelines and legislation</w:t>
      </w:r>
      <w:r w:rsidR="002225CA" w:rsidRPr="007D08A1">
        <w:rPr>
          <w:rFonts w:ascii="Arial" w:eastAsia="Arial Unicode MS" w:hAnsi="Arial" w:cs="Arial"/>
          <w:sz w:val="22"/>
          <w:szCs w:val="22"/>
        </w:rPr>
        <w:t>,</w:t>
      </w:r>
      <w:r w:rsidR="002225CA" w:rsidRPr="007D08A1">
        <w:rPr>
          <w:rFonts w:ascii="Arial" w:hAnsi="Arial" w:cs="Arial"/>
          <w:sz w:val="22"/>
          <w:szCs w:val="22"/>
        </w:rPr>
        <w:t xml:space="preserve"> focused</w:t>
      </w:r>
      <w:r w:rsidR="002225CA" w:rsidRPr="007D08A1">
        <w:rPr>
          <w:rFonts w:ascii="Arial" w:hAnsi="Arial" w:cs="Arial"/>
          <w:sz w:val="22"/>
          <w:szCs w:val="22"/>
        </w:rPr>
        <w:t xml:space="preserve"> on promoting improved </w:t>
      </w:r>
      <w:r w:rsidR="00E449E3">
        <w:rPr>
          <w:rFonts w:ascii="Arial" w:hAnsi="Arial" w:cs="Arial"/>
          <w:sz w:val="22"/>
          <w:szCs w:val="22"/>
        </w:rPr>
        <w:t>M</w:t>
      </w:r>
      <w:r w:rsidR="002225CA" w:rsidRPr="007D08A1">
        <w:rPr>
          <w:rFonts w:ascii="Arial" w:hAnsi="Arial" w:cs="Arial"/>
          <w:sz w:val="22"/>
          <w:szCs w:val="22"/>
        </w:rPr>
        <w:t xml:space="preserve">ental </w:t>
      </w:r>
      <w:r w:rsidR="00E449E3">
        <w:rPr>
          <w:rFonts w:ascii="Arial" w:hAnsi="Arial" w:cs="Arial"/>
          <w:sz w:val="22"/>
          <w:szCs w:val="22"/>
        </w:rPr>
        <w:t>H</w:t>
      </w:r>
      <w:r w:rsidR="002225CA" w:rsidRPr="007D08A1">
        <w:rPr>
          <w:rFonts w:ascii="Arial" w:hAnsi="Arial" w:cs="Arial"/>
          <w:sz w:val="22"/>
          <w:szCs w:val="22"/>
        </w:rPr>
        <w:t>ealth</w:t>
      </w:r>
      <w:r w:rsidR="002225CA" w:rsidRPr="007D08A1">
        <w:rPr>
          <w:rFonts w:ascii="Arial" w:hAnsi="Arial" w:cs="Arial"/>
          <w:sz w:val="22"/>
          <w:szCs w:val="22"/>
        </w:rPr>
        <w:t>.</w:t>
      </w:r>
      <w:r w:rsidR="007D08A1" w:rsidRPr="007D08A1">
        <w:rPr>
          <w:sz w:val="22"/>
          <w:szCs w:val="22"/>
        </w:rPr>
        <w:t xml:space="preserve"> </w:t>
      </w:r>
      <w:r w:rsidR="007D08A1" w:rsidRPr="007D08A1">
        <w:rPr>
          <w:rFonts w:ascii="Arial" w:hAnsi="Arial" w:cs="Arial"/>
          <w:sz w:val="22"/>
          <w:szCs w:val="22"/>
        </w:rPr>
        <w:t>The findings are pertinent to health and social care provision</w:t>
      </w:r>
      <w:r w:rsidRPr="007D08A1">
        <w:rPr>
          <w:rFonts w:ascii="Arial" w:eastAsia="Arial Unicode MS" w:hAnsi="Arial" w:cs="Arial"/>
          <w:sz w:val="22"/>
          <w:szCs w:val="22"/>
        </w:rPr>
        <w:t xml:space="preserve"> because SCZ presents a major burden in terms of both human suffering and socioeconomic cost, disproportionately affecting ethnically minoritised communities.</w:t>
      </w:r>
    </w:p>
    <w:p w14:paraId="3907A4D5" w14:textId="77777777" w:rsidR="000E73F1" w:rsidRDefault="0094518B" w:rsidP="000E73F1">
      <w:pPr>
        <w:pStyle w:val="NormalWeb"/>
        <w:spacing w:line="360" w:lineRule="auto"/>
        <w:jc w:val="both"/>
        <w:rPr>
          <w:rFonts w:ascii="Arial" w:eastAsia="Arial Unicode MS" w:hAnsi="Arial" w:cs="Arial"/>
          <w:sz w:val="22"/>
          <w:szCs w:val="22"/>
        </w:rPr>
      </w:pPr>
      <w:r w:rsidRPr="007D08A1">
        <w:rPr>
          <w:rFonts w:ascii="Arial" w:eastAsia="Arial Unicode MS" w:hAnsi="Arial" w:cs="Arial"/>
          <w:sz w:val="22"/>
          <w:szCs w:val="22"/>
        </w:rPr>
        <w:t xml:space="preserve">A thematic analysis was conducted using secondary research methods. Peer-reviewed literature, national reports, and policy documents published between </w:t>
      </w:r>
      <w:r w:rsidRPr="000E73F1">
        <w:rPr>
          <w:rFonts w:ascii="Arial" w:eastAsia="Arial Unicode MS" w:hAnsi="Arial" w:cs="Arial"/>
          <w:sz w:val="22"/>
          <w:szCs w:val="22"/>
        </w:rPr>
        <w:t xml:space="preserve">2015 and 2025 were systematically reviewed to </w:t>
      </w:r>
      <w:r w:rsidR="00CA1EB3" w:rsidRPr="000E73F1">
        <w:rPr>
          <w:rFonts w:ascii="Arial" w:eastAsia="Arial Unicode MS" w:hAnsi="Arial" w:cs="Arial"/>
          <w:sz w:val="22"/>
          <w:szCs w:val="22"/>
        </w:rPr>
        <w:t>assess the standard</w:t>
      </w:r>
      <w:r w:rsidRPr="000E73F1">
        <w:rPr>
          <w:rFonts w:ascii="Arial" w:eastAsia="Arial Unicode MS" w:hAnsi="Arial" w:cs="Arial"/>
          <w:sz w:val="22"/>
          <w:szCs w:val="22"/>
        </w:rPr>
        <w:t>, accessibility, and equity of SCZ services. The Braun and Clarke (2006) six-phase framework guided the thematic analysis.</w:t>
      </w:r>
      <w:r w:rsidR="000E73F1">
        <w:rPr>
          <w:rFonts w:ascii="Arial" w:eastAsia="Arial Unicode MS" w:hAnsi="Arial" w:cs="Arial"/>
          <w:sz w:val="22"/>
          <w:szCs w:val="22"/>
        </w:rPr>
        <w:t xml:space="preserve"> </w:t>
      </w:r>
    </w:p>
    <w:p w14:paraId="2D74D9D3" w14:textId="6EF65E86" w:rsidR="0094518B" w:rsidRPr="000E73F1" w:rsidRDefault="0094518B" w:rsidP="000E73F1">
      <w:pPr>
        <w:pStyle w:val="NormalWeb"/>
        <w:spacing w:line="360" w:lineRule="auto"/>
        <w:jc w:val="both"/>
        <w:rPr>
          <w:rFonts w:ascii="Arial" w:eastAsia="Arial Unicode MS" w:hAnsi="Arial" w:cs="Arial"/>
          <w:sz w:val="22"/>
          <w:szCs w:val="22"/>
        </w:rPr>
      </w:pPr>
      <w:r w:rsidRPr="000E73F1">
        <w:rPr>
          <w:rFonts w:ascii="Arial" w:eastAsia="Arial Unicode MS" w:hAnsi="Arial" w:cs="Arial"/>
          <w:sz w:val="22"/>
          <w:szCs w:val="22"/>
        </w:rPr>
        <w:t>Three key themes emerged: (1) Access to Services, (2) Cultural and Ethnic Inequality, and (3) Therapeutic Interventions and Community Care. Findings revealed persistent delays in treatment, underutilisation of psychological therapies,</w:t>
      </w:r>
      <w:r w:rsidR="00EA3408" w:rsidRPr="000E73F1">
        <w:rPr>
          <w:rFonts w:ascii="Arial" w:hAnsi="Arial" w:cs="Arial"/>
          <w:sz w:val="22"/>
          <w:szCs w:val="22"/>
        </w:rPr>
        <w:t xml:space="preserve"> </w:t>
      </w:r>
      <w:r w:rsidR="00EA3408" w:rsidRPr="000E73F1">
        <w:rPr>
          <w:rFonts w:ascii="Arial" w:eastAsia="Arial Unicode MS" w:hAnsi="Arial" w:cs="Arial"/>
          <w:kern w:val="2"/>
          <w:sz w:val="22"/>
          <w:szCs w:val="22"/>
          <w:lang w:eastAsia="zh-CN"/>
          <w14:ligatures w14:val="standardContextual"/>
        </w:rPr>
        <w:t>and disproportionately high incidences</w:t>
      </w:r>
      <w:r w:rsidR="00EA3408" w:rsidRPr="000E73F1">
        <w:rPr>
          <w:rFonts w:ascii="Arial" w:eastAsia="Arial Unicode MS" w:hAnsi="Arial" w:cs="Arial"/>
          <w:b/>
          <w:bCs/>
          <w:kern w:val="2"/>
          <w:sz w:val="22"/>
          <w:szCs w:val="22"/>
          <w:lang w:eastAsia="zh-CN"/>
          <w14:ligatures w14:val="standardContextual"/>
        </w:rPr>
        <w:t xml:space="preserve"> </w:t>
      </w:r>
      <w:r w:rsidR="00EA3408" w:rsidRPr="000E73F1">
        <w:rPr>
          <w:rFonts w:ascii="Arial" w:eastAsia="Arial Unicode MS" w:hAnsi="Arial" w:cs="Arial"/>
          <w:kern w:val="2"/>
          <w:sz w:val="22"/>
          <w:szCs w:val="22"/>
          <w:lang w:eastAsia="zh-CN"/>
          <w14:ligatures w14:val="standardContextual"/>
        </w:rPr>
        <w:t>of enforced treatment among</w:t>
      </w:r>
      <w:r w:rsidR="00227534">
        <w:rPr>
          <w:rFonts w:ascii="Arial" w:eastAsia="Arial Unicode MS" w:hAnsi="Arial" w:cs="Arial"/>
          <w:kern w:val="2"/>
          <w:sz w:val="22"/>
          <w:szCs w:val="22"/>
          <w:lang w:eastAsia="zh-CN"/>
          <w14:ligatures w14:val="standardContextual"/>
        </w:rPr>
        <w:t xml:space="preserve"> Black Asian Minority</w:t>
      </w:r>
      <w:r w:rsidR="00EA3408" w:rsidRPr="000E73F1">
        <w:rPr>
          <w:rFonts w:ascii="Arial" w:eastAsia="Arial Unicode MS" w:hAnsi="Arial" w:cs="Arial"/>
          <w:kern w:val="2"/>
          <w:sz w:val="22"/>
          <w:szCs w:val="22"/>
          <w:lang w:eastAsia="zh-CN"/>
          <w14:ligatures w14:val="standardContextual"/>
        </w:rPr>
        <w:t xml:space="preserve"> </w:t>
      </w:r>
      <w:r w:rsidR="000E73F1">
        <w:rPr>
          <w:rFonts w:ascii="Arial" w:eastAsia="Arial Unicode MS" w:hAnsi="Arial" w:cs="Arial"/>
          <w:kern w:val="2"/>
          <w:sz w:val="22"/>
          <w:szCs w:val="22"/>
          <w:lang w:eastAsia="zh-CN"/>
          <w14:ligatures w14:val="standardContextual"/>
        </w:rPr>
        <w:t>(</w:t>
      </w:r>
      <w:r w:rsidR="00EA3408" w:rsidRPr="000E73F1">
        <w:rPr>
          <w:rFonts w:ascii="Arial" w:eastAsia="Arial Unicode MS" w:hAnsi="Arial" w:cs="Arial"/>
          <w:kern w:val="2"/>
          <w:sz w:val="22"/>
          <w:szCs w:val="22"/>
          <w:lang w:eastAsia="zh-CN"/>
          <w14:ligatures w14:val="standardContextual"/>
        </w:rPr>
        <w:t>BAME</w:t>
      </w:r>
      <w:r w:rsidR="000E73F1">
        <w:rPr>
          <w:rFonts w:ascii="Arial" w:eastAsia="Arial Unicode MS" w:hAnsi="Arial" w:cs="Arial"/>
          <w:kern w:val="2"/>
          <w:sz w:val="22"/>
          <w:szCs w:val="22"/>
          <w:lang w:eastAsia="zh-CN"/>
          <w14:ligatures w14:val="standardContextual"/>
        </w:rPr>
        <w:t>)</w:t>
      </w:r>
      <w:r w:rsidR="00EA3408" w:rsidRPr="000E73F1">
        <w:rPr>
          <w:rFonts w:ascii="Arial" w:eastAsia="Arial Unicode MS" w:hAnsi="Arial" w:cs="Arial"/>
          <w:kern w:val="2"/>
          <w:sz w:val="22"/>
          <w:szCs w:val="22"/>
          <w:lang w:eastAsia="zh-CN"/>
          <w14:ligatures w14:val="standardContextual"/>
        </w:rPr>
        <w:t xml:space="preserve"> populations.</w:t>
      </w:r>
      <w:r w:rsidR="00EA3408" w:rsidRPr="000E73F1">
        <w:rPr>
          <w:rFonts w:ascii="Arial" w:eastAsia="Arial Unicode MS" w:hAnsi="Arial" w:cs="Arial"/>
          <w:sz w:val="22"/>
          <w:szCs w:val="22"/>
        </w:rPr>
        <w:t xml:space="preserve"> </w:t>
      </w:r>
      <w:r w:rsidRPr="000E73F1">
        <w:rPr>
          <w:rFonts w:ascii="Arial" w:eastAsia="Arial Unicode MS" w:hAnsi="Arial" w:cs="Arial"/>
          <w:sz w:val="22"/>
          <w:szCs w:val="22"/>
        </w:rPr>
        <w:t>Despite robust policy frameworks (e.g., NICE, Equality Act 2010), implementation remains inconsistent due to workforce shortages, structural discrimination, and inadequate cultural adaptation</w:t>
      </w:r>
      <w:r w:rsidRPr="0094518B">
        <w:rPr>
          <w:rFonts w:ascii="Arial" w:eastAsia="Arial Unicode MS" w:hAnsi="Arial" w:cs="Arial"/>
        </w:rPr>
        <w:t>.</w:t>
      </w:r>
    </w:p>
    <w:p w14:paraId="6B8160B1" w14:textId="3118C886" w:rsidR="0094518B" w:rsidRPr="0094518B" w:rsidRDefault="0094518B" w:rsidP="007651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94518B">
        <w:rPr>
          <w:rFonts w:ascii="Arial" w:eastAsia="Arial Unicode MS" w:hAnsi="Arial" w:cs="Arial"/>
        </w:rPr>
        <w:t>The study acknowledges limitations, including reliance on secondary sources and a lack of primary service-user data. However, the analysis provides valuable insights for future practice.</w:t>
      </w:r>
      <w:r w:rsidR="00232AAD">
        <w:rPr>
          <w:rFonts w:ascii="Arial" w:eastAsia="Arial Unicode MS" w:hAnsi="Arial" w:cs="Arial"/>
        </w:rPr>
        <w:t xml:space="preserve"> </w:t>
      </w:r>
      <w:r w:rsidRPr="0094518B">
        <w:rPr>
          <w:rFonts w:ascii="Arial" w:eastAsia="Arial Unicode MS" w:hAnsi="Arial" w:cs="Arial"/>
        </w:rPr>
        <w:t xml:space="preserve">Recommendations include increasing workforce capacity in Early Intervention in Psychosis (EIP) teams, rolling out culturally adapted therapies nationally, </w:t>
      </w:r>
      <w:r w:rsidR="00F638B3" w:rsidRPr="00F638B3">
        <w:rPr>
          <w:rFonts w:ascii="Arial" w:eastAsia="Arial Unicode MS" w:hAnsi="Arial" w:cs="Arial"/>
        </w:rPr>
        <w:t>and improving coordination between pharmacological and psychosocial approaches.</w:t>
      </w:r>
      <w:r w:rsidR="00F638B3">
        <w:rPr>
          <w:rFonts w:ascii="Arial" w:eastAsia="Arial Unicode MS" w:hAnsi="Arial" w:cs="Arial"/>
        </w:rPr>
        <w:t xml:space="preserve"> </w:t>
      </w:r>
      <w:r w:rsidRPr="0094518B">
        <w:rPr>
          <w:rFonts w:ascii="Arial" w:eastAsia="Arial Unicode MS" w:hAnsi="Arial" w:cs="Arial"/>
        </w:rPr>
        <w:t xml:space="preserve">These changes are critical for realising equitable, person-centred </w:t>
      </w:r>
      <w:r w:rsidR="00F1607C">
        <w:rPr>
          <w:rFonts w:ascii="Arial" w:eastAsia="Arial Unicode MS" w:hAnsi="Arial" w:cs="Arial"/>
        </w:rPr>
        <w:t>M</w:t>
      </w:r>
      <w:r w:rsidRPr="0094518B">
        <w:rPr>
          <w:rFonts w:ascii="Arial" w:eastAsia="Arial Unicode MS" w:hAnsi="Arial" w:cs="Arial"/>
        </w:rPr>
        <w:t xml:space="preserve">ental </w:t>
      </w:r>
      <w:r w:rsidR="00F1607C">
        <w:rPr>
          <w:rFonts w:ascii="Arial" w:eastAsia="Arial Unicode MS" w:hAnsi="Arial" w:cs="Arial"/>
        </w:rPr>
        <w:t>H</w:t>
      </w:r>
      <w:r w:rsidRPr="0094518B">
        <w:rPr>
          <w:rFonts w:ascii="Arial" w:eastAsia="Arial Unicode MS" w:hAnsi="Arial" w:cs="Arial"/>
        </w:rPr>
        <w:t>ealth care in line with national policy ambitions.</w:t>
      </w:r>
    </w:p>
    <w:p w14:paraId="5D674F20" w14:textId="78A17195" w:rsidR="0094518B" w:rsidRPr="0094518B" w:rsidRDefault="0094518B" w:rsidP="007651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94518B">
        <w:rPr>
          <w:rFonts w:ascii="Arial" w:eastAsia="Arial Unicode MS" w:hAnsi="Arial" w:cs="Arial"/>
        </w:rPr>
        <w:t xml:space="preserve">This dissertation contributes to </w:t>
      </w:r>
      <w:r w:rsidR="009A04F0">
        <w:rPr>
          <w:rFonts w:ascii="Arial" w:eastAsia="Arial Unicode MS" w:hAnsi="Arial" w:cs="Arial"/>
        </w:rPr>
        <w:t>H</w:t>
      </w:r>
      <w:r w:rsidRPr="0094518B">
        <w:rPr>
          <w:rFonts w:ascii="Arial" w:eastAsia="Arial Unicode MS" w:hAnsi="Arial" w:cs="Arial"/>
        </w:rPr>
        <w:t xml:space="preserve">ealth and </w:t>
      </w:r>
      <w:r w:rsidR="009A04F0">
        <w:rPr>
          <w:rFonts w:ascii="Arial" w:eastAsia="Arial Unicode MS" w:hAnsi="Arial" w:cs="Arial"/>
        </w:rPr>
        <w:t>S</w:t>
      </w:r>
      <w:r w:rsidRPr="0094518B">
        <w:rPr>
          <w:rFonts w:ascii="Arial" w:eastAsia="Arial Unicode MS" w:hAnsi="Arial" w:cs="Arial"/>
        </w:rPr>
        <w:t xml:space="preserve">ocial </w:t>
      </w:r>
      <w:r w:rsidR="009A04F0">
        <w:rPr>
          <w:rFonts w:ascii="Arial" w:eastAsia="Arial Unicode MS" w:hAnsi="Arial" w:cs="Arial"/>
        </w:rPr>
        <w:t>C</w:t>
      </w:r>
      <w:r w:rsidRPr="0094518B">
        <w:rPr>
          <w:rFonts w:ascii="Arial" w:eastAsia="Arial Unicode MS" w:hAnsi="Arial" w:cs="Arial"/>
        </w:rPr>
        <w:t>are discourse by identifying tangible, evidence-based strategies to reduce inequalities and improve outcomes for individuals with SCZ in the UK.</w:t>
      </w:r>
    </w:p>
    <w:p w14:paraId="29EC48B5" w14:textId="77777777" w:rsidR="0094518B" w:rsidRPr="0025020C" w:rsidRDefault="0094518B"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p>
    <w:p w14:paraId="78693D50" w14:textId="77777777" w:rsidR="00FA7604" w:rsidRDefault="00FA7604" w:rsidP="00FD0175">
      <w:pPr>
        <w:pStyle w:val="TOCHeading"/>
      </w:pPr>
    </w:p>
    <w:sdt>
      <w:sdtPr>
        <w:rPr>
          <w:rFonts w:ascii="Aptos" w:eastAsiaTheme="minorEastAsia" w:hAnsi="Aptos" w:cstheme="minorBidi"/>
          <w:color w:val="auto"/>
          <w:kern w:val="2"/>
          <w:sz w:val="22"/>
          <w:szCs w:val="22"/>
          <w:lang w:eastAsia="zh-CN"/>
          <w14:ligatures w14:val="standardContextual"/>
        </w:rPr>
        <w:id w:val="555050711"/>
        <w:docPartObj>
          <w:docPartGallery w:val="Table of Contents"/>
          <w:docPartUnique/>
        </w:docPartObj>
      </w:sdtPr>
      <w:sdtEndPr>
        <w:rPr>
          <w:b/>
          <w:i w:val="0"/>
          <w:iCs w:val="0"/>
        </w:rPr>
      </w:sdtEndPr>
      <w:sdtContent>
        <w:p w14:paraId="690E88D8" w14:textId="13070D02" w:rsidR="00122BC3" w:rsidRPr="007E5756" w:rsidRDefault="00122BC3" w:rsidP="00FD0175">
          <w:pPr>
            <w:pStyle w:val="TOCHeading"/>
            <w:rPr>
              <w:rStyle w:val="Heading1Char"/>
              <w:i/>
              <w:iCs/>
            </w:rPr>
          </w:pPr>
          <w:r w:rsidRPr="007E5756">
            <w:rPr>
              <w:rStyle w:val="Heading1Char"/>
              <w:i/>
              <w:iCs/>
            </w:rPr>
            <w:t>Table of Contents</w:t>
          </w:r>
        </w:p>
        <w:p w14:paraId="4A2C7D17" w14:textId="5841BD55" w:rsidR="000A45DD" w:rsidRDefault="00122BC3">
          <w:pPr>
            <w:pStyle w:val="TOC1"/>
            <w:rPr>
              <w:rFonts w:asciiTheme="minorHAnsi" w:hAnsiTheme="minorHAnsi"/>
              <w:b w:val="0"/>
              <w:bCs w:val="0"/>
              <w:i w:val="0"/>
              <w:iCs w:val="0"/>
              <w:sz w:val="24"/>
              <w:szCs w:val="24"/>
              <w:lang w:eastAsia="en-GB" w:bidi="ar-SA"/>
            </w:rPr>
          </w:pPr>
          <w:r>
            <w:fldChar w:fldCharType="begin"/>
          </w:r>
          <w:r>
            <w:instrText xml:space="preserve"> TOC \o "1-3" \h \z \u </w:instrText>
          </w:r>
          <w:r>
            <w:fldChar w:fldCharType="separate"/>
          </w:r>
          <w:hyperlink w:anchor="_Toc204981469" w:history="1">
            <w:r w:rsidR="000A45DD">
              <w:rPr>
                <w:webHidden/>
              </w:rPr>
              <w:tab/>
            </w:r>
            <w:r w:rsidR="000A45DD">
              <w:rPr>
                <w:webHidden/>
              </w:rPr>
              <w:fldChar w:fldCharType="begin"/>
            </w:r>
            <w:r w:rsidR="000A45DD">
              <w:rPr>
                <w:webHidden/>
              </w:rPr>
              <w:instrText xml:space="preserve"> PAGEREF _Toc204981469 \h </w:instrText>
            </w:r>
            <w:r w:rsidR="000A45DD">
              <w:rPr>
                <w:webHidden/>
              </w:rPr>
            </w:r>
            <w:r w:rsidR="000A45DD">
              <w:rPr>
                <w:webHidden/>
              </w:rPr>
              <w:fldChar w:fldCharType="separate"/>
            </w:r>
            <w:r w:rsidR="000A45DD">
              <w:rPr>
                <w:webHidden/>
              </w:rPr>
              <w:t>1</w:t>
            </w:r>
            <w:r w:rsidR="000A45DD">
              <w:rPr>
                <w:webHidden/>
              </w:rPr>
              <w:fldChar w:fldCharType="end"/>
            </w:r>
          </w:hyperlink>
        </w:p>
        <w:p w14:paraId="27C7C156" w14:textId="1811D9AE" w:rsidR="000A45DD" w:rsidRDefault="000A45DD">
          <w:pPr>
            <w:pStyle w:val="TOC1"/>
            <w:rPr>
              <w:rFonts w:asciiTheme="minorHAnsi" w:hAnsiTheme="minorHAnsi"/>
              <w:b w:val="0"/>
              <w:bCs w:val="0"/>
              <w:i w:val="0"/>
              <w:iCs w:val="0"/>
              <w:sz w:val="24"/>
              <w:szCs w:val="24"/>
              <w:lang w:eastAsia="en-GB" w:bidi="ar-SA"/>
            </w:rPr>
          </w:pPr>
          <w:hyperlink w:anchor="_Toc204981470" w:history="1">
            <w:r w:rsidRPr="00DB3279">
              <w:rPr>
                <w:rStyle w:val="Hyperlink"/>
              </w:rPr>
              <w:t>Disclaimer</w:t>
            </w:r>
            <w:r>
              <w:rPr>
                <w:webHidden/>
              </w:rPr>
              <w:tab/>
            </w:r>
            <w:r>
              <w:rPr>
                <w:webHidden/>
              </w:rPr>
              <w:fldChar w:fldCharType="begin"/>
            </w:r>
            <w:r>
              <w:rPr>
                <w:webHidden/>
              </w:rPr>
              <w:instrText xml:space="preserve"> PAGEREF _Toc204981470 \h </w:instrText>
            </w:r>
            <w:r>
              <w:rPr>
                <w:webHidden/>
              </w:rPr>
            </w:r>
            <w:r>
              <w:rPr>
                <w:webHidden/>
              </w:rPr>
              <w:fldChar w:fldCharType="separate"/>
            </w:r>
            <w:r>
              <w:rPr>
                <w:webHidden/>
              </w:rPr>
              <w:t>1</w:t>
            </w:r>
            <w:r>
              <w:rPr>
                <w:webHidden/>
              </w:rPr>
              <w:fldChar w:fldCharType="end"/>
            </w:r>
          </w:hyperlink>
        </w:p>
        <w:p w14:paraId="3550BBE3" w14:textId="36B39FC3" w:rsidR="000A45DD" w:rsidRDefault="000A45DD">
          <w:pPr>
            <w:pStyle w:val="TOC1"/>
            <w:rPr>
              <w:rFonts w:asciiTheme="minorHAnsi" w:hAnsiTheme="minorHAnsi"/>
              <w:b w:val="0"/>
              <w:bCs w:val="0"/>
              <w:i w:val="0"/>
              <w:iCs w:val="0"/>
              <w:sz w:val="24"/>
              <w:szCs w:val="24"/>
              <w:lang w:eastAsia="en-GB" w:bidi="ar-SA"/>
            </w:rPr>
          </w:pPr>
          <w:hyperlink w:anchor="_Toc204981471" w:history="1">
            <w:r w:rsidRPr="00DB3279">
              <w:rPr>
                <w:rStyle w:val="Hyperlink"/>
              </w:rPr>
              <w:t>ACKNOWLEDGEMENTS</w:t>
            </w:r>
            <w:r>
              <w:rPr>
                <w:webHidden/>
              </w:rPr>
              <w:tab/>
            </w:r>
            <w:r>
              <w:rPr>
                <w:webHidden/>
              </w:rPr>
              <w:fldChar w:fldCharType="begin"/>
            </w:r>
            <w:r>
              <w:rPr>
                <w:webHidden/>
              </w:rPr>
              <w:instrText xml:space="preserve"> PAGEREF _Toc204981471 \h </w:instrText>
            </w:r>
            <w:r>
              <w:rPr>
                <w:webHidden/>
              </w:rPr>
            </w:r>
            <w:r>
              <w:rPr>
                <w:webHidden/>
              </w:rPr>
              <w:fldChar w:fldCharType="separate"/>
            </w:r>
            <w:r>
              <w:rPr>
                <w:webHidden/>
              </w:rPr>
              <w:t>4</w:t>
            </w:r>
            <w:r>
              <w:rPr>
                <w:webHidden/>
              </w:rPr>
              <w:fldChar w:fldCharType="end"/>
            </w:r>
          </w:hyperlink>
        </w:p>
        <w:p w14:paraId="7544BD6B" w14:textId="66D1598A" w:rsidR="000A45DD" w:rsidRDefault="000A45DD">
          <w:pPr>
            <w:pStyle w:val="TOC1"/>
            <w:rPr>
              <w:rFonts w:asciiTheme="minorHAnsi" w:hAnsiTheme="minorHAnsi"/>
              <w:b w:val="0"/>
              <w:bCs w:val="0"/>
              <w:i w:val="0"/>
              <w:iCs w:val="0"/>
              <w:sz w:val="24"/>
              <w:szCs w:val="24"/>
              <w:lang w:eastAsia="en-GB" w:bidi="ar-SA"/>
            </w:rPr>
          </w:pPr>
          <w:hyperlink w:anchor="_Toc204981472" w:history="1">
            <w:r w:rsidRPr="00DB3279">
              <w:rPr>
                <w:rStyle w:val="Hyperlink"/>
              </w:rPr>
              <w:t>ABSTRACT</w:t>
            </w:r>
            <w:r>
              <w:rPr>
                <w:webHidden/>
              </w:rPr>
              <w:tab/>
            </w:r>
            <w:r>
              <w:rPr>
                <w:webHidden/>
              </w:rPr>
              <w:fldChar w:fldCharType="begin"/>
            </w:r>
            <w:r>
              <w:rPr>
                <w:webHidden/>
              </w:rPr>
              <w:instrText xml:space="preserve"> PAGEREF _Toc204981472 \h </w:instrText>
            </w:r>
            <w:r>
              <w:rPr>
                <w:webHidden/>
              </w:rPr>
            </w:r>
            <w:r>
              <w:rPr>
                <w:webHidden/>
              </w:rPr>
              <w:fldChar w:fldCharType="separate"/>
            </w:r>
            <w:r>
              <w:rPr>
                <w:webHidden/>
              </w:rPr>
              <w:t>5</w:t>
            </w:r>
            <w:r>
              <w:rPr>
                <w:webHidden/>
              </w:rPr>
              <w:fldChar w:fldCharType="end"/>
            </w:r>
          </w:hyperlink>
        </w:p>
        <w:p w14:paraId="6923966C" w14:textId="224FB92E" w:rsidR="000A45DD" w:rsidRDefault="000A45DD">
          <w:pPr>
            <w:pStyle w:val="TOC1"/>
            <w:rPr>
              <w:rFonts w:asciiTheme="minorHAnsi" w:hAnsiTheme="minorHAnsi"/>
              <w:b w:val="0"/>
              <w:bCs w:val="0"/>
              <w:i w:val="0"/>
              <w:iCs w:val="0"/>
              <w:sz w:val="24"/>
              <w:szCs w:val="24"/>
              <w:lang w:eastAsia="en-GB" w:bidi="ar-SA"/>
            </w:rPr>
          </w:pPr>
          <w:hyperlink w:anchor="_Toc204981473" w:history="1">
            <w:r w:rsidRPr="00DB3279">
              <w:rPr>
                <w:rStyle w:val="Hyperlink"/>
              </w:rPr>
              <w:t>1.1 Definitions and Terminology</w:t>
            </w:r>
            <w:r>
              <w:rPr>
                <w:webHidden/>
              </w:rPr>
              <w:tab/>
            </w:r>
            <w:r>
              <w:rPr>
                <w:webHidden/>
              </w:rPr>
              <w:fldChar w:fldCharType="begin"/>
            </w:r>
            <w:r>
              <w:rPr>
                <w:webHidden/>
              </w:rPr>
              <w:instrText xml:space="preserve"> PAGEREF _Toc204981473 \h </w:instrText>
            </w:r>
            <w:r>
              <w:rPr>
                <w:webHidden/>
              </w:rPr>
            </w:r>
            <w:r>
              <w:rPr>
                <w:webHidden/>
              </w:rPr>
              <w:fldChar w:fldCharType="separate"/>
            </w:r>
            <w:r>
              <w:rPr>
                <w:webHidden/>
              </w:rPr>
              <w:t>8</w:t>
            </w:r>
            <w:r>
              <w:rPr>
                <w:webHidden/>
              </w:rPr>
              <w:fldChar w:fldCharType="end"/>
            </w:r>
          </w:hyperlink>
        </w:p>
        <w:p w14:paraId="154EA473" w14:textId="304DD550" w:rsidR="000A45DD" w:rsidRDefault="000A45DD">
          <w:pPr>
            <w:pStyle w:val="TOC1"/>
            <w:rPr>
              <w:rFonts w:asciiTheme="minorHAnsi" w:hAnsiTheme="minorHAnsi"/>
              <w:b w:val="0"/>
              <w:bCs w:val="0"/>
              <w:i w:val="0"/>
              <w:iCs w:val="0"/>
              <w:sz w:val="24"/>
              <w:szCs w:val="24"/>
              <w:lang w:eastAsia="en-GB" w:bidi="ar-SA"/>
            </w:rPr>
          </w:pPr>
          <w:hyperlink w:anchor="_Toc204981474" w:history="1">
            <w:r w:rsidRPr="00DB3279">
              <w:rPr>
                <w:rStyle w:val="Hyperlink"/>
              </w:rPr>
              <w:t>CHAPTER 1:</w:t>
            </w:r>
            <w:r>
              <w:rPr>
                <w:webHidden/>
              </w:rPr>
              <w:tab/>
            </w:r>
            <w:r>
              <w:rPr>
                <w:webHidden/>
              </w:rPr>
              <w:fldChar w:fldCharType="begin"/>
            </w:r>
            <w:r>
              <w:rPr>
                <w:webHidden/>
              </w:rPr>
              <w:instrText xml:space="preserve"> PAGEREF _Toc204981474 \h </w:instrText>
            </w:r>
            <w:r>
              <w:rPr>
                <w:webHidden/>
              </w:rPr>
            </w:r>
            <w:r>
              <w:rPr>
                <w:webHidden/>
              </w:rPr>
              <w:fldChar w:fldCharType="separate"/>
            </w:r>
            <w:r>
              <w:rPr>
                <w:webHidden/>
              </w:rPr>
              <w:t>10</w:t>
            </w:r>
            <w:r>
              <w:rPr>
                <w:webHidden/>
              </w:rPr>
              <w:fldChar w:fldCharType="end"/>
            </w:r>
          </w:hyperlink>
        </w:p>
        <w:p w14:paraId="050782E2" w14:textId="6FF7BA5D" w:rsidR="000A45DD" w:rsidRDefault="000A45DD">
          <w:pPr>
            <w:pStyle w:val="TOC2"/>
            <w:tabs>
              <w:tab w:val="right" w:leader="dot" w:pos="9016"/>
            </w:tabs>
            <w:rPr>
              <w:rFonts w:asciiTheme="minorHAnsi" w:hAnsiTheme="minorHAnsi"/>
              <w:noProof/>
              <w:sz w:val="24"/>
              <w:szCs w:val="24"/>
              <w:lang w:eastAsia="en-GB"/>
            </w:rPr>
          </w:pPr>
          <w:hyperlink w:anchor="_Toc204981475" w:history="1">
            <w:r w:rsidRPr="00DB3279">
              <w:rPr>
                <w:rStyle w:val="Hyperlink"/>
                <w:noProof/>
              </w:rPr>
              <w:t>1.2 Introduction</w:t>
            </w:r>
            <w:r>
              <w:rPr>
                <w:noProof/>
                <w:webHidden/>
              </w:rPr>
              <w:tab/>
            </w:r>
            <w:r>
              <w:rPr>
                <w:noProof/>
                <w:webHidden/>
              </w:rPr>
              <w:fldChar w:fldCharType="begin"/>
            </w:r>
            <w:r>
              <w:rPr>
                <w:noProof/>
                <w:webHidden/>
              </w:rPr>
              <w:instrText xml:space="preserve"> PAGEREF _Toc204981475 \h </w:instrText>
            </w:r>
            <w:r>
              <w:rPr>
                <w:noProof/>
                <w:webHidden/>
              </w:rPr>
            </w:r>
            <w:r>
              <w:rPr>
                <w:noProof/>
                <w:webHidden/>
              </w:rPr>
              <w:fldChar w:fldCharType="separate"/>
            </w:r>
            <w:r>
              <w:rPr>
                <w:noProof/>
                <w:webHidden/>
              </w:rPr>
              <w:t>10</w:t>
            </w:r>
            <w:r>
              <w:rPr>
                <w:noProof/>
                <w:webHidden/>
              </w:rPr>
              <w:fldChar w:fldCharType="end"/>
            </w:r>
          </w:hyperlink>
        </w:p>
        <w:p w14:paraId="0C34C6EF" w14:textId="07D29274" w:rsidR="000A45DD" w:rsidRDefault="000A45DD">
          <w:pPr>
            <w:pStyle w:val="TOC2"/>
            <w:tabs>
              <w:tab w:val="right" w:leader="dot" w:pos="9016"/>
            </w:tabs>
            <w:rPr>
              <w:rFonts w:asciiTheme="minorHAnsi" w:hAnsiTheme="minorHAnsi"/>
              <w:noProof/>
              <w:sz w:val="24"/>
              <w:szCs w:val="24"/>
              <w:lang w:eastAsia="en-GB"/>
            </w:rPr>
          </w:pPr>
          <w:hyperlink w:anchor="_Toc204981476" w:history="1">
            <w:r w:rsidRPr="00DB3279">
              <w:rPr>
                <w:rStyle w:val="Hyperlink"/>
                <w:noProof/>
              </w:rPr>
              <w:t>1.3 Rationale for Research</w:t>
            </w:r>
            <w:r>
              <w:rPr>
                <w:noProof/>
                <w:webHidden/>
              </w:rPr>
              <w:tab/>
            </w:r>
            <w:r>
              <w:rPr>
                <w:noProof/>
                <w:webHidden/>
              </w:rPr>
              <w:fldChar w:fldCharType="begin"/>
            </w:r>
            <w:r>
              <w:rPr>
                <w:noProof/>
                <w:webHidden/>
              </w:rPr>
              <w:instrText xml:space="preserve"> PAGEREF _Toc204981476 \h </w:instrText>
            </w:r>
            <w:r>
              <w:rPr>
                <w:noProof/>
                <w:webHidden/>
              </w:rPr>
            </w:r>
            <w:r>
              <w:rPr>
                <w:noProof/>
                <w:webHidden/>
              </w:rPr>
              <w:fldChar w:fldCharType="separate"/>
            </w:r>
            <w:r>
              <w:rPr>
                <w:noProof/>
                <w:webHidden/>
              </w:rPr>
              <w:t>11</w:t>
            </w:r>
            <w:r>
              <w:rPr>
                <w:noProof/>
                <w:webHidden/>
              </w:rPr>
              <w:fldChar w:fldCharType="end"/>
            </w:r>
          </w:hyperlink>
        </w:p>
        <w:p w14:paraId="5FC08674" w14:textId="7462E12A" w:rsidR="000A45DD" w:rsidRDefault="000A45DD">
          <w:pPr>
            <w:pStyle w:val="TOC2"/>
            <w:tabs>
              <w:tab w:val="right" w:leader="dot" w:pos="9016"/>
            </w:tabs>
            <w:rPr>
              <w:rFonts w:asciiTheme="minorHAnsi" w:hAnsiTheme="minorHAnsi"/>
              <w:noProof/>
              <w:sz w:val="24"/>
              <w:szCs w:val="24"/>
              <w:lang w:eastAsia="en-GB"/>
            </w:rPr>
          </w:pPr>
          <w:hyperlink w:anchor="_Toc204981477" w:history="1">
            <w:r w:rsidRPr="00DB3279">
              <w:rPr>
                <w:rStyle w:val="Hyperlink"/>
                <w:noProof/>
              </w:rPr>
              <w:t>Identified Problems and Research Gaps</w:t>
            </w:r>
            <w:r>
              <w:rPr>
                <w:noProof/>
                <w:webHidden/>
              </w:rPr>
              <w:tab/>
            </w:r>
            <w:r>
              <w:rPr>
                <w:noProof/>
                <w:webHidden/>
              </w:rPr>
              <w:fldChar w:fldCharType="begin"/>
            </w:r>
            <w:r>
              <w:rPr>
                <w:noProof/>
                <w:webHidden/>
              </w:rPr>
              <w:instrText xml:space="preserve"> PAGEREF _Toc204981477 \h </w:instrText>
            </w:r>
            <w:r>
              <w:rPr>
                <w:noProof/>
                <w:webHidden/>
              </w:rPr>
            </w:r>
            <w:r>
              <w:rPr>
                <w:noProof/>
                <w:webHidden/>
              </w:rPr>
              <w:fldChar w:fldCharType="separate"/>
            </w:r>
            <w:r>
              <w:rPr>
                <w:noProof/>
                <w:webHidden/>
              </w:rPr>
              <w:t>11</w:t>
            </w:r>
            <w:r>
              <w:rPr>
                <w:noProof/>
                <w:webHidden/>
              </w:rPr>
              <w:fldChar w:fldCharType="end"/>
            </w:r>
          </w:hyperlink>
        </w:p>
        <w:p w14:paraId="77F302DA" w14:textId="0A9E7B1C" w:rsidR="000A45DD" w:rsidRDefault="000A45DD">
          <w:pPr>
            <w:pStyle w:val="TOC2"/>
            <w:tabs>
              <w:tab w:val="right" w:leader="dot" w:pos="9016"/>
            </w:tabs>
            <w:rPr>
              <w:rFonts w:asciiTheme="minorHAnsi" w:hAnsiTheme="minorHAnsi"/>
              <w:noProof/>
              <w:sz w:val="24"/>
              <w:szCs w:val="24"/>
              <w:lang w:eastAsia="en-GB"/>
            </w:rPr>
          </w:pPr>
          <w:hyperlink w:anchor="_Toc204981478" w:history="1">
            <w:r w:rsidRPr="00DB3279">
              <w:rPr>
                <w:rStyle w:val="Hyperlink"/>
                <w:noProof/>
              </w:rPr>
              <w:t>1.4 Aim:</w:t>
            </w:r>
            <w:r>
              <w:rPr>
                <w:noProof/>
                <w:webHidden/>
              </w:rPr>
              <w:tab/>
            </w:r>
            <w:r>
              <w:rPr>
                <w:noProof/>
                <w:webHidden/>
              </w:rPr>
              <w:fldChar w:fldCharType="begin"/>
            </w:r>
            <w:r>
              <w:rPr>
                <w:noProof/>
                <w:webHidden/>
              </w:rPr>
              <w:instrText xml:space="preserve"> PAGEREF _Toc204981478 \h </w:instrText>
            </w:r>
            <w:r>
              <w:rPr>
                <w:noProof/>
                <w:webHidden/>
              </w:rPr>
            </w:r>
            <w:r>
              <w:rPr>
                <w:noProof/>
                <w:webHidden/>
              </w:rPr>
              <w:fldChar w:fldCharType="separate"/>
            </w:r>
            <w:r>
              <w:rPr>
                <w:noProof/>
                <w:webHidden/>
              </w:rPr>
              <w:t>12</w:t>
            </w:r>
            <w:r>
              <w:rPr>
                <w:noProof/>
                <w:webHidden/>
              </w:rPr>
              <w:fldChar w:fldCharType="end"/>
            </w:r>
          </w:hyperlink>
        </w:p>
        <w:p w14:paraId="40C168EB" w14:textId="0E7616A0" w:rsidR="000A45DD" w:rsidRDefault="000A45DD">
          <w:pPr>
            <w:pStyle w:val="TOC2"/>
            <w:tabs>
              <w:tab w:val="right" w:leader="dot" w:pos="9016"/>
            </w:tabs>
            <w:rPr>
              <w:rFonts w:asciiTheme="minorHAnsi" w:hAnsiTheme="minorHAnsi"/>
              <w:noProof/>
              <w:sz w:val="24"/>
              <w:szCs w:val="24"/>
              <w:lang w:eastAsia="en-GB"/>
            </w:rPr>
          </w:pPr>
          <w:hyperlink w:anchor="_Toc204981479" w:history="1">
            <w:r w:rsidRPr="00DB3279">
              <w:rPr>
                <w:rStyle w:val="Hyperlink"/>
                <w:noProof/>
              </w:rPr>
              <w:t>Objectives:</w:t>
            </w:r>
            <w:r>
              <w:rPr>
                <w:noProof/>
                <w:webHidden/>
              </w:rPr>
              <w:tab/>
            </w:r>
            <w:r>
              <w:rPr>
                <w:noProof/>
                <w:webHidden/>
              </w:rPr>
              <w:fldChar w:fldCharType="begin"/>
            </w:r>
            <w:r>
              <w:rPr>
                <w:noProof/>
                <w:webHidden/>
              </w:rPr>
              <w:instrText xml:space="preserve"> PAGEREF _Toc204981479 \h </w:instrText>
            </w:r>
            <w:r>
              <w:rPr>
                <w:noProof/>
                <w:webHidden/>
              </w:rPr>
            </w:r>
            <w:r>
              <w:rPr>
                <w:noProof/>
                <w:webHidden/>
              </w:rPr>
              <w:fldChar w:fldCharType="separate"/>
            </w:r>
            <w:r>
              <w:rPr>
                <w:noProof/>
                <w:webHidden/>
              </w:rPr>
              <w:t>12</w:t>
            </w:r>
            <w:r>
              <w:rPr>
                <w:noProof/>
                <w:webHidden/>
              </w:rPr>
              <w:fldChar w:fldCharType="end"/>
            </w:r>
          </w:hyperlink>
        </w:p>
        <w:p w14:paraId="56E2E5CC" w14:textId="5F2221B3" w:rsidR="000A45DD" w:rsidRDefault="000A45DD">
          <w:pPr>
            <w:pStyle w:val="TOC2"/>
            <w:tabs>
              <w:tab w:val="right" w:leader="dot" w:pos="9016"/>
            </w:tabs>
            <w:rPr>
              <w:rFonts w:asciiTheme="minorHAnsi" w:hAnsiTheme="minorHAnsi"/>
              <w:noProof/>
              <w:sz w:val="24"/>
              <w:szCs w:val="24"/>
              <w:lang w:eastAsia="en-GB"/>
            </w:rPr>
          </w:pPr>
          <w:hyperlink w:anchor="_Toc204981480" w:history="1">
            <w:r w:rsidRPr="00DB3279">
              <w:rPr>
                <w:rStyle w:val="Hyperlink"/>
                <w:noProof/>
              </w:rPr>
              <w:t>1.5 Conclusion:</w:t>
            </w:r>
            <w:r>
              <w:rPr>
                <w:noProof/>
                <w:webHidden/>
              </w:rPr>
              <w:tab/>
            </w:r>
            <w:r>
              <w:rPr>
                <w:noProof/>
                <w:webHidden/>
              </w:rPr>
              <w:fldChar w:fldCharType="begin"/>
            </w:r>
            <w:r>
              <w:rPr>
                <w:noProof/>
                <w:webHidden/>
              </w:rPr>
              <w:instrText xml:space="preserve"> PAGEREF _Toc204981480 \h </w:instrText>
            </w:r>
            <w:r>
              <w:rPr>
                <w:noProof/>
                <w:webHidden/>
              </w:rPr>
            </w:r>
            <w:r>
              <w:rPr>
                <w:noProof/>
                <w:webHidden/>
              </w:rPr>
              <w:fldChar w:fldCharType="separate"/>
            </w:r>
            <w:r>
              <w:rPr>
                <w:noProof/>
                <w:webHidden/>
              </w:rPr>
              <w:t>13</w:t>
            </w:r>
            <w:r>
              <w:rPr>
                <w:noProof/>
                <w:webHidden/>
              </w:rPr>
              <w:fldChar w:fldCharType="end"/>
            </w:r>
          </w:hyperlink>
        </w:p>
        <w:p w14:paraId="5996A890" w14:textId="5F317C5A" w:rsidR="000A45DD" w:rsidRDefault="000A45DD">
          <w:pPr>
            <w:pStyle w:val="TOC2"/>
            <w:tabs>
              <w:tab w:val="right" w:leader="dot" w:pos="9016"/>
            </w:tabs>
            <w:rPr>
              <w:rFonts w:asciiTheme="minorHAnsi" w:hAnsiTheme="minorHAnsi"/>
              <w:noProof/>
              <w:sz w:val="24"/>
              <w:szCs w:val="24"/>
              <w:lang w:eastAsia="en-GB"/>
            </w:rPr>
          </w:pPr>
          <w:hyperlink w:anchor="_Toc204981481" w:history="1">
            <w:r w:rsidRPr="00DB3279">
              <w:rPr>
                <w:rStyle w:val="Hyperlink"/>
                <w:noProof/>
              </w:rPr>
              <w:t>Signposting to Chapter 2</w:t>
            </w:r>
            <w:r>
              <w:rPr>
                <w:noProof/>
                <w:webHidden/>
              </w:rPr>
              <w:tab/>
            </w:r>
            <w:r>
              <w:rPr>
                <w:noProof/>
                <w:webHidden/>
              </w:rPr>
              <w:fldChar w:fldCharType="begin"/>
            </w:r>
            <w:r>
              <w:rPr>
                <w:noProof/>
                <w:webHidden/>
              </w:rPr>
              <w:instrText xml:space="preserve"> PAGEREF _Toc204981481 \h </w:instrText>
            </w:r>
            <w:r>
              <w:rPr>
                <w:noProof/>
                <w:webHidden/>
              </w:rPr>
            </w:r>
            <w:r>
              <w:rPr>
                <w:noProof/>
                <w:webHidden/>
              </w:rPr>
              <w:fldChar w:fldCharType="separate"/>
            </w:r>
            <w:r>
              <w:rPr>
                <w:noProof/>
                <w:webHidden/>
              </w:rPr>
              <w:t>13</w:t>
            </w:r>
            <w:r>
              <w:rPr>
                <w:noProof/>
                <w:webHidden/>
              </w:rPr>
              <w:fldChar w:fldCharType="end"/>
            </w:r>
          </w:hyperlink>
        </w:p>
        <w:p w14:paraId="03CD73E8" w14:textId="2BBC7B51" w:rsidR="000A45DD" w:rsidRDefault="000A45DD">
          <w:pPr>
            <w:pStyle w:val="TOC1"/>
            <w:rPr>
              <w:rFonts w:asciiTheme="minorHAnsi" w:hAnsiTheme="minorHAnsi"/>
              <w:b w:val="0"/>
              <w:bCs w:val="0"/>
              <w:i w:val="0"/>
              <w:iCs w:val="0"/>
              <w:sz w:val="24"/>
              <w:szCs w:val="24"/>
              <w:lang w:eastAsia="en-GB" w:bidi="ar-SA"/>
            </w:rPr>
          </w:pPr>
          <w:hyperlink w:anchor="_Toc204981482" w:history="1">
            <w:r w:rsidRPr="00DB3279">
              <w:rPr>
                <w:rStyle w:val="Hyperlink"/>
              </w:rPr>
              <w:t>CHAPTER 2 – Background Information and Analysis</w:t>
            </w:r>
            <w:r>
              <w:rPr>
                <w:webHidden/>
              </w:rPr>
              <w:tab/>
            </w:r>
            <w:r>
              <w:rPr>
                <w:webHidden/>
              </w:rPr>
              <w:fldChar w:fldCharType="begin"/>
            </w:r>
            <w:r>
              <w:rPr>
                <w:webHidden/>
              </w:rPr>
              <w:instrText xml:space="preserve"> PAGEREF _Toc204981482 \h </w:instrText>
            </w:r>
            <w:r>
              <w:rPr>
                <w:webHidden/>
              </w:rPr>
            </w:r>
            <w:r>
              <w:rPr>
                <w:webHidden/>
              </w:rPr>
              <w:fldChar w:fldCharType="separate"/>
            </w:r>
            <w:r>
              <w:rPr>
                <w:webHidden/>
              </w:rPr>
              <w:t>13</w:t>
            </w:r>
            <w:r>
              <w:rPr>
                <w:webHidden/>
              </w:rPr>
              <w:fldChar w:fldCharType="end"/>
            </w:r>
          </w:hyperlink>
        </w:p>
        <w:p w14:paraId="7BE44BB7" w14:textId="67E12846" w:rsidR="000A45DD" w:rsidRDefault="000A45DD">
          <w:pPr>
            <w:pStyle w:val="TOC2"/>
            <w:tabs>
              <w:tab w:val="right" w:leader="dot" w:pos="9016"/>
            </w:tabs>
            <w:rPr>
              <w:rFonts w:asciiTheme="minorHAnsi" w:hAnsiTheme="minorHAnsi"/>
              <w:noProof/>
              <w:sz w:val="24"/>
              <w:szCs w:val="24"/>
              <w:lang w:eastAsia="en-GB"/>
            </w:rPr>
          </w:pPr>
          <w:hyperlink w:anchor="_Toc204981483" w:history="1">
            <w:r w:rsidRPr="00DB3279">
              <w:rPr>
                <w:rStyle w:val="Hyperlink"/>
                <w:noProof/>
              </w:rPr>
              <w:t>2.1 Introduction</w:t>
            </w:r>
            <w:r>
              <w:rPr>
                <w:noProof/>
                <w:webHidden/>
              </w:rPr>
              <w:tab/>
            </w:r>
            <w:r>
              <w:rPr>
                <w:noProof/>
                <w:webHidden/>
              </w:rPr>
              <w:fldChar w:fldCharType="begin"/>
            </w:r>
            <w:r>
              <w:rPr>
                <w:noProof/>
                <w:webHidden/>
              </w:rPr>
              <w:instrText xml:space="preserve"> PAGEREF _Toc204981483 \h </w:instrText>
            </w:r>
            <w:r>
              <w:rPr>
                <w:noProof/>
                <w:webHidden/>
              </w:rPr>
            </w:r>
            <w:r>
              <w:rPr>
                <w:noProof/>
                <w:webHidden/>
              </w:rPr>
              <w:fldChar w:fldCharType="separate"/>
            </w:r>
            <w:r>
              <w:rPr>
                <w:noProof/>
                <w:webHidden/>
              </w:rPr>
              <w:t>13</w:t>
            </w:r>
            <w:r>
              <w:rPr>
                <w:noProof/>
                <w:webHidden/>
              </w:rPr>
              <w:fldChar w:fldCharType="end"/>
            </w:r>
          </w:hyperlink>
        </w:p>
        <w:p w14:paraId="0039B3C7" w14:textId="1060F6FA" w:rsidR="000A45DD" w:rsidRDefault="000A45DD">
          <w:pPr>
            <w:pStyle w:val="TOC2"/>
            <w:tabs>
              <w:tab w:val="right" w:leader="dot" w:pos="9016"/>
            </w:tabs>
            <w:rPr>
              <w:rFonts w:asciiTheme="minorHAnsi" w:hAnsiTheme="minorHAnsi"/>
              <w:noProof/>
              <w:sz w:val="24"/>
              <w:szCs w:val="24"/>
              <w:lang w:eastAsia="en-GB"/>
            </w:rPr>
          </w:pPr>
          <w:hyperlink w:anchor="_Toc204981484" w:history="1">
            <w:r w:rsidRPr="00DB3279">
              <w:rPr>
                <w:rStyle w:val="Hyperlink"/>
                <w:noProof/>
              </w:rPr>
              <w:t>2.2 Historical Background</w:t>
            </w:r>
            <w:r>
              <w:rPr>
                <w:noProof/>
                <w:webHidden/>
              </w:rPr>
              <w:tab/>
            </w:r>
            <w:r>
              <w:rPr>
                <w:noProof/>
                <w:webHidden/>
              </w:rPr>
              <w:fldChar w:fldCharType="begin"/>
            </w:r>
            <w:r>
              <w:rPr>
                <w:noProof/>
                <w:webHidden/>
              </w:rPr>
              <w:instrText xml:space="preserve"> PAGEREF _Toc204981484 \h </w:instrText>
            </w:r>
            <w:r>
              <w:rPr>
                <w:noProof/>
                <w:webHidden/>
              </w:rPr>
            </w:r>
            <w:r>
              <w:rPr>
                <w:noProof/>
                <w:webHidden/>
              </w:rPr>
              <w:fldChar w:fldCharType="separate"/>
            </w:r>
            <w:r>
              <w:rPr>
                <w:noProof/>
                <w:webHidden/>
              </w:rPr>
              <w:t>14</w:t>
            </w:r>
            <w:r>
              <w:rPr>
                <w:noProof/>
                <w:webHidden/>
              </w:rPr>
              <w:fldChar w:fldCharType="end"/>
            </w:r>
          </w:hyperlink>
        </w:p>
        <w:p w14:paraId="40B29C5B" w14:textId="6B3852AD" w:rsidR="000A45DD" w:rsidRDefault="000A45DD">
          <w:pPr>
            <w:pStyle w:val="TOC2"/>
            <w:tabs>
              <w:tab w:val="right" w:leader="dot" w:pos="9016"/>
            </w:tabs>
            <w:rPr>
              <w:rFonts w:asciiTheme="minorHAnsi" w:hAnsiTheme="minorHAnsi"/>
              <w:noProof/>
              <w:sz w:val="24"/>
              <w:szCs w:val="24"/>
              <w:lang w:eastAsia="en-GB"/>
            </w:rPr>
          </w:pPr>
          <w:hyperlink w:anchor="_Toc204981485" w:history="1">
            <w:r w:rsidRPr="00DB3279">
              <w:rPr>
                <w:rStyle w:val="Hyperlink"/>
                <w:noProof/>
              </w:rPr>
              <w:t>2.3 Theoretical Background</w:t>
            </w:r>
            <w:r>
              <w:rPr>
                <w:noProof/>
                <w:webHidden/>
              </w:rPr>
              <w:tab/>
            </w:r>
            <w:r>
              <w:rPr>
                <w:noProof/>
                <w:webHidden/>
              </w:rPr>
              <w:fldChar w:fldCharType="begin"/>
            </w:r>
            <w:r>
              <w:rPr>
                <w:noProof/>
                <w:webHidden/>
              </w:rPr>
              <w:instrText xml:space="preserve"> PAGEREF _Toc204981485 \h </w:instrText>
            </w:r>
            <w:r>
              <w:rPr>
                <w:noProof/>
                <w:webHidden/>
              </w:rPr>
            </w:r>
            <w:r>
              <w:rPr>
                <w:noProof/>
                <w:webHidden/>
              </w:rPr>
              <w:fldChar w:fldCharType="separate"/>
            </w:r>
            <w:r>
              <w:rPr>
                <w:noProof/>
                <w:webHidden/>
              </w:rPr>
              <w:t>15</w:t>
            </w:r>
            <w:r>
              <w:rPr>
                <w:noProof/>
                <w:webHidden/>
              </w:rPr>
              <w:fldChar w:fldCharType="end"/>
            </w:r>
          </w:hyperlink>
        </w:p>
        <w:p w14:paraId="1F251858" w14:textId="2C6BF5CA" w:rsidR="000A45DD" w:rsidRDefault="000A45DD">
          <w:pPr>
            <w:pStyle w:val="TOC2"/>
            <w:tabs>
              <w:tab w:val="right" w:leader="dot" w:pos="9016"/>
            </w:tabs>
            <w:rPr>
              <w:rFonts w:asciiTheme="minorHAnsi" w:hAnsiTheme="minorHAnsi"/>
              <w:noProof/>
              <w:sz w:val="24"/>
              <w:szCs w:val="24"/>
              <w:lang w:eastAsia="en-GB"/>
            </w:rPr>
          </w:pPr>
          <w:hyperlink w:anchor="_Toc204981486" w:history="1">
            <w:r w:rsidRPr="00DB3279">
              <w:rPr>
                <w:rStyle w:val="Hyperlink"/>
                <w:noProof/>
              </w:rPr>
              <w:t>2.4 International Context</w:t>
            </w:r>
            <w:r>
              <w:rPr>
                <w:noProof/>
                <w:webHidden/>
              </w:rPr>
              <w:tab/>
            </w:r>
            <w:r>
              <w:rPr>
                <w:noProof/>
                <w:webHidden/>
              </w:rPr>
              <w:fldChar w:fldCharType="begin"/>
            </w:r>
            <w:r>
              <w:rPr>
                <w:noProof/>
                <w:webHidden/>
              </w:rPr>
              <w:instrText xml:space="preserve"> PAGEREF _Toc204981486 \h </w:instrText>
            </w:r>
            <w:r>
              <w:rPr>
                <w:noProof/>
                <w:webHidden/>
              </w:rPr>
            </w:r>
            <w:r>
              <w:rPr>
                <w:noProof/>
                <w:webHidden/>
              </w:rPr>
              <w:fldChar w:fldCharType="separate"/>
            </w:r>
            <w:r>
              <w:rPr>
                <w:noProof/>
                <w:webHidden/>
              </w:rPr>
              <w:t>17</w:t>
            </w:r>
            <w:r>
              <w:rPr>
                <w:noProof/>
                <w:webHidden/>
              </w:rPr>
              <w:fldChar w:fldCharType="end"/>
            </w:r>
          </w:hyperlink>
        </w:p>
        <w:p w14:paraId="6D239C31" w14:textId="3BE7AB74" w:rsidR="000A45DD" w:rsidRDefault="000A45DD">
          <w:pPr>
            <w:pStyle w:val="TOC2"/>
            <w:tabs>
              <w:tab w:val="right" w:leader="dot" w:pos="9016"/>
            </w:tabs>
            <w:rPr>
              <w:rFonts w:asciiTheme="minorHAnsi" w:hAnsiTheme="minorHAnsi"/>
              <w:noProof/>
              <w:sz w:val="24"/>
              <w:szCs w:val="24"/>
              <w:lang w:eastAsia="en-GB"/>
            </w:rPr>
          </w:pPr>
          <w:hyperlink w:anchor="_Toc204981487" w:history="1">
            <w:r w:rsidRPr="00DB3279">
              <w:rPr>
                <w:rStyle w:val="Hyperlink"/>
                <w:noProof/>
              </w:rPr>
              <w:t>2.5 National/Local UK Context</w:t>
            </w:r>
            <w:r>
              <w:rPr>
                <w:noProof/>
                <w:webHidden/>
              </w:rPr>
              <w:tab/>
            </w:r>
            <w:r>
              <w:rPr>
                <w:noProof/>
                <w:webHidden/>
              </w:rPr>
              <w:fldChar w:fldCharType="begin"/>
            </w:r>
            <w:r>
              <w:rPr>
                <w:noProof/>
                <w:webHidden/>
              </w:rPr>
              <w:instrText xml:space="preserve"> PAGEREF _Toc204981487 \h </w:instrText>
            </w:r>
            <w:r>
              <w:rPr>
                <w:noProof/>
                <w:webHidden/>
              </w:rPr>
            </w:r>
            <w:r>
              <w:rPr>
                <w:noProof/>
                <w:webHidden/>
              </w:rPr>
              <w:fldChar w:fldCharType="separate"/>
            </w:r>
            <w:r>
              <w:rPr>
                <w:noProof/>
                <w:webHidden/>
              </w:rPr>
              <w:t>18</w:t>
            </w:r>
            <w:r>
              <w:rPr>
                <w:noProof/>
                <w:webHidden/>
              </w:rPr>
              <w:fldChar w:fldCharType="end"/>
            </w:r>
          </w:hyperlink>
        </w:p>
        <w:p w14:paraId="0A2BF4CC" w14:textId="19985AE9" w:rsidR="000A45DD" w:rsidRDefault="000A45DD">
          <w:pPr>
            <w:pStyle w:val="TOC2"/>
            <w:tabs>
              <w:tab w:val="right" w:leader="dot" w:pos="9016"/>
            </w:tabs>
            <w:rPr>
              <w:rFonts w:asciiTheme="minorHAnsi" w:hAnsiTheme="minorHAnsi"/>
              <w:noProof/>
              <w:sz w:val="24"/>
              <w:szCs w:val="24"/>
              <w:lang w:eastAsia="en-GB"/>
            </w:rPr>
          </w:pPr>
          <w:hyperlink w:anchor="_Toc204981488" w:history="1">
            <w:r w:rsidRPr="00DB3279">
              <w:rPr>
                <w:rStyle w:val="Hyperlink"/>
                <w:noProof/>
              </w:rPr>
              <w:t>2.6 Conclusion</w:t>
            </w:r>
            <w:r>
              <w:rPr>
                <w:noProof/>
                <w:webHidden/>
              </w:rPr>
              <w:tab/>
            </w:r>
            <w:r>
              <w:rPr>
                <w:noProof/>
                <w:webHidden/>
              </w:rPr>
              <w:fldChar w:fldCharType="begin"/>
            </w:r>
            <w:r>
              <w:rPr>
                <w:noProof/>
                <w:webHidden/>
              </w:rPr>
              <w:instrText xml:space="preserve"> PAGEREF _Toc204981488 \h </w:instrText>
            </w:r>
            <w:r>
              <w:rPr>
                <w:noProof/>
                <w:webHidden/>
              </w:rPr>
            </w:r>
            <w:r>
              <w:rPr>
                <w:noProof/>
                <w:webHidden/>
              </w:rPr>
              <w:fldChar w:fldCharType="separate"/>
            </w:r>
            <w:r>
              <w:rPr>
                <w:noProof/>
                <w:webHidden/>
              </w:rPr>
              <w:t>19</w:t>
            </w:r>
            <w:r>
              <w:rPr>
                <w:noProof/>
                <w:webHidden/>
              </w:rPr>
              <w:fldChar w:fldCharType="end"/>
            </w:r>
          </w:hyperlink>
        </w:p>
        <w:p w14:paraId="535AE64A" w14:textId="462783D4" w:rsidR="000A45DD" w:rsidRDefault="000A45DD">
          <w:pPr>
            <w:pStyle w:val="TOC1"/>
            <w:rPr>
              <w:rFonts w:asciiTheme="minorHAnsi" w:hAnsiTheme="minorHAnsi"/>
              <w:b w:val="0"/>
              <w:bCs w:val="0"/>
              <w:i w:val="0"/>
              <w:iCs w:val="0"/>
              <w:sz w:val="24"/>
              <w:szCs w:val="24"/>
              <w:lang w:eastAsia="en-GB" w:bidi="ar-SA"/>
            </w:rPr>
          </w:pPr>
          <w:hyperlink w:anchor="_Toc204981489" w:history="1">
            <w:r w:rsidRPr="00DB3279">
              <w:rPr>
                <w:rStyle w:val="Hyperlink"/>
              </w:rPr>
              <w:t>CHAPTER 3 – Methods and Search Strategy</w:t>
            </w:r>
            <w:r>
              <w:rPr>
                <w:webHidden/>
              </w:rPr>
              <w:tab/>
            </w:r>
            <w:r>
              <w:rPr>
                <w:webHidden/>
              </w:rPr>
              <w:fldChar w:fldCharType="begin"/>
            </w:r>
            <w:r>
              <w:rPr>
                <w:webHidden/>
              </w:rPr>
              <w:instrText xml:space="preserve"> PAGEREF _Toc204981489 \h </w:instrText>
            </w:r>
            <w:r>
              <w:rPr>
                <w:webHidden/>
              </w:rPr>
            </w:r>
            <w:r>
              <w:rPr>
                <w:webHidden/>
              </w:rPr>
              <w:fldChar w:fldCharType="separate"/>
            </w:r>
            <w:r>
              <w:rPr>
                <w:webHidden/>
              </w:rPr>
              <w:t>20</w:t>
            </w:r>
            <w:r>
              <w:rPr>
                <w:webHidden/>
              </w:rPr>
              <w:fldChar w:fldCharType="end"/>
            </w:r>
          </w:hyperlink>
        </w:p>
        <w:p w14:paraId="614176DA" w14:textId="19EF8913" w:rsidR="000A45DD" w:rsidRDefault="000A45DD">
          <w:pPr>
            <w:pStyle w:val="TOC2"/>
            <w:tabs>
              <w:tab w:val="right" w:leader="dot" w:pos="9016"/>
            </w:tabs>
            <w:rPr>
              <w:rFonts w:asciiTheme="minorHAnsi" w:hAnsiTheme="minorHAnsi"/>
              <w:noProof/>
              <w:sz w:val="24"/>
              <w:szCs w:val="24"/>
              <w:lang w:eastAsia="en-GB"/>
            </w:rPr>
          </w:pPr>
          <w:hyperlink w:anchor="_Toc204981490" w:history="1">
            <w:r w:rsidRPr="00DB3279">
              <w:rPr>
                <w:rStyle w:val="Hyperlink"/>
                <w:noProof/>
              </w:rPr>
              <w:t>3.1 Introduction</w:t>
            </w:r>
            <w:r>
              <w:rPr>
                <w:noProof/>
                <w:webHidden/>
              </w:rPr>
              <w:tab/>
            </w:r>
            <w:r>
              <w:rPr>
                <w:noProof/>
                <w:webHidden/>
              </w:rPr>
              <w:fldChar w:fldCharType="begin"/>
            </w:r>
            <w:r>
              <w:rPr>
                <w:noProof/>
                <w:webHidden/>
              </w:rPr>
              <w:instrText xml:space="preserve"> PAGEREF _Toc204981490 \h </w:instrText>
            </w:r>
            <w:r>
              <w:rPr>
                <w:noProof/>
                <w:webHidden/>
              </w:rPr>
            </w:r>
            <w:r>
              <w:rPr>
                <w:noProof/>
                <w:webHidden/>
              </w:rPr>
              <w:fldChar w:fldCharType="separate"/>
            </w:r>
            <w:r>
              <w:rPr>
                <w:noProof/>
                <w:webHidden/>
              </w:rPr>
              <w:t>20</w:t>
            </w:r>
            <w:r>
              <w:rPr>
                <w:noProof/>
                <w:webHidden/>
              </w:rPr>
              <w:fldChar w:fldCharType="end"/>
            </w:r>
          </w:hyperlink>
        </w:p>
        <w:p w14:paraId="27797E76" w14:textId="2D392B76" w:rsidR="000A45DD" w:rsidRDefault="000A45DD">
          <w:pPr>
            <w:pStyle w:val="TOC2"/>
            <w:tabs>
              <w:tab w:val="right" w:leader="dot" w:pos="9016"/>
            </w:tabs>
            <w:rPr>
              <w:rFonts w:asciiTheme="minorHAnsi" w:hAnsiTheme="minorHAnsi"/>
              <w:noProof/>
              <w:sz w:val="24"/>
              <w:szCs w:val="24"/>
              <w:lang w:eastAsia="en-GB"/>
            </w:rPr>
          </w:pPr>
          <w:hyperlink w:anchor="_Toc204981491" w:history="1">
            <w:r w:rsidRPr="00DB3279">
              <w:rPr>
                <w:rStyle w:val="Hyperlink"/>
                <w:noProof/>
              </w:rPr>
              <w:t>3.2 Search Strategy</w:t>
            </w:r>
            <w:r>
              <w:rPr>
                <w:noProof/>
                <w:webHidden/>
              </w:rPr>
              <w:tab/>
            </w:r>
            <w:r>
              <w:rPr>
                <w:noProof/>
                <w:webHidden/>
              </w:rPr>
              <w:fldChar w:fldCharType="begin"/>
            </w:r>
            <w:r>
              <w:rPr>
                <w:noProof/>
                <w:webHidden/>
              </w:rPr>
              <w:instrText xml:space="preserve"> PAGEREF _Toc204981491 \h </w:instrText>
            </w:r>
            <w:r>
              <w:rPr>
                <w:noProof/>
                <w:webHidden/>
              </w:rPr>
            </w:r>
            <w:r>
              <w:rPr>
                <w:noProof/>
                <w:webHidden/>
              </w:rPr>
              <w:fldChar w:fldCharType="separate"/>
            </w:r>
            <w:r>
              <w:rPr>
                <w:noProof/>
                <w:webHidden/>
              </w:rPr>
              <w:t>20</w:t>
            </w:r>
            <w:r>
              <w:rPr>
                <w:noProof/>
                <w:webHidden/>
              </w:rPr>
              <w:fldChar w:fldCharType="end"/>
            </w:r>
          </w:hyperlink>
        </w:p>
        <w:p w14:paraId="7AF5329B" w14:textId="455C871A" w:rsidR="000A45DD" w:rsidRDefault="000A45DD">
          <w:pPr>
            <w:pStyle w:val="TOC2"/>
            <w:tabs>
              <w:tab w:val="left" w:pos="960"/>
              <w:tab w:val="right" w:leader="dot" w:pos="9016"/>
            </w:tabs>
            <w:rPr>
              <w:rFonts w:asciiTheme="minorHAnsi" w:hAnsiTheme="minorHAnsi"/>
              <w:noProof/>
              <w:sz w:val="24"/>
              <w:szCs w:val="24"/>
              <w:lang w:eastAsia="en-GB"/>
            </w:rPr>
          </w:pPr>
          <w:hyperlink w:anchor="_Toc204981492" w:history="1">
            <w:r w:rsidRPr="00DB3279">
              <w:rPr>
                <w:rStyle w:val="Hyperlink"/>
                <w:noProof/>
              </w:rPr>
              <w:t>3.3</w:t>
            </w:r>
            <w:r>
              <w:rPr>
                <w:rFonts w:asciiTheme="minorHAnsi" w:hAnsiTheme="minorHAnsi"/>
                <w:noProof/>
                <w:sz w:val="24"/>
                <w:szCs w:val="24"/>
                <w:lang w:eastAsia="en-GB"/>
              </w:rPr>
              <w:tab/>
            </w:r>
            <w:r w:rsidRPr="00DB3279">
              <w:rPr>
                <w:rStyle w:val="Hyperlink"/>
                <w:noProof/>
              </w:rPr>
              <w:t>Searching for Information</w:t>
            </w:r>
            <w:r>
              <w:rPr>
                <w:noProof/>
                <w:webHidden/>
              </w:rPr>
              <w:tab/>
            </w:r>
            <w:r>
              <w:rPr>
                <w:noProof/>
                <w:webHidden/>
              </w:rPr>
              <w:fldChar w:fldCharType="begin"/>
            </w:r>
            <w:r>
              <w:rPr>
                <w:noProof/>
                <w:webHidden/>
              </w:rPr>
              <w:instrText xml:space="preserve"> PAGEREF _Toc204981492 \h </w:instrText>
            </w:r>
            <w:r>
              <w:rPr>
                <w:noProof/>
                <w:webHidden/>
              </w:rPr>
            </w:r>
            <w:r>
              <w:rPr>
                <w:noProof/>
                <w:webHidden/>
              </w:rPr>
              <w:fldChar w:fldCharType="separate"/>
            </w:r>
            <w:r>
              <w:rPr>
                <w:noProof/>
                <w:webHidden/>
              </w:rPr>
              <w:t>21</w:t>
            </w:r>
            <w:r>
              <w:rPr>
                <w:noProof/>
                <w:webHidden/>
              </w:rPr>
              <w:fldChar w:fldCharType="end"/>
            </w:r>
          </w:hyperlink>
        </w:p>
        <w:p w14:paraId="2BA357ED" w14:textId="6D5C0738" w:rsidR="000A45DD" w:rsidRDefault="000A45DD">
          <w:pPr>
            <w:pStyle w:val="TOC2"/>
            <w:tabs>
              <w:tab w:val="left" w:pos="960"/>
              <w:tab w:val="right" w:leader="dot" w:pos="9016"/>
            </w:tabs>
            <w:rPr>
              <w:rFonts w:asciiTheme="minorHAnsi" w:hAnsiTheme="minorHAnsi"/>
              <w:noProof/>
              <w:sz w:val="24"/>
              <w:szCs w:val="24"/>
              <w:lang w:eastAsia="en-GB"/>
            </w:rPr>
          </w:pPr>
          <w:hyperlink w:anchor="_Toc204981493" w:history="1">
            <w:r w:rsidRPr="00DB3279">
              <w:rPr>
                <w:rStyle w:val="Hyperlink"/>
                <w:noProof/>
              </w:rPr>
              <w:t>3.4</w:t>
            </w:r>
            <w:r>
              <w:rPr>
                <w:rFonts w:asciiTheme="minorHAnsi" w:hAnsiTheme="minorHAnsi"/>
                <w:noProof/>
                <w:sz w:val="24"/>
                <w:szCs w:val="24"/>
                <w:lang w:eastAsia="en-GB"/>
              </w:rPr>
              <w:tab/>
            </w:r>
            <w:r w:rsidRPr="00DB3279">
              <w:rPr>
                <w:rStyle w:val="Hyperlink"/>
                <w:noProof/>
              </w:rPr>
              <w:t>Research Validation</w:t>
            </w:r>
            <w:r>
              <w:rPr>
                <w:noProof/>
                <w:webHidden/>
              </w:rPr>
              <w:tab/>
            </w:r>
            <w:r>
              <w:rPr>
                <w:noProof/>
                <w:webHidden/>
              </w:rPr>
              <w:fldChar w:fldCharType="begin"/>
            </w:r>
            <w:r>
              <w:rPr>
                <w:noProof/>
                <w:webHidden/>
              </w:rPr>
              <w:instrText xml:space="preserve"> PAGEREF _Toc204981493 \h </w:instrText>
            </w:r>
            <w:r>
              <w:rPr>
                <w:noProof/>
                <w:webHidden/>
              </w:rPr>
            </w:r>
            <w:r>
              <w:rPr>
                <w:noProof/>
                <w:webHidden/>
              </w:rPr>
              <w:fldChar w:fldCharType="separate"/>
            </w:r>
            <w:r>
              <w:rPr>
                <w:noProof/>
                <w:webHidden/>
              </w:rPr>
              <w:t>22</w:t>
            </w:r>
            <w:r>
              <w:rPr>
                <w:noProof/>
                <w:webHidden/>
              </w:rPr>
              <w:fldChar w:fldCharType="end"/>
            </w:r>
          </w:hyperlink>
        </w:p>
        <w:p w14:paraId="3470DD10" w14:textId="25BE6486" w:rsidR="000A45DD" w:rsidRDefault="000A45DD">
          <w:pPr>
            <w:pStyle w:val="TOC2"/>
            <w:tabs>
              <w:tab w:val="left" w:pos="960"/>
              <w:tab w:val="right" w:leader="dot" w:pos="9016"/>
            </w:tabs>
            <w:rPr>
              <w:rFonts w:asciiTheme="minorHAnsi" w:hAnsiTheme="minorHAnsi"/>
              <w:noProof/>
              <w:sz w:val="24"/>
              <w:szCs w:val="24"/>
              <w:lang w:eastAsia="en-GB"/>
            </w:rPr>
          </w:pPr>
          <w:hyperlink w:anchor="_Toc204981494" w:history="1">
            <w:r w:rsidRPr="00DB3279">
              <w:rPr>
                <w:rStyle w:val="Hyperlink"/>
                <w:noProof/>
              </w:rPr>
              <w:t>3.5</w:t>
            </w:r>
            <w:r>
              <w:rPr>
                <w:rFonts w:asciiTheme="minorHAnsi" w:hAnsiTheme="minorHAnsi"/>
                <w:noProof/>
                <w:sz w:val="24"/>
                <w:szCs w:val="24"/>
                <w:lang w:eastAsia="en-GB"/>
              </w:rPr>
              <w:tab/>
            </w:r>
            <w:r w:rsidRPr="00DB3279">
              <w:rPr>
                <w:rStyle w:val="Hyperlink"/>
                <w:noProof/>
              </w:rPr>
              <w:t>Inclusion and Exclusion Criteria</w:t>
            </w:r>
            <w:r>
              <w:rPr>
                <w:noProof/>
                <w:webHidden/>
              </w:rPr>
              <w:tab/>
            </w:r>
            <w:r>
              <w:rPr>
                <w:noProof/>
                <w:webHidden/>
              </w:rPr>
              <w:fldChar w:fldCharType="begin"/>
            </w:r>
            <w:r>
              <w:rPr>
                <w:noProof/>
                <w:webHidden/>
              </w:rPr>
              <w:instrText xml:space="preserve"> PAGEREF _Toc204981494 \h </w:instrText>
            </w:r>
            <w:r>
              <w:rPr>
                <w:noProof/>
                <w:webHidden/>
              </w:rPr>
            </w:r>
            <w:r>
              <w:rPr>
                <w:noProof/>
                <w:webHidden/>
              </w:rPr>
              <w:fldChar w:fldCharType="separate"/>
            </w:r>
            <w:r>
              <w:rPr>
                <w:noProof/>
                <w:webHidden/>
              </w:rPr>
              <w:t>22</w:t>
            </w:r>
            <w:r>
              <w:rPr>
                <w:noProof/>
                <w:webHidden/>
              </w:rPr>
              <w:fldChar w:fldCharType="end"/>
            </w:r>
          </w:hyperlink>
        </w:p>
        <w:p w14:paraId="68DD90F7" w14:textId="2371AB65" w:rsidR="000A45DD" w:rsidRDefault="000A45DD">
          <w:pPr>
            <w:pStyle w:val="TOC2"/>
            <w:tabs>
              <w:tab w:val="left" w:pos="960"/>
              <w:tab w:val="right" w:leader="dot" w:pos="9016"/>
            </w:tabs>
            <w:rPr>
              <w:rFonts w:asciiTheme="minorHAnsi" w:hAnsiTheme="minorHAnsi"/>
              <w:noProof/>
              <w:sz w:val="24"/>
              <w:szCs w:val="24"/>
              <w:lang w:eastAsia="en-GB"/>
            </w:rPr>
          </w:pPr>
          <w:hyperlink w:anchor="_Toc204981495" w:history="1">
            <w:r w:rsidRPr="00DB3279">
              <w:rPr>
                <w:rStyle w:val="Hyperlink"/>
                <w:noProof/>
              </w:rPr>
              <w:t>3.6</w:t>
            </w:r>
            <w:r>
              <w:rPr>
                <w:rFonts w:asciiTheme="minorHAnsi" w:hAnsiTheme="minorHAnsi"/>
                <w:noProof/>
                <w:sz w:val="24"/>
                <w:szCs w:val="24"/>
                <w:lang w:eastAsia="en-GB"/>
              </w:rPr>
              <w:tab/>
            </w:r>
            <w:r w:rsidRPr="00DB3279">
              <w:rPr>
                <w:rStyle w:val="Hyperlink"/>
                <w:noProof/>
              </w:rPr>
              <w:t>Analysing Research</w:t>
            </w:r>
            <w:r>
              <w:rPr>
                <w:noProof/>
                <w:webHidden/>
              </w:rPr>
              <w:tab/>
            </w:r>
            <w:r>
              <w:rPr>
                <w:noProof/>
                <w:webHidden/>
              </w:rPr>
              <w:fldChar w:fldCharType="begin"/>
            </w:r>
            <w:r>
              <w:rPr>
                <w:noProof/>
                <w:webHidden/>
              </w:rPr>
              <w:instrText xml:space="preserve"> PAGEREF _Toc204981495 \h </w:instrText>
            </w:r>
            <w:r>
              <w:rPr>
                <w:noProof/>
                <w:webHidden/>
              </w:rPr>
            </w:r>
            <w:r>
              <w:rPr>
                <w:noProof/>
                <w:webHidden/>
              </w:rPr>
              <w:fldChar w:fldCharType="separate"/>
            </w:r>
            <w:r>
              <w:rPr>
                <w:noProof/>
                <w:webHidden/>
              </w:rPr>
              <w:t>22</w:t>
            </w:r>
            <w:r>
              <w:rPr>
                <w:noProof/>
                <w:webHidden/>
              </w:rPr>
              <w:fldChar w:fldCharType="end"/>
            </w:r>
          </w:hyperlink>
        </w:p>
        <w:p w14:paraId="170F51FD" w14:textId="6A94C2BD" w:rsidR="000A45DD" w:rsidRDefault="000A45DD">
          <w:pPr>
            <w:pStyle w:val="TOC2"/>
            <w:tabs>
              <w:tab w:val="left" w:pos="960"/>
              <w:tab w:val="right" w:leader="dot" w:pos="9016"/>
            </w:tabs>
            <w:rPr>
              <w:rFonts w:asciiTheme="minorHAnsi" w:hAnsiTheme="minorHAnsi"/>
              <w:noProof/>
              <w:sz w:val="24"/>
              <w:szCs w:val="24"/>
              <w:lang w:eastAsia="en-GB"/>
            </w:rPr>
          </w:pPr>
          <w:hyperlink w:anchor="_Toc204981496" w:history="1">
            <w:r w:rsidRPr="00DB3279">
              <w:rPr>
                <w:rStyle w:val="Hyperlink"/>
                <w:noProof/>
              </w:rPr>
              <w:t>3.7</w:t>
            </w:r>
            <w:r>
              <w:rPr>
                <w:rFonts w:asciiTheme="minorHAnsi" w:hAnsiTheme="minorHAnsi"/>
                <w:noProof/>
                <w:sz w:val="24"/>
                <w:szCs w:val="24"/>
                <w:lang w:eastAsia="en-GB"/>
              </w:rPr>
              <w:tab/>
            </w:r>
            <w:r w:rsidRPr="00DB3279">
              <w:rPr>
                <w:rStyle w:val="Hyperlink"/>
                <w:noProof/>
              </w:rPr>
              <w:t>Ethical Considerations</w:t>
            </w:r>
            <w:r>
              <w:rPr>
                <w:noProof/>
                <w:webHidden/>
              </w:rPr>
              <w:tab/>
            </w:r>
            <w:r>
              <w:rPr>
                <w:noProof/>
                <w:webHidden/>
              </w:rPr>
              <w:fldChar w:fldCharType="begin"/>
            </w:r>
            <w:r>
              <w:rPr>
                <w:noProof/>
                <w:webHidden/>
              </w:rPr>
              <w:instrText xml:space="preserve"> PAGEREF _Toc204981496 \h </w:instrText>
            </w:r>
            <w:r>
              <w:rPr>
                <w:noProof/>
                <w:webHidden/>
              </w:rPr>
            </w:r>
            <w:r>
              <w:rPr>
                <w:noProof/>
                <w:webHidden/>
              </w:rPr>
              <w:fldChar w:fldCharType="separate"/>
            </w:r>
            <w:r>
              <w:rPr>
                <w:noProof/>
                <w:webHidden/>
              </w:rPr>
              <w:t>23</w:t>
            </w:r>
            <w:r>
              <w:rPr>
                <w:noProof/>
                <w:webHidden/>
              </w:rPr>
              <w:fldChar w:fldCharType="end"/>
            </w:r>
          </w:hyperlink>
        </w:p>
        <w:p w14:paraId="41C90CDC" w14:textId="59A85FDF" w:rsidR="000A45DD" w:rsidRDefault="000A45DD">
          <w:pPr>
            <w:pStyle w:val="TOC2"/>
            <w:tabs>
              <w:tab w:val="left" w:pos="960"/>
              <w:tab w:val="right" w:leader="dot" w:pos="9016"/>
            </w:tabs>
            <w:rPr>
              <w:rFonts w:asciiTheme="minorHAnsi" w:hAnsiTheme="minorHAnsi"/>
              <w:noProof/>
              <w:sz w:val="24"/>
              <w:szCs w:val="24"/>
              <w:lang w:eastAsia="en-GB"/>
            </w:rPr>
          </w:pPr>
          <w:hyperlink w:anchor="_Toc204981497" w:history="1">
            <w:r w:rsidRPr="00DB3279">
              <w:rPr>
                <w:rStyle w:val="Hyperlink"/>
                <w:noProof/>
              </w:rPr>
              <w:t>3.8</w:t>
            </w:r>
            <w:r>
              <w:rPr>
                <w:rFonts w:asciiTheme="minorHAnsi" w:hAnsiTheme="minorHAnsi"/>
                <w:noProof/>
                <w:sz w:val="24"/>
                <w:szCs w:val="24"/>
                <w:lang w:eastAsia="en-GB"/>
              </w:rPr>
              <w:tab/>
            </w:r>
            <w:r w:rsidRPr="00DB3279">
              <w:rPr>
                <w:rStyle w:val="Hyperlink"/>
                <w:noProof/>
              </w:rPr>
              <w:t>Chapter Conclusion</w:t>
            </w:r>
            <w:r>
              <w:rPr>
                <w:noProof/>
                <w:webHidden/>
              </w:rPr>
              <w:tab/>
            </w:r>
            <w:r>
              <w:rPr>
                <w:noProof/>
                <w:webHidden/>
              </w:rPr>
              <w:fldChar w:fldCharType="begin"/>
            </w:r>
            <w:r>
              <w:rPr>
                <w:noProof/>
                <w:webHidden/>
              </w:rPr>
              <w:instrText xml:space="preserve"> PAGEREF _Toc204981497 \h </w:instrText>
            </w:r>
            <w:r>
              <w:rPr>
                <w:noProof/>
                <w:webHidden/>
              </w:rPr>
            </w:r>
            <w:r>
              <w:rPr>
                <w:noProof/>
                <w:webHidden/>
              </w:rPr>
              <w:fldChar w:fldCharType="separate"/>
            </w:r>
            <w:r>
              <w:rPr>
                <w:noProof/>
                <w:webHidden/>
              </w:rPr>
              <w:t>23</w:t>
            </w:r>
            <w:r>
              <w:rPr>
                <w:noProof/>
                <w:webHidden/>
              </w:rPr>
              <w:fldChar w:fldCharType="end"/>
            </w:r>
          </w:hyperlink>
        </w:p>
        <w:p w14:paraId="58FF255E" w14:textId="7077A4B0" w:rsidR="000A45DD" w:rsidRDefault="000A45DD">
          <w:pPr>
            <w:pStyle w:val="TOC1"/>
            <w:rPr>
              <w:rFonts w:asciiTheme="minorHAnsi" w:hAnsiTheme="minorHAnsi"/>
              <w:b w:val="0"/>
              <w:bCs w:val="0"/>
              <w:i w:val="0"/>
              <w:iCs w:val="0"/>
              <w:sz w:val="24"/>
              <w:szCs w:val="24"/>
              <w:lang w:eastAsia="en-GB" w:bidi="ar-SA"/>
            </w:rPr>
          </w:pPr>
          <w:hyperlink w:anchor="_Toc204981498" w:history="1">
            <w:r w:rsidRPr="00DB3279">
              <w:rPr>
                <w:rStyle w:val="Hyperlink"/>
              </w:rPr>
              <w:t>CHAPTER 4 Findings and Discussion</w:t>
            </w:r>
            <w:r>
              <w:rPr>
                <w:webHidden/>
              </w:rPr>
              <w:tab/>
            </w:r>
            <w:r>
              <w:rPr>
                <w:webHidden/>
              </w:rPr>
              <w:fldChar w:fldCharType="begin"/>
            </w:r>
            <w:r>
              <w:rPr>
                <w:webHidden/>
              </w:rPr>
              <w:instrText xml:space="preserve"> PAGEREF _Toc204981498 \h </w:instrText>
            </w:r>
            <w:r>
              <w:rPr>
                <w:webHidden/>
              </w:rPr>
            </w:r>
            <w:r>
              <w:rPr>
                <w:webHidden/>
              </w:rPr>
              <w:fldChar w:fldCharType="separate"/>
            </w:r>
            <w:r>
              <w:rPr>
                <w:webHidden/>
              </w:rPr>
              <w:t>24</w:t>
            </w:r>
            <w:r>
              <w:rPr>
                <w:webHidden/>
              </w:rPr>
              <w:fldChar w:fldCharType="end"/>
            </w:r>
          </w:hyperlink>
        </w:p>
        <w:p w14:paraId="4F4971FF" w14:textId="4D50AA16" w:rsidR="000A45DD" w:rsidRDefault="000A45DD">
          <w:pPr>
            <w:pStyle w:val="TOC2"/>
            <w:tabs>
              <w:tab w:val="right" w:leader="dot" w:pos="9016"/>
            </w:tabs>
            <w:rPr>
              <w:rFonts w:asciiTheme="minorHAnsi" w:hAnsiTheme="minorHAnsi"/>
              <w:noProof/>
              <w:sz w:val="24"/>
              <w:szCs w:val="24"/>
              <w:lang w:eastAsia="en-GB"/>
            </w:rPr>
          </w:pPr>
          <w:hyperlink w:anchor="_Toc204981499" w:history="1">
            <w:r w:rsidRPr="00DB3279">
              <w:rPr>
                <w:rStyle w:val="Hyperlink"/>
                <w:noProof/>
              </w:rPr>
              <w:t>4.1 Introduction</w:t>
            </w:r>
            <w:r>
              <w:rPr>
                <w:noProof/>
                <w:webHidden/>
              </w:rPr>
              <w:tab/>
            </w:r>
            <w:r>
              <w:rPr>
                <w:noProof/>
                <w:webHidden/>
              </w:rPr>
              <w:fldChar w:fldCharType="begin"/>
            </w:r>
            <w:r>
              <w:rPr>
                <w:noProof/>
                <w:webHidden/>
              </w:rPr>
              <w:instrText xml:space="preserve"> PAGEREF _Toc204981499 \h </w:instrText>
            </w:r>
            <w:r>
              <w:rPr>
                <w:noProof/>
                <w:webHidden/>
              </w:rPr>
            </w:r>
            <w:r>
              <w:rPr>
                <w:noProof/>
                <w:webHidden/>
              </w:rPr>
              <w:fldChar w:fldCharType="separate"/>
            </w:r>
            <w:r>
              <w:rPr>
                <w:noProof/>
                <w:webHidden/>
              </w:rPr>
              <w:t>24</w:t>
            </w:r>
            <w:r>
              <w:rPr>
                <w:noProof/>
                <w:webHidden/>
              </w:rPr>
              <w:fldChar w:fldCharType="end"/>
            </w:r>
          </w:hyperlink>
        </w:p>
        <w:p w14:paraId="4FA71E39" w14:textId="6C7C9244" w:rsidR="000A45DD" w:rsidRDefault="000A45DD">
          <w:pPr>
            <w:pStyle w:val="TOC2"/>
            <w:tabs>
              <w:tab w:val="right" w:leader="dot" w:pos="9016"/>
            </w:tabs>
            <w:rPr>
              <w:rFonts w:asciiTheme="minorHAnsi" w:hAnsiTheme="minorHAnsi"/>
              <w:noProof/>
              <w:sz w:val="24"/>
              <w:szCs w:val="24"/>
              <w:lang w:eastAsia="en-GB"/>
            </w:rPr>
          </w:pPr>
          <w:hyperlink w:anchor="_Toc204981500" w:history="1">
            <w:r w:rsidRPr="00DB3279">
              <w:rPr>
                <w:rStyle w:val="Hyperlink"/>
                <w:noProof/>
              </w:rPr>
              <w:t>4.2 Thematic Analysis</w:t>
            </w:r>
            <w:r>
              <w:rPr>
                <w:noProof/>
                <w:webHidden/>
              </w:rPr>
              <w:tab/>
            </w:r>
            <w:r>
              <w:rPr>
                <w:noProof/>
                <w:webHidden/>
              </w:rPr>
              <w:fldChar w:fldCharType="begin"/>
            </w:r>
            <w:r>
              <w:rPr>
                <w:noProof/>
                <w:webHidden/>
              </w:rPr>
              <w:instrText xml:space="preserve"> PAGEREF _Toc204981500 \h </w:instrText>
            </w:r>
            <w:r>
              <w:rPr>
                <w:noProof/>
                <w:webHidden/>
              </w:rPr>
            </w:r>
            <w:r>
              <w:rPr>
                <w:noProof/>
                <w:webHidden/>
              </w:rPr>
              <w:fldChar w:fldCharType="separate"/>
            </w:r>
            <w:r>
              <w:rPr>
                <w:noProof/>
                <w:webHidden/>
              </w:rPr>
              <w:t>24</w:t>
            </w:r>
            <w:r>
              <w:rPr>
                <w:noProof/>
                <w:webHidden/>
              </w:rPr>
              <w:fldChar w:fldCharType="end"/>
            </w:r>
          </w:hyperlink>
        </w:p>
        <w:p w14:paraId="593F61B3" w14:textId="744F6AE4" w:rsidR="000A45DD" w:rsidRDefault="000A45DD">
          <w:pPr>
            <w:pStyle w:val="TOC2"/>
            <w:tabs>
              <w:tab w:val="right" w:leader="dot" w:pos="9016"/>
            </w:tabs>
            <w:rPr>
              <w:rFonts w:asciiTheme="minorHAnsi" w:hAnsiTheme="minorHAnsi"/>
              <w:noProof/>
              <w:sz w:val="24"/>
              <w:szCs w:val="24"/>
              <w:lang w:eastAsia="en-GB"/>
            </w:rPr>
          </w:pPr>
          <w:hyperlink w:anchor="_Toc204981501" w:history="1">
            <w:r w:rsidRPr="00DB3279">
              <w:rPr>
                <w:rStyle w:val="Hyperlink"/>
                <w:noProof/>
              </w:rPr>
              <w:t>4.4 – Theme 2 Cultural and Ethnic Inequality</w:t>
            </w:r>
            <w:r>
              <w:rPr>
                <w:noProof/>
                <w:webHidden/>
              </w:rPr>
              <w:tab/>
            </w:r>
            <w:r>
              <w:rPr>
                <w:noProof/>
                <w:webHidden/>
              </w:rPr>
              <w:fldChar w:fldCharType="begin"/>
            </w:r>
            <w:r>
              <w:rPr>
                <w:noProof/>
                <w:webHidden/>
              </w:rPr>
              <w:instrText xml:space="preserve"> PAGEREF _Toc204981501 \h </w:instrText>
            </w:r>
            <w:r>
              <w:rPr>
                <w:noProof/>
                <w:webHidden/>
              </w:rPr>
            </w:r>
            <w:r>
              <w:rPr>
                <w:noProof/>
                <w:webHidden/>
              </w:rPr>
              <w:fldChar w:fldCharType="separate"/>
            </w:r>
            <w:r>
              <w:rPr>
                <w:noProof/>
                <w:webHidden/>
              </w:rPr>
              <w:t>30</w:t>
            </w:r>
            <w:r>
              <w:rPr>
                <w:noProof/>
                <w:webHidden/>
              </w:rPr>
              <w:fldChar w:fldCharType="end"/>
            </w:r>
          </w:hyperlink>
        </w:p>
        <w:p w14:paraId="6F93E691" w14:textId="00DC4673" w:rsidR="000A45DD" w:rsidRDefault="000A45DD">
          <w:pPr>
            <w:pStyle w:val="TOC2"/>
            <w:tabs>
              <w:tab w:val="right" w:leader="dot" w:pos="9016"/>
            </w:tabs>
            <w:rPr>
              <w:rFonts w:asciiTheme="minorHAnsi" w:hAnsiTheme="minorHAnsi"/>
              <w:noProof/>
              <w:sz w:val="24"/>
              <w:szCs w:val="24"/>
              <w:lang w:eastAsia="en-GB"/>
            </w:rPr>
          </w:pPr>
          <w:hyperlink w:anchor="_Toc204981502" w:history="1">
            <w:r w:rsidRPr="00DB3279">
              <w:rPr>
                <w:rStyle w:val="Hyperlink"/>
                <w:noProof/>
              </w:rPr>
              <w:t>4.5 – Theme 3 Therapeutic Interventions and Community Care</w:t>
            </w:r>
            <w:r>
              <w:rPr>
                <w:noProof/>
                <w:webHidden/>
              </w:rPr>
              <w:tab/>
            </w:r>
            <w:r>
              <w:rPr>
                <w:noProof/>
                <w:webHidden/>
              </w:rPr>
              <w:fldChar w:fldCharType="begin"/>
            </w:r>
            <w:r>
              <w:rPr>
                <w:noProof/>
                <w:webHidden/>
              </w:rPr>
              <w:instrText xml:space="preserve"> PAGEREF _Toc204981502 \h </w:instrText>
            </w:r>
            <w:r>
              <w:rPr>
                <w:noProof/>
                <w:webHidden/>
              </w:rPr>
            </w:r>
            <w:r>
              <w:rPr>
                <w:noProof/>
                <w:webHidden/>
              </w:rPr>
              <w:fldChar w:fldCharType="separate"/>
            </w:r>
            <w:r>
              <w:rPr>
                <w:noProof/>
                <w:webHidden/>
              </w:rPr>
              <w:t>33</w:t>
            </w:r>
            <w:r>
              <w:rPr>
                <w:noProof/>
                <w:webHidden/>
              </w:rPr>
              <w:fldChar w:fldCharType="end"/>
            </w:r>
          </w:hyperlink>
        </w:p>
        <w:p w14:paraId="18014103" w14:textId="6EBDA504" w:rsidR="000A45DD" w:rsidRDefault="000A45DD">
          <w:pPr>
            <w:pStyle w:val="TOC2"/>
            <w:tabs>
              <w:tab w:val="right" w:leader="dot" w:pos="9016"/>
            </w:tabs>
            <w:rPr>
              <w:rFonts w:asciiTheme="minorHAnsi" w:hAnsiTheme="minorHAnsi"/>
              <w:noProof/>
              <w:sz w:val="24"/>
              <w:szCs w:val="24"/>
              <w:lang w:eastAsia="en-GB"/>
            </w:rPr>
          </w:pPr>
          <w:hyperlink w:anchor="_Toc204981503" w:history="1">
            <w:r w:rsidRPr="00DB3279">
              <w:rPr>
                <w:rStyle w:val="Hyperlink"/>
                <w:noProof/>
              </w:rPr>
              <w:t>4.6 – Chapter Conclusion</w:t>
            </w:r>
            <w:r>
              <w:rPr>
                <w:noProof/>
                <w:webHidden/>
              </w:rPr>
              <w:tab/>
            </w:r>
            <w:r>
              <w:rPr>
                <w:noProof/>
                <w:webHidden/>
              </w:rPr>
              <w:fldChar w:fldCharType="begin"/>
            </w:r>
            <w:r>
              <w:rPr>
                <w:noProof/>
                <w:webHidden/>
              </w:rPr>
              <w:instrText xml:space="preserve"> PAGEREF _Toc204981503 \h </w:instrText>
            </w:r>
            <w:r>
              <w:rPr>
                <w:noProof/>
                <w:webHidden/>
              </w:rPr>
            </w:r>
            <w:r>
              <w:rPr>
                <w:noProof/>
                <w:webHidden/>
              </w:rPr>
              <w:fldChar w:fldCharType="separate"/>
            </w:r>
            <w:r>
              <w:rPr>
                <w:noProof/>
                <w:webHidden/>
              </w:rPr>
              <w:t>37</w:t>
            </w:r>
            <w:r>
              <w:rPr>
                <w:noProof/>
                <w:webHidden/>
              </w:rPr>
              <w:fldChar w:fldCharType="end"/>
            </w:r>
          </w:hyperlink>
        </w:p>
        <w:p w14:paraId="0327DF25" w14:textId="0063C046" w:rsidR="000A45DD" w:rsidRDefault="000A45DD">
          <w:pPr>
            <w:pStyle w:val="TOC1"/>
            <w:rPr>
              <w:rFonts w:asciiTheme="minorHAnsi" w:hAnsiTheme="minorHAnsi"/>
              <w:b w:val="0"/>
              <w:bCs w:val="0"/>
              <w:i w:val="0"/>
              <w:iCs w:val="0"/>
              <w:sz w:val="24"/>
              <w:szCs w:val="24"/>
              <w:lang w:eastAsia="en-GB" w:bidi="ar-SA"/>
            </w:rPr>
          </w:pPr>
          <w:hyperlink w:anchor="_Toc204981504" w:history="1">
            <w:r w:rsidRPr="00DB3279">
              <w:rPr>
                <w:rStyle w:val="Hyperlink"/>
              </w:rPr>
              <w:t>CHAPTER 5 – Conclusion and Recommendations</w:t>
            </w:r>
            <w:r>
              <w:rPr>
                <w:webHidden/>
              </w:rPr>
              <w:tab/>
            </w:r>
            <w:r>
              <w:rPr>
                <w:webHidden/>
              </w:rPr>
              <w:fldChar w:fldCharType="begin"/>
            </w:r>
            <w:r>
              <w:rPr>
                <w:webHidden/>
              </w:rPr>
              <w:instrText xml:space="preserve"> PAGEREF _Toc204981504 \h </w:instrText>
            </w:r>
            <w:r>
              <w:rPr>
                <w:webHidden/>
              </w:rPr>
            </w:r>
            <w:r>
              <w:rPr>
                <w:webHidden/>
              </w:rPr>
              <w:fldChar w:fldCharType="separate"/>
            </w:r>
            <w:r>
              <w:rPr>
                <w:webHidden/>
              </w:rPr>
              <w:t>38</w:t>
            </w:r>
            <w:r>
              <w:rPr>
                <w:webHidden/>
              </w:rPr>
              <w:fldChar w:fldCharType="end"/>
            </w:r>
          </w:hyperlink>
        </w:p>
        <w:p w14:paraId="2BA833C2" w14:textId="1444232F" w:rsidR="000A45DD" w:rsidRDefault="000A45DD">
          <w:pPr>
            <w:pStyle w:val="TOC2"/>
            <w:tabs>
              <w:tab w:val="right" w:leader="dot" w:pos="9016"/>
            </w:tabs>
            <w:rPr>
              <w:rFonts w:asciiTheme="minorHAnsi" w:hAnsiTheme="minorHAnsi"/>
              <w:noProof/>
              <w:sz w:val="24"/>
              <w:szCs w:val="24"/>
              <w:lang w:eastAsia="en-GB"/>
            </w:rPr>
          </w:pPr>
          <w:hyperlink w:anchor="_Toc204981505" w:history="1">
            <w:r w:rsidRPr="00DB3279">
              <w:rPr>
                <w:rStyle w:val="Hyperlink"/>
                <w:noProof/>
              </w:rPr>
              <w:t>5.1 – Overall Conclusion</w:t>
            </w:r>
            <w:r>
              <w:rPr>
                <w:noProof/>
                <w:webHidden/>
              </w:rPr>
              <w:tab/>
            </w:r>
            <w:r>
              <w:rPr>
                <w:noProof/>
                <w:webHidden/>
              </w:rPr>
              <w:fldChar w:fldCharType="begin"/>
            </w:r>
            <w:r>
              <w:rPr>
                <w:noProof/>
                <w:webHidden/>
              </w:rPr>
              <w:instrText xml:space="preserve"> PAGEREF _Toc204981505 \h </w:instrText>
            </w:r>
            <w:r>
              <w:rPr>
                <w:noProof/>
                <w:webHidden/>
              </w:rPr>
            </w:r>
            <w:r>
              <w:rPr>
                <w:noProof/>
                <w:webHidden/>
              </w:rPr>
              <w:fldChar w:fldCharType="separate"/>
            </w:r>
            <w:r>
              <w:rPr>
                <w:noProof/>
                <w:webHidden/>
              </w:rPr>
              <w:t>38</w:t>
            </w:r>
            <w:r>
              <w:rPr>
                <w:noProof/>
                <w:webHidden/>
              </w:rPr>
              <w:fldChar w:fldCharType="end"/>
            </w:r>
          </w:hyperlink>
        </w:p>
        <w:p w14:paraId="6ED65E7C" w14:textId="37869182" w:rsidR="000A45DD" w:rsidRDefault="000A45DD">
          <w:pPr>
            <w:pStyle w:val="TOC2"/>
            <w:tabs>
              <w:tab w:val="right" w:leader="dot" w:pos="9016"/>
            </w:tabs>
            <w:rPr>
              <w:rFonts w:asciiTheme="minorHAnsi" w:hAnsiTheme="minorHAnsi"/>
              <w:noProof/>
              <w:sz w:val="24"/>
              <w:szCs w:val="24"/>
              <w:lang w:eastAsia="en-GB"/>
            </w:rPr>
          </w:pPr>
          <w:hyperlink w:anchor="_Toc204981506" w:history="1">
            <w:r w:rsidRPr="00DB3279">
              <w:rPr>
                <w:rStyle w:val="Hyperlink"/>
                <w:noProof/>
              </w:rPr>
              <w:t>5.2 Recommendations</w:t>
            </w:r>
            <w:r>
              <w:rPr>
                <w:noProof/>
                <w:webHidden/>
              </w:rPr>
              <w:tab/>
            </w:r>
            <w:r>
              <w:rPr>
                <w:noProof/>
                <w:webHidden/>
              </w:rPr>
              <w:fldChar w:fldCharType="begin"/>
            </w:r>
            <w:r>
              <w:rPr>
                <w:noProof/>
                <w:webHidden/>
              </w:rPr>
              <w:instrText xml:space="preserve"> PAGEREF _Toc204981506 \h </w:instrText>
            </w:r>
            <w:r>
              <w:rPr>
                <w:noProof/>
                <w:webHidden/>
              </w:rPr>
            </w:r>
            <w:r>
              <w:rPr>
                <w:noProof/>
                <w:webHidden/>
              </w:rPr>
              <w:fldChar w:fldCharType="separate"/>
            </w:r>
            <w:r>
              <w:rPr>
                <w:noProof/>
                <w:webHidden/>
              </w:rPr>
              <w:t>39</w:t>
            </w:r>
            <w:r>
              <w:rPr>
                <w:noProof/>
                <w:webHidden/>
              </w:rPr>
              <w:fldChar w:fldCharType="end"/>
            </w:r>
          </w:hyperlink>
        </w:p>
        <w:p w14:paraId="30F3B70E" w14:textId="634E5DD4" w:rsidR="000A45DD" w:rsidRDefault="000A45DD">
          <w:pPr>
            <w:pStyle w:val="TOC3"/>
            <w:tabs>
              <w:tab w:val="right" w:leader="dot" w:pos="9016"/>
            </w:tabs>
            <w:rPr>
              <w:rFonts w:asciiTheme="minorHAnsi" w:hAnsiTheme="minorHAnsi"/>
              <w:noProof/>
              <w:sz w:val="24"/>
              <w:szCs w:val="24"/>
              <w:lang w:eastAsia="en-GB"/>
            </w:rPr>
          </w:pPr>
          <w:hyperlink w:anchor="_Toc204981507" w:history="1">
            <w:r w:rsidRPr="00DB3279">
              <w:rPr>
                <w:rStyle w:val="Hyperlink"/>
                <w:noProof/>
              </w:rPr>
              <w:t>5.2.1 Recommendation:  Strengthen Early Access Pathways via Workforce Investment and Local Service Coordination</w:t>
            </w:r>
            <w:r>
              <w:rPr>
                <w:noProof/>
                <w:webHidden/>
              </w:rPr>
              <w:tab/>
            </w:r>
            <w:r>
              <w:rPr>
                <w:noProof/>
                <w:webHidden/>
              </w:rPr>
              <w:fldChar w:fldCharType="begin"/>
            </w:r>
            <w:r>
              <w:rPr>
                <w:noProof/>
                <w:webHidden/>
              </w:rPr>
              <w:instrText xml:space="preserve"> PAGEREF _Toc204981507 \h </w:instrText>
            </w:r>
            <w:r>
              <w:rPr>
                <w:noProof/>
                <w:webHidden/>
              </w:rPr>
            </w:r>
            <w:r>
              <w:rPr>
                <w:noProof/>
                <w:webHidden/>
              </w:rPr>
              <w:fldChar w:fldCharType="separate"/>
            </w:r>
            <w:r>
              <w:rPr>
                <w:noProof/>
                <w:webHidden/>
              </w:rPr>
              <w:t>39</w:t>
            </w:r>
            <w:r>
              <w:rPr>
                <w:noProof/>
                <w:webHidden/>
              </w:rPr>
              <w:fldChar w:fldCharType="end"/>
            </w:r>
          </w:hyperlink>
        </w:p>
        <w:p w14:paraId="10C25F3E" w14:textId="51FE1799" w:rsidR="000A45DD" w:rsidRDefault="000A45DD">
          <w:pPr>
            <w:pStyle w:val="TOC3"/>
            <w:tabs>
              <w:tab w:val="right" w:leader="dot" w:pos="9016"/>
            </w:tabs>
            <w:rPr>
              <w:rFonts w:asciiTheme="minorHAnsi" w:hAnsiTheme="minorHAnsi"/>
              <w:noProof/>
              <w:sz w:val="24"/>
              <w:szCs w:val="24"/>
              <w:lang w:eastAsia="en-GB"/>
            </w:rPr>
          </w:pPr>
          <w:hyperlink w:anchor="_Toc204981508" w:history="1">
            <w:r w:rsidRPr="00DB3279">
              <w:rPr>
                <w:rStyle w:val="Hyperlink"/>
                <w:noProof/>
              </w:rPr>
              <w:t>5.2.2 Recommendation: Cultural and Ethnic Inequality</w:t>
            </w:r>
            <w:r>
              <w:rPr>
                <w:noProof/>
                <w:webHidden/>
              </w:rPr>
              <w:tab/>
            </w:r>
            <w:r>
              <w:rPr>
                <w:noProof/>
                <w:webHidden/>
              </w:rPr>
              <w:fldChar w:fldCharType="begin"/>
            </w:r>
            <w:r>
              <w:rPr>
                <w:noProof/>
                <w:webHidden/>
              </w:rPr>
              <w:instrText xml:space="preserve"> PAGEREF _Toc204981508 \h </w:instrText>
            </w:r>
            <w:r>
              <w:rPr>
                <w:noProof/>
                <w:webHidden/>
              </w:rPr>
            </w:r>
            <w:r>
              <w:rPr>
                <w:noProof/>
                <w:webHidden/>
              </w:rPr>
              <w:fldChar w:fldCharType="separate"/>
            </w:r>
            <w:r>
              <w:rPr>
                <w:noProof/>
                <w:webHidden/>
              </w:rPr>
              <w:t>39</w:t>
            </w:r>
            <w:r>
              <w:rPr>
                <w:noProof/>
                <w:webHidden/>
              </w:rPr>
              <w:fldChar w:fldCharType="end"/>
            </w:r>
          </w:hyperlink>
        </w:p>
        <w:p w14:paraId="0BCC881F" w14:textId="68382E5C" w:rsidR="000A45DD" w:rsidRDefault="000A45DD">
          <w:pPr>
            <w:pStyle w:val="TOC3"/>
            <w:tabs>
              <w:tab w:val="right" w:leader="dot" w:pos="9016"/>
            </w:tabs>
            <w:rPr>
              <w:rFonts w:asciiTheme="minorHAnsi" w:hAnsiTheme="minorHAnsi"/>
              <w:noProof/>
              <w:sz w:val="24"/>
              <w:szCs w:val="24"/>
              <w:lang w:eastAsia="en-GB"/>
            </w:rPr>
          </w:pPr>
          <w:hyperlink w:anchor="_Toc204981509" w:history="1">
            <w:r w:rsidRPr="00DB3279">
              <w:rPr>
                <w:rStyle w:val="Hyperlink"/>
                <w:noProof/>
              </w:rPr>
              <w:t>5.2.3 – Recommendation: Therapeutic Interventions and Community Care</w:t>
            </w:r>
            <w:r>
              <w:rPr>
                <w:noProof/>
                <w:webHidden/>
              </w:rPr>
              <w:tab/>
            </w:r>
            <w:r>
              <w:rPr>
                <w:noProof/>
                <w:webHidden/>
              </w:rPr>
              <w:fldChar w:fldCharType="begin"/>
            </w:r>
            <w:r>
              <w:rPr>
                <w:noProof/>
                <w:webHidden/>
              </w:rPr>
              <w:instrText xml:space="preserve"> PAGEREF _Toc204981509 \h </w:instrText>
            </w:r>
            <w:r>
              <w:rPr>
                <w:noProof/>
                <w:webHidden/>
              </w:rPr>
            </w:r>
            <w:r>
              <w:rPr>
                <w:noProof/>
                <w:webHidden/>
              </w:rPr>
              <w:fldChar w:fldCharType="separate"/>
            </w:r>
            <w:r>
              <w:rPr>
                <w:noProof/>
                <w:webHidden/>
              </w:rPr>
              <w:t>40</w:t>
            </w:r>
            <w:r>
              <w:rPr>
                <w:noProof/>
                <w:webHidden/>
              </w:rPr>
              <w:fldChar w:fldCharType="end"/>
            </w:r>
          </w:hyperlink>
        </w:p>
        <w:p w14:paraId="408EC263" w14:textId="0B4CAB62" w:rsidR="000A45DD" w:rsidRDefault="000A45DD">
          <w:pPr>
            <w:pStyle w:val="TOC1"/>
            <w:rPr>
              <w:rFonts w:asciiTheme="minorHAnsi" w:hAnsiTheme="minorHAnsi"/>
              <w:b w:val="0"/>
              <w:bCs w:val="0"/>
              <w:i w:val="0"/>
              <w:iCs w:val="0"/>
              <w:sz w:val="24"/>
              <w:szCs w:val="24"/>
              <w:lang w:eastAsia="en-GB" w:bidi="ar-SA"/>
            </w:rPr>
          </w:pPr>
          <w:hyperlink w:anchor="_Toc204981510" w:history="1">
            <w:r w:rsidRPr="00DB3279">
              <w:rPr>
                <w:rStyle w:val="Hyperlink"/>
              </w:rPr>
              <w:t>References</w:t>
            </w:r>
            <w:r>
              <w:rPr>
                <w:webHidden/>
              </w:rPr>
              <w:tab/>
            </w:r>
            <w:r>
              <w:rPr>
                <w:webHidden/>
              </w:rPr>
              <w:fldChar w:fldCharType="begin"/>
            </w:r>
            <w:r>
              <w:rPr>
                <w:webHidden/>
              </w:rPr>
              <w:instrText xml:space="preserve"> PAGEREF _Toc204981510 \h </w:instrText>
            </w:r>
            <w:r>
              <w:rPr>
                <w:webHidden/>
              </w:rPr>
            </w:r>
            <w:r>
              <w:rPr>
                <w:webHidden/>
              </w:rPr>
              <w:fldChar w:fldCharType="separate"/>
            </w:r>
            <w:r>
              <w:rPr>
                <w:webHidden/>
              </w:rPr>
              <w:t>41</w:t>
            </w:r>
            <w:r>
              <w:rPr>
                <w:webHidden/>
              </w:rPr>
              <w:fldChar w:fldCharType="end"/>
            </w:r>
          </w:hyperlink>
        </w:p>
        <w:p w14:paraId="3FC4217D" w14:textId="11967CEB" w:rsidR="000A45DD" w:rsidRDefault="000A45DD">
          <w:pPr>
            <w:pStyle w:val="TOC1"/>
            <w:rPr>
              <w:rFonts w:asciiTheme="minorHAnsi" w:hAnsiTheme="minorHAnsi"/>
              <w:b w:val="0"/>
              <w:bCs w:val="0"/>
              <w:i w:val="0"/>
              <w:iCs w:val="0"/>
              <w:sz w:val="24"/>
              <w:szCs w:val="24"/>
              <w:lang w:eastAsia="en-GB" w:bidi="ar-SA"/>
            </w:rPr>
          </w:pPr>
          <w:hyperlink w:anchor="_Toc204981511" w:history="1">
            <w:r w:rsidRPr="00DB3279">
              <w:rPr>
                <w:rStyle w:val="Hyperlink"/>
              </w:rPr>
              <w:t>Appendices</w:t>
            </w:r>
            <w:r>
              <w:rPr>
                <w:webHidden/>
              </w:rPr>
              <w:tab/>
            </w:r>
            <w:r>
              <w:rPr>
                <w:webHidden/>
              </w:rPr>
              <w:fldChar w:fldCharType="begin"/>
            </w:r>
            <w:r>
              <w:rPr>
                <w:webHidden/>
              </w:rPr>
              <w:instrText xml:space="preserve"> PAGEREF _Toc204981511 \h </w:instrText>
            </w:r>
            <w:r>
              <w:rPr>
                <w:webHidden/>
              </w:rPr>
            </w:r>
            <w:r>
              <w:rPr>
                <w:webHidden/>
              </w:rPr>
              <w:fldChar w:fldCharType="separate"/>
            </w:r>
            <w:r>
              <w:rPr>
                <w:webHidden/>
              </w:rPr>
              <w:t>63</w:t>
            </w:r>
            <w:r>
              <w:rPr>
                <w:webHidden/>
              </w:rPr>
              <w:fldChar w:fldCharType="end"/>
            </w:r>
          </w:hyperlink>
        </w:p>
        <w:p w14:paraId="624583DC" w14:textId="048ED9CF" w:rsidR="000A45DD" w:rsidRDefault="000A45DD">
          <w:pPr>
            <w:pStyle w:val="TOC2"/>
            <w:tabs>
              <w:tab w:val="right" w:leader="dot" w:pos="9016"/>
            </w:tabs>
            <w:rPr>
              <w:rFonts w:asciiTheme="minorHAnsi" w:hAnsiTheme="minorHAnsi"/>
              <w:noProof/>
              <w:sz w:val="24"/>
              <w:szCs w:val="24"/>
              <w:lang w:eastAsia="en-GB"/>
            </w:rPr>
          </w:pPr>
          <w:hyperlink w:anchor="_Toc204981512" w:history="1">
            <w:r w:rsidRPr="00DB3279">
              <w:rPr>
                <w:rStyle w:val="Hyperlink"/>
                <w:noProof/>
              </w:rPr>
              <w:t>6.2.1   Boolean Searching</w:t>
            </w:r>
            <w:r>
              <w:rPr>
                <w:noProof/>
                <w:webHidden/>
              </w:rPr>
              <w:tab/>
            </w:r>
            <w:r>
              <w:rPr>
                <w:noProof/>
                <w:webHidden/>
              </w:rPr>
              <w:fldChar w:fldCharType="begin"/>
            </w:r>
            <w:r>
              <w:rPr>
                <w:noProof/>
                <w:webHidden/>
              </w:rPr>
              <w:instrText xml:space="preserve"> PAGEREF _Toc204981512 \h </w:instrText>
            </w:r>
            <w:r>
              <w:rPr>
                <w:noProof/>
                <w:webHidden/>
              </w:rPr>
            </w:r>
            <w:r>
              <w:rPr>
                <w:noProof/>
                <w:webHidden/>
              </w:rPr>
              <w:fldChar w:fldCharType="separate"/>
            </w:r>
            <w:r>
              <w:rPr>
                <w:noProof/>
                <w:webHidden/>
              </w:rPr>
              <w:t>63</w:t>
            </w:r>
            <w:r>
              <w:rPr>
                <w:noProof/>
                <w:webHidden/>
              </w:rPr>
              <w:fldChar w:fldCharType="end"/>
            </w:r>
          </w:hyperlink>
        </w:p>
        <w:p w14:paraId="1FE08BC1" w14:textId="6AF7BD86" w:rsidR="000A45DD" w:rsidRDefault="000A45DD">
          <w:pPr>
            <w:pStyle w:val="TOC2"/>
            <w:tabs>
              <w:tab w:val="right" w:leader="dot" w:pos="9016"/>
            </w:tabs>
            <w:rPr>
              <w:rFonts w:asciiTheme="minorHAnsi" w:hAnsiTheme="minorHAnsi"/>
              <w:noProof/>
              <w:sz w:val="24"/>
              <w:szCs w:val="24"/>
              <w:lang w:eastAsia="en-GB"/>
            </w:rPr>
          </w:pPr>
          <w:hyperlink w:anchor="_Toc204981513" w:history="1">
            <w:r w:rsidRPr="00DB3279">
              <w:rPr>
                <w:rStyle w:val="Hyperlink"/>
                <w:noProof/>
              </w:rPr>
              <w:t xml:space="preserve">  6.2.2 Critical Evaluation Checklist Approach: CRAAP</w:t>
            </w:r>
            <w:r>
              <w:rPr>
                <w:noProof/>
                <w:webHidden/>
              </w:rPr>
              <w:tab/>
            </w:r>
            <w:r>
              <w:rPr>
                <w:noProof/>
                <w:webHidden/>
              </w:rPr>
              <w:fldChar w:fldCharType="begin"/>
            </w:r>
            <w:r>
              <w:rPr>
                <w:noProof/>
                <w:webHidden/>
              </w:rPr>
              <w:instrText xml:space="preserve"> PAGEREF _Toc204981513 \h </w:instrText>
            </w:r>
            <w:r>
              <w:rPr>
                <w:noProof/>
                <w:webHidden/>
              </w:rPr>
            </w:r>
            <w:r>
              <w:rPr>
                <w:noProof/>
                <w:webHidden/>
              </w:rPr>
              <w:fldChar w:fldCharType="separate"/>
            </w:r>
            <w:r>
              <w:rPr>
                <w:noProof/>
                <w:webHidden/>
              </w:rPr>
              <w:t>64</w:t>
            </w:r>
            <w:r>
              <w:rPr>
                <w:noProof/>
                <w:webHidden/>
              </w:rPr>
              <w:fldChar w:fldCharType="end"/>
            </w:r>
          </w:hyperlink>
        </w:p>
        <w:p w14:paraId="045E361F" w14:textId="41C200AE" w:rsidR="000A45DD" w:rsidRDefault="000A45DD">
          <w:pPr>
            <w:pStyle w:val="TOC2"/>
            <w:tabs>
              <w:tab w:val="right" w:leader="dot" w:pos="9016"/>
            </w:tabs>
            <w:rPr>
              <w:rFonts w:asciiTheme="minorHAnsi" w:hAnsiTheme="minorHAnsi"/>
              <w:noProof/>
              <w:sz w:val="24"/>
              <w:szCs w:val="24"/>
              <w:lang w:eastAsia="en-GB"/>
            </w:rPr>
          </w:pPr>
          <w:hyperlink w:anchor="_Toc204981514" w:history="1">
            <w:r w:rsidRPr="00DB3279">
              <w:rPr>
                <w:rStyle w:val="Hyperlink"/>
                <w:noProof/>
              </w:rPr>
              <w:t xml:space="preserve">  6.2.3 Methodology Poster</w:t>
            </w:r>
            <w:r>
              <w:rPr>
                <w:noProof/>
                <w:webHidden/>
              </w:rPr>
              <w:tab/>
            </w:r>
            <w:r>
              <w:rPr>
                <w:noProof/>
                <w:webHidden/>
              </w:rPr>
              <w:fldChar w:fldCharType="begin"/>
            </w:r>
            <w:r>
              <w:rPr>
                <w:noProof/>
                <w:webHidden/>
              </w:rPr>
              <w:instrText xml:space="preserve"> PAGEREF _Toc204981514 \h </w:instrText>
            </w:r>
            <w:r>
              <w:rPr>
                <w:noProof/>
                <w:webHidden/>
              </w:rPr>
            </w:r>
            <w:r>
              <w:rPr>
                <w:noProof/>
                <w:webHidden/>
              </w:rPr>
              <w:fldChar w:fldCharType="separate"/>
            </w:r>
            <w:r>
              <w:rPr>
                <w:noProof/>
                <w:webHidden/>
              </w:rPr>
              <w:t>66</w:t>
            </w:r>
            <w:r>
              <w:rPr>
                <w:noProof/>
                <w:webHidden/>
              </w:rPr>
              <w:fldChar w:fldCharType="end"/>
            </w:r>
          </w:hyperlink>
        </w:p>
        <w:p w14:paraId="2D4EEFEC" w14:textId="1C2B6C75" w:rsidR="000A45DD" w:rsidRDefault="000A45DD">
          <w:pPr>
            <w:pStyle w:val="TOC2"/>
            <w:tabs>
              <w:tab w:val="right" w:leader="dot" w:pos="9016"/>
            </w:tabs>
            <w:rPr>
              <w:rFonts w:asciiTheme="minorHAnsi" w:hAnsiTheme="minorHAnsi"/>
              <w:noProof/>
              <w:sz w:val="24"/>
              <w:szCs w:val="24"/>
              <w:lang w:eastAsia="en-GB"/>
            </w:rPr>
          </w:pPr>
          <w:hyperlink w:anchor="_Toc204981515" w:history="1">
            <w:r w:rsidRPr="00DB3279">
              <w:rPr>
                <w:rStyle w:val="Hyperlink"/>
                <w:noProof/>
              </w:rPr>
              <w:t>6.2.4 Thematic Coding Summary Table</w:t>
            </w:r>
            <w:r>
              <w:rPr>
                <w:noProof/>
                <w:webHidden/>
              </w:rPr>
              <w:tab/>
            </w:r>
            <w:r>
              <w:rPr>
                <w:noProof/>
                <w:webHidden/>
              </w:rPr>
              <w:fldChar w:fldCharType="begin"/>
            </w:r>
            <w:r>
              <w:rPr>
                <w:noProof/>
                <w:webHidden/>
              </w:rPr>
              <w:instrText xml:space="preserve"> PAGEREF _Toc204981515 \h </w:instrText>
            </w:r>
            <w:r>
              <w:rPr>
                <w:noProof/>
                <w:webHidden/>
              </w:rPr>
            </w:r>
            <w:r>
              <w:rPr>
                <w:noProof/>
                <w:webHidden/>
              </w:rPr>
              <w:fldChar w:fldCharType="separate"/>
            </w:r>
            <w:r>
              <w:rPr>
                <w:noProof/>
                <w:webHidden/>
              </w:rPr>
              <w:t>68</w:t>
            </w:r>
            <w:r>
              <w:rPr>
                <w:noProof/>
                <w:webHidden/>
              </w:rPr>
              <w:fldChar w:fldCharType="end"/>
            </w:r>
          </w:hyperlink>
        </w:p>
        <w:p w14:paraId="4856EE1A" w14:textId="32480F6B" w:rsidR="000A45DD" w:rsidRDefault="000A45DD">
          <w:pPr>
            <w:pStyle w:val="TOC2"/>
            <w:tabs>
              <w:tab w:val="right" w:leader="dot" w:pos="9016"/>
            </w:tabs>
            <w:rPr>
              <w:rFonts w:asciiTheme="minorHAnsi" w:hAnsiTheme="minorHAnsi"/>
              <w:noProof/>
              <w:sz w:val="24"/>
              <w:szCs w:val="24"/>
              <w:lang w:eastAsia="en-GB"/>
            </w:rPr>
          </w:pPr>
          <w:hyperlink w:anchor="_Toc204981516" w:history="1">
            <w:r w:rsidRPr="00DB3279">
              <w:rPr>
                <w:rStyle w:val="Hyperlink"/>
                <w:noProof/>
              </w:rPr>
              <w:t>6.2.5 Results Summary Table</w:t>
            </w:r>
            <w:r>
              <w:rPr>
                <w:noProof/>
                <w:webHidden/>
              </w:rPr>
              <w:tab/>
            </w:r>
            <w:r>
              <w:rPr>
                <w:noProof/>
                <w:webHidden/>
              </w:rPr>
              <w:fldChar w:fldCharType="begin"/>
            </w:r>
            <w:r>
              <w:rPr>
                <w:noProof/>
                <w:webHidden/>
              </w:rPr>
              <w:instrText xml:space="preserve"> PAGEREF _Toc204981516 \h </w:instrText>
            </w:r>
            <w:r>
              <w:rPr>
                <w:noProof/>
                <w:webHidden/>
              </w:rPr>
            </w:r>
            <w:r>
              <w:rPr>
                <w:noProof/>
                <w:webHidden/>
              </w:rPr>
              <w:fldChar w:fldCharType="separate"/>
            </w:r>
            <w:r>
              <w:rPr>
                <w:noProof/>
                <w:webHidden/>
              </w:rPr>
              <w:t>69</w:t>
            </w:r>
            <w:r>
              <w:rPr>
                <w:noProof/>
                <w:webHidden/>
              </w:rPr>
              <w:fldChar w:fldCharType="end"/>
            </w:r>
          </w:hyperlink>
        </w:p>
        <w:p w14:paraId="6DA4B150" w14:textId="49F92C38" w:rsidR="00122BC3" w:rsidRDefault="00122BC3">
          <w:r>
            <w:rPr>
              <w:b/>
              <w:bCs/>
            </w:rPr>
            <w:fldChar w:fldCharType="end"/>
          </w:r>
        </w:p>
      </w:sdtContent>
    </w:sdt>
    <w:p w14:paraId="15BFA27A" w14:textId="73D74599" w:rsidR="00804B94" w:rsidRPr="00EF6341" w:rsidRDefault="00804B94" w:rsidP="00FD0175">
      <w:pPr>
        <w:pStyle w:val="Heading1"/>
      </w:pPr>
    </w:p>
    <w:p w14:paraId="756C3EE0" w14:textId="77777777" w:rsidR="00804B94" w:rsidRDefault="00804B94"/>
    <w:p w14:paraId="3EF52184" w14:textId="77777777" w:rsidR="00804B94" w:rsidRDefault="00804B94"/>
    <w:p w14:paraId="52F0D83D" w14:textId="77777777" w:rsidR="00804B94" w:rsidRDefault="00804B94"/>
    <w:p w14:paraId="382015EC" w14:textId="77777777" w:rsidR="00C64072" w:rsidRDefault="00C64072" w:rsidP="00FD0175">
      <w:pPr>
        <w:pStyle w:val="Heading1"/>
        <w:rPr>
          <w:rStyle w:val="Heading2Char"/>
          <w:rFonts w:eastAsia="Calibri Light"/>
          <w:b/>
          <w:bCs/>
          <w:i/>
          <w:iCs/>
          <w:sz w:val="32"/>
        </w:rPr>
      </w:pPr>
    </w:p>
    <w:p w14:paraId="7845FB7A" w14:textId="757F850C" w:rsidR="008D6815" w:rsidRPr="00AA0DAB" w:rsidRDefault="00BD2909" w:rsidP="00FD0175">
      <w:pPr>
        <w:pStyle w:val="Heading1"/>
      </w:pPr>
      <w:bookmarkStart w:id="4" w:name="_Toc204981473"/>
      <w:r w:rsidRPr="00AA0DAB">
        <w:rPr>
          <w:rStyle w:val="Heading2Char"/>
          <w:rFonts w:eastAsia="Calibri Light"/>
          <w:b/>
          <w:bCs/>
          <w:i/>
          <w:iCs/>
          <w:sz w:val="32"/>
        </w:rPr>
        <w:t>1.</w:t>
      </w:r>
      <w:r w:rsidR="00D03940" w:rsidRPr="00AA0DAB">
        <w:rPr>
          <w:rStyle w:val="Heading2Char"/>
          <w:rFonts w:eastAsia="Calibri Light"/>
          <w:b/>
          <w:bCs/>
          <w:i/>
          <w:iCs/>
          <w:sz w:val="32"/>
        </w:rPr>
        <w:t>1</w:t>
      </w:r>
      <w:r w:rsidRPr="00AA0DAB">
        <w:rPr>
          <w:rStyle w:val="Heading2Char"/>
          <w:rFonts w:eastAsia="Calibri Light"/>
          <w:b/>
          <w:bCs/>
          <w:i/>
          <w:iCs/>
          <w:sz w:val="32"/>
        </w:rPr>
        <w:t xml:space="preserve"> Definitions and Terminology</w:t>
      </w:r>
      <w:bookmarkEnd w:id="4"/>
      <w:r w:rsidRPr="00AA0DAB">
        <w:rPr>
          <w:rStyle w:val="normaltextrun"/>
        </w:rPr>
        <w:t xml:space="preserve"> </w:t>
      </w:r>
    </w:p>
    <w:p w14:paraId="435EDF7F" w14:textId="7C37DB11" w:rsidR="00CE29AF" w:rsidRPr="00964CBA" w:rsidRDefault="00B065F6" w:rsidP="009601FA">
      <w:pPr>
        <w:pStyle w:val="paragraph"/>
        <w:spacing w:after="0" w:line="360" w:lineRule="auto"/>
        <w:jc w:val="both"/>
        <w:textAlignment w:val="baseline"/>
        <w:rPr>
          <w:rFonts w:ascii="Arial" w:hAnsi="Arial" w:cs="Arial"/>
          <w:sz w:val="22"/>
          <w:szCs w:val="22"/>
        </w:rPr>
      </w:pPr>
      <w:r w:rsidRPr="00FA3359">
        <w:rPr>
          <w:rFonts w:ascii="Arial" w:hAnsi="Arial" w:cs="Arial"/>
          <w:sz w:val="22"/>
          <w:szCs w:val="22"/>
        </w:rPr>
        <w:t xml:space="preserve">Cognitive-Behavioural Therapy (CBT): </w:t>
      </w:r>
      <w:r w:rsidR="00A577A6" w:rsidRPr="00FA3359">
        <w:rPr>
          <w:rFonts w:ascii="Arial" w:hAnsi="Arial" w:cs="Arial"/>
          <w:sz w:val="22"/>
          <w:szCs w:val="22"/>
        </w:rPr>
        <w:t xml:space="preserve">A psychological intervention for individuals with </w:t>
      </w:r>
      <w:r w:rsidR="009461DE" w:rsidRPr="00FA3359">
        <w:rPr>
          <w:rFonts w:ascii="Arial" w:hAnsi="Arial" w:cs="Arial"/>
          <w:sz w:val="22"/>
          <w:szCs w:val="22"/>
        </w:rPr>
        <w:t>SCZ</w:t>
      </w:r>
      <w:r w:rsidR="00A577A6" w:rsidRPr="00FA3359">
        <w:rPr>
          <w:rFonts w:ascii="Arial" w:hAnsi="Arial" w:cs="Arial"/>
          <w:sz w:val="22"/>
          <w:szCs w:val="22"/>
        </w:rPr>
        <w:t xml:space="preserve"> helps them challenge distorted thinking and</w:t>
      </w:r>
      <w:r w:rsidR="00A577A6" w:rsidRPr="00964CBA">
        <w:rPr>
          <w:rFonts w:ascii="Arial" w:hAnsi="Arial" w:cs="Arial"/>
          <w:sz w:val="22"/>
          <w:szCs w:val="22"/>
        </w:rPr>
        <w:t xml:space="preserve"> improve coping strategies </w:t>
      </w:r>
      <w:r w:rsidR="00CE29AF" w:rsidRPr="00964CBA">
        <w:rPr>
          <w:rFonts w:ascii="Arial" w:hAnsi="Arial" w:cs="Arial"/>
          <w:sz w:val="22"/>
          <w:szCs w:val="22"/>
        </w:rPr>
        <w:t>(Turkington, Kingdon and Turner, 2002)</w:t>
      </w:r>
      <w:r w:rsidR="00DE3320" w:rsidRPr="00964CBA">
        <w:rPr>
          <w:rFonts w:ascii="Arial" w:hAnsi="Arial" w:cs="Arial"/>
          <w:sz w:val="22"/>
          <w:szCs w:val="22"/>
        </w:rPr>
        <w:t>.</w:t>
      </w:r>
    </w:p>
    <w:p w14:paraId="3BD7575B" w14:textId="0E1706F6" w:rsidR="00E502D1" w:rsidRPr="00964CBA" w:rsidRDefault="005D2D56" w:rsidP="009601FA">
      <w:pPr>
        <w:pStyle w:val="paragraph"/>
        <w:spacing w:after="0" w:line="360" w:lineRule="auto"/>
        <w:jc w:val="both"/>
        <w:textAlignment w:val="baseline"/>
        <w:rPr>
          <w:rFonts w:ascii="Arial" w:hAnsi="Arial" w:cs="Arial"/>
          <w:sz w:val="22"/>
          <w:szCs w:val="22"/>
        </w:rPr>
      </w:pPr>
      <w:r w:rsidRPr="008942A3">
        <w:rPr>
          <w:rFonts w:ascii="Arial" w:hAnsi="Arial" w:cs="Arial"/>
          <w:sz w:val="22"/>
          <w:szCs w:val="22"/>
        </w:rPr>
        <w:t>Compensatory Cognitive Training (CCT)</w:t>
      </w:r>
      <w:r w:rsidR="002C5804" w:rsidRPr="00304FAE">
        <w:rPr>
          <w:rFonts w:ascii="Arial" w:hAnsi="Arial" w:cs="Arial"/>
          <w:b/>
          <w:bCs/>
          <w:sz w:val="22"/>
          <w:szCs w:val="22"/>
        </w:rPr>
        <w:t xml:space="preserve"> </w:t>
      </w:r>
      <w:r w:rsidR="002C5804" w:rsidRPr="00964CBA">
        <w:rPr>
          <w:rFonts w:ascii="Arial" w:hAnsi="Arial" w:cs="Arial"/>
          <w:sz w:val="22"/>
          <w:szCs w:val="22"/>
        </w:rPr>
        <w:t xml:space="preserve">enhances memory and attention in individuals with </w:t>
      </w:r>
      <w:r w:rsidR="00E85180" w:rsidRPr="00964CBA">
        <w:rPr>
          <w:rFonts w:ascii="Arial" w:hAnsi="Arial" w:cs="Arial"/>
          <w:sz w:val="22"/>
          <w:szCs w:val="22"/>
        </w:rPr>
        <w:t>SCZ</w:t>
      </w:r>
      <w:r w:rsidR="002C5804" w:rsidRPr="00964CBA">
        <w:rPr>
          <w:rFonts w:ascii="Arial" w:hAnsi="Arial" w:cs="Arial"/>
          <w:sz w:val="22"/>
          <w:szCs w:val="22"/>
        </w:rPr>
        <w:t>, improving daily functioning (Haut, Lim,</w:t>
      </w:r>
      <w:r w:rsidR="009B5233" w:rsidRPr="00964CBA">
        <w:rPr>
          <w:rFonts w:ascii="Arial" w:hAnsi="Arial" w:cs="Arial"/>
          <w:sz w:val="22"/>
          <w:szCs w:val="22"/>
        </w:rPr>
        <w:t xml:space="preserve"> and MacDonald, 2010).</w:t>
      </w:r>
    </w:p>
    <w:p w14:paraId="788CAAF0" w14:textId="50750BB5" w:rsidR="00926044" w:rsidRPr="00964CBA" w:rsidRDefault="00B065F6" w:rsidP="009601FA">
      <w:pPr>
        <w:pStyle w:val="paragraph"/>
        <w:spacing w:after="0" w:line="360" w:lineRule="auto"/>
        <w:jc w:val="both"/>
        <w:textAlignment w:val="baseline"/>
        <w:rPr>
          <w:rFonts w:ascii="Arial" w:hAnsi="Arial" w:cs="Arial"/>
          <w:sz w:val="22"/>
          <w:szCs w:val="22"/>
        </w:rPr>
      </w:pPr>
      <w:r w:rsidRPr="008942A3">
        <w:rPr>
          <w:rFonts w:ascii="Arial" w:hAnsi="Arial" w:cs="Arial"/>
          <w:sz w:val="22"/>
          <w:szCs w:val="22"/>
        </w:rPr>
        <w:t>Healthcare</w:t>
      </w:r>
      <w:r w:rsidR="00DE6B85" w:rsidRPr="008942A3">
        <w:rPr>
          <w:rFonts w:ascii="Arial" w:hAnsi="Arial" w:cs="Arial"/>
          <w:sz w:val="22"/>
          <w:szCs w:val="22"/>
        </w:rPr>
        <w:t xml:space="preserve"> </w:t>
      </w:r>
      <w:r w:rsidRPr="008942A3">
        <w:rPr>
          <w:rFonts w:ascii="Arial" w:hAnsi="Arial" w:cs="Arial"/>
          <w:sz w:val="22"/>
          <w:szCs w:val="22"/>
        </w:rPr>
        <w:t>Provisions</w:t>
      </w:r>
      <w:r w:rsidR="007221B4" w:rsidRPr="008942A3">
        <w:rPr>
          <w:rFonts w:ascii="Arial" w:hAnsi="Arial" w:cs="Arial"/>
          <w:sz w:val="22"/>
          <w:szCs w:val="22"/>
        </w:rPr>
        <w:t>:</w:t>
      </w:r>
      <w:r w:rsidR="007221B4" w:rsidRPr="00964CBA">
        <w:rPr>
          <w:rFonts w:ascii="Arial" w:hAnsi="Arial" w:cs="Arial"/>
          <w:b/>
          <w:bCs/>
          <w:sz w:val="22"/>
          <w:szCs w:val="22"/>
        </w:rPr>
        <w:t xml:space="preserve"> </w:t>
      </w:r>
      <w:r w:rsidR="003D0E7F" w:rsidRPr="00964CBA">
        <w:rPr>
          <w:rFonts w:ascii="Arial" w:hAnsi="Arial" w:cs="Arial"/>
          <w:sz w:val="22"/>
          <w:szCs w:val="22"/>
        </w:rPr>
        <w:t>Early Intervention and Ongoing Support</w:t>
      </w:r>
      <w:r w:rsidR="00AD5EE1" w:rsidRPr="00964CBA">
        <w:rPr>
          <w:rFonts w:ascii="Arial" w:hAnsi="Arial" w:cs="Arial"/>
          <w:sz w:val="22"/>
          <w:szCs w:val="22"/>
        </w:rPr>
        <w:t xml:space="preserve"> </w:t>
      </w:r>
      <w:r w:rsidR="003D0E7F" w:rsidRPr="00964CBA">
        <w:rPr>
          <w:rFonts w:ascii="Arial" w:hAnsi="Arial" w:cs="Arial"/>
          <w:sz w:val="22"/>
          <w:szCs w:val="22"/>
        </w:rPr>
        <w:t>Specialist</w:t>
      </w:r>
      <w:r w:rsidR="008942A3">
        <w:rPr>
          <w:rFonts w:ascii="Arial" w:hAnsi="Arial" w:cs="Arial"/>
          <w:sz w:val="22"/>
          <w:szCs w:val="22"/>
        </w:rPr>
        <w:t>.</w:t>
      </w:r>
      <w:r w:rsidR="003D0E7F" w:rsidRPr="00964CBA">
        <w:rPr>
          <w:rFonts w:ascii="Arial" w:hAnsi="Arial" w:cs="Arial"/>
          <w:sz w:val="22"/>
          <w:szCs w:val="22"/>
        </w:rPr>
        <w:t xml:space="preserve"> </w:t>
      </w:r>
      <w:r w:rsidR="00126C89" w:rsidRPr="00964CBA">
        <w:rPr>
          <w:rFonts w:ascii="Arial" w:hAnsi="Arial" w:cs="Arial"/>
          <w:sz w:val="22"/>
          <w:szCs w:val="22"/>
        </w:rPr>
        <w:t>Early</w:t>
      </w:r>
      <w:r w:rsidR="003D0E7F" w:rsidRPr="00964CBA">
        <w:rPr>
          <w:rFonts w:ascii="Arial" w:hAnsi="Arial" w:cs="Arial"/>
          <w:sz w:val="22"/>
          <w:szCs w:val="22"/>
        </w:rPr>
        <w:t xml:space="preserve"> intervention teams maintain strong clinician-patient engagement while ensuring continuous and coordinated </w:t>
      </w:r>
      <w:r w:rsidR="00636DE6" w:rsidRPr="00964CBA">
        <w:rPr>
          <w:rFonts w:ascii="Arial" w:hAnsi="Arial" w:cs="Arial"/>
          <w:sz w:val="22"/>
          <w:szCs w:val="22"/>
        </w:rPr>
        <w:t xml:space="preserve">care (Pelosi </w:t>
      </w:r>
      <w:r w:rsidR="008942A3">
        <w:rPr>
          <w:rFonts w:ascii="Arial" w:hAnsi="Arial" w:cs="Arial"/>
          <w:sz w:val="22"/>
          <w:szCs w:val="22"/>
        </w:rPr>
        <w:t>&amp;</w:t>
      </w:r>
      <w:r w:rsidR="00636DE6" w:rsidRPr="00964CBA">
        <w:rPr>
          <w:rFonts w:ascii="Arial" w:hAnsi="Arial" w:cs="Arial"/>
          <w:sz w:val="22"/>
          <w:szCs w:val="22"/>
        </w:rPr>
        <w:t xml:space="preserve"> Arulnathan, 2023).</w:t>
      </w:r>
    </w:p>
    <w:p w14:paraId="2FB6E1FE" w14:textId="12ADAA0F" w:rsidR="00BE745C" w:rsidRPr="00964CBA" w:rsidRDefault="00B065F6" w:rsidP="009601FA">
      <w:pPr>
        <w:pStyle w:val="paragraph"/>
        <w:spacing w:before="0" w:beforeAutospacing="0" w:after="0" w:afterAutospacing="0" w:line="360" w:lineRule="auto"/>
        <w:jc w:val="both"/>
        <w:textAlignment w:val="baseline"/>
        <w:rPr>
          <w:rFonts w:ascii="Arial" w:hAnsi="Arial" w:cs="Arial"/>
          <w:sz w:val="22"/>
          <w:szCs w:val="22"/>
        </w:rPr>
      </w:pPr>
      <w:r w:rsidRPr="008942A3">
        <w:rPr>
          <w:rFonts w:ascii="Arial" w:hAnsi="Arial" w:cs="Arial"/>
          <w:sz w:val="22"/>
          <w:szCs w:val="22"/>
        </w:rPr>
        <w:t>ICD-11</w:t>
      </w:r>
      <w:r w:rsidRPr="00964CBA">
        <w:rPr>
          <w:rFonts w:ascii="Arial" w:hAnsi="Arial" w:cs="Arial"/>
          <w:b/>
          <w:bCs/>
          <w:sz w:val="22"/>
          <w:szCs w:val="22"/>
        </w:rPr>
        <w:t xml:space="preserve"> </w:t>
      </w:r>
      <w:r w:rsidRPr="008942A3">
        <w:rPr>
          <w:rFonts w:ascii="Arial" w:hAnsi="Arial" w:cs="Arial"/>
          <w:sz w:val="22"/>
          <w:szCs w:val="22"/>
        </w:rPr>
        <w:t xml:space="preserve">(International Classification of Diseases, 11th </w:t>
      </w:r>
      <w:r w:rsidR="009D745C" w:rsidRPr="008942A3">
        <w:rPr>
          <w:rFonts w:ascii="Arial" w:hAnsi="Arial" w:cs="Arial"/>
          <w:sz w:val="22"/>
          <w:szCs w:val="22"/>
        </w:rPr>
        <w:t>Revision</w:t>
      </w:r>
      <w:r w:rsidR="002C5804" w:rsidRPr="008942A3">
        <w:rPr>
          <w:rFonts w:ascii="Arial" w:hAnsi="Arial" w:cs="Arial"/>
          <w:sz w:val="22"/>
          <w:szCs w:val="22"/>
        </w:rPr>
        <w:t>,</w:t>
      </w:r>
      <w:r w:rsidR="007A5239" w:rsidRPr="008942A3">
        <w:rPr>
          <w:rFonts w:ascii="Arial" w:hAnsi="Arial" w:cs="Arial"/>
          <w:sz w:val="22"/>
          <w:szCs w:val="22"/>
        </w:rPr>
        <w:t xml:space="preserve"> 2022</w:t>
      </w:r>
      <w:r w:rsidR="009D745C" w:rsidRPr="008942A3">
        <w:rPr>
          <w:rFonts w:ascii="Arial" w:hAnsi="Arial" w:cs="Arial"/>
          <w:sz w:val="22"/>
          <w:szCs w:val="22"/>
        </w:rPr>
        <w:t>)</w:t>
      </w:r>
      <w:r w:rsidRPr="008942A3">
        <w:rPr>
          <w:rFonts w:ascii="Arial" w:hAnsi="Arial" w:cs="Arial"/>
          <w:sz w:val="22"/>
          <w:szCs w:val="22"/>
        </w:rPr>
        <w:t>:</w:t>
      </w:r>
      <w:r w:rsidRPr="00964CBA">
        <w:rPr>
          <w:rFonts w:ascii="Arial" w:hAnsi="Arial" w:cs="Arial"/>
          <w:sz w:val="22"/>
          <w:szCs w:val="22"/>
        </w:rPr>
        <w:t xml:space="preserve"> The global diagnostic system developed by the World Health Organisation (WHO) that classifies </w:t>
      </w:r>
      <w:r w:rsidR="00F45EAA" w:rsidRPr="00964CBA">
        <w:rPr>
          <w:rFonts w:ascii="Arial" w:hAnsi="Arial" w:cs="Arial"/>
          <w:sz w:val="22"/>
          <w:szCs w:val="22"/>
        </w:rPr>
        <w:t>SCZ</w:t>
      </w:r>
      <w:r w:rsidRPr="00964CBA">
        <w:rPr>
          <w:rFonts w:ascii="Arial" w:hAnsi="Arial" w:cs="Arial"/>
          <w:sz w:val="22"/>
          <w:szCs w:val="22"/>
        </w:rPr>
        <w:t xml:space="preserve"> under "Mental, Behavioural, or Neurodevelopmental Disorders" (WHO, 2022).</w:t>
      </w:r>
    </w:p>
    <w:p w14:paraId="090F0FAC" w14:textId="77777777" w:rsidR="00102EF6" w:rsidRPr="00964CBA" w:rsidRDefault="00102EF6" w:rsidP="009601FA">
      <w:pPr>
        <w:pStyle w:val="paragraph"/>
        <w:spacing w:before="0" w:beforeAutospacing="0" w:after="0" w:afterAutospacing="0" w:line="360" w:lineRule="auto"/>
        <w:jc w:val="both"/>
        <w:textAlignment w:val="baseline"/>
        <w:rPr>
          <w:rFonts w:ascii="Arial" w:hAnsi="Arial" w:cs="Arial"/>
          <w:b/>
          <w:bCs/>
          <w:sz w:val="22"/>
          <w:szCs w:val="22"/>
        </w:rPr>
      </w:pPr>
    </w:p>
    <w:p w14:paraId="26C7B16B" w14:textId="3A0763F9" w:rsidR="00102EF6" w:rsidRPr="00964CBA" w:rsidRDefault="00102EF6" w:rsidP="009601FA">
      <w:pPr>
        <w:pStyle w:val="paragraph"/>
        <w:spacing w:before="0" w:beforeAutospacing="0" w:after="0" w:afterAutospacing="0" w:line="360" w:lineRule="auto"/>
        <w:jc w:val="both"/>
        <w:textAlignment w:val="baseline"/>
        <w:rPr>
          <w:rFonts w:ascii="Arial" w:hAnsi="Arial" w:cs="Arial"/>
          <w:sz w:val="22"/>
          <w:szCs w:val="22"/>
        </w:rPr>
      </w:pPr>
      <w:r w:rsidRPr="008942A3">
        <w:rPr>
          <w:rFonts w:ascii="Arial" w:hAnsi="Arial" w:cs="Arial"/>
          <w:sz w:val="22"/>
          <w:szCs w:val="22"/>
        </w:rPr>
        <w:t>National Institute for Health and Care Excellence (NICE): An</w:t>
      </w:r>
      <w:r w:rsidRPr="00964CBA">
        <w:rPr>
          <w:rFonts w:ascii="Arial" w:hAnsi="Arial" w:cs="Arial"/>
          <w:sz w:val="22"/>
          <w:szCs w:val="22"/>
        </w:rPr>
        <w:t xml:space="preserve"> independent public body that provides national guidance and recommendations to improve health and social care in England. NICE develops clinical guidelines for managing </w:t>
      </w:r>
      <w:r w:rsidR="00B2631F" w:rsidRPr="00964CBA">
        <w:rPr>
          <w:rFonts w:ascii="Arial" w:hAnsi="Arial" w:cs="Arial"/>
          <w:sz w:val="22"/>
          <w:szCs w:val="22"/>
        </w:rPr>
        <w:t>SCZ</w:t>
      </w:r>
      <w:r w:rsidRPr="00964CBA">
        <w:rPr>
          <w:rFonts w:ascii="Arial" w:hAnsi="Arial" w:cs="Arial"/>
          <w:sz w:val="22"/>
          <w:szCs w:val="22"/>
        </w:rPr>
        <w:t>, ensuring evidence-based best practices in treatment and care (NICE, 2023).</w:t>
      </w:r>
    </w:p>
    <w:p w14:paraId="431A0351" w14:textId="77777777" w:rsidR="003B0A85" w:rsidRPr="00964CBA" w:rsidRDefault="003B0A85" w:rsidP="009601FA">
      <w:pPr>
        <w:pStyle w:val="paragraph"/>
        <w:spacing w:before="0" w:beforeAutospacing="0" w:after="0" w:afterAutospacing="0" w:line="360" w:lineRule="auto"/>
        <w:jc w:val="both"/>
        <w:textAlignment w:val="baseline"/>
        <w:rPr>
          <w:rFonts w:ascii="Arial" w:hAnsi="Arial" w:cs="Arial"/>
          <w:b/>
          <w:bCs/>
          <w:sz w:val="22"/>
          <w:szCs w:val="22"/>
        </w:rPr>
      </w:pPr>
    </w:p>
    <w:p w14:paraId="31BF8CDC" w14:textId="6DBAC3F8" w:rsidR="003B0A85" w:rsidRPr="00964CBA" w:rsidRDefault="003B0A85" w:rsidP="009601FA">
      <w:pPr>
        <w:pStyle w:val="paragraph"/>
        <w:spacing w:before="0" w:beforeAutospacing="0" w:after="0" w:afterAutospacing="0" w:line="360" w:lineRule="auto"/>
        <w:jc w:val="both"/>
        <w:textAlignment w:val="baseline"/>
        <w:rPr>
          <w:rFonts w:ascii="Arial" w:hAnsi="Arial" w:cs="Arial"/>
          <w:sz w:val="22"/>
          <w:szCs w:val="22"/>
        </w:rPr>
      </w:pPr>
      <w:r w:rsidRPr="008942A3">
        <w:rPr>
          <w:rFonts w:ascii="Arial" w:hAnsi="Arial" w:cs="Arial"/>
          <w:sz w:val="22"/>
          <w:szCs w:val="22"/>
        </w:rPr>
        <w:t xml:space="preserve">Pharmacological </w:t>
      </w:r>
      <w:r w:rsidR="00304FAE" w:rsidRPr="008942A3">
        <w:rPr>
          <w:rFonts w:ascii="Arial" w:hAnsi="Arial" w:cs="Arial"/>
          <w:sz w:val="22"/>
          <w:szCs w:val="22"/>
        </w:rPr>
        <w:t>T</w:t>
      </w:r>
      <w:r w:rsidRPr="008942A3">
        <w:rPr>
          <w:rFonts w:ascii="Arial" w:hAnsi="Arial" w:cs="Arial"/>
          <w:sz w:val="22"/>
          <w:szCs w:val="22"/>
        </w:rPr>
        <w:t>reatments:</w:t>
      </w:r>
      <w:r w:rsidRPr="00964CBA">
        <w:rPr>
          <w:rFonts w:ascii="Arial" w:hAnsi="Arial" w:cs="Arial"/>
          <w:sz w:val="22"/>
          <w:szCs w:val="22"/>
        </w:rPr>
        <w:t xml:space="preserve"> SCZ management includes First-Generation Antipsychotics </w:t>
      </w:r>
      <w:r w:rsidRPr="008942A3">
        <w:rPr>
          <w:rFonts w:ascii="Arial" w:hAnsi="Arial" w:cs="Arial"/>
          <w:sz w:val="22"/>
          <w:szCs w:val="22"/>
        </w:rPr>
        <w:t>(FGAs)</w:t>
      </w:r>
      <w:r w:rsidRPr="00964CBA">
        <w:rPr>
          <w:rFonts w:ascii="Arial" w:hAnsi="Arial" w:cs="Arial"/>
          <w:sz w:val="22"/>
          <w:szCs w:val="22"/>
        </w:rPr>
        <w:t xml:space="preserve"> and</w:t>
      </w:r>
      <w:r w:rsidRPr="00964CBA">
        <w:rPr>
          <w:rFonts w:ascii="Arial" w:hAnsi="Arial" w:cs="Arial"/>
          <w:b/>
          <w:bCs/>
          <w:sz w:val="22"/>
          <w:szCs w:val="22"/>
        </w:rPr>
        <w:t xml:space="preserve"> </w:t>
      </w:r>
      <w:r w:rsidRPr="00964CBA">
        <w:rPr>
          <w:rFonts w:ascii="Arial" w:hAnsi="Arial" w:cs="Arial"/>
          <w:sz w:val="22"/>
          <w:szCs w:val="22"/>
        </w:rPr>
        <w:t>Second-Generation Antipsychotics</w:t>
      </w:r>
      <w:r w:rsidRPr="00964CBA">
        <w:rPr>
          <w:rFonts w:ascii="Arial" w:hAnsi="Arial" w:cs="Arial"/>
          <w:b/>
          <w:bCs/>
          <w:sz w:val="22"/>
          <w:szCs w:val="22"/>
        </w:rPr>
        <w:t xml:space="preserve"> </w:t>
      </w:r>
      <w:r w:rsidRPr="008942A3">
        <w:rPr>
          <w:rFonts w:ascii="Arial" w:hAnsi="Arial" w:cs="Arial"/>
          <w:sz w:val="22"/>
          <w:szCs w:val="22"/>
        </w:rPr>
        <w:t>(SGAs),</w:t>
      </w:r>
      <w:r w:rsidRPr="00964CBA">
        <w:rPr>
          <w:rFonts w:ascii="Arial" w:hAnsi="Arial" w:cs="Arial"/>
          <w:sz w:val="22"/>
          <w:szCs w:val="22"/>
        </w:rPr>
        <w:t xml:space="preserve"> both widely used in clinical practice. These medications are a fundamental component of SCZ treatment and are often prescribed based on individual patient needs and clinical guidelines (Ayyaj Shaikh </w:t>
      </w:r>
      <w:r w:rsidR="008942A3">
        <w:rPr>
          <w:rFonts w:ascii="Arial" w:hAnsi="Arial" w:cs="Arial"/>
          <w:sz w:val="22"/>
          <w:szCs w:val="22"/>
        </w:rPr>
        <w:t>&amp;</w:t>
      </w:r>
      <w:r w:rsidRPr="00964CBA">
        <w:rPr>
          <w:rFonts w:ascii="Arial" w:hAnsi="Arial" w:cs="Arial"/>
          <w:sz w:val="22"/>
          <w:szCs w:val="22"/>
        </w:rPr>
        <w:t xml:space="preserve"> Pawar, 2024).</w:t>
      </w:r>
    </w:p>
    <w:p w14:paraId="24B53C2B" w14:textId="77777777" w:rsidR="00695567" w:rsidRPr="00964CBA" w:rsidRDefault="00695567" w:rsidP="009601FA">
      <w:pPr>
        <w:pStyle w:val="paragraph"/>
        <w:spacing w:before="0" w:beforeAutospacing="0" w:after="0" w:afterAutospacing="0" w:line="360" w:lineRule="auto"/>
        <w:jc w:val="both"/>
        <w:textAlignment w:val="baseline"/>
        <w:rPr>
          <w:rFonts w:ascii="Arial" w:hAnsi="Arial" w:cs="Arial"/>
          <w:sz w:val="22"/>
          <w:szCs w:val="22"/>
        </w:rPr>
      </w:pPr>
    </w:p>
    <w:p w14:paraId="20E1F3AC" w14:textId="0EB42258" w:rsidR="00695567" w:rsidRPr="00964CBA" w:rsidRDefault="00695567" w:rsidP="009601FA">
      <w:pPr>
        <w:rPr>
          <w:rFonts w:ascii="Arial" w:hAnsi="Arial" w:cs="Arial"/>
        </w:rPr>
      </w:pPr>
      <w:r w:rsidRPr="008942A3">
        <w:rPr>
          <w:rFonts w:ascii="Arial" w:hAnsi="Arial" w:cs="Arial"/>
        </w:rPr>
        <w:t xml:space="preserve">Psychosocial </w:t>
      </w:r>
      <w:r w:rsidR="00DE759D" w:rsidRPr="008942A3">
        <w:rPr>
          <w:rFonts w:ascii="Arial" w:hAnsi="Arial" w:cs="Arial"/>
        </w:rPr>
        <w:t>Interventions: Non-medical</w:t>
      </w:r>
      <w:r w:rsidRPr="008942A3">
        <w:rPr>
          <w:rFonts w:ascii="Arial" w:hAnsi="Arial" w:cs="Arial"/>
        </w:rPr>
        <w:t xml:space="preserve"> therapies like cognitive-behavioural therapy (CBT), </w:t>
      </w:r>
      <w:r w:rsidRPr="00964CBA">
        <w:rPr>
          <w:rFonts w:ascii="Arial" w:hAnsi="Arial" w:cs="Arial"/>
        </w:rPr>
        <w:t xml:space="preserve">Psychoeducation, family therapy, </w:t>
      </w:r>
      <w:r w:rsidR="00F16EF0">
        <w:rPr>
          <w:rFonts w:ascii="Arial" w:hAnsi="Arial" w:cs="Arial"/>
        </w:rPr>
        <w:t>motivational</w:t>
      </w:r>
      <w:r w:rsidRPr="00964CBA">
        <w:rPr>
          <w:rFonts w:ascii="Arial" w:hAnsi="Arial" w:cs="Arial"/>
        </w:rPr>
        <w:t xml:space="preserve"> </w:t>
      </w:r>
      <w:r w:rsidRPr="008942A3">
        <w:rPr>
          <w:rFonts w:ascii="Arial" w:hAnsi="Arial" w:cs="Arial"/>
        </w:rPr>
        <w:t>interviewing (MI),</w:t>
      </w:r>
      <w:r w:rsidRPr="00964CBA">
        <w:rPr>
          <w:rFonts w:ascii="Arial" w:hAnsi="Arial" w:cs="Arial"/>
          <w:b/>
          <w:bCs/>
        </w:rPr>
        <w:t xml:space="preserve"> </w:t>
      </w:r>
      <w:r w:rsidRPr="00964CBA">
        <w:rPr>
          <w:rFonts w:ascii="Arial" w:hAnsi="Arial" w:cs="Arial"/>
        </w:rPr>
        <w:t xml:space="preserve">and social rehabilitation help individuals manage symptoms and improve their quality of life (Turkington et al.,2004)  </w:t>
      </w:r>
    </w:p>
    <w:p w14:paraId="679A8A04" w14:textId="302648F0" w:rsidR="00B065F6" w:rsidRPr="00964CBA" w:rsidRDefault="00B065F6" w:rsidP="009601FA">
      <w:pPr>
        <w:pStyle w:val="paragraph"/>
        <w:spacing w:before="0" w:beforeAutospacing="0" w:after="0" w:afterAutospacing="0" w:line="360" w:lineRule="auto"/>
        <w:jc w:val="both"/>
        <w:textAlignment w:val="baseline"/>
        <w:rPr>
          <w:rFonts w:ascii="Arial" w:hAnsi="Arial" w:cs="Arial"/>
          <w:sz w:val="22"/>
          <w:szCs w:val="22"/>
        </w:rPr>
      </w:pPr>
    </w:p>
    <w:p w14:paraId="417E0FED" w14:textId="5EC07B03" w:rsidR="00365826" w:rsidRPr="00964CBA" w:rsidRDefault="00B065F6" w:rsidP="009601FA">
      <w:pPr>
        <w:pStyle w:val="paragraph"/>
        <w:spacing w:before="0" w:beforeAutospacing="0" w:after="0" w:afterAutospacing="0" w:line="360" w:lineRule="auto"/>
        <w:jc w:val="both"/>
        <w:textAlignment w:val="baseline"/>
        <w:rPr>
          <w:rFonts w:ascii="Arial" w:hAnsi="Arial" w:cs="Arial"/>
          <w:sz w:val="22"/>
          <w:szCs w:val="22"/>
        </w:rPr>
      </w:pPr>
      <w:r w:rsidRPr="008942A3">
        <w:rPr>
          <w:rFonts w:ascii="Arial" w:hAnsi="Arial" w:cs="Arial"/>
          <w:sz w:val="22"/>
          <w:szCs w:val="22"/>
        </w:rPr>
        <w:t xml:space="preserve">Schizophrenia: </w:t>
      </w:r>
      <w:r w:rsidR="005E01C9" w:rsidRPr="008942A3">
        <w:rPr>
          <w:rFonts w:ascii="Arial" w:hAnsi="Arial" w:cs="Arial"/>
          <w:sz w:val="22"/>
          <w:szCs w:val="22"/>
        </w:rPr>
        <w:t>SCZ</w:t>
      </w:r>
      <w:r w:rsidR="000A1A9F" w:rsidRPr="00964CBA">
        <w:rPr>
          <w:rFonts w:ascii="Arial" w:hAnsi="Arial" w:cs="Arial"/>
          <w:sz w:val="22"/>
          <w:szCs w:val="22"/>
        </w:rPr>
        <w:t xml:space="preserve"> is a complex and heterogeneous disorder resulting from disruptions in brain development due to genetic or environmental influences. Treatment options typically include antipsychotic medications, psychological therapies, social support, and rehabilitation (Owen, Sawa and Mortensen, 2016).</w:t>
      </w:r>
      <w:r w:rsidR="00365826" w:rsidRPr="00964CBA">
        <w:rPr>
          <w:rFonts w:ascii="Arial" w:hAnsi="Arial" w:cs="Arial"/>
          <w:sz w:val="22"/>
          <w:szCs w:val="22"/>
        </w:rPr>
        <w:t xml:space="preserve"> </w:t>
      </w:r>
    </w:p>
    <w:p w14:paraId="0E42EC1B" w14:textId="5A0114AF" w:rsidR="00AE4486" w:rsidRPr="002721B7" w:rsidRDefault="007B6096" w:rsidP="002721B7">
      <w:pPr>
        <w:pStyle w:val="paragraph"/>
        <w:spacing w:before="0" w:beforeAutospacing="0" w:after="0" w:afterAutospacing="0" w:line="360" w:lineRule="auto"/>
        <w:jc w:val="both"/>
        <w:textAlignment w:val="baseline"/>
        <w:rPr>
          <w:rFonts w:ascii="Arial" w:hAnsi="Arial" w:cs="Arial"/>
          <w:sz w:val="22"/>
          <w:szCs w:val="22"/>
        </w:rPr>
      </w:pPr>
      <w:r w:rsidRPr="004D040D">
        <w:rPr>
          <w:rFonts w:ascii="Arial" w:hAnsi="Arial" w:cs="Arial"/>
          <w:b/>
          <w:bCs/>
          <w:noProof/>
          <w:sz w:val="22"/>
          <w:szCs w:val="22"/>
        </w:rPr>
        <w:lastRenderedPageBreak/>
        <w:drawing>
          <wp:anchor distT="0" distB="0" distL="114300" distR="114300" simplePos="0" relativeHeight="251719680" behindDoc="0" locked="0" layoutInCell="1" allowOverlap="1" wp14:anchorId="70F07BAA" wp14:editId="4FC8358D">
            <wp:simplePos x="0" y="0"/>
            <wp:positionH relativeFrom="column">
              <wp:posOffset>-31115</wp:posOffset>
            </wp:positionH>
            <wp:positionV relativeFrom="paragraph">
              <wp:posOffset>776189</wp:posOffset>
            </wp:positionV>
            <wp:extent cx="5970905" cy="8084185"/>
            <wp:effectExtent l="0" t="0" r="0" b="0"/>
            <wp:wrapSquare wrapText="bothSides"/>
            <wp:docPr id="796756105" name="Picture 1" descr="A table of medical rec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756105" name="Picture 1" descr="A table of medical record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970905" cy="8084185"/>
                    </a:xfrm>
                    <a:prstGeom prst="rect">
                      <a:avLst/>
                    </a:prstGeom>
                  </pic:spPr>
                </pic:pic>
              </a:graphicData>
            </a:graphic>
            <wp14:sizeRelH relativeFrom="page">
              <wp14:pctWidth>0</wp14:pctWidth>
            </wp14:sizeRelH>
            <wp14:sizeRelV relativeFrom="page">
              <wp14:pctHeight>0</wp14:pctHeight>
            </wp14:sizeRelV>
          </wp:anchor>
        </w:drawing>
      </w:r>
      <w:r w:rsidR="00365826" w:rsidRPr="00FA3359">
        <w:rPr>
          <w:rFonts w:ascii="Arial" w:hAnsi="Arial" w:cs="Arial"/>
          <w:sz w:val="22"/>
          <w:szCs w:val="22"/>
        </w:rPr>
        <w:t>Systemic Barriers:</w:t>
      </w:r>
      <w:r w:rsidR="00365826" w:rsidRPr="00964CBA">
        <w:rPr>
          <w:rFonts w:ascii="Arial" w:hAnsi="Arial" w:cs="Arial"/>
          <w:sz w:val="22"/>
          <w:szCs w:val="22"/>
        </w:rPr>
        <w:t xml:space="preserve"> Institutional and structural challenges hinder access to adequate </w:t>
      </w:r>
      <w:r w:rsidR="003B0A85" w:rsidRPr="00964CBA">
        <w:rPr>
          <w:rFonts w:ascii="Arial" w:hAnsi="Arial" w:cs="Arial"/>
          <w:sz w:val="22"/>
          <w:szCs w:val="22"/>
        </w:rPr>
        <w:t>SCZ</w:t>
      </w:r>
      <w:r w:rsidR="00365826" w:rsidRPr="00964CBA">
        <w:rPr>
          <w:rFonts w:ascii="Arial" w:hAnsi="Arial" w:cs="Arial"/>
          <w:sz w:val="22"/>
          <w:szCs w:val="22"/>
        </w:rPr>
        <w:t xml:space="preserve"> care within the NHS</w:t>
      </w:r>
      <w:r w:rsidR="00102523">
        <w:rPr>
          <w:rFonts w:ascii="Arial" w:hAnsi="Arial" w:cs="Arial"/>
        </w:rPr>
        <w:t>,</w:t>
      </w:r>
      <w:r w:rsidR="00365826" w:rsidRPr="00964CBA">
        <w:rPr>
          <w:rFonts w:ascii="Arial" w:hAnsi="Arial" w:cs="Arial"/>
          <w:sz w:val="22"/>
          <w:szCs w:val="22"/>
        </w:rPr>
        <w:t xml:space="preserve"> </w:t>
      </w:r>
      <w:r w:rsidR="00CA7073" w:rsidRPr="00964CBA">
        <w:rPr>
          <w:rFonts w:ascii="Arial" w:hAnsi="Arial" w:cs="Arial"/>
        </w:rPr>
        <w:t>including</w:t>
      </w:r>
      <w:r w:rsidR="00365826" w:rsidRPr="00964CBA">
        <w:rPr>
          <w:rFonts w:ascii="Arial" w:hAnsi="Arial" w:cs="Arial"/>
          <w:sz w:val="22"/>
          <w:szCs w:val="22"/>
        </w:rPr>
        <w:t xml:space="preserve"> long waits, regional differences, socioeconomic factors, and stigma (Ngaage &amp; Agius, 2016)</w:t>
      </w:r>
      <w:r w:rsidR="00737497">
        <w:rPr>
          <w:rFonts w:ascii="Arial" w:hAnsi="Arial" w:cs="Arial"/>
          <w:sz w:val="22"/>
          <w:szCs w:val="22"/>
        </w:rPr>
        <w:t>.</w:t>
      </w:r>
    </w:p>
    <w:p w14:paraId="126BC0FB" w14:textId="2D55EA75" w:rsidR="00CB2B51" w:rsidRPr="00746800" w:rsidRDefault="00CB2B51" w:rsidP="00FD0175">
      <w:pPr>
        <w:pStyle w:val="Heading1"/>
      </w:pPr>
      <w:bookmarkStart w:id="5" w:name="_Toc204981474"/>
      <w:r w:rsidRPr="00807CFA">
        <w:lastRenderedPageBreak/>
        <w:t>CHAPTER 1</w:t>
      </w:r>
      <w:r w:rsidRPr="00746800">
        <w:t>:</w:t>
      </w:r>
      <w:bookmarkEnd w:id="5"/>
      <w:r w:rsidRPr="00746800">
        <w:t xml:space="preserve"> </w:t>
      </w:r>
    </w:p>
    <w:p w14:paraId="06AA6709" w14:textId="77777777" w:rsidR="00CB2B51" w:rsidRPr="00964450" w:rsidRDefault="00CB2B51" w:rsidP="00CB2B51">
      <w:pPr>
        <w:pStyle w:val="paragraph"/>
        <w:spacing w:before="0" w:beforeAutospacing="0" w:after="0" w:afterAutospacing="0" w:line="360" w:lineRule="auto"/>
        <w:textAlignment w:val="baseline"/>
        <w:rPr>
          <w:rStyle w:val="normaltextrun"/>
          <w:rFonts w:ascii="Arial" w:hAnsi="Arial" w:cs="Arial"/>
          <w:b/>
          <w:bCs/>
          <w:i/>
          <w:iCs/>
          <w:sz w:val="28"/>
          <w:szCs w:val="28"/>
        </w:rPr>
      </w:pPr>
    </w:p>
    <w:p w14:paraId="29448047" w14:textId="1ED7B0DB" w:rsidR="00CB2B51" w:rsidRPr="000325CD" w:rsidRDefault="00CB2B51" w:rsidP="00CA6038">
      <w:pPr>
        <w:pStyle w:val="Heading2"/>
        <w:rPr>
          <w:rStyle w:val="eop"/>
        </w:rPr>
      </w:pPr>
      <w:bookmarkStart w:id="6" w:name="_Toc204981475"/>
      <w:r w:rsidRPr="000325CD">
        <w:rPr>
          <w:rStyle w:val="normaltextrun"/>
        </w:rPr>
        <w:t xml:space="preserve">1.2 </w:t>
      </w:r>
      <w:r w:rsidR="006A5420" w:rsidRPr="000325CD">
        <w:rPr>
          <w:rStyle w:val="normaltextrun"/>
        </w:rPr>
        <w:t>Introduction</w:t>
      </w:r>
      <w:bookmarkEnd w:id="6"/>
      <w:r w:rsidR="006A5420" w:rsidRPr="000325CD">
        <w:rPr>
          <w:rStyle w:val="normaltextrun"/>
        </w:rPr>
        <w:t xml:space="preserve"> </w:t>
      </w:r>
    </w:p>
    <w:p w14:paraId="02B0337A" w14:textId="5A8B8C29" w:rsidR="006A5420" w:rsidRPr="00C03A92" w:rsidRDefault="006A5420" w:rsidP="007D680B">
      <w:pPr>
        <w:pStyle w:val="NormalWeb"/>
        <w:spacing w:line="360" w:lineRule="auto"/>
        <w:jc w:val="both"/>
        <w:rPr>
          <w:rFonts w:ascii="Arial" w:hAnsi="Arial" w:cs="Arial"/>
          <w:sz w:val="22"/>
          <w:szCs w:val="22"/>
        </w:rPr>
      </w:pPr>
      <w:r w:rsidRPr="00964CBA">
        <w:rPr>
          <w:rFonts w:ascii="Arial" w:hAnsi="Arial" w:cs="Arial"/>
          <w:sz w:val="22"/>
          <w:szCs w:val="22"/>
        </w:rPr>
        <w:t xml:space="preserve">SCZ is a mental disorder that disrupts thought, emotion, and </w:t>
      </w:r>
      <w:r w:rsidRPr="00C23E8E">
        <w:rPr>
          <w:rFonts w:ascii="Arial" w:hAnsi="Arial" w:cs="Arial"/>
          <w:sz w:val="22"/>
          <w:szCs w:val="22"/>
        </w:rPr>
        <w:t>behaviour (Mayo Clinic, 2024).</w:t>
      </w:r>
      <w:r w:rsidRPr="00964CBA">
        <w:rPr>
          <w:rFonts w:ascii="Arial" w:hAnsi="Arial" w:cs="Arial"/>
          <w:sz w:val="22"/>
          <w:szCs w:val="22"/>
        </w:rPr>
        <w:t xml:space="preserve"> It typically emerges in late adolescence or early adulthood and is marked by hallucinations and </w:t>
      </w:r>
      <w:r w:rsidRPr="00C76318">
        <w:rPr>
          <w:rFonts w:ascii="Arial" w:hAnsi="Arial" w:cs="Arial"/>
          <w:sz w:val="22"/>
          <w:szCs w:val="22"/>
        </w:rPr>
        <w:t>delusions (Preksha Saparia, 2023).</w:t>
      </w:r>
      <w:r w:rsidRPr="00964CBA">
        <w:rPr>
          <w:rFonts w:ascii="Arial" w:hAnsi="Arial" w:cs="Arial"/>
          <w:sz w:val="22"/>
          <w:szCs w:val="22"/>
        </w:rPr>
        <w:t xml:space="preserve"> Treatment involves pharmacological and psychosocial </w:t>
      </w:r>
      <w:r w:rsidRPr="007E24D7">
        <w:rPr>
          <w:rFonts w:ascii="Arial" w:hAnsi="Arial" w:cs="Arial"/>
          <w:sz w:val="22"/>
          <w:szCs w:val="22"/>
        </w:rPr>
        <w:t xml:space="preserve">interventions (McCutcheon, Reis Marques </w:t>
      </w:r>
      <w:r w:rsidR="00300AEE" w:rsidRPr="007E24D7">
        <w:rPr>
          <w:rFonts w:ascii="Arial" w:hAnsi="Arial" w:cs="Arial"/>
          <w:sz w:val="22"/>
          <w:szCs w:val="22"/>
        </w:rPr>
        <w:t>and</w:t>
      </w:r>
      <w:r w:rsidRPr="007E24D7">
        <w:rPr>
          <w:rFonts w:ascii="Arial" w:hAnsi="Arial" w:cs="Arial"/>
          <w:sz w:val="22"/>
          <w:szCs w:val="22"/>
        </w:rPr>
        <w:t xml:space="preserve"> Howes, 2020).</w:t>
      </w:r>
      <w:r w:rsidRPr="00964CBA">
        <w:rPr>
          <w:rFonts w:ascii="Arial" w:hAnsi="Arial" w:cs="Arial"/>
          <w:sz w:val="22"/>
          <w:szCs w:val="22"/>
        </w:rPr>
        <w:t xml:space="preserve"> Classified under "Mental, Behavioural, or Neurodevelopmental Disorders" in ICD-11, it significantly impairs social and occupational </w:t>
      </w:r>
      <w:r w:rsidRPr="00CF50BC">
        <w:rPr>
          <w:rFonts w:ascii="Arial" w:hAnsi="Arial" w:cs="Arial"/>
          <w:sz w:val="22"/>
          <w:szCs w:val="22"/>
        </w:rPr>
        <w:t>functioning (NHS, 2023).</w:t>
      </w:r>
      <w:r w:rsidR="00C03A92">
        <w:rPr>
          <w:rFonts w:ascii="Arial" w:hAnsi="Arial" w:cs="Arial"/>
          <w:sz w:val="22"/>
          <w:szCs w:val="22"/>
        </w:rPr>
        <w:t xml:space="preserve"> </w:t>
      </w:r>
      <w:r w:rsidRPr="00964CBA">
        <w:rPr>
          <w:rFonts w:ascii="Arial" w:hAnsi="Arial" w:cs="Arial"/>
          <w:sz w:val="22"/>
          <w:szCs w:val="22"/>
        </w:rPr>
        <w:t xml:space="preserve">Around 24 million people globally live with SCZ, 1 in 222 (0.45%) among </w:t>
      </w:r>
      <w:r w:rsidRPr="00FB39F9">
        <w:rPr>
          <w:rFonts w:ascii="Arial" w:hAnsi="Arial" w:cs="Arial"/>
          <w:sz w:val="22"/>
          <w:szCs w:val="22"/>
        </w:rPr>
        <w:t>adults (WHO, 2022).</w:t>
      </w:r>
      <w:r w:rsidRPr="00964CBA">
        <w:rPr>
          <w:rFonts w:ascii="Arial" w:hAnsi="Arial" w:cs="Arial"/>
          <w:sz w:val="22"/>
          <w:szCs w:val="22"/>
        </w:rPr>
        <w:t xml:space="preserve"> In 2013</w:t>
      </w:r>
      <w:r w:rsidR="00CC61D1">
        <w:rPr>
          <w:rFonts w:ascii="Arial" w:hAnsi="Arial" w:cs="Arial"/>
          <w:sz w:val="22"/>
          <w:szCs w:val="22"/>
        </w:rPr>
        <w:t>,</w:t>
      </w:r>
      <w:r w:rsidRPr="00964CBA">
        <w:rPr>
          <w:rFonts w:ascii="Arial" w:hAnsi="Arial" w:cs="Arial"/>
          <w:sz w:val="22"/>
          <w:szCs w:val="22"/>
        </w:rPr>
        <w:t xml:space="preserve"> there were 7,500 new annual cases in the UK with an incidence rate of 0.01% </w:t>
      </w:r>
      <w:r w:rsidRPr="00AC6862">
        <w:rPr>
          <w:rFonts w:ascii="Arial" w:hAnsi="Arial" w:cs="Arial"/>
          <w:sz w:val="22"/>
          <w:szCs w:val="22"/>
        </w:rPr>
        <w:t xml:space="preserve">(Hardoon </w:t>
      </w:r>
      <w:r w:rsidRPr="00AC6862">
        <w:rPr>
          <w:rFonts w:ascii="Arial" w:hAnsi="Arial" w:cs="Arial"/>
          <w:i/>
          <w:iCs/>
          <w:sz w:val="22"/>
          <w:szCs w:val="22"/>
        </w:rPr>
        <w:t>et al</w:t>
      </w:r>
      <w:r w:rsidRPr="00AC6862">
        <w:rPr>
          <w:rFonts w:ascii="Arial" w:hAnsi="Arial" w:cs="Arial"/>
          <w:sz w:val="22"/>
          <w:szCs w:val="22"/>
        </w:rPr>
        <w:t>., 2013).</w:t>
      </w:r>
      <w:r w:rsidRPr="00964CBA">
        <w:rPr>
          <w:rFonts w:ascii="Arial" w:hAnsi="Arial" w:cs="Arial"/>
          <w:sz w:val="22"/>
          <w:szCs w:val="22"/>
        </w:rPr>
        <w:t xml:space="preserve"> Recently, the </w:t>
      </w:r>
      <w:r w:rsidRPr="006A2708">
        <w:rPr>
          <w:rFonts w:ascii="Arial" w:hAnsi="Arial" w:cs="Arial"/>
          <w:sz w:val="22"/>
          <w:szCs w:val="22"/>
        </w:rPr>
        <w:t>Royal College of Psychiatrists (2024) reported</w:t>
      </w:r>
      <w:r w:rsidRPr="00964CBA">
        <w:rPr>
          <w:rFonts w:ascii="Arial" w:hAnsi="Arial" w:cs="Arial"/>
          <w:sz w:val="22"/>
          <w:szCs w:val="22"/>
        </w:rPr>
        <w:t xml:space="preserve"> a national prevalence of nearly 1%, highlighting its ongoing public health burden</w:t>
      </w:r>
      <w:r w:rsidRPr="00C64072">
        <w:rPr>
          <w:rFonts w:ascii="Arial" w:hAnsi="Arial" w:cs="Arial"/>
          <w:sz w:val="22"/>
          <w:szCs w:val="22"/>
        </w:rPr>
        <w:t>. The National Institute of Mental Health (2024) states</w:t>
      </w:r>
      <w:r w:rsidRPr="00964CBA">
        <w:rPr>
          <w:rFonts w:ascii="Arial" w:hAnsi="Arial" w:cs="Arial"/>
          <w:sz w:val="22"/>
          <w:szCs w:val="22"/>
        </w:rPr>
        <w:t xml:space="preserve"> that estimating SCZ's prevalence is difficult due to symptom overlap and diagnostic complexities. Despite NHS services, many experience delays in diagnosis and limited access to sustained </w:t>
      </w:r>
      <w:r w:rsidRPr="002348AD">
        <w:rPr>
          <w:rFonts w:ascii="Arial" w:hAnsi="Arial" w:cs="Arial"/>
          <w:sz w:val="22"/>
          <w:szCs w:val="22"/>
        </w:rPr>
        <w:t>care (Mind for Better Mental Health</w:t>
      </w:r>
      <w:r w:rsidRPr="00767306">
        <w:rPr>
          <w:rFonts w:ascii="Arial" w:hAnsi="Arial" w:cs="Arial"/>
          <w:sz w:val="22"/>
          <w:szCs w:val="22"/>
        </w:rPr>
        <w:t>, 2020; Rethink</w:t>
      </w:r>
      <w:r w:rsidRPr="00964CBA">
        <w:rPr>
          <w:rFonts w:ascii="Arial" w:hAnsi="Arial" w:cs="Arial"/>
          <w:sz w:val="22"/>
          <w:szCs w:val="22"/>
        </w:rPr>
        <w:t xml:space="preserve"> </w:t>
      </w:r>
      <w:r w:rsidRPr="00767306">
        <w:rPr>
          <w:rFonts w:ascii="Arial" w:hAnsi="Arial" w:cs="Arial"/>
          <w:sz w:val="22"/>
          <w:szCs w:val="22"/>
        </w:rPr>
        <w:t>Mental Illness, 2023).</w:t>
      </w:r>
    </w:p>
    <w:p w14:paraId="3CB36E6B" w14:textId="61DFD884" w:rsidR="006A5420" w:rsidRPr="00D4295E" w:rsidRDefault="006A5420" w:rsidP="007D680B">
      <w:pPr>
        <w:pStyle w:val="NormalWeb"/>
        <w:spacing w:line="360" w:lineRule="auto"/>
        <w:jc w:val="both"/>
        <w:rPr>
          <w:rFonts w:ascii="Arial" w:hAnsi="Arial" w:cs="Arial"/>
          <w:sz w:val="22"/>
          <w:szCs w:val="22"/>
        </w:rPr>
      </w:pPr>
      <w:r w:rsidRPr="0073135C">
        <w:rPr>
          <w:rFonts w:ascii="Arial" w:hAnsi="Arial" w:cs="Arial"/>
          <w:sz w:val="22"/>
          <w:szCs w:val="22"/>
        </w:rPr>
        <w:t xml:space="preserve">Treatment includes </w:t>
      </w:r>
      <w:r w:rsidR="000269B5">
        <w:rPr>
          <w:rFonts w:ascii="Arial" w:hAnsi="Arial" w:cs="Arial"/>
        </w:rPr>
        <w:t>SGAs</w:t>
      </w:r>
      <w:r w:rsidRPr="0051795A">
        <w:rPr>
          <w:rFonts w:ascii="Arial" w:hAnsi="Arial" w:cs="Arial"/>
          <w:sz w:val="22"/>
          <w:szCs w:val="22"/>
        </w:rPr>
        <w:t xml:space="preserve"> and</w:t>
      </w:r>
      <w:r w:rsidR="002E0E8E" w:rsidRPr="002E0E8E">
        <w:t xml:space="preserve"> </w:t>
      </w:r>
      <w:r w:rsidR="002E0E8E" w:rsidRPr="002E0E8E">
        <w:rPr>
          <w:rFonts w:ascii="Arial" w:hAnsi="Arial" w:cs="Arial"/>
          <w:sz w:val="22"/>
          <w:szCs w:val="22"/>
        </w:rPr>
        <w:t>psychosocial interventions, including CBT and family-based therapies</w:t>
      </w:r>
      <w:r w:rsidRPr="0073135C">
        <w:rPr>
          <w:rFonts w:ascii="Arial" w:hAnsi="Arial" w:cs="Arial"/>
          <w:sz w:val="22"/>
          <w:szCs w:val="22"/>
        </w:rPr>
        <w:t xml:space="preserve">, supporting symptom management and carer involvement </w:t>
      </w:r>
      <w:r w:rsidRPr="00C64072">
        <w:rPr>
          <w:rFonts w:ascii="Arial" w:hAnsi="Arial" w:cs="Arial"/>
          <w:sz w:val="22"/>
          <w:szCs w:val="22"/>
        </w:rPr>
        <w:t>(Mahmood et al., 2019</w:t>
      </w:r>
      <w:r w:rsidR="00263F7E" w:rsidRPr="00C64072">
        <w:rPr>
          <w:rFonts w:ascii="Arial" w:hAnsi="Arial" w:cs="Arial"/>
          <w:sz w:val="22"/>
          <w:szCs w:val="22"/>
        </w:rPr>
        <w:t>)</w:t>
      </w:r>
      <w:r w:rsidRPr="00C64072">
        <w:rPr>
          <w:rFonts w:ascii="Arial" w:hAnsi="Arial" w:cs="Arial"/>
          <w:sz w:val="22"/>
          <w:szCs w:val="22"/>
        </w:rPr>
        <w:t>, but BAME</w:t>
      </w:r>
      <w:r w:rsidRPr="0073135C">
        <w:rPr>
          <w:rFonts w:ascii="Arial" w:hAnsi="Arial" w:cs="Arial"/>
          <w:sz w:val="22"/>
          <w:szCs w:val="22"/>
        </w:rPr>
        <w:t xml:space="preserve"> populations still face inconsistent access, delayed referrals, and higher rates of compulsory </w:t>
      </w:r>
      <w:r w:rsidRPr="0039162B">
        <w:rPr>
          <w:rFonts w:ascii="Arial" w:hAnsi="Arial" w:cs="Arial"/>
          <w:sz w:val="22"/>
          <w:szCs w:val="22"/>
        </w:rPr>
        <w:t>treatment</w:t>
      </w:r>
      <w:r w:rsidR="00263F7E" w:rsidRPr="0039162B">
        <w:rPr>
          <w:rFonts w:ascii="Arial" w:hAnsi="Arial" w:cs="Arial"/>
          <w:sz w:val="22"/>
          <w:szCs w:val="22"/>
        </w:rPr>
        <w:t xml:space="preserve"> (Berendsen </w:t>
      </w:r>
      <w:r w:rsidR="00263F7E" w:rsidRPr="0039162B">
        <w:rPr>
          <w:rFonts w:ascii="Arial" w:hAnsi="Arial" w:cs="Arial"/>
          <w:i/>
          <w:iCs/>
          <w:sz w:val="22"/>
          <w:szCs w:val="22"/>
        </w:rPr>
        <w:t>et al</w:t>
      </w:r>
      <w:r w:rsidR="00263F7E" w:rsidRPr="0039162B">
        <w:rPr>
          <w:rFonts w:ascii="Arial" w:hAnsi="Arial" w:cs="Arial"/>
          <w:sz w:val="22"/>
          <w:szCs w:val="22"/>
        </w:rPr>
        <w:t>., 2024)</w:t>
      </w:r>
      <w:r w:rsidRPr="0039162B">
        <w:rPr>
          <w:rFonts w:ascii="Arial" w:hAnsi="Arial" w:cs="Arial"/>
          <w:sz w:val="22"/>
          <w:szCs w:val="22"/>
        </w:rPr>
        <w:t>. Kirkbride</w:t>
      </w:r>
      <w:r w:rsidRPr="00813C00">
        <w:rPr>
          <w:rFonts w:ascii="Arial" w:hAnsi="Arial" w:cs="Arial"/>
          <w:sz w:val="22"/>
          <w:szCs w:val="22"/>
        </w:rPr>
        <w:t xml:space="preserve"> </w:t>
      </w:r>
      <w:r w:rsidRPr="00813C00">
        <w:rPr>
          <w:rFonts w:ascii="Arial" w:hAnsi="Arial" w:cs="Arial"/>
          <w:i/>
          <w:iCs/>
          <w:sz w:val="22"/>
          <w:szCs w:val="22"/>
        </w:rPr>
        <w:t>et al.</w:t>
      </w:r>
      <w:r w:rsidRPr="00813C00">
        <w:rPr>
          <w:rFonts w:ascii="Arial" w:hAnsi="Arial" w:cs="Arial"/>
          <w:sz w:val="22"/>
          <w:szCs w:val="22"/>
        </w:rPr>
        <w:t xml:space="preserve"> (2012) identified</w:t>
      </w:r>
      <w:r w:rsidRPr="00964CBA">
        <w:rPr>
          <w:rFonts w:ascii="Arial" w:hAnsi="Arial" w:cs="Arial"/>
          <w:sz w:val="22"/>
          <w:szCs w:val="22"/>
        </w:rPr>
        <w:t xml:space="preserve"> patterns that Halvorsrud </w:t>
      </w:r>
      <w:r w:rsidRPr="0039162B">
        <w:rPr>
          <w:rFonts w:ascii="Arial" w:hAnsi="Arial" w:cs="Arial"/>
          <w:i/>
          <w:iCs/>
          <w:sz w:val="22"/>
          <w:szCs w:val="22"/>
        </w:rPr>
        <w:t>et al.</w:t>
      </w:r>
      <w:r w:rsidRPr="0039162B">
        <w:rPr>
          <w:rFonts w:ascii="Arial" w:hAnsi="Arial" w:cs="Arial"/>
          <w:sz w:val="22"/>
          <w:szCs w:val="22"/>
        </w:rPr>
        <w:t xml:space="preserve"> (2018)</w:t>
      </w:r>
      <w:r w:rsidRPr="00964CBA">
        <w:rPr>
          <w:rFonts w:ascii="Arial" w:hAnsi="Arial" w:cs="Arial"/>
          <w:sz w:val="22"/>
          <w:szCs w:val="22"/>
        </w:rPr>
        <w:t xml:space="preserve"> also reveal, highlighting ongoing systemic inequities. These challenges are worsened by regional disparities and cultural barriers that limit </w:t>
      </w:r>
      <w:r w:rsidR="005169A8">
        <w:rPr>
          <w:rFonts w:ascii="Arial" w:hAnsi="Arial" w:cs="Arial"/>
          <w:sz w:val="22"/>
          <w:szCs w:val="22"/>
        </w:rPr>
        <w:t xml:space="preserve">the </w:t>
      </w:r>
      <w:r w:rsidR="005169A8" w:rsidRPr="005169A8">
        <w:rPr>
          <w:rFonts w:ascii="Arial" w:hAnsi="Arial" w:cs="Arial"/>
          <w:sz w:val="22"/>
          <w:szCs w:val="22"/>
        </w:rPr>
        <w:t>availability of psychological support services</w:t>
      </w:r>
      <w:r w:rsidR="005169A8">
        <w:rPr>
          <w:rFonts w:ascii="Arial" w:hAnsi="Arial" w:cs="Arial"/>
          <w:sz w:val="22"/>
          <w:szCs w:val="22"/>
        </w:rPr>
        <w:t xml:space="preserve"> </w:t>
      </w:r>
      <w:r w:rsidRPr="00524454">
        <w:rPr>
          <w:rFonts w:ascii="Arial" w:hAnsi="Arial" w:cs="Arial"/>
          <w:sz w:val="22"/>
          <w:szCs w:val="22"/>
        </w:rPr>
        <w:t>(Das-Munshi</w:t>
      </w:r>
      <w:r w:rsidR="00AD1139">
        <w:rPr>
          <w:rFonts w:ascii="Arial" w:hAnsi="Arial" w:cs="Arial"/>
          <w:sz w:val="22"/>
          <w:szCs w:val="22"/>
        </w:rPr>
        <w:t xml:space="preserve"> </w:t>
      </w:r>
      <w:r w:rsidR="00AD1139" w:rsidRPr="00AD1139">
        <w:rPr>
          <w:rFonts w:ascii="Arial" w:hAnsi="Arial" w:cs="Arial"/>
          <w:i/>
          <w:iCs/>
          <w:sz w:val="22"/>
          <w:szCs w:val="22"/>
        </w:rPr>
        <w:t>et al.</w:t>
      </w:r>
      <w:r w:rsidRPr="00AD1139">
        <w:rPr>
          <w:rFonts w:ascii="Arial" w:hAnsi="Arial" w:cs="Arial"/>
          <w:i/>
          <w:iCs/>
          <w:sz w:val="22"/>
          <w:szCs w:val="22"/>
        </w:rPr>
        <w:t xml:space="preserve">, </w:t>
      </w:r>
      <w:r w:rsidRPr="00524454">
        <w:rPr>
          <w:rFonts w:ascii="Arial" w:hAnsi="Arial" w:cs="Arial"/>
          <w:sz w:val="22"/>
          <w:szCs w:val="22"/>
        </w:rPr>
        <w:t>Bhugra &amp; Crawford, 2018</w:t>
      </w:r>
      <w:r w:rsidRPr="0079799C">
        <w:rPr>
          <w:rFonts w:ascii="Arial" w:hAnsi="Arial" w:cs="Arial"/>
          <w:sz w:val="22"/>
          <w:szCs w:val="22"/>
        </w:rPr>
        <w:t>; McBride et al., 2021</w:t>
      </w:r>
      <w:r w:rsidRPr="00B028A5">
        <w:rPr>
          <w:rFonts w:ascii="Arial" w:hAnsi="Arial" w:cs="Arial"/>
          <w:sz w:val="22"/>
          <w:szCs w:val="22"/>
        </w:rPr>
        <w:t xml:space="preserve">; Barnett </w:t>
      </w:r>
      <w:r w:rsidRPr="00B028A5">
        <w:rPr>
          <w:rFonts w:ascii="Arial" w:hAnsi="Arial" w:cs="Arial"/>
          <w:i/>
          <w:iCs/>
          <w:sz w:val="22"/>
          <w:szCs w:val="22"/>
        </w:rPr>
        <w:t xml:space="preserve">et al., </w:t>
      </w:r>
      <w:r w:rsidRPr="00B028A5">
        <w:rPr>
          <w:rFonts w:ascii="Arial" w:hAnsi="Arial" w:cs="Arial"/>
          <w:sz w:val="22"/>
          <w:szCs w:val="22"/>
        </w:rPr>
        <w:t>2019).</w:t>
      </w:r>
      <w:r w:rsidRPr="00964CBA">
        <w:rPr>
          <w:rFonts w:ascii="Arial" w:hAnsi="Arial" w:cs="Arial"/>
          <w:sz w:val="22"/>
          <w:szCs w:val="22"/>
        </w:rPr>
        <w:t xml:space="preserve"> These inequalities breach the Equality Act 2010 and Mental Health Act 2007, which promote fair access to mental </w:t>
      </w:r>
      <w:r w:rsidRPr="00E963B3">
        <w:rPr>
          <w:rFonts w:ascii="Arial" w:hAnsi="Arial" w:cs="Arial"/>
          <w:sz w:val="22"/>
          <w:szCs w:val="22"/>
        </w:rPr>
        <w:t>healthcare (</w:t>
      </w:r>
      <w:r w:rsidRPr="004B5D3D">
        <w:rPr>
          <w:rFonts w:ascii="Arial" w:hAnsi="Arial" w:cs="Arial"/>
          <w:sz w:val="22"/>
          <w:szCs w:val="22"/>
        </w:rPr>
        <w:t>GOV.UK, 201</w:t>
      </w:r>
      <w:r w:rsidR="00106B60" w:rsidRPr="004B5D3D">
        <w:rPr>
          <w:rFonts w:ascii="Arial" w:hAnsi="Arial" w:cs="Arial"/>
          <w:sz w:val="22"/>
          <w:szCs w:val="22"/>
        </w:rPr>
        <w:t>3</w:t>
      </w:r>
      <w:r w:rsidR="00E963B3" w:rsidRPr="004B5D3D">
        <w:rPr>
          <w:rFonts w:ascii="Arial" w:hAnsi="Arial" w:cs="Arial"/>
          <w:sz w:val="22"/>
          <w:szCs w:val="22"/>
        </w:rPr>
        <w:t>; Mental Health Act, 20</w:t>
      </w:r>
    </w:p>
    <w:p w14:paraId="03F82981" w14:textId="5641F602" w:rsidR="00AE4486" w:rsidRPr="000F47D1" w:rsidRDefault="006A5420" w:rsidP="000F47D1">
      <w:pPr>
        <w:pStyle w:val="NormalWeb"/>
        <w:spacing w:line="360" w:lineRule="auto"/>
        <w:jc w:val="both"/>
        <w:rPr>
          <w:rStyle w:val="Heading2Char"/>
          <w:rFonts w:eastAsia="Times New Roman"/>
          <w:sz w:val="22"/>
          <w:szCs w:val="22"/>
        </w:rPr>
      </w:pPr>
      <w:r w:rsidRPr="00964CBA">
        <w:rPr>
          <w:rFonts w:ascii="Arial" w:hAnsi="Arial" w:cs="Arial"/>
          <w:sz w:val="22"/>
          <w:szCs w:val="22"/>
        </w:rPr>
        <w:t>This study uses thematic analysis of secondary literature to propose evidence-based recommendations for improving SCZ care in the UK.</w:t>
      </w:r>
    </w:p>
    <w:p w14:paraId="71BED7FB" w14:textId="77777777" w:rsidR="00AE4486" w:rsidRDefault="00AE4486" w:rsidP="00FD0175">
      <w:pPr>
        <w:pStyle w:val="Heading1"/>
        <w:rPr>
          <w:rStyle w:val="Heading2Char"/>
          <w:b/>
          <w:bCs/>
          <w:i/>
          <w:iCs/>
          <w:color w:val="auto"/>
          <w:sz w:val="22"/>
          <w:szCs w:val="22"/>
        </w:rPr>
      </w:pPr>
    </w:p>
    <w:p w14:paraId="0CC61637" w14:textId="77777777" w:rsidR="009E239C" w:rsidRDefault="009E239C" w:rsidP="00FD0175">
      <w:pPr>
        <w:pStyle w:val="Heading1"/>
        <w:rPr>
          <w:rStyle w:val="Heading2Char"/>
          <w:b/>
          <w:bCs/>
          <w:i/>
          <w:iCs/>
          <w:color w:val="auto"/>
          <w:sz w:val="22"/>
          <w:szCs w:val="22"/>
        </w:rPr>
      </w:pPr>
    </w:p>
    <w:p w14:paraId="4044AAA5" w14:textId="77777777" w:rsidR="009E239C" w:rsidRDefault="009E239C" w:rsidP="00FD0175">
      <w:pPr>
        <w:pStyle w:val="Heading1"/>
        <w:rPr>
          <w:rStyle w:val="Heading2Char"/>
          <w:b/>
          <w:bCs/>
          <w:i/>
          <w:iCs/>
          <w:color w:val="auto"/>
          <w:sz w:val="22"/>
          <w:szCs w:val="22"/>
        </w:rPr>
      </w:pPr>
    </w:p>
    <w:p w14:paraId="7048AC4D" w14:textId="77777777" w:rsidR="005A043B" w:rsidRDefault="005A043B" w:rsidP="00FD0175">
      <w:pPr>
        <w:pStyle w:val="Heading1"/>
        <w:rPr>
          <w:rStyle w:val="Heading2Char"/>
          <w:b/>
          <w:bCs/>
          <w:i/>
          <w:iCs/>
          <w:color w:val="auto"/>
          <w:sz w:val="22"/>
          <w:szCs w:val="22"/>
        </w:rPr>
      </w:pPr>
    </w:p>
    <w:p w14:paraId="378B2BE0" w14:textId="77777777" w:rsidR="005A043B" w:rsidRDefault="005A043B" w:rsidP="00FD0175">
      <w:pPr>
        <w:pStyle w:val="Heading1"/>
        <w:rPr>
          <w:rStyle w:val="Heading2Char"/>
          <w:b/>
          <w:bCs/>
          <w:i/>
          <w:iCs/>
          <w:color w:val="auto"/>
          <w:sz w:val="22"/>
          <w:szCs w:val="22"/>
        </w:rPr>
      </w:pPr>
    </w:p>
    <w:p w14:paraId="0AD1F707" w14:textId="77777777" w:rsidR="009E239C" w:rsidRDefault="009E239C" w:rsidP="00FD0175">
      <w:pPr>
        <w:pStyle w:val="Heading1"/>
        <w:rPr>
          <w:rStyle w:val="Heading2Char"/>
          <w:b/>
          <w:bCs/>
          <w:i/>
          <w:iCs/>
          <w:color w:val="auto"/>
          <w:sz w:val="22"/>
          <w:szCs w:val="22"/>
        </w:rPr>
      </w:pPr>
    </w:p>
    <w:p w14:paraId="170AF0B3" w14:textId="77777777" w:rsidR="00AE4486" w:rsidRDefault="00AE4486" w:rsidP="00FD0175">
      <w:pPr>
        <w:pStyle w:val="Heading1"/>
        <w:rPr>
          <w:rStyle w:val="Heading2Char"/>
          <w:b/>
          <w:bCs/>
          <w:i/>
          <w:iCs/>
          <w:color w:val="auto"/>
          <w:sz w:val="22"/>
          <w:szCs w:val="22"/>
        </w:rPr>
      </w:pPr>
    </w:p>
    <w:p w14:paraId="21B7810E" w14:textId="221FB1C1" w:rsidR="00A47872" w:rsidRPr="00963980" w:rsidRDefault="0074298F" w:rsidP="00CA6038">
      <w:pPr>
        <w:pStyle w:val="Heading2"/>
        <w:rPr>
          <w:rStyle w:val="eop"/>
          <w:b w:val="0"/>
          <w:bCs w:val="0"/>
          <w:i w:val="0"/>
          <w:iCs w:val="0"/>
          <w:color w:val="0F4761"/>
        </w:rPr>
      </w:pPr>
      <w:bookmarkStart w:id="7" w:name="_Toc204981476"/>
      <w:r>
        <w:rPr>
          <w:rStyle w:val="normaltextrun"/>
        </w:rPr>
        <w:lastRenderedPageBreak/>
        <w:t xml:space="preserve">1.3 </w:t>
      </w:r>
      <w:r w:rsidR="00BD2909" w:rsidRPr="00963980">
        <w:rPr>
          <w:rStyle w:val="normaltextrun"/>
        </w:rPr>
        <w:t>Rationale for Research</w:t>
      </w:r>
      <w:bookmarkEnd w:id="7"/>
      <w:r w:rsidR="00BD2909" w:rsidRPr="00963980">
        <w:rPr>
          <w:rStyle w:val="normaltextrun"/>
        </w:rPr>
        <w:t xml:space="preserve"> </w:t>
      </w:r>
    </w:p>
    <w:p w14:paraId="2B5070B3" w14:textId="77777777" w:rsidR="006A1E5C" w:rsidRPr="00964CBA" w:rsidRDefault="006A1E5C" w:rsidP="006A1E5C">
      <w:pPr>
        <w:pStyle w:val="paragraph"/>
        <w:spacing w:before="0" w:beforeAutospacing="0" w:after="0" w:afterAutospacing="0" w:line="360" w:lineRule="auto"/>
        <w:ind w:left="360"/>
        <w:textAlignment w:val="baseline"/>
        <w:rPr>
          <w:rFonts w:ascii="Arial" w:hAnsi="Arial" w:cs="Arial"/>
          <w:sz w:val="22"/>
          <w:szCs w:val="22"/>
        </w:rPr>
      </w:pPr>
    </w:p>
    <w:p w14:paraId="0E6C12B8" w14:textId="782EF90A" w:rsidR="00E65562" w:rsidRPr="00E65562" w:rsidRDefault="00E65562" w:rsidP="00E65562">
      <w:pPr>
        <w:rPr>
          <w:rFonts w:ascii="Arial" w:eastAsia="Times New Roman" w:hAnsi="Arial" w:cs="Arial"/>
          <w:kern w:val="0"/>
          <w14:ligatures w14:val="none"/>
        </w:rPr>
      </w:pPr>
      <w:r w:rsidRPr="00E65562">
        <w:rPr>
          <w:rFonts w:ascii="Arial" w:eastAsia="Times New Roman" w:hAnsi="Arial" w:cs="Arial"/>
          <w:kern w:val="0"/>
          <w14:ligatures w14:val="none"/>
        </w:rPr>
        <w:t xml:space="preserve">SCZ </w:t>
      </w:r>
      <w:r w:rsidRPr="004229D5">
        <w:rPr>
          <w:rFonts w:ascii="Arial" w:eastAsia="Times New Roman" w:hAnsi="Arial" w:cs="Arial"/>
          <w:kern w:val="0"/>
          <w14:ligatures w14:val="none"/>
        </w:rPr>
        <w:t xml:space="preserve">is a complex psychiatric disorder that disrupts cognition, perception, and emotional regulation (NHS, 2023; </w:t>
      </w:r>
      <w:r w:rsidRPr="00A4454F">
        <w:rPr>
          <w:rFonts w:ascii="Arial" w:eastAsia="Times New Roman" w:hAnsi="Arial" w:cs="Arial"/>
          <w:kern w:val="0"/>
          <w14:ligatures w14:val="none"/>
        </w:rPr>
        <w:t xml:space="preserve">Farah </w:t>
      </w:r>
      <w:r w:rsidRPr="00A4454F">
        <w:rPr>
          <w:rFonts w:ascii="Arial" w:eastAsia="Times New Roman" w:hAnsi="Arial" w:cs="Arial"/>
          <w:i/>
          <w:iCs/>
          <w:kern w:val="0"/>
          <w14:ligatures w14:val="none"/>
        </w:rPr>
        <w:t>et al.,</w:t>
      </w:r>
      <w:r w:rsidRPr="00A4454F">
        <w:rPr>
          <w:rFonts w:ascii="Arial" w:eastAsia="Times New Roman" w:hAnsi="Arial" w:cs="Arial"/>
          <w:kern w:val="0"/>
          <w14:ligatures w14:val="none"/>
        </w:rPr>
        <w:t xml:space="preserve"> 2018).</w:t>
      </w:r>
      <w:r w:rsidRPr="00E65562">
        <w:rPr>
          <w:rFonts w:ascii="Arial" w:eastAsia="Times New Roman" w:hAnsi="Arial" w:cs="Arial"/>
          <w:kern w:val="0"/>
          <w14:ligatures w14:val="none"/>
        </w:rPr>
        <w:t xml:space="preserve"> Delays in diagnosis, service fragmentation, socioeconomic inequality, and stigma often hinder access to care, despite advances in </w:t>
      </w:r>
      <w:r w:rsidRPr="0099586D">
        <w:rPr>
          <w:rFonts w:ascii="Arial" w:eastAsia="Times New Roman" w:hAnsi="Arial" w:cs="Arial"/>
          <w:kern w:val="0"/>
          <w14:ligatures w14:val="none"/>
        </w:rPr>
        <w:t xml:space="preserve">treatment (Mohr </w:t>
      </w:r>
      <w:r w:rsidRPr="0099586D">
        <w:rPr>
          <w:rFonts w:ascii="Arial" w:eastAsia="Times New Roman" w:hAnsi="Arial" w:cs="Arial"/>
          <w:i/>
          <w:iCs/>
          <w:kern w:val="0"/>
          <w14:ligatures w14:val="none"/>
        </w:rPr>
        <w:t>et al.,</w:t>
      </w:r>
      <w:r w:rsidRPr="0099586D">
        <w:rPr>
          <w:rFonts w:ascii="Arial" w:eastAsia="Times New Roman" w:hAnsi="Arial" w:cs="Arial"/>
          <w:kern w:val="0"/>
          <w14:ligatures w14:val="none"/>
        </w:rPr>
        <w:t xml:space="preserve"> 2018).</w:t>
      </w:r>
      <w:r w:rsidRPr="00E65562">
        <w:rPr>
          <w:rFonts w:ascii="Arial" w:eastAsia="Times New Roman" w:hAnsi="Arial" w:cs="Arial"/>
          <w:kern w:val="0"/>
          <w14:ligatures w14:val="none"/>
        </w:rPr>
        <w:t xml:space="preserve"> In the UK, the NHS delivers a multifaceted treatment model involving pharmacotherapy, psychological therapies </w:t>
      </w:r>
      <w:r w:rsidRPr="00FF2F58">
        <w:rPr>
          <w:rFonts w:ascii="Arial" w:eastAsia="Times New Roman" w:hAnsi="Arial" w:cs="Arial"/>
          <w:kern w:val="0"/>
          <w14:ligatures w14:val="none"/>
        </w:rPr>
        <w:t>(NHS England, 2023), and</w:t>
      </w:r>
      <w:r w:rsidRPr="00E65562">
        <w:rPr>
          <w:rFonts w:ascii="Arial" w:eastAsia="Times New Roman" w:hAnsi="Arial" w:cs="Arial"/>
          <w:kern w:val="0"/>
          <w14:ligatures w14:val="none"/>
        </w:rPr>
        <w:t xml:space="preserve"> community-based </w:t>
      </w:r>
      <w:r w:rsidRPr="00654A17">
        <w:rPr>
          <w:rFonts w:ascii="Arial" w:eastAsia="Times New Roman" w:hAnsi="Arial" w:cs="Arial"/>
          <w:kern w:val="0"/>
          <w14:ligatures w14:val="none"/>
        </w:rPr>
        <w:t xml:space="preserve">interventions (Kusuma </w:t>
      </w:r>
      <w:r w:rsidR="00347793">
        <w:rPr>
          <w:rFonts w:ascii="Arial" w:eastAsia="Times New Roman" w:hAnsi="Arial" w:cs="Arial"/>
          <w:kern w:val="0"/>
          <w14:ligatures w14:val="none"/>
        </w:rPr>
        <w:t>and</w:t>
      </w:r>
      <w:r w:rsidRPr="00654A17">
        <w:rPr>
          <w:rFonts w:ascii="Arial" w:eastAsia="Times New Roman" w:hAnsi="Arial" w:cs="Arial"/>
          <w:kern w:val="0"/>
          <w14:ligatures w14:val="none"/>
        </w:rPr>
        <w:t xml:space="preserve"> Subandi, 202</w:t>
      </w:r>
      <w:r w:rsidRPr="00E02E2A">
        <w:rPr>
          <w:rFonts w:ascii="Arial" w:eastAsia="Times New Roman" w:hAnsi="Arial" w:cs="Arial"/>
          <w:kern w:val="0"/>
          <w14:ligatures w14:val="none"/>
        </w:rPr>
        <w:t xml:space="preserve">1; Sari </w:t>
      </w:r>
      <w:r w:rsidR="00347793" w:rsidRPr="00E02E2A">
        <w:rPr>
          <w:rFonts w:ascii="Arial" w:eastAsia="Times New Roman" w:hAnsi="Arial" w:cs="Arial"/>
          <w:kern w:val="0"/>
          <w14:ligatures w14:val="none"/>
        </w:rPr>
        <w:t>and</w:t>
      </w:r>
      <w:r w:rsidRPr="00E02E2A">
        <w:rPr>
          <w:rFonts w:ascii="Arial" w:eastAsia="Times New Roman" w:hAnsi="Arial" w:cs="Arial"/>
          <w:kern w:val="0"/>
          <w14:ligatures w14:val="none"/>
        </w:rPr>
        <w:t xml:space="preserve"> Subandi, 2021).</w:t>
      </w:r>
      <w:r w:rsidRPr="00E65562">
        <w:rPr>
          <w:rFonts w:ascii="Arial" w:eastAsia="Times New Roman" w:hAnsi="Arial" w:cs="Arial"/>
          <w:kern w:val="0"/>
          <w14:ligatures w14:val="none"/>
        </w:rPr>
        <w:t xml:space="preserve"> Psychological strategies such as psychoeducation, CBT, and SST are effective when combined with medication in community </w:t>
      </w:r>
      <w:r w:rsidRPr="00FE78EB">
        <w:rPr>
          <w:rFonts w:ascii="Arial" w:eastAsia="Times New Roman" w:hAnsi="Arial" w:cs="Arial"/>
          <w:kern w:val="0"/>
          <w14:ligatures w14:val="none"/>
        </w:rPr>
        <w:t xml:space="preserve">settings (Killaspy </w:t>
      </w:r>
      <w:r w:rsidRPr="00FE78EB">
        <w:rPr>
          <w:rFonts w:ascii="Arial" w:eastAsia="Times New Roman" w:hAnsi="Arial" w:cs="Arial"/>
          <w:i/>
          <w:iCs/>
          <w:kern w:val="0"/>
          <w14:ligatures w14:val="none"/>
        </w:rPr>
        <w:t>et al.,</w:t>
      </w:r>
      <w:r w:rsidRPr="00FE78EB">
        <w:rPr>
          <w:rFonts w:ascii="Arial" w:eastAsia="Times New Roman" w:hAnsi="Arial" w:cs="Arial"/>
          <w:kern w:val="0"/>
          <w14:ligatures w14:val="none"/>
        </w:rPr>
        <w:t xml:space="preserve"> 2022).</w:t>
      </w:r>
      <w:r w:rsidRPr="00E65562">
        <w:rPr>
          <w:rFonts w:ascii="Arial" w:eastAsia="Times New Roman" w:hAnsi="Arial" w:cs="Arial"/>
          <w:kern w:val="0"/>
          <w14:ligatures w14:val="none"/>
        </w:rPr>
        <w:t xml:space="preserve"> However, inequalities in service access and outcomes undermine the intentions of the Mental Health Act 2007 and Equality Act </w:t>
      </w:r>
      <w:r w:rsidRPr="00136BB6">
        <w:rPr>
          <w:rFonts w:ascii="Arial" w:eastAsia="Times New Roman" w:hAnsi="Arial" w:cs="Arial"/>
          <w:kern w:val="0"/>
          <w14:ligatures w14:val="none"/>
        </w:rPr>
        <w:t>2010 (</w:t>
      </w:r>
      <w:hyperlink r:id="rId10" w:tgtFrame="_blank" w:history="1">
        <w:r w:rsidRPr="00136BB6">
          <w:rPr>
            <w:rStyle w:val="Hyperlink"/>
            <w:rFonts w:ascii="Arial" w:eastAsia="Times New Roman" w:hAnsi="Arial" w:cs="Arial"/>
            <w:color w:val="auto"/>
            <w:kern w:val="0"/>
            <w:u w:val="none"/>
            <w14:ligatures w14:val="none"/>
          </w:rPr>
          <w:t>GOV.UK</w:t>
        </w:r>
      </w:hyperlink>
      <w:r w:rsidRPr="00136BB6">
        <w:rPr>
          <w:rFonts w:ascii="Arial" w:eastAsia="Times New Roman" w:hAnsi="Arial" w:cs="Arial"/>
          <w:kern w:val="0"/>
          <w14:ligatures w14:val="none"/>
        </w:rPr>
        <w:t>, 20</w:t>
      </w:r>
      <w:r w:rsidR="00432C02" w:rsidRPr="00136BB6">
        <w:rPr>
          <w:rFonts w:ascii="Arial" w:eastAsia="Times New Roman" w:hAnsi="Arial" w:cs="Arial"/>
          <w:kern w:val="0"/>
          <w14:ligatures w14:val="none"/>
        </w:rPr>
        <w:t>2</w:t>
      </w:r>
      <w:r w:rsidR="00136BB6" w:rsidRPr="00136BB6">
        <w:rPr>
          <w:rFonts w:ascii="Arial" w:eastAsia="Times New Roman" w:hAnsi="Arial" w:cs="Arial"/>
          <w:kern w:val="0"/>
          <w14:ligatures w14:val="none"/>
        </w:rPr>
        <w:t>5</w:t>
      </w:r>
      <w:r w:rsidRPr="00136BB6">
        <w:rPr>
          <w:rFonts w:ascii="Arial" w:eastAsia="Times New Roman" w:hAnsi="Arial" w:cs="Arial"/>
          <w:kern w:val="0"/>
          <w14:ligatures w14:val="none"/>
        </w:rPr>
        <w:t xml:space="preserve">; </w:t>
      </w:r>
      <w:hyperlink r:id="rId11" w:tgtFrame="_blank" w:history="1">
        <w:r w:rsidRPr="00136BB6">
          <w:rPr>
            <w:rStyle w:val="Hyperlink"/>
            <w:rFonts w:ascii="Arial" w:eastAsia="Times New Roman" w:hAnsi="Arial" w:cs="Arial"/>
            <w:color w:val="auto"/>
            <w:kern w:val="0"/>
            <w:u w:val="none"/>
            <w14:ligatures w14:val="none"/>
          </w:rPr>
          <w:t>GOV.UK</w:t>
        </w:r>
      </w:hyperlink>
      <w:r w:rsidRPr="00136BB6">
        <w:rPr>
          <w:rFonts w:ascii="Arial" w:eastAsia="Times New Roman" w:hAnsi="Arial" w:cs="Arial"/>
          <w:kern w:val="0"/>
          <w14:ligatures w14:val="none"/>
        </w:rPr>
        <w:t>, 2013).</w:t>
      </w:r>
    </w:p>
    <w:p w14:paraId="5C3C3F48" w14:textId="44ED0FE2" w:rsidR="00510386" w:rsidRPr="00CC54E4" w:rsidRDefault="00E65562" w:rsidP="00E65562">
      <w:pPr>
        <w:rPr>
          <w:rFonts w:ascii="Arial" w:hAnsi="Arial" w:cs="Arial"/>
          <w:highlight w:val="yellow"/>
        </w:rPr>
      </w:pPr>
      <w:r w:rsidRPr="00E65562">
        <w:rPr>
          <w:rFonts w:ascii="Arial" w:eastAsia="Times New Roman" w:hAnsi="Arial" w:cs="Arial"/>
          <w:kern w:val="0"/>
          <w14:ligatures w14:val="none"/>
        </w:rPr>
        <w:t xml:space="preserve">Beyond clinical outcomes, untreated SCZ carries substantial economic and societal costs, including carer </w:t>
      </w:r>
      <w:r w:rsidRPr="007B60B5">
        <w:rPr>
          <w:rFonts w:ascii="Arial" w:eastAsia="Times New Roman" w:hAnsi="Arial" w:cs="Arial"/>
          <w:kern w:val="0"/>
          <w14:ligatures w14:val="none"/>
        </w:rPr>
        <w:t>strain, increased healthcare expenditure, and reduced productivity (Rethink Mental Illness, 2023</w:t>
      </w:r>
      <w:r w:rsidRPr="00457D06">
        <w:rPr>
          <w:rFonts w:ascii="Arial" w:eastAsia="Times New Roman" w:hAnsi="Arial" w:cs="Arial"/>
          <w:kern w:val="0"/>
          <w14:ligatures w14:val="none"/>
        </w:rPr>
        <w:t xml:space="preserve">; Tsiachristas </w:t>
      </w:r>
      <w:r w:rsidRPr="00457D06">
        <w:rPr>
          <w:rFonts w:ascii="Arial" w:eastAsia="Times New Roman" w:hAnsi="Arial" w:cs="Arial"/>
          <w:i/>
          <w:iCs/>
          <w:kern w:val="0"/>
          <w14:ligatures w14:val="none"/>
        </w:rPr>
        <w:t>et al.,</w:t>
      </w:r>
      <w:r w:rsidRPr="00457D06">
        <w:rPr>
          <w:rFonts w:ascii="Arial" w:eastAsia="Times New Roman" w:hAnsi="Arial" w:cs="Arial"/>
          <w:kern w:val="0"/>
          <w14:ligatures w14:val="none"/>
        </w:rPr>
        <w:t xml:space="preserve"> 2016).</w:t>
      </w:r>
      <w:r w:rsidRPr="00E65562">
        <w:rPr>
          <w:rFonts w:ascii="Arial" w:eastAsia="Times New Roman" w:hAnsi="Arial" w:cs="Arial"/>
          <w:kern w:val="0"/>
          <w14:ligatures w14:val="none"/>
        </w:rPr>
        <w:t xml:space="preserve"> These pressures demonstrate the importance of urgent and sustained healthcare reform.</w:t>
      </w:r>
      <w:r w:rsidR="00403EFC">
        <w:rPr>
          <w:rFonts w:ascii="Arial" w:eastAsia="Times New Roman" w:hAnsi="Arial" w:cs="Arial"/>
          <w:kern w:val="0"/>
          <w14:ligatures w14:val="none"/>
        </w:rPr>
        <w:t xml:space="preserve"> </w:t>
      </w:r>
      <w:r w:rsidRPr="00E65562">
        <w:rPr>
          <w:rFonts w:ascii="Arial" w:eastAsia="Times New Roman" w:hAnsi="Arial" w:cs="Arial"/>
          <w:kern w:val="0"/>
          <w14:ligatures w14:val="none"/>
        </w:rPr>
        <w:t xml:space="preserve">Community-based methods like family therapy and peer support, often encouraged in lower-income settings, still need more rigorous </w:t>
      </w:r>
      <w:r w:rsidRPr="00DF610B">
        <w:rPr>
          <w:rFonts w:ascii="Arial" w:eastAsia="Times New Roman" w:hAnsi="Arial" w:cs="Arial"/>
          <w:kern w:val="0"/>
          <w14:ligatures w14:val="none"/>
        </w:rPr>
        <w:t xml:space="preserve">evaluation (Asher </w:t>
      </w:r>
      <w:r w:rsidRPr="00DF610B">
        <w:rPr>
          <w:rFonts w:ascii="Arial" w:eastAsia="Times New Roman" w:hAnsi="Arial" w:cs="Arial"/>
          <w:i/>
          <w:iCs/>
          <w:kern w:val="0"/>
          <w14:ligatures w14:val="none"/>
        </w:rPr>
        <w:t>et al.,</w:t>
      </w:r>
      <w:r w:rsidRPr="00DF610B">
        <w:rPr>
          <w:rFonts w:ascii="Arial" w:eastAsia="Times New Roman" w:hAnsi="Arial" w:cs="Arial"/>
          <w:kern w:val="0"/>
          <w14:ligatures w14:val="none"/>
        </w:rPr>
        <w:t xml:space="preserve"> 2017).</w:t>
      </w:r>
      <w:r w:rsidRPr="00E65562">
        <w:rPr>
          <w:rFonts w:ascii="Arial" w:eastAsia="Times New Roman" w:hAnsi="Arial" w:cs="Arial"/>
          <w:kern w:val="0"/>
          <w14:ligatures w14:val="none"/>
        </w:rPr>
        <w:t xml:space="preserve"> Within the UK, stigma, chronic underfunding, and workforce shortages continue to reduce </w:t>
      </w:r>
      <w:r w:rsidRPr="00CC54E4">
        <w:rPr>
          <w:rFonts w:ascii="Arial" w:eastAsia="Times New Roman" w:hAnsi="Arial" w:cs="Arial"/>
          <w:kern w:val="0"/>
          <w14:ligatures w14:val="none"/>
        </w:rPr>
        <w:t>the</w:t>
      </w:r>
      <w:r w:rsidR="00CC54E4" w:rsidRPr="00CC54E4">
        <w:rPr>
          <w:rFonts w:ascii="Times New Roman" w:eastAsia="Times New Roman" w:hAnsi="Times New Roman" w:cs="Times New Roman"/>
          <w:sz w:val="24"/>
          <w:szCs w:val="24"/>
        </w:rPr>
        <w:t xml:space="preserve"> </w:t>
      </w:r>
      <w:r w:rsidR="00CC54E4" w:rsidRPr="00CC54E4">
        <w:rPr>
          <w:rFonts w:ascii="Arial" w:eastAsia="Times New Roman" w:hAnsi="Arial" w:cs="Arial"/>
        </w:rPr>
        <w:t xml:space="preserve">overall quality and impact of </w:t>
      </w:r>
      <w:r w:rsidR="00CC54E4">
        <w:rPr>
          <w:rFonts w:ascii="Arial" w:eastAsia="Times New Roman" w:hAnsi="Arial" w:cs="Arial"/>
        </w:rPr>
        <w:t>M</w:t>
      </w:r>
      <w:r w:rsidR="00CC54E4" w:rsidRPr="00CC54E4">
        <w:rPr>
          <w:rFonts w:ascii="Arial" w:eastAsia="Times New Roman" w:hAnsi="Arial" w:cs="Arial"/>
        </w:rPr>
        <w:t xml:space="preserve">ental </w:t>
      </w:r>
      <w:r w:rsidR="00CC54E4">
        <w:rPr>
          <w:rFonts w:ascii="Arial" w:eastAsia="Times New Roman" w:hAnsi="Arial" w:cs="Arial"/>
        </w:rPr>
        <w:t>H</w:t>
      </w:r>
      <w:r w:rsidR="00CC54E4" w:rsidRPr="00CC54E4">
        <w:rPr>
          <w:rFonts w:ascii="Arial" w:eastAsia="Times New Roman" w:hAnsi="Arial" w:cs="Arial"/>
        </w:rPr>
        <w:t xml:space="preserve">ealth </w:t>
      </w:r>
      <w:r w:rsidR="00CC54E4">
        <w:rPr>
          <w:rFonts w:ascii="Arial" w:eastAsia="Times New Roman" w:hAnsi="Arial" w:cs="Arial"/>
        </w:rPr>
        <w:t>C</w:t>
      </w:r>
      <w:r w:rsidR="00CC54E4" w:rsidRPr="00CC54E4">
        <w:rPr>
          <w:rFonts w:ascii="Arial" w:eastAsia="Times New Roman" w:hAnsi="Arial" w:cs="Arial"/>
        </w:rPr>
        <w:t>are</w:t>
      </w:r>
      <w:r w:rsidR="00CC54E4" w:rsidRPr="00CC54E4">
        <w:rPr>
          <w:rFonts w:ascii="Arial" w:hAnsi="Arial" w:cs="Arial"/>
        </w:rPr>
        <w:t>.</w:t>
      </w:r>
      <w:r w:rsidRPr="00E65562">
        <w:rPr>
          <w:rFonts w:ascii="Arial" w:eastAsia="Times New Roman" w:hAnsi="Arial" w:cs="Arial"/>
          <w:kern w:val="0"/>
          <w14:ligatures w14:val="none"/>
        </w:rPr>
        <w:t xml:space="preserve"> </w:t>
      </w:r>
      <w:r w:rsidRPr="00DF610B">
        <w:rPr>
          <w:rFonts w:ascii="Arial" w:eastAsia="Times New Roman" w:hAnsi="Arial" w:cs="Arial"/>
          <w:kern w:val="0"/>
          <w14:ligatures w14:val="none"/>
        </w:rPr>
        <w:t>(Mind for Better Mental Health, 2020; Rethink Mental Illness, 2023).</w:t>
      </w:r>
    </w:p>
    <w:p w14:paraId="0E68AA59" w14:textId="77777777" w:rsidR="00E65562" w:rsidRPr="00D7281F" w:rsidRDefault="00E65562" w:rsidP="00FD0175">
      <w:pPr>
        <w:pStyle w:val="Heading1"/>
      </w:pPr>
    </w:p>
    <w:p w14:paraId="2ABDA89D" w14:textId="50A99083" w:rsidR="008907A9" w:rsidRPr="00963980" w:rsidRDefault="005E2668" w:rsidP="00CA6038">
      <w:pPr>
        <w:pStyle w:val="Heading2"/>
      </w:pPr>
      <w:bookmarkStart w:id="8" w:name="_Toc204981477"/>
      <w:r w:rsidRPr="00963980">
        <w:t>Identified Problems and Research Gaps</w:t>
      </w:r>
      <w:bookmarkEnd w:id="8"/>
    </w:p>
    <w:p w14:paraId="75DBCAB3" w14:textId="1E1BCE6E" w:rsidR="000455BA" w:rsidRPr="00BD0BF0" w:rsidRDefault="00E677D7" w:rsidP="000455BA">
      <w:pPr>
        <w:pStyle w:val="paragraph"/>
        <w:spacing w:before="0" w:beforeAutospacing="0" w:after="0" w:afterAutospacing="0" w:line="360" w:lineRule="auto"/>
        <w:jc w:val="both"/>
        <w:textAlignment w:val="baseline"/>
        <w:rPr>
          <w:rFonts w:ascii="Arial" w:eastAsiaTheme="majorEastAsia" w:hAnsi="Arial" w:cs="Arial"/>
          <w:sz w:val="22"/>
          <w:szCs w:val="22"/>
        </w:rPr>
      </w:pPr>
      <w:r w:rsidRPr="00964CBA">
        <w:rPr>
          <w:rFonts w:ascii="Arial" w:eastAsiaTheme="majorEastAsia" w:hAnsi="Arial" w:cs="Arial"/>
          <w:sz w:val="22"/>
          <w:szCs w:val="22"/>
        </w:rPr>
        <w:br/>
      </w:r>
      <w:r w:rsidR="000455BA" w:rsidRPr="000455BA">
        <w:rPr>
          <w:rFonts w:ascii="Arial" w:eastAsiaTheme="majorEastAsia" w:hAnsi="Arial" w:cs="Arial"/>
          <w:sz w:val="22"/>
          <w:szCs w:val="22"/>
        </w:rPr>
        <w:t xml:space="preserve">NHS </w:t>
      </w:r>
      <w:r w:rsidR="00357D6F">
        <w:rPr>
          <w:rFonts w:ascii="Arial" w:eastAsiaTheme="majorEastAsia" w:hAnsi="Arial" w:cs="Arial"/>
          <w:sz w:val="22"/>
          <w:szCs w:val="22"/>
        </w:rPr>
        <w:t>M</w:t>
      </w:r>
      <w:r w:rsidR="000455BA" w:rsidRPr="000455BA">
        <w:rPr>
          <w:rFonts w:ascii="Arial" w:eastAsiaTheme="majorEastAsia" w:hAnsi="Arial" w:cs="Arial"/>
          <w:sz w:val="22"/>
          <w:szCs w:val="22"/>
        </w:rPr>
        <w:t xml:space="preserve">ental </w:t>
      </w:r>
      <w:r w:rsidR="00357D6F" w:rsidRPr="00904C86">
        <w:rPr>
          <w:rFonts w:ascii="Arial" w:eastAsiaTheme="majorEastAsia" w:hAnsi="Arial" w:cs="Arial"/>
          <w:sz w:val="22"/>
          <w:szCs w:val="22"/>
        </w:rPr>
        <w:t>H</w:t>
      </w:r>
      <w:r w:rsidR="000455BA" w:rsidRPr="00904C86">
        <w:rPr>
          <w:rFonts w:ascii="Arial" w:eastAsiaTheme="majorEastAsia" w:hAnsi="Arial" w:cs="Arial"/>
          <w:sz w:val="22"/>
          <w:szCs w:val="22"/>
        </w:rPr>
        <w:t xml:space="preserve">ealth </w:t>
      </w:r>
      <w:r w:rsidR="00357D6F" w:rsidRPr="00904C86">
        <w:rPr>
          <w:rFonts w:ascii="Arial" w:eastAsiaTheme="majorEastAsia" w:hAnsi="Arial" w:cs="Arial"/>
          <w:sz w:val="22"/>
          <w:szCs w:val="22"/>
        </w:rPr>
        <w:t>S</w:t>
      </w:r>
      <w:r w:rsidR="000455BA" w:rsidRPr="00904C86">
        <w:rPr>
          <w:rFonts w:ascii="Arial" w:eastAsiaTheme="majorEastAsia" w:hAnsi="Arial" w:cs="Arial"/>
          <w:sz w:val="22"/>
          <w:szCs w:val="22"/>
        </w:rPr>
        <w:t xml:space="preserve">ervices vary across the UK, with disparities linked to geography, ethnicity, and socioeconomic status (Coleman, Cuesta-Briand &amp; Collins, 2022; Patel </w:t>
      </w:r>
      <w:r w:rsidR="000455BA" w:rsidRPr="00904C86">
        <w:rPr>
          <w:rFonts w:ascii="Arial" w:eastAsiaTheme="majorEastAsia" w:hAnsi="Arial" w:cs="Arial"/>
          <w:i/>
          <w:iCs/>
          <w:sz w:val="22"/>
          <w:szCs w:val="22"/>
        </w:rPr>
        <w:t>et al.,</w:t>
      </w:r>
      <w:r w:rsidR="000455BA" w:rsidRPr="00904C86">
        <w:rPr>
          <w:rFonts w:ascii="Arial" w:eastAsiaTheme="majorEastAsia" w:hAnsi="Arial" w:cs="Arial"/>
          <w:sz w:val="22"/>
          <w:szCs w:val="22"/>
        </w:rPr>
        <w:t xml:space="preserve"> 2020; Ventura, Hayes &amp; Freitas, 2022). Structural and cultural barriers continue to limit early intervention access for ethnic minority populations, weakening national equity objectives (Patel </w:t>
      </w:r>
      <w:r w:rsidR="000455BA" w:rsidRPr="00904C86">
        <w:rPr>
          <w:rFonts w:ascii="Arial" w:eastAsiaTheme="majorEastAsia" w:hAnsi="Arial" w:cs="Arial"/>
          <w:i/>
          <w:iCs/>
          <w:sz w:val="22"/>
          <w:szCs w:val="22"/>
        </w:rPr>
        <w:t>et al.,</w:t>
      </w:r>
      <w:r w:rsidR="000455BA" w:rsidRPr="00904C86">
        <w:rPr>
          <w:rFonts w:ascii="Arial" w:eastAsiaTheme="majorEastAsia" w:hAnsi="Arial" w:cs="Arial"/>
          <w:sz w:val="22"/>
          <w:szCs w:val="22"/>
        </w:rPr>
        <w:t xml:space="preserve"> 2020; Ventura</w:t>
      </w:r>
      <w:r w:rsidR="000455BA" w:rsidRPr="008A34DA">
        <w:rPr>
          <w:rFonts w:ascii="Arial" w:eastAsiaTheme="majorEastAsia" w:hAnsi="Arial" w:cs="Arial"/>
          <w:sz w:val="22"/>
          <w:szCs w:val="22"/>
        </w:rPr>
        <w:t>, Hayes &amp; Freitas, 2022).</w:t>
      </w:r>
      <w:r w:rsidR="003205BA">
        <w:rPr>
          <w:rFonts w:ascii="Arial" w:eastAsiaTheme="majorEastAsia" w:hAnsi="Arial" w:cs="Arial"/>
          <w:sz w:val="22"/>
          <w:szCs w:val="22"/>
        </w:rPr>
        <w:t xml:space="preserve"> </w:t>
      </w:r>
      <w:r w:rsidR="000455BA" w:rsidRPr="000455BA">
        <w:rPr>
          <w:rFonts w:ascii="Arial" w:eastAsiaTheme="majorEastAsia" w:hAnsi="Arial" w:cs="Arial"/>
          <w:sz w:val="22"/>
          <w:szCs w:val="22"/>
        </w:rPr>
        <w:t>SGAs remain widely prescribed, despite offering limited</w:t>
      </w:r>
      <w:r w:rsidR="00BD0BF0">
        <w:rPr>
          <w:rFonts w:ascii="Arial" w:eastAsiaTheme="majorEastAsia" w:hAnsi="Arial" w:cs="Arial"/>
          <w:sz w:val="22"/>
          <w:szCs w:val="22"/>
        </w:rPr>
        <w:t xml:space="preserve"> </w:t>
      </w:r>
      <w:r w:rsidR="00BD0BF0" w:rsidRPr="00BD0BF0">
        <w:rPr>
          <w:rFonts w:ascii="Arial" w:eastAsiaTheme="majorEastAsia" w:hAnsi="Arial" w:cs="Arial"/>
          <w:sz w:val="22"/>
          <w:szCs w:val="22"/>
        </w:rPr>
        <w:t>effectiveness in addressing cognitive and negative symptoms</w:t>
      </w:r>
      <w:r w:rsidR="000455BA" w:rsidRPr="000455BA">
        <w:rPr>
          <w:rFonts w:ascii="Arial" w:eastAsiaTheme="majorEastAsia" w:hAnsi="Arial" w:cs="Arial"/>
          <w:sz w:val="22"/>
          <w:szCs w:val="22"/>
        </w:rPr>
        <w:t xml:space="preserve">. Relapse and </w:t>
      </w:r>
      <w:r w:rsidR="00F94DE0" w:rsidRPr="00F94DE0">
        <w:rPr>
          <w:rFonts w:ascii="Arial" w:eastAsiaTheme="majorEastAsia" w:hAnsi="Arial" w:cs="Arial"/>
          <w:sz w:val="22"/>
          <w:szCs w:val="22"/>
        </w:rPr>
        <w:t>adverse metabolic outcomes</w:t>
      </w:r>
      <w:r w:rsidR="00F94DE0">
        <w:rPr>
          <w:rFonts w:ascii="Arial" w:eastAsiaTheme="majorEastAsia" w:hAnsi="Arial" w:cs="Arial"/>
          <w:sz w:val="22"/>
          <w:szCs w:val="22"/>
        </w:rPr>
        <w:t xml:space="preserve"> </w:t>
      </w:r>
      <w:r w:rsidR="000455BA" w:rsidRPr="0058134B">
        <w:rPr>
          <w:rFonts w:ascii="Arial" w:eastAsiaTheme="majorEastAsia" w:hAnsi="Arial" w:cs="Arial"/>
          <w:sz w:val="22"/>
          <w:szCs w:val="22"/>
        </w:rPr>
        <w:t xml:space="preserve">are well-documented, with early concerns from Patel </w:t>
      </w:r>
      <w:r w:rsidR="000455BA" w:rsidRPr="0058134B">
        <w:rPr>
          <w:rFonts w:ascii="Arial" w:eastAsiaTheme="majorEastAsia" w:hAnsi="Arial" w:cs="Arial"/>
          <w:i/>
          <w:iCs/>
          <w:sz w:val="22"/>
          <w:szCs w:val="22"/>
        </w:rPr>
        <w:t>et al.</w:t>
      </w:r>
      <w:r w:rsidR="000455BA" w:rsidRPr="0058134B">
        <w:rPr>
          <w:rFonts w:ascii="Arial" w:eastAsiaTheme="majorEastAsia" w:hAnsi="Arial" w:cs="Arial"/>
          <w:sz w:val="22"/>
          <w:szCs w:val="22"/>
        </w:rPr>
        <w:t xml:space="preserve"> </w:t>
      </w:r>
      <w:r w:rsidR="000455BA" w:rsidRPr="0058134B">
        <w:rPr>
          <w:rFonts w:ascii="Arial" w:eastAsiaTheme="majorEastAsia" w:hAnsi="Arial" w:cs="Arial"/>
          <w:sz w:val="22"/>
          <w:szCs w:val="22"/>
          <w:lang w:val="nl-NL"/>
        </w:rPr>
        <w:t xml:space="preserve">(2014) echoed in later findings (Huhn </w:t>
      </w:r>
      <w:r w:rsidR="000455BA" w:rsidRPr="0058134B">
        <w:rPr>
          <w:rFonts w:ascii="Arial" w:eastAsiaTheme="majorEastAsia" w:hAnsi="Arial" w:cs="Arial"/>
          <w:i/>
          <w:iCs/>
          <w:sz w:val="22"/>
          <w:szCs w:val="22"/>
          <w:lang w:val="nl-NL"/>
        </w:rPr>
        <w:t xml:space="preserve">et al., </w:t>
      </w:r>
      <w:r w:rsidR="000455BA" w:rsidRPr="0058134B">
        <w:rPr>
          <w:rFonts w:ascii="Arial" w:eastAsiaTheme="majorEastAsia" w:hAnsi="Arial" w:cs="Arial"/>
          <w:sz w:val="22"/>
          <w:szCs w:val="22"/>
          <w:lang w:val="nl-NL"/>
        </w:rPr>
        <w:t xml:space="preserve">2019; </w:t>
      </w:r>
      <w:r w:rsidR="000455BA" w:rsidRPr="00D25987">
        <w:rPr>
          <w:rFonts w:ascii="Arial" w:eastAsiaTheme="majorEastAsia" w:hAnsi="Arial" w:cs="Arial"/>
          <w:sz w:val="22"/>
          <w:szCs w:val="22"/>
          <w:lang w:val="nl-NL"/>
        </w:rPr>
        <w:t xml:space="preserve">Fabrazzo </w:t>
      </w:r>
      <w:r w:rsidR="000455BA" w:rsidRPr="00D25987">
        <w:rPr>
          <w:rFonts w:ascii="Arial" w:eastAsiaTheme="majorEastAsia" w:hAnsi="Arial" w:cs="Arial"/>
          <w:i/>
          <w:iCs/>
          <w:sz w:val="22"/>
          <w:szCs w:val="22"/>
          <w:lang w:val="nl-NL"/>
        </w:rPr>
        <w:t xml:space="preserve">et al., </w:t>
      </w:r>
      <w:r w:rsidR="000455BA" w:rsidRPr="00D25987">
        <w:rPr>
          <w:rFonts w:ascii="Arial" w:eastAsiaTheme="majorEastAsia" w:hAnsi="Arial" w:cs="Arial"/>
          <w:sz w:val="22"/>
          <w:szCs w:val="22"/>
          <w:lang w:val="nl-NL"/>
        </w:rPr>
        <w:t>2022).</w:t>
      </w:r>
    </w:p>
    <w:p w14:paraId="45925124" w14:textId="77777777" w:rsidR="00DE7096" w:rsidRPr="005B35A1" w:rsidRDefault="00DE7096" w:rsidP="000455BA">
      <w:pPr>
        <w:pStyle w:val="paragraph"/>
        <w:spacing w:before="0" w:beforeAutospacing="0" w:after="0" w:afterAutospacing="0" w:line="360" w:lineRule="auto"/>
        <w:jc w:val="both"/>
        <w:textAlignment w:val="baseline"/>
        <w:rPr>
          <w:rFonts w:ascii="Arial" w:eastAsiaTheme="majorEastAsia" w:hAnsi="Arial" w:cs="Arial"/>
          <w:sz w:val="22"/>
          <w:szCs w:val="22"/>
          <w:lang w:val="nl-NL"/>
        </w:rPr>
      </w:pPr>
    </w:p>
    <w:p w14:paraId="3A90A998" w14:textId="77777777" w:rsidR="00DE7096" w:rsidRPr="005B35A1" w:rsidRDefault="00DE7096" w:rsidP="000455BA">
      <w:pPr>
        <w:pStyle w:val="paragraph"/>
        <w:spacing w:before="0" w:beforeAutospacing="0" w:after="0" w:afterAutospacing="0" w:line="360" w:lineRule="auto"/>
        <w:jc w:val="both"/>
        <w:textAlignment w:val="baseline"/>
        <w:rPr>
          <w:rFonts w:ascii="Arial" w:eastAsiaTheme="majorEastAsia" w:hAnsi="Arial" w:cs="Arial"/>
          <w:sz w:val="22"/>
          <w:szCs w:val="22"/>
          <w:lang w:val="nl-NL"/>
        </w:rPr>
      </w:pPr>
    </w:p>
    <w:p w14:paraId="66002544" w14:textId="2AC1A0F1" w:rsidR="000455BA" w:rsidRPr="000455BA" w:rsidRDefault="000455BA" w:rsidP="00AA150B">
      <w:pPr>
        <w:pStyle w:val="paragraph"/>
        <w:spacing w:before="0" w:beforeAutospacing="0" w:after="0" w:afterAutospacing="0" w:line="360" w:lineRule="auto"/>
        <w:textAlignment w:val="baseline"/>
        <w:rPr>
          <w:rFonts w:ascii="Arial" w:eastAsiaTheme="majorEastAsia" w:hAnsi="Arial" w:cs="Arial"/>
          <w:sz w:val="22"/>
          <w:szCs w:val="22"/>
        </w:rPr>
      </w:pPr>
      <w:r w:rsidRPr="000455BA">
        <w:rPr>
          <w:rFonts w:ascii="Arial" w:eastAsiaTheme="majorEastAsia" w:hAnsi="Arial" w:cs="Arial"/>
          <w:sz w:val="22"/>
          <w:szCs w:val="22"/>
        </w:rPr>
        <w:t xml:space="preserve">Although the Mental Health Act 2007 and Equality Act 2010 promote non-discriminatory care, enforcement is inconsistent. Challenges identified </w:t>
      </w:r>
      <w:r w:rsidRPr="00B461B2">
        <w:rPr>
          <w:rFonts w:ascii="Arial" w:eastAsiaTheme="majorEastAsia" w:hAnsi="Arial" w:cs="Arial"/>
          <w:sz w:val="22"/>
          <w:szCs w:val="22"/>
        </w:rPr>
        <w:t>by Jenkins (2005)</w:t>
      </w:r>
      <w:r w:rsidRPr="000455BA">
        <w:rPr>
          <w:rFonts w:ascii="Arial" w:eastAsiaTheme="majorEastAsia" w:hAnsi="Arial" w:cs="Arial"/>
          <w:sz w:val="22"/>
          <w:szCs w:val="22"/>
        </w:rPr>
        <w:t xml:space="preserve"> continue, as </w:t>
      </w:r>
      <w:r w:rsidRPr="000455BA">
        <w:rPr>
          <w:rFonts w:ascii="Arial" w:eastAsiaTheme="majorEastAsia" w:hAnsi="Arial" w:cs="Arial"/>
          <w:sz w:val="22"/>
          <w:szCs w:val="22"/>
        </w:rPr>
        <w:lastRenderedPageBreak/>
        <w:t xml:space="preserve">noted by </w:t>
      </w:r>
      <w:r w:rsidRPr="007C7760">
        <w:rPr>
          <w:rFonts w:ascii="Arial" w:eastAsiaTheme="majorEastAsia" w:hAnsi="Arial" w:cs="Arial"/>
          <w:sz w:val="22"/>
          <w:szCs w:val="22"/>
        </w:rPr>
        <w:t>Corrigan, Druss</w:t>
      </w:r>
      <w:r w:rsidR="00A746FB" w:rsidRPr="007C7760">
        <w:rPr>
          <w:rFonts w:ascii="Arial" w:eastAsiaTheme="majorEastAsia" w:hAnsi="Arial" w:cs="Arial"/>
        </w:rPr>
        <w:t xml:space="preserve">, and </w:t>
      </w:r>
      <w:r w:rsidRPr="007C7760">
        <w:rPr>
          <w:rFonts w:ascii="Arial" w:eastAsiaTheme="majorEastAsia" w:hAnsi="Arial" w:cs="Arial"/>
          <w:sz w:val="22"/>
          <w:szCs w:val="22"/>
        </w:rPr>
        <w:t>Perlick (2014).</w:t>
      </w:r>
      <w:r w:rsidR="00AC28DC">
        <w:rPr>
          <w:rFonts w:ascii="Arial" w:eastAsiaTheme="majorEastAsia" w:hAnsi="Arial" w:cs="Arial"/>
          <w:sz w:val="22"/>
          <w:szCs w:val="22"/>
        </w:rPr>
        <w:t xml:space="preserve"> </w:t>
      </w:r>
      <w:r w:rsidR="00AC28DC" w:rsidRPr="000455BA">
        <w:rPr>
          <w:rFonts w:ascii="Arial" w:eastAsiaTheme="majorEastAsia" w:hAnsi="Arial" w:cs="Arial"/>
          <w:sz w:val="22"/>
          <w:szCs w:val="22"/>
        </w:rPr>
        <w:t>Carers</w:t>
      </w:r>
      <w:r w:rsidR="00AA150B">
        <w:rPr>
          <w:rStyle w:val="Heading2Char"/>
          <w:b w:val="0"/>
          <w:bCs w:val="0"/>
          <w:i w:val="0"/>
          <w:iCs w:val="0"/>
          <w:sz w:val="22"/>
          <w:szCs w:val="22"/>
        </w:rPr>
        <w:t xml:space="preserve"> </w:t>
      </w:r>
      <w:r w:rsidRPr="001D3BB8">
        <w:rPr>
          <w:rFonts w:ascii="Arial" w:eastAsiaTheme="majorEastAsia" w:hAnsi="Arial" w:cs="Arial"/>
          <w:sz w:val="22"/>
          <w:szCs w:val="22"/>
        </w:rPr>
        <w:t xml:space="preserve">frequently report emotional strain and financial hardship, with limited formal support (Chen </w:t>
      </w:r>
      <w:r w:rsidRPr="001D3BB8">
        <w:rPr>
          <w:rFonts w:ascii="Arial" w:eastAsiaTheme="majorEastAsia" w:hAnsi="Arial" w:cs="Arial"/>
          <w:i/>
          <w:iCs/>
          <w:sz w:val="22"/>
          <w:szCs w:val="22"/>
        </w:rPr>
        <w:t xml:space="preserve">et al., </w:t>
      </w:r>
      <w:r w:rsidRPr="001D3BB8">
        <w:rPr>
          <w:rFonts w:ascii="Arial" w:eastAsiaTheme="majorEastAsia" w:hAnsi="Arial" w:cs="Arial"/>
          <w:sz w:val="22"/>
          <w:szCs w:val="22"/>
        </w:rPr>
        <w:t xml:space="preserve">2019; Di Lorenzo </w:t>
      </w:r>
      <w:r w:rsidRPr="001D3BB8">
        <w:rPr>
          <w:rFonts w:ascii="Arial" w:eastAsiaTheme="majorEastAsia" w:hAnsi="Arial" w:cs="Arial"/>
          <w:i/>
          <w:iCs/>
          <w:sz w:val="22"/>
          <w:szCs w:val="22"/>
        </w:rPr>
        <w:t>et al</w:t>
      </w:r>
      <w:r w:rsidRPr="001D3BB8">
        <w:rPr>
          <w:rFonts w:ascii="Arial" w:eastAsiaTheme="majorEastAsia" w:hAnsi="Arial" w:cs="Arial"/>
          <w:sz w:val="22"/>
          <w:szCs w:val="22"/>
        </w:rPr>
        <w:t xml:space="preserve">., </w:t>
      </w:r>
      <w:r w:rsidRPr="00940047">
        <w:rPr>
          <w:rFonts w:ascii="Arial" w:eastAsiaTheme="majorEastAsia" w:hAnsi="Arial" w:cs="Arial"/>
          <w:sz w:val="22"/>
          <w:szCs w:val="22"/>
        </w:rPr>
        <w:t>2021; Kamil &amp; Velligan, 2019).</w:t>
      </w:r>
      <w:r w:rsidRPr="000455BA">
        <w:rPr>
          <w:rFonts w:ascii="Arial" w:eastAsiaTheme="majorEastAsia" w:hAnsi="Arial" w:cs="Arial"/>
          <w:sz w:val="22"/>
          <w:szCs w:val="22"/>
        </w:rPr>
        <w:t xml:space="preserve"> While community-based models such as family therapy and peer support are p</w:t>
      </w:r>
      <w:r w:rsidRPr="00940047">
        <w:rPr>
          <w:rFonts w:ascii="Arial" w:eastAsiaTheme="majorEastAsia" w:hAnsi="Arial" w:cs="Arial"/>
          <w:sz w:val="22"/>
          <w:szCs w:val="22"/>
        </w:rPr>
        <w:t xml:space="preserve">romoted in lower-income contexts, further evidence is needed to confirm their long-term impact (Asher </w:t>
      </w:r>
      <w:r w:rsidRPr="00940047">
        <w:rPr>
          <w:rFonts w:ascii="Arial" w:eastAsiaTheme="majorEastAsia" w:hAnsi="Arial" w:cs="Arial"/>
          <w:i/>
          <w:iCs/>
          <w:sz w:val="22"/>
          <w:szCs w:val="22"/>
        </w:rPr>
        <w:t>et al.,</w:t>
      </w:r>
      <w:r w:rsidRPr="00940047">
        <w:rPr>
          <w:rFonts w:ascii="Arial" w:eastAsiaTheme="majorEastAsia" w:hAnsi="Arial" w:cs="Arial"/>
          <w:sz w:val="22"/>
          <w:szCs w:val="22"/>
        </w:rPr>
        <w:t xml:space="preserve"> 2017).</w:t>
      </w:r>
    </w:p>
    <w:p w14:paraId="502DC3FC" w14:textId="2EA27EEA" w:rsidR="00E677D7" w:rsidRPr="00964CBA" w:rsidRDefault="00E677D7" w:rsidP="001D4B85">
      <w:pPr>
        <w:pStyle w:val="paragraph"/>
        <w:spacing w:before="0" w:beforeAutospacing="0" w:after="0" w:afterAutospacing="0" w:line="360" w:lineRule="auto"/>
        <w:textAlignment w:val="baseline"/>
        <w:rPr>
          <w:rFonts w:ascii="Arial" w:eastAsiaTheme="majorEastAsia" w:hAnsi="Arial" w:cs="Arial"/>
          <w:sz w:val="22"/>
          <w:szCs w:val="22"/>
        </w:rPr>
      </w:pPr>
    </w:p>
    <w:p w14:paraId="02BE9831" w14:textId="7E775F6D" w:rsidR="00D81859" w:rsidRPr="00963980" w:rsidRDefault="00BD2909" w:rsidP="001C7EFA">
      <w:pPr>
        <w:pStyle w:val="Heading2"/>
      </w:pPr>
      <w:bookmarkStart w:id="9" w:name="_Toc204981478"/>
      <w:r w:rsidRPr="00963980">
        <w:rPr>
          <w:rStyle w:val="Heading2Char"/>
          <w:bCs/>
          <w:i/>
          <w:iCs/>
        </w:rPr>
        <w:t xml:space="preserve">1.4 </w:t>
      </w:r>
      <w:r w:rsidR="006C2022" w:rsidRPr="00963980">
        <w:rPr>
          <w:rStyle w:val="normaltextrun"/>
        </w:rPr>
        <w:t>Aim</w:t>
      </w:r>
      <w:r w:rsidR="00307E41" w:rsidRPr="00963980">
        <w:rPr>
          <w:rStyle w:val="normaltextrun"/>
        </w:rPr>
        <w:t>:</w:t>
      </w:r>
      <w:bookmarkEnd w:id="9"/>
      <w:r w:rsidR="00307E41" w:rsidRPr="00963980">
        <w:rPr>
          <w:rStyle w:val="normaltextrun"/>
        </w:rPr>
        <w:t xml:space="preserve"> </w:t>
      </w:r>
    </w:p>
    <w:p w14:paraId="65E3A94B" w14:textId="77777777" w:rsidR="00A94445" w:rsidRPr="00964CBA" w:rsidRDefault="00A94445" w:rsidP="00656E23">
      <w:pPr>
        <w:pStyle w:val="paragraph"/>
        <w:spacing w:before="0" w:beforeAutospacing="0" w:after="0" w:afterAutospacing="0" w:line="360" w:lineRule="auto"/>
        <w:jc w:val="both"/>
        <w:textAlignment w:val="baseline"/>
        <w:rPr>
          <w:rFonts w:ascii="Arial" w:hAnsi="Arial" w:cs="Arial"/>
          <w:sz w:val="22"/>
          <w:szCs w:val="22"/>
        </w:rPr>
      </w:pPr>
    </w:p>
    <w:p w14:paraId="7B04BA7D" w14:textId="74BFC52F" w:rsidR="00510386" w:rsidRPr="00964CBA" w:rsidRDefault="00D81859" w:rsidP="007D680B">
      <w:pPr>
        <w:pStyle w:val="paragraph"/>
        <w:spacing w:before="0" w:beforeAutospacing="0" w:after="0" w:afterAutospacing="0" w:line="360" w:lineRule="auto"/>
        <w:jc w:val="both"/>
        <w:textAlignment w:val="baseline"/>
        <w:rPr>
          <w:rFonts w:ascii="Arial" w:hAnsi="Arial" w:cs="Arial"/>
          <w:sz w:val="22"/>
          <w:szCs w:val="22"/>
        </w:rPr>
      </w:pPr>
      <w:r w:rsidRPr="00964CBA">
        <w:rPr>
          <w:rFonts w:ascii="Arial" w:hAnsi="Arial" w:cs="Arial"/>
          <w:sz w:val="22"/>
          <w:szCs w:val="22"/>
        </w:rPr>
        <w:t xml:space="preserve">This research seeks to assess the adequacy of the UK’s healthcare provisions for individuals with </w:t>
      </w:r>
      <w:r w:rsidR="00133A02">
        <w:rPr>
          <w:rFonts w:ascii="Arial" w:hAnsi="Arial" w:cs="Arial"/>
          <w:sz w:val="22"/>
          <w:szCs w:val="22"/>
        </w:rPr>
        <w:t>SCZ</w:t>
      </w:r>
      <w:r w:rsidRPr="00964CBA">
        <w:rPr>
          <w:rFonts w:ascii="Arial" w:hAnsi="Arial" w:cs="Arial"/>
          <w:sz w:val="22"/>
          <w:szCs w:val="22"/>
        </w:rPr>
        <w:t xml:space="preserve"> by examining treatment strategies, structural obstacles, and accessibility issues. It will propose evidence-driven recommendations to enhance service availability, optimise treatment approaches, and reduce inequalities in healthcare outcomes.</w:t>
      </w:r>
    </w:p>
    <w:p w14:paraId="0521F59C" w14:textId="77777777" w:rsidR="00510386" w:rsidRPr="00964CBA" w:rsidRDefault="00510386" w:rsidP="00656E23">
      <w:pPr>
        <w:pStyle w:val="paragraph"/>
        <w:spacing w:before="0" w:beforeAutospacing="0" w:after="0" w:afterAutospacing="0" w:line="360" w:lineRule="auto"/>
        <w:jc w:val="both"/>
        <w:textAlignment w:val="baseline"/>
        <w:rPr>
          <w:rFonts w:ascii="Arial" w:hAnsi="Arial" w:cs="Arial"/>
          <w:b/>
          <w:bCs/>
          <w:i/>
          <w:iCs/>
          <w:sz w:val="22"/>
          <w:szCs w:val="22"/>
        </w:rPr>
      </w:pPr>
    </w:p>
    <w:p w14:paraId="520AE82F" w14:textId="7F734B70" w:rsidR="003F514C" w:rsidRPr="00D7672F" w:rsidRDefault="00A94445" w:rsidP="00CA6038">
      <w:pPr>
        <w:pStyle w:val="Heading2"/>
      </w:pPr>
      <w:bookmarkStart w:id="10" w:name="_Toc204981479"/>
      <w:r w:rsidRPr="00D7672F">
        <w:t>Objectives:</w:t>
      </w:r>
      <w:bookmarkEnd w:id="10"/>
    </w:p>
    <w:p w14:paraId="0F34CAB9" w14:textId="77777777" w:rsidR="00A94445" w:rsidRPr="00964CBA" w:rsidRDefault="00A94445" w:rsidP="00656E23">
      <w:pPr>
        <w:pStyle w:val="paragraph"/>
        <w:spacing w:before="0" w:beforeAutospacing="0" w:after="0" w:afterAutospacing="0" w:line="360" w:lineRule="auto"/>
        <w:jc w:val="both"/>
        <w:textAlignment w:val="baseline"/>
        <w:rPr>
          <w:rFonts w:ascii="Arial" w:hAnsi="Arial" w:cs="Arial"/>
          <w:b/>
          <w:bCs/>
          <w:i/>
          <w:iCs/>
          <w:sz w:val="22"/>
          <w:szCs w:val="22"/>
        </w:rPr>
      </w:pPr>
    </w:p>
    <w:p w14:paraId="28E34A32" w14:textId="38D5F58F" w:rsidR="00144775" w:rsidRPr="00964CBA" w:rsidRDefault="00D81859" w:rsidP="007D680B">
      <w:pPr>
        <w:pStyle w:val="paragraph"/>
        <w:spacing w:before="0" w:beforeAutospacing="0" w:after="0" w:afterAutospacing="0" w:line="360" w:lineRule="auto"/>
        <w:jc w:val="both"/>
        <w:textAlignment w:val="baseline"/>
        <w:rPr>
          <w:rStyle w:val="normaltextrun"/>
          <w:rFonts w:ascii="Arial" w:hAnsi="Arial" w:cs="Arial"/>
          <w:sz w:val="22"/>
          <w:szCs w:val="22"/>
        </w:rPr>
      </w:pPr>
      <w:r w:rsidRPr="00964CBA">
        <w:rPr>
          <w:rFonts w:ascii="Arial" w:hAnsi="Arial" w:cs="Arial"/>
          <w:sz w:val="22"/>
          <w:szCs w:val="22"/>
        </w:rPr>
        <w:t xml:space="preserve">To define and examine the effectiveness of the UK's healthcare provisions for individuals with </w:t>
      </w:r>
      <w:r w:rsidR="00133A02">
        <w:rPr>
          <w:rFonts w:ascii="Arial" w:hAnsi="Arial" w:cs="Arial"/>
          <w:sz w:val="22"/>
          <w:szCs w:val="22"/>
        </w:rPr>
        <w:t>SCZ</w:t>
      </w:r>
      <w:r w:rsidRPr="00964CBA">
        <w:rPr>
          <w:rFonts w:ascii="Arial" w:hAnsi="Arial" w:cs="Arial"/>
          <w:sz w:val="22"/>
          <w:szCs w:val="22"/>
        </w:rPr>
        <w:t>.</w:t>
      </w:r>
    </w:p>
    <w:p w14:paraId="5D925AC9" w14:textId="77777777" w:rsidR="003F514C" w:rsidRPr="00964CBA" w:rsidRDefault="003F514C" w:rsidP="007D680B">
      <w:pPr>
        <w:pStyle w:val="paragraph"/>
        <w:spacing w:before="0" w:beforeAutospacing="0" w:after="0" w:afterAutospacing="0" w:line="360" w:lineRule="auto"/>
        <w:jc w:val="both"/>
        <w:textAlignment w:val="baseline"/>
        <w:rPr>
          <w:rStyle w:val="eop"/>
          <w:rFonts w:ascii="Arial" w:hAnsi="Arial" w:cs="Arial"/>
          <w:sz w:val="22"/>
          <w:szCs w:val="22"/>
        </w:rPr>
      </w:pPr>
    </w:p>
    <w:p w14:paraId="3DA10AF4" w14:textId="1C11A924" w:rsidR="003F514C" w:rsidRPr="00964CBA" w:rsidRDefault="00236288" w:rsidP="007D680B">
      <w:pPr>
        <w:pStyle w:val="paragraph"/>
        <w:spacing w:before="0" w:beforeAutospacing="0" w:after="0" w:afterAutospacing="0" w:line="360" w:lineRule="auto"/>
        <w:jc w:val="both"/>
        <w:textAlignment w:val="baseline"/>
        <w:rPr>
          <w:rStyle w:val="normaltextrun"/>
          <w:rFonts w:ascii="Arial" w:hAnsi="Arial" w:cs="Arial"/>
          <w:sz w:val="22"/>
          <w:szCs w:val="22"/>
        </w:rPr>
      </w:pPr>
      <w:r w:rsidRPr="00964CBA">
        <w:rPr>
          <w:rStyle w:val="eop"/>
          <w:rFonts w:ascii="Arial" w:hAnsi="Arial" w:cs="Arial"/>
          <w:sz w:val="22"/>
          <w:szCs w:val="22"/>
        </w:rPr>
        <w:t>To analyse the impact of</w:t>
      </w:r>
      <w:r w:rsidR="009141CD" w:rsidRPr="00964CBA">
        <w:rPr>
          <w:rStyle w:val="eop"/>
          <w:rFonts w:ascii="Arial" w:hAnsi="Arial" w:cs="Arial"/>
          <w:sz w:val="22"/>
          <w:szCs w:val="22"/>
        </w:rPr>
        <w:t xml:space="preserve"> pharmacolo</w:t>
      </w:r>
      <w:r w:rsidR="00D54AD3" w:rsidRPr="00964CBA">
        <w:rPr>
          <w:rStyle w:val="eop"/>
          <w:rFonts w:ascii="Arial" w:hAnsi="Arial" w:cs="Arial"/>
          <w:sz w:val="22"/>
          <w:szCs w:val="22"/>
        </w:rPr>
        <w:t xml:space="preserve">gical </w:t>
      </w:r>
      <w:r w:rsidR="00607464" w:rsidRPr="00964CBA">
        <w:rPr>
          <w:rStyle w:val="eop"/>
          <w:rFonts w:ascii="Arial" w:hAnsi="Arial" w:cs="Arial"/>
          <w:sz w:val="22"/>
          <w:szCs w:val="22"/>
        </w:rPr>
        <w:t>treatments, psychological interven</w:t>
      </w:r>
      <w:r w:rsidR="00251E25" w:rsidRPr="00964CBA">
        <w:rPr>
          <w:rStyle w:val="eop"/>
          <w:rFonts w:ascii="Arial" w:hAnsi="Arial" w:cs="Arial"/>
          <w:sz w:val="22"/>
          <w:szCs w:val="22"/>
        </w:rPr>
        <w:t>tions,</w:t>
      </w:r>
      <w:r w:rsidR="00411E77" w:rsidRPr="00964CBA">
        <w:rPr>
          <w:rStyle w:val="eop"/>
          <w:rFonts w:ascii="Arial" w:hAnsi="Arial" w:cs="Arial"/>
          <w:sz w:val="22"/>
          <w:szCs w:val="22"/>
        </w:rPr>
        <w:t xml:space="preserve"> </w:t>
      </w:r>
      <w:r w:rsidR="00251E25" w:rsidRPr="00964CBA">
        <w:rPr>
          <w:rStyle w:val="eop"/>
          <w:rFonts w:ascii="Arial" w:hAnsi="Arial" w:cs="Arial"/>
          <w:sz w:val="22"/>
          <w:szCs w:val="22"/>
        </w:rPr>
        <w:t>and ps</w:t>
      </w:r>
      <w:r w:rsidR="00411E77" w:rsidRPr="00964CBA">
        <w:rPr>
          <w:rStyle w:val="eop"/>
          <w:rFonts w:ascii="Arial" w:hAnsi="Arial" w:cs="Arial"/>
          <w:sz w:val="22"/>
          <w:szCs w:val="22"/>
        </w:rPr>
        <w:t>ycho</w:t>
      </w:r>
      <w:r w:rsidR="00F71DEE" w:rsidRPr="00964CBA">
        <w:rPr>
          <w:rStyle w:val="eop"/>
          <w:rFonts w:ascii="Arial" w:hAnsi="Arial" w:cs="Arial"/>
          <w:sz w:val="22"/>
          <w:szCs w:val="22"/>
        </w:rPr>
        <w:t xml:space="preserve">education </w:t>
      </w:r>
      <w:r w:rsidR="00D41016" w:rsidRPr="00964CBA">
        <w:rPr>
          <w:rStyle w:val="eop"/>
          <w:rFonts w:ascii="Arial" w:hAnsi="Arial" w:cs="Arial"/>
          <w:sz w:val="22"/>
          <w:szCs w:val="22"/>
        </w:rPr>
        <w:t xml:space="preserve">on </w:t>
      </w:r>
      <w:r w:rsidR="00641681">
        <w:rPr>
          <w:rStyle w:val="eop"/>
          <w:rFonts w:ascii="Arial" w:hAnsi="Arial" w:cs="Arial"/>
          <w:sz w:val="22"/>
          <w:szCs w:val="22"/>
        </w:rPr>
        <w:t>SCZ</w:t>
      </w:r>
      <w:r w:rsidR="00D41016" w:rsidRPr="00964CBA">
        <w:rPr>
          <w:rStyle w:val="eop"/>
          <w:rFonts w:ascii="Arial" w:hAnsi="Arial" w:cs="Arial"/>
          <w:sz w:val="22"/>
          <w:szCs w:val="22"/>
        </w:rPr>
        <w:t xml:space="preserve"> care in the UK’s</w:t>
      </w:r>
      <w:r w:rsidR="007E1153" w:rsidRPr="00964CBA">
        <w:rPr>
          <w:rStyle w:val="eop"/>
          <w:rFonts w:ascii="Arial" w:hAnsi="Arial" w:cs="Arial"/>
          <w:sz w:val="22"/>
          <w:szCs w:val="22"/>
        </w:rPr>
        <w:t xml:space="preserve"> healthcare </w:t>
      </w:r>
      <w:r w:rsidR="00713200" w:rsidRPr="00964CBA">
        <w:rPr>
          <w:rStyle w:val="eop"/>
          <w:rFonts w:ascii="Arial" w:hAnsi="Arial" w:cs="Arial"/>
          <w:sz w:val="22"/>
          <w:szCs w:val="22"/>
        </w:rPr>
        <w:t>system.</w:t>
      </w:r>
    </w:p>
    <w:p w14:paraId="0682A9A6" w14:textId="77777777" w:rsidR="003F514C" w:rsidRPr="00964CBA" w:rsidRDefault="003F514C" w:rsidP="007D680B">
      <w:pPr>
        <w:pStyle w:val="paragraph"/>
        <w:spacing w:before="0" w:beforeAutospacing="0" w:after="0" w:afterAutospacing="0" w:line="360" w:lineRule="auto"/>
        <w:jc w:val="both"/>
        <w:textAlignment w:val="baseline"/>
        <w:rPr>
          <w:rFonts w:ascii="Arial" w:hAnsi="Arial" w:cs="Arial"/>
          <w:sz w:val="22"/>
          <w:szCs w:val="22"/>
        </w:rPr>
      </w:pPr>
    </w:p>
    <w:p w14:paraId="3781127F" w14:textId="1ED2C188" w:rsidR="003F514C" w:rsidRPr="00964CBA" w:rsidRDefault="00D81859" w:rsidP="007D680B">
      <w:pPr>
        <w:pStyle w:val="paragraph"/>
        <w:spacing w:before="0" w:beforeAutospacing="0" w:after="0" w:afterAutospacing="0" w:line="360" w:lineRule="auto"/>
        <w:jc w:val="both"/>
        <w:textAlignment w:val="baseline"/>
        <w:rPr>
          <w:rStyle w:val="normaltextrun"/>
          <w:rFonts w:ascii="Arial" w:hAnsi="Arial" w:cs="Arial"/>
          <w:sz w:val="22"/>
          <w:szCs w:val="22"/>
        </w:rPr>
      </w:pPr>
      <w:r w:rsidRPr="00964CBA">
        <w:rPr>
          <w:rFonts w:ascii="Arial" w:hAnsi="Arial" w:cs="Arial"/>
          <w:sz w:val="22"/>
          <w:szCs w:val="22"/>
        </w:rPr>
        <w:t xml:space="preserve">To evaluate systemic barriers to accessing </w:t>
      </w:r>
      <w:r w:rsidR="009C36B4">
        <w:rPr>
          <w:rFonts w:ascii="Arial" w:hAnsi="Arial" w:cs="Arial"/>
          <w:sz w:val="22"/>
          <w:szCs w:val="22"/>
        </w:rPr>
        <w:t>SCZ</w:t>
      </w:r>
      <w:r w:rsidRPr="00964CBA">
        <w:rPr>
          <w:rFonts w:ascii="Arial" w:hAnsi="Arial" w:cs="Arial"/>
          <w:sz w:val="22"/>
          <w:szCs w:val="22"/>
        </w:rPr>
        <w:t xml:space="preserve"> care in the UK, including workforce shortages, policy inefficiencies, and stigma.</w:t>
      </w:r>
    </w:p>
    <w:p w14:paraId="361BA109" w14:textId="77777777" w:rsidR="003F514C" w:rsidRPr="00964CBA" w:rsidRDefault="00144775" w:rsidP="007D680B">
      <w:pPr>
        <w:pStyle w:val="paragraph"/>
        <w:spacing w:before="0" w:beforeAutospacing="0" w:after="0" w:afterAutospacing="0" w:line="360" w:lineRule="auto"/>
        <w:jc w:val="both"/>
        <w:textAlignment w:val="baseline"/>
        <w:rPr>
          <w:rStyle w:val="eop"/>
          <w:rFonts w:ascii="Arial" w:hAnsi="Arial" w:cs="Arial"/>
          <w:sz w:val="22"/>
          <w:szCs w:val="22"/>
        </w:rPr>
      </w:pPr>
      <w:r w:rsidRPr="00964CBA">
        <w:rPr>
          <w:rStyle w:val="eop"/>
          <w:rFonts w:ascii="Arial" w:hAnsi="Arial" w:cs="Arial"/>
          <w:sz w:val="22"/>
          <w:szCs w:val="22"/>
        </w:rPr>
        <w:t> </w:t>
      </w:r>
    </w:p>
    <w:p w14:paraId="540147D9" w14:textId="2134D07D" w:rsidR="00D81859" w:rsidRPr="00964CBA" w:rsidRDefault="00D81859" w:rsidP="007D680B">
      <w:pPr>
        <w:pStyle w:val="paragraph"/>
        <w:spacing w:before="0" w:beforeAutospacing="0" w:after="0" w:afterAutospacing="0" w:line="360" w:lineRule="auto"/>
        <w:jc w:val="both"/>
        <w:textAlignment w:val="baseline"/>
        <w:rPr>
          <w:rFonts w:ascii="Arial" w:hAnsi="Arial" w:cs="Arial"/>
          <w:sz w:val="22"/>
          <w:szCs w:val="22"/>
        </w:rPr>
      </w:pPr>
      <w:r w:rsidRPr="00964CBA">
        <w:rPr>
          <w:rFonts w:ascii="Arial" w:hAnsi="Arial" w:cs="Arial"/>
          <w:sz w:val="22"/>
          <w:szCs w:val="22"/>
        </w:rPr>
        <w:t xml:space="preserve">To provide evidence-based recommendations for improving the UK's healthcare provisions for </w:t>
      </w:r>
      <w:r w:rsidR="00641681">
        <w:rPr>
          <w:rFonts w:ascii="Arial" w:hAnsi="Arial" w:cs="Arial"/>
          <w:sz w:val="22"/>
          <w:szCs w:val="22"/>
        </w:rPr>
        <w:t>SCZ</w:t>
      </w:r>
      <w:r w:rsidRPr="00964CBA">
        <w:rPr>
          <w:rFonts w:ascii="Arial" w:hAnsi="Arial" w:cs="Arial"/>
          <w:sz w:val="22"/>
          <w:szCs w:val="22"/>
        </w:rPr>
        <w:t>.</w:t>
      </w:r>
    </w:p>
    <w:p w14:paraId="2CCA6977" w14:textId="77777777" w:rsidR="00652782" w:rsidRPr="00964CBA" w:rsidRDefault="00652782" w:rsidP="007D680B">
      <w:pPr>
        <w:pStyle w:val="paragraph"/>
        <w:spacing w:before="0" w:beforeAutospacing="0" w:after="0" w:afterAutospacing="0" w:line="360" w:lineRule="auto"/>
        <w:jc w:val="both"/>
        <w:textAlignment w:val="baseline"/>
        <w:rPr>
          <w:rFonts w:ascii="Arial" w:hAnsi="Arial" w:cs="Arial"/>
          <w:sz w:val="22"/>
          <w:szCs w:val="22"/>
        </w:rPr>
      </w:pPr>
    </w:p>
    <w:p w14:paraId="13ED95C9" w14:textId="70A2B36E" w:rsidR="00BD2909" w:rsidRPr="00964CBA" w:rsidRDefault="00D81859" w:rsidP="007D680B">
      <w:pPr>
        <w:pStyle w:val="paragraph"/>
        <w:spacing w:before="0" w:beforeAutospacing="0" w:after="0" w:afterAutospacing="0" w:line="360" w:lineRule="auto"/>
        <w:jc w:val="both"/>
        <w:textAlignment w:val="baseline"/>
        <w:rPr>
          <w:rFonts w:ascii="Arial" w:hAnsi="Arial" w:cs="Arial"/>
          <w:sz w:val="22"/>
          <w:szCs w:val="22"/>
        </w:rPr>
      </w:pPr>
      <w:r w:rsidRPr="00964CBA">
        <w:rPr>
          <w:rFonts w:ascii="Arial" w:hAnsi="Arial" w:cs="Arial"/>
          <w:sz w:val="22"/>
          <w:szCs w:val="22"/>
        </w:rPr>
        <w:t>These objectives will guide the thematic analysis and ensure a structured evaluation of existing healthcare provisions</w:t>
      </w:r>
      <w:r w:rsidR="007C2802" w:rsidRPr="00964CBA">
        <w:rPr>
          <w:rFonts w:ascii="Arial" w:hAnsi="Arial" w:cs="Arial"/>
          <w:sz w:val="22"/>
          <w:szCs w:val="22"/>
        </w:rPr>
        <w:t>.</w:t>
      </w:r>
    </w:p>
    <w:p w14:paraId="4C683F68" w14:textId="77777777" w:rsidR="005965AA" w:rsidRPr="00964CBA" w:rsidRDefault="005965AA" w:rsidP="00656E23">
      <w:pPr>
        <w:pStyle w:val="paragraph"/>
        <w:spacing w:before="0" w:beforeAutospacing="0" w:after="0" w:afterAutospacing="0" w:line="360" w:lineRule="auto"/>
        <w:textAlignment w:val="baseline"/>
        <w:rPr>
          <w:rStyle w:val="normaltextrun"/>
          <w:rFonts w:ascii="Arial" w:hAnsi="Arial" w:cs="Arial"/>
          <w:b/>
          <w:bCs/>
          <w:sz w:val="22"/>
          <w:szCs w:val="22"/>
        </w:rPr>
      </w:pPr>
    </w:p>
    <w:p w14:paraId="31F0D04F" w14:textId="77777777" w:rsidR="00010C1C" w:rsidRDefault="00010C1C" w:rsidP="00656E23">
      <w:pPr>
        <w:pStyle w:val="paragraph"/>
        <w:spacing w:before="0" w:beforeAutospacing="0" w:after="0" w:afterAutospacing="0" w:line="360" w:lineRule="auto"/>
        <w:textAlignment w:val="baseline"/>
        <w:rPr>
          <w:rStyle w:val="normaltextrun"/>
          <w:rFonts w:ascii="Arial" w:hAnsi="Arial" w:cs="Arial"/>
          <w:b/>
          <w:bCs/>
          <w:sz w:val="22"/>
          <w:szCs w:val="22"/>
        </w:rPr>
      </w:pPr>
    </w:p>
    <w:p w14:paraId="5B28E700" w14:textId="77777777" w:rsidR="000F47D1" w:rsidRDefault="000F47D1" w:rsidP="00656E23">
      <w:pPr>
        <w:pStyle w:val="paragraph"/>
        <w:spacing w:before="0" w:beforeAutospacing="0" w:after="0" w:afterAutospacing="0" w:line="360" w:lineRule="auto"/>
        <w:textAlignment w:val="baseline"/>
        <w:rPr>
          <w:rStyle w:val="normaltextrun"/>
          <w:rFonts w:ascii="Arial" w:hAnsi="Arial" w:cs="Arial"/>
          <w:b/>
          <w:bCs/>
          <w:sz w:val="22"/>
          <w:szCs w:val="22"/>
        </w:rPr>
      </w:pPr>
    </w:p>
    <w:p w14:paraId="7A670C76" w14:textId="77777777" w:rsidR="00940047" w:rsidRDefault="00940047" w:rsidP="00656E23">
      <w:pPr>
        <w:pStyle w:val="paragraph"/>
        <w:spacing w:before="0" w:beforeAutospacing="0" w:after="0" w:afterAutospacing="0" w:line="360" w:lineRule="auto"/>
        <w:textAlignment w:val="baseline"/>
        <w:rPr>
          <w:rStyle w:val="normaltextrun"/>
          <w:rFonts w:ascii="Arial" w:hAnsi="Arial" w:cs="Arial"/>
          <w:b/>
          <w:bCs/>
          <w:sz w:val="22"/>
          <w:szCs w:val="22"/>
        </w:rPr>
      </w:pPr>
    </w:p>
    <w:p w14:paraId="2272ABA3" w14:textId="77777777" w:rsidR="00940047" w:rsidRDefault="00940047" w:rsidP="00656E23">
      <w:pPr>
        <w:pStyle w:val="paragraph"/>
        <w:spacing w:before="0" w:beforeAutospacing="0" w:after="0" w:afterAutospacing="0" w:line="360" w:lineRule="auto"/>
        <w:textAlignment w:val="baseline"/>
        <w:rPr>
          <w:rStyle w:val="normaltextrun"/>
          <w:rFonts w:ascii="Arial" w:hAnsi="Arial" w:cs="Arial"/>
          <w:b/>
          <w:bCs/>
          <w:sz w:val="22"/>
          <w:szCs w:val="22"/>
        </w:rPr>
      </w:pPr>
    </w:p>
    <w:p w14:paraId="479C2D94" w14:textId="77777777" w:rsidR="00940047" w:rsidRDefault="00940047" w:rsidP="00656E23">
      <w:pPr>
        <w:pStyle w:val="paragraph"/>
        <w:spacing w:before="0" w:beforeAutospacing="0" w:after="0" w:afterAutospacing="0" w:line="360" w:lineRule="auto"/>
        <w:textAlignment w:val="baseline"/>
        <w:rPr>
          <w:rStyle w:val="normaltextrun"/>
          <w:rFonts w:ascii="Arial" w:hAnsi="Arial" w:cs="Arial"/>
          <w:b/>
          <w:bCs/>
          <w:sz w:val="22"/>
          <w:szCs w:val="22"/>
        </w:rPr>
      </w:pPr>
    </w:p>
    <w:p w14:paraId="7554822C" w14:textId="77777777" w:rsidR="000F47D1" w:rsidRPr="00964CBA" w:rsidRDefault="000F47D1" w:rsidP="00656E23">
      <w:pPr>
        <w:pStyle w:val="paragraph"/>
        <w:spacing w:before="0" w:beforeAutospacing="0" w:after="0" w:afterAutospacing="0" w:line="360" w:lineRule="auto"/>
        <w:textAlignment w:val="baseline"/>
        <w:rPr>
          <w:rStyle w:val="normaltextrun"/>
          <w:rFonts w:ascii="Arial" w:hAnsi="Arial" w:cs="Arial"/>
          <w:b/>
          <w:bCs/>
          <w:sz w:val="22"/>
          <w:szCs w:val="22"/>
        </w:rPr>
      </w:pPr>
    </w:p>
    <w:p w14:paraId="639F737E" w14:textId="44ADBF27" w:rsidR="00F50584" w:rsidRPr="00F95EF5" w:rsidRDefault="00BD2909" w:rsidP="00CA6038">
      <w:pPr>
        <w:pStyle w:val="Heading2"/>
        <w:rPr>
          <w:rStyle w:val="eop"/>
        </w:rPr>
      </w:pPr>
      <w:bookmarkStart w:id="11" w:name="_Toc204981480"/>
      <w:r w:rsidRPr="00F95EF5">
        <w:rPr>
          <w:rStyle w:val="normaltextrun"/>
        </w:rPr>
        <w:lastRenderedPageBreak/>
        <w:t>1.5 Conclusion</w:t>
      </w:r>
      <w:r w:rsidR="0079220C">
        <w:rPr>
          <w:rStyle w:val="normaltextrun"/>
        </w:rPr>
        <w:t>:</w:t>
      </w:r>
      <w:bookmarkEnd w:id="11"/>
      <w:r w:rsidRPr="00F95EF5">
        <w:rPr>
          <w:rStyle w:val="normaltextrun"/>
        </w:rPr>
        <w:t xml:space="preserve"> </w:t>
      </w:r>
    </w:p>
    <w:p w14:paraId="7CCFCEA5" w14:textId="77777777" w:rsidR="00A10BEF" w:rsidRPr="00964CBA" w:rsidRDefault="00A10BEF" w:rsidP="00656E23">
      <w:pPr>
        <w:pStyle w:val="paragraph"/>
        <w:spacing w:before="0" w:beforeAutospacing="0" w:after="0" w:afterAutospacing="0" w:line="360" w:lineRule="auto"/>
        <w:textAlignment w:val="baseline"/>
        <w:rPr>
          <w:rStyle w:val="normaltextrun"/>
          <w:rFonts w:ascii="Arial" w:hAnsi="Arial" w:cs="Arial"/>
          <w:sz w:val="22"/>
          <w:szCs w:val="22"/>
        </w:rPr>
      </w:pPr>
    </w:p>
    <w:p w14:paraId="602856FA" w14:textId="162B4750" w:rsidR="00BA2A3D" w:rsidRPr="00691F40" w:rsidRDefault="00BA2A3D" w:rsidP="00691F40">
      <w:pPr>
        <w:rPr>
          <w:rFonts w:ascii="Arial" w:hAnsi="Arial" w:cs="Arial"/>
        </w:rPr>
      </w:pPr>
      <w:r w:rsidRPr="00691F40">
        <w:rPr>
          <w:rFonts w:ascii="Arial" w:hAnsi="Arial" w:cs="Arial"/>
        </w:rPr>
        <w:t>Chapter 1 introduced the research by establishing the need to evaluate the UK’s healthcare provisions for individuals with</w:t>
      </w:r>
      <w:r w:rsidR="000405E4" w:rsidRPr="00691F40">
        <w:rPr>
          <w:rFonts w:ascii="Arial" w:hAnsi="Arial" w:cs="Arial"/>
        </w:rPr>
        <w:t xml:space="preserve"> S</w:t>
      </w:r>
      <w:r w:rsidR="00F617F6" w:rsidRPr="00691F40">
        <w:rPr>
          <w:rFonts w:ascii="Arial" w:hAnsi="Arial" w:cs="Arial"/>
        </w:rPr>
        <w:t>CZ</w:t>
      </w:r>
      <w:r w:rsidRPr="00691F40">
        <w:rPr>
          <w:rFonts w:ascii="Arial" w:hAnsi="Arial" w:cs="Arial"/>
        </w:rPr>
        <w:t xml:space="preserve">. It outlined core challenges such as systemic inequalities, </w:t>
      </w:r>
      <w:r w:rsidR="00073533" w:rsidRPr="00691F40">
        <w:rPr>
          <w:rFonts w:ascii="Arial" w:hAnsi="Arial" w:cs="Arial"/>
        </w:rPr>
        <w:t>limited-service</w:t>
      </w:r>
      <w:r w:rsidRPr="00691F40">
        <w:rPr>
          <w:rFonts w:ascii="Arial" w:hAnsi="Arial" w:cs="Arial"/>
        </w:rPr>
        <w:t xml:space="preserve"> accessibility, underfunding, and inconsistent policy enforcement. The rationale highlights how these factors hinder timely diagnosis, equitable treatment, and sustained care, particularly for ethnic minority groups. Additionally, the chapter reviewed key interventions, including pharmacological and psychosocial approaches, while noting their limitations and variations in effectiveness.</w:t>
      </w:r>
    </w:p>
    <w:p w14:paraId="069DABA9" w14:textId="77777777" w:rsidR="00BA2A3D" w:rsidRPr="00691F40" w:rsidRDefault="00BA2A3D" w:rsidP="00691F40">
      <w:pPr>
        <w:rPr>
          <w:rFonts w:ascii="Arial" w:hAnsi="Arial" w:cs="Arial"/>
        </w:rPr>
      </w:pPr>
      <w:r w:rsidRPr="00691F40">
        <w:rPr>
          <w:rFonts w:ascii="Arial" w:hAnsi="Arial" w:cs="Arial"/>
        </w:rPr>
        <w:t>The introduction also draws attention to enduring issues first raised by older research, reaffirmed by more recent findings, demonstrating the persistent nature of these systemic gaps. As such, a comprehensive and evidence-informed review of existing frameworks is necessary.</w:t>
      </w:r>
    </w:p>
    <w:p w14:paraId="69CF2904" w14:textId="2A3901CF" w:rsidR="00BA2A3D" w:rsidRPr="00691F40" w:rsidRDefault="00BA2A3D" w:rsidP="00691F40">
      <w:pPr>
        <w:rPr>
          <w:rFonts w:ascii="Arial" w:hAnsi="Arial" w:cs="Arial"/>
          <w:b/>
          <w:bCs/>
          <w:i/>
          <w:iCs/>
        </w:rPr>
      </w:pPr>
      <w:r w:rsidRPr="00691F40">
        <w:rPr>
          <w:rFonts w:ascii="Arial" w:hAnsi="Arial" w:cs="Arial"/>
        </w:rPr>
        <w:t>The research aims and objectives have been clearly defined, providing direction for a thematic analysis. These objectives will guide the study’s exploration of healthcare delivery, access, and outcomes, ensuring a focused and critical evaluation. Together, these elements form the foundation for subsequent chapters and the development of targeted recommendations</w:t>
      </w:r>
      <w:r w:rsidRPr="00691F40">
        <w:rPr>
          <w:rFonts w:ascii="Arial" w:hAnsi="Arial" w:cs="Arial"/>
          <w:b/>
          <w:bCs/>
          <w:i/>
          <w:iCs/>
        </w:rPr>
        <w:t>.</w:t>
      </w:r>
    </w:p>
    <w:p w14:paraId="79E76D04" w14:textId="77777777" w:rsidR="00691F40" w:rsidRPr="00F95EF5" w:rsidRDefault="00691F40" w:rsidP="001B1EF6">
      <w:pPr>
        <w:rPr>
          <w:rStyle w:val="normaltextrun"/>
          <w:rFonts w:ascii="Arial" w:hAnsi="Arial" w:cs="Arial"/>
          <w:b/>
          <w:bCs/>
          <w:i/>
          <w:iCs/>
          <w:sz w:val="28"/>
          <w:szCs w:val="28"/>
        </w:rPr>
      </w:pPr>
    </w:p>
    <w:p w14:paraId="09685A52" w14:textId="7A0FA159" w:rsidR="002546C1" w:rsidRDefault="00BD2909" w:rsidP="00CA6038">
      <w:pPr>
        <w:pStyle w:val="Heading2"/>
        <w:rPr>
          <w:rStyle w:val="normaltextrun"/>
          <w:bCs w:val="0"/>
          <w:i w:val="0"/>
          <w:iCs w:val="0"/>
        </w:rPr>
      </w:pPr>
      <w:bookmarkStart w:id="12" w:name="_Toc204981481"/>
      <w:r w:rsidRPr="00F95EF5">
        <w:rPr>
          <w:rStyle w:val="normaltextrun"/>
        </w:rPr>
        <w:t>Signposting to Chapter 2</w:t>
      </w:r>
      <w:bookmarkEnd w:id="12"/>
    </w:p>
    <w:p w14:paraId="766A2698" w14:textId="77777777" w:rsidR="00746800" w:rsidRPr="00F95EF5" w:rsidRDefault="00746800" w:rsidP="00FD0175">
      <w:pPr>
        <w:pStyle w:val="Heading1"/>
        <w:rPr>
          <w:rStyle w:val="normaltextrun"/>
          <w:b w:val="0"/>
          <w:bCs w:val="0"/>
          <w:i w:val="0"/>
          <w:iCs w:val="0"/>
          <w:sz w:val="28"/>
        </w:rPr>
      </w:pPr>
    </w:p>
    <w:p w14:paraId="32DB0F56" w14:textId="77777777" w:rsidR="00F95EF5" w:rsidRDefault="006E76ED" w:rsidP="001B1EF6">
      <w:pPr>
        <w:rPr>
          <w:rFonts w:ascii="Arial" w:hAnsi="Arial" w:cs="Arial"/>
          <w:b/>
          <w:bCs/>
        </w:rPr>
      </w:pPr>
      <w:r w:rsidRPr="00691F40">
        <w:rPr>
          <w:rFonts w:ascii="Arial" w:hAnsi="Arial" w:cs="Arial"/>
          <w:bCs/>
        </w:rPr>
        <w:t>Chapter 2 provides a structured literature review exploring the historical evolution, theoretical models, and global and UK-specific contexts of SCZ care. It critically examines policy reforms, service developments, and treatment frameworks, establishing a foundation for analysing accessibility, efficacy, and implementation in subsequent chapters.</w:t>
      </w:r>
    </w:p>
    <w:p w14:paraId="322B3317" w14:textId="597DC3B3" w:rsidR="00746800" w:rsidRDefault="00746800" w:rsidP="00FD0175">
      <w:pPr>
        <w:pStyle w:val="Heading1"/>
      </w:pPr>
    </w:p>
    <w:p w14:paraId="5EB2128D" w14:textId="77777777" w:rsidR="00746800" w:rsidRDefault="000D0641" w:rsidP="00FD0175">
      <w:pPr>
        <w:pStyle w:val="Heading1"/>
      </w:pPr>
      <w:bookmarkStart w:id="13" w:name="_Toc204981482"/>
      <w:r w:rsidRPr="003D3711">
        <w:t xml:space="preserve">CHAPTER 2 – </w:t>
      </w:r>
      <w:r w:rsidR="00BD2909" w:rsidRPr="003D3711">
        <w:t xml:space="preserve">Background </w:t>
      </w:r>
      <w:r w:rsidR="00F44833" w:rsidRPr="003D3711">
        <w:t xml:space="preserve">Information and </w:t>
      </w:r>
      <w:r w:rsidR="00BD2909" w:rsidRPr="003D3711">
        <w:t>Analysis</w:t>
      </w:r>
      <w:bookmarkEnd w:id="13"/>
    </w:p>
    <w:p w14:paraId="3660EAAD" w14:textId="3455E800" w:rsidR="004B096A" w:rsidRPr="003D3711" w:rsidRDefault="000D0641" w:rsidP="00FD0175">
      <w:pPr>
        <w:pStyle w:val="Heading1"/>
      </w:pPr>
      <w:r w:rsidRPr="003D3711">
        <w:t xml:space="preserve"> </w:t>
      </w:r>
    </w:p>
    <w:p w14:paraId="40A51CE7" w14:textId="48E68A24" w:rsidR="00C912F7" w:rsidRDefault="00BD2909" w:rsidP="00CD25E3">
      <w:pPr>
        <w:pStyle w:val="Heading2"/>
        <w:rPr>
          <w:rStyle w:val="normaltextrun"/>
          <w:bCs w:val="0"/>
          <w:i w:val="0"/>
          <w:iCs w:val="0"/>
        </w:rPr>
      </w:pPr>
      <w:bookmarkStart w:id="14" w:name="_Toc204981483"/>
      <w:r w:rsidRPr="00F95EF5">
        <w:rPr>
          <w:rStyle w:val="normaltextrun"/>
        </w:rPr>
        <w:t>2.1 Introduction</w:t>
      </w:r>
      <w:bookmarkEnd w:id="14"/>
    </w:p>
    <w:p w14:paraId="749C898D" w14:textId="77777777" w:rsidR="00746800" w:rsidRPr="00746800" w:rsidRDefault="00746800" w:rsidP="00FD0175">
      <w:pPr>
        <w:pStyle w:val="Heading1"/>
      </w:pPr>
    </w:p>
    <w:p w14:paraId="1010BEB5" w14:textId="2E395519" w:rsidR="006C16E1" w:rsidRPr="00964CBA" w:rsidRDefault="006C16E1" w:rsidP="003052B0">
      <w:pPr>
        <w:rPr>
          <w:rFonts w:ascii="Arial" w:hAnsi="Arial"/>
        </w:rPr>
      </w:pPr>
      <w:r w:rsidRPr="00964CBA">
        <w:rPr>
          <w:rFonts w:ascii="Arial" w:hAnsi="Arial"/>
        </w:rPr>
        <w:t xml:space="preserve">This chapter provides the background to contextualise the study by offering an overview of </w:t>
      </w:r>
      <w:r w:rsidR="00013B8B" w:rsidRPr="00964CBA">
        <w:rPr>
          <w:rFonts w:ascii="Arial" w:hAnsi="Arial"/>
        </w:rPr>
        <w:t>SCZ</w:t>
      </w:r>
      <w:r w:rsidRPr="00964CBA">
        <w:rPr>
          <w:rFonts w:ascii="Arial" w:hAnsi="Arial"/>
        </w:rPr>
        <w:t xml:space="preserve"> healthcare provisions in the UK. It examines the historical development of mental health services, the theoretical models underpinning treatment approaches, and the current structure of care within the NHS. Understanding these foundations is essential to </w:t>
      </w:r>
      <w:r w:rsidR="0079220C">
        <w:rPr>
          <w:rFonts w:ascii="Arial" w:hAnsi="Arial"/>
        </w:rPr>
        <w:t>assessing</w:t>
      </w:r>
      <w:r w:rsidRPr="00964CBA">
        <w:rPr>
          <w:rFonts w:ascii="Arial" w:hAnsi="Arial"/>
        </w:rPr>
        <w:t xml:space="preserve"> how effectively the UK’s healthcare provisions address the needs of individuals with </w:t>
      </w:r>
      <w:r w:rsidR="00013B8B" w:rsidRPr="00964CBA">
        <w:rPr>
          <w:rFonts w:ascii="Arial" w:hAnsi="Arial"/>
        </w:rPr>
        <w:t>SCZ</w:t>
      </w:r>
      <w:r w:rsidRPr="00964CBA">
        <w:rPr>
          <w:rFonts w:ascii="Arial" w:hAnsi="Arial"/>
        </w:rPr>
        <w:t>.</w:t>
      </w:r>
    </w:p>
    <w:p w14:paraId="6B939A07" w14:textId="77777777" w:rsidR="003637F5" w:rsidRPr="003637F5" w:rsidRDefault="003637F5" w:rsidP="003637F5">
      <w:pPr>
        <w:rPr>
          <w:rFonts w:ascii="Arial" w:hAnsi="Arial"/>
        </w:rPr>
      </w:pPr>
      <w:r w:rsidRPr="003637F5">
        <w:rPr>
          <w:rFonts w:ascii="Arial" w:hAnsi="Arial"/>
        </w:rPr>
        <w:lastRenderedPageBreak/>
        <w:t>The chapter begins with a historical analysis, tracing the evolution of SCZ's diagnosis, treatment, and policy reforms globally and within national and local UK contexts. It then explores theoretical perspectives, including biomedical, psychosocial, and integrative models, to frame contemporary treatment approaches. The discussion extends to current NHS service provision, funding mechanisms, and workforce challenges. Lastly, key barriers to care, including access disparities, ethnic inequalities, stigma, and policy limitations, are critically examined. This chapter establishes a comprehensive foundation for subsequent analysis by integrating historical, theoretical, and policy-driven insights.</w:t>
      </w:r>
    </w:p>
    <w:p w14:paraId="1ADF7C27" w14:textId="77777777" w:rsidR="00BD2909" w:rsidRPr="00F95EF5" w:rsidRDefault="00BD2909" w:rsidP="00CD25E3">
      <w:pPr>
        <w:pStyle w:val="Heading2"/>
      </w:pPr>
      <w:r w:rsidRPr="00F95EF5">
        <w:rPr>
          <w:rStyle w:val="eop"/>
          <w:rFonts w:eastAsia="Calibri Light"/>
        </w:rPr>
        <w:t> </w:t>
      </w:r>
    </w:p>
    <w:p w14:paraId="4528FB83" w14:textId="2480E5D2" w:rsidR="005A4D2A" w:rsidRPr="00F27F46" w:rsidRDefault="00BD2909" w:rsidP="00CD25E3">
      <w:pPr>
        <w:pStyle w:val="Heading2"/>
        <w:rPr>
          <w:rStyle w:val="eop"/>
          <w:i w:val="0"/>
          <w:iCs w:val="0"/>
        </w:rPr>
      </w:pPr>
      <w:bookmarkStart w:id="15" w:name="_Toc204981484"/>
      <w:r w:rsidRPr="00F27F46">
        <w:rPr>
          <w:rStyle w:val="normaltextrun"/>
        </w:rPr>
        <w:t>2.2 Historical Background</w:t>
      </w:r>
      <w:bookmarkEnd w:id="15"/>
      <w:r w:rsidRPr="00F27F46">
        <w:rPr>
          <w:rStyle w:val="normaltextrun"/>
        </w:rPr>
        <w:t xml:space="preserve"> </w:t>
      </w:r>
      <w:r w:rsidR="00A65260" w:rsidRPr="00F27F46">
        <w:rPr>
          <w:rStyle w:val="eop"/>
          <w:rFonts w:eastAsia="Calibri Light"/>
        </w:rPr>
        <w:t xml:space="preserve"> </w:t>
      </w:r>
    </w:p>
    <w:p w14:paraId="75F3E386" w14:textId="77777777" w:rsidR="00F27F46" w:rsidRPr="00F95EF5" w:rsidRDefault="00F27F46" w:rsidP="00FD0175">
      <w:pPr>
        <w:pStyle w:val="Heading1"/>
      </w:pPr>
    </w:p>
    <w:p w14:paraId="7E6B5927" w14:textId="4664EF2B" w:rsidR="00305284" w:rsidRPr="00964CBA" w:rsidRDefault="005A4D2A" w:rsidP="003052B0">
      <w:pPr>
        <w:rPr>
          <w:rFonts w:ascii="Arial" w:eastAsia="Calibri Light" w:hAnsi="Arial"/>
        </w:rPr>
      </w:pPr>
      <w:r w:rsidRPr="00964CBA">
        <w:rPr>
          <w:rFonts w:ascii="Arial" w:eastAsia="Calibri Light" w:hAnsi="Arial"/>
        </w:rPr>
        <w:t>S</w:t>
      </w:r>
      <w:r w:rsidR="001E0249" w:rsidRPr="00964CBA">
        <w:rPr>
          <w:rFonts w:ascii="Arial" w:eastAsia="Calibri Light" w:hAnsi="Arial"/>
        </w:rPr>
        <w:t>CZ</w:t>
      </w:r>
      <w:r w:rsidRPr="00964CBA">
        <w:rPr>
          <w:rFonts w:ascii="Arial" w:eastAsia="Calibri Light" w:hAnsi="Arial"/>
        </w:rPr>
        <w:t xml:space="preserve">, once termed dementia praecox, was conceptualised in the late 19th century by Emil </w:t>
      </w:r>
      <w:r w:rsidRPr="004876E8">
        <w:rPr>
          <w:rFonts w:ascii="Arial" w:eastAsia="Calibri Light" w:hAnsi="Arial"/>
        </w:rPr>
        <w:t>Kraepelin, who distinguished it from mood disorders due to its progressive cognitive decline (Jablensky, 2010</w:t>
      </w:r>
      <w:r w:rsidR="00CB6854">
        <w:rPr>
          <w:rFonts w:ascii="Arial" w:eastAsia="Calibri Light" w:hAnsi="Arial"/>
        </w:rPr>
        <w:t>a</w:t>
      </w:r>
      <w:r w:rsidRPr="004876E8">
        <w:rPr>
          <w:rFonts w:ascii="Arial" w:eastAsia="Calibri Light" w:hAnsi="Arial"/>
        </w:rPr>
        <w:t>).</w:t>
      </w:r>
      <w:r w:rsidRPr="00964CBA">
        <w:rPr>
          <w:rFonts w:ascii="Arial" w:eastAsia="Calibri Light" w:hAnsi="Arial"/>
        </w:rPr>
        <w:t xml:space="preserve"> In 1908, Eugen Bleuler introduced the term “</w:t>
      </w:r>
      <w:r w:rsidR="00184D62" w:rsidRPr="00964CBA">
        <w:rPr>
          <w:rFonts w:ascii="Arial" w:eastAsia="Calibri Light" w:hAnsi="Arial"/>
        </w:rPr>
        <w:t>S</w:t>
      </w:r>
      <w:r w:rsidR="001E0249" w:rsidRPr="00964CBA">
        <w:rPr>
          <w:rFonts w:ascii="Arial" w:eastAsia="Calibri Light" w:hAnsi="Arial"/>
        </w:rPr>
        <w:t>CZ</w:t>
      </w:r>
      <w:r w:rsidRPr="00964CBA">
        <w:rPr>
          <w:rFonts w:ascii="Arial" w:eastAsia="Calibri Light" w:hAnsi="Arial"/>
        </w:rPr>
        <w:t>”, acknowledging its heterogene</w:t>
      </w:r>
      <w:r w:rsidRPr="004F287E">
        <w:rPr>
          <w:rFonts w:ascii="Arial" w:eastAsia="Calibri Light" w:hAnsi="Arial"/>
        </w:rPr>
        <w:t xml:space="preserve">ity and positive and negative symptoms (Maatz &amp; Hoff, 2014; Yeragani, Ashok, &amp; Baugh, </w:t>
      </w:r>
      <w:r w:rsidRPr="001613D2">
        <w:rPr>
          <w:rFonts w:ascii="Arial" w:eastAsia="Calibri Light" w:hAnsi="Arial"/>
        </w:rPr>
        <w:t>2012; Kendler, 2016).</w:t>
      </w:r>
      <w:r w:rsidRPr="00964CBA">
        <w:rPr>
          <w:rFonts w:ascii="Arial" w:eastAsia="Calibri Light" w:hAnsi="Arial"/>
        </w:rPr>
        <w:t xml:space="preserve"> Since then, diagnostic criteria have evolved through frameworks like DSM-5 and ICD-11, refining symptom classifications and subtypes </w:t>
      </w:r>
      <w:r w:rsidRPr="00CF6CA5">
        <w:rPr>
          <w:rFonts w:ascii="Arial" w:eastAsia="Calibri Light" w:hAnsi="Arial"/>
        </w:rPr>
        <w:t xml:space="preserve">(Gaebel </w:t>
      </w:r>
      <w:r w:rsidR="00CF6CA5">
        <w:rPr>
          <w:rFonts w:ascii="Arial" w:eastAsia="Calibri Light" w:hAnsi="Arial"/>
        </w:rPr>
        <w:t>&amp;</w:t>
      </w:r>
      <w:r w:rsidRPr="00CF6CA5">
        <w:rPr>
          <w:rFonts w:ascii="Arial" w:eastAsia="Calibri Light" w:hAnsi="Arial"/>
        </w:rPr>
        <w:t xml:space="preserve"> Zielasek, 2015).</w:t>
      </w:r>
    </w:p>
    <w:p w14:paraId="2C4CF181" w14:textId="4D6C626F" w:rsidR="000047FE" w:rsidRPr="00964CBA" w:rsidRDefault="005A4D2A" w:rsidP="003052B0">
      <w:pPr>
        <w:rPr>
          <w:rFonts w:ascii="Arial" w:eastAsia="Calibri Light" w:hAnsi="Arial"/>
        </w:rPr>
      </w:pPr>
      <w:r w:rsidRPr="00964CBA">
        <w:rPr>
          <w:rFonts w:ascii="Arial" w:eastAsia="Calibri Light" w:hAnsi="Arial"/>
        </w:rPr>
        <w:t xml:space="preserve">The mid-20th century saw a pivotal shift with the introduction of chlorpromazine, the first antipsychotic, which led to widespread pharmacological treatment (Ban, 2007). However, institutional care remained common until the 1980s, when deinstitutionalisation promoted community-based </w:t>
      </w:r>
      <w:r w:rsidRPr="009A77D8">
        <w:rPr>
          <w:rFonts w:ascii="Arial" w:eastAsia="Calibri Light" w:hAnsi="Arial"/>
        </w:rPr>
        <w:t>services (Gibson, 2001; Quirk &amp; Lelliott, 2001).</w:t>
      </w:r>
      <w:r w:rsidRPr="00964CBA">
        <w:rPr>
          <w:rFonts w:ascii="Arial" w:eastAsia="Calibri Light" w:hAnsi="Arial"/>
        </w:rPr>
        <w:t xml:space="preserve"> Although intended to enhance the quality of life, the research found no significant symptom improvement compared to institutional care </w:t>
      </w:r>
      <w:r w:rsidRPr="00E43FBE">
        <w:rPr>
          <w:rFonts w:ascii="Arial" w:eastAsia="Calibri Light" w:hAnsi="Arial"/>
        </w:rPr>
        <w:t>(</w:t>
      </w:r>
      <w:r w:rsidRPr="00100F67">
        <w:rPr>
          <w:rFonts w:ascii="Arial" w:eastAsia="Calibri Light" w:hAnsi="Arial"/>
        </w:rPr>
        <w:t>Thornicroft, Bebbington, &amp; Leff, 2005).</w:t>
      </w:r>
      <w:r w:rsidRPr="00E43FBE">
        <w:rPr>
          <w:rFonts w:ascii="Arial" w:eastAsia="Calibri Light" w:hAnsi="Arial"/>
        </w:rPr>
        <w:t xml:space="preserve"> Moreover</w:t>
      </w:r>
      <w:r w:rsidRPr="00964CBA">
        <w:rPr>
          <w:rFonts w:ascii="Arial" w:eastAsia="Calibri Light" w:hAnsi="Arial"/>
        </w:rPr>
        <w:t xml:space="preserve">, families often assume care responsibilities without adequate support </w:t>
      </w:r>
      <w:r w:rsidRPr="006C758C">
        <w:rPr>
          <w:rFonts w:ascii="Arial" w:eastAsia="Calibri Light" w:hAnsi="Arial"/>
        </w:rPr>
        <w:t>(Brown &amp; Birtwistle, 1998; Quah, 2017).</w:t>
      </w:r>
    </w:p>
    <w:p w14:paraId="2AF261A7" w14:textId="77777777" w:rsidR="00C14F5E" w:rsidRPr="00964CBA" w:rsidRDefault="00C14F5E" w:rsidP="003052B0">
      <w:pPr>
        <w:rPr>
          <w:rFonts w:ascii="Arial" w:eastAsia="Calibri Light" w:hAnsi="Arial"/>
        </w:rPr>
      </w:pPr>
    </w:p>
    <w:p w14:paraId="045226E5" w14:textId="0110C3A0" w:rsidR="00F96F07" w:rsidRPr="00964CBA" w:rsidRDefault="00C14F5E" w:rsidP="007C5469">
      <w:pPr>
        <w:pStyle w:val="paragraph"/>
        <w:spacing w:before="0" w:beforeAutospacing="0" w:after="0" w:afterAutospacing="0" w:line="360" w:lineRule="auto"/>
        <w:jc w:val="both"/>
        <w:textAlignment w:val="baseline"/>
        <w:rPr>
          <w:rFonts w:ascii="Arial" w:eastAsia="Calibri Light" w:hAnsi="Arial" w:cs="Arial"/>
          <w:sz w:val="22"/>
          <w:szCs w:val="22"/>
        </w:rPr>
      </w:pPr>
      <w:r w:rsidRPr="00964CBA">
        <w:rPr>
          <w:rFonts w:ascii="Arial" w:eastAsia="Calibri Light" w:hAnsi="Arial" w:cs="Arial"/>
          <w:sz w:val="22"/>
          <w:szCs w:val="22"/>
        </w:rPr>
        <w:t>Kraepelin and Bleuler were key figures in creating the way we diagnose</w:t>
      </w:r>
      <w:r w:rsidR="00184D62" w:rsidRPr="00964CBA">
        <w:rPr>
          <w:rFonts w:ascii="Arial" w:eastAsia="Calibri Light" w:hAnsi="Arial" w:cs="Arial"/>
          <w:sz w:val="22"/>
          <w:szCs w:val="22"/>
        </w:rPr>
        <w:t xml:space="preserve"> </w:t>
      </w:r>
      <w:r w:rsidR="00184D62" w:rsidRPr="00606FE4">
        <w:rPr>
          <w:rFonts w:ascii="Arial" w:eastAsia="Calibri Light" w:hAnsi="Arial" w:cs="Arial"/>
          <w:sz w:val="22"/>
          <w:szCs w:val="22"/>
        </w:rPr>
        <w:t>SCZ</w:t>
      </w:r>
      <w:r w:rsidRPr="00606FE4">
        <w:rPr>
          <w:rFonts w:ascii="Arial" w:eastAsia="Calibri Light" w:hAnsi="Arial" w:cs="Arial"/>
          <w:sz w:val="22"/>
          <w:szCs w:val="22"/>
        </w:rPr>
        <w:t xml:space="preserve"> (Hoff, 2010),</w:t>
      </w:r>
      <w:r w:rsidRPr="00964CBA">
        <w:rPr>
          <w:rFonts w:ascii="Arial" w:eastAsia="Calibri Light" w:hAnsi="Arial" w:cs="Arial"/>
          <w:sz w:val="22"/>
          <w:szCs w:val="22"/>
        </w:rPr>
        <w:t xml:space="preserve"> with Kraepelin’s classification </w:t>
      </w:r>
      <w:r w:rsidRPr="00CD5422">
        <w:rPr>
          <w:rFonts w:ascii="Arial" w:eastAsia="Calibri Light" w:hAnsi="Arial" w:cs="Arial"/>
          <w:sz w:val="22"/>
          <w:szCs w:val="22"/>
        </w:rPr>
        <w:t xml:space="preserve">system (Berrios </w:t>
      </w:r>
      <w:r w:rsidR="00CD5422">
        <w:rPr>
          <w:rFonts w:ascii="Arial" w:eastAsia="Calibri Light" w:hAnsi="Arial" w:cs="Arial"/>
          <w:sz w:val="22"/>
          <w:szCs w:val="22"/>
        </w:rPr>
        <w:t>&amp;</w:t>
      </w:r>
      <w:r w:rsidRPr="00CD5422">
        <w:rPr>
          <w:rFonts w:ascii="Arial" w:eastAsia="Calibri Light" w:hAnsi="Arial" w:cs="Arial"/>
          <w:sz w:val="22"/>
          <w:szCs w:val="22"/>
        </w:rPr>
        <w:t xml:space="preserve"> Hauser, 1988)</w:t>
      </w:r>
      <w:r w:rsidRPr="00964CBA">
        <w:rPr>
          <w:rFonts w:ascii="Arial" w:eastAsia="Calibri Light" w:hAnsi="Arial" w:cs="Arial"/>
          <w:sz w:val="22"/>
          <w:szCs w:val="22"/>
        </w:rPr>
        <w:t xml:space="preserve"> and Bleuler’s focus on negative symptoms and thinking problems shaping today’s diagnostic methods </w:t>
      </w:r>
      <w:r w:rsidRPr="00A02DCE">
        <w:rPr>
          <w:rFonts w:ascii="Arial" w:eastAsia="Calibri Light" w:hAnsi="Arial" w:cs="Arial"/>
          <w:sz w:val="22"/>
          <w:szCs w:val="22"/>
        </w:rPr>
        <w:t>(Jablensky,</w:t>
      </w:r>
      <w:r w:rsidRPr="00964CBA">
        <w:rPr>
          <w:rFonts w:ascii="Arial" w:eastAsia="Calibri Light" w:hAnsi="Arial" w:cs="Arial"/>
          <w:sz w:val="22"/>
          <w:szCs w:val="22"/>
        </w:rPr>
        <w:t xml:space="preserve"> </w:t>
      </w:r>
      <w:r w:rsidRPr="007B7642">
        <w:rPr>
          <w:rFonts w:ascii="Arial" w:eastAsia="Calibri Light" w:hAnsi="Arial" w:cs="Arial"/>
          <w:sz w:val="22"/>
          <w:szCs w:val="22"/>
        </w:rPr>
        <w:t>2010</w:t>
      </w:r>
      <w:r w:rsidR="009A12B6">
        <w:rPr>
          <w:rFonts w:ascii="Arial" w:eastAsia="Calibri Light" w:hAnsi="Arial" w:cs="Arial"/>
          <w:sz w:val="22"/>
          <w:szCs w:val="22"/>
        </w:rPr>
        <w:t>b</w:t>
      </w:r>
      <w:r w:rsidRPr="007B7642">
        <w:rPr>
          <w:rFonts w:ascii="Arial" w:eastAsia="Calibri Light" w:hAnsi="Arial" w:cs="Arial"/>
          <w:sz w:val="22"/>
          <w:szCs w:val="22"/>
        </w:rPr>
        <w:t>; Kendler, 2016).</w:t>
      </w:r>
      <w:r w:rsidRPr="00964CBA">
        <w:rPr>
          <w:rFonts w:ascii="Arial" w:eastAsia="Calibri Light" w:hAnsi="Arial" w:cs="Arial"/>
          <w:sz w:val="22"/>
          <w:szCs w:val="22"/>
        </w:rPr>
        <w:t xml:space="preserve"> In the UK, the Mental Health Act 1959 shifted care from asylums to psychiatric hospitals </w:t>
      </w:r>
      <w:r w:rsidRPr="0068519D">
        <w:rPr>
          <w:rFonts w:ascii="Arial" w:eastAsia="Calibri Light" w:hAnsi="Arial" w:cs="Arial"/>
          <w:sz w:val="22"/>
          <w:szCs w:val="22"/>
        </w:rPr>
        <w:t xml:space="preserve">(Stephenson </w:t>
      </w:r>
      <w:r w:rsidR="007A6DE0" w:rsidRPr="0068519D">
        <w:rPr>
          <w:rFonts w:ascii="Arial" w:eastAsia="Calibri Light" w:hAnsi="Arial" w:cs="Arial"/>
          <w:sz w:val="22"/>
          <w:szCs w:val="22"/>
        </w:rPr>
        <w:t>&amp;</w:t>
      </w:r>
      <w:r w:rsidRPr="0068519D">
        <w:rPr>
          <w:rFonts w:ascii="Arial" w:eastAsia="Calibri Light" w:hAnsi="Arial" w:cs="Arial"/>
          <w:sz w:val="22"/>
          <w:szCs w:val="22"/>
        </w:rPr>
        <w:t xml:space="preserve"> Hilton, 2021), followed</w:t>
      </w:r>
      <w:r w:rsidRPr="00964CBA">
        <w:rPr>
          <w:rFonts w:ascii="Arial" w:eastAsia="Calibri Light" w:hAnsi="Arial" w:cs="Arial"/>
          <w:sz w:val="22"/>
          <w:szCs w:val="22"/>
        </w:rPr>
        <w:t xml:space="preserve"> by the Mental Health Act 1983, which introduced legal protections for detained patients </w:t>
      </w:r>
      <w:r w:rsidRPr="00BA40C4">
        <w:rPr>
          <w:rFonts w:ascii="Arial" w:eastAsia="Calibri Light" w:hAnsi="Arial" w:cs="Arial"/>
          <w:sz w:val="22"/>
          <w:szCs w:val="22"/>
        </w:rPr>
        <w:t>(Dewhurst</w:t>
      </w:r>
      <w:r w:rsidRPr="001613D2">
        <w:rPr>
          <w:rFonts w:ascii="Arial" w:eastAsia="Calibri Light" w:hAnsi="Arial" w:cs="Arial"/>
          <w:sz w:val="22"/>
          <w:szCs w:val="22"/>
        </w:rPr>
        <w:t xml:space="preserve"> </w:t>
      </w:r>
      <w:r w:rsidR="001613D2">
        <w:rPr>
          <w:rFonts w:ascii="Arial" w:eastAsia="Calibri Light" w:hAnsi="Arial" w:cs="Arial"/>
          <w:sz w:val="22"/>
          <w:szCs w:val="22"/>
        </w:rPr>
        <w:t>&amp;</w:t>
      </w:r>
      <w:r w:rsidRPr="001613D2">
        <w:rPr>
          <w:rFonts w:ascii="Arial" w:eastAsia="Calibri Light" w:hAnsi="Arial" w:cs="Arial"/>
          <w:sz w:val="22"/>
          <w:szCs w:val="22"/>
        </w:rPr>
        <w:t xml:space="preserve"> McKnight, 1969;</w:t>
      </w:r>
      <w:r w:rsidRPr="00964CBA">
        <w:rPr>
          <w:rFonts w:ascii="Arial" w:eastAsia="Calibri Light" w:hAnsi="Arial" w:cs="Arial"/>
          <w:sz w:val="22"/>
          <w:szCs w:val="22"/>
        </w:rPr>
        <w:t xml:space="preserve"> </w:t>
      </w:r>
      <w:r w:rsidRPr="00213708">
        <w:rPr>
          <w:rFonts w:ascii="Arial" w:eastAsia="Calibri Light" w:hAnsi="Arial" w:cs="Arial"/>
          <w:sz w:val="22"/>
          <w:szCs w:val="22"/>
        </w:rPr>
        <w:t>GOV.UK, 20</w:t>
      </w:r>
      <w:r w:rsidR="00822588" w:rsidRPr="00213708">
        <w:rPr>
          <w:rFonts w:ascii="Arial" w:eastAsia="Calibri Light" w:hAnsi="Arial" w:cs="Arial"/>
          <w:sz w:val="22"/>
          <w:szCs w:val="22"/>
        </w:rPr>
        <w:t>25</w:t>
      </w:r>
      <w:r w:rsidRPr="00213708">
        <w:rPr>
          <w:rFonts w:ascii="Arial" w:eastAsia="Calibri Light" w:hAnsi="Arial" w:cs="Arial"/>
          <w:sz w:val="22"/>
          <w:szCs w:val="22"/>
        </w:rPr>
        <w:t>).</w:t>
      </w:r>
      <w:r w:rsidRPr="00964CBA">
        <w:rPr>
          <w:rFonts w:ascii="Arial" w:eastAsia="Calibri Light" w:hAnsi="Arial" w:cs="Arial"/>
          <w:sz w:val="22"/>
          <w:szCs w:val="22"/>
        </w:rPr>
        <w:t xml:space="preserve"> Despite reforms, concerns about autonomy and equitable care remain.</w:t>
      </w:r>
    </w:p>
    <w:p w14:paraId="104E7A85" w14:textId="4AE18A6F" w:rsidR="00D2422A" w:rsidRPr="00964CBA" w:rsidRDefault="00C14F5E" w:rsidP="007C5469">
      <w:pPr>
        <w:pStyle w:val="paragraph"/>
        <w:spacing w:before="0" w:beforeAutospacing="0" w:after="0" w:afterAutospacing="0" w:line="360" w:lineRule="auto"/>
        <w:jc w:val="both"/>
        <w:textAlignment w:val="baseline"/>
        <w:rPr>
          <w:rFonts w:ascii="Arial" w:eastAsia="Calibri Light" w:hAnsi="Arial" w:cs="Arial"/>
          <w:sz w:val="22"/>
          <w:szCs w:val="22"/>
        </w:rPr>
      </w:pPr>
      <w:r w:rsidRPr="00964CBA">
        <w:rPr>
          <w:rFonts w:ascii="Arial" w:eastAsia="Calibri Light" w:hAnsi="Arial" w:cs="Arial"/>
          <w:sz w:val="22"/>
          <w:szCs w:val="22"/>
        </w:rPr>
        <w:lastRenderedPageBreak/>
        <w:t xml:space="preserve">Advances in psychological therapy also contributed to care models. IPT showed benefits in functional recovery </w:t>
      </w:r>
      <w:r w:rsidRPr="0018195C">
        <w:rPr>
          <w:rFonts w:ascii="Arial" w:eastAsia="Calibri Light" w:hAnsi="Arial" w:cs="Arial"/>
          <w:sz w:val="22"/>
          <w:szCs w:val="22"/>
        </w:rPr>
        <w:t>(Roder, Mueller and Schmidt, 2011), while</w:t>
      </w:r>
      <w:r w:rsidRPr="00964CBA">
        <w:rPr>
          <w:rFonts w:ascii="Arial" w:eastAsia="Calibri Light" w:hAnsi="Arial" w:cs="Arial"/>
          <w:sz w:val="22"/>
          <w:szCs w:val="22"/>
        </w:rPr>
        <w:t xml:space="preserve"> CBTp, introduced in the 1990s, addressed distressing symptoms in a structured, evidence-based manner </w:t>
      </w:r>
      <w:r w:rsidRPr="00BC498B">
        <w:rPr>
          <w:rFonts w:ascii="Arial" w:eastAsia="Calibri Light" w:hAnsi="Arial" w:cs="Arial"/>
          <w:sz w:val="22"/>
          <w:szCs w:val="22"/>
        </w:rPr>
        <w:t xml:space="preserve">(Turkington </w:t>
      </w:r>
      <w:r w:rsidRPr="00BC498B">
        <w:rPr>
          <w:rFonts w:ascii="Arial" w:eastAsia="Calibri Light" w:hAnsi="Arial" w:cs="Arial"/>
          <w:i/>
          <w:iCs/>
          <w:sz w:val="22"/>
          <w:szCs w:val="22"/>
        </w:rPr>
        <w:t>et al.,</w:t>
      </w:r>
      <w:r w:rsidRPr="00964CBA">
        <w:rPr>
          <w:rFonts w:ascii="Arial" w:eastAsia="Calibri Light" w:hAnsi="Arial" w:cs="Arial"/>
          <w:sz w:val="22"/>
          <w:szCs w:val="22"/>
        </w:rPr>
        <w:t xml:space="preserve"> </w:t>
      </w:r>
      <w:r w:rsidRPr="00BC498B">
        <w:rPr>
          <w:rFonts w:ascii="Arial" w:eastAsia="Calibri Light" w:hAnsi="Arial" w:cs="Arial"/>
          <w:sz w:val="22"/>
          <w:szCs w:val="22"/>
        </w:rPr>
        <w:t>2004).</w:t>
      </w:r>
      <w:r w:rsidRPr="00964CBA">
        <w:rPr>
          <w:rFonts w:ascii="Arial" w:eastAsia="Calibri Light" w:hAnsi="Arial" w:cs="Arial"/>
          <w:sz w:val="22"/>
          <w:szCs w:val="22"/>
        </w:rPr>
        <w:t xml:space="preserve"> In 2002, NICE formally incorporated CBTp into UK</w:t>
      </w:r>
      <w:r w:rsidR="00184D62" w:rsidRPr="00964CBA">
        <w:rPr>
          <w:rFonts w:ascii="Arial" w:eastAsia="Calibri Light" w:hAnsi="Arial" w:cs="Arial"/>
          <w:sz w:val="22"/>
          <w:szCs w:val="22"/>
        </w:rPr>
        <w:t xml:space="preserve"> SCZ</w:t>
      </w:r>
      <w:r w:rsidRPr="00964CBA">
        <w:rPr>
          <w:rFonts w:ascii="Arial" w:eastAsia="Calibri Light" w:hAnsi="Arial" w:cs="Arial"/>
          <w:sz w:val="22"/>
          <w:szCs w:val="22"/>
        </w:rPr>
        <w:t xml:space="preserve"> treatment guidelines, reinforcing the importance of integrating psychosocial with pharmacological care </w:t>
      </w:r>
      <w:r w:rsidRPr="00BC498B">
        <w:rPr>
          <w:rFonts w:ascii="Arial" w:eastAsia="Calibri Light" w:hAnsi="Arial" w:cs="Arial"/>
          <w:sz w:val="22"/>
          <w:szCs w:val="22"/>
        </w:rPr>
        <w:t>(NICE, 2014).</w:t>
      </w:r>
    </w:p>
    <w:p w14:paraId="3A65D4FD" w14:textId="77777777" w:rsidR="002E69EB" w:rsidRPr="00964CBA" w:rsidRDefault="002E69EB" w:rsidP="007C5469">
      <w:pPr>
        <w:pStyle w:val="paragraph"/>
        <w:spacing w:before="0" w:beforeAutospacing="0" w:after="0" w:afterAutospacing="0" w:line="360" w:lineRule="auto"/>
        <w:jc w:val="both"/>
        <w:textAlignment w:val="baseline"/>
        <w:rPr>
          <w:rFonts w:ascii="Arial" w:eastAsia="Calibri Light" w:hAnsi="Arial" w:cs="Arial"/>
          <w:sz w:val="22"/>
          <w:szCs w:val="22"/>
        </w:rPr>
      </w:pPr>
    </w:p>
    <w:p w14:paraId="0D8D055C" w14:textId="6E23FC99" w:rsidR="00CC7247" w:rsidRPr="002B3218" w:rsidRDefault="002B1DD2" w:rsidP="007C5469">
      <w:pPr>
        <w:pStyle w:val="paragraph"/>
        <w:spacing w:before="0" w:beforeAutospacing="0" w:after="0" w:afterAutospacing="0" w:line="360" w:lineRule="auto"/>
        <w:jc w:val="both"/>
        <w:textAlignment w:val="baseline"/>
        <w:rPr>
          <w:rFonts w:ascii="Arial" w:eastAsia="Calibri Light" w:hAnsi="Arial" w:cs="Arial"/>
          <w:sz w:val="22"/>
          <w:szCs w:val="22"/>
        </w:rPr>
      </w:pPr>
      <w:r w:rsidRPr="002B1DD2">
        <w:rPr>
          <w:rFonts w:ascii="Arial" w:eastAsia="Calibri Light" w:hAnsi="Arial" w:cs="Arial"/>
          <w:sz w:val="22"/>
          <w:szCs w:val="22"/>
        </w:rPr>
        <w:t xml:space="preserve">The UK’s Mental Health Policy has increasingly emphasised early interventions and community-based </w:t>
      </w:r>
      <w:r w:rsidRPr="009A3904">
        <w:rPr>
          <w:rFonts w:ascii="Arial" w:eastAsia="Calibri Light" w:hAnsi="Arial" w:cs="Arial"/>
          <w:sz w:val="22"/>
          <w:szCs w:val="22"/>
        </w:rPr>
        <w:t xml:space="preserve">care </w:t>
      </w:r>
      <w:r w:rsidRPr="004E6590">
        <w:rPr>
          <w:rFonts w:ascii="Arial" w:eastAsia="Calibri Light" w:hAnsi="Arial" w:cs="Arial"/>
          <w:sz w:val="22"/>
          <w:szCs w:val="22"/>
        </w:rPr>
        <w:t>(Department of Health and Social Care, 2021).</w:t>
      </w:r>
      <w:r w:rsidRPr="009A3904">
        <w:rPr>
          <w:rFonts w:ascii="Arial" w:eastAsia="Calibri Light" w:hAnsi="Arial" w:cs="Arial"/>
          <w:sz w:val="22"/>
          <w:szCs w:val="22"/>
        </w:rPr>
        <w:t xml:space="preserve"> The</w:t>
      </w:r>
      <w:r w:rsidRPr="002B1DD2">
        <w:rPr>
          <w:rFonts w:ascii="Arial" w:eastAsia="Calibri Light" w:hAnsi="Arial" w:cs="Arial"/>
          <w:sz w:val="22"/>
          <w:szCs w:val="22"/>
        </w:rPr>
        <w:t xml:space="preserve"> introduction of EIP services in 1999 aimed to reduce the duration of untreated psychosis and improve long-term outcomes </w:t>
      </w:r>
      <w:r w:rsidRPr="00C9120D">
        <w:rPr>
          <w:rFonts w:ascii="Arial" w:eastAsia="Calibri Light" w:hAnsi="Arial" w:cs="Arial"/>
          <w:sz w:val="22"/>
          <w:szCs w:val="22"/>
        </w:rPr>
        <w:t>(McGorry</w:t>
      </w:r>
      <w:r w:rsidR="00DC78AD" w:rsidRPr="00C9120D">
        <w:rPr>
          <w:rFonts w:ascii="Arial" w:eastAsia="Calibri Light" w:hAnsi="Arial" w:cs="Arial"/>
          <w:i/>
          <w:iCs/>
          <w:sz w:val="22"/>
          <w:szCs w:val="22"/>
        </w:rPr>
        <w:t xml:space="preserve"> </w:t>
      </w:r>
      <w:r w:rsidR="00C9120D" w:rsidRPr="00C9120D">
        <w:rPr>
          <w:rFonts w:ascii="Arial" w:eastAsia="Calibri Light" w:hAnsi="Arial" w:cs="Arial"/>
          <w:i/>
          <w:iCs/>
          <w:sz w:val="22"/>
          <w:szCs w:val="22"/>
        </w:rPr>
        <w:t>et al.,2004</w:t>
      </w:r>
      <w:r w:rsidRPr="00C9120D">
        <w:rPr>
          <w:rFonts w:ascii="Arial" w:eastAsia="Calibri Light" w:hAnsi="Arial" w:cs="Arial"/>
          <w:sz w:val="22"/>
          <w:szCs w:val="22"/>
        </w:rPr>
        <w:t>).</w:t>
      </w:r>
      <w:r w:rsidRPr="003D6AE2">
        <w:rPr>
          <w:rFonts w:ascii="Arial" w:eastAsia="Calibri Light" w:hAnsi="Arial" w:cs="Arial"/>
          <w:sz w:val="22"/>
          <w:szCs w:val="22"/>
        </w:rPr>
        <w:t xml:space="preserve"> However</w:t>
      </w:r>
      <w:r w:rsidRPr="002B1DD2">
        <w:rPr>
          <w:rFonts w:ascii="Arial" w:eastAsia="Calibri Light" w:hAnsi="Arial" w:cs="Arial"/>
          <w:sz w:val="22"/>
          <w:szCs w:val="22"/>
        </w:rPr>
        <w:t>, regional disparities in implementation have resulted</w:t>
      </w:r>
      <w:r w:rsidR="007B5EE9">
        <w:rPr>
          <w:rFonts w:ascii="Arial" w:eastAsia="Calibri Light" w:hAnsi="Arial" w:cs="Arial"/>
          <w:sz w:val="22"/>
          <w:szCs w:val="22"/>
        </w:rPr>
        <w:t xml:space="preserve"> in u</w:t>
      </w:r>
      <w:r w:rsidR="00CB29BA">
        <w:rPr>
          <w:rFonts w:ascii="Arial" w:eastAsia="Calibri Light" w:hAnsi="Arial" w:cs="Arial"/>
          <w:sz w:val="22"/>
          <w:szCs w:val="22"/>
        </w:rPr>
        <w:t>ne</w:t>
      </w:r>
      <w:r w:rsidR="003D0558">
        <w:rPr>
          <w:rFonts w:ascii="Arial" w:eastAsia="Calibri Light" w:hAnsi="Arial" w:cs="Arial"/>
          <w:sz w:val="22"/>
          <w:szCs w:val="22"/>
        </w:rPr>
        <w:t xml:space="preserve">qual </w:t>
      </w:r>
      <w:r w:rsidR="003D0558" w:rsidRPr="00640DBA">
        <w:rPr>
          <w:rFonts w:ascii="Arial" w:eastAsia="Calibri Light" w:hAnsi="Arial" w:cs="Arial"/>
          <w:sz w:val="22"/>
          <w:szCs w:val="22"/>
        </w:rPr>
        <w:t xml:space="preserve">access </w:t>
      </w:r>
      <w:r w:rsidR="003D0558" w:rsidRPr="00855DC2">
        <w:rPr>
          <w:rFonts w:ascii="Arial" w:eastAsia="Calibri Light" w:hAnsi="Arial" w:cs="Arial"/>
          <w:sz w:val="22"/>
          <w:szCs w:val="22"/>
        </w:rPr>
        <w:t>(</w:t>
      </w:r>
      <w:r w:rsidR="00176753" w:rsidRPr="00855DC2">
        <w:rPr>
          <w:rFonts w:ascii="Arial" w:eastAsia="Calibri Light" w:hAnsi="Arial" w:cs="Arial"/>
          <w:sz w:val="22"/>
          <w:szCs w:val="22"/>
        </w:rPr>
        <w:t xml:space="preserve">Singh </w:t>
      </w:r>
      <w:r w:rsidR="00176753" w:rsidRPr="00855DC2">
        <w:rPr>
          <w:rFonts w:ascii="Arial" w:eastAsia="Calibri Light" w:hAnsi="Arial" w:cs="Arial"/>
          <w:i/>
          <w:iCs/>
          <w:sz w:val="22"/>
          <w:szCs w:val="22"/>
        </w:rPr>
        <w:t>et al.,</w:t>
      </w:r>
      <w:r w:rsidR="00176753" w:rsidRPr="00855DC2">
        <w:rPr>
          <w:rFonts w:ascii="Arial" w:eastAsia="Calibri Light" w:hAnsi="Arial" w:cs="Arial"/>
          <w:sz w:val="22"/>
          <w:szCs w:val="22"/>
        </w:rPr>
        <w:t>201</w:t>
      </w:r>
      <w:r w:rsidR="0006675C" w:rsidRPr="00855DC2">
        <w:rPr>
          <w:rFonts w:ascii="Arial" w:eastAsia="Calibri Light" w:hAnsi="Arial" w:cs="Arial"/>
          <w:sz w:val="22"/>
          <w:szCs w:val="22"/>
        </w:rPr>
        <w:t>8</w:t>
      </w:r>
      <w:r w:rsidR="00176753" w:rsidRPr="00855DC2">
        <w:rPr>
          <w:rFonts w:ascii="Arial" w:eastAsia="Calibri Light" w:hAnsi="Arial" w:cs="Arial"/>
          <w:sz w:val="22"/>
          <w:szCs w:val="22"/>
        </w:rPr>
        <w:t>).</w:t>
      </w:r>
      <w:r w:rsidR="00E12B14" w:rsidRPr="00855DC2">
        <w:rPr>
          <w:rFonts w:ascii="Arial" w:eastAsia="Calibri Light" w:hAnsi="Arial" w:cs="Arial"/>
          <w:sz w:val="22"/>
          <w:szCs w:val="22"/>
        </w:rPr>
        <w:t xml:space="preserve"> Service</w:t>
      </w:r>
      <w:r w:rsidR="00E12B14" w:rsidRPr="00E12B14">
        <w:rPr>
          <w:rFonts w:ascii="Arial" w:eastAsia="Calibri Light" w:hAnsi="Arial" w:cs="Arial"/>
          <w:sz w:val="22"/>
          <w:szCs w:val="22"/>
        </w:rPr>
        <w:t xml:space="preserve"> users' involvement is now a recognised policy priority, highlighting the importance of lived experience in shaping mental health services (Omeni </w:t>
      </w:r>
      <w:r w:rsidR="00E12B14" w:rsidRPr="00DC78AD">
        <w:rPr>
          <w:rFonts w:ascii="Arial" w:eastAsia="Calibri Light" w:hAnsi="Arial" w:cs="Arial"/>
          <w:i/>
          <w:iCs/>
          <w:sz w:val="22"/>
          <w:szCs w:val="22"/>
        </w:rPr>
        <w:t>et al</w:t>
      </w:r>
      <w:r w:rsidR="00E12B14" w:rsidRPr="00E12B14">
        <w:rPr>
          <w:rFonts w:ascii="Arial" w:eastAsia="Calibri Light" w:hAnsi="Arial" w:cs="Arial"/>
          <w:sz w:val="22"/>
          <w:szCs w:val="22"/>
        </w:rPr>
        <w:t xml:space="preserve">., 2014). Legislation, including the Mental Health Act 2007 and Equality Act 2010, ensures </w:t>
      </w:r>
      <w:r w:rsidR="00E12B14" w:rsidRPr="00765B5B">
        <w:rPr>
          <w:rFonts w:ascii="Arial" w:eastAsia="Calibri Light" w:hAnsi="Arial" w:cs="Arial"/>
          <w:sz w:val="22"/>
          <w:szCs w:val="22"/>
        </w:rPr>
        <w:t>equitable treatment, yet care disparities for ethnic minorities persist (</w:t>
      </w:r>
      <w:hyperlink r:id="rId12" w:tgtFrame="_blank" w:history="1">
        <w:r w:rsidR="00E12B14" w:rsidRPr="00765B5B">
          <w:rPr>
            <w:rStyle w:val="Hyperlink"/>
            <w:rFonts w:ascii="Arial" w:eastAsia="Calibri Light" w:hAnsi="Arial" w:cs="Arial"/>
            <w:color w:val="auto"/>
            <w:sz w:val="22"/>
            <w:szCs w:val="22"/>
            <w:u w:val="none"/>
          </w:rPr>
          <w:t>GOV.UK</w:t>
        </w:r>
      </w:hyperlink>
      <w:r w:rsidR="00E12B14" w:rsidRPr="00765B5B">
        <w:rPr>
          <w:rFonts w:ascii="Arial" w:eastAsia="Calibri Light" w:hAnsi="Arial" w:cs="Arial"/>
          <w:sz w:val="22"/>
          <w:szCs w:val="22"/>
        </w:rPr>
        <w:t xml:space="preserve">, 2025; </w:t>
      </w:r>
      <w:hyperlink r:id="rId13" w:tgtFrame="_blank" w:history="1">
        <w:r w:rsidR="00E12B14" w:rsidRPr="00765B5B">
          <w:rPr>
            <w:rStyle w:val="Hyperlink"/>
            <w:rFonts w:ascii="Arial" w:eastAsia="Calibri Light" w:hAnsi="Arial" w:cs="Arial"/>
            <w:color w:val="auto"/>
            <w:sz w:val="22"/>
            <w:szCs w:val="22"/>
            <w:u w:val="none"/>
          </w:rPr>
          <w:t>GOV.UK</w:t>
        </w:r>
      </w:hyperlink>
      <w:r w:rsidR="00E12B14" w:rsidRPr="00765B5B">
        <w:rPr>
          <w:rFonts w:ascii="Arial" w:eastAsia="Calibri Light" w:hAnsi="Arial" w:cs="Arial"/>
          <w:sz w:val="22"/>
          <w:szCs w:val="22"/>
        </w:rPr>
        <w:t xml:space="preserve">, 2013; Mann </w:t>
      </w:r>
      <w:r w:rsidR="00E12B14" w:rsidRPr="00765B5B">
        <w:rPr>
          <w:rFonts w:ascii="Arial" w:eastAsia="Calibri Light" w:hAnsi="Arial" w:cs="Arial"/>
          <w:i/>
          <w:iCs/>
          <w:sz w:val="22"/>
          <w:szCs w:val="22"/>
        </w:rPr>
        <w:t>et al</w:t>
      </w:r>
      <w:r w:rsidR="00E12B14" w:rsidRPr="00765B5B">
        <w:rPr>
          <w:rFonts w:ascii="Arial" w:eastAsia="Calibri Light" w:hAnsi="Arial" w:cs="Arial"/>
          <w:sz w:val="22"/>
          <w:szCs w:val="22"/>
        </w:rPr>
        <w:t>., 2014).</w:t>
      </w:r>
      <w:r w:rsidR="005552E9">
        <w:rPr>
          <w:rFonts w:ascii="Arial" w:eastAsia="Calibri Light" w:hAnsi="Arial" w:cs="Arial"/>
          <w:sz w:val="22"/>
          <w:szCs w:val="22"/>
        </w:rPr>
        <w:t xml:space="preserve"> </w:t>
      </w:r>
      <w:r w:rsidR="00CC7247" w:rsidRPr="00964CBA">
        <w:rPr>
          <w:rFonts w:ascii="Arial" w:hAnsi="Arial" w:cs="Arial"/>
          <w:sz w:val="22"/>
          <w:szCs w:val="22"/>
        </w:rPr>
        <w:t xml:space="preserve">Although community </w:t>
      </w:r>
      <w:r w:rsidR="00CC7247" w:rsidRPr="00421EF5">
        <w:rPr>
          <w:rFonts w:ascii="Arial" w:hAnsi="Arial" w:cs="Arial"/>
          <w:sz w:val="22"/>
          <w:szCs w:val="22"/>
        </w:rPr>
        <w:t>care models remain central to service delivery, concerns persist regarding insufficient resources and workforce capacity to meet the needs of individuals with</w:t>
      </w:r>
      <w:r w:rsidR="00184D62" w:rsidRPr="00421EF5">
        <w:rPr>
          <w:rFonts w:ascii="Arial" w:hAnsi="Arial" w:cs="Arial"/>
          <w:sz w:val="22"/>
          <w:szCs w:val="22"/>
        </w:rPr>
        <w:t xml:space="preserve"> </w:t>
      </w:r>
      <w:r w:rsidR="00184D62" w:rsidRPr="00765B5B">
        <w:rPr>
          <w:rFonts w:ascii="Arial" w:hAnsi="Arial" w:cs="Arial"/>
          <w:sz w:val="22"/>
          <w:szCs w:val="22"/>
        </w:rPr>
        <w:t>SCZ</w:t>
      </w:r>
      <w:r w:rsidR="00CC7247" w:rsidRPr="00765B5B">
        <w:rPr>
          <w:rFonts w:ascii="Arial" w:hAnsi="Arial" w:cs="Arial"/>
          <w:sz w:val="22"/>
          <w:szCs w:val="22"/>
        </w:rPr>
        <w:t xml:space="preserve"> </w:t>
      </w:r>
      <w:r w:rsidR="00765B5B" w:rsidRPr="000E69F0">
        <w:rPr>
          <w:rFonts w:ascii="Arial" w:hAnsi="Arial" w:cs="Arial"/>
          <w:sz w:val="22"/>
          <w:szCs w:val="22"/>
        </w:rPr>
        <w:t xml:space="preserve">(Johnstone </w:t>
      </w:r>
      <w:r w:rsidR="00765B5B" w:rsidRPr="000E69F0">
        <w:rPr>
          <w:rFonts w:ascii="Arial" w:hAnsi="Arial" w:cs="Arial"/>
          <w:i/>
          <w:iCs/>
          <w:sz w:val="22"/>
          <w:szCs w:val="22"/>
        </w:rPr>
        <w:t>et al.,</w:t>
      </w:r>
      <w:r w:rsidR="00765B5B" w:rsidRPr="000E69F0">
        <w:rPr>
          <w:rFonts w:ascii="Arial" w:hAnsi="Arial" w:cs="Arial"/>
          <w:sz w:val="22"/>
          <w:szCs w:val="22"/>
        </w:rPr>
        <w:t xml:space="preserve"> </w:t>
      </w:r>
      <w:r w:rsidR="00CC7247" w:rsidRPr="000E69F0">
        <w:rPr>
          <w:rFonts w:ascii="Arial" w:hAnsi="Arial" w:cs="Arial"/>
          <w:sz w:val="22"/>
          <w:szCs w:val="22"/>
        </w:rPr>
        <w:t>1981; Priebe, 2004; Abrahamson, 1993).</w:t>
      </w:r>
    </w:p>
    <w:p w14:paraId="48E2D9FA" w14:textId="77777777" w:rsidR="00F95EF5" w:rsidRDefault="00F95EF5" w:rsidP="007B473E">
      <w:pPr>
        <w:pStyle w:val="paragraph"/>
        <w:spacing w:before="0" w:beforeAutospacing="0" w:after="0" w:afterAutospacing="0" w:line="360" w:lineRule="auto"/>
        <w:jc w:val="both"/>
        <w:textAlignment w:val="baseline"/>
        <w:rPr>
          <w:rStyle w:val="normaltextrun"/>
          <w:rFonts w:ascii="Arial" w:hAnsi="Arial" w:cs="Arial"/>
          <w:b/>
          <w:bCs/>
          <w:i/>
          <w:iCs/>
        </w:rPr>
      </w:pPr>
    </w:p>
    <w:p w14:paraId="112E2418" w14:textId="77777777" w:rsidR="00F95EF5" w:rsidRDefault="00F95EF5" w:rsidP="007B473E">
      <w:pPr>
        <w:pStyle w:val="paragraph"/>
        <w:spacing w:before="0" w:beforeAutospacing="0" w:after="0" w:afterAutospacing="0" w:line="360" w:lineRule="auto"/>
        <w:jc w:val="both"/>
        <w:textAlignment w:val="baseline"/>
        <w:rPr>
          <w:rStyle w:val="normaltextrun"/>
          <w:rFonts w:ascii="Arial" w:hAnsi="Arial" w:cs="Arial"/>
          <w:b/>
          <w:bCs/>
          <w:i/>
          <w:iCs/>
        </w:rPr>
      </w:pPr>
    </w:p>
    <w:p w14:paraId="385EF9BE" w14:textId="41D13013" w:rsidR="009A1911" w:rsidRPr="00CD25E3" w:rsidRDefault="00BD2909" w:rsidP="00CD25E3">
      <w:pPr>
        <w:pStyle w:val="Heading2"/>
        <w:rPr>
          <w:rStyle w:val="normaltextrun"/>
        </w:rPr>
      </w:pPr>
      <w:bookmarkStart w:id="16" w:name="_Toc204981485"/>
      <w:r w:rsidRPr="00B751E9">
        <w:rPr>
          <w:rStyle w:val="normaltextrun"/>
        </w:rPr>
        <w:t xml:space="preserve">2.3 Theoretical </w:t>
      </w:r>
      <w:r w:rsidR="00184D62" w:rsidRPr="00B751E9">
        <w:rPr>
          <w:rStyle w:val="normaltextrun"/>
        </w:rPr>
        <w:t>Background</w:t>
      </w:r>
      <w:bookmarkEnd w:id="16"/>
      <w:r w:rsidR="00184D62" w:rsidRPr="00CD25E3">
        <w:rPr>
          <w:rStyle w:val="normaltextrun"/>
        </w:rPr>
        <w:t xml:space="preserve"> </w:t>
      </w:r>
    </w:p>
    <w:p w14:paraId="32375993" w14:textId="77777777" w:rsidR="001D2844" w:rsidRPr="002C2DA0" w:rsidRDefault="001D2844" w:rsidP="007C5469">
      <w:pPr>
        <w:pStyle w:val="paragraph"/>
        <w:spacing w:before="0" w:beforeAutospacing="0" w:after="0" w:afterAutospacing="0" w:line="360" w:lineRule="auto"/>
        <w:jc w:val="both"/>
        <w:textAlignment w:val="baseline"/>
        <w:rPr>
          <w:rStyle w:val="eop"/>
          <w:rFonts w:ascii="Arial" w:hAnsi="Arial" w:cs="Arial"/>
          <w:sz w:val="22"/>
          <w:szCs w:val="22"/>
        </w:rPr>
      </w:pPr>
    </w:p>
    <w:p w14:paraId="02E3FEE1" w14:textId="52857F25" w:rsidR="007B1D6F" w:rsidRPr="00964CBA" w:rsidRDefault="007B1D6F" w:rsidP="007C5469">
      <w:pPr>
        <w:pStyle w:val="paragraph"/>
        <w:spacing w:before="0" w:beforeAutospacing="0" w:after="0" w:afterAutospacing="0" w:line="360" w:lineRule="auto"/>
        <w:jc w:val="both"/>
        <w:textAlignment w:val="baseline"/>
        <w:rPr>
          <w:rFonts w:ascii="Arial" w:eastAsia="Calibri Light" w:hAnsi="Arial" w:cs="Arial"/>
          <w:sz w:val="22"/>
          <w:szCs w:val="22"/>
        </w:rPr>
      </w:pPr>
      <w:r w:rsidRPr="002C2DA0">
        <w:rPr>
          <w:rFonts w:ascii="Arial" w:eastAsia="Calibri Light" w:hAnsi="Arial" w:cs="Arial"/>
          <w:sz w:val="22"/>
          <w:szCs w:val="22"/>
        </w:rPr>
        <w:t>The BPSM,</w:t>
      </w:r>
      <w:r w:rsidRPr="00964CBA">
        <w:rPr>
          <w:rFonts w:ascii="Arial" w:eastAsia="Calibri Light" w:hAnsi="Arial" w:cs="Arial"/>
          <w:sz w:val="22"/>
          <w:szCs w:val="22"/>
        </w:rPr>
        <w:t xml:space="preserve"> developed by George Engel in 1977, remains central to psychiatric training and clinical practice due to its integrative view of health and </w:t>
      </w:r>
      <w:r w:rsidRPr="0068519D">
        <w:rPr>
          <w:rFonts w:ascii="Arial" w:eastAsia="Calibri Light" w:hAnsi="Arial" w:cs="Arial"/>
          <w:sz w:val="22"/>
          <w:szCs w:val="22"/>
        </w:rPr>
        <w:t>illness (Tripathi, Das and Kar, 2019; Williamson, 2022). Drawing on systems theory and Roy Grinker’s earlier 1952 work, Engel</w:t>
      </w:r>
      <w:r w:rsidRPr="00964CBA">
        <w:rPr>
          <w:rFonts w:ascii="Arial" w:eastAsia="Calibri Light" w:hAnsi="Arial" w:cs="Arial"/>
          <w:sz w:val="22"/>
          <w:szCs w:val="22"/>
        </w:rPr>
        <w:t xml:space="preserve"> challenged the biomedical </w:t>
      </w:r>
      <w:r w:rsidRPr="000C5FC9">
        <w:rPr>
          <w:rFonts w:ascii="Arial" w:eastAsia="Calibri Light" w:hAnsi="Arial" w:cs="Arial"/>
          <w:sz w:val="22"/>
          <w:szCs w:val="22"/>
        </w:rPr>
        <w:t xml:space="preserve">model by emphasising the mind-body connection and advocating a holistic approach to care </w:t>
      </w:r>
      <w:r w:rsidRPr="000E69F0">
        <w:rPr>
          <w:rFonts w:ascii="Arial" w:eastAsia="Calibri Light" w:hAnsi="Arial" w:cs="Arial"/>
          <w:sz w:val="22"/>
          <w:szCs w:val="22"/>
        </w:rPr>
        <w:t>(Lugg, 2021). Th</w:t>
      </w:r>
      <w:r w:rsidRPr="000C5FC9">
        <w:rPr>
          <w:rFonts w:ascii="Arial" w:eastAsia="Calibri Light" w:hAnsi="Arial" w:cs="Arial"/>
          <w:sz w:val="22"/>
          <w:szCs w:val="22"/>
        </w:rPr>
        <w:t>is</w:t>
      </w:r>
      <w:r w:rsidRPr="00964CBA">
        <w:rPr>
          <w:rFonts w:ascii="Arial" w:eastAsia="Calibri Light" w:hAnsi="Arial" w:cs="Arial"/>
          <w:sz w:val="22"/>
          <w:szCs w:val="22"/>
        </w:rPr>
        <w:t xml:space="preserve"> paradigm has informed diverse healthcare </w:t>
      </w:r>
      <w:r w:rsidRPr="0068519D">
        <w:rPr>
          <w:rFonts w:ascii="Arial" w:eastAsia="Calibri Light" w:hAnsi="Arial" w:cs="Arial"/>
          <w:sz w:val="22"/>
          <w:szCs w:val="22"/>
        </w:rPr>
        <w:t xml:space="preserve">contexts, including chronic pain management and broader clinical practice (Bolton, 2023; Papadimitriou, </w:t>
      </w:r>
      <w:r w:rsidRPr="00C1173B">
        <w:rPr>
          <w:rFonts w:ascii="Arial" w:eastAsia="Calibri Light" w:hAnsi="Arial" w:cs="Arial"/>
          <w:sz w:val="22"/>
          <w:szCs w:val="22"/>
        </w:rPr>
        <w:t>2017; Jull, 2017).</w:t>
      </w:r>
      <w:r w:rsidR="00F706FB">
        <w:rPr>
          <w:rFonts w:ascii="Arial" w:eastAsia="Calibri Light" w:hAnsi="Arial" w:cs="Arial"/>
          <w:sz w:val="22"/>
          <w:szCs w:val="22"/>
        </w:rPr>
        <w:t xml:space="preserve"> </w:t>
      </w:r>
      <w:r w:rsidRPr="00964CBA">
        <w:rPr>
          <w:rFonts w:ascii="Arial" w:eastAsia="Calibri Light" w:hAnsi="Arial" w:cs="Arial"/>
          <w:sz w:val="22"/>
          <w:szCs w:val="22"/>
        </w:rPr>
        <w:t xml:space="preserve">Engel’s model incorporates biological, psychological, and </w:t>
      </w:r>
      <w:r w:rsidRPr="00B54508">
        <w:rPr>
          <w:rFonts w:ascii="Arial" w:eastAsia="Calibri Light" w:hAnsi="Arial" w:cs="Arial"/>
          <w:sz w:val="22"/>
          <w:szCs w:val="22"/>
        </w:rPr>
        <w:t xml:space="preserve">social factors, offering a broader understanding of illness beyond physical dysfunction </w:t>
      </w:r>
      <w:r w:rsidRPr="006556BD">
        <w:rPr>
          <w:rFonts w:ascii="Arial" w:eastAsia="Calibri Light" w:hAnsi="Arial" w:cs="Arial"/>
          <w:sz w:val="22"/>
          <w:szCs w:val="22"/>
        </w:rPr>
        <w:t>(Laborde, 2016). It has</w:t>
      </w:r>
      <w:r w:rsidRPr="00964CBA">
        <w:rPr>
          <w:rFonts w:ascii="Arial" w:eastAsia="Calibri Light" w:hAnsi="Arial" w:cs="Arial"/>
          <w:sz w:val="22"/>
          <w:szCs w:val="22"/>
        </w:rPr>
        <w:t xml:space="preserve"> since evolved to redefine dysfunction as dysregulation, reinforcing the importance of psychosocial interventions in </w:t>
      </w:r>
      <w:r w:rsidRPr="006F3DE3">
        <w:rPr>
          <w:rFonts w:ascii="Arial" w:eastAsia="Calibri Light" w:hAnsi="Arial" w:cs="Arial"/>
          <w:sz w:val="22"/>
          <w:szCs w:val="22"/>
        </w:rPr>
        <w:t xml:space="preserve">psychiatry (Bolton, </w:t>
      </w:r>
      <w:r w:rsidRPr="00B566D2">
        <w:rPr>
          <w:rFonts w:ascii="Arial" w:eastAsia="Calibri Light" w:hAnsi="Arial" w:cs="Arial"/>
          <w:sz w:val="22"/>
          <w:szCs w:val="22"/>
        </w:rPr>
        <w:t>2023; Lugg, 2021).</w:t>
      </w:r>
      <w:r w:rsidRPr="00964CBA">
        <w:rPr>
          <w:rFonts w:ascii="Arial" w:eastAsia="Calibri Light" w:hAnsi="Arial" w:cs="Arial"/>
          <w:sz w:val="22"/>
          <w:szCs w:val="22"/>
        </w:rPr>
        <w:t xml:space="preserve"> However, its conceptual clarity has been </w:t>
      </w:r>
      <w:r w:rsidRPr="00471BAB">
        <w:rPr>
          <w:rFonts w:ascii="Arial" w:eastAsia="Calibri Light" w:hAnsi="Arial" w:cs="Arial"/>
          <w:sz w:val="22"/>
          <w:szCs w:val="22"/>
        </w:rPr>
        <w:t>questioned (Papadimitriou, 2017</w:t>
      </w:r>
      <w:r w:rsidRPr="0051453B">
        <w:rPr>
          <w:rFonts w:ascii="Arial" w:eastAsia="Calibri Light" w:hAnsi="Arial" w:cs="Arial"/>
          <w:sz w:val="22"/>
          <w:szCs w:val="22"/>
        </w:rPr>
        <w:t xml:space="preserve">). </w:t>
      </w:r>
      <w:r w:rsidRPr="00C23A8C">
        <w:rPr>
          <w:rFonts w:ascii="Arial" w:eastAsia="Calibri Light" w:hAnsi="Arial" w:cs="Arial"/>
          <w:sz w:val="22"/>
          <w:szCs w:val="22"/>
        </w:rPr>
        <w:t>Fava and Sonino (2007) laid</w:t>
      </w:r>
      <w:r w:rsidRPr="00964CBA">
        <w:rPr>
          <w:rFonts w:ascii="Arial" w:eastAsia="Calibri Light" w:hAnsi="Arial" w:cs="Arial"/>
          <w:sz w:val="22"/>
          <w:szCs w:val="22"/>
        </w:rPr>
        <w:t xml:space="preserve"> the groundwork for this multidimensional view, further supported </w:t>
      </w:r>
      <w:r w:rsidRPr="00710E14">
        <w:rPr>
          <w:rFonts w:ascii="Arial" w:eastAsia="Calibri Light" w:hAnsi="Arial" w:cs="Arial"/>
          <w:sz w:val="22"/>
          <w:szCs w:val="22"/>
        </w:rPr>
        <w:t xml:space="preserve">by </w:t>
      </w:r>
      <w:r w:rsidRPr="00BD19FB">
        <w:rPr>
          <w:rFonts w:ascii="Arial" w:eastAsia="Calibri Light" w:hAnsi="Arial" w:cs="Arial"/>
          <w:sz w:val="22"/>
          <w:szCs w:val="22"/>
        </w:rPr>
        <w:t>Wade and Halligan (2017),</w:t>
      </w:r>
      <w:r w:rsidRPr="00964CBA">
        <w:rPr>
          <w:rFonts w:ascii="Arial" w:eastAsia="Calibri Light" w:hAnsi="Arial" w:cs="Arial"/>
          <w:sz w:val="22"/>
          <w:szCs w:val="22"/>
        </w:rPr>
        <w:t xml:space="preserve"> who affirm its relevance in contemporary care.</w:t>
      </w:r>
    </w:p>
    <w:p w14:paraId="685921AB" w14:textId="77777777" w:rsidR="00890CCC" w:rsidRPr="00964CBA" w:rsidRDefault="00890CCC" w:rsidP="007C5469">
      <w:pPr>
        <w:pStyle w:val="paragraph"/>
        <w:spacing w:before="0" w:beforeAutospacing="0" w:after="0" w:afterAutospacing="0" w:line="360" w:lineRule="auto"/>
        <w:jc w:val="both"/>
        <w:textAlignment w:val="baseline"/>
        <w:rPr>
          <w:rFonts w:ascii="Arial" w:eastAsia="Calibri Light" w:hAnsi="Arial" w:cs="Arial"/>
          <w:sz w:val="22"/>
          <w:szCs w:val="22"/>
        </w:rPr>
      </w:pPr>
    </w:p>
    <w:p w14:paraId="7FB5A72C" w14:textId="30B3E03F" w:rsidR="007B1D6F" w:rsidRPr="00964CBA" w:rsidRDefault="007B1D6F" w:rsidP="007C5469">
      <w:pPr>
        <w:pStyle w:val="paragraph"/>
        <w:spacing w:before="0" w:beforeAutospacing="0" w:after="0" w:afterAutospacing="0" w:line="360" w:lineRule="auto"/>
        <w:jc w:val="both"/>
        <w:textAlignment w:val="baseline"/>
        <w:rPr>
          <w:rFonts w:ascii="Arial" w:eastAsia="Calibri Light" w:hAnsi="Arial" w:cs="Arial"/>
          <w:sz w:val="22"/>
          <w:szCs w:val="22"/>
        </w:rPr>
      </w:pPr>
      <w:r w:rsidRPr="00964CBA">
        <w:rPr>
          <w:rFonts w:ascii="Arial" w:eastAsia="Calibri Light" w:hAnsi="Arial" w:cs="Arial"/>
          <w:sz w:val="22"/>
          <w:szCs w:val="22"/>
        </w:rPr>
        <w:lastRenderedPageBreak/>
        <w:t>A recent analysi</w:t>
      </w:r>
      <w:r w:rsidR="00890CCC" w:rsidRPr="00964CBA">
        <w:rPr>
          <w:rFonts w:ascii="Arial" w:eastAsia="Calibri Light" w:hAnsi="Arial" w:cs="Arial"/>
          <w:sz w:val="22"/>
          <w:szCs w:val="22"/>
        </w:rPr>
        <w:t>s highlights</w:t>
      </w:r>
      <w:r w:rsidRPr="00964CBA">
        <w:rPr>
          <w:rFonts w:ascii="Arial" w:eastAsia="Calibri Light" w:hAnsi="Arial" w:cs="Arial"/>
          <w:sz w:val="22"/>
          <w:szCs w:val="22"/>
        </w:rPr>
        <w:t xml:space="preserve"> the importance of communication, personalised care, and therapeutic alliances for applying the model </w:t>
      </w:r>
      <w:r w:rsidRPr="00B177DE">
        <w:rPr>
          <w:rFonts w:ascii="Arial" w:eastAsia="Calibri Light" w:hAnsi="Arial" w:cs="Arial"/>
          <w:sz w:val="22"/>
          <w:szCs w:val="22"/>
        </w:rPr>
        <w:t>successfully (Daluiso-King &amp; Hebron, 2020).</w:t>
      </w:r>
      <w:r w:rsidRPr="00964CBA">
        <w:rPr>
          <w:rFonts w:ascii="Arial" w:eastAsia="Calibri Light" w:hAnsi="Arial" w:cs="Arial"/>
          <w:sz w:val="22"/>
          <w:szCs w:val="22"/>
        </w:rPr>
        <w:t xml:space="preserve"> Unlike the reductionist biomedical framework, BPSM values individual experience and sociocultural context, aligning with patient-centred </w:t>
      </w:r>
      <w:r w:rsidRPr="006B5472">
        <w:rPr>
          <w:rFonts w:ascii="Arial" w:eastAsia="Calibri Light" w:hAnsi="Arial" w:cs="Arial"/>
          <w:sz w:val="22"/>
          <w:szCs w:val="22"/>
        </w:rPr>
        <w:t>care (Mamtani,2024). Its</w:t>
      </w:r>
      <w:r w:rsidRPr="00964CBA">
        <w:rPr>
          <w:rFonts w:ascii="Arial" w:eastAsia="Calibri Light" w:hAnsi="Arial" w:cs="Arial"/>
          <w:sz w:val="22"/>
          <w:szCs w:val="22"/>
        </w:rPr>
        <w:t xml:space="preserve"> relevance extends across disciplines, including building performance simulations that promote knowledge transfer and standardisation </w:t>
      </w:r>
      <w:r w:rsidRPr="006B7934">
        <w:rPr>
          <w:rFonts w:ascii="Arial" w:eastAsia="Calibri Light" w:hAnsi="Arial" w:cs="Arial"/>
          <w:sz w:val="22"/>
          <w:szCs w:val="22"/>
        </w:rPr>
        <w:t>(Arora &amp; Rabe, 2023).</w:t>
      </w:r>
    </w:p>
    <w:p w14:paraId="30FD5F31" w14:textId="77777777" w:rsidR="00731684" w:rsidRPr="00964CBA" w:rsidRDefault="00731684" w:rsidP="007C5469">
      <w:pPr>
        <w:pStyle w:val="paragraph"/>
        <w:spacing w:before="0" w:beforeAutospacing="0" w:after="0" w:afterAutospacing="0" w:line="360" w:lineRule="auto"/>
        <w:jc w:val="both"/>
        <w:textAlignment w:val="baseline"/>
        <w:rPr>
          <w:rFonts w:ascii="Arial" w:eastAsia="Calibri Light" w:hAnsi="Arial" w:cs="Arial"/>
          <w:sz w:val="22"/>
          <w:szCs w:val="22"/>
        </w:rPr>
      </w:pPr>
    </w:p>
    <w:p w14:paraId="517FF5C9" w14:textId="0016E2EE" w:rsidR="007B1D6F" w:rsidRPr="00964CBA" w:rsidRDefault="007B1D6F" w:rsidP="007C5469">
      <w:pPr>
        <w:pStyle w:val="paragraph"/>
        <w:spacing w:before="0" w:beforeAutospacing="0" w:after="0" w:afterAutospacing="0" w:line="360" w:lineRule="auto"/>
        <w:jc w:val="both"/>
        <w:textAlignment w:val="baseline"/>
        <w:rPr>
          <w:rFonts w:ascii="Arial" w:eastAsia="Calibri Light" w:hAnsi="Arial" w:cs="Arial"/>
          <w:sz w:val="22"/>
          <w:szCs w:val="22"/>
        </w:rPr>
      </w:pPr>
      <w:r w:rsidRPr="00E36462">
        <w:rPr>
          <w:rFonts w:ascii="Arial" w:eastAsia="Calibri Light" w:hAnsi="Arial" w:cs="Arial"/>
          <w:sz w:val="22"/>
          <w:szCs w:val="22"/>
        </w:rPr>
        <w:t>NICE (2014) formally</w:t>
      </w:r>
      <w:r w:rsidRPr="00964CBA">
        <w:rPr>
          <w:rFonts w:ascii="Arial" w:eastAsia="Calibri Light" w:hAnsi="Arial" w:cs="Arial"/>
          <w:sz w:val="22"/>
          <w:szCs w:val="22"/>
        </w:rPr>
        <w:t xml:space="preserve"> endorses CBTp, a psychological intervention for </w:t>
      </w:r>
      <w:r w:rsidR="008A667F" w:rsidRPr="00964CBA">
        <w:rPr>
          <w:rFonts w:ascii="Arial" w:eastAsia="Calibri Light" w:hAnsi="Arial" w:cs="Arial"/>
          <w:sz w:val="22"/>
          <w:szCs w:val="22"/>
        </w:rPr>
        <w:t>SCZ</w:t>
      </w:r>
      <w:r w:rsidRPr="00964CBA">
        <w:rPr>
          <w:rFonts w:ascii="Arial" w:eastAsia="Calibri Light" w:hAnsi="Arial" w:cs="Arial"/>
          <w:sz w:val="22"/>
          <w:szCs w:val="22"/>
        </w:rPr>
        <w:t xml:space="preserve"> grounded in the BPSM framework. Evidence supports its effectiveness in reducing distress and improving </w:t>
      </w:r>
      <w:r w:rsidRPr="00A52835">
        <w:rPr>
          <w:rFonts w:ascii="Arial" w:eastAsia="Calibri Light" w:hAnsi="Arial" w:cs="Arial"/>
          <w:sz w:val="22"/>
          <w:szCs w:val="22"/>
        </w:rPr>
        <w:t xml:space="preserve">functioning (Naeem </w:t>
      </w:r>
      <w:r w:rsidRPr="00A52835">
        <w:rPr>
          <w:rFonts w:ascii="Arial" w:eastAsia="Calibri Light" w:hAnsi="Arial" w:cs="Arial"/>
          <w:i/>
          <w:iCs/>
          <w:sz w:val="22"/>
          <w:szCs w:val="22"/>
        </w:rPr>
        <w:t>et al.,</w:t>
      </w:r>
      <w:r w:rsidRPr="00A52835">
        <w:rPr>
          <w:rFonts w:ascii="Arial" w:eastAsia="Calibri Light" w:hAnsi="Arial" w:cs="Arial"/>
          <w:sz w:val="22"/>
          <w:szCs w:val="22"/>
        </w:rPr>
        <w:t xml:space="preserve"> 2016).</w:t>
      </w:r>
      <w:r w:rsidRPr="00964CBA">
        <w:rPr>
          <w:rFonts w:ascii="Arial" w:eastAsia="Calibri Light" w:hAnsi="Arial" w:cs="Arial"/>
          <w:sz w:val="22"/>
          <w:szCs w:val="22"/>
        </w:rPr>
        <w:t xml:space="preserve"> A meta-analysis of 30 trials involving 2,312 participants found CBT effective in reducing negative sympto</w:t>
      </w:r>
      <w:r w:rsidRPr="00973B17">
        <w:rPr>
          <w:rFonts w:ascii="Arial" w:eastAsia="Calibri Light" w:hAnsi="Arial" w:cs="Arial"/>
          <w:sz w:val="22"/>
          <w:szCs w:val="22"/>
        </w:rPr>
        <w:t xml:space="preserve">ms (Velthorst </w:t>
      </w:r>
      <w:r w:rsidRPr="00973B17">
        <w:rPr>
          <w:rFonts w:ascii="Arial" w:eastAsia="Calibri Light" w:hAnsi="Arial" w:cs="Arial"/>
          <w:i/>
          <w:iCs/>
          <w:sz w:val="22"/>
          <w:szCs w:val="22"/>
        </w:rPr>
        <w:t>et al.,</w:t>
      </w:r>
      <w:r w:rsidRPr="00973B17">
        <w:rPr>
          <w:rFonts w:ascii="Arial" w:eastAsia="Calibri Light" w:hAnsi="Arial" w:cs="Arial"/>
          <w:sz w:val="22"/>
          <w:szCs w:val="22"/>
        </w:rPr>
        <w:t xml:space="preserve"> 201</w:t>
      </w:r>
      <w:r w:rsidR="00DC1D8D" w:rsidRPr="00973B17">
        <w:rPr>
          <w:rFonts w:ascii="Arial" w:eastAsia="Calibri Light" w:hAnsi="Arial" w:cs="Arial"/>
          <w:sz w:val="22"/>
          <w:szCs w:val="22"/>
        </w:rPr>
        <w:t>4</w:t>
      </w:r>
      <w:r w:rsidRPr="00973B17">
        <w:rPr>
          <w:rFonts w:ascii="Arial" w:eastAsia="Calibri Light" w:hAnsi="Arial" w:cs="Arial"/>
          <w:sz w:val="22"/>
          <w:szCs w:val="22"/>
        </w:rPr>
        <w:t>).</w:t>
      </w:r>
      <w:r w:rsidRPr="00964CBA">
        <w:rPr>
          <w:rFonts w:ascii="Arial" w:eastAsia="Calibri Light" w:hAnsi="Arial" w:cs="Arial"/>
          <w:sz w:val="22"/>
          <w:szCs w:val="22"/>
        </w:rPr>
        <w:t xml:space="preserve"> Individual sessions outperformed group formats, supporting NICE’s </w:t>
      </w:r>
      <w:r w:rsidRPr="00973B17">
        <w:rPr>
          <w:rFonts w:ascii="Arial" w:eastAsia="Calibri Light" w:hAnsi="Arial" w:cs="Arial"/>
          <w:sz w:val="22"/>
          <w:szCs w:val="22"/>
        </w:rPr>
        <w:t xml:space="preserve">guidance for at least 16 sessions. Tools like PANSS, BPRS, and SANS confirmed these outcomes (Velthorst </w:t>
      </w:r>
      <w:r w:rsidRPr="00973B17">
        <w:rPr>
          <w:rFonts w:ascii="Arial" w:eastAsia="Calibri Light" w:hAnsi="Arial" w:cs="Arial"/>
          <w:i/>
          <w:iCs/>
          <w:sz w:val="22"/>
          <w:szCs w:val="22"/>
        </w:rPr>
        <w:t>et al.,</w:t>
      </w:r>
      <w:r w:rsidRPr="00973B17">
        <w:rPr>
          <w:rFonts w:ascii="Arial" w:eastAsia="Calibri Light" w:hAnsi="Arial" w:cs="Arial"/>
          <w:sz w:val="22"/>
          <w:szCs w:val="22"/>
        </w:rPr>
        <w:t xml:space="preserve"> 201</w:t>
      </w:r>
      <w:r w:rsidR="00DC1D8D" w:rsidRPr="00973B17">
        <w:rPr>
          <w:rFonts w:ascii="Arial" w:eastAsia="Calibri Light" w:hAnsi="Arial" w:cs="Arial"/>
          <w:sz w:val="22"/>
          <w:szCs w:val="22"/>
        </w:rPr>
        <w:t>4</w:t>
      </w:r>
      <w:r w:rsidRPr="00973B17">
        <w:rPr>
          <w:rFonts w:ascii="Arial" w:eastAsia="Calibri Light" w:hAnsi="Arial" w:cs="Arial"/>
          <w:sz w:val="22"/>
          <w:szCs w:val="22"/>
        </w:rPr>
        <w:t>),</w:t>
      </w:r>
      <w:r w:rsidRPr="00964CBA">
        <w:rPr>
          <w:rFonts w:ascii="Arial" w:eastAsia="Calibri Light" w:hAnsi="Arial" w:cs="Arial"/>
          <w:sz w:val="22"/>
          <w:szCs w:val="22"/>
        </w:rPr>
        <w:t xml:space="preserve"> though methodological differences may affect </w:t>
      </w:r>
      <w:r w:rsidRPr="00973B17">
        <w:rPr>
          <w:rFonts w:ascii="Arial" w:eastAsia="Calibri Light" w:hAnsi="Arial" w:cs="Arial"/>
          <w:sz w:val="22"/>
          <w:szCs w:val="22"/>
        </w:rPr>
        <w:t>interpretation (NICE, 2014).</w:t>
      </w:r>
      <w:r w:rsidR="00220B88" w:rsidRPr="00973B17">
        <w:rPr>
          <w:rFonts w:ascii="Arial" w:eastAsia="Calibri Light" w:hAnsi="Arial" w:cs="Arial"/>
          <w:sz w:val="22"/>
          <w:szCs w:val="22"/>
        </w:rPr>
        <w:t xml:space="preserve"> </w:t>
      </w:r>
      <w:r w:rsidRPr="00973B17">
        <w:rPr>
          <w:rFonts w:ascii="Arial" w:eastAsia="Calibri Light" w:hAnsi="Arial" w:cs="Arial"/>
          <w:sz w:val="22"/>
          <w:szCs w:val="22"/>
        </w:rPr>
        <w:t xml:space="preserve">Despite </w:t>
      </w:r>
      <w:r w:rsidR="008E4EBD" w:rsidRPr="00973B17">
        <w:rPr>
          <w:rFonts w:ascii="Arial" w:eastAsia="Calibri Light" w:hAnsi="Arial" w:cs="Arial"/>
          <w:sz w:val="22"/>
          <w:szCs w:val="22"/>
        </w:rPr>
        <w:t>the</w:t>
      </w:r>
      <w:r w:rsidR="008E4EBD" w:rsidRPr="00973B17">
        <w:rPr>
          <w:rFonts w:ascii="Arial" w:eastAsia="Calibri Light" w:hAnsi="Arial" w:cs="Arial"/>
        </w:rPr>
        <w:t xml:space="preserve"> </w:t>
      </w:r>
      <w:r w:rsidR="008E4EBD" w:rsidRPr="00973B17">
        <w:rPr>
          <w:rFonts w:ascii="Arial" w:eastAsia="Calibri Light" w:hAnsi="Arial" w:cs="Arial"/>
          <w:sz w:val="22"/>
          <w:szCs w:val="22"/>
        </w:rPr>
        <w:t>NICE (</w:t>
      </w:r>
      <w:r w:rsidR="00CD6439" w:rsidRPr="00973B17">
        <w:rPr>
          <w:rFonts w:ascii="Arial" w:eastAsia="Calibri Light" w:hAnsi="Arial" w:cs="Arial"/>
          <w:sz w:val="22"/>
          <w:szCs w:val="22"/>
        </w:rPr>
        <w:t>2014</w:t>
      </w:r>
      <w:r w:rsidR="003F7C9C" w:rsidRPr="00973B17">
        <w:rPr>
          <w:rFonts w:ascii="Arial" w:eastAsia="Calibri Light" w:hAnsi="Arial" w:cs="Arial"/>
          <w:sz w:val="22"/>
          <w:szCs w:val="22"/>
        </w:rPr>
        <w:t>) guidelines</w:t>
      </w:r>
      <w:r w:rsidRPr="00964CBA">
        <w:rPr>
          <w:rFonts w:ascii="Arial" w:eastAsia="Calibri Light" w:hAnsi="Arial" w:cs="Arial"/>
          <w:sz w:val="22"/>
          <w:szCs w:val="22"/>
        </w:rPr>
        <w:t xml:space="preserve">, implementation remains poor. A UK audit found that only 6.9% of service users </w:t>
      </w:r>
      <w:r w:rsidRPr="000F1BA0">
        <w:rPr>
          <w:rFonts w:ascii="Arial" w:eastAsia="Calibri Light" w:hAnsi="Arial" w:cs="Arial"/>
          <w:sz w:val="22"/>
          <w:szCs w:val="22"/>
        </w:rPr>
        <w:t xml:space="preserve">were offered CBT, and only 5.3% received it; FI uptake was only 1.1% (Haddock </w:t>
      </w:r>
      <w:r w:rsidRPr="000F1BA0">
        <w:rPr>
          <w:rFonts w:ascii="Arial" w:eastAsia="Calibri Light" w:hAnsi="Arial" w:cs="Arial"/>
          <w:i/>
          <w:iCs/>
          <w:sz w:val="22"/>
          <w:szCs w:val="22"/>
        </w:rPr>
        <w:t>et al.,</w:t>
      </w:r>
      <w:r w:rsidRPr="000F1BA0">
        <w:rPr>
          <w:rFonts w:ascii="Arial" w:eastAsia="Calibri Light" w:hAnsi="Arial" w:cs="Arial"/>
          <w:sz w:val="22"/>
          <w:szCs w:val="22"/>
        </w:rPr>
        <w:t xml:space="preserve"> 2014). Barriers include staff shortages, underfunding, and fragmented care (Ince, Haddock and Tai, 2015; Haddock</w:t>
      </w:r>
      <w:r w:rsidRPr="008F1682">
        <w:rPr>
          <w:rFonts w:ascii="Arial" w:eastAsia="Calibri Light" w:hAnsi="Arial" w:cs="Arial"/>
          <w:sz w:val="22"/>
          <w:szCs w:val="22"/>
        </w:rPr>
        <w:t xml:space="preserve"> </w:t>
      </w:r>
      <w:r w:rsidRPr="008F1682">
        <w:rPr>
          <w:rFonts w:ascii="Arial" w:eastAsia="Calibri Light" w:hAnsi="Arial" w:cs="Arial"/>
          <w:i/>
          <w:iCs/>
          <w:sz w:val="22"/>
          <w:szCs w:val="22"/>
        </w:rPr>
        <w:t xml:space="preserve">et al., </w:t>
      </w:r>
      <w:r w:rsidRPr="008F1682">
        <w:rPr>
          <w:rFonts w:ascii="Arial" w:eastAsia="Calibri Light" w:hAnsi="Arial" w:cs="Arial"/>
          <w:sz w:val="22"/>
          <w:szCs w:val="22"/>
        </w:rPr>
        <w:t>2014).</w:t>
      </w:r>
      <w:r w:rsidRPr="00964CBA">
        <w:rPr>
          <w:rFonts w:ascii="Arial" w:eastAsia="Calibri Light" w:hAnsi="Arial" w:cs="Arial"/>
          <w:sz w:val="22"/>
          <w:szCs w:val="22"/>
        </w:rPr>
        <w:t xml:space="preserve"> Moreover, BPSM faces criticism for lacking a standardised framework and being difficult to operation</w:t>
      </w:r>
      <w:r w:rsidRPr="00E83C37">
        <w:rPr>
          <w:rFonts w:ascii="Arial" w:eastAsia="Calibri Light" w:hAnsi="Arial" w:cs="Arial"/>
          <w:sz w:val="22"/>
          <w:szCs w:val="22"/>
        </w:rPr>
        <w:t>alise, particularly in measuring psychosocial variables</w:t>
      </w:r>
      <w:r w:rsidR="001F163A" w:rsidRPr="00E83C37">
        <w:rPr>
          <w:rFonts w:ascii="Arial" w:eastAsia="Calibri Light" w:hAnsi="Arial" w:cs="Arial"/>
          <w:sz w:val="22"/>
          <w:szCs w:val="22"/>
        </w:rPr>
        <w:t>,</w:t>
      </w:r>
      <w:r w:rsidRPr="00E83C37">
        <w:rPr>
          <w:rFonts w:ascii="Arial" w:eastAsia="Calibri Light" w:hAnsi="Arial" w:cs="Arial"/>
          <w:sz w:val="22"/>
          <w:szCs w:val="22"/>
        </w:rPr>
        <w:t xml:space="preserve"> concerns raised over a decade </w:t>
      </w:r>
      <w:r w:rsidRPr="00FB11AA">
        <w:rPr>
          <w:rFonts w:ascii="Arial" w:eastAsia="Calibri Light" w:hAnsi="Arial" w:cs="Arial"/>
          <w:sz w:val="22"/>
          <w:szCs w:val="22"/>
        </w:rPr>
        <w:t xml:space="preserve">ago (Brissos </w:t>
      </w:r>
      <w:r w:rsidRPr="00FB11AA">
        <w:rPr>
          <w:rFonts w:ascii="Arial" w:eastAsia="Calibri Light" w:hAnsi="Arial" w:cs="Arial"/>
          <w:i/>
          <w:iCs/>
          <w:sz w:val="22"/>
          <w:szCs w:val="22"/>
        </w:rPr>
        <w:t>et al.,</w:t>
      </w:r>
      <w:r w:rsidRPr="00FB11AA">
        <w:rPr>
          <w:rFonts w:ascii="Arial" w:eastAsia="Calibri Light" w:hAnsi="Arial" w:cs="Arial"/>
          <w:sz w:val="22"/>
          <w:szCs w:val="22"/>
        </w:rPr>
        <w:t xml:space="preserve"> 2011) and reaffirmed more recently (Papadimitriou, 2017).</w:t>
      </w:r>
    </w:p>
    <w:p w14:paraId="59184575" w14:textId="77777777" w:rsidR="00890CCC" w:rsidRPr="00964CBA" w:rsidRDefault="00890CCC" w:rsidP="007C5469">
      <w:pPr>
        <w:pStyle w:val="paragraph"/>
        <w:spacing w:before="0" w:beforeAutospacing="0" w:after="0" w:afterAutospacing="0" w:line="360" w:lineRule="auto"/>
        <w:jc w:val="both"/>
        <w:textAlignment w:val="baseline"/>
        <w:rPr>
          <w:rFonts w:ascii="Arial" w:eastAsia="Calibri Light" w:hAnsi="Arial" w:cs="Arial"/>
          <w:sz w:val="22"/>
          <w:szCs w:val="22"/>
        </w:rPr>
      </w:pPr>
    </w:p>
    <w:p w14:paraId="265EE241" w14:textId="5FEDC621" w:rsidR="00F1360E" w:rsidRPr="003C31D4" w:rsidRDefault="003C31D4" w:rsidP="003C31D4">
      <w:pPr>
        <w:pStyle w:val="paragraph"/>
        <w:spacing w:before="0" w:beforeAutospacing="0" w:after="0" w:afterAutospacing="0" w:line="360" w:lineRule="auto"/>
        <w:jc w:val="both"/>
        <w:textAlignment w:val="baseline"/>
        <w:rPr>
          <w:rFonts w:ascii="Arial" w:hAnsi="Arial" w:cs="Arial"/>
          <w:sz w:val="22"/>
          <w:szCs w:val="22"/>
        </w:rPr>
      </w:pPr>
      <w:r w:rsidRPr="003C31D4">
        <w:rPr>
          <w:rFonts w:ascii="Arial" w:hAnsi="Arial" w:cs="Arial"/>
          <w:sz w:val="22"/>
          <w:szCs w:val="22"/>
        </w:rPr>
        <w:t xml:space="preserve">Social inequalities continue to hinder the model's practical application. BAME populations experience disproportionate rates of compulsory treatment and reduced access to psychological therapies such as CBT and FI </w:t>
      </w:r>
      <w:r w:rsidRPr="008B3F39">
        <w:rPr>
          <w:rFonts w:ascii="Arial" w:hAnsi="Arial" w:cs="Arial"/>
          <w:sz w:val="22"/>
          <w:szCs w:val="22"/>
        </w:rPr>
        <w:t xml:space="preserve">(Kirkbride, 2018; </w:t>
      </w:r>
      <w:r w:rsidRPr="0051083E">
        <w:rPr>
          <w:rFonts w:ascii="Arial" w:hAnsi="Arial" w:cs="Arial"/>
          <w:sz w:val="22"/>
          <w:szCs w:val="22"/>
        </w:rPr>
        <w:t xml:space="preserve">Halvorsrud </w:t>
      </w:r>
      <w:r w:rsidRPr="0051083E">
        <w:rPr>
          <w:rFonts w:ascii="Arial" w:hAnsi="Arial" w:cs="Arial"/>
          <w:i/>
          <w:iCs/>
          <w:sz w:val="22"/>
          <w:szCs w:val="22"/>
        </w:rPr>
        <w:t>et al.,</w:t>
      </w:r>
      <w:r w:rsidRPr="0051083E">
        <w:rPr>
          <w:rFonts w:ascii="Arial" w:hAnsi="Arial" w:cs="Arial"/>
          <w:sz w:val="22"/>
          <w:szCs w:val="22"/>
        </w:rPr>
        <w:t xml:space="preserve"> 2018). These</w:t>
      </w:r>
      <w:r w:rsidRPr="003C31D4">
        <w:rPr>
          <w:rFonts w:ascii="Arial" w:hAnsi="Arial" w:cs="Arial"/>
          <w:sz w:val="22"/>
          <w:szCs w:val="22"/>
        </w:rPr>
        <w:t xml:space="preserve"> persistent disparities reinforce earlier concerns raised by Berry and </w:t>
      </w:r>
      <w:r w:rsidRPr="008D7123">
        <w:rPr>
          <w:rFonts w:ascii="Arial" w:hAnsi="Arial" w:cs="Arial"/>
          <w:sz w:val="22"/>
          <w:szCs w:val="22"/>
        </w:rPr>
        <w:t>Haddock (2008) and</w:t>
      </w:r>
      <w:r w:rsidRPr="003C31D4">
        <w:rPr>
          <w:rFonts w:ascii="Arial" w:hAnsi="Arial" w:cs="Arial"/>
          <w:sz w:val="22"/>
          <w:szCs w:val="22"/>
        </w:rPr>
        <w:t xml:space="preserve"> </w:t>
      </w:r>
      <w:r w:rsidRPr="008F1682">
        <w:rPr>
          <w:rFonts w:ascii="Arial" w:hAnsi="Arial" w:cs="Arial"/>
          <w:sz w:val="22"/>
          <w:szCs w:val="22"/>
        </w:rPr>
        <w:t xml:space="preserve">Haddock </w:t>
      </w:r>
      <w:r w:rsidRPr="008F1682">
        <w:rPr>
          <w:rFonts w:ascii="Arial" w:hAnsi="Arial" w:cs="Arial"/>
          <w:i/>
          <w:iCs/>
          <w:sz w:val="22"/>
          <w:szCs w:val="22"/>
        </w:rPr>
        <w:t>et al.</w:t>
      </w:r>
      <w:r w:rsidRPr="008F1682">
        <w:rPr>
          <w:rFonts w:ascii="Arial" w:hAnsi="Arial" w:cs="Arial"/>
          <w:sz w:val="22"/>
          <w:szCs w:val="22"/>
        </w:rPr>
        <w:t xml:space="preserve"> (2014),</w:t>
      </w:r>
      <w:r w:rsidRPr="003C31D4">
        <w:rPr>
          <w:rFonts w:ascii="Arial" w:hAnsi="Arial" w:cs="Arial"/>
          <w:sz w:val="22"/>
          <w:szCs w:val="22"/>
        </w:rPr>
        <w:t xml:space="preserve"> whose observations remain relevant in today’s mental health landscape. More recent priorities </w:t>
      </w:r>
      <w:r w:rsidRPr="00E960B5">
        <w:rPr>
          <w:rFonts w:ascii="Arial" w:hAnsi="Arial" w:cs="Arial"/>
          <w:sz w:val="22"/>
          <w:szCs w:val="22"/>
        </w:rPr>
        <w:t>outlined by NHS England (2024) call</w:t>
      </w:r>
      <w:r w:rsidRPr="003C31D4">
        <w:rPr>
          <w:rFonts w:ascii="Arial" w:hAnsi="Arial" w:cs="Arial"/>
          <w:sz w:val="22"/>
          <w:szCs w:val="22"/>
        </w:rPr>
        <w:t xml:space="preserve"> for targeted investment, workforce expansion, and equitable service delivery. Increasingly, peer-led interventions and service user inv</w:t>
      </w:r>
      <w:r w:rsidRPr="00347793">
        <w:rPr>
          <w:rFonts w:ascii="Arial" w:hAnsi="Arial" w:cs="Arial"/>
          <w:sz w:val="22"/>
          <w:szCs w:val="22"/>
        </w:rPr>
        <w:t>olvement are seen as vital to enhancing recovery outcomes and building trust in care systems. Co-produced care models, which involve BAME voices in service design, show promise in improving engagement and long-term treatment adherence. (Slay &amp; Stephens, 2013; Faulkner, 2017)</w:t>
      </w:r>
    </w:p>
    <w:p w14:paraId="1787DF7C" w14:textId="35E049AA" w:rsidR="00BD2909" w:rsidRDefault="00BD2909" w:rsidP="007B473E">
      <w:pPr>
        <w:pStyle w:val="paragraph"/>
        <w:spacing w:before="0" w:beforeAutospacing="0" w:after="0" w:afterAutospacing="0" w:line="360" w:lineRule="auto"/>
        <w:jc w:val="both"/>
        <w:textAlignment w:val="baseline"/>
        <w:rPr>
          <w:rFonts w:ascii="Arial" w:hAnsi="Arial" w:cs="Arial"/>
        </w:rPr>
      </w:pPr>
    </w:p>
    <w:p w14:paraId="3B837820" w14:textId="77777777" w:rsidR="00C64072" w:rsidRPr="00691F40" w:rsidRDefault="00C64072" w:rsidP="007B473E">
      <w:pPr>
        <w:pStyle w:val="paragraph"/>
        <w:spacing w:before="0" w:beforeAutospacing="0" w:after="0" w:afterAutospacing="0" w:line="360" w:lineRule="auto"/>
        <w:jc w:val="both"/>
        <w:textAlignment w:val="baseline"/>
        <w:rPr>
          <w:rFonts w:ascii="Arial" w:hAnsi="Arial" w:cs="Arial"/>
        </w:rPr>
      </w:pPr>
    </w:p>
    <w:p w14:paraId="0317159A" w14:textId="0A3ADC47" w:rsidR="001B28E9" w:rsidRPr="003C2A48" w:rsidRDefault="00BD2909" w:rsidP="00CD25E3">
      <w:pPr>
        <w:pStyle w:val="Heading2"/>
        <w:rPr>
          <w:rStyle w:val="eop"/>
          <w:rFonts w:eastAsia="Calibri Light"/>
          <w:b w:val="0"/>
          <w:bCs w:val="0"/>
          <w:i w:val="0"/>
          <w:iCs w:val="0"/>
        </w:rPr>
      </w:pPr>
      <w:bookmarkStart w:id="17" w:name="_Toc204981486"/>
      <w:r w:rsidRPr="003C2A48">
        <w:rPr>
          <w:rStyle w:val="normaltextrun"/>
        </w:rPr>
        <w:lastRenderedPageBreak/>
        <w:t xml:space="preserve">2.4 International </w:t>
      </w:r>
      <w:r w:rsidR="000C1137" w:rsidRPr="003C2A48">
        <w:rPr>
          <w:rStyle w:val="normaltextrun"/>
        </w:rPr>
        <w:t>Context</w:t>
      </w:r>
      <w:bookmarkEnd w:id="17"/>
      <w:r w:rsidR="000C1137" w:rsidRPr="003C2A48">
        <w:rPr>
          <w:rStyle w:val="normaltextrun"/>
        </w:rPr>
        <w:t xml:space="preserve"> </w:t>
      </w:r>
    </w:p>
    <w:p w14:paraId="00C1BB65" w14:textId="77777777" w:rsidR="001D2844" w:rsidRPr="003C2A48" w:rsidRDefault="001D2844" w:rsidP="007B473E">
      <w:pPr>
        <w:pStyle w:val="paragraph"/>
        <w:spacing w:before="0" w:beforeAutospacing="0" w:after="0" w:afterAutospacing="0" w:line="360" w:lineRule="auto"/>
        <w:jc w:val="both"/>
        <w:textAlignment w:val="baseline"/>
        <w:rPr>
          <w:rFonts w:ascii="Arial" w:eastAsia="Calibri Light" w:hAnsi="Arial" w:cs="Arial"/>
          <w:sz w:val="22"/>
          <w:szCs w:val="22"/>
        </w:rPr>
      </w:pPr>
    </w:p>
    <w:p w14:paraId="43CE925B" w14:textId="34176671" w:rsidR="009611DB" w:rsidRPr="00964CBA" w:rsidRDefault="00644177" w:rsidP="007C5469">
      <w:pPr>
        <w:pStyle w:val="paragraph"/>
        <w:spacing w:before="0" w:beforeAutospacing="0" w:after="0" w:afterAutospacing="0" w:line="360" w:lineRule="auto"/>
        <w:jc w:val="both"/>
        <w:textAlignment w:val="baseline"/>
        <w:rPr>
          <w:rFonts w:ascii="Arial" w:eastAsia="Calibri Light" w:hAnsi="Arial" w:cs="Arial"/>
          <w:sz w:val="22"/>
          <w:szCs w:val="22"/>
        </w:rPr>
      </w:pPr>
      <w:r w:rsidRPr="003C2A48">
        <w:rPr>
          <w:rFonts w:ascii="Arial" w:eastAsia="Calibri Light" w:hAnsi="Arial" w:cs="Arial"/>
          <w:sz w:val="22"/>
          <w:szCs w:val="22"/>
        </w:rPr>
        <w:t>SCZ</w:t>
      </w:r>
      <w:r w:rsidR="009611DB" w:rsidRPr="003C2A48">
        <w:rPr>
          <w:rFonts w:ascii="Arial" w:eastAsia="Calibri Light" w:hAnsi="Arial" w:cs="Arial"/>
          <w:sz w:val="22"/>
          <w:szCs w:val="22"/>
        </w:rPr>
        <w:t xml:space="preserve"> outcomes and treatment guidelines vary significantly across countries (Developing, 2015).</w:t>
      </w:r>
      <w:r w:rsidR="009611DB" w:rsidRPr="00964CBA">
        <w:rPr>
          <w:rFonts w:ascii="Arial" w:eastAsia="Calibri Light" w:hAnsi="Arial" w:cs="Arial"/>
          <w:sz w:val="22"/>
          <w:szCs w:val="22"/>
        </w:rPr>
        <w:t xml:space="preserve"> Early WHO studies suggested a more favourable prognosis for developing nations </w:t>
      </w:r>
      <w:r w:rsidR="009611DB" w:rsidRPr="00012592">
        <w:rPr>
          <w:rFonts w:ascii="Arial" w:eastAsia="Calibri Light" w:hAnsi="Arial" w:cs="Arial"/>
          <w:sz w:val="22"/>
          <w:szCs w:val="22"/>
        </w:rPr>
        <w:t>(Jablensky &amp; Sartorius, 2007), but</w:t>
      </w:r>
      <w:r w:rsidR="009611DB" w:rsidRPr="00964CBA">
        <w:rPr>
          <w:rFonts w:ascii="Arial" w:eastAsia="Calibri Light" w:hAnsi="Arial" w:cs="Arial"/>
          <w:sz w:val="22"/>
          <w:szCs w:val="22"/>
        </w:rPr>
        <w:t xml:space="preserve"> recent research calls for reevaluating this assumption </w:t>
      </w:r>
      <w:r w:rsidR="009611DB" w:rsidRPr="007411C9">
        <w:rPr>
          <w:rFonts w:ascii="Arial" w:eastAsia="Calibri Light" w:hAnsi="Arial" w:cs="Arial"/>
          <w:sz w:val="22"/>
          <w:szCs w:val="22"/>
        </w:rPr>
        <w:t>(Caltabiano, 2022).</w:t>
      </w:r>
      <w:r w:rsidR="009611DB" w:rsidRPr="00964CBA">
        <w:rPr>
          <w:rFonts w:ascii="Arial" w:eastAsia="Calibri Light" w:hAnsi="Arial" w:cs="Arial"/>
          <w:sz w:val="22"/>
          <w:szCs w:val="22"/>
        </w:rPr>
        <w:t xml:space="preserve"> Despite cultural differences, </w:t>
      </w:r>
      <w:r w:rsidRPr="00964CBA">
        <w:rPr>
          <w:rFonts w:ascii="Arial" w:eastAsia="Calibri Light" w:hAnsi="Arial" w:cs="Arial"/>
          <w:sz w:val="22"/>
          <w:szCs w:val="22"/>
        </w:rPr>
        <w:t>SCZ</w:t>
      </w:r>
      <w:r w:rsidR="009611DB" w:rsidRPr="00964CBA">
        <w:rPr>
          <w:rFonts w:ascii="Arial" w:eastAsia="Calibri Light" w:hAnsi="Arial" w:cs="Arial"/>
          <w:sz w:val="22"/>
          <w:szCs w:val="22"/>
        </w:rPr>
        <w:t xml:space="preserve"> exhibits </w:t>
      </w:r>
      <w:r w:rsidR="009611DB" w:rsidRPr="00297FBB">
        <w:rPr>
          <w:rFonts w:ascii="Arial" w:eastAsia="Calibri Light" w:hAnsi="Arial" w:cs="Arial"/>
          <w:sz w:val="22"/>
          <w:szCs w:val="22"/>
        </w:rPr>
        <w:t>similar symptom profiles worldwide, with paranoid symptoms being the most prevalent (American Psychiatric Association, 2015).</w:t>
      </w:r>
    </w:p>
    <w:p w14:paraId="44FE992C" w14:textId="77777777" w:rsidR="000C1137" w:rsidRPr="00964CBA" w:rsidRDefault="000C1137" w:rsidP="007C5469">
      <w:pPr>
        <w:pStyle w:val="paragraph"/>
        <w:spacing w:before="0" w:beforeAutospacing="0" w:after="0" w:afterAutospacing="0" w:line="360" w:lineRule="auto"/>
        <w:jc w:val="both"/>
        <w:textAlignment w:val="baseline"/>
        <w:rPr>
          <w:rFonts w:ascii="Arial" w:eastAsia="Calibri Light" w:hAnsi="Arial" w:cs="Arial"/>
          <w:sz w:val="22"/>
          <w:szCs w:val="22"/>
        </w:rPr>
      </w:pPr>
    </w:p>
    <w:p w14:paraId="1603D150" w14:textId="5B3F82CE" w:rsidR="001B28E9" w:rsidRPr="00964CBA" w:rsidRDefault="009611DB" w:rsidP="00BA5C94">
      <w:pPr>
        <w:pStyle w:val="paragraph"/>
        <w:spacing w:before="0" w:beforeAutospacing="0" w:after="0" w:afterAutospacing="0" w:line="360" w:lineRule="auto"/>
        <w:jc w:val="both"/>
        <w:textAlignment w:val="baseline"/>
        <w:rPr>
          <w:rFonts w:ascii="Arial" w:eastAsia="Calibri Light" w:hAnsi="Arial" w:cs="Arial"/>
          <w:sz w:val="22"/>
          <w:szCs w:val="22"/>
        </w:rPr>
      </w:pPr>
      <w:r w:rsidRPr="00964CBA">
        <w:rPr>
          <w:rFonts w:ascii="Arial" w:eastAsia="Calibri Light" w:hAnsi="Arial" w:cs="Arial"/>
          <w:sz w:val="22"/>
          <w:szCs w:val="22"/>
        </w:rPr>
        <w:t xml:space="preserve">Treatment guidelines differ notably in methodology and psychosocial approaches, reflecting regional </w:t>
      </w:r>
      <w:r w:rsidRPr="00634082">
        <w:rPr>
          <w:rFonts w:ascii="Arial" w:eastAsia="Calibri Light" w:hAnsi="Arial" w:cs="Arial"/>
          <w:sz w:val="22"/>
          <w:szCs w:val="22"/>
        </w:rPr>
        <w:t xml:space="preserve">differences in healthcare systems. Gaebel </w:t>
      </w:r>
      <w:r w:rsidRPr="00634082">
        <w:rPr>
          <w:rFonts w:ascii="Arial" w:eastAsia="Calibri Light" w:hAnsi="Arial" w:cs="Arial"/>
          <w:i/>
          <w:iCs/>
          <w:sz w:val="22"/>
          <w:szCs w:val="22"/>
        </w:rPr>
        <w:t>et al.</w:t>
      </w:r>
      <w:r w:rsidRPr="00634082">
        <w:rPr>
          <w:rFonts w:ascii="Arial" w:eastAsia="Calibri Light" w:hAnsi="Arial" w:cs="Arial"/>
          <w:sz w:val="22"/>
          <w:szCs w:val="22"/>
        </w:rPr>
        <w:t xml:space="preserve"> (2005) initially raised concerns around limited stakeholder input and moderate rigour, which remain relevant today (Petković </w:t>
      </w:r>
      <w:r w:rsidRPr="00634082">
        <w:rPr>
          <w:rFonts w:ascii="Arial" w:eastAsia="Calibri Light" w:hAnsi="Arial" w:cs="Arial"/>
          <w:i/>
          <w:iCs/>
          <w:sz w:val="22"/>
          <w:szCs w:val="22"/>
        </w:rPr>
        <w:t>et al</w:t>
      </w:r>
      <w:r w:rsidRPr="00634082">
        <w:rPr>
          <w:rFonts w:ascii="Arial" w:eastAsia="Calibri Light" w:hAnsi="Arial" w:cs="Arial"/>
          <w:sz w:val="22"/>
          <w:szCs w:val="22"/>
        </w:rPr>
        <w:t>., 2023).</w:t>
      </w:r>
      <w:r w:rsidRPr="00964CBA">
        <w:rPr>
          <w:rFonts w:ascii="Arial" w:eastAsia="Calibri Light" w:hAnsi="Arial" w:cs="Arial"/>
          <w:sz w:val="22"/>
          <w:szCs w:val="22"/>
        </w:rPr>
        <w:t xml:space="preserve"> Recent findings emphasise the need for culturally adaptable and effective interventions, especially those addressing negative and cognitive symptoms with improved tolerability </w:t>
      </w:r>
      <w:r w:rsidRPr="0018023B">
        <w:rPr>
          <w:rFonts w:ascii="Arial" w:eastAsia="Calibri Light" w:hAnsi="Arial" w:cs="Arial"/>
          <w:sz w:val="22"/>
          <w:szCs w:val="22"/>
        </w:rPr>
        <w:t>(Fabrazzo</w:t>
      </w:r>
      <w:r w:rsidR="00AA687E">
        <w:rPr>
          <w:rFonts w:ascii="Arial" w:eastAsia="Calibri Light" w:hAnsi="Arial" w:cs="Arial"/>
        </w:rPr>
        <w:t xml:space="preserve"> </w:t>
      </w:r>
      <w:r w:rsidRPr="00AA687E">
        <w:rPr>
          <w:rFonts w:ascii="Arial" w:eastAsia="Calibri Light" w:hAnsi="Arial" w:cs="Arial"/>
          <w:i/>
          <w:iCs/>
          <w:sz w:val="22"/>
          <w:szCs w:val="22"/>
        </w:rPr>
        <w:t>et al.,</w:t>
      </w:r>
      <w:r w:rsidRPr="00AA687E">
        <w:rPr>
          <w:rFonts w:ascii="Arial" w:eastAsia="Calibri Light" w:hAnsi="Arial" w:cs="Arial"/>
          <w:sz w:val="22"/>
          <w:szCs w:val="22"/>
        </w:rPr>
        <w:t xml:space="preserve"> 2022; Lorenz </w:t>
      </w:r>
      <w:r w:rsidRPr="00AA687E">
        <w:rPr>
          <w:rFonts w:ascii="Arial" w:eastAsia="Calibri Light" w:hAnsi="Arial" w:cs="Arial"/>
          <w:i/>
          <w:iCs/>
          <w:sz w:val="22"/>
          <w:szCs w:val="22"/>
        </w:rPr>
        <w:t>et al.,</w:t>
      </w:r>
      <w:r w:rsidRPr="00AA687E">
        <w:rPr>
          <w:rFonts w:ascii="Arial" w:eastAsia="Calibri Light" w:hAnsi="Arial" w:cs="Arial"/>
          <w:sz w:val="22"/>
          <w:szCs w:val="22"/>
        </w:rPr>
        <w:t xml:space="preserve"> 2024).</w:t>
      </w:r>
      <w:r w:rsidR="00F4021C">
        <w:rPr>
          <w:rFonts w:ascii="Arial" w:eastAsia="Calibri Light" w:hAnsi="Arial" w:cs="Arial"/>
          <w:sz w:val="22"/>
          <w:szCs w:val="22"/>
        </w:rPr>
        <w:t xml:space="preserve"> </w:t>
      </w:r>
      <w:r w:rsidRPr="00BA5C94">
        <w:rPr>
          <w:rFonts w:ascii="Arial" w:eastAsia="Calibri Light" w:hAnsi="Arial" w:cs="Arial"/>
          <w:sz w:val="22"/>
          <w:szCs w:val="22"/>
        </w:rPr>
        <w:t>While</w:t>
      </w:r>
      <w:r w:rsidRPr="00964CBA">
        <w:rPr>
          <w:rFonts w:ascii="Arial" w:eastAsia="Calibri Light" w:hAnsi="Arial" w:cs="Arial"/>
          <w:sz w:val="22"/>
          <w:szCs w:val="22"/>
        </w:rPr>
        <w:t xml:space="preserve"> pharmacological recommendations remain relatively consistent, psychosocial interventions vary significantly </w:t>
      </w:r>
      <w:r w:rsidRPr="00DF6926">
        <w:rPr>
          <w:rFonts w:ascii="Arial" w:eastAsia="Calibri Light" w:hAnsi="Arial" w:cs="Arial"/>
          <w:sz w:val="22"/>
          <w:szCs w:val="22"/>
        </w:rPr>
        <w:t xml:space="preserve">(Guidi </w:t>
      </w:r>
      <w:r w:rsidRPr="00DF6926">
        <w:rPr>
          <w:rFonts w:ascii="Arial" w:eastAsia="Calibri Light" w:hAnsi="Arial" w:cs="Arial"/>
          <w:i/>
          <w:iCs/>
          <w:sz w:val="22"/>
          <w:szCs w:val="22"/>
        </w:rPr>
        <w:t>et al.,</w:t>
      </w:r>
      <w:r w:rsidRPr="00DF6926">
        <w:rPr>
          <w:rFonts w:ascii="Arial" w:eastAsia="Calibri Light" w:hAnsi="Arial" w:cs="Arial"/>
          <w:sz w:val="22"/>
          <w:szCs w:val="22"/>
        </w:rPr>
        <w:t xml:space="preserve"> 2018). Common approaches include CBT, psychoeducation, FI, SST, and ACT (Granholm </w:t>
      </w:r>
      <w:r w:rsidRPr="00DF6926">
        <w:rPr>
          <w:rFonts w:ascii="Arial" w:eastAsia="Calibri Light" w:hAnsi="Arial" w:cs="Arial"/>
          <w:i/>
          <w:iCs/>
          <w:sz w:val="22"/>
          <w:szCs w:val="22"/>
        </w:rPr>
        <w:t>et al.,</w:t>
      </w:r>
      <w:r w:rsidRPr="00DF6926">
        <w:rPr>
          <w:rFonts w:ascii="Arial" w:eastAsia="Calibri Light" w:hAnsi="Arial" w:cs="Arial"/>
          <w:sz w:val="22"/>
          <w:szCs w:val="22"/>
        </w:rPr>
        <w:t xml:space="preserve"> 2015).</w:t>
      </w:r>
      <w:r w:rsidRPr="00964CBA">
        <w:rPr>
          <w:rFonts w:ascii="Arial" w:eastAsia="Calibri Light" w:hAnsi="Arial" w:cs="Arial"/>
          <w:sz w:val="22"/>
          <w:szCs w:val="22"/>
        </w:rPr>
        <w:t xml:space="preserve"> These interventions offer short- to medium-term benefits in symptom reduction, functional improvement, and relapse prevention, though their long-term effects remain uncertain </w:t>
      </w:r>
      <w:r w:rsidRPr="00F77009">
        <w:rPr>
          <w:rFonts w:ascii="Arial" w:eastAsia="Calibri Light" w:hAnsi="Arial" w:cs="Arial"/>
          <w:sz w:val="22"/>
          <w:szCs w:val="22"/>
        </w:rPr>
        <w:t>(Western University, 2025). Most</w:t>
      </w:r>
      <w:r w:rsidRPr="00964CBA">
        <w:rPr>
          <w:rFonts w:ascii="Arial" w:eastAsia="Calibri Light" w:hAnsi="Arial" w:cs="Arial"/>
          <w:sz w:val="22"/>
          <w:szCs w:val="22"/>
        </w:rPr>
        <w:t xml:space="preserve"> international guidelines support these psychosocial interventions as adjuncts to medication, reinforcing their value in holistic care </w:t>
      </w:r>
      <w:r w:rsidRPr="00365B4D">
        <w:rPr>
          <w:rFonts w:ascii="Arial" w:eastAsia="Calibri Light" w:hAnsi="Arial" w:cs="Arial"/>
          <w:sz w:val="22"/>
          <w:szCs w:val="22"/>
        </w:rPr>
        <w:t xml:space="preserve">models (Ventriglio </w:t>
      </w:r>
      <w:r w:rsidRPr="00365B4D">
        <w:rPr>
          <w:rFonts w:ascii="Arial" w:eastAsia="Calibri Light" w:hAnsi="Arial" w:cs="Arial"/>
          <w:i/>
          <w:iCs/>
          <w:sz w:val="22"/>
          <w:szCs w:val="22"/>
        </w:rPr>
        <w:t>et al.,</w:t>
      </w:r>
      <w:r w:rsidRPr="00365B4D">
        <w:rPr>
          <w:rFonts w:ascii="Arial" w:eastAsia="Calibri Light" w:hAnsi="Arial" w:cs="Arial"/>
          <w:sz w:val="22"/>
          <w:szCs w:val="22"/>
        </w:rPr>
        <w:t xml:space="preserve"> 2020).</w:t>
      </w:r>
      <w:r w:rsidRPr="00964CBA">
        <w:rPr>
          <w:rFonts w:ascii="Arial" w:eastAsia="Calibri Light" w:hAnsi="Arial" w:cs="Arial"/>
          <w:sz w:val="22"/>
          <w:szCs w:val="22"/>
        </w:rPr>
        <w:t xml:space="preserve"> However, despite global efforts to harmonise standards, disparities persist due to variations in evidence bases, infrastructure, and economic resources </w:t>
      </w:r>
      <w:r w:rsidRPr="00DB1F8F">
        <w:rPr>
          <w:rFonts w:ascii="Arial" w:eastAsia="Calibri Light" w:hAnsi="Arial" w:cs="Arial"/>
          <w:sz w:val="22"/>
          <w:szCs w:val="22"/>
        </w:rPr>
        <w:t xml:space="preserve">(Kaveh Same </w:t>
      </w:r>
      <w:r w:rsidRPr="00DB1F8F">
        <w:rPr>
          <w:rFonts w:ascii="Arial" w:eastAsia="Calibri Light" w:hAnsi="Arial" w:cs="Arial"/>
          <w:i/>
          <w:iCs/>
          <w:sz w:val="22"/>
          <w:szCs w:val="22"/>
        </w:rPr>
        <w:t xml:space="preserve">et al., </w:t>
      </w:r>
      <w:r w:rsidRPr="00DB1F8F">
        <w:rPr>
          <w:rFonts w:ascii="Arial" w:eastAsia="Calibri Light" w:hAnsi="Arial" w:cs="Arial"/>
          <w:sz w:val="22"/>
          <w:szCs w:val="22"/>
        </w:rPr>
        <w:t>2023).</w:t>
      </w:r>
      <w:r w:rsidR="00622072" w:rsidRPr="00964CBA">
        <w:rPr>
          <w:rFonts w:ascii="Arial" w:eastAsia="Calibri Light" w:hAnsi="Arial" w:cs="Arial"/>
          <w:b/>
          <w:bCs/>
          <w:i/>
          <w:iCs/>
          <w:sz w:val="22"/>
          <w:szCs w:val="22"/>
        </w:rPr>
        <w:t xml:space="preserve">  </w:t>
      </w:r>
    </w:p>
    <w:p w14:paraId="22015A2C" w14:textId="5D3E3C22" w:rsidR="00CD0653" w:rsidRPr="000161F5" w:rsidRDefault="00CD0653" w:rsidP="007C5469">
      <w:pPr>
        <w:pStyle w:val="NormalWeb"/>
        <w:spacing w:line="360" w:lineRule="auto"/>
        <w:jc w:val="both"/>
        <w:rPr>
          <w:rFonts w:ascii="Arial" w:hAnsi="Arial" w:cs="Arial"/>
          <w:sz w:val="22"/>
          <w:szCs w:val="22"/>
        </w:rPr>
      </w:pPr>
      <w:r w:rsidRPr="002B382D">
        <w:rPr>
          <w:rFonts w:ascii="Arial" w:hAnsi="Arial" w:cs="Arial"/>
          <w:sz w:val="22"/>
          <w:szCs w:val="22"/>
        </w:rPr>
        <w:t xml:space="preserve">In the UK, NHS care is free for </w:t>
      </w:r>
      <w:r w:rsidRPr="00321AE4">
        <w:rPr>
          <w:rFonts w:ascii="Arial" w:hAnsi="Arial" w:cs="Arial"/>
          <w:sz w:val="22"/>
          <w:szCs w:val="22"/>
        </w:rPr>
        <w:t>individuals classified as ordinarily resident</w:t>
      </w:r>
      <w:r w:rsidR="00F10733" w:rsidRPr="00321AE4">
        <w:rPr>
          <w:rFonts w:ascii="Arial" w:hAnsi="Arial" w:cs="Arial"/>
          <w:sz w:val="22"/>
          <w:szCs w:val="22"/>
        </w:rPr>
        <w:t xml:space="preserve"> </w:t>
      </w:r>
      <w:r w:rsidRPr="00321AE4">
        <w:rPr>
          <w:rFonts w:ascii="Arial" w:hAnsi="Arial" w:cs="Arial"/>
          <w:sz w:val="22"/>
          <w:szCs w:val="22"/>
        </w:rPr>
        <w:t>based on lawful and settled residence rather than nationality, tax contributions, or property ownership (Department of Health and Social Care, 2018).</w:t>
      </w:r>
      <w:r w:rsidRPr="00964CBA">
        <w:rPr>
          <w:rFonts w:ascii="Arial" w:hAnsi="Arial" w:cs="Arial"/>
          <w:sz w:val="22"/>
          <w:szCs w:val="22"/>
        </w:rPr>
        <w:t xml:space="preserve"> However, while this model ensures universal free healthcare access in principle, it does not guarantee timely or equitable access to recommended mental health interventions </w:t>
      </w:r>
      <w:r w:rsidRPr="00AA5546">
        <w:rPr>
          <w:rFonts w:ascii="Arial" w:hAnsi="Arial" w:cs="Arial"/>
          <w:sz w:val="22"/>
          <w:szCs w:val="22"/>
        </w:rPr>
        <w:t>(Ince, Haddock and Tai, 2015). For</w:t>
      </w:r>
      <w:r w:rsidRPr="00964CBA">
        <w:rPr>
          <w:rFonts w:ascii="Arial" w:hAnsi="Arial" w:cs="Arial"/>
          <w:sz w:val="22"/>
          <w:szCs w:val="22"/>
        </w:rPr>
        <w:t xml:space="preserve"> example, although NICE recommends CBTp and family intervention as standard treatments for </w:t>
      </w:r>
      <w:r w:rsidR="00D520C8" w:rsidRPr="00964CBA">
        <w:rPr>
          <w:rFonts w:ascii="Arial" w:hAnsi="Arial" w:cs="Arial"/>
          <w:sz w:val="22"/>
          <w:szCs w:val="22"/>
        </w:rPr>
        <w:t>SCZ</w:t>
      </w:r>
      <w:r w:rsidRPr="00964CBA">
        <w:rPr>
          <w:rFonts w:ascii="Arial" w:hAnsi="Arial" w:cs="Arial"/>
          <w:sz w:val="22"/>
          <w:szCs w:val="22"/>
        </w:rPr>
        <w:t xml:space="preserve">, national audit data show that only a small proportion of eligible patients receive these therapies. This gap in provision is </w:t>
      </w:r>
      <w:r w:rsidR="00F10733" w:rsidRPr="00964CBA">
        <w:rPr>
          <w:rFonts w:ascii="Arial" w:hAnsi="Arial" w:cs="Arial"/>
          <w:sz w:val="22"/>
          <w:szCs w:val="22"/>
        </w:rPr>
        <w:t>primarily due</w:t>
      </w:r>
      <w:r w:rsidRPr="00964CBA">
        <w:rPr>
          <w:rFonts w:ascii="Arial" w:hAnsi="Arial" w:cs="Arial"/>
          <w:sz w:val="22"/>
          <w:szCs w:val="22"/>
        </w:rPr>
        <w:t xml:space="preserve"> to workforce shortages, limited resources, and regional inconsistencies in mental health </w:t>
      </w:r>
      <w:r w:rsidRPr="000161F5">
        <w:rPr>
          <w:rFonts w:ascii="Arial" w:hAnsi="Arial" w:cs="Arial"/>
          <w:sz w:val="22"/>
          <w:szCs w:val="22"/>
        </w:rPr>
        <w:t xml:space="preserve">service delivery </w:t>
      </w:r>
      <w:r w:rsidR="00B822D1" w:rsidRPr="000161F5">
        <w:rPr>
          <w:rFonts w:ascii="Arial" w:hAnsi="Arial" w:cs="Arial"/>
          <w:sz w:val="22"/>
          <w:szCs w:val="22"/>
        </w:rPr>
        <w:t>(Committee of Public Accounts, 2022</w:t>
      </w:r>
      <w:r w:rsidR="00AD50A8" w:rsidRPr="000161F5">
        <w:rPr>
          <w:rFonts w:ascii="Arial" w:hAnsi="Arial" w:cs="Arial"/>
          <w:sz w:val="22"/>
          <w:szCs w:val="22"/>
        </w:rPr>
        <w:t xml:space="preserve">; </w:t>
      </w:r>
      <w:r w:rsidRPr="000161F5">
        <w:rPr>
          <w:rFonts w:ascii="Arial" w:hAnsi="Arial" w:cs="Arial"/>
          <w:sz w:val="22"/>
          <w:szCs w:val="22"/>
        </w:rPr>
        <w:t>Ince, Haddock and Tai, 2015</w:t>
      </w:r>
      <w:r w:rsidR="007563A6" w:rsidRPr="000161F5">
        <w:rPr>
          <w:rFonts w:ascii="Arial" w:hAnsi="Arial" w:cs="Arial"/>
          <w:sz w:val="22"/>
          <w:szCs w:val="22"/>
        </w:rPr>
        <w:t>)</w:t>
      </w:r>
      <w:r w:rsidRPr="000161F5">
        <w:rPr>
          <w:rFonts w:ascii="Arial" w:hAnsi="Arial" w:cs="Arial"/>
          <w:sz w:val="22"/>
          <w:szCs w:val="22"/>
        </w:rPr>
        <w:t>.</w:t>
      </w:r>
    </w:p>
    <w:p w14:paraId="1C4325E7" w14:textId="117036DC" w:rsidR="0082675A" w:rsidRPr="00964CBA" w:rsidRDefault="006D0D4F" w:rsidP="007C5469">
      <w:pPr>
        <w:pStyle w:val="NormalWeb"/>
        <w:spacing w:line="360" w:lineRule="auto"/>
        <w:jc w:val="both"/>
        <w:rPr>
          <w:rFonts w:ascii="Arial" w:hAnsi="Arial" w:cs="Arial"/>
          <w:sz w:val="22"/>
          <w:szCs w:val="22"/>
        </w:rPr>
      </w:pPr>
      <w:r w:rsidRPr="000161F5">
        <w:rPr>
          <w:rFonts w:ascii="Arial" w:hAnsi="Arial" w:cs="Arial"/>
          <w:sz w:val="22"/>
          <w:szCs w:val="22"/>
        </w:rPr>
        <w:t>Insurance coverage heavily influences access to SCZ treatment in the United States</w:t>
      </w:r>
      <w:r w:rsidR="0082675A" w:rsidRPr="000161F5">
        <w:rPr>
          <w:rFonts w:ascii="Arial" w:hAnsi="Arial" w:cs="Arial"/>
          <w:sz w:val="22"/>
          <w:szCs w:val="22"/>
        </w:rPr>
        <w:t xml:space="preserve"> (Walker </w:t>
      </w:r>
      <w:r w:rsidR="0082675A" w:rsidRPr="000161F5">
        <w:rPr>
          <w:rFonts w:ascii="Arial" w:hAnsi="Arial" w:cs="Arial"/>
          <w:i/>
          <w:iCs/>
          <w:sz w:val="22"/>
          <w:szCs w:val="22"/>
        </w:rPr>
        <w:t>et al.,</w:t>
      </w:r>
      <w:r w:rsidR="0082675A" w:rsidRPr="000161F5">
        <w:rPr>
          <w:rFonts w:ascii="Arial" w:hAnsi="Arial" w:cs="Arial"/>
          <w:sz w:val="22"/>
          <w:szCs w:val="22"/>
        </w:rPr>
        <w:t xml:space="preserve"> 2015).</w:t>
      </w:r>
      <w:r w:rsidR="0082675A" w:rsidRPr="00964CBA">
        <w:rPr>
          <w:rFonts w:ascii="Arial" w:hAnsi="Arial" w:cs="Arial"/>
          <w:sz w:val="22"/>
          <w:szCs w:val="22"/>
        </w:rPr>
        <w:t xml:space="preserve"> Disruptions in insurance status can interrupt care continuity, limiting access to </w:t>
      </w:r>
      <w:r w:rsidR="0082675A" w:rsidRPr="004B777D">
        <w:rPr>
          <w:rFonts w:ascii="Arial" w:hAnsi="Arial" w:cs="Arial"/>
          <w:sz w:val="22"/>
          <w:szCs w:val="22"/>
        </w:rPr>
        <w:lastRenderedPageBreak/>
        <w:t xml:space="preserve">medication and mental health services and contributing to poorer outcomes (Ranchoff </w:t>
      </w:r>
      <w:r w:rsidR="0082675A" w:rsidRPr="004B777D">
        <w:rPr>
          <w:rFonts w:ascii="Arial" w:hAnsi="Arial" w:cs="Arial"/>
          <w:i/>
          <w:iCs/>
          <w:sz w:val="22"/>
          <w:szCs w:val="22"/>
        </w:rPr>
        <w:t>et al.,</w:t>
      </w:r>
      <w:r w:rsidR="0082675A" w:rsidRPr="004B777D">
        <w:rPr>
          <w:rFonts w:ascii="Arial" w:hAnsi="Arial" w:cs="Arial"/>
          <w:sz w:val="22"/>
          <w:szCs w:val="22"/>
        </w:rPr>
        <w:t xml:space="preserve"> 2024).</w:t>
      </w:r>
      <w:r w:rsidR="0082675A" w:rsidRPr="00964CBA">
        <w:rPr>
          <w:rFonts w:ascii="Arial" w:hAnsi="Arial" w:cs="Arial"/>
          <w:sz w:val="22"/>
          <w:szCs w:val="22"/>
        </w:rPr>
        <w:t xml:space="preserve"> The economic burden further </w:t>
      </w:r>
      <w:r w:rsidRPr="00964CBA">
        <w:rPr>
          <w:rFonts w:ascii="Arial" w:hAnsi="Arial" w:cs="Arial"/>
          <w:sz w:val="22"/>
          <w:szCs w:val="22"/>
        </w:rPr>
        <w:t>highlights</w:t>
      </w:r>
      <w:r w:rsidR="0082675A" w:rsidRPr="00964CBA">
        <w:rPr>
          <w:rFonts w:ascii="Arial" w:hAnsi="Arial" w:cs="Arial"/>
          <w:sz w:val="22"/>
          <w:szCs w:val="22"/>
        </w:rPr>
        <w:t xml:space="preserve"> the need for stable care; the cost of </w:t>
      </w:r>
      <w:r w:rsidR="00767C90" w:rsidRPr="00964CBA">
        <w:rPr>
          <w:rFonts w:ascii="Arial" w:hAnsi="Arial" w:cs="Arial"/>
          <w:sz w:val="22"/>
          <w:szCs w:val="22"/>
        </w:rPr>
        <w:t>SCZ</w:t>
      </w:r>
      <w:r w:rsidR="0082675A" w:rsidRPr="00964CBA">
        <w:rPr>
          <w:rFonts w:ascii="Arial" w:hAnsi="Arial" w:cs="Arial"/>
          <w:sz w:val="22"/>
          <w:szCs w:val="22"/>
        </w:rPr>
        <w:t xml:space="preserve"> in the U.S. more than doubled from 2013 to 2019, reaching $343.2 billion </w:t>
      </w:r>
      <w:r w:rsidR="0082675A" w:rsidRPr="008254E6">
        <w:rPr>
          <w:rFonts w:ascii="Arial" w:hAnsi="Arial" w:cs="Arial"/>
          <w:sz w:val="22"/>
          <w:szCs w:val="22"/>
        </w:rPr>
        <w:t xml:space="preserve">(Kadakia </w:t>
      </w:r>
      <w:r w:rsidR="0082675A" w:rsidRPr="008254E6">
        <w:rPr>
          <w:rFonts w:ascii="Arial" w:hAnsi="Arial" w:cs="Arial"/>
          <w:i/>
          <w:iCs/>
          <w:sz w:val="22"/>
          <w:szCs w:val="22"/>
        </w:rPr>
        <w:t>et al.,</w:t>
      </w:r>
      <w:r w:rsidR="0082675A" w:rsidRPr="008254E6">
        <w:rPr>
          <w:rFonts w:ascii="Arial" w:hAnsi="Arial" w:cs="Arial"/>
          <w:sz w:val="22"/>
          <w:szCs w:val="22"/>
        </w:rPr>
        <w:t xml:space="preserve"> 2022).</w:t>
      </w:r>
      <w:r w:rsidR="00D466FB" w:rsidRPr="00964CBA">
        <w:rPr>
          <w:rFonts w:ascii="Arial" w:hAnsi="Arial" w:cs="Arial"/>
          <w:sz w:val="22"/>
          <w:szCs w:val="22"/>
        </w:rPr>
        <w:t xml:space="preserve"> </w:t>
      </w:r>
      <w:r w:rsidR="0082675A" w:rsidRPr="00964CBA">
        <w:rPr>
          <w:rFonts w:ascii="Arial" w:hAnsi="Arial" w:cs="Arial"/>
          <w:sz w:val="22"/>
          <w:szCs w:val="22"/>
        </w:rPr>
        <w:t xml:space="preserve">Although the Mental Health Parity and Addiction Equity Act 2008, reinforced by the Affordable Care Act </w:t>
      </w:r>
      <w:r w:rsidR="0082675A" w:rsidRPr="00B91FA6">
        <w:rPr>
          <w:rFonts w:ascii="Arial" w:hAnsi="Arial" w:cs="Arial"/>
          <w:sz w:val="22"/>
          <w:szCs w:val="22"/>
        </w:rPr>
        <w:t xml:space="preserve">2010 </w:t>
      </w:r>
      <w:r w:rsidR="002B4CFE" w:rsidRPr="00B91FA6">
        <w:rPr>
          <w:rFonts w:ascii="Arial" w:hAnsi="Arial" w:cs="Arial"/>
          <w:sz w:val="22"/>
          <w:szCs w:val="22"/>
        </w:rPr>
        <w:t>(Federal Register, 2023),</w:t>
      </w:r>
      <w:r w:rsidR="002B4CFE" w:rsidRPr="00964CBA">
        <w:rPr>
          <w:rFonts w:ascii="Arial" w:hAnsi="Arial" w:cs="Arial"/>
          <w:sz w:val="22"/>
          <w:szCs w:val="22"/>
        </w:rPr>
        <w:t xml:space="preserve"> mandates</w:t>
      </w:r>
      <w:r w:rsidR="0082675A" w:rsidRPr="00964CBA">
        <w:rPr>
          <w:rFonts w:ascii="Arial" w:hAnsi="Arial" w:cs="Arial"/>
          <w:sz w:val="22"/>
          <w:szCs w:val="22"/>
        </w:rPr>
        <w:t xml:space="preserve"> equal coverage for mental health, enforcement gaps and coverage limitations, especially in Medicare and short-term plans, continue to restrict access. Some states have introduced stronger parity laws, but national inconsistencies </w:t>
      </w:r>
      <w:r w:rsidR="0082675A" w:rsidRPr="00515122">
        <w:rPr>
          <w:rFonts w:ascii="Arial" w:hAnsi="Arial" w:cs="Arial"/>
          <w:sz w:val="22"/>
          <w:szCs w:val="22"/>
        </w:rPr>
        <w:t>persist (The Council of State Governments, 2023).</w:t>
      </w:r>
    </w:p>
    <w:p w14:paraId="478DE519" w14:textId="238EB08A" w:rsidR="00922DEC" w:rsidRPr="00964CBA" w:rsidRDefault="00CB60C5" w:rsidP="007C5469">
      <w:pPr>
        <w:pStyle w:val="NormalWeb"/>
        <w:spacing w:line="360" w:lineRule="auto"/>
        <w:jc w:val="both"/>
        <w:rPr>
          <w:rStyle w:val="normaltextrun"/>
          <w:rFonts w:ascii="Arial" w:hAnsi="Arial" w:cs="Arial"/>
          <w:sz w:val="22"/>
          <w:szCs w:val="22"/>
        </w:rPr>
      </w:pPr>
      <w:r w:rsidRPr="00964CBA">
        <w:rPr>
          <w:rFonts w:ascii="Arial" w:hAnsi="Arial" w:cs="Arial"/>
          <w:sz w:val="22"/>
          <w:szCs w:val="22"/>
        </w:rPr>
        <w:t xml:space="preserve">Despite </w:t>
      </w:r>
      <w:r w:rsidR="0058521B" w:rsidRPr="00964CBA">
        <w:rPr>
          <w:rFonts w:ascii="Arial" w:hAnsi="Arial" w:cs="Arial"/>
          <w:sz w:val="22"/>
          <w:szCs w:val="22"/>
        </w:rPr>
        <w:t>introducing</w:t>
      </w:r>
      <w:r w:rsidRPr="00964CBA">
        <w:rPr>
          <w:rFonts w:ascii="Arial" w:hAnsi="Arial" w:cs="Arial"/>
          <w:sz w:val="22"/>
          <w:szCs w:val="22"/>
        </w:rPr>
        <w:t xml:space="preserve"> the National Mental Health Policy in </w:t>
      </w:r>
      <w:r w:rsidRPr="007F7A8A">
        <w:rPr>
          <w:rFonts w:ascii="Arial" w:hAnsi="Arial" w:cs="Arial"/>
          <w:sz w:val="22"/>
          <w:szCs w:val="22"/>
        </w:rPr>
        <w:t>2014</w:t>
      </w:r>
      <w:r w:rsidR="0058521B" w:rsidRPr="007F7A8A">
        <w:rPr>
          <w:rFonts w:ascii="Arial" w:hAnsi="Arial" w:cs="Arial"/>
          <w:sz w:val="22"/>
          <w:szCs w:val="22"/>
        </w:rPr>
        <w:t xml:space="preserve"> (Gupta and Sagar, 2021)</w:t>
      </w:r>
      <w:r w:rsidRPr="007F7A8A">
        <w:rPr>
          <w:rFonts w:ascii="Arial" w:hAnsi="Arial" w:cs="Arial"/>
          <w:sz w:val="22"/>
          <w:szCs w:val="22"/>
        </w:rPr>
        <w:t xml:space="preserve"> and</w:t>
      </w:r>
      <w:r w:rsidRPr="00964CBA">
        <w:rPr>
          <w:rFonts w:ascii="Arial" w:hAnsi="Arial" w:cs="Arial"/>
          <w:sz w:val="22"/>
          <w:szCs w:val="22"/>
        </w:rPr>
        <w:t xml:space="preserve"> the Mental Healthcare Act </w:t>
      </w:r>
      <w:r w:rsidRPr="00363285">
        <w:rPr>
          <w:rFonts w:ascii="Arial" w:hAnsi="Arial" w:cs="Arial"/>
          <w:sz w:val="22"/>
          <w:szCs w:val="22"/>
        </w:rPr>
        <w:t>2017</w:t>
      </w:r>
      <w:r w:rsidR="0058521B" w:rsidRPr="00363285">
        <w:rPr>
          <w:rFonts w:ascii="Arial" w:hAnsi="Arial" w:cs="Arial"/>
          <w:sz w:val="22"/>
          <w:szCs w:val="22"/>
        </w:rPr>
        <w:t xml:space="preserve"> (Government of India, 2017)</w:t>
      </w:r>
      <w:r w:rsidRPr="00363285">
        <w:rPr>
          <w:rFonts w:ascii="Arial" w:hAnsi="Arial" w:cs="Arial"/>
          <w:sz w:val="22"/>
          <w:szCs w:val="22"/>
        </w:rPr>
        <w:t>,</w:t>
      </w:r>
      <w:r w:rsidRPr="00964CBA">
        <w:rPr>
          <w:rFonts w:ascii="Arial" w:hAnsi="Arial" w:cs="Arial"/>
          <w:sz w:val="22"/>
          <w:szCs w:val="22"/>
        </w:rPr>
        <w:t xml:space="preserve"> which advocates for equitable, integrated care, service access in India remains uneven </w:t>
      </w:r>
      <w:r w:rsidRPr="00F9781C">
        <w:rPr>
          <w:rFonts w:ascii="Arial" w:hAnsi="Arial" w:cs="Arial"/>
          <w:sz w:val="22"/>
          <w:szCs w:val="22"/>
        </w:rPr>
        <w:t>(Mahapatra and Seshadri, 2023).</w:t>
      </w:r>
      <w:r w:rsidRPr="00964CBA">
        <w:rPr>
          <w:rFonts w:ascii="Arial" w:hAnsi="Arial" w:cs="Arial"/>
          <w:sz w:val="22"/>
          <w:szCs w:val="22"/>
        </w:rPr>
        <w:t xml:space="preserve"> While the policy promotes community outreach and increased funding, rural populations still face delayed treatment and reliance on non-medical </w:t>
      </w:r>
      <w:r w:rsidRPr="005F5CFF">
        <w:rPr>
          <w:rFonts w:ascii="Arial" w:hAnsi="Arial" w:cs="Arial"/>
          <w:sz w:val="22"/>
          <w:szCs w:val="22"/>
        </w:rPr>
        <w:t xml:space="preserve">pathways (Lukose </w:t>
      </w:r>
      <w:r w:rsidRPr="005F5CFF">
        <w:rPr>
          <w:rFonts w:ascii="Arial" w:hAnsi="Arial" w:cs="Arial"/>
          <w:i/>
          <w:iCs/>
          <w:sz w:val="22"/>
          <w:szCs w:val="22"/>
        </w:rPr>
        <w:t>et al.,</w:t>
      </w:r>
      <w:r w:rsidRPr="005F5CFF">
        <w:rPr>
          <w:rFonts w:ascii="Arial" w:hAnsi="Arial" w:cs="Arial"/>
          <w:sz w:val="22"/>
          <w:szCs w:val="22"/>
        </w:rPr>
        <w:t xml:space="preserve"> 2021). Gupta</w:t>
      </w:r>
      <w:r w:rsidRPr="00964CBA">
        <w:rPr>
          <w:rFonts w:ascii="Arial" w:hAnsi="Arial" w:cs="Arial"/>
          <w:sz w:val="22"/>
          <w:szCs w:val="22"/>
        </w:rPr>
        <w:t xml:space="preserve"> </w:t>
      </w:r>
      <w:r w:rsidRPr="007F7A8A">
        <w:rPr>
          <w:rFonts w:ascii="Arial" w:hAnsi="Arial" w:cs="Arial"/>
          <w:sz w:val="22"/>
          <w:szCs w:val="22"/>
        </w:rPr>
        <w:t>(2020) further</w:t>
      </w:r>
      <w:r w:rsidRPr="00964CBA">
        <w:rPr>
          <w:rFonts w:ascii="Arial" w:hAnsi="Arial" w:cs="Arial"/>
          <w:sz w:val="22"/>
          <w:szCs w:val="22"/>
        </w:rPr>
        <w:t xml:space="preserve"> notes that shortages in public infrastructure push many toward private, out-of-pocket care, suggesting a gap between policy intention and real-world </w:t>
      </w:r>
      <w:r w:rsidR="00B522D3" w:rsidRPr="00964CBA">
        <w:rPr>
          <w:rFonts w:ascii="Arial" w:hAnsi="Arial" w:cs="Arial"/>
          <w:sz w:val="22"/>
          <w:szCs w:val="22"/>
        </w:rPr>
        <w:t>delivery.</w:t>
      </w:r>
    </w:p>
    <w:p w14:paraId="53CBBDBC" w14:textId="372FF170" w:rsidR="00772541" w:rsidRPr="00F27F46" w:rsidRDefault="00FA2A85" w:rsidP="00CD25E3">
      <w:pPr>
        <w:pStyle w:val="Heading2"/>
        <w:rPr>
          <w:rStyle w:val="normaltextrun"/>
          <w:b w:val="0"/>
          <w:bCs w:val="0"/>
          <w:i w:val="0"/>
          <w:iCs w:val="0"/>
        </w:rPr>
      </w:pPr>
      <w:bookmarkStart w:id="18" w:name="_Toc204981487"/>
      <w:r w:rsidRPr="00F27F46">
        <w:rPr>
          <w:rStyle w:val="normaltextrun"/>
        </w:rPr>
        <w:t>2.5 National/Local UK Context</w:t>
      </w:r>
      <w:bookmarkEnd w:id="18"/>
      <w:r w:rsidRPr="00F27F46">
        <w:rPr>
          <w:rStyle w:val="normaltextrun"/>
        </w:rPr>
        <w:t xml:space="preserve"> </w:t>
      </w:r>
      <w:r w:rsidR="00234B4F" w:rsidRPr="00F27F46">
        <w:rPr>
          <w:rStyle w:val="normaltextrun"/>
        </w:rPr>
        <w:t xml:space="preserve"> </w:t>
      </w:r>
    </w:p>
    <w:p w14:paraId="1D426395" w14:textId="448F85E1" w:rsidR="00E87863" w:rsidRPr="00964CBA" w:rsidRDefault="009F4A28" w:rsidP="007C5469">
      <w:pPr>
        <w:pStyle w:val="NormalWeb"/>
        <w:spacing w:line="360" w:lineRule="auto"/>
        <w:jc w:val="both"/>
        <w:rPr>
          <w:rFonts w:ascii="Arial" w:hAnsi="Arial" w:cs="Arial"/>
          <w:sz w:val="22"/>
          <w:szCs w:val="22"/>
        </w:rPr>
      </w:pPr>
      <w:r w:rsidRPr="00964CBA">
        <w:rPr>
          <w:rFonts w:ascii="Arial" w:hAnsi="Arial" w:cs="Arial"/>
          <w:sz w:val="22"/>
          <w:szCs w:val="22"/>
        </w:rPr>
        <w:t>S</w:t>
      </w:r>
      <w:r w:rsidR="008C342E" w:rsidRPr="00964CBA">
        <w:rPr>
          <w:rFonts w:ascii="Arial" w:hAnsi="Arial" w:cs="Arial"/>
          <w:sz w:val="22"/>
          <w:szCs w:val="22"/>
        </w:rPr>
        <w:t>CZ</w:t>
      </w:r>
      <w:r w:rsidRPr="00964CBA">
        <w:rPr>
          <w:rFonts w:ascii="Arial" w:hAnsi="Arial" w:cs="Arial"/>
          <w:sz w:val="22"/>
          <w:szCs w:val="22"/>
        </w:rPr>
        <w:t xml:space="preserve"> affects approximately 1% of the UK population and presents with positive, negative, and cognitive </w:t>
      </w:r>
      <w:r w:rsidRPr="00966F13">
        <w:rPr>
          <w:rFonts w:ascii="Arial" w:hAnsi="Arial" w:cs="Arial"/>
          <w:sz w:val="22"/>
          <w:szCs w:val="22"/>
        </w:rPr>
        <w:t xml:space="preserve">symptoms (Hany </w:t>
      </w:r>
      <w:r w:rsidRPr="00966F13">
        <w:rPr>
          <w:rFonts w:ascii="Arial" w:hAnsi="Arial" w:cs="Arial"/>
          <w:i/>
          <w:iCs/>
          <w:sz w:val="22"/>
          <w:szCs w:val="22"/>
        </w:rPr>
        <w:t>et al.,</w:t>
      </w:r>
      <w:r w:rsidRPr="00966F13">
        <w:rPr>
          <w:rFonts w:ascii="Arial" w:hAnsi="Arial" w:cs="Arial"/>
          <w:sz w:val="22"/>
          <w:szCs w:val="22"/>
        </w:rPr>
        <w:t xml:space="preserve"> 2024</w:t>
      </w:r>
      <w:r w:rsidRPr="009B6DD8">
        <w:rPr>
          <w:rFonts w:ascii="Arial" w:hAnsi="Arial" w:cs="Arial"/>
          <w:sz w:val="22"/>
          <w:szCs w:val="22"/>
        </w:rPr>
        <w:t>; Stępnicki, Kondej &amp; Kaczor, 2018). National</w:t>
      </w:r>
      <w:r w:rsidRPr="00964CBA">
        <w:rPr>
          <w:rFonts w:ascii="Arial" w:hAnsi="Arial" w:cs="Arial"/>
          <w:sz w:val="22"/>
          <w:szCs w:val="22"/>
        </w:rPr>
        <w:t xml:space="preserve"> care approaches combine pharmacological and psychosocial interventions within a patient-centred framework </w:t>
      </w:r>
      <w:r w:rsidRPr="00354388">
        <w:rPr>
          <w:rFonts w:ascii="Arial" w:hAnsi="Arial" w:cs="Arial"/>
          <w:sz w:val="22"/>
          <w:szCs w:val="22"/>
        </w:rPr>
        <w:t xml:space="preserve">(Barnes </w:t>
      </w:r>
      <w:r w:rsidRPr="00354388">
        <w:rPr>
          <w:rFonts w:ascii="Arial" w:hAnsi="Arial" w:cs="Arial"/>
          <w:i/>
          <w:iCs/>
          <w:sz w:val="22"/>
          <w:szCs w:val="22"/>
        </w:rPr>
        <w:t>et al.,</w:t>
      </w:r>
      <w:r w:rsidRPr="00354388">
        <w:rPr>
          <w:rFonts w:ascii="Arial" w:hAnsi="Arial" w:cs="Arial"/>
          <w:sz w:val="22"/>
          <w:szCs w:val="22"/>
        </w:rPr>
        <w:t xml:space="preserve"> </w:t>
      </w:r>
      <w:r w:rsidRPr="00BA5642">
        <w:rPr>
          <w:rFonts w:ascii="Arial" w:hAnsi="Arial" w:cs="Arial"/>
          <w:sz w:val="22"/>
          <w:szCs w:val="22"/>
        </w:rPr>
        <w:t>2019; Bellack, 2001</w:t>
      </w:r>
      <w:r w:rsidRPr="00A54C6C">
        <w:rPr>
          <w:rFonts w:ascii="Arial" w:hAnsi="Arial" w:cs="Arial"/>
          <w:sz w:val="22"/>
          <w:szCs w:val="22"/>
        </w:rPr>
        <w:t>; Harvey, 2021).</w:t>
      </w:r>
      <w:r w:rsidRPr="00964CBA">
        <w:rPr>
          <w:rFonts w:ascii="Arial" w:hAnsi="Arial" w:cs="Arial"/>
          <w:sz w:val="22"/>
          <w:szCs w:val="22"/>
        </w:rPr>
        <w:t xml:space="preserve"> The NHS ensures universal access, while NICE provides standardised, evidence-based guidelines across England and Wales </w:t>
      </w:r>
      <w:r w:rsidRPr="00A540FE">
        <w:rPr>
          <w:rFonts w:ascii="Arial" w:hAnsi="Arial" w:cs="Arial"/>
          <w:sz w:val="22"/>
          <w:szCs w:val="22"/>
        </w:rPr>
        <w:t>(NICE, 2023).</w:t>
      </w:r>
      <w:r w:rsidRPr="00964CBA">
        <w:rPr>
          <w:rFonts w:ascii="Arial" w:hAnsi="Arial" w:cs="Arial"/>
          <w:sz w:val="22"/>
          <w:szCs w:val="22"/>
        </w:rPr>
        <w:t xml:space="preserve"> These are shaped by legal frameworks such as the Mental Health Act </w:t>
      </w:r>
      <w:r w:rsidRPr="00DE0127">
        <w:rPr>
          <w:rFonts w:ascii="Arial" w:hAnsi="Arial" w:cs="Arial"/>
          <w:sz w:val="22"/>
          <w:szCs w:val="22"/>
        </w:rPr>
        <w:t>1983,</w:t>
      </w:r>
      <w:r w:rsidR="00944ABF">
        <w:rPr>
          <w:rFonts w:ascii="Arial" w:hAnsi="Arial" w:cs="Arial"/>
          <w:sz w:val="22"/>
          <w:szCs w:val="22"/>
        </w:rPr>
        <w:t xml:space="preserve"> </w:t>
      </w:r>
      <w:r w:rsidRPr="00DE0127">
        <w:rPr>
          <w:rFonts w:ascii="Arial" w:hAnsi="Arial" w:cs="Arial"/>
          <w:sz w:val="22"/>
          <w:szCs w:val="22"/>
        </w:rPr>
        <w:t>which</w:t>
      </w:r>
      <w:r w:rsidRPr="00964CBA">
        <w:rPr>
          <w:rFonts w:ascii="Arial" w:hAnsi="Arial" w:cs="Arial"/>
          <w:sz w:val="22"/>
          <w:szCs w:val="22"/>
        </w:rPr>
        <w:t xml:space="preserve"> regulates compulsory treatmen</w:t>
      </w:r>
      <w:r w:rsidRPr="00FD6520">
        <w:rPr>
          <w:rFonts w:ascii="Arial" w:hAnsi="Arial" w:cs="Arial"/>
          <w:sz w:val="22"/>
          <w:szCs w:val="22"/>
        </w:rPr>
        <w:t>t (Department of Health, 2015);</w:t>
      </w:r>
      <w:r w:rsidRPr="00964CBA">
        <w:rPr>
          <w:rFonts w:ascii="Arial" w:hAnsi="Arial" w:cs="Arial"/>
          <w:sz w:val="22"/>
          <w:szCs w:val="22"/>
        </w:rPr>
        <w:t xml:space="preserve"> the Equality Act 2010, </w:t>
      </w:r>
      <w:r w:rsidRPr="00B07246">
        <w:rPr>
          <w:rFonts w:ascii="Arial" w:hAnsi="Arial" w:cs="Arial"/>
          <w:sz w:val="22"/>
          <w:szCs w:val="22"/>
        </w:rPr>
        <w:t xml:space="preserve">which protects against discrimination (ACAS, 2025); and the Mental Capacity Act 2005, </w:t>
      </w:r>
      <w:r w:rsidRPr="002116E0">
        <w:rPr>
          <w:rFonts w:ascii="Arial" w:hAnsi="Arial" w:cs="Arial"/>
          <w:sz w:val="22"/>
          <w:szCs w:val="22"/>
        </w:rPr>
        <w:t>which governs decision-making for those lacking capacity (NHS Health Research Authority, 2021). Yet, real-world applications remain inconsistent (Ince, Haddock and Tai, 2015).</w:t>
      </w:r>
    </w:p>
    <w:p w14:paraId="2C85C1BD" w14:textId="43CC3A7F" w:rsidR="009F4A28" w:rsidRDefault="009F4A28" w:rsidP="007C5469">
      <w:pPr>
        <w:pStyle w:val="NormalWeb"/>
        <w:spacing w:line="360" w:lineRule="auto"/>
        <w:jc w:val="both"/>
        <w:rPr>
          <w:rFonts w:ascii="Arial" w:hAnsi="Arial" w:cs="Arial"/>
          <w:sz w:val="22"/>
          <w:szCs w:val="22"/>
        </w:rPr>
      </w:pPr>
      <w:r w:rsidRPr="00964CBA">
        <w:rPr>
          <w:rFonts w:ascii="Arial" w:hAnsi="Arial" w:cs="Arial"/>
          <w:sz w:val="22"/>
          <w:szCs w:val="22"/>
        </w:rPr>
        <w:t>Stigma remains a significant barrier, reinforced by media portrayals linking</w:t>
      </w:r>
      <w:r w:rsidR="008C342E" w:rsidRPr="00964CBA">
        <w:rPr>
          <w:rFonts w:ascii="Arial" w:hAnsi="Arial" w:cs="Arial"/>
          <w:sz w:val="22"/>
          <w:szCs w:val="22"/>
        </w:rPr>
        <w:t xml:space="preserve"> SCZ</w:t>
      </w:r>
      <w:r w:rsidRPr="00964CBA">
        <w:rPr>
          <w:rFonts w:ascii="Arial" w:hAnsi="Arial" w:cs="Arial"/>
          <w:sz w:val="22"/>
          <w:szCs w:val="22"/>
        </w:rPr>
        <w:t xml:space="preserve"> with violence </w:t>
      </w:r>
      <w:r w:rsidRPr="002116E0">
        <w:rPr>
          <w:rFonts w:ascii="Arial" w:hAnsi="Arial" w:cs="Arial"/>
          <w:sz w:val="22"/>
          <w:szCs w:val="22"/>
        </w:rPr>
        <w:t>(Bowen, Kinderman and Cooke, 2019).</w:t>
      </w:r>
      <w:r w:rsidRPr="00964CBA">
        <w:rPr>
          <w:rFonts w:ascii="Arial" w:hAnsi="Arial" w:cs="Arial"/>
          <w:sz w:val="22"/>
          <w:szCs w:val="22"/>
        </w:rPr>
        <w:t xml:space="preserve"> Although psychoeducation and assertiveness training impact internalised stigma, evidence of their long-term effectiveness is limited, and stigma </w:t>
      </w:r>
      <w:r w:rsidRPr="007F48CD">
        <w:rPr>
          <w:rFonts w:ascii="Arial" w:hAnsi="Arial" w:cs="Arial"/>
          <w:sz w:val="22"/>
          <w:szCs w:val="22"/>
        </w:rPr>
        <w:t xml:space="preserve">among professionals continues to affect care quality (Luo </w:t>
      </w:r>
      <w:r w:rsidRPr="007F48CD">
        <w:rPr>
          <w:rFonts w:ascii="Arial" w:hAnsi="Arial" w:cs="Arial"/>
          <w:i/>
          <w:iCs/>
          <w:sz w:val="22"/>
          <w:szCs w:val="22"/>
        </w:rPr>
        <w:t>et al.,</w:t>
      </w:r>
      <w:r w:rsidRPr="007F48CD">
        <w:rPr>
          <w:rFonts w:ascii="Arial" w:hAnsi="Arial" w:cs="Arial"/>
          <w:sz w:val="22"/>
          <w:szCs w:val="22"/>
        </w:rPr>
        <w:t xml:space="preserve"> 2022; Wood </w:t>
      </w:r>
      <w:r w:rsidRPr="007F48CD">
        <w:rPr>
          <w:rFonts w:ascii="Arial" w:hAnsi="Arial" w:cs="Arial"/>
          <w:i/>
          <w:iCs/>
          <w:sz w:val="22"/>
          <w:szCs w:val="22"/>
        </w:rPr>
        <w:t>et al</w:t>
      </w:r>
      <w:r w:rsidRPr="007F48CD">
        <w:rPr>
          <w:rFonts w:ascii="Arial" w:hAnsi="Arial" w:cs="Arial"/>
          <w:sz w:val="22"/>
          <w:szCs w:val="22"/>
        </w:rPr>
        <w:t xml:space="preserve">., 2016; Wigand </w:t>
      </w:r>
      <w:r w:rsidRPr="007F48CD">
        <w:rPr>
          <w:rFonts w:ascii="Arial" w:hAnsi="Arial" w:cs="Arial"/>
          <w:i/>
          <w:iCs/>
          <w:sz w:val="22"/>
          <w:szCs w:val="22"/>
        </w:rPr>
        <w:t>et al.,</w:t>
      </w:r>
      <w:r w:rsidRPr="007F48CD">
        <w:rPr>
          <w:rFonts w:ascii="Arial" w:hAnsi="Arial" w:cs="Arial"/>
          <w:sz w:val="22"/>
          <w:szCs w:val="22"/>
        </w:rPr>
        <w:t xml:space="preserve"> 2020).</w:t>
      </w:r>
      <w:r w:rsidRPr="00964CBA">
        <w:rPr>
          <w:rFonts w:ascii="Arial" w:hAnsi="Arial" w:cs="Arial"/>
          <w:sz w:val="22"/>
          <w:szCs w:val="22"/>
        </w:rPr>
        <w:t xml:space="preserve"> Despite policy efforts toward equity, ethnic disparities persist: BAME individuals are more likely to be diagnosed and less likely to receive evidence-based therapies such as CBT and </w:t>
      </w:r>
      <w:r w:rsidRPr="00C929B3">
        <w:rPr>
          <w:rFonts w:ascii="Arial" w:hAnsi="Arial" w:cs="Arial"/>
          <w:sz w:val="22"/>
          <w:szCs w:val="22"/>
        </w:rPr>
        <w:t xml:space="preserve">FI (Halvorsrud </w:t>
      </w:r>
      <w:r w:rsidRPr="00C929B3">
        <w:rPr>
          <w:rFonts w:ascii="Arial" w:hAnsi="Arial" w:cs="Arial"/>
          <w:i/>
          <w:iCs/>
          <w:sz w:val="22"/>
          <w:szCs w:val="22"/>
        </w:rPr>
        <w:t xml:space="preserve">et </w:t>
      </w:r>
      <w:r w:rsidRPr="00D31B45">
        <w:rPr>
          <w:rFonts w:ascii="Arial" w:hAnsi="Arial" w:cs="Arial"/>
          <w:i/>
          <w:iCs/>
          <w:sz w:val="22"/>
          <w:szCs w:val="22"/>
        </w:rPr>
        <w:t>al.,</w:t>
      </w:r>
      <w:r w:rsidRPr="00D31B45">
        <w:rPr>
          <w:rFonts w:ascii="Arial" w:hAnsi="Arial" w:cs="Arial"/>
          <w:sz w:val="22"/>
          <w:szCs w:val="22"/>
        </w:rPr>
        <w:t xml:space="preserve"> 201</w:t>
      </w:r>
      <w:r w:rsidR="00D31B45" w:rsidRPr="00D31B45">
        <w:rPr>
          <w:rFonts w:ascii="Arial" w:hAnsi="Arial" w:cs="Arial"/>
          <w:sz w:val="22"/>
          <w:szCs w:val="22"/>
        </w:rPr>
        <w:t>8</w:t>
      </w:r>
      <w:r w:rsidRPr="00D31B45">
        <w:rPr>
          <w:rFonts w:ascii="Arial" w:hAnsi="Arial" w:cs="Arial"/>
          <w:sz w:val="22"/>
          <w:szCs w:val="22"/>
        </w:rPr>
        <w:t>; Das</w:t>
      </w:r>
      <w:r w:rsidRPr="00C13682">
        <w:rPr>
          <w:rFonts w:ascii="Arial" w:hAnsi="Arial" w:cs="Arial"/>
          <w:sz w:val="22"/>
          <w:szCs w:val="22"/>
        </w:rPr>
        <w:t>-Munshi, Bhugra &amp; Crawford, 2018). These</w:t>
      </w:r>
      <w:r w:rsidRPr="00964CBA">
        <w:rPr>
          <w:rFonts w:ascii="Arial" w:hAnsi="Arial" w:cs="Arial"/>
          <w:sz w:val="22"/>
          <w:szCs w:val="22"/>
        </w:rPr>
        <w:t xml:space="preserve"> </w:t>
      </w:r>
      <w:r w:rsidRPr="00964CBA">
        <w:rPr>
          <w:rFonts w:ascii="Arial" w:hAnsi="Arial" w:cs="Arial"/>
          <w:sz w:val="22"/>
          <w:szCs w:val="22"/>
        </w:rPr>
        <w:lastRenderedPageBreak/>
        <w:t xml:space="preserve">inequities are particularly evident across local authorities, highlighting persistent systemic </w:t>
      </w:r>
      <w:r w:rsidRPr="005E5851">
        <w:rPr>
          <w:rFonts w:ascii="Arial" w:hAnsi="Arial" w:cs="Arial"/>
          <w:sz w:val="22"/>
          <w:szCs w:val="22"/>
        </w:rPr>
        <w:t>gaps</w:t>
      </w:r>
      <w:r w:rsidR="00E5608D" w:rsidRPr="005E5851">
        <w:rPr>
          <w:rFonts w:ascii="Arial" w:hAnsi="Arial" w:cs="Arial"/>
          <w:sz w:val="22"/>
          <w:szCs w:val="22"/>
        </w:rPr>
        <w:t xml:space="preserve"> (Lowther-Payne </w:t>
      </w:r>
      <w:r w:rsidR="00E5608D" w:rsidRPr="005E5851">
        <w:rPr>
          <w:rFonts w:ascii="Arial" w:hAnsi="Arial" w:cs="Arial"/>
          <w:i/>
          <w:iCs/>
          <w:sz w:val="22"/>
          <w:szCs w:val="22"/>
        </w:rPr>
        <w:t>et al.,</w:t>
      </w:r>
      <w:r w:rsidR="00E5608D" w:rsidRPr="005E5851">
        <w:rPr>
          <w:rFonts w:ascii="Arial" w:hAnsi="Arial" w:cs="Arial"/>
          <w:sz w:val="22"/>
          <w:szCs w:val="22"/>
        </w:rPr>
        <w:t xml:space="preserve"> 2023)</w:t>
      </w:r>
      <w:r w:rsidRPr="005E5851">
        <w:rPr>
          <w:rFonts w:ascii="Arial" w:hAnsi="Arial" w:cs="Arial"/>
          <w:sz w:val="22"/>
          <w:szCs w:val="22"/>
        </w:rPr>
        <w:t>.</w:t>
      </w:r>
    </w:p>
    <w:p w14:paraId="663D4AB2" w14:textId="77777777" w:rsidR="00801D5C" w:rsidRPr="00801D5C" w:rsidRDefault="00801D5C" w:rsidP="00801D5C">
      <w:pPr>
        <w:pStyle w:val="NormalWeb"/>
        <w:spacing w:line="360" w:lineRule="auto"/>
        <w:jc w:val="both"/>
        <w:rPr>
          <w:rFonts w:ascii="Arial" w:hAnsi="Arial" w:cs="Arial"/>
          <w:sz w:val="22"/>
          <w:szCs w:val="22"/>
        </w:rPr>
      </w:pPr>
      <w:r w:rsidRPr="00801D5C">
        <w:rPr>
          <w:rFonts w:ascii="Arial" w:hAnsi="Arial" w:cs="Arial"/>
          <w:sz w:val="22"/>
          <w:szCs w:val="22"/>
        </w:rPr>
        <w:t xml:space="preserve">Service delivery varies regionally, particularly in EIP provision. England experiences inconsistent access, while Scotland, Wales, and Northern Ireland operate under separate NHS and legal frameworks due to </w:t>
      </w:r>
      <w:r w:rsidRPr="008B3C0E">
        <w:rPr>
          <w:rFonts w:ascii="Arial" w:hAnsi="Arial" w:cs="Arial"/>
          <w:sz w:val="22"/>
          <w:szCs w:val="22"/>
        </w:rPr>
        <w:t xml:space="preserve">devolution (Stain </w:t>
      </w:r>
      <w:r w:rsidRPr="008B3C0E">
        <w:rPr>
          <w:rFonts w:ascii="Arial" w:hAnsi="Arial" w:cs="Arial"/>
          <w:i/>
          <w:iCs/>
          <w:sz w:val="22"/>
          <w:szCs w:val="22"/>
        </w:rPr>
        <w:t>et al.,</w:t>
      </w:r>
      <w:r w:rsidRPr="008B3C0E">
        <w:rPr>
          <w:rFonts w:ascii="Arial" w:hAnsi="Arial" w:cs="Arial"/>
          <w:sz w:val="22"/>
          <w:szCs w:val="22"/>
        </w:rPr>
        <w:t xml:space="preserve"> 2018).</w:t>
      </w:r>
      <w:r w:rsidRPr="00801D5C">
        <w:rPr>
          <w:rFonts w:ascii="Arial" w:hAnsi="Arial" w:cs="Arial"/>
          <w:sz w:val="22"/>
          <w:szCs w:val="22"/>
        </w:rPr>
        <w:t xml:space="preserve"> Scotland and Northern Ireland have enacted distinct mental health legislation, reflecting the divergence in policy </w:t>
      </w:r>
      <w:r w:rsidRPr="00BE211E">
        <w:rPr>
          <w:rFonts w:ascii="Arial" w:hAnsi="Arial" w:cs="Arial"/>
          <w:sz w:val="22"/>
          <w:szCs w:val="22"/>
        </w:rPr>
        <w:t>across the four nations (Shuttleworth and Nicholson, 2020). Scotland's ongoing legislative reviews also include capacity law, underlining the need for country-specific strategies (Gray, 2021). The</w:t>
      </w:r>
      <w:r w:rsidRPr="00801D5C">
        <w:rPr>
          <w:rFonts w:ascii="Arial" w:hAnsi="Arial" w:cs="Arial"/>
          <w:sz w:val="22"/>
          <w:szCs w:val="22"/>
        </w:rPr>
        <w:t xml:space="preserve"> situation reinforces the importance of tailoring interventions to regional governance rather than assuming a uniform UK </w:t>
      </w:r>
      <w:r w:rsidRPr="00386BE4">
        <w:rPr>
          <w:rFonts w:ascii="Arial" w:hAnsi="Arial" w:cs="Arial"/>
          <w:sz w:val="22"/>
          <w:szCs w:val="22"/>
        </w:rPr>
        <w:t>model (Ronaldson and Henderson, 2024).</w:t>
      </w:r>
    </w:p>
    <w:p w14:paraId="58678CD8" w14:textId="77777777" w:rsidR="00801D5C" w:rsidRPr="00801D5C" w:rsidRDefault="00801D5C" w:rsidP="00801D5C">
      <w:pPr>
        <w:pStyle w:val="NormalWeb"/>
        <w:spacing w:line="360" w:lineRule="auto"/>
        <w:jc w:val="both"/>
        <w:rPr>
          <w:rFonts w:ascii="Arial" w:hAnsi="Arial" w:cs="Arial"/>
          <w:sz w:val="22"/>
          <w:szCs w:val="22"/>
        </w:rPr>
      </w:pPr>
      <w:r w:rsidRPr="00801D5C">
        <w:rPr>
          <w:rFonts w:ascii="Arial" w:hAnsi="Arial" w:cs="Arial"/>
          <w:sz w:val="22"/>
          <w:szCs w:val="22"/>
        </w:rPr>
        <w:t xml:space="preserve">Initiatives like Greater Manchester’s mental health reforms demonstrate practical, localised </w:t>
      </w:r>
      <w:r w:rsidRPr="005B73A4">
        <w:rPr>
          <w:rFonts w:ascii="Arial" w:hAnsi="Arial" w:cs="Arial"/>
          <w:sz w:val="22"/>
          <w:szCs w:val="22"/>
        </w:rPr>
        <w:t>approaches (Neale &amp; Kinnair, 2017).</w:t>
      </w:r>
      <w:r w:rsidRPr="00801D5C">
        <w:rPr>
          <w:rFonts w:ascii="Arial" w:hAnsi="Arial" w:cs="Arial"/>
          <w:sz w:val="22"/>
          <w:szCs w:val="22"/>
        </w:rPr>
        <w:t xml:space="preserve"> For example, culturally adapted CBTp pilots in the region improved engagement among BAME service </w:t>
      </w:r>
      <w:r w:rsidRPr="001153DD">
        <w:rPr>
          <w:rFonts w:ascii="Arial" w:hAnsi="Arial" w:cs="Arial"/>
          <w:sz w:val="22"/>
          <w:szCs w:val="22"/>
        </w:rPr>
        <w:t xml:space="preserve">users (Williams </w:t>
      </w:r>
      <w:r w:rsidRPr="001153DD">
        <w:rPr>
          <w:rFonts w:ascii="Arial" w:hAnsi="Arial" w:cs="Arial"/>
          <w:i/>
          <w:iCs/>
          <w:sz w:val="22"/>
          <w:szCs w:val="22"/>
        </w:rPr>
        <w:t xml:space="preserve">et al., </w:t>
      </w:r>
      <w:r w:rsidRPr="001153DD">
        <w:rPr>
          <w:rFonts w:ascii="Arial" w:hAnsi="Arial" w:cs="Arial"/>
          <w:sz w:val="22"/>
          <w:szCs w:val="22"/>
        </w:rPr>
        <w:t>2023). Nevertheless</w:t>
      </w:r>
      <w:r w:rsidRPr="00801D5C">
        <w:rPr>
          <w:rFonts w:ascii="Arial" w:hAnsi="Arial" w:cs="Arial"/>
          <w:sz w:val="22"/>
          <w:szCs w:val="22"/>
        </w:rPr>
        <w:t xml:space="preserve">, resource constraints </w:t>
      </w:r>
      <w:r w:rsidRPr="00065C2C">
        <w:rPr>
          <w:rFonts w:ascii="Arial" w:hAnsi="Arial" w:cs="Arial"/>
          <w:sz w:val="22"/>
          <w:szCs w:val="22"/>
        </w:rPr>
        <w:t xml:space="preserve">continue to limit access to recommended interventions such as CBT and FI (Williams </w:t>
      </w:r>
      <w:r w:rsidRPr="00065C2C">
        <w:rPr>
          <w:rFonts w:ascii="Arial" w:hAnsi="Arial" w:cs="Arial"/>
          <w:i/>
          <w:iCs/>
          <w:sz w:val="22"/>
          <w:szCs w:val="22"/>
        </w:rPr>
        <w:t>et al.,</w:t>
      </w:r>
      <w:r w:rsidRPr="00065C2C">
        <w:rPr>
          <w:rFonts w:ascii="Arial" w:hAnsi="Arial" w:cs="Arial"/>
          <w:sz w:val="22"/>
          <w:szCs w:val="22"/>
        </w:rPr>
        <w:t xml:space="preserve"> 2023; Schleif </w:t>
      </w:r>
      <w:r w:rsidRPr="00065C2C">
        <w:rPr>
          <w:rFonts w:ascii="Arial" w:hAnsi="Arial" w:cs="Arial"/>
          <w:i/>
          <w:iCs/>
          <w:sz w:val="22"/>
          <w:szCs w:val="22"/>
        </w:rPr>
        <w:t>et al</w:t>
      </w:r>
      <w:r w:rsidRPr="00065C2C">
        <w:rPr>
          <w:rFonts w:ascii="Arial" w:hAnsi="Arial" w:cs="Arial"/>
          <w:sz w:val="22"/>
          <w:szCs w:val="22"/>
        </w:rPr>
        <w:t>., 2023). Figure 4 in Appendix 6.2.3, adapted from Adil, Atiq, and Ellahi (2022), illustrates</w:t>
      </w:r>
      <w:r w:rsidRPr="00801D5C">
        <w:rPr>
          <w:rFonts w:ascii="Arial" w:hAnsi="Arial" w:cs="Arial"/>
          <w:sz w:val="22"/>
          <w:szCs w:val="22"/>
        </w:rPr>
        <w:t xml:space="preserve"> visually how stigma, discrimination, and perceptions of violence contribute to access disparities in SCZ care.</w:t>
      </w:r>
    </w:p>
    <w:p w14:paraId="39EFAC78" w14:textId="4C7D4718" w:rsidR="002C6B26" w:rsidRPr="00BE1C64" w:rsidRDefault="009F4A28" w:rsidP="00BE1C64">
      <w:pPr>
        <w:pStyle w:val="NormalWeb"/>
        <w:spacing w:line="360" w:lineRule="auto"/>
        <w:jc w:val="both"/>
        <w:rPr>
          <w:rStyle w:val="normaltextrun"/>
          <w:rFonts w:ascii="Arial" w:hAnsi="Arial" w:cs="Arial"/>
          <w:sz w:val="22"/>
          <w:szCs w:val="22"/>
        </w:rPr>
      </w:pPr>
      <w:r w:rsidRPr="00A24E53">
        <w:rPr>
          <w:rFonts w:ascii="Arial" w:hAnsi="Arial" w:cs="Arial"/>
          <w:sz w:val="22"/>
          <w:szCs w:val="22"/>
        </w:rPr>
        <w:t xml:space="preserve">Policy advocacy remains strong, led by interdisciplinary and service-user-driven collaborations </w:t>
      </w:r>
      <w:r w:rsidRPr="008D5DC4">
        <w:rPr>
          <w:rFonts w:ascii="Arial" w:hAnsi="Arial" w:cs="Arial"/>
          <w:sz w:val="22"/>
          <w:szCs w:val="22"/>
        </w:rPr>
        <w:t>(Suchonova and Kéri, 2024). EIP</w:t>
      </w:r>
      <w:r w:rsidRPr="00964CBA">
        <w:rPr>
          <w:rFonts w:ascii="Arial" w:hAnsi="Arial" w:cs="Arial"/>
          <w:sz w:val="22"/>
          <w:szCs w:val="22"/>
        </w:rPr>
        <w:t xml:space="preserve"> services are vital in reducing treatment delays and promoting functional </w:t>
      </w:r>
      <w:r w:rsidR="00DD4C85" w:rsidRPr="009629C3">
        <w:rPr>
          <w:rFonts w:ascii="Arial" w:hAnsi="Arial" w:cs="Arial"/>
          <w:sz w:val="22"/>
          <w:szCs w:val="22"/>
        </w:rPr>
        <w:t>recovery (</w:t>
      </w:r>
      <w:r w:rsidR="00E26C89" w:rsidRPr="009629C3">
        <w:rPr>
          <w:rFonts w:ascii="Arial" w:hAnsi="Arial" w:cs="Arial"/>
          <w:sz w:val="22"/>
          <w:szCs w:val="22"/>
        </w:rPr>
        <w:t xml:space="preserve">Singh </w:t>
      </w:r>
      <w:r w:rsidR="00E26C89" w:rsidRPr="009629C3">
        <w:rPr>
          <w:rFonts w:ascii="Arial" w:hAnsi="Arial" w:cs="Arial"/>
          <w:i/>
          <w:iCs/>
          <w:sz w:val="22"/>
          <w:szCs w:val="22"/>
        </w:rPr>
        <w:t>et al.,</w:t>
      </w:r>
      <w:r w:rsidR="00E26C89" w:rsidRPr="009629C3">
        <w:rPr>
          <w:rFonts w:ascii="Arial" w:hAnsi="Arial" w:cs="Arial"/>
          <w:sz w:val="22"/>
          <w:szCs w:val="22"/>
        </w:rPr>
        <w:t xml:space="preserve"> 2018; </w:t>
      </w:r>
      <w:r w:rsidR="00DD4C85" w:rsidRPr="00D42504">
        <w:rPr>
          <w:rFonts w:ascii="Arial" w:hAnsi="Arial" w:cs="Arial"/>
          <w:sz w:val="22"/>
          <w:szCs w:val="22"/>
        </w:rPr>
        <w:t xml:space="preserve">Hickling, Dabrowski and Williams, </w:t>
      </w:r>
      <w:r w:rsidR="00E26C89" w:rsidRPr="00D42504">
        <w:rPr>
          <w:rFonts w:ascii="Arial" w:hAnsi="Arial" w:cs="Arial"/>
          <w:sz w:val="22"/>
          <w:szCs w:val="22"/>
        </w:rPr>
        <w:t>2023)</w:t>
      </w:r>
      <w:r w:rsidRPr="00D42504">
        <w:rPr>
          <w:rFonts w:ascii="Arial" w:hAnsi="Arial" w:cs="Arial"/>
          <w:sz w:val="22"/>
          <w:szCs w:val="22"/>
        </w:rPr>
        <w:t>. These</w:t>
      </w:r>
      <w:r w:rsidRPr="00964CBA">
        <w:rPr>
          <w:rFonts w:ascii="Arial" w:hAnsi="Arial" w:cs="Arial"/>
          <w:sz w:val="22"/>
          <w:szCs w:val="22"/>
        </w:rPr>
        <w:t xml:space="preserve"> </w:t>
      </w:r>
      <w:r w:rsidRPr="009A50C4">
        <w:rPr>
          <w:rFonts w:ascii="Arial" w:hAnsi="Arial" w:cs="Arial"/>
          <w:sz w:val="22"/>
          <w:szCs w:val="22"/>
        </w:rPr>
        <w:t xml:space="preserve">services support youth engagement and aim to improve social and occupational functioning </w:t>
      </w:r>
      <w:r w:rsidRPr="00C1173B">
        <w:rPr>
          <w:rFonts w:ascii="Arial" w:hAnsi="Arial" w:cs="Arial"/>
          <w:sz w:val="22"/>
          <w:szCs w:val="22"/>
        </w:rPr>
        <w:t>(Lieberman, Small &amp; Girgis, 2019), though</w:t>
      </w:r>
      <w:r w:rsidRPr="009A50C4">
        <w:rPr>
          <w:rFonts w:ascii="Arial" w:hAnsi="Arial" w:cs="Arial"/>
          <w:sz w:val="22"/>
          <w:szCs w:val="22"/>
        </w:rPr>
        <w:t xml:space="preserve"> funding and access remain variable (Mannarini</w:t>
      </w:r>
      <w:r w:rsidRPr="009A50C4">
        <w:rPr>
          <w:rFonts w:ascii="Arial" w:hAnsi="Arial" w:cs="Arial"/>
          <w:i/>
          <w:iCs/>
          <w:sz w:val="22"/>
          <w:szCs w:val="22"/>
        </w:rPr>
        <w:t xml:space="preserve"> et</w:t>
      </w:r>
      <w:r w:rsidRPr="009A50C4">
        <w:rPr>
          <w:rFonts w:ascii="Arial" w:hAnsi="Arial" w:cs="Arial"/>
          <w:sz w:val="22"/>
          <w:szCs w:val="22"/>
        </w:rPr>
        <w:t xml:space="preserve"> </w:t>
      </w:r>
      <w:r w:rsidRPr="009A50C4">
        <w:rPr>
          <w:rFonts w:ascii="Arial" w:hAnsi="Arial" w:cs="Arial"/>
          <w:i/>
          <w:iCs/>
          <w:sz w:val="22"/>
          <w:szCs w:val="22"/>
        </w:rPr>
        <w:t>al.,</w:t>
      </w:r>
      <w:r w:rsidRPr="009A50C4">
        <w:rPr>
          <w:rFonts w:ascii="Arial" w:hAnsi="Arial" w:cs="Arial"/>
          <w:sz w:val="22"/>
          <w:szCs w:val="22"/>
        </w:rPr>
        <w:t xml:space="preserve"> 2022).</w:t>
      </w:r>
      <w:r w:rsidRPr="00964CBA">
        <w:rPr>
          <w:rFonts w:ascii="Arial" w:hAnsi="Arial" w:cs="Arial"/>
          <w:sz w:val="22"/>
          <w:szCs w:val="22"/>
        </w:rPr>
        <w:t xml:space="preserve"> As the IMPACT framework outlines, recovery extends beyond symptom control to enable individuals to live meaningful </w:t>
      </w:r>
      <w:r w:rsidRPr="0043487E">
        <w:rPr>
          <w:rFonts w:ascii="Arial" w:hAnsi="Arial" w:cs="Arial"/>
          <w:sz w:val="22"/>
          <w:szCs w:val="22"/>
        </w:rPr>
        <w:t xml:space="preserve">lives </w:t>
      </w:r>
      <w:r w:rsidRPr="00C64072">
        <w:rPr>
          <w:rFonts w:ascii="Arial" w:hAnsi="Arial" w:cs="Arial"/>
          <w:sz w:val="22"/>
          <w:szCs w:val="22"/>
        </w:rPr>
        <w:t xml:space="preserve">(IMPACT, 2015). </w:t>
      </w:r>
      <w:r w:rsidRPr="00964CBA">
        <w:rPr>
          <w:rFonts w:ascii="Arial" w:hAnsi="Arial" w:cs="Arial"/>
          <w:sz w:val="22"/>
          <w:szCs w:val="22"/>
        </w:rPr>
        <w:t xml:space="preserve">Vocational </w:t>
      </w:r>
      <w:r w:rsidRPr="00F045AC">
        <w:rPr>
          <w:rFonts w:ascii="Arial" w:hAnsi="Arial" w:cs="Arial"/>
          <w:sz w:val="22"/>
          <w:szCs w:val="22"/>
        </w:rPr>
        <w:t xml:space="preserve">rehabilitation is central to this, restoring independence and countering assumptions of inevitable decline (Mohr </w:t>
      </w:r>
      <w:r w:rsidRPr="00F045AC">
        <w:rPr>
          <w:rFonts w:ascii="Arial" w:hAnsi="Arial" w:cs="Arial"/>
          <w:i/>
          <w:iCs/>
          <w:sz w:val="22"/>
          <w:szCs w:val="22"/>
        </w:rPr>
        <w:t>et al.,</w:t>
      </w:r>
      <w:r w:rsidRPr="00F045AC">
        <w:rPr>
          <w:rFonts w:ascii="Arial" w:hAnsi="Arial" w:cs="Arial"/>
          <w:sz w:val="22"/>
          <w:szCs w:val="22"/>
        </w:rPr>
        <w:t xml:space="preserve"> 2018). The NHS's strategic plans continue prioritising integrated care to</w:t>
      </w:r>
      <w:r w:rsidRPr="00964CBA">
        <w:rPr>
          <w:rFonts w:ascii="Arial" w:hAnsi="Arial" w:cs="Arial"/>
          <w:sz w:val="22"/>
          <w:szCs w:val="22"/>
        </w:rPr>
        <w:t xml:space="preserve"> address rising demand and </w:t>
      </w:r>
      <w:r w:rsidRPr="006433E0">
        <w:rPr>
          <w:rFonts w:ascii="Arial" w:hAnsi="Arial" w:cs="Arial"/>
          <w:sz w:val="22"/>
          <w:szCs w:val="22"/>
        </w:rPr>
        <w:t xml:space="preserve">complexity (Tracy </w:t>
      </w:r>
      <w:r w:rsidRPr="006433E0">
        <w:rPr>
          <w:rFonts w:ascii="Arial" w:hAnsi="Arial" w:cs="Arial"/>
          <w:i/>
          <w:iCs/>
          <w:sz w:val="22"/>
          <w:szCs w:val="22"/>
        </w:rPr>
        <w:t>et al.,</w:t>
      </w:r>
      <w:r w:rsidRPr="006433E0">
        <w:rPr>
          <w:rFonts w:ascii="Arial" w:hAnsi="Arial" w:cs="Arial"/>
          <w:sz w:val="22"/>
          <w:szCs w:val="22"/>
        </w:rPr>
        <w:t xml:space="preserve"> 2019)</w:t>
      </w:r>
      <w:r w:rsidR="0016414D" w:rsidRPr="006433E0">
        <w:rPr>
          <w:rFonts w:ascii="Arial" w:hAnsi="Arial" w:cs="Arial"/>
          <w:sz w:val="22"/>
          <w:szCs w:val="22"/>
        </w:rPr>
        <w:t>.</w:t>
      </w:r>
      <w:r w:rsidR="003E4F87" w:rsidRPr="002D0C77">
        <w:rPr>
          <w:rFonts w:ascii="Arial" w:hAnsi="Arial" w:cs="Arial"/>
          <w:b/>
          <w:bCs/>
          <w:sz w:val="22"/>
          <w:szCs w:val="22"/>
        </w:rPr>
        <w:t xml:space="preserve"> </w:t>
      </w:r>
    </w:p>
    <w:p w14:paraId="11F5A748" w14:textId="5C2A0B96" w:rsidR="00DA5211" w:rsidRPr="00F27F46" w:rsidRDefault="00DA5211" w:rsidP="00CD25E3">
      <w:pPr>
        <w:pStyle w:val="Heading2"/>
      </w:pPr>
      <w:bookmarkStart w:id="19" w:name="_Toc204981488"/>
      <w:r w:rsidRPr="00F27F46">
        <w:rPr>
          <w:rStyle w:val="normaltextrun"/>
        </w:rPr>
        <w:t>2.6 Conclusion</w:t>
      </w:r>
      <w:bookmarkEnd w:id="19"/>
      <w:r w:rsidRPr="00F27F46">
        <w:rPr>
          <w:rStyle w:val="normaltextrun"/>
        </w:rPr>
        <w:t xml:space="preserve"> </w:t>
      </w:r>
      <w:r w:rsidR="00234B4F" w:rsidRPr="00F27F46">
        <w:rPr>
          <w:rStyle w:val="normaltextrun"/>
        </w:rPr>
        <w:t xml:space="preserve">   </w:t>
      </w:r>
      <w:r w:rsidR="008A4277" w:rsidRPr="00F27F46">
        <w:rPr>
          <w:rStyle w:val="normaltextrun"/>
        </w:rPr>
        <w:t xml:space="preserve">   </w:t>
      </w:r>
    </w:p>
    <w:p w14:paraId="7795D875" w14:textId="7EA6BE95" w:rsidR="004B7415" w:rsidRPr="000162AC" w:rsidRDefault="002A0735" w:rsidP="006D552C">
      <w:pPr>
        <w:rPr>
          <w:rFonts w:ascii="Arial" w:hAnsi="Arial" w:cs="Arial"/>
        </w:rPr>
      </w:pPr>
      <w:r w:rsidRPr="000162AC">
        <w:rPr>
          <w:rFonts w:ascii="Arial" w:eastAsia="Calibri Light" w:hAnsi="Arial" w:cs="Arial"/>
        </w:rPr>
        <w:t>This background chapter has established the foundational context necessary to evaluate the UK's healthcare provisions for</w:t>
      </w:r>
      <w:r w:rsidR="00E342D7" w:rsidRPr="000162AC">
        <w:rPr>
          <w:rFonts w:ascii="Arial" w:eastAsia="Calibri Light" w:hAnsi="Arial" w:cs="Arial"/>
        </w:rPr>
        <w:t xml:space="preserve"> SCZ</w:t>
      </w:r>
      <w:r w:rsidRPr="000162AC">
        <w:rPr>
          <w:rFonts w:ascii="Arial" w:eastAsia="Calibri Light" w:hAnsi="Arial" w:cs="Arial"/>
        </w:rPr>
        <w:t xml:space="preserve">. Beginning with a historical overview, it tracks key developments in diagnosis, legislation, and service models from institutionalisation to the rise of community-based and early intervention strategies. Theoretical frameworks such as the biopsychosocial model were critically explored, highlighting their utility and limitations in </w:t>
      </w:r>
      <w:r w:rsidRPr="000162AC">
        <w:rPr>
          <w:rFonts w:ascii="Arial" w:eastAsia="Calibri Light" w:hAnsi="Arial" w:cs="Arial"/>
        </w:rPr>
        <w:lastRenderedPageBreak/>
        <w:t xml:space="preserve">shaping treatment. International comparisons illustrated the disparity in care outcomes and accessibility across diverse health systems, underlining the need for culturally adaptive approaches. </w:t>
      </w:r>
      <w:r w:rsidR="00807BB9" w:rsidRPr="000162AC">
        <w:rPr>
          <w:rFonts w:ascii="Arial" w:hAnsi="Arial" w:cs="Arial"/>
        </w:rPr>
        <w:t>The UK has strengths like a universal healthcare model and national guidelines</w:t>
      </w:r>
      <w:r w:rsidR="00641D21">
        <w:rPr>
          <w:rFonts w:ascii="Arial" w:hAnsi="Arial" w:cs="Arial"/>
        </w:rPr>
        <w:t>,</w:t>
      </w:r>
      <w:r w:rsidR="00807BB9" w:rsidRPr="000162AC">
        <w:rPr>
          <w:rFonts w:ascii="Arial" w:hAnsi="Arial" w:cs="Arial"/>
        </w:rPr>
        <w:t xml:space="preserve"> but faces regional variation, stigma, ethnic disparities, and workforce shortages</w:t>
      </w:r>
      <w:r w:rsidR="008565E4" w:rsidRPr="000162AC">
        <w:rPr>
          <w:rFonts w:ascii="Arial" w:hAnsi="Arial" w:cs="Arial"/>
        </w:rPr>
        <w:t>. These insights highlight the need for consistent policy implementation, improved access to psychosocial interventions, and investment in equitable, person-centred care. This background prepares for a deeper analysis in the upcoming chapters on service accessibility, treatment effectiveness, and policy impac</w:t>
      </w:r>
      <w:r w:rsidR="004B7415" w:rsidRPr="000162AC">
        <w:rPr>
          <w:rFonts w:ascii="Arial" w:hAnsi="Arial" w:cs="Arial"/>
        </w:rPr>
        <w:t>t.</w:t>
      </w:r>
    </w:p>
    <w:p w14:paraId="3BC06877" w14:textId="77777777" w:rsidR="004B7415" w:rsidRDefault="000162AC" w:rsidP="00944ABF">
      <w:pPr>
        <w:pStyle w:val="paragraph"/>
        <w:spacing w:before="0" w:beforeAutospacing="0" w:after="0" w:afterAutospacing="0" w:line="360" w:lineRule="auto"/>
        <w:jc w:val="both"/>
        <w:textAlignment w:val="baseline"/>
        <w:rPr>
          <w:rFonts w:ascii="Arial" w:hAnsi="Arial" w:cs="Arial"/>
          <w:sz w:val="22"/>
          <w:szCs w:val="22"/>
        </w:rPr>
      </w:pPr>
      <w:r w:rsidRPr="000162AC">
        <w:rPr>
          <w:rFonts w:ascii="Arial" w:hAnsi="Arial" w:cs="Arial"/>
          <w:sz w:val="22"/>
          <w:szCs w:val="22"/>
        </w:rPr>
        <w:t xml:space="preserve">Building on this chapter's contextual foundation, </w:t>
      </w:r>
      <w:r w:rsidR="00641D21">
        <w:rPr>
          <w:rFonts w:ascii="Arial" w:hAnsi="Arial" w:cs="Arial"/>
          <w:sz w:val="22"/>
          <w:szCs w:val="22"/>
        </w:rPr>
        <w:t>Chapter</w:t>
      </w:r>
      <w:r w:rsidRPr="000162AC">
        <w:rPr>
          <w:rFonts w:ascii="Arial" w:hAnsi="Arial" w:cs="Arial"/>
          <w:sz w:val="22"/>
          <w:szCs w:val="22"/>
        </w:rPr>
        <w:t xml:space="preserve"> 3 outlines the study’s methodological framework. It details the research design, data collection tools, and ethical procedures used to investigate the effectiveness of </w:t>
      </w:r>
      <w:r>
        <w:rPr>
          <w:rFonts w:ascii="Arial" w:hAnsi="Arial" w:cs="Arial"/>
          <w:sz w:val="22"/>
          <w:szCs w:val="22"/>
        </w:rPr>
        <w:t>S</w:t>
      </w:r>
      <w:r w:rsidR="00483EA4">
        <w:rPr>
          <w:rFonts w:ascii="Arial" w:hAnsi="Arial" w:cs="Arial"/>
          <w:sz w:val="22"/>
          <w:szCs w:val="22"/>
        </w:rPr>
        <w:t>CZ</w:t>
      </w:r>
      <w:r w:rsidRPr="000162AC">
        <w:rPr>
          <w:rFonts w:ascii="Arial" w:hAnsi="Arial" w:cs="Arial"/>
          <w:sz w:val="22"/>
          <w:szCs w:val="22"/>
        </w:rPr>
        <w:t xml:space="preserve"> service provision in the UK</w:t>
      </w:r>
      <w:r w:rsidR="00944ABF">
        <w:rPr>
          <w:rFonts w:ascii="Arial" w:hAnsi="Arial" w:cs="Arial"/>
          <w:sz w:val="22"/>
          <w:szCs w:val="22"/>
        </w:rPr>
        <w:t>.</w:t>
      </w:r>
    </w:p>
    <w:p w14:paraId="7BA183B3" w14:textId="77777777" w:rsidR="00944ABF" w:rsidRDefault="00944ABF" w:rsidP="00944ABF">
      <w:pPr>
        <w:pStyle w:val="paragraph"/>
        <w:spacing w:before="0" w:beforeAutospacing="0" w:after="0" w:afterAutospacing="0" w:line="360" w:lineRule="auto"/>
        <w:jc w:val="both"/>
        <w:textAlignment w:val="baseline"/>
        <w:rPr>
          <w:rFonts w:ascii="Arial" w:hAnsi="Arial" w:cs="Arial"/>
          <w:sz w:val="22"/>
          <w:szCs w:val="22"/>
        </w:rPr>
      </w:pPr>
    </w:p>
    <w:p w14:paraId="6B94AB90" w14:textId="77777777" w:rsidR="00944ABF" w:rsidRDefault="00944ABF" w:rsidP="00944ABF">
      <w:pPr>
        <w:pStyle w:val="paragraph"/>
        <w:spacing w:before="0" w:beforeAutospacing="0" w:after="0" w:afterAutospacing="0" w:line="360" w:lineRule="auto"/>
        <w:jc w:val="both"/>
        <w:textAlignment w:val="baseline"/>
        <w:rPr>
          <w:rFonts w:ascii="Arial" w:hAnsi="Arial" w:cs="Arial"/>
          <w:sz w:val="22"/>
          <w:szCs w:val="22"/>
        </w:rPr>
      </w:pPr>
    </w:p>
    <w:p w14:paraId="4186B1B7" w14:textId="77777777" w:rsidR="00944ABF" w:rsidRPr="00292A36" w:rsidRDefault="00944ABF" w:rsidP="00FD0175">
      <w:pPr>
        <w:pStyle w:val="Heading1"/>
        <w:rPr>
          <w:rFonts w:ascii="Aptos" w:hAnsi="Aptos"/>
        </w:rPr>
      </w:pPr>
      <w:bookmarkStart w:id="20" w:name="_Toc204981489"/>
      <w:r w:rsidRPr="00FB7833">
        <w:t>CHAPTER 3 – Methods and Search Strategy</w:t>
      </w:r>
      <w:bookmarkEnd w:id="20"/>
      <w:r>
        <w:rPr>
          <w:rFonts w:ascii="Aptos" w:hAnsi="Aptos"/>
        </w:rPr>
        <w:t xml:space="preserve">      </w:t>
      </w:r>
    </w:p>
    <w:p w14:paraId="675CA3CD" w14:textId="77777777" w:rsidR="00944ABF" w:rsidRPr="00691F40" w:rsidRDefault="00944ABF" w:rsidP="00944ABF">
      <w:pPr>
        <w:pStyle w:val="Heading2"/>
      </w:pPr>
    </w:p>
    <w:p w14:paraId="6804E602" w14:textId="77777777" w:rsidR="00944ABF" w:rsidRPr="00FB7833" w:rsidRDefault="00944ABF" w:rsidP="00944ABF">
      <w:pPr>
        <w:pStyle w:val="Heading2"/>
      </w:pPr>
      <w:bookmarkStart w:id="21" w:name="_Toc204981490"/>
      <w:r w:rsidRPr="00FB7833">
        <w:t>3.1 Introduction</w:t>
      </w:r>
      <w:bookmarkEnd w:id="21"/>
      <w:r w:rsidRPr="00FB7833">
        <w:t xml:space="preserve">    </w:t>
      </w:r>
    </w:p>
    <w:p w14:paraId="4A8B46D4" w14:textId="37D6B7DC" w:rsidR="006D48B6" w:rsidRDefault="00944ABF" w:rsidP="00944ABF">
      <w:pPr>
        <w:pStyle w:val="NormalWeb"/>
        <w:spacing w:line="360" w:lineRule="auto"/>
        <w:jc w:val="both"/>
        <w:rPr>
          <w:rFonts w:ascii="Arial" w:hAnsi="Arial" w:cs="Arial"/>
          <w:sz w:val="22"/>
          <w:szCs w:val="22"/>
        </w:rPr>
      </w:pPr>
      <w:r w:rsidRPr="00691F40">
        <w:rPr>
          <w:rFonts w:ascii="Arial" w:hAnsi="Arial" w:cs="Arial"/>
          <w:sz w:val="22"/>
          <w:szCs w:val="22"/>
        </w:rPr>
        <w:t>This chapter outlines the methodology used to explore the effectiveness of the UK’s healthcare provisions for individuals diagnosed with SCZ. Expanding upon the methodology poster, it presents a clear and structured explanation of how relevant secondary sources were selected and analysed. The process involved a detailed review of peer-reviewed literature and policy documents to identify patterns related to treatment strategies, accessibility barriers, and systemic inequalities. This method provided the foundation for the thematic analysis in Chapter 4 and supports the study’s aim to critically assess existing provisions and contribute to informed, evidence-based recommendations.</w:t>
      </w:r>
    </w:p>
    <w:p w14:paraId="5ABFC80D" w14:textId="51AF33BB" w:rsidR="00A93A06" w:rsidRDefault="00A93A06" w:rsidP="00A93A06">
      <w:pPr>
        <w:pStyle w:val="Heading2"/>
      </w:pPr>
      <w:bookmarkStart w:id="22" w:name="_Toc204981491"/>
      <w:r w:rsidRPr="00FB7833">
        <w:t xml:space="preserve">3.2 </w:t>
      </w:r>
      <w:r>
        <w:t>Search</w:t>
      </w:r>
      <w:r w:rsidRPr="00FB7833">
        <w:t xml:space="preserve"> Strategy</w:t>
      </w:r>
      <w:bookmarkEnd w:id="22"/>
      <w:r w:rsidRPr="00FB7833">
        <w:t xml:space="preserve"> </w:t>
      </w:r>
    </w:p>
    <w:p w14:paraId="118A54A8" w14:textId="77777777" w:rsidR="00A93A06" w:rsidRPr="00A93A06" w:rsidRDefault="00A93A06" w:rsidP="00A93A06"/>
    <w:p w14:paraId="36BED9B0" w14:textId="464F7223" w:rsidR="00A93A06" w:rsidRDefault="00A93A06" w:rsidP="00023516">
      <w:pPr>
        <w:rPr>
          <w:rFonts w:ascii="Arial" w:hAnsi="Arial" w:cs="Arial"/>
        </w:rPr>
      </w:pPr>
      <w:r w:rsidRPr="00691F40">
        <w:rPr>
          <w:rFonts w:ascii="Arial" w:hAnsi="Arial" w:cs="Arial"/>
        </w:rPr>
        <w:t xml:space="preserve">A structured search strategy was developed to identify relevant secondary sources aligned with the research aim. Keywords were drawn from the title, including “Schizophrenia”, “UK Healthcare”, “Treatment Access”, and “Mental Health Provision”, and expanded using </w:t>
      </w:r>
      <w:r w:rsidRPr="00491B38">
        <w:rPr>
          <w:rFonts w:ascii="Arial" w:hAnsi="Arial" w:cs="Arial"/>
        </w:rPr>
        <w:t>synonyms such as “CBT”, “Psychosocial Interventions”, and “Service Delivery”. Boolean operators (AND, OR, NOT) were used to refine results; for example, “Schizophrenia AND Treatment AND UK” and “CBT OR Family Intervention AND Access” (University of Illinois Library, 2024).</w:t>
      </w:r>
      <w:r w:rsidRPr="00691F40">
        <w:rPr>
          <w:rFonts w:ascii="Arial" w:hAnsi="Arial" w:cs="Arial"/>
        </w:rPr>
        <w:t xml:space="preserve"> Search terms were recorded using a planned framework and logged in the </w:t>
      </w:r>
      <w:r w:rsidRPr="00691F40">
        <w:rPr>
          <w:rFonts w:ascii="Arial" w:hAnsi="Arial" w:cs="Arial"/>
        </w:rPr>
        <w:lastRenderedPageBreak/>
        <w:t xml:space="preserve">CRAAP tracking table to support relevance and transparency </w:t>
      </w:r>
      <w:r w:rsidRPr="001D2090">
        <w:rPr>
          <w:rFonts w:ascii="Arial" w:hAnsi="Arial" w:cs="Arial"/>
        </w:rPr>
        <w:t>(Dean, 2024). See Appendices</w:t>
      </w:r>
      <w:r w:rsidRPr="00691F40">
        <w:rPr>
          <w:rFonts w:ascii="Arial" w:hAnsi="Arial" w:cs="Arial"/>
        </w:rPr>
        <w:t xml:space="preserve"> </w:t>
      </w:r>
      <w:r>
        <w:rPr>
          <w:rFonts w:ascii="Arial" w:hAnsi="Arial" w:cs="Arial"/>
        </w:rPr>
        <w:t>6</w:t>
      </w:r>
      <w:r w:rsidRPr="00691F40">
        <w:rPr>
          <w:rFonts w:ascii="Arial" w:hAnsi="Arial" w:cs="Arial"/>
        </w:rPr>
        <w:t xml:space="preserve">.2.1 and </w:t>
      </w:r>
      <w:r>
        <w:rPr>
          <w:rFonts w:ascii="Arial" w:hAnsi="Arial" w:cs="Arial"/>
        </w:rPr>
        <w:t>6</w:t>
      </w:r>
      <w:r w:rsidRPr="00691F40">
        <w:rPr>
          <w:rFonts w:ascii="Arial" w:hAnsi="Arial" w:cs="Arial"/>
        </w:rPr>
        <w:t>.2.2.</w:t>
      </w:r>
    </w:p>
    <w:p w14:paraId="09190BB1" w14:textId="77777777" w:rsidR="00C94807" w:rsidRPr="00CB2B51" w:rsidRDefault="00C94807" w:rsidP="00C94807">
      <w:pPr>
        <w:rPr>
          <w:rFonts w:ascii="Arial" w:hAnsi="Arial" w:cs="Arial"/>
        </w:rPr>
      </w:pPr>
    </w:p>
    <w:p w14:paraId="20E24837" w14:textId="77777777" w:rsidR="00C94807" w:rsidRPr="00FB7833" w:rsidRDefault="00C94807" w:rsidP="00C94807">
      <w:pPr>
        <w:pStyle w:val="Heading2"/>
        <w:numPr>
          <w:ilvl w:val="1"/>
          <w:numId w:val="15"/>
        </w:numPr>
      </w:pPr>
      <w:r w:rsidRPr="00FB7833">
        <w:t xml:space="preserve"> </w:t>
      </w:r>
      <w:bookmarkStart w:id="23" w:name="_Toc204981492"/>
      <w:r w:rsidRPr="00FB7833">
        <w:t>Searching for Information</w:t>
      </w:r>
      <w:bookmarkEnd w:id="23"/>
      <w:r w:rsidRPr="00FB7833">
        <w:t xml:space="preserve"> </w:t>
      </w:r>
    </w:p>
    <w:p w14:paraId="23F92153" w14:textId="77777777" w:rsidR="00C94807" w:rsidRPr="00691F40" w:rsidRDefault="00C94807" w:rsidP="00C94807">
      <w:pPr>
        <w:pStyle w:val="ListParagraph"/>
        <w:ind w:left="360" w:firstLine="0"/>
      </w:pPr>
    </w:p>
    <w:p w14:paraId="7E615941" w14:textId="7CB3D87E" w:rsidR="00C94807" w:rsidRPr="00881EF4" w:rsidRDefault="00C94807" w:rsidP="00C94807">
      <w:r w:rsidRPr="00691F40">
        <w:rPr>
          <w:rFonts w:ascii="Arial" w:hAnsi="Arial" w:cs="Arial"/>
        </w:rPr>
        <w:t xml:space="preserve">Secondary research involves systematically locating and analysing literature to address a defined research </w:t>
      </w:r>
      <w:r w:rsidRPr="00065C2C">
        <w:rPr>
          <w:rFonts w:ascii="Arial" w:hAnsi="Arial" w:cs="Arial"/>
        </w:rPr>
        <w:t>goal</w:t>
      </w:r>
      <w:r w:rsidRPr="00065C2C">
        <w:rPr>
          <w:rFonts w:ascii="Arial" w:eastAsia="Times New Roman" w:hAnsi="Arial" w:cs="Arial"/>
          <w:kern w:val="0"/>
          <w:lang w:eastAsia="en-GB"/>
          <w14:ligatures w14:val="none"/>
        </w:rPr>
        <w:t xml:space="preserve"> (Aveyard, 2018)</w:t>
      </w:r>
      <w:r w:rsidRPr="00065C2C">
        <w:rPr>
          <w:rFonts w:ascii="Arial" w:hAnsi="Arial" w:cs="Arial"/>
        </w:rPr>
        <w:t>.</w:t>
      </w:r>
      <w:r w:rsidRPr="00691F40">
        <w:rPr>
          <w:rFonts w:ascii="Arial" w:hAnsi="Arial" w:cs="Arial"/>
        </w:rPr>
        <w:t xml:space="preserve"> Sources were identified using academic databases including PubMed, PsycINFO, Google Scholar, BMC Medicine, and the UWTSD Library One Search system. These platforms were chosen for their academic credibility, subject relevance</w:t>
      </w:r>
      <w:r w:rsidR="00881EF4">
        <w:t xml:space="preserve"> </w:t>
      </w:r>
      <w:r w:rsidRPr="00A94BBF">
        <w:rPr>
          <w:rFonts w:ascii="Arial" w:hAnsi="Arial" w:cs="Arial"/>
        </w:rPr>
        <w:t xml:space="preserve">to health and social care, and reliable access to peer-reviewed material </w:t>
      </w:r>
      <w:r w:rsidRPr="00065C2C">
        <w:rPr>
          <w:rFonts w:ascii="Arial" w:hAnsi="Arial" w:cs="Arial"/>
        </w:rPr>
        <w:t xml:space="preserve">(Grewal, </w:t>
      </w:r>
      <w:r w:rsidR="00065C2C" w:rsidRPr="00065C2C">
        <w:rPr>
          <w:rFonts w:ascii="Arial" w:hAnsi="Arial" w:cs="Arial"/>
        </w:rPr>
        <w:t>Kataria and</w:t>
      </w:r>
      <w:r w:rsidRPr="00065C2C">
        <w:rPr>
          <w:rFonts w:ascii="Arial" w:hAnsi="Arial" w:cs="Arial"/>
        </w:rPr>
        <w:t xml:space="preserve"> Dhawan, 2016)</w:t>
      </w:r>
    </w:p>
    <w:p w14:paraId="51088009" w14:textId="1D3D4886" w:rsidR="00C94807" w:rsidRPr="00856790" w:rsidRDefault="00C94807" w:rsidP="00C94807">
      <w:pPr>
        <w:rPr>
          <w:rFonts w:ascii="Arial" w:hAnsi="Arial" w:cs="Arial"/>
        </w:rPr>
      </w:pPr>
      <w:r w:rsidRPr="00065525">
        <w:rPr>
          <w:rFonts w:ascii="Arial" w:hAnsi="Arial" w:cs="Arial"/>
        </w:rPr>
        <w:t xml:space="preserve">An iterative process was adopted, with initial searches refined based on emerging relevance and thematic fit. Broader keywords such as “mental health services” were narrowed to precise combinations like “schizophrenia access barriers UK” to improve specificity. Boolean operators (AND, OR, NOT) enhanced search accuracy by combining or excluding terms to target the most relevant </w:t>
      </w:r>
      <w:r w:rsidRPr="00065C2C">
        <w:rPr>
          <w:rFonts w:ascii="Arial" w:hAnsi="Arial" w:cs="Arial"/>
        </w:rPr>
        <w:t>studies.</w:t>
      </w:r>
      <w:r w:rsidRPr="00065C2C">
        <w:rPr>
          <w:rFonts w:ascii="Arial" w:eastAsia="Times New Roman" w:hAnsi="Arial" w:cs="Arial"/>
          <w:kern w:val="0"/>
          <w:lang w:eastAsia="en-GB"/>
          <w14:ligatures w14:val="none"/>
        </w:rPr>
        <w:t xml:space="preserve"> (Booth, Papaioannou and Sutton, 2018).</w:t>
      </w:r>
      <w:r w:rsidRPr="00065525">
        <w:rPr>
          <w:rFonts w:ascii="Arial" w:hAnsi="Arial" w:cs="Arial"/>
        </w:rPr>
        <w:t xml:space="preserve"> Filters were applied to ensure consistency with the study’s scope. Results were limited to UK-based, peer-reviewed sources published in English between 2015 and 2025. The approach maintained both temporal relevance and contextual focus</w:t>
      </w:r>
      <w:r w:rsidRPr="00856790">
        <w:rPr>
          <w:rFonts w:ascii="Times New Roman" w:eastAsia="Times New Roman" w:hAnsi="Times New Roman" w:cs="Times New Roman"/>
          <w:kern w:val="0"/>
          <w:sz w:val="24"/>
          <w:szCs w:val="24"/>
          <w:lang w:eastAsia="en-GB"/>
          <w14:ligatures w14:val="none"/>
        </w:rPr>
        <w:t xml:space="preserve"> </w:t>
      </w:r>
      <w:r w:rsidRPr="00065C2C">
        <w:rPr>
          <w:rFonts w:ascii="Arial" w:hAnsi="Arial" w:cs="Arial"/>
        </w:rPr>
        <w:t>(MarksMan Healthcare, 2024).</w:t>
      </w:r>
    </w:p>
    <w:p w14:paraId="0DD1BB9C" w14:textId="7777420B" w:rsidR="00DF68F9" w:rsidRPr="00944ABF" w:rsidRDefault="00C94807" w:rsidP="00944ABF">
      <w:pPr>
        <w:pStyle w:val="NormalWeb"/>
        <w:spacing w:line="360" w:lineRule="auto"/>
        <w:jc w:val="both"/>
        <w:rPr>
          <w:rFonts w:ascii="Arial" w:hAnsi="Arial" w:cs="Arial"/>
          <w:sz w:val="22"/>
          <w:szCs w:val="22"/>
        </w:rPr>
        <w:sectPr w:rsidR="00DF68F9" w:rsidRPr="00944ABF" w:rsidSect="008565E4">
          <w:footerReference w:type="default" r:id="rId14"/>
          <w:pgSz w:w="11906" w:h="16838"/>
          <w:pgMar w:top="1440" w:right="1440" w:bottom="1440" w:left="1440" w:header="708" w:footer="708" w:gutter="0"/>
          <w:cols w:space="708"/>
          <w:docGrid w:linePitch="360"/>
        </w:sectPr>
      </w:pPr>
      <w:r w:rsidRPr="007C56D5">
        <w:rPr>
          <w:rFonts w:ascii="Arial" w:hAnsi="Arial" w:cs="Arial"/>
          <w:sz w:val="22"/>
          <w:szCs w:val="22"/>
        </w:rPr>
        <w:t xml:space="preserve">All findings were recorded on a CRAAP tracking table to evaluate each source's Currency, Relevance, Authority, Accuracy, and Purpose, making the assessment clear and consistent </w:t>
      </w:r>
      <w:r w:rsidRPr="00065C2C">
        <w:rPr>
          <w:rFonts w:ascii="Arial" w:hAnsi="Arial" w:cs="Arial"/>
          <w:sz w:val="22"/>
          <w:szCs w:val="22"/>
        </w:rPr>
        <w:t>(Dean, 2024). The</w:t>
      </w:r>
      <w:r w:rsidRPr="007C56D5">
        <w:rPr>
          <w:rFonts w:ascii="Arial" w:hAnsi="Arial" w:cs="Arial"/>
          <w:sz w:val="22"/>
          <w:szCs w:val="22"/>
        </w:rPr>
        <w:t xml:space="preserve"> methodology poster in Appendix </w:t>
      </w:r>
      <w:r>
        <w:rPr>
          <w:rFonts w:ascii="Arial" w:hAnsi="Arial" w:cs="Arial"/>
          <w:sz w:val="22"/>
          <w:szCs w:val="22"/>
        </w:rPr>
        <w:t>6</w:t>
      </w:r>
      <w:r w:rsidRPr="007C56D5">
        <w:rPr>
          <w:rFonts w:ascii="Arial" w:hAnsi="Arial" w:cs="Arial"/>
          <w:sz w:val="22"/>
          <w:szCs w:val="22"/>
        </w:rPr>
        <w:t>.</w:t>
      </w:r>
      <w:r>
        <w:rPr>
          <w:rFonts w:ascii="Arial" w:hAnsi="Arial" w:cs="Arial"/>
          <w:sz w:val="22"/>
          <w:szCs w:val="22"/>
        </w:rPr>
        <w:t>2.3</w:t>
      </w:r>
      <w:r w:rsidRPr="007C56D5">
        <w:rPr>
          <w:rFonts w:ascii="Arial" w:hAnsi="Arial" w:cs="Arial"/>
          <w:sz w:val="22"/>
          <w:szCs w:val="22"/>
        </w:rPr>
        <w:t xml:space="preserve"> includes Figure 4, which is a visual based on the work </w:t>
      </w:r>
      <w:r w:rsidRPr="00065C2C">
        <w:rPr>
          <w:rFonts w:ascii="Arial" w:hAnsi="Arial" w:cs="Arial"/>
          <w:sz w:val="22"/>
          <w:szCs w:val="22"/>
        </w:rPr>
        <w:t>of Adil, Atiq, and Ellahi (2022) that</w:t>
      </w:r>
      <w:r w:rsidRPr="007C56D5">
        <w:rPr>
          <w:rFonts w:ascii="Arial" w:hAnsi="Arial" w:cs="Arial"/>
          <w:sz w:val="22"/>
          <w:szCs w:val="22"/>
        </w:rPr>
        <w:t xml:space="preserve"> shows the experiences of stigma, discrimination, and unfair treatment faced by people diagnosed with SCZ. This visual context supported the direction of the search process by highlighting key issues reflected in the literature selected.</w:t>
      </w:r>
    </w:p>
    <w:p w14:paraId="572F82D8" w14:textId="1E1F4F1B" w:rsidR="00CF2AF5" w:rsidRPr="00CB2B51" w:rsidRDefault="00CF2AF5" w:rsidP="00C94807">
      <w:pPr>
        <w:rPr>
          <w:rFonts w:ascii="Arial" w:hAnsi="Arial" w:cs="Arial"/>
        </w:rPr>
      </w:pPr>
    </w:p>
    <w:p w14:paraId="6CBE01AB" w14:textId="6EE3F3AB" w:rsidR="00364408" w:rsidRPr="00237F4C" w:rsidRDefault="007D5AE6" w:rsidP="000325CD">
      <w:pPr>
        <w:pStyle w:val="Heading2"/>
        <w:numPr>
          <w:ilvl w:val="1"/>
          <w:numId w:val="15"/>
        </w:numPr>
        <w:rPr>
          <w:bCs w:val="0"/>
        </w:rPr>
      </w:pPr>
      <w:r w:rsidRPr="00237F4C">
        <w:t xml:space="preserve"> </w:t>
      </w:r>
      <w:bookmarkStart w:id="24" w:name="_Toc204981493"/>
      <w:r w:rsidRPr="00237F4C">
        <w:t>Research Validation</w:t>
      </w:r>
      <w:bookmarkEnd w:id="24"/>
      <w:r w:rsidRPr="00237F4C">
        <w:t xml:space="preserve"> </w:t>
      </w:r>
    </w:p>
    <w:p w14:paraId="7F7FBE33" w14:textId="5908D2BE" w:rsidR="003A20AD" w:rsidRPr="003A20AD" w:rsidRDefault="003A20AD" w:rsidP="003A20AD">
      <w:pPr>
        <w:pStyle w:val="NormalWeb"/>
        <w:spacing w:line="360" w:lineRule="auto"/>
        <w:jc w:val="both"/>
        <w:rPr>
          <w:rFonts w:ascii="Arial" w:hAnsi="Arial" w:cs="Arial"/>
          <w:sz w:val="22"/>
          <w:szCs w:val="22"/>
        </w:rPr>
      </w:pPr>
      <w:r w:rsidRPr="003A20AD">
        <w:rPr>
          <w:rFonts w:ascii="Arial" w:hAnsi="Arial" w:cs="Arial"/>
          <w:sz w:val="22"/>
          <w:szCs w:val="22"/>
        </w:rPr>
        <w:t xml:space="preserve">To ensure source relevance and quality, a multi-step validation process was adopted. Skimming techniques were initially used to assess suitability, focusing on article titles, abstracts, introductions, and conclusions to screen for alignment with the research aims. The CRAAP test was then applied to evaluate source </w:t>
      </w:r>
      <w:r w:rsidRPr="001374C9">
        <w:rPr>
          <w:rFonts w:ascii="Arial" w:hAnsi="Arial" w:cs="Arial"/>
          <w:sz w:val="22"/>
          <w:szCs w:val="22"/>
        </w:rPr>
        <w:t>credibility (Kampen, 2023). Priority</w:t>
      </w:r>
      <w:r w:rsidRPr="003A20AD">
        <w:rPr>
          <w:rFonts w:ascii="Arial" w:hAnsi="Arial" w:cs="Arial"/>
          <w:sz w:val="22"/>
          <w:szCs w:val="22"/>
        </w:rPr>
        <w:t xml:space="preserve"> was given to Currency, Relevance, and Authority, which were most critical to the research scope. For instance, </w:t>
      </w:r>
      <w:r w:rsidRPr="00A81E6F">
        <w:rPr>
          <w:rFonts w:ascii="Arial" w:hAnsi="Arial" w:cs="Arial"/>
          <w:sz w:val="22"/>
          <w:szCs w:val="22"/>
        </w:rPr>
        <w:t xml:space="preserve">Bucci </w:t>
      </w:r>
      <w:r w:rsidRPr="00A81E6F">
        <w:rPr>
          <w:rFonts w:ascii="Arial" w:hAnsi="Arial" w:cs="Arial"/>
          <w:i/>
          <w:iCs/>
          <w:sz w:val="22"/>
          <w:szCs w:val="22"/>
        </w:rPr>
        <w:t>et al</w:t>
      </w:r>
      <w:r w:rsidRPr="00A81E6F">
        <w:rPr>
          <w:rFonts w:ascii="Arial" w:hAnsi="Arial" w:cs="Arial"/>
          <w:sz w:val="22"/>
          <w:szCs w:val="22"/>
        </w:rPr>
        <w:t>. (2016) were</w:t>
      </w:r>
      <w:r>
        <w:rPr>
          <w:rFonts w:ascii="Arial" w:hAnsi="Arial" w:cs="Arial"/>
          <w:sz w:val="22"/>
          <w:szCs w:val="22"/>
        </w:rPr>
        <w:t xml:space="preserve"> included due to their</w:t>
      </w:r>
      <w:r w:rsidRPr="003A20AD">
        <w:rPr>
          <w:rFonts w:ascii="Arial" w:hAnsi="Arial" w:cs="Arial"/>
          <w:sz w:val="22"/>
          <w:szCs w:val="22"/>
        </w:rPr>
        <w:t xml:space="preserve"> UK focus, strong methodological basis, and relevance to access barriers.</w:t>
      </w:r>
    </w:p>
    <w:p w14:paraId="62B095AC" w14:textId="1644E712" w:rsidR="003A20AD" w:rsidRPr="003A20AD" w:rsidRDefault="003A20AD" w:rsidP="003A20AD">
      <w:pPr>
        <w:pStyle w:val="NormalWeb"/>
        <w:spacing w:line="360" w:lineRule="auto"/>
        <w:jc w:val="both"/>
        <w:rPr>
          <w:rFonts w:ascii="Arial" w:hAnsi="Arial" w:cs="Arial"/>
          <w:sz w:val="22"/>
          <w:szCs w:val="22"/>
        </w:rPr>
      </w:pPr>
      <w:r w:rsidRPr="00EE475D">
        <w:rPr>
          <w:rFonts w:ascii="Arial" w:hAnsi="Arial" w:cs="Arial"/>
          <w:sz w:val="22"/>
          <w:szCs w:val="22"/>
        </w:rPr>
        <w:t>Braun and Clarke’s (2016)</w:t>
      </w:r>
      <w:r w:rsidRPr="003A20AD">
        <w:rPr>
          <w:rFonts w:ascii="Arial" w:hAnsi="Arial" w:cs="Arial"/>
          <w:sz w:val="22"/>
          <w:szCs w:val="22"/>
        </w:rPr>
        <w:t xml:space="preserve"> six-phase Thematic Analysis was </w:t>
      </w:r>
      <w:r w:rsidR="00F00846">
        <w:rPr>
          <w:rFonts w:ascii="Arial" w:hAnsi="Arial" w:cs="Arial"/>
          <w:sz w:val="22"/>
          <w:szCs w:val="22"/>
        </w:rPr>
        <w:t>utilised</w:t>
      </w:r>
      <w:r w:rsidRPr="003A20AD">
        <w:rPr>
          <w:rFonts w:ascii="Arial" w:hAnsi="Arial" w:cs="Arial"/>
          <w:sz w:val="22"/>
          <w:szCs w:val="22"/>
        </w:rPr>
        <w:t xml:space="preserve"> to support analytical depth. This process encompassed familiarisation, coding, and theme generation, facilitating the systematic identification and refinement of recurring patterns. The process allowed sources to be grouped into categories such as “delayed access” and “inequality”, directly contributing to Objectives 1–3. This method is outlined in Figure 5 on the </w:t>
      </w:r>
      <w:r w:rsidR="00C85CCA">
        <w:rPr>
          <w:rFonts w:ascii="Arial" w:hAnsi="Arial" w:cs="Arial"/>
          <w:sz w:val="22"/>
          <w:szCs w:val="22"/>
        </w:rPr>
        <w:t>M</w:t>
      </w:r>
      <w:r w:rsidRPr="003A20AD">
        <w:rPr>
          <w:rFonts w:ascii="Arial" w:hAnsi="Arial" w:cs="Arial"/>
          <w:sz w:val="22"/>
          <w:szCs w:val="22"/>
        </w:rPr>
        <w:t xml:space="preserve">ethodology </w:t>
      </w:r>
      <w:r w:rsidR="00C85CCA">
        <w:rPr>
          <w:rFonts w:ascii="Arial" w:hAnsi="Arial" w:cs="Arial"/>
          <w:sz w:val="22"/>
          <w:szCs w:val="22"/>
        </w:rPr>
        <w:t>P</w:t>
      </w:r>
      <w:r w:rsidRPr="003A20AD">
        <w:rPr>
          <w:rFonts w:ascii="Arial" w:hAnsi="Arial" w:cs="Arial"/>
          <w:sz w:val="22"/>
          <w:szCs w:val="22"/>
        </w:rPr>
        <w:t>oster</w:t>
      </w:r>
      <w:r w:rsidR="00265EEF">
        <w:rPr>
          <w:rFonts w:ascii="Arial" w:hAnsi="Arial" w:cs="Arial"/>
          <w:sz w:val="22"/>
          <w:szCs w:val="22"/>
        </w:rPr>
        <w:t>,</w:t>
      </w:r>
      <w:r w:rsidRPr="003A20AD">
        <w:rPr>
          <w:rFonts w:ascii="Arial" w:hAnsi="Arial" w:cs="Arial"/>
          <w:sz w:val="22"/>
          <w:szCs w:val="22"/>
        </w:rPr>
        <w:t xml:space="preserve"> Appendix </w:t>
      </w:r>
      <w:r w:rsidR="00C34BFF">
        <w:rPr>
          <w:rFonts w:ascii="Arial" w:hAnsi="Arial" w:cs="Arial"/>
          <w:sz w:val="22"/>
          <w:szCs w:val="22"/>
        </w:rPr>
        <w:t>6</w:t>
      </w:r>
      <w:r w:rsidRPr="003A20AD">
        <w:rPr>
          <w:rFonts w:ascii="Arial" w:hAnsi="Arial" w:cs="Arial"/>
          <w:sz w:val="22"/>
          <w:szCs w:val="22"/>
        </w:rPr>
        <w:t>.</w:t>
      </w:r>
      <w:r w:rsidR="00C34BFF">
        <w:rPr>
          <w:rFonts w:ascii="Arial" w:hAnsi="Arial" w:cs="Arial"/>
          <w:sz w:val="22"/>
          <w:szCs w:val="22"/>
        </w:rPr>
        <w:t>2.</w:t>
      </w:r>
      <w:r w:rsidRPr="003A20AD">
        <w:rPr>
          <w:rFonts w:ascii="Arial" w:hAnsi="Arial" w:cs="Arial"/>
          <w:sz w:val="22"/>
          <w:szCs w:val="22"/>
        </w:rPr>
        <w:t>3.</w:t>
      </w:r>
    </w:p>
    <w:p w14:paraId="1CBF7030" w14:textId="36300F0C" w:rsidR="007D5AE6" w:rsidRPr="00A05833" w:rsidRDefault="00D008B6" w:rsidP="000325CD">
      <w:pPr>
        <w:pStyle w:val="Heading2"/>
        <w:rPr>
          <w:bCs w:val="0"/>
        </w:rPr>
      </w:pPr>
      <w:r>
        <w:t xml:space="preserve"> </w:t>
      </w:r>
    </w:p>
    <w:p w14:paraId="161329B3" w14:textId="09E0046F" w:rsidR="007D5AE6" w:rsidRPr="00237F4C" w:rsidRDefault="007D5AE6" w:rsidP="000325CD">
      <w:pPr>
        <w:pStyle w:val="Heading2"/>
        <w:numPr>
          <w:ilvl w:val="1"/>
          <w:numId w:val="15"/>
        </w:numPr>
        <w:rPr>
          <w:bCs w:val="0"/>
        </w:rPr>
      </w:pPr>
      <w:r w:rsidRPr="00237F4C">
        <w:rPr>
          <w:rStyle w:val="Heading2Char"/>
          <w:b/>
          <w:bCs/>
          <w:i/>
          <w:iCs/>
        </w:rPr>
        <w:t xml:space="preserve"> </w:t>
      </w:r>
      <w:bookmarkStart w:id="25" w:name="_Toc204981494"/>
      <w:r w:rsidRPr="00237F4C">
        <w:rPr>
          <w:rStyle w:val="Heading2Char"/>
          <w:b/>
          <w:bCs/>
          <w:i/>
          <w:iCs/>
        </w:rPr>
        <w:t>Inclusion and Exclusion Criteria</w:t>
      </w:r>
      <w:bookmarkEnd w:id="25"/>
      <w:r w:rsidRPr="00237F4C">
        <w:rPr>
          <w:rStyle w:val="Heading2Char"/>
          <w:b/>
          <w:bCs/>
        </w:rPr>
        <w:t xml:space="preserve"> </w:t>
      </w:r>
    </w:p>
    <w:p w14:paraId="05BF1875" w14:textId="78565E28" w:rsidR="00D04E19" w:rsidRPr="00691F40" w:rsidRDefault="00845829" w:rsidP="00691F40">
      <w:pPr>
        <w:pStyle w:val="NormalWeb"/>
        <w:spacing w:line="360" w:lineRule="auto"/>
        <w:jc w:val="both"/>
        <w:rPr>
          <w:rFonts w:ascii="Arial" w:hAnsi="Arial" w:cs="Arial"/>
          <w:sz w:val="22"/>
          <w:szCs w:val="22"/>
        </w:rPr>
      </w:pPr>
      <w:r w:rsidRPr="00845829">
        <w:rPr>
          <w:rFonts w:ascii="Arial" w:hAnsi="Arial" w:cs="Arial"/>
          <w:sz w:val="22"/>
          <w:szCs w:val="22"/>
        </w:rPr>
        <w:t xml:space="preserve">To ensure relevance and rigour, the study included peer-reviewed journal articles published between 2015 and 2025, written in English, and focused on UK-based populations affected by SCZ. Only fully accessible academic sources addressing care, access, or treatment were selected, ensuring consistency in population and </w:t>
      </w:r>
      <w:r w:rsidRPr="00192141">
        <w:rPr>
          <w:rFonts w:ascii="Arial" w:hAnsi="Arial" w:cs="Arial"/>
          <w:sz w:val="22"/>
          <w:szCs w:val="22"/>
        </w:rPr>
        <w:t xml:space="preserve">setting (Carruthers </w:t>
      </w:r>
      <w:r w:rsidRPr="00192141">
        <w:rPr>
          <w:rFonts w:ascii="Arial" w:hAnsi="Arial" w:cs="Arial"/>
          <w:i/>
          <w:iCs/>
          <w:sz w:val="22"/>
          <w:szCs w:val="22"/>
        </w:rPr>
        <w:t>et al.,</w:t>
      </w:r>
      <w:r w:rsidRPr="00192141">
        <w:rPr>
          <w:rFonts w:ascii="Arial" w:hAnsi="Arial" w:cs="Arial"/>
          <w:sz w:val="22"/>
          <w:szCs w:val="22"/>
        </w:rPr>
        <w:t xml:space="preserve"> 2023).</w:t>
      </w:r>
      <w:r w:rsidRPr="00845829">
        <w:rPr>
          <w:rFonts w:ascii="Arial" w:hAnsi="Arial" w:cs="Arial"/>
          <w:sz w:val="22"/>
          <w:szCs w:val="22"/>
        </w:rPr>
        <w:t xml:space="preserve"> Sources were excluded if published before 2015, not peer-reviewed e.g., blogs or opinion pieces, not in English, or unrelated to the UK healthcare context or SCZ-specific outcomes. These criteria helped maintain focus and improve comparability across the selected literatu</w:t>
      </w:r>
      <w:r w:rsidRPr="00B45421">
        <w:rPr>
          <w:rFonts w:ascii="Arial" w:hAnsi="Arial" w:cs="Arial"/>
          <w:sz w:val="22"/>
          <w:szCs w:val="22"/>
        </w:rPr>
        <w:t xml:space="preserve">re (Jakobsson </w:t>
      </w:r>
      <w:r w:rsidRPr="00B45421">
        <w:rPr>
          <w:rFonts w:ascii="Arial" w:hAnsi="Arial" w:cs="Arial"/>
          <w:i/>
          <w:iCs/>
          <w:sz w:val="22"/>
          <w:szCs w:val="22"/>
        </w:rPr>
        <w:t>et</w:t>
      </w:r>
      <w:r w:rsidRPr="00845829">
        <w:rPr>
          <w:rFonts w:ascii="Arial" w:hAnsi="Arial" w:cs="Arial"/>
          <w:i/>
          <w:iCs/>
          <w:sz w:val="22"/>
          <w:szCs w:val="22"/>
        </w:rPr>
        <w:t xml:space="preserve"> </w:t>
      </w:r>
      <w:r w:rsidRPr="00B45421">
        <w:rPr>
          <w:rFonts w:ascii="Arial" w:hAnsi="Arial" w:cs="Arial"/>
          <w:i/>
          <w:iCs/>
          <w:sz w:val="22"/>
          <w:szCs w:val="22"/>
        </w:rPr>
        <w:t>al.,</w:t>
      </w:r>
      <w:r w:rsidRPr="00B45421">
        <w:rPr>
          <w:rFonts w:ascii="Arial" w:hAnsi="Arial" w:cs="Arial"/>
          <w:sz w:val="22"/>
          <w:szCs w:val="22"/>
        </w:rPr>
        <w:t xml:space="preserve"> 2023).</w:t>
      </w:r>
    </w:p>
    <w:p w14:paraId="27C4A431" w14:textId="7216C72D" w:rsidR="007D5AE6" w:rsidRPr="00237F4C" w:rsidRDefault="007D5AE6" w:rsidP="000325CD">
      <w:pPr>
        <w:pStyle w:val="Heading2"/>
        <w:numPr>
          <w:ilvl w:val="1"/>
          <w:numId w:val="15"/>
        </w:numPr>
      </w:pPr>
      <w:r w:rsidRPr="00237F4C">
        <w:t xml:space="preserve"> </w:t>
      </w:r>
      <w:bookmarkStart w:id="26" w:name="_Toc204981495"/>
      <w:r w:rsidRPr="00237F4C">
        <w:t>Analysing Research</w:t>
      </w:r>
      <w:bookmarkEnd w:id="26"/>
      <w:r w:rsidRPr="00237F4C">
        <w:t xml:space="preserve"> </w:t>
      </w:r>
    </w:p>
    <w:p w14:paraId="7595463A" w14:textId="4A728A1E" w:rsidR="00232377" w:rsidRPr="00FB23D6" w:rsidRDefault="00D04E19" w:rsidP="00FB23D6">
      <w:pPr>
        <w:pStyle w:val="NormalWeb"/>
        <w:spacing w:line="360" w:lineRule="auto"/>
        <w:jc w:val="both"/>
        <w:rPr>
          <w:rFonts w:ascii="Arial" w:hAnsi="Arial" w:cs="Arial"/>
          <w:sz w:val="22"/>
          <w:szCs w:val="22"/>
        </w:rPr>
      </w:pPr>
      <w:r w:rsidRPr="001B5D2C">
        <w:rPr>
          <w:rFonts w:ascii="Arial" w:hAnsi="Arial" w:cs="Arial"/>
          <w:sz w:val="22"/>
          <w:szCs w:val="22"/>
        </w:rPr>
        <w:t xml:space="preserve">A thematic coding approach, based </w:t>
      </w:r>
      <w:r w:rsidRPr="00CC4020">
        <w:rPr>
          <w:rFonts w:ascii="Arial" w:hAnsi="Arial" w:cs="Arial"/>
          <w:sz w:val="22"/>
          <w:szCs w:val="22"/>
        </w:rPr>
        <w:t xml:space="preserve">on Braun and </w:t>
      </w:r>
      <w:r w:rsidR="0026257B" w:rsidRPr="00CC4020">
        <w:rPr>
          <w:rFonts w:ascii="Arial" w:hAnsi="Arial" w:cs="Arial"/>
        </w:rPr>
        <w:t>Clarke's</w:t>
      </w:r>
      <w:r w:rsidRPr="00CC4020">
        <w:rPr>
          <w:rFonts w:ascii="Arial" w:hAnsi="Arial" w:cs="Arial"/>
          <w:sz w:val="22"/>
          <w:szCs w:val="22"/>
        </w:rPr>
        <w:t xml:space="preserve"> (2006)</w:t>
      </w:r>
      <w:r w:rsidRPr="001B5D2C">
        <w:rPr>
          <w:rFonts w:ascii="Arial" w:hAnsi="Arial" w:cs="Arial"/>
          <w:sz w:val="22"/>
          <w:szCs w:val="22"/>
        </w:rPr>
        <w:t xml:space="preserve"> six-phase framework, was applied to analyse the selected literature. Each study was reviewed to identify repeated keywords, issues, and concepts aligned with the research objectives. Initial codes were </w:t>
      </w:r>
      <w:r w:rsidRPr="001B5D2C">
        <w:rPr>
          <w:rFonts w:ascii="Arial" w:hAnsi="Arial" w:cs="Arial"/>
          <w:sz w:val="22"/>
          <w:szCs w:val="22"/>
        </w:rPr>
        <w:lastRenderedPageBreak/>
        <w:t>developed using key terms such as access, treatment, stigma, and inequality and then</w:t>
      </w:r>
      <w:r>
        <w:rPr>
          <w:rFonts w:ascii="Arial" w:hAnsi="Arial" w:cs="Arial"/>
          <w:sz w:val="22"/>
          <w:szCs w:val="22"/>
        </w:rPr>
        <w:t xml:space="preserve"> grouped into broader themes.</w:t>
      </w:r>
      <w:r w:rsidRPr="001B5D2C">
        <w:rPr>
          <w:rFonts w:ascii="Arial" w:hAnsi="Arial" w:cs="Arial"/>
          <w:sz w:val="22"/>
          <w:szCs w:val="22"/>
        </w:rPr>
        <w:t xml:space="preserve"> </w:t>
      </w:r>
    </w:p>
    <w:p w14:paraId="64D38AF6" w14:textId="7BBD1634" w:rsidR="007D5AE6" w:rsidRPr="00691F40" w:rsidRDefault="00FA0753" w:rsidP="00691F40">
      <w:pPr>
        <w:pStyle w:val="NormalWeb"/>
        <w:spacing w:line="360" w:lineRule="auto"/>
        <w:jc w:val="both"/>
        <w:rPr>
          <w:rFonts w:ascii="Arial" w:hAnsi="Arial" w:cs="Arial"/>
          <w:sz w:val="22"/>
          <w:szCs w:val="22"/>
        </w:rPr>
      </w:pPr>
      <w:r w:rsidRPr="00FB23D6">
        <w:rPr>
          <w:rFonts w:ascii="Arial" w:hAnsi="Arial" w:cs="Arial"/>
          <w:sz w:val="22"/>
          <w:szCs w:val="22"/>
        </w:rPr>
        <w:t>These themes were refined iteratively and used to classify the authors based on the content and focus of their findings. Some sources addressed more than one area and were accordingly included under multiple themes to reflect their relevance across categories.</w:t>
      </w:r>
      <w:r w:rsidRPr="00FB23D6">
        <w:rPr>
          <w:rFonts w:ascii="Arial" w:hAnsi="Arial" w:cs="Arial"/>
          <w:sz w:val="22"/>
          <w:szCs w:val="22"/>
        </w:rPr>
        <w:br/>
        <w:t xml:space="preserve">To support this process, a coding table was created to organise the literature. This provided a structured overview of how each author contributed to the final themes and ensured transparency throughout the </w:t>
      </w:r>
      <w:r w:rsidRPr="00452394">
        <w:rPr>
          <w:rFonts w:ascii="Arial" w:hAnsi="Arial" w:cs="Arial"/>
          <w:sz w:val="22"/>
          <w:szCs w:val="22"/>
        </w:rPr>
        <w:t xml:space="preserve">analysis (Nowell </w:t>
      </w:r>
      <w:r w:rsidRPr="00452394">
        <w:rPr>
          <w:rFonts w:ascii="Arial" w:hAnsi="Arial" w:cs="Arial"/>
          <w:i/>
          <w:iCs/>
          <w:sz w:val="22"/>
          <w:szCs w:val="22"/>
        </w:rPr>
        <w:t>et al.,</w:t>
      </w:r>
      <w:r w:rsidRPr="00452394">
        <w:rPr>
          <w:rFonts w:ascii="Arial" w:hAnsi="Arial" w:cs="Arial"/>
          <w:sz w:val="22"/>
          <w:szCs w:val="22"/>
        </w:rPr>
        <w:t xml:space="preserve"> 2017).</w:t>
      </w:r>
      <w:r w:rsidRPr="00FB23D6">
        <w:rPr>
          <w:rFonts w:ascii="Arial" w:hAnsi="Arial" w:cs="Arial"/>
          <w:sz w:val="22"/>
          <w:szCs w:val="22"/>
        </w:rPr>
        <w:t xml:space="preserve"> The coding table is included in Appendi</w:t>
      </w:r>
      <w:r w:rsidR="00290967">
        <w:rPr>
          <w:rFonts w:ascii="Arial" w:hAnsi="Arial" w:cs="Arial"/>
          <w:sz w:val="22"/>
          <w:szCs w:val="22"/>
        </w:rPr>
        <w:t>x</w:t>
      </w:r>
      <w:r w:rsidRPr="00FB23D6">
        <w:rPr>
          <w:rFonts w:ascii="Arial" w:hAnsi="Arial" w:cs="Arial"/>
          <w:sz w:val="22"/>
          <w:szCs w:val="22"/>
        </w:rPr>
        <w:t xml:space="preserve"> 3.6.1 and forms the foundation for the thematic structure presented in Chapter 4.</w:t>
      </w:r>
    </w:p>
    <w:p w14:paraId="12915194" w14:textId="1C5D5604" w:rsidR="009E2547" w:rsidRPr="00A02950" w:rsidRDefault="007D5AE6" w:rsidP="000325CD">
      <w:pPr>
        <w:pStyle w:val="Heading2"/>
        <w:numPr>
          <w:ilvl w:val="1"/>
          <w:numId w:val="15"/>
        </w:numPr>
      </w:pPr>
      <w:r w:rsidRPr="00A02950">
        <w:t xml:space="preserve"> </w:t>
      </w:r>
      <w:bookmarkStart w:id="27" w:name="_Toc204981496"/>
      <w:r w:rsidRPr="00A02950">
        <w:t>Ethical Considerations</w:t>
      </w:r>
      <w:bookmarkEnd w:id="27"/>
      <w:r w:rsidRPr="00A02950">
        <w:t xml:space="preserve"> </w:t>
      </w:r>
    </w:p>
    <w:p w14:paraId="5784CE55" w14:textId="77777777" w:rsidR="00D04E19" w:rsidRDefault="00D04E19" w:rsidP="00D04E19">
      <w:pPr>
        <w:pStyle w:val="ListParagraph"/>
        <w:ind w:left="360" w:firstLine="0"/>
        <w:rPr>
          <w:rFonts w:ascii="Arial" w:hAnsi="Arial" w:cs="Arial"/>
        </w:rPr>
      </w:pPr>
    </w:p>
    <w:p w14:paraId="61FFFAF5" w14:textId="526D2621" w:rsidR="009E2547" w:rsidRPr="00CB2B51" w:rsidRDefault="00D04E19" w:rsidP="00CB2B51">
      <w:pPr>
        <w:rPr>
          <w:rFonts w:ascii="Arial" w:hAnsi="Arial" w:cs="Arial"/>
        </w:rPr>
      </w:pPr>
      <w:r w:rsidRPr="00D04E19">
        <w:rPr>
          <w:rFonts w:ascii="Arial" w:hAnsi="Arial" w:cs="Arial"/>
        </w:rPr>
        <w:t xml:space="preserve">As a secondary research project, this study only analysed existing literature but did not collect primary data. Ethical practice was maintained through the responsible and respectful use of published </w:t>
      </w:r>
      <w:r w:rsidRPr="00452394">
        <w:rPr>
          <w:rFonts w:ascii="Arial" w:hAnsi="Arial" w:cs="Arial"/>
        </w:rPr>
        <w:t>sources</w:t>
      </w:r>
      <w:r w:rsidR="00991467">
        <w:rPr>
          <w:rFonts w:ascii="Arial" w:hAnsi="Arial" w:cs="Arial"/>
        </w:rPr>
        <w:t xml:space="preserve"> </w:t>
      </w:r>
      <w:r w:rsidR="00991467" w:rsidRPr="00991467">
        <w:rPr>
          <w:rFonts w:ascii="Arial" w:hAnsi="Arial" w:cs="Arial"/>
        </w:rPr>
        <w:t>(University of Wales Trinity Saint David, 2022)</w:t>
      </w:r>
      <w:r w:rsidR="00991467">
        <w:rPr>
          <w:rFonts w:ascii="Arial" w:hAnsi="Arial" w:cs="Arial"/>
        </w:rPr>
        <w:t>.</w:t>
      </w:r>
      <w:r w:rsidR="00C322B6">
        <w:rPr>
          <w:rFonts w:ascii="Arial" w:hAnsi="Arial" w:cs="Arial"/>
        </w:rPr>
        <w:t xml:space="preserve"> </w:t>
      </w:r>
      <w:r w:rsidR="00961F28" w:rsidRPr="00961F28">
        <w:rPr>
          <w:rFonts w:ascii="Arial" w:hAnsi="Arial" w:cs="Arial"/>
        </w:rPr>
        <w:t xml:space="preserve">Academic integrity was upheld by accurately citing all materials using the Harvard referencing style, ensuring appropriate attribution and avoiding plagiarism. Findings were presented without bias </w:t>
      </w:r>
      <w:r w:rsidR="00961F28" w:rsidRPr="007A0FF0">
        <w:rPr>
          <w:rFonts w:ascii="Arial" w:hAnsi="Arial" w:cs="Arial"/>
        </w:rPr>
        <w:t>or misrepresentation, demonstrating transparency and analytical rigour (Wallace and Wray, 2016).</w:t>
      </w:r>
      <w:r w:rsidR="00801813">
        <w:rPr>
          <w:rFonts w:ascii="Arial" w:hAnsi="Arial" w:cs="Arial"/>
        </w:rPr>
        <w:t xml:space="preserve"> </w:t>
      </w:r>
      <w:r w:rsidR="00961F28" w:rsidRPr="007A0FF0">
        <w:rPr>
          <w:rFonts w:ascii="Arial" w:hAnsi="Arial" w:cs="Arial"/>
        </w:rPr>
        <w:t>Only peer-reviewed, credible literature was selected</w:t>
      </w:r>
      <w:r w:rsidR="00961F28" w:rsidRPr="00961F28">
        <w:rPr>
          <w:rFonts w:ascii="Arial" w:hAnsi="Arial" w:cs="Arial"/>
        </w:rPr>
        <w:t xml:space="preserve">, with particular care given to avoiding stigmatising language related to mental health and </w:t>
      </w:r>
      <w:r w:rsidR="00961F28" w:rsidRPr="007A0FF0">
        <w:rPr>
          <w:rFonts w:ascii="Arial" w:hAnsi="Arial" w:cs="Arial"/>
        </w:rPr>
        <w:t>SCZ</w:t>
      </w:r>
      <w:r w:rsidR="00614FF1" w:rsidRPr="007A0FF0">
        <w:rPr>
          <w:rFonts w:ascii="Arial" w:hAnsi="Arial" w:cs="Arial"/>
        </w:rPr>
        <w:t xml:space="preserve"> (Appel, 2025)</w:t>
      </w:r>
      <w:r w:rsidR="00961F28" w:rsidRPr="007A0FF0">
        <w:rPr>
          <w:rFonts w:ascii="Arial" w:hAnsi="Arial" w:cs="Arial"/>
        </w:rPr>
        <w:t>.</w:t>
      </w:r>
      <w:r w:rsidR="00961F28" w:rsidRPr="00961F28">
        <w:rPr>
          <w:rFonts w:ascii="Arial" w:hAnsi="Arial" w:cs="Arial"/>
        </w:rPr>
        <w:t xml:space="preserve"> The CRAAP test supported ethical and consistent source </w:t>
      </w:r>
      <w:r w:rsidR="00961F28" w:rsidRPr="00614FF1">
        <w:rPr>
          <w:rFonts w:ascii="Arial" w:hAnsi="Arial" w:cs="Arial"/>
        </w:rPr>
        <w:t>selection.</w:t>
      </w:r>
    </w:p>
    <w:p w14:paraId="59D273F9" w14:textId="7C3C3549" w:rsidR="00691F40" w:rsidRPr="00A02950" w:rsidRDefault="007D5AE6" w:rsidP="000325CD">
      <w:pPr>
        <w:pStyle w:val="Heading2"/>
        <w:numPr>
          <w:ilvl w:val="1"/>
          <w:numId w:val="15"/>
        </w:numPr>
      </w:pPr>
      <w:r w:rsidRPr="00A02950">
        <w:t xml:space="preserve"> </w:t>
      </w:r>
      <w:bookmarkStart w:id="28" w:name="_Toc204981497"/>
      <w:r w:rsidRPr="00A02950">
        <w:t>Chapter Conclusion</w:t>
      </w:r>
      <w:bookmarkEnd w:id="28"/>
      <w:r w:rsidRPr="00A02950">
        <w:t xml:space="preserve"> </w:t>
      </w:r>
    </w:p>
    <w:p w14:paraId="65920FCD" w14:textId="77777777" w:rsidR="00CB2B51" w:rsidRPr="00CB2B51" w:rsidRDefault="00CB2B51" w:rsidP="00CB2B51">
      <w:pPr>
        <w:pStyle w:val="ListParagraph"/>
        <w:ind w:left="360" w:firstLine="0"/>
      </w:pPr>
    </w:p>
    <w:p w14:paraId="2F75131A" w14:textId="77777777" w:rsidR="00CB2B51" w:rsidRPr="00EB7A4F" w:rsidRDefault="00CB2B51" w:rsidP="00EB7A4F">
      <w:pPr>
        <w:rPr>
          <w:rFonts w:ascii="Arial" w:hAnsi="Arial" w:cs="Arial"/>
        </w:rPr>
      </w:pPr>
      <w:r w:rsidRPr="00EB7A4F">
        <w:rPr>
          <w:rFonts w:ascii="Arial" w:hAnsi="Arial" w:cs="Arial"/>
        </w:rPr>
        <w:t>This chapter outlined the methodological steps undertaken to ensure a rigorous, transparent, and ethically sound secondary research process. A structured search strategy was implemented using Boolean logic and database filters to identify relevant, peer-reviewed UK-based literature. Each source was evaluated using the CRAAP test, and thematic analysis was conducted following Braun and Clarke’s six-phase framework. Coding was supported by a colour-coded table to ensure consistency and clarity in theme development. These combined approaches ensured methodological alignment with the study’s aims. Chapter 4 will now present the findings, organised thematically and critically examined in relation to the research question.</w:t>
      </w:r>
    </w:p>
    <w:p w14:paraId="43CFE3F5" w14:textId="77777777" w:rsidR="00862FEF" w:rsidRDefault="00862FEF" w:rsidP="00FD0175">
      <w:pPr>
        <w:pStyle w:val="Heading1"/>
      </w:pPr>
    </w:p>
    <w:p w14:paraId="6E309D29" w14:textId="77777777" w:rsidR="00862FEF" w:rsidRDefault="00862FEF" w:rsidP="00FD0175">
      <w:pPr>
        <w:pStyle w:val="Heading1"/>
      </w:pPr>
    </w:p>
    <w:p w14:paraId="533B4AF7" w14:textId="77777777" w:rsidR="00862FEF" w:rsidRDefault="00862FEF" w:rsidP="00FD0175">
      <w:pPr>
        <w:pStyle w:val="Heading1"/>
      </w:pPr>
    </w:p>
    <w:p w14:paraId="413C1BCB" w14:textId="77777777" w:rsidR="00FF7B18" w:rsidRPr="00A02950" w:rsidRDefault="00FF7B18" w:rsidP="00FD0175">
      <w:pPr>
        <w:pStyle w:val="Heading1"/>
      </w:pPr>
    </w:p>
    <w:p w14:paraId="6FF84F74" w14:textId="35D56BAA" w:rsidR="007D5AE6" w:rsidRPr="00B461E5" w:rsidRDefault="007D5AE6" w:rsidP="00FD0175">
      <w:pPr>
        <w:pStyle w:val="Heading1"/>
      </w:pPr>
      <w:bookmarkStart w:id="29" w:name="_Toc204981498"/>
      <w:r w:rsidRPr="00B461E5">
        <w:t xml:space="preserve">CHAPTER </w:t>
      </w:r>
      <w:r w:rsidR="00A311CC" w:rsidRPr="00B461E5">
        <w:t>4 Findings</w:t>
      </w:r>
      <w:r w:rsidRPr="00B461E5">
        <w:t xml:space="preserve"> and Discussion</w:t>
      </w:r>
      <w:bookmarkEnd w:id="29"/>
      <w:r w:rsidRPr="00B461E5">
        <w:t xml:space="preserve"> </w:t>
      </w:r>
    </w:p>
    <w:p w14:paraId="799F2B85" w14:textId="66E95BE9" w:rsidR="007D5AE6" w:rsidRPr="00377928" w:rsidRDefault="007D5AE6" w:rsidP="00CB2B51">
      <w:pPr>
        <w:rPr>
          <w:b/>
          <w:bCs/>
        </w:rPr>
      </w:pPr>
    </w:p>
    <w:p w14:paraId="022B8D4D" w14:textId="14E63A33" w:rsidR="00CB1BE2" w:rsidRPr="00CB1BE2" w:rsidRDefault="00491B38" w:rsidP="000325CD">
      <w:pPr>
        <w:pStyle w:val="Heading2"/>
      </w:pPr>
      <w:bookmarkStart w:id="30" w:name="_Toc204981499"/>
      <w:r w:rsidRPr="00A02950">
        <w:t>4.1 Introduction</w:t>
      </w:r>
      <w:bookmarkEnd w:id="30"/>
      <w:r w:rsidR="003A3CBC" w:rsidRPr="00CB2B51">
        <w:rPr>
          <w:sz w:val="22"/>
          <w:szCs w:val="22"/>
        </w:rPr>
        <w:t xml:space="preserve"> </w:t>
      </w:r>
    </w:p>
    <w:p w14:paraId="54D31BCF" w14:textId="26715F13" w:rsidR="00CB1BE2" w:rsidRPr="00CB1BE2" w:rsidRDefault="00CB1BE2" w:rsidP="00CB1BE2">
      <w:pPr>
        <w:rPr>
          <w:rFonts w:ascii="Arial" w:hAnsi="Arial" w:cs="Arial"/>
        </w:rPr>
      </w:pPr>
      <w:r w:rsidRPr="00CB1BE2">
        <w:rPr>
          <w:rFonts w:ascii="Arial" w:hAnsi="Arial" w:cs="Arial"/>
        </w:rPr>
        <w:t xml:space="preserve">This chapter presents and critically discusses the main findings from the thematic analysis of secondary literature examining the effectiveness of the UK’s healthcare provisions for individuals diagnosed with SCZ. Building on the methodology outlined in Chapter 3, this section explores patterns and shared concerns identified across selected studies. The discussion is organised into three core themes: access to services, </w:t>
      </w:r>
      <w:r w:rsidR="00B11D88">
        <w:rPr>
          <w:rFonts w:ascii="Arial" w:hAnsi="Arial" w:cs="Arial"/>
        </w:rPr>
        <w:t>C</w:t>
      </w:r>
      <w:r w:rsidRPr="00CB1BE2">
        <w:rPr>
          <w:rFonts w:ascii="Arial" w:hAnsi="Arial" w:cs="Arial"/>
        </w:rPr>
        <w:t xml:space="preserve">ultural and </w:t>
      </w:r>
      <w:r w:rsidR="00B11D88">
        <w:rPr>
          <w:rFonts w:ascii="Arial" w:hAnsi="Arial" w:cs="Arial"/>
        </w:rPr>
        <w:t>E</w:t>
      </w:r>
      <w:r w:rsidRPr="00CB1BE2">
        <w:rPr>
          <w:rFonts w:ascii="Arial" w:hAnsi="Arial" w:cs="Arial"/>
        </w:rPr>
        <w:t xml:space="preserve">thnic </w:t>
      </w:r>
      <w:r w:rsidR="00B11D88">
        <w:rPr>
          <w:rFonts w:ascii="Arial" w:hAnsi="Arial" w:cs="Arial"/>
        </w:rPr>
        <w:t>I</w:t>
      </w:r>
      <w:r w:rsidRPr="00CB1BE2">
        <w:rPr>
          <w:rFonts w:ascii="Arial" w:hAnsi="Arial" w:cs="Arial"/>
        </w:rPr>
        <w:t xml:space="preserve">nequalities, </w:t>
      </w:r>
      <w:r w:rsidR="00B11D88">
        <w:rPr>
          <w:rFonts w:ascii="Arial" w:hAnsi="Arial" w:cs="Arial"/>
        </w:rPr>
        <w:t>T</w:t>
      </w:r>
      <w:r w:rsidRPr="00CB1BE2">
        <w:rPr>
          <w:rFonts w:ascii="Arial" w:hAnsi="Arial" w:cs="Arial"/>
        </w:rPr>
        <w:t xml:space="preserve">herapeutic </w:t>
      </w:r>
      <w:r w:rsidR="00B11D88">
        <w:rPr>
          <w:rFonts w:ascii="Arial" w:hAnsi="Arial" w:cs="Arial"/>
        </w:rPr>
        <w:t>I</w:t>
      </w:r>
      <w:r w:rsidRPr="00CB1BE2">
        <w:rPr>
          <w:rFonts w:ascii="Arial" w:hAnsi="Arial" w:cs="Arial"/>
        </w:rPr>
        <w:t xml:space="preserve">nterventions, and </w:t>
      </w:r>
      <w:r w:rsidR="00B11D88">
        <w:rPr>
          <w:rFonts w:ascii="Arial" w:hAnsi="Arial" w:cs="Arial"/>
        </w:rPr>
        <w:t>C</w:t>
      </w:r>
      <w:r w:rsidRPr="00CB1BE2">
        <w:rPr>
          <w:rFonts w:ascii="Arial" w:hAnsi="Arial" w:cs="Arial"/>
        </w:rPr>
        <w:t>ommunity. Each theme is analysed in relation to the research aim, with attention given to existing UK policy and practice. The evaluation draws on relevant literature and coding outcomes to support evidence-based conclusions.</w:t>
      </w:r>
    </w:p>
    <w:p w14:paraId="7F7AB474" w14:textId="77777777" w:rsidR="007D5AE6" w:rsidRPr="00A02950" w:rsidRDefault="007D5AE6" w:rsidP="007D5AE6">
      <w:pPr>
        <w:rPr>
          <w:sz w:val="28"/>
          <w:szCs w:val="28"/>
        </w:rPr>
      </w:pPr>
    </w:p>
    <w:p w14:paraId="2169CBF7" w14:textId="6C7CD5D7" w:rsidR="007D5AE6" w:rsidRDefault="007D5AE6" w:rsidP="000325CD">
      <w:pPr>
        <w:pStyle w:val="Heading2"/>
      </w:pPr>
      <w:bookmarkStart w:id="31" w:name="_Toc204981500"/>
      <w:r w:rsidRPr="00A02950">
        <w:t xml:space="preserve">4.2 Thematic </w:t>
      </w:r>
      <w:r w:rsidR="003A3CBC" w:rsidRPr="00A02950">
        <w:t>Analysis</w:t>
      </w:r>
      <w:bookmarkEnd w:id="31"/>
      <w:r w:rsidR="003A3CBC" w:rsidRPr="00AF38E6">
        <w:t xml:space="preserve"> </w:t>
      </w:r>
      <w:r w:rsidR="003A3CBC">
        <w:t xml:space="preserve"> </w:t>
      </w:r>
    </w:p>
    <w:p w14:paraId="6B0B5134" w14:textId="77777777" w:rsidR="00A949C6" w:rsidRPr="000B68A1" w:rsidRDefault="00A949C6" w:rsidP="000B68A1">
      <w:pPr>
        <w:pStyle w:val="NormalWeb"/>
        <w:spacing w:line="360" w:lineRule="auto"/>
        <w:jc w:val="both"/>
        <w:rPr>
          <w:rFonts w:ascii="Arial" w:hAnsi="Arial" w:cs="Arial"/>
          <w:sz w:val="22"/>
          <w:szCs w:val="22"/>
        </w:rPr>
      </w:pPr>
      <w:r w:rsidRPr="000B68A1">
        <w:rPr>
          <w:rFonts w:ascii="Arial" w:hAnsi="Arial" w:cs="Arial"/>
          <w:sz w:val="22"/>
          <w:szCs w:val="22"/>
        </w:rPr>
        <w:t xml:space="preserve">Thematic analysis is a widely used qualitative method for identifying, analysing, and interpreting patterns of meaning or </w:t>
      </w:r>
      <w:r w:rsidRPr="000B68A1">
        <w:rPr>
          <w:rStyle w:val="Emphasis"/>
          <w:rFonts w:ascii="Arial" w:eastAsia="Calibri Light" w:hAnsi="Arial" w:cs="Arial"/>
          <w:sz w:val="22"/>
          <w:szCs w:val="22"/>
        </w:rPr>
        <w:t>themes</w:t>
      </w:r>
      <w:r w:rsidRPr="000B68A1">
        <w:rPr>
          <w:rFonts w:ascii="Arial" w:hAnsi="Arial" w:cs="Arial"/>
          <w:sz w:val="22"/>
          <w:szCs w:val="22"/>
        </w:rPr>
        <w:t xml:space="preserve"> within </w:t>
      </w:r>
      <w:r w:rsidRPr="00B500BB">
        <w:rPr>
          <w:rFonts w:ascii="Arial" w:hAnsi="Arial" w:cs="Arial"/>
          <w:sz w:val="22"/>
          <w:szCs w:val="22"/>
        </w:rPr>
        <w:t xml:space="preserve">data (Lochmiller, 2021; </w:t>
      </w:r>
      <w:r w:rsidRPr="00833120">
        <w:rPr>
          <w:rFonts w:ascii="Arial" w:hAnsi="Arial" w:cs="Arial"/>
          <w:sz w:val="22"/>
          <w:szCs w:val="22"/>
        </w:rPr>
        <w:t>Naeem</w:t>
      </w:r>
      <w:r w:rsidRPr="00833120">
        <w:rPr>
          <w:rFonts w:ascii="Arial" w:hAnsi="Arial" w:cs="Arial"/>
          <w:i/>
          <w:iCs/>
          <w:sz w:val="22"/>
          <w:szCs w:val="22"/>
        </w:rPr>
        <w:t xml:space="preserve"> et al., </w:t>
      </w:r>
      <w:r w:rsidRPr="00833120">
        <w:rPr>
          <w:rFonts w:ascii="Arial" w:hAnsi="Arial" w:cs="Arial"/>
          <w:sz w:val="22"/>
          <w:szCs w:val="22"/>
        </w:rPr>
        <w:t>2023).</w:t>
      </w:r>
      <w:r w:rsidRPr="000B68A1">
        <w:rPr>
          <w:rFonts w:ascii="Arial" w:hAnsi="Arial" w:cs="Arial"/>
          <w:sz w:val="22"/>
          <w:szCs w:val="22"/>
        </w:rPr>
        <w:t xml:space="preserve"> In the context of secondary research, this method supports the structured synthesis of literature </w:t>
      </w:r>
      <w:r w:rsidRPr="00D80EC3">
        <w:rPr>
          <w:rFonts w:ascii="Arial" w:hAnsi="Arial" w:cs="Arial"/>
          <w:sz w:val="22"/>
          <w:szCs w:val="22"/>
        </w:rPr>
        <w:t>by enabling the coding and organisation of recurring concepts across studies (Braun &amp; Clarke, 2016).</w:t>
      </w:r>
      <w:r w:rsidRPr="000B68A1">
        <w:rPr>
          <w:rFonts w:ascii="Arial" w:hAnsi="Arial" w:cs="Arial"/>
          <w:sz w:val="22"/>
          <w:szCs w:val="22"/>
        </w:rPr>
        <w:t xml:space="preserve"> Thematic analysis facilitated a comprehensive evaluation of recurring issues in UK mental health care provision for individuals with SCZ.</w:t>
      </w:r>
    </w:p>
    <w:p w14:paraId="0EE5E63D" w14:textId="4B6907E7" w:rsidR="00DF1EB6" w:rsidRPr="00DF1EB6" w:rsidRDefault="00DF1EB6" w:rsidP="00DF1EB6">
      <w:pPr>
        <w:pStyle w:val="NormalWeb"/>
        <w:spacing w:line="360" w:lineRule="auto"/>
        <w:jc w:val="both"/>
        <w:rPr>
          <w:rFonts w:ascii="Arial" w:hAnsi="Arial" w:cs="Arial"/>
          <w:sz w:val="22"/>
          <w:szCs w:val="22"/>
        </w:rPr>
      </w:pPr>
      <w:r w:rsidRPr="00DF1EB6">
        <w:rPr>
          <w:rFonts w:ascii="Arial" w:hAnsi="Arial" w:cs="Arial"/>
          <w:sz w:val="22"/>
          <w:szCs w:val="22"/>
        </w:rPr>
        <w:t xml:space="preserve">In this study, </w:t>
      </w:r>
      <w:r w:rsidRPr="00D80EC3">
        <w:rPr>
          <w:rFonts w:ascii="Arial" w:hAnsi="Arial" w:cs="Arial"/>
          <w:sz w:val="22"/>
          <w:szCs w:val="22"/>
        </w:rPr>
        <w:t>Braun and Clarke (2006) six</w:t>
      </w:r>
      <w:r w:rsidRPr="00DF1EB6">
        <w:rPr>
          <w:rFonts w:ascii="Arial" w:hAnsi="Arial" w:cs="Arial"/>
          <w:sz w:val="22"/>
          <w:szCs w:val="22"/>
        </w:rPr>
        <w:t>-phase framework was applied: familiarisation with the data, generating initial codes, searching for themes, reviewing themes, defining and naming themes, and producing the report. Each study was coded manually, focusing on repeated keywords, challenges, and findings that aligned with the research objectives.</w:t>
      </w:r>
    </w:p>
    <w:p w14:paraId="5A67BC4F" w14:textId="77777777" w:rsidR="00A949C6" w:rsidRDefault="00A949C6" w:rsidP="000B68A1">
      <w:pPr>
        <w:pStyle w:val="NormalWeb"/>
        <w:spacing w:line="360" w:lineRule="auto"/>
        <w:jc w:val="both"/>
        <w:rPr>
          <w:rFonts w:ascii="Arial" w:hAnsi="Arial" w:cs="Arial"/>
          <w:sz w:val="22"/>
          <w:szCs w:val="22"/>
        </w:rPr>
      </w:pPr>
      <w:r w:rsidRPr="000B68A1">
        <w:rPr>
          <w:rFonts w:ascii="Arial" w:hAnsi="Arial" w:cs="Arial"/>
          <w:sz w:val="22"/>
          <w:szCs w:val="22"/>
        </w:rPr>
        <w:t xml:space="preserve">The coding process culminated in the identification of three overarching themes: </w:t>
      </w:r>
      <w:r w:rsidRPr="000B68A1">
        <w:rPr>
          <w:rStyle w:val="Strong"/>
          <w:rFonts w:ascii="Arial" w:hAnsi="Arial" w:cs="Arial"/>
          <w:b w:val="0"/>
          <w:bCs w:val="0"/>
          <w:sz w:val="22"/>
          <w:szCs w:val="22"/>
        </w:rPr>
        <w:t>Access to</w:t>
      </w:r>
      <w:r w:rsidRPr="000B68A1">
        <w:rPr>
          <w:rStyle w:val="Strong"/>
          <w:rFonts w:ascii="Arial" w:hAnsi="Arial" w:cs="Arial"/>
          <w:sz w:val="22"/>
          <w:szCs w:val="22"/>
        </w:rPr>
        <w:t xml:space="preserve"> </w:t>
      </w:r>
      <w:r w:rsidRPr="000B68A1">
        <w:rPr>
          <w:rStyle w:val="Strong"/>
          <w:rFonts w:ascii="Arial" w:hAnsi="Arial" w:cs="Arial"/>
          <w:b w:val="0"/>
          <w:bCs w:val="0"/>
          <w:sz w:val="22"/>
          <w:szCs w:val="22"/>
        </w:rPr>
        <w:t>Services</w:t>
      </w:r>
      <w:r w:rsidRPr="000B68A1">
        <w:rPr>
          <w:rFonts w:ascii="Arial" w:hAnsi="Arial" w:cs="Arial"/>
          <w:b/>
          <w:bCs/>
          <w:sz w:val="22"/>
          <w:szCs w:val="22"/>
        </w:rPr>
        <w:t xml:space="preserve">, </w:t>
      </w:r>
      <w:r w:rsidRPr="000B68A1">
        <w:rPr>
          <w:rStyle w:val="Strong"/>
          <w:rFonts w:ascii="Arial" w:hAnsi="Arial" w:cs="Arial"/>
          <w:b w:val="0"/>
          <w:bCs w:val="0"/>
          <w:sz w:val="22"/>
          <w:szCs w:val="22"/>
        </w:rPr>
        <w:t>Cultural and Ethnic Inequality</w:t>
      </w:r>
      <w:r w:rsidRPr="000B68A1">
        <w:rPr>
          <w:rFonts w:ascii="Arial" w:hAnsi="Arial" w:cs="Arial"/>
          <w:b/>
          <w:bCs/>
          <w:sz w:val="22"/>
          <w:szCs w:val="22"/>
        </w:rPr>
        <w:t xml:space="preserve">, </w:t>
      </w:r>
      <w:r w:rsidRPr="000B68A1">
        <w:rPr>
          <w:rFonts w:ascii="Arial" w:hAnsi="Arial" w:cs="Arial"/>
          <w:sz w:val="22"/>
          <w:szCs w:val="22"/>
        </w:rPr>
        <w:t xml:space="preserve">and </w:t>
      </w:r>
      <w:r w:rsidRPr="000B68A1">
        <w:rPr>
          <w:rStyle w:val="Strong"/>
          <w:rFonts w:ascii="Arial" w:hAnsi="Arial" w:cs="Arial"/>
          <w:b w:val="0"/>
          <w:bCs w:val="0"/>
          <w:sz w:val="22"/>
          <w:szCs w:val="22"/>
        </w:rPr>
        <w:t>Therapeutic Interventions and Community Care</w:t>
      </w:r>
      <w:r w:rsidRPr="000B68A1">
        <w:rPr>
          <w:rFonts w:ascii="Arial" w:hAnsi="Arial" w:cs="Arial"/>
          <w:b/>
          <w:bCs/>
          <w:sz w:val="22"/>
          <w:szCs w:val="22"/>
        </w:rPr>
        <w:t>.</w:t>
      </w:r>
      <w:r w:rsidRPr="000B68A1">
        <w:rPr>
          <w:rFonts w:ascii="Arial" w:hAnsi="Arial" w:cs="Arial"/>
          <w:sz w:val="22"/>
          <w:szCs w:val="22"/>
        </w:rPr>
        <w:t xml:space="preserve"> The following sections discuss these themes in depth.</w:t>
      </w:r>
    </w:p>
    <w:p w14:paraId="4128BCC0" w14:textId="109C3F12" w:rsidR="00A02950" w:rsidRPr="00CF7C1F" w:rsidRDefault="00E827D7" w:rsidP="000B68A1">
      <w:pPr>
        <w:pStyle w:val="NormalWeb"/>
        <w:spacing w:line="360" w:lineRule="auto"/>
        <w:jc w:val="both"/>
        <w:rPr>
          <w:rFonts w:ascii="Arial" w:hAnsi="Arial" w:cs="Arial"/>
        </w:rPr>
      </w:pPr>
      <w:r w:rsidRPr="00E827D7">
        <w:rPr>
          <w:rFonts w:ascii="Arial" w:hAnsi="Arial" w:cs="Arial"/>
          <w:sz w:val="22"/>
          <w:szCs w:val="22"/>
        </w:rPr>
        <w:t>A thematic code table was developed to visually categorise the studies according to their relevance to the identified themes. While Appendix 6.2.2 outlines the initial coding framework, the results table in Appendix 6.2.5 presents a more refined synthesis of thematic findings and author contributions</w:t>
      </w:r>
      <w:r w:rsidRPr="00E827D7">
        <w:rPr>
          <w:rFonts w:ascii="Arial" w:hAnsi="Arial" w:cs="Arial"/>
        </w:rPr>
        <w:t>.</w:t>
      </w:r>
    </w:p>
    <w:p w14:paraId="328058A5" w14:textId="29CD1F7C" w:rsidR="007D5AE6" w:rsidRPr="000B68A1" w:rsidRDefault="007D5AE6" w:rsidP="000B68A1">
      <w:pPr>
        <w:ind w:left="720"/>
      </w:pPr>
    </w:p>
    <w:p w14:paraId="77E08AA6" w14:textId="4D9EF91D" w:rsidR="00B47306" w:rsidRPr="00CF7C1F" w:rsidRDefault="007D5AE6" w:rsidP="00CF7C1F">
      <w:pPr>
        <w:rPr>
          <w:rFonts w:ascii="Arial" w:hAnsi="Arial" w:cs="Arial"/>
          <w:b/>
          <w:bCs/>
          <w:color w:val="8496B0" w:themeColor="text2" w:themeTint="99"/>
        </w:rPr>
      </w:pPr>
      <w:r w:rsidRPr="00A02950">
        <w:rPr>
          <w:rFonts w:ascii="Arial" w:hAnsi="Arial" w:cs="Arial"/>
          <w:b/>
          <w:bCs/>
          <w:i/>
          <w:iCs/>
          <w:sz w:val="28"/>
          <w:szCs w:val="28"/>
        </w:rPr>
        <w:t>4.3 – Theme 1</w:t>
      </w:r>
      <w:r w:rsidRPr="00A02950">
        <w:rPr>
          <w:sz w:val="28"/>
          <w:szCs w:val="28"/>
        </w:rPr>
        <w:t xml:space="preserve"> </w:t>
      </w:r>
      <w:r w:rsidR="005C0205" w:rsidRPr="00A02950">
        <w:rPr>
          <w:rFonts w:ascii="Arial" w:hAnsi="Arial" w:cs="Arial"/>
          <w:b/>
          <w:bCs/>
          <w:i/>
          <w:iCs/>
          <w:sz w:val="28"/>
          <w:szCs w:val="28"/>
        </w:rPr>
        <w:t xml:space="preserve">Access to </w:t>
      </w:r>
      <w:r w:rsidR="009E45B3" w:rsidRPr="00A02950">
        <w:rPr>
          <w:rFonts w:ascii="Arial" w:hAnsi="Arial" w:cs="Arial"/>
          <w:b/>
          <w:bCs/>
          <w:i/>
          <w:iCs/>
          <w:sz w:val="28"/>
          <w:szCs w:val="28"/>
        </w:rPr>
        <w:t>Services</w:t>
      </w:r>
      <w:r w:rsidR="009E45B3" w:rsidRPr="005C0205">
        <w:t xml:space="preserve"> </w:t>
      </w:r>
      <w:bookmarkStart w:id="32" w:name="_Hlk202731806"/>
    </w:p>
    <w:p w14:paraId="19F7331F" w14:textId="77777777" w:rsidR="00B47306" w:rsidRPr="00636D9A" w:rsidRDefault="00B47306" w:rsidP="00FD0175">
      <w:pPr>
        <w:pStyle w:val="Heading1"/>
      </w:pPr>
    </w:p>
    <w:p w14:paraId="126135F0" w14:textId="1D56DDA8" w:rsidR="00E56AAF" w:rsidRPr="003A3CBC" w:rsidRDefault="007D5AE6" w:rsidP="006331DF">
      <w:pPr>
        <w:pStyle w:val="Heading4"/>
        <w:rPr>
          <w:rFonts w:ascii="Arial" w:hAnsi="Arial" w:cs="Arial"/>
          <w:b/>
          <w:bCs/>
          <w:color w:val="auto"/>
          <w:sz w:val="24"/>
          <w:szCs w:val="24"/>
        </w:rPr>
      </w:pPr>
      <w:bookmarkStart w:id="33" w:name="_Hlk202734897"/>
      <w:r w:rsidRPr="00A02950">
        <w:rPr>
          <w:rFonts w:ascii="Arial" w:hAnsi="Arial" w:cs="Arial"/>
          <w:b/>
          <w:bCs/>
          <w:color w:val="auto"/>
          <w:sz w:val="28"/>
          <w:szCs w:val="28"/>
        </w:rPr>
        <w:t xml:space="preserve">Definition </w:t>
      </w:r>
      <w:r w:rsidR="00034953" w:rsidRPr="00A02950">
        <w:rPr>
          <w:rFonts w:ascii="Arial" w:hAnsi="Arial" w:cs="Arial"/>
          <w:b/>
          <w:bCs/>
          <w:color w:val="auto"/>
          <w:sz w:val="28"/>
          <w:szCs w:val="28"/>
        </w:rPr>
        <w:t>and Re</w:t>
      </w:r>
      <w:r w:rsidR="00505CD9" w:rsidRPr="00A02950">
        <w:rPr>
          <w:rFonts w:ascii="Arial" w:hAnsi="Arial" w:cs="Arial"/>
          <w:b/>
          <w:bCs/>
          <w:color w:val="auto"/>
          <w:sz w:val="28"/>
          <w:szCs w:val="28"/>
        </w:rPr>
        <w:t>levance to SCZ</w:t>
      </w:r>
      <w:r w:rsidR="00FC4682" w:rsidRPr="003A3CBC">
        <w:rPr>
          <w:rFonts w:ascii="Arial" w:hAnsi="Arial" w:cs="Arial"/>
          <w:b/>
          <w:bCs/>
          <w:color w:val="auto"/>
          <w:sz w:val="24"/>
          <w:szCs w:val="24"/>
        </w:rPr>
        <w:t xml:space="preserve">   </w:t>
      </w:r>
      <w:r w:rsidR="00BC3482">
        <w:rPr>
          <w:rFonts w:ascii="Arial" w:hAnsi="Arial" w:cs="Arial"/>
          <w:b/>
          <w:bCs/>
          <w:color w:val="auto"/>
          <w:sz w:val="24"/>
          <w:szCs w:val="24"/>
        </w:rPr>
        <w:t xml:space="preserve"> </w:t>
      </w:r>
    </w:p>
    <w:p w14:paraId="4A472B55" w14:textId="77777777" w:rsidR="00A80BCC" w:rsidRPr="00A80BCC" w:rsidRDefault="00A80BCC" w:rsidP="00A80BCC"/>
    <w:p w14:paraId="755F946A" w14:textId="5EA555BF" w:rsidR="00A80BCC" w:rsidRPr="00A80BCC" w:rsidRDefault="00A80BCC" w:rsidP="00A80BCC">
      <w:pPr>
        <w:rPr>
          <w:rFonts w:ascii="Arial" w:hAnsi="Arial" w:cs="Arial"/>
          <w:lang w:eastAsia="en-GB"/>
        </w:rPr>
      </w:pPr>
      <w:r w:rsidRPr="00A80BCC">
        <w:rPr>
          <w:rFonts w:ascii="Arial" w:hAnsi="Arial" w:cs="Arial"/>
          <w:lang w:eastAsia="en-GB"/>
        </w:rPr>
        <w:t xml:space="preserve">Access to services refers to the ability of individuals to obtain and utilise appropriate health and social </w:t>
      </w:r>
      <w:r w:rsidRPr="00D37090">
        <w:rPr>
          <w:rFonts w:ascii="Arial" w:hAnsi="Arial" w:cs="Arial"/>
          <w:lang w:eastAsia="en-GB"/>
        </w:rPr>
        <w:t>care</w:t>
      </w:r>
      <w:r w:rsidR="00B37E14" w:rsidRPr="00D37090">
        <w:rPr>
          <w:rFonts w:ascii="Arial" w:hAnsi="Arial" w:cs="Arial"/>
          <w:lang w:eastAsia="en-GB"/>
        </w:rPr>
        <w:t xml:space="preserve"> (NHS George Eliot Hospital, 2025</w:t>
      </w:r>
      <w:r w:rsidR="00CD10BA" w:rsidRPr="00D37090">
        <w:rPr>
          <w:rFonts w:ascii="Arial" w:hAnsi="Arial" w:cs="Arial"/>
          <w:lang w:eastAsia="en-GB"/>
        </w:rPr>
        <w:t>)</w:t>
      </w:r>
      <w:r w:rsidRPr="00D37090">
        <w:rPr>
          <w:rFonts w:ascii="Arial" w:hAnsi="Arial" w:cs="Arial"/>
          <w:lang w:eastAsia="en-GB"/>
        </w:rPr>
        <w:t>.</w:t>
      </w:r>
      <w:r w:rsidRPr="00A80BCC">
        <w:rPr>
          <w:rFonts w:ascii="Arial" w:hAnsi="Arial" w:cs="Arial"/>
          <w:lang w:eastAsia="en-GB"/>
        </w:rPr>
        <w:t xml:space="preserve"> In the context of SCZ, this includes not only the physical availability of services but also timely access, cultural relevance, geographic distribution, affordability, and patient engagement </w:t>
      </w:r>
      <w:r w:rsidR="00CD10BA" w:rsidRPr="00D37090">
        <w:rPr>
          <w:rFonts w:ascii="Arial" w:hAnsi="Arial" w:cs="Arial"/>
          <w:lang w:eastAsia="en-GB"/>
        </w:rPr>
        <w:t>(</w:t>
      </w:r>
      <w:r w:rsidRPr="00D37090">
        <w:rPr>
          <w:rFonts w:ascii="Arial" w:hAnsi="Arial" w:cs="Arial"/>
          <w:lang w:eastAsia="en-GB"/>
        </w:rPr>
        <w:t xml:space="preserve">Cu </w:t>
      </w:r>
      <w:r w:rsidRPr="00D37090">
        <w:rPr>
          <w:rFonts w:ascii="Arial" w:hAnsi="Arial" w:cs="Arial"/>
          <w:i/>
          <w:iCs/>
          <w:lang w:eastAsia="en-GB"/>
        </w:rPr>
        <w:t xml:space="preserve">et al., </w:t>
      </w:r>
      <w:r w:rsidRPr="00D37090">
        <w:rPr>
          <w:rFonts w:ascii="Arial" w:hAnsi="Arial" w:cs="Arial"/>
          <w:lang w:eastAsia="en-GB"/>
        </w:rPr>
        <w:t>2021). Poor</w:t>
      </w:r>
      <w:r w:rsidRPr="00A80BCC">
        <w:rPr>
          <w:rFonts w:ascii="Arial" w:hAnsi="Arial" w:cs="Arial"/>
          <w:lang w:eastAsia="en-GB"/>
        </w:rPr>
        <w:t xml:space="preserve"> access leads to delays in diagnosis and treatment, directly impacting prognosis and long-term recovery outcomes </w:t>
      </w:r>
      <w:r w:rsidRPr="00F67192">
        <w:rPr>
          <w:rFonts w:ascii="Arial" w:hAnsi="Arial" w:cs="Arial"/>
          <w:lang w:eastAsia="en-GB"/>
        </w:rPr>
        <w:t>(Royal College of Psychiatrists, 2022)</w:t>
      </w:r>
      <w:r w:rsidR="003A3CBC" w:rsidRPr="00F67192">
        <w:rPr>
          <w:rFonts w:ascii="Arial" w:hAnsi="Arial" w:cs="Arial"/>
          <w:lang w:eastAsia="en-GB"/>
        </w:rPr>
        <w:t>.</w:t>
      </w:r>
    </w:p>
    <w:p w14:paraId="17CF74BA" w14:textId="77777777" w:rsidR="003A3CBC" w:rsidRDefault="003A3CBC" w:rsidP="00A80BCC">
      <w:pPr>
        <w:pStyle w:val="Heading4"/>
        <w:rPr>
          <w:rFonts w:ascii="Arial" w:hAnsi="Arial" w:cs="Arial"/>
          <w:b/>
          <w:bCs/>
          <w:color w:val="auto"/>
        </w:rPr>
      </w:pPr>
    </w:p>
    <w:p w14:paraId="29E6FD5E" w14:textId="61B9FFC3" w:rsidR="00A80BCC" w:rsidRPr="003A3CBC" w:rsidRDefault="00A80BCC" w:rsidP="00A80BCC">
      <w:pPr>
        <w:pStyle w:val="Heading4"/>
        <w:rPr>
          <w:rFonts w:ascii="Arial" w:hAnsi="Arial" w:cs="Arial"/>
          <w:b/>
          <w:bCs/>
          <w:color w:val="auto"/>
          <w:sz w:val="24"/>
          <w:szCs w:val="24"/>
        </w:rPr>
      </w:pPr>
      <w:r w:rsidRPr="00A02950">
        <w:rPr>
          <w:rFonts w:ascii="Arial" w:hAnsi="Arial" w:cs="Arial"/>
          <w:b/>
          <w:bCs/>
          <w:color w:val="auto"/>
          <w:sz w:val="28"/>
          <w:szCs w:val="28"/>
        </w:rPr>
        <w:t xml:space="preserve">Historical/Contextual Background </w:t>
      </w:r>
      <w:r w:rsidR="00FC4682" w:rsidRPr="00A02950">
        <w:rPr>
          <w:rFonts w:ascii="Arial" w:hAnsi="Arial" w:cs="Arial"/>
          <w:b/>
          <w:bCs/>
          <w:color w:val="auto"/>
          <w:sz w:val="28"/>
          <w:szCs w:val="28"/>
        </w:rPr>
        <w:t xml:space="preserve"> </w:t>
      </w:r>
    </w:p>
    <w:p w14:paraId="636BB532" w14:textId="77777777" w:rsidR="003A3CBC" w:rsidRPr="003A3CBC" w:rsidRDefault="003A3CBC" w:rsidP="003A3CBC"/>
    <w:bookmarkEnd w:id="32"/>
    <w:bookmarkEnd w:id="33"/>
    <w:p w14:paraId="363403CE" w14:textId="057B18A2" w:rsidR="00CD45E4" w:rsidRPr="00CD45E4" w:rsidRDefault="00CD45E4" w:rsidP="00CD45E4">
      <w:pPr>
        <w:pStyle w:val="NormalWeb"/>
        <w:spacing w:line="360" w:lineRule="auto"/>
        <w:jc w:val="both"/>
        <w:rPr>
          <w:rFonts w:ascii="Arial" w:hAnsi="Arial" w:cs="Arial"/>
          <w:sz w:val="22"/>
          <w:szCs w:val="22"/>
        </w:rPr>
      </w:pPr>
      <w:r w:rsidRPr="00CD45E4">
        <w:rPr>
          <w:rFonts w:ascii="Arial" w:hAnsi="Arial" w:cs="Arial"/>
          <w:sz w:val="22"/>
          <w:szCs w:val="22"/>
        </w:rPr>
        <w:t xml:space="preserve">Building on the historical evolution of SCZ outlined in Section 2.2, UK treatment models shifted from institutionalisation to community-based care in the </w:t>
      </w:r>
      <w:r w:rsidRPr="00F67192">
        <w:rPr>
          <w:rFonts w:ascii="Arial" w:hAnsi="Arial" w:cs="Arial"/>
          <w:sz w:val="22"/>
          <w:szCs w:val="22"/>
        </w:rPr>
        <w:t>1980s (Royal College of Psychiatrists, 2022).</w:t>
      </w:r>
      <w:r w:rsidRPr="00CD45E4">
        <w:rPr>
          <w:rFonts w:ascii="Arial" w:hAnsi="Arial" w:cs="Arial"/>
          <w:sz w:val="22"/>
          <w:szCs w:val="22"/>
        </w:rPr>
        <w:t xml:space="preserve"> The 'Care in the Community' initiative promoted localised support for individuals with enduring mental illnesses, including SCZ. However, limited reinvestment into local </w:t>
      </w:r>
      <w:r w:rsidRPr="00EE0C48">
        <w:rPr>
          <w:rFonts w:ascii="Arial" w:hAnsi="Arial" w:cs="Arial"/>
          <w:sz w:val="22"/>
          <w:szCs w:val="22"/>
        </w:rPr>
        <w:t>infrastructure left persistent service gaps, particularly in rural and under-resourced regions (Royal College of Psychiatrists, 202</w:t>
      </w:r>
      <w:r w:rsidR="00E43C12" w:rsidRPr="00EE0C48">
        <w:rPr>
          <w:rFonts w:ascii="Arial" w:hAnsi="Arial" w:cs="Arial"/>
          <w:sz w:val="22"/>
          <w:szCs w:val="22"/>
        </w:rPr>
        <w:t>4</w:t>
      </w:r>
      <w:r w:rsidRPr="00EE0C48">
        <w:rPr>
          <w:rFonts w:ascii="Arial" w:hAnsi="Arial" w:cs="Arial"/>
          <w:sz w:val="22"/>
          <w:szCs w:val="22"/>
        </w:rPr>
        <w:t>; Adcock, Parkin</w:t>
      </w:r>
      <w:r w:rsidRPr="00101D2A">
        <w:rPr>
          <w:rFonts w:ascii="Arial" w:hAnsi="Arial" w:cs="Arial"/>
          <w:sz w:val="22"/>
          <w:szCs w:val="22"/>
        </w:rPr>
        <w:t xml:space="preserve"> &amp; Abreu, 2025).</w:t>
      </w:r>
    </w:p>
    <w:p w14:paraId="0482CD35" w14:textId="3D0FC612" w:rsidR="00CD45E4" w:rsidRPr="00CD45E4" w:rsidRDefault="00CD45E4" w:rsidP="00CD45E4">
      <w:pPr>
        <w:pStyle w:val="NormalWeb"/>
        <w:spacing w:line="360" w:lineRule="auto"/>
        <w:jc w:val="both"/>
        <w:rPr>
          <w:rFonts w:ascii="Arial" w:hAnsi="Arial" w:cs="Arial"/>
          <w:sz w:val="22"/>
          <w:szCs w:val="22"/>
        </w:rPr>
      </w:pPr>
      <w:r w:rsidRPr="00CD45E4">
        <w:rPr>
          <w:rFonts w:ascii="Arial" w:hAnsi="Arial" w:cs="Arial"/>
          <w:sz w:val="22"/>
          <w:szCs w:val="22"/>
        </w:rPr>
        <w:t xml:space="preserve">The Mental Capacity Act 2005 further shaped UK mental health care by establishing a legal framework for supporting individuals who may lack the capacity to make decisions about their treatment and </w:t>
      </w:r>
      <w:r w:rsidRPr="00101D2A">
        <w:rPr>
          <w:rFonts w:ascii="Arial" w:hAnsi="Arial" w:cs="Arial"/>
          <w:sz w:val="22"/>
          <w:szCs w:val="22"/>
        </w:rPr>
        <w:t>care (Department for Constitutional Affairs, 2007).</w:t>
      </w:r>
      <w:r w:rsidRPr="00CD45E4">
        <w:rPr>
          <w:rFonts w:ascii="Arial" w:hAnsi="Arial" w:cs="Arial"/>
          <w:sz w:val="22"/>
          <w:szCs w:val="22"/>
        </w:rPr>
        <w:t xml:space="preserve"> This Act ensures decisions are made in the individual’s best interests and reinforces service-user rights</w:t>
      </w:r>
      <w:r w:rsidR="00603D7C">
        <w:rPr>
          <w:rFonts w:ascii="Arial" w:hAnsi="Arial" w:cs="Arial"/>
          <w:sz w:val="22"/>
          <w:szCs w:val="22"/>
        </w:rPr>
        <w:t xml:space="preserve">, </w:t>
      </w:r>
      <w:r w:rsidRPr="00CD45E4">
        <w:rPr>
          <w:rFonts w:ascii="Arial" w:hAnsi="Arial" w:cs="Arial"/>
          <w:sz w:val="22"/>
          <w:szCs w:val="22"/>
        </w:rPr>
        <w:t>especially relevant in complex SCZ presentations where autonomy can be impaired.</w:t>
      </w:r>
    </w:p>
    <w:p w14:paraId="290715CA" w14:textId="20EED6E8" w:rsidR="00CD45E4" w:rsidRPr="002A7304" w:rsidRDefault="00CD45E4" w:rsidP="002A7304">
      <w:pPr>
        <w:rPr>
          <w:rFonts w:ascii="Arial" w:eastAsia="Times New Roman" w:hAnsi="Arial" w:cs="Arial"/>
          <w:kern w:val="0"/>
          <w:lang w:eastAsia="en-GB"/>
          <w14:ligatures w14:val="none"/>
        </w:rPr>
      </w:pPr>
      <w:r w:rsidRPr="002A7304">
        <w:rPr>
          <w:rFonts w:ascii="Arial" w:hAnsi="Arial" w:cs="Arial"/>
        </w:rPr>
        <w:t>Despite ongoing policy initiatives, including the NHS Long-Term Plan 2019, implementation remains inconsistent</w:t>
      </w:r>
      <w:r w:rsidR="006F1C28" w:rsidRPr="002A7304">
        <w:rPr>
          <w:rFonts w:ascii="Arial" w:hAnsi="Arial" w:cs="Arial"/>
        </w:rPr>
        <w:t xml:space="preserve"> </w:t>
      </w:r>
      <w:r w:rsidR="002A7304" w:rsidRPr="00941A28">
        <w:rPr>
          <w:rFonts w:ascii="Arial" w:eastAsia="Times New Roman" w:hAnsi="Arial" w:cs="Arial"/>
          <w:kern w:val="0"/>
          <w:lang w:eastAsia="en-GB"/>
          <w14:ligatures w14:val="none"/>
        </w:rPr>
        <w:t>(NHS England, 2019)</w:t>
      </w:r>
      <w:r w:rsidRPr="00941A28">
        <w:rPr>
          <w:rFonts w:ascii="Arial" w:hAnsi="Arial" w:cs="Arial"/>
        </w:rPr>
        <w:t>. Systemic issues such as funding shortfalls, workforce shortages, and poor coordination continue to obstruct timely access to care (Adcock, Parkin &amp; Abreu, 2025).</w:t>
      </w:r>
      <w:r w:rsidRPr="002A7304">
        <w:rPr>
          <w:rFonts w:ascii="Arial" w:hAnsi="Arial" w:cs="Arial"/>
        </w:rPr>
        <w:t xml:space="preserve"> The COVID-19 pandemic worsened these structural weaknesses, increasing waiting times and limiting service </w:t>
      </w:r>
      <w:r w:rsidRPr="00E3610D">
        <w:rPr>
          <w:rFonts w:ascii="Arial" w:hAnsi="Arial" w:cs="Arial"/>
        </w:rPr>
        <w:t>continuity (Dupin-H, 2018).</w:t>
      </w:r>
    </w:p>
    <w:p w14:paraId="3D1A52D6" w14:textId="065108BE" w:rsidR="00C72555" w:rsidRPr="00C72555" w:rsidRDefault="00CD45E4" w:rsidP="00A80BCC">
      <w:pPr>
        <w:pStyle w:val="NormalWeb"/>
        <w:spacing w:line="360" w:lineRule="auto"/>
        <w:jc w:val="both"/>
        <w:rPr>
          <w:rFonts w:ascii="Arial" w:hAnsi="Arial" w:cs="Arial"/>
          <w:sz w:val="22"/>
          <w:szCs w:val="22"/>
        </w:rPr>
      </w:pPr>
      <w:r w:rsidRPr="00A81E6F">
        <w:rPr>
          <w:rFonts w:ascii="Arial" w:hAnsi="Arial" w:cs="Arial"/>
          <w:sz w:val="22"/>
          <w:szCs w:val="22"/>
        </w:rPr>
        <w:lastRenderedPageBreak/>
        <w:t>NICE (2015)</w:t>
      </w:r>
      <w:r w:rsidRPr="00CD45E4">
        <w:rPr>
          <w:rFonts w:ascii="Arial" w:hAnsi="Arial" w:cs="Arial"/>
          <w:sz w:val="22"/>
          <w:szCs w:val="22"/>
        </w:rPr>
        <w:t xml:space="preserve"> recommends interventions such as family therapy, but uptake remains limited due to complex referral pathways and variable practitioner training. This highlights a broader issue: while national guidelines exist, they often fail to translate into practice. Recent critiques of UK mental </w:t>
      </w:r>
      <w:r w:rsidRPr="00FA6D4E">
        <w:rPr>
          <w:rFonts w:ascii="Arial" w:hAnsi="Arial" w:cs="Arial"/>
          <w:sz w:val="22"/>
          <w:szCs w:val="22"/>
        </w:rPr>
        <w:t xml:space="preserve">health policy argue that failure to incorporate local feedback and learning mechanisms results in fragmented delivery and reduced public confidence in services (Coyle </w:t>
      </w:r>
      <w:r w:rsidR="00603D7C" w:rsidRPr="00FA6D4E">
        <w:rPr>
          <w:rFonts w:ascii="Arial" w:hAnsi="Arial" w:cs="Arial"/>
          <w:sz w:val="22"/>
          <w:szCs w:val="22"/>
        </w:rPr>
        <w:t>&amp;</w:t>
      </w:r>
      <w:r w:rsidR="005E3B12" w:rsidRPr="00FA6D4E">
        <w:rPr>
          <w:rFonts w:ascii="Arial" w:hAnsi="Arial" w:cs="Arial"/>
          <w:sz w:val="22"/>
          <w:szCs w:val="22"/>
        </w:rPr>
        <w:t xml:space="preserve"> </w:t>
      </w:r>
      <w:r w:rsidRPr="00FA6D4E">
        <w:rPr>
          <w:rFonts w:ascii="Arial" w:hAnsi="Arial" w:cs="Arial"/>
          <w:sz w:val="22"/>
          <w:szCs w:val="22"/>
        </w:rPr>
        <w:t>Muhtar, 2023).</w:t>
      </w:r>
      <w:r w:rsidRPr="00CD45E4">
        <w:rPr>
          <w:rFonts w:ascii="Arial" w:hAnsi="Arial" w:cs="Arial"/>
          <w:sz w:val="22"/>
          <w:szCs w:val="22"/>
        </w:rPr>
        <w:t xml:space="preserve"> For individuals with SCZ, these shortcomings compromise recovery and long-term </w:t>
      </w:r>
      <w:r w:rsidRPr="00FA6D4E">
        <w:rPr>
          <w:rFonts w:ascii="Arial" w:hAnsi="Arial" w:cs="Arial"/>
          <w:sz w:val="22"/>
          <w:szCs w:val="22"/>
        </w:rPr>
        <w:t>stability (Spremberg, 2021).</w:t>
      </w:r>
    </w:p>
    <w:p w14:paraId="1C6617E6" w14:textId="71754A88" w:rsidR="007D5AE6" w:rsidRDefault="00EE180F" w:rsidP="007D5AE6">
      <w:pPr>
        <w:pStyle w:val="Heading4"/>
        <w:rPr>
          <w:rFonts w:ascii="Arial" w:hAnsi="Arial" w:cs="Arial"/>
          <w:b/>
          <w:bCs/>
          <w:color w:val="auto"/>
        </w:rPr>
      </w:pPr>
      <w:bookmarkStart w:id="34" w:name="_Hlk202731738"/>
      <w:bookmarkStart w:id="35" w:name="_Hlk202735088"/>
      <w:r w:rsidRPr="00A02950">
        <w:rPr>
          <w:rFonts w:ascii="Arial" w:hAnsi="Arial" w:cs="Arial"/>
          <w:b/>
          <w:bCs/>
          <w:color w:val="auto"/>
          <w:sz w:val="28"/>
          <w:szCs w:val="28"/>
        </w:rPr>
        <w:t>Impact on Research Question</w:t>
      </w:r>
    </w:p>
    <w:p w14:paraId="461620FB" w14:textId="77777777" w:rsidR="00884154" w:rsidRPr="00884154" w:rsidRDefault="00884154" w:rsidP="00884154">
      <w:pPr>
        <w:pStyle w:val="NormalWeb"/>
        <w:spacing w:line="360" w:lineRule="auto"/>
        <w:jc w:val="both"/>
        <w:rPr>
          <w:rFonts w:ascii="Arial" w:hAnsi="Arial" w:cs="Arial"/>
          <w:sz w:val="22"/>
          <w:szCs w:val="22"/>
        </w:rPr>
      </w:pPr>
      <w:r w:rsidRPr="00884154">
        <w:rPr>
          <w:rFonts w:ascii="Arial" w:hAnsi="Arial" w:cs="Arial"/>
          <w:sz w:val="22"/>
          <w:szCs w:val="22"/>
        </w:rPr>
        <w:t xml:space="preserve">Access to services directly supports the aim of evaluating the effectiveness of UK HealthCare Provisions for individuals with SCZ. Early diagnosis and timely treatment are critical in managing psychotic disorders, especially during the first </w:t>
      </w:r>
      <w:r w:rsidRPr="00A81E6F">
        <w:rPr>
          <w:rFonts w:ascii="Arial" w:hAnsi="Arial" w:cs="Arial"/>
          <w:sz w:val="22"/>
          <w:szCs w:val="22"/>
        </w:rPr>
        <w:t>episode (NICE, 2015; Spremberg</w:t>
      </w:r>
      <w:r w:rsidRPr="00990194">
        <w:rPr>
          <w:rFonts w:ascii="Arial" w:hAnsi="Arial" w:cs="Arial"/>
          <w:sz w:val="22"/>
          <w:szCs w:val="22"/>
        </w:rPr>
        <w:t>,</w:t>
      </w:r>
      <w:r w:rsidRPr="00884154">
        <w:rPr>
          <w:rFonts w:ascii="Arial" w:hAnsi="Arial" w:cs="Arial"/>
          <w:sz w:val="22"/>
          <w:szCs w:val="22"/>
        </w:rPr>
        <w:t xml:space="preserve"> </w:t>
      </w:r>
      <w:r w:rsidRPr="00990194">
        <w:rPr>
          <w:rFonts w:ascii="Arial" w:hAnsi="Arial" w:cs="Arial"/>
          <w:sz w:val="22"/>
          <w:szCs w:val="22"/>
        </w:rPr>
        <w:t>2021).</w:t>
      </w:r>
      <w:r w:rsidRPr="00884154">
        <w:rPr>
          <w:rFonts w:ascii="Arial" w:hAnsi="Arial" w:cs="Arial"/>
          <w:sz w:val="22"/>
          <w:szCs w:val="22"/>
        </w:rPr>
        <w:t xml:space="preserve"> Delays or barriers in accessing care, whether due to geographic, cultural, or systemic constraints, reflect serious shortcomings in healthcare delivery and contribute to disengagement and worsening </w:t>
      </w:r>
      <w:r w:rsidRPr="00990194">
        <w:rPr>
          <w:rFonts w:ascii="Arial" w:hAnsi="Arial" w:cs="Arial"/>
          <w:sz w:val="22"/>
          <w:szCs w:val="22"/>
        </w:rPr>
        <w:t>outcomes (Pathan, 2020; Spremberg, 2021).</w:t>
      </w:r>
      <w:r w:rsidRPr="00884154">
        <w:rPr>
          <w:rFonts w:ascii="Arial" w:hAnsi="Arial" w:cs="Arial"/>
          <w:sz w:val="22"/>
          <w:szCs w:val="22"/>
        </w:rPr>
        <w:t xml:space="preserve"> Evaluating this theme, therefore, highlights foundational weaknesses that influence all subsequent stages of treatment and </w:t>
      </w:r>
      <w:r w:rsidRPr="00A81E6F">
        <w:rPr>
          <w:rFonts w:ascii="Arial" w:hAnsi="Arial" w:cs="Arial"/>
          <w:sz w:val="22"/>
          <w:szCs w:val="22"/>
        </w:rPr>
        <w:t>recovery (NICE, 2015).</w:t>
      </w:r>
    </w:p>
    <w:p w14:paraId="6D805ADC" w14:textId="77777777" w:rsidR="00D118AA" w:rsidRPr="00D118AA" w:rsidRDefault="00D118AA" w:rsidP="00D118AA"/>
    <w:p w14:paraId="234A65E3" w14:textId="5CAD5AD7" w:rsidR="007D5AE6" w:rsidRPr="0089023C" w:rsidRDefault="007D5AE6" w:rsidP="0089023C">
      <w:pPr>
        <w:pStyle w:val="Heading4"/>
        <w:rPr>
          <w:rStyle w:val="Strong"/>
          <w:rFonts w:ascii="Arial" w:hAnsi="Arial" w:cs="Arial"/>
          <w:color w:val="auto"/>
        </w:rPr>
      </w:pPr>
      <w:r w:rsidRPr="00A02950">
        <w:rPr>
          <w:rFonts w:ascii="Arial" w:hAnsi="Arial" w:cs="Arial"/>
          <w:b/>
          <w:bCs/>
          <w:color w:val="auto"/>
          <w:sz w:val="28"/>
          <w:szCs w:val="28"/>
        </w:rPr>
        <w:t>Statistical Information</w:t>
      </w:r>
      <w:r w:rsidR="006915A6">
        <w:rPr>
          <w:rFonts w:ascii="Arial" w:hAnsi="Arial" w:cs="Arial"/>
          <w:b/>
          <w:bCs/>
          <w:color w:val="auto"/>
        </w:rPr>
        <w:t>:</w:t>
      </w:r>
      <w:r w:rsidR="00FC4682">
        <w:rPr>
          <w:rFonts w:ascii="Arial" w:hAnsi="Arial" w:cs="Arial"/>
          <w:b/>
          <w:bCs/>
          <w:color w:val="auto"/>
        </w:rPr>
        <w:t xml:space="preserve">  </w:t>
      </w:r>
    </w:p>
    <w:p w14:paraId="68EC4F4F" w14:textId="5A9472C4" w:rsidR="00A80BCC" w:rsidRPr="00A80BCC" w:rsidRDefault="00A80BCC" w:rsidP="009A7395">
      <w:pPr>
        <w:spacing w:before="100" w:beforeAutospacing="1" w:after="100" w:afterAutospacing="1"/>
        <w:rPr>
          <w:rFonts w:ascii="Arial" w:hAnsi="Arial" w:cs="Arial"/>
        </w:rPr>
      </w:pPr>
      <w:r w:rsidRPr="00A80BCC">
        <w:rPr>
          <w:rFonts w:ascii="Arial" w:hAnsi="Arial" w:cs="Arial"/>
        </w:rPr>
        <w:t xml:space="preserve">According </w:t>
      </w:r>
      <w:r w:rsidRPr="00130144">
        <w:rPr>
          <w:rFonts w:ascii="Arial" w:hAnsi="Arial" w:cs="Arial"/>
        </w:rPr>
        <w:t>to (Rethink Mental Illnes</w:t>
      </w:r>
      <w:r w:rsidRPr="00EE0C48">
        <w:rPr>
          <w:rFonts w:ascii="Arial" w:hAnsi="Arial" w:cs="Arial"/>
        </w:rPr>
        <w:t>s,2025a),</w:t>
      </w:r>
      <w:r w:rsidRPr="00130144">
        <w:rPr>
          <w:rFonts w:ascii="Arial" w:hAnsi="Arial" w:cs="Arial"/>
        </w:rPr>
        <w:t xml:space="preserve"> over</w:t>
      </w:r>
      <w:r w:rsidRPr="00A80BCC">
        <w:rPr>
          <w:rFonts w:ascii="Arial" w:hAnsi="Arial" w:cs="Arial"/>
        </w:rPr>
        <w:t xml:space="preserve"> 16,000 individuals in England waited more than 18 months for mental health care, eight times longer than the average wait for elective surgeries. Among them, more than 80% experienced clinical deterioration during the wait </w:t>
      </w:r>
      <w:r w:rsidRPr="00130144">
        <w:rPr>
          <w:rFonts w:ascii="Arial" w:hAnsi="Arial" w:cs="Arial"/>
        </w:rPr>
        <w:t>(Rethink Mental Illness, 2</w:t>
      </w:r>
      <w:r w:rsidRPr="00EE0C48">
        <w:rPr>
          <w:rFonts w:ascii="Arial" w:hAnsi="Arial" w:cs="Arial"/>
        </w:rPr>
        <w:t>025b).</w:t>
      </w:r>
    </w:p>
    <w:p w14:paraId="4CAB76A5" w14:textId="66542D7E" w:rsidR="00A80BCC" w:rsidRPr="00A80BCC" w:rsidRDefault="00A80BCC" w:rsidP="009A7395">
      <w:pPr>
        <w:spacing w:before="100" w:beforeAutospacing="1" w:after="100" w:afterAutospacing="1"/>
        <w:rPr>
          <w:rFonts w:ascii="Arial" w:hAnsi="Arial" w:cs="Arial"/>
        </w:rPr>
      </w:pPr>
      <w:r w:rsidRPr="001A38CD">
        <w:rPr>
          <w:rFonts w:ascii="Arial" w:hAnsi="Arial" w:cs="Arial"/>
        </w:rPr>
        <w:t>The King’s Fund (2024) found</w:t>
      </w:r>
      <w:r w:rsidRPr="00A80BCC">
        <w:rPr>
          <w:rFonts w:ascii="Arial" w:hAnsi="Arial" w:cs="Arial"/>
        </w:rPr>
        <w:t xml:space="preserve"> that one in ten patients waited more than 238 days for an initial mental </w:t>
      </w:r>
      <w:r w:rsidRPr="001A38CD">
        <w:rPr>
          <w:rFonts w:ascii="Arial" w:hAnsi="Arial" w:cs="Arial"/>
        </w:rPr>
        <w:t xml:space="preserve">health assessment, despite the NHS’s four-week target. Furthermore, </w:t>
      </w:r>
      <w:r w:rsidR="00006001" w:rsidRPr="001A38CD">
        <w:rPr>
          <w:rFonts w:ascii="Arial" w:hAnsi="Arial" w:cs="Arial"/>
        </w:rPr>
        <w:t>Tsiachristas</w:t>
      </w:r>
      <w:r w:rsidR="00006001" w:rsidRPr="001A38CD">
        <w:rPr>
          <w:rFonts w:ascii="Arial" w:hAnsi="Arial" w:cs="Arial"/>
          <w:i/>
          <w:iCs/>
        </w:rPr>
        <w:t xml:space="preserve"> et</w:t>
      </w:r>
      <w:r w:rsidR="00006001" w:rsidRPr="001A38CD">
        <w:rPr>
          <w:rFonts w:ascii="Arial" w:hAnsi="Arial" w:cs="Arial"/>
        </w:rPr>
        <w:t xml:space="preserve"> </w:t>
      </w:r>
      <w:r w:rsidR="00006001" w:rsidRPr="001A38CD">
        <w:rPr>
          <w:rFonts w:ascii="Arial" w:hAnsi="Arial" w:cs="Arial"/>
          <w:i/>
          <w:iCs/>
        </w:rPr>
        <w:t>al.</w:t>
      </w:r>
      <w:r w:rsidR="00006001" w:rsidRPr="001A38CD">
        <w:rPr>
          <w:rFonts w:ascii="Arial" w:hAnsi="Arial" w:cs="Arial"/>
        </w:rPr>
        <w:t xml:space="preserve"> (2016)</w:t>
      </w:r>
      <w:r w:rsidRPr="00A80BCC">
        <w:rPr>
          <w:rFonts w:ascii="Arial" w:hAnsi="Arial" w:cs="Arial"/>
        </w:rPr>
        <w:t xml:space="preserve"> estimated that the cost of untreated psychosis exceeds £11.8 billion annually, highlighting both the human and economic toll of poor access.</w:t>
      </w:r>
    </w:p>
    <w:bookmarkEnd w:id="34"/>
    <w:p w14:paraId="358F7A01" w14:textId="77777777" w:rsidR="0026170C" w:rsidRDefault="0026170C" w:rsidP="00C650EE">
      <w:pPr>
        <w:spacing w:before="100" w:beforeAutospacing="1" w:after="100" w:afterAutospacing="1"/>
        <w:ind w:left="360"/>
        <w:jc w:val="left"/>
      </w:pPr>
    </w:p>
    <w:p w14:paraId="69F9D88F" w14:textId="77777777" w:rsidR="00AE4B50" w:rsidRPr="007063BA" w:rsidRDefault="00AE4B50" w:rsidP="00CB6854">
      <w:pPr>
        <w:spacing w:before="100" w:beforeAutospacing="1" w:after="100" w:afterAutospacing="1"/>
        <w:jc w:val="left"/>
      </w:pPr>
    </w:p>
    <w:p w14:paraId="5A6AABEF" w14:textId="616E76BB" w:rsidR="005F1BBA" w:rsidRDefault="00A80BCC" w:rsidP="00A02950">
      <w:pPr>
        <w:pStyle w:val="Heading4"/>
        <w:rPr>
          <w:rFonts w:ascii="Arial" w:hAnsi="Arial" w:cs="Arial"/>
          <w:b/>
          <w:bCs/>
          <w:color w:val="auto"/>
        </w:rPr>
      </w:pPr>
      <w:bookmarkStart w:id="36" w:name="_Hlk202731625"/>
      <w:r w:rsidRPr="00A02950">
        <w:rPr>
          <w:rFonts w:ascii="Arial" w:hAnsi="Arial" w:cs="Arial"/>
          <w:b/>
          <w:bCs/>
          <w:color w:val="auto"/>
          <w:sz w:val="28"/>
          <w:szCs w:val="28"/>
        </w:rPr>
        <w:lastRenderedPageBreak/>
        <w:t>Theoretical Framework</w:t>
      </w:r>
    </w:p>
    <w:p w14:paraId="3FFE48DF" w14:textId="77777777" w:rsidR="00A02950" w:rsidRPr="00A02950" w:rsidRDefault="00A02950" w:rsidP="00A02950"/>
    <w:p w14:paraId="54E0421B" w14:textId="3A410146" w:rsidR="00660FF5" w:rsidRPr="004452D9" w:rsidRDefault="005F1BBA" w:rsidP="0032056A">
      <w:pPr>
        <w:rPr>
          <w:rFonts w:ascii="Arial" w:hAnsi="Arial" w:cs="Arial"/>
        </w:rPr>
      </w:pPr>
      <w:r w:rsidRPr="005F1BBA">
        <w:rPr>
          <w:rFonts w:ascii="Arial" w:hAnsi="Arial" w:cs="Arial"/>
        </w:rPr>
        <w:t xml:space="preserve">Penchansky and Thomas’s 1981 theory of healthcare access offers a useful lens for assessing service provision for individuals with SCZ. The model identifies five critical dimensions: availability, accessibility, accommodation, affordability, and acceptability, all of which are frequently compromised within the UK mental health system </w:t>
      </w:r>
      <w:r w:rsidRPr="001A38CD">
        <w:rPr>
          <w:rFonts w:ascii="Arial" w:hAnsi="Arial" w:cs="Arial"/>
        </w:rPr>
        <w:t>(Pathan, 2020).</w:t>
      </w:r>
      <w:r w:rsidRPr="005F1BBA">
        <w:rPr>
          <w:rFonts w:ascii="Arial" w:hAnsi="Arial" w:cs="Arial"/>
        </w:rPr>
        <w:t xml:space="preserve"> Researchers have applied this framework across diverse </w:t>
      </w:r>
      <w:r w:rsidRPr="00D31B45">
        <w:rPr>
          <w:rFonts w:ascii="Arial" w:hAnsi="Arial" w:cs="Arial"/>
        </w:rPr>
        <w:t xml:space="preserve">populations, including rural communities, displaced </w:t>
      </w:r>
      <w:r w:rsidRPr="004452D9">
        <w:rPr>
          <w:rFonts w:ascii="Arial" w:hAnsi="Arial" w:cs="Arial"/>
        </w:rPr>
        <w:t xml:space="preserve">individuals, and ethnically minoritised groups (McLaughlin &amp; Wyszewianski, 2002; Anderko </w:t>
      </w:r>
      <w:r w:rsidRPr="004452D9">
        <w:rPr>
          <w:rFonts w:ascii="Arial" w:hAnsi="Arial" w:cs="Arial"/>
          <w:i/>
          <w:iCs/>
        </w:rPr>
        <w:t>et al.,</w:t>
      </w:r>
      <w:r w:rsidRPr="004452D9">
        <w:rPr>
          <w:rFonts w:ascii="Arial" w:hAnsi="Arial" w:cs="Arial"/>
        </w:rPr>
        <w:t xml:space="preserve"> 2000; Oginni </w:t>
      </w:r>
      <w:r w:rsidRPr="004452D9">
        <w:rPr>
          <w:rFonts w:ascii="Arial" w:hAnsi="Arial" w:cs="Arial"/>
          <w:i/>
          <w:iCs/>
        </w:rPr>
        <w:t>et al.,</w:t>
      </w:r>
      <w:r w:rsidRPr="004452D9">
        <w:rPr>
          <w:rFonts w:ascii="Arial" w:hAnsi="Arial" w:cs="Arial"/>
        </w:rPr>
        <w:t xml:space="preserve"> 2021).</w:t>
      </w:r>
      <w:r w:rsidRPr="005F1BBA">
        <w:rPr>
          <w:rFonts w:ascii="Arial" w:hAnsi="Arial" w:cs="Arial"/>
        </w:rPr>
        <w:t xml:space="preserve"> Recognising the growing complexity of healthcare access, </w:t>
      </w:r>
      <w:r w:rsidRPr="007C0666">
        <w:rPr>
          <w:rFonts w:ascii="Arial" w:hAnsi="Arial" w:cs="Arial"/>
        </w:rPr>
        <w:t>Saurman (2016)</w:t>
      </w:r>
      <w:r w:rsidRPr="005F1BBA">
        <w:rPr>
          <w:rFonts w:ascii="Arial" w:hAnsi="Arial" w:cs="Arial"/>
        </w:rPr>
        <w:t xml:space="preserve"> later proposed a sixth dimension, awareness, to reflect patients’ knowledge of available services. Despite guidance from national frameworks </w:t>
      </w:r>
      <w:r w:rsidRPr="008908A4">
        <w:rPr>
          <w:rFonts w:ascii="Arial" w:hAnsi="Arial" w:cs="Arial"/>
        </w:rPr>
        <w:t>like NICE (2015)</w:t>
      </w:r>
      <w:r w:rsidRPr="005F1BBA">
        <w:rPr>
          <w:rFonts w:ascii="Arial" w:hAnsi="Arial" w:cs="Arial"/>
        </w:rPr>
        <w:t xml:space="preserve"> and protections under the Mental Health Act, gaps between policy and practice remain. Structural issues such as chronic underfunding and fragmented delivery continue to limit </w:t>
      </w:r>
      <w:r w:rsidRPr="008D2B5C">
        <w:rPr>
          <w:rFonts w:ascii="Arial" w:hAnsi="Arial" w:cs="Arial"/>
        </w:rPr>
        <w:t xml:space="preserve">access (Bucci </w:t>
      </w:r>
      <w:r w:rsidRPr="008D2B5C">
        <w:rPr>
          <w:rFonts w:ascii="Arial" w:hAnsi="Arial" w:cs="Arial"/>
          <w:i/>
          <w:iCs/>
        </w:rPr>
        <w:t>et al.,</w:t>
      </w:r>
      <w:r w:rsidRPr="008D2B5C">
        <w:rPr>
          <w:rFonts w:ascii="Arial" w:hAnsi="Arial" w:cs="Arial"/>
        </w:rPr>
        <w:t xml:space="preserve"> 2016; Royal College of Psychiatrists, 2022),</w:t>
      </w:r>
      <w:r w:rsidRPr="005F1BBA">
        <w:rPr>
          <w:rFonts w:ascii="Arial" w:hAnsi="Arial" w:cs="Arial"/>
        </w:rPr>
        <w:t xml:space="preserve"> with routine breaches of the 4-week access standard highlighting the persistent shortfall between service goals and real-world </w:t>
      </w:r>
      <w:r w:rsidRPr="008D2B5C">
        <w:rPr>
          <w:rFonts w:ascii="Arial" w:hAnsi="Arial" w:cs="Arial"/>
        </w:rPr>
        <w:t>outcomes (The King’s Fund, 2024).</w:t>
      </w:r>
    </w:p>
    <w:p w14:paraId="40956275" w14:textId="77777777" w:rsidR="00693766" w:rsidRPr="00A02950" w:rsidRDefault="00693766" w:rsidP="00A80BCC">
      <w:pPr>
        <w:rPr>
          <w:sz w:val="28"/>
          <w:szCs w:val="28"/>
        </w:rPr>
      </w:pPr>
    </w:p>
    <w:p w14:paraId="107B48F3" w14:textId="7FF15DDE" w:rsidR="007D5AE6" w:rsidRDefault="00A80BCC" w:rsidP="00A80BCC">
      <w:pPr>
        <w:pStyle w:val="Heading4"/>
        <w:rPr>
          <w:rFonts w:ascii="Arial" w:hAnsi="Arial" w:cs="Arial"/>
          <w:b/>
          <w:bCs/>
          <w:color w:val="auto"/>
        </w:rPr>
      </w:pPr>
      <w:bookmarkStart w:id="37" w:name="_Hlk202731644"/>
      <w:bookmarkStart w:id="38" w:name="_Hlk202735115"/>
      <w:bookmarkEnd w:id="35"/>
      <w:bookmarkEnd w:id="36"/>
      <w:r w:rsidRPr="00A02950">
        <w:rPr>
          <w:rFonts w:ascii="Arial" w:hAnsi="Arial" w:cs="Arial"/>
          <w:b/>
          <w:bCs/>
          <w:color w:val="auto"/>
          <w:sz w:val="28"/>
          <w:szCs w:val="28"/>
        </w:rPr>
        <w:t xml:space="preserve">Policy and </w:t>
      </w:r>
      <w:r w:rsidR="00BC3482" w:rsidRPr="00A02950">
        <w:rPr>
          <w:rFonts w:ascii="Arial" w:hAnsi="Arial" w:cs="Arial"/>
          <w:b/>
          <w:bCs/>
          <w:color w:val="auto"/>
          <w:sz w:val="28"/>
          <w:szCs w:val="28"/>
        </w:rPr>
        <w:t>Legislation</w:t>
      </w:r>
      <w:r w:rsidR="00BC3482">
        <w:rPr>
          <w:rFonts w:ascii="Arial" w:hAnsi="Arial" w:cs="Arial"/>
          <w:b/>
          <w:bCs/>
          <w:color w:val="auto"/>
        </w:rPr>
        <w:t xml:space="preserve"> </w:t>
      </w:r>
    </w:p>
    <w:bookmarkEnd w:id="37"/>
    <w:p w14:paraId="74F0CA50" w14:textId="77777777" w:rsidR="00A13821" w:rsidRPr="00A13821" w:rsidRDefault="00A13821" w:rsidP="00A13821">
      <w:pPr>
        <w:spacing w:before="100" w:beforeAutospacing="1" w:after="100" w:afterAutospacing="1"/>
        <w:rPr>
          <w:rFonts w:ascii="Arial" w:hAnsi="Arial" w:cs="Arial"/>
        </w:rPr>
      </w:pPr>
      <w:r w:rsidRPr="00A13821">
        <w:rPr>
          <w:rFonts w:ascii="Arial" w:hAnsi="Arial" w:cs="Arial"/>
        </w:rPr>
        <w:t xml:space="preserve">National guidance such </w:t>
      </w:r>
      <w:r w:rsidRPr="008D2B5C">
        <w:rPr>
          <w:rFonts w:ascii="Arial" w:hAnsi="Arial" w:cs="Arial"/>
        </w:rPr>
        <w:t>as NICE (2015)</w:t>
      </w:r>
      <w:r w:rsidRPr="00A13821">
        <w:rPr>
          <w:rFonts w:ascii="Arial" w:hAnsi="Arial" w:cs="Arial"/>
        </w:rPr>
        <w:t xml:space="preserve"> promotes early psychological intervention for SCZ, including family-based therapies and community-led support. Nevertheless, implementation remains </w:t>
      </w:r>
      <w:r w:rsidRPr="008D2B5C">
        <w:rPr>
          <w:rFonts w:ascii="Arial" w:hAnsi="Arial" w:cs="Arial"/>
        </w:rPr>
        <w:t xml:space="preserve">inconsistent. Bucci </w:t>
      </w:r>
      <w:r w:rsidRPr="008D2B5C">
        <w:rPr>
          <w:rFonts w:ascii="Arial" w:hAnsi="Arial" w:cs="Arial"/>
          <w:i/>
          <w:iCs/>
        </w:rPr>
        <w:t>et al.</w:t>
      </w:r>
      <w:r w:rsidRPr="008D2B5C">
        <w:rPr>
          <w:rFonts w:ascii="Arial" w:hAnsi="Arial" w:cs="Arial"/>
        </w:rPr>
        <w:t xml:space="preserve"> (2016) identify</w:t>
      </w:r>
      <w:r w:rsidRPr="00A13821">
        <w:rPr>
          <w:rFonts w:ascii="Arial" w:hAnsi="Arial" w:cs="Arial"/>
        </w:rPr>
        <w:t xml:space="preserve"> barriers across service user, workforce, and organisational levels, including limited training, unclear referral processes, and overstretched teams, which hinder the delivery of evidence-based care.</w:t>
      </w:r>
    </w:p>
    <w:p w14:paraId="548E608A" w14:textId="7A9CD78B" w:rsidR="00A13821" w:rsidRPr="00A13821" w:rsidRDefault="00A13821" w:rsidP="00A13821">
      <w:pPr>
        <w:spacing w:before="100" w:beforeAutospacing="1" w:after="100" w:afterAutospacing="1"/>
        <w:rPr>
          <w:rFonts w:ascii="Arial" w:hAnsi="Arial" w:cs="Arial"/>
        </w:rPr>
      </w:pPr>
      <w:r w:rsidRPr="00A13821">
        <w:rPr>
          <w:rFonts w:ascii="Arial" w:hAnsi="Arial" w:cs="Arial"/>
        </w:rPr>
        <w:t>Although the Mental Health Act</w:t>
      </w:r>
      <w:r w:rsidR="00F22D0C">
        <w:rPr>
          <w:rFonts w:ascii="Arial" w:hAnsi="Arial" w:cs="Arial"/>
        </w:rPr>
        <w:t xml:space="preserve"> </w:t>
      </w:r>
      <w:r w:rsidRPr="00A13821">
        <w:rPr>
          <w:rFonts w:ascii="Arial" w:hAnsi="Arial" w:cs="Arial"/>
        </w:rPr>
        <w:t>1983</w:t>
      </w:r>
      <w:r w:rsidR="00F22D0C">
        <w:rPr>
          <w:rFonts w:ascii="Arial" w:hAnsi="Arial" w:cs="Arial"/>
        </w:rPr>
        <w:t xml:space="preserve">, as </w:t>
      </w:r>
      <w:r w:rsidRPr="00A13821">
        <w:rPr>
          <w:rFonts w:ascii="Arial" w:hAnsi="Arial" w:cs="Arial"/>
        </w:rPr>
        <w:t xml:space="preserve">amended </w:t>
      </w:r>
      <w:r w:rsidR="00F22D0C" w:rsidRPr="00A13821">
        <w:rPr>
          <w:rFonts w:ascii="Arial" w:hAnsi="Arial" w:cs="Arial"/>
        </w:rPr>
        <w:t>in 2007,</w:t>
      </w:r>
      <w:r w:rsidRPr="00A13821">
        <w:rPr>
          <w:rFonts w:ascii="Arial" w:hAnsi="Arial" w:cs="Arial"/>
        </w:rPr>
        <w:t xml:space="preserve"> affirms </w:t>
      </w:r>
      <w:r w:rsidRPr="000D0F2E">
        <w:rPr>
          <w:rFonts w:ascii="Arial" w:hAnsi="Arial" w:cs="Arial"/>
        </w:rPr>
        <w:t>treatment rights, systemic underfunding and entrenched inequalities continue to obstruct access (NHS, 2022).</w:t>
      </w:r>
      <w:r w:rsidRPr="00A13821">
        <w:rPr>
          <w:rFonts w:ascii="Arial" w:hAnsi="Arial" w:cs="Arial"/>
        </w:rPr>
        <w:t xml:space="preserve"> The routine breach of the 4-week access standard </w:t>
      </w:r>
      <w:r w:rsidRPr="008D2B5C">
        <w:rPr>
          <w:rFonts w:ascii="Arial" w:hAnsi="Arial" w:cs="Arial"/>
        </w:rPr>
        <w:t>(The King’s Fund, 2024)</w:t>
      </w:r>
      <w:r w:rsidRPr="00A13821">
        <w:rPr>
          <w:rFonts w:ascii="Arial" w:hAnsi="Arial" w:cs="Arial"/>
        </w:rPr>
        <w:t xml:space="preserve"> reflects this gap between policy and practice. </w:t>
      </w:r>
      <w:r w:rsidRPr="00FB4921">
        <w:rPr>
          <w:rFonts w:ascii="Arial" w:hAnsi="Arial" w:cs="Arial"/>
        </w:rPr>
        <w:t>The Royal College of Psychiatrists (2022) further</w:t>
      </w:r>
      <w:r w:rsidRPr="00A13821">
        <w:rPr>
          <w:rFonts w:ascii="Arial" w:hAnsi="Arial" w:cs="Arial"/>
        </w:rPr>
        <w:t xml:space="preserve"> warns that outdated models and structural discrimination disproportionately impact people with SCZ, perpetuating unequal treatment outcomes despite legislative safeguards.</w:t>
      </w:r>
    </w:p>
    <w:p w14:paraId="605564DC" w14:textId="77777777" w:rsidR="009B671D" w:rsidRPr="00A80BCC" w:rsidRDefault="009B671D" w:rsidP="00A80BCC">
      <w:pPr>
        <w:spacing w:before="100" w:beforeAutospacing="1" w:after="100" w:afterAutospacing="1"/>
        <w:rPr>
          <w:rFonts w:ascii="Arial" w:hAnsi="Arial" w:cs="Arial"/>
        </w:rPr>
      </w:pPr>
    </w:p>
    <w:p w14:paraId="4FACC8C8" w14:textId="3E846B24" w:rsidR="00A80BCC" w:rsidRDefault="007D5AE6" w:rsidP="00660FF5">
      <w:pPr>
        <w:pStyle w:val="Heading4"/>
        <w:rPr>
          <w:rFonts w:ascii="Arial" w:hAnsi="Arial" w:cs="Arial"/>
          <w:b/>
          <w:bCs/>
          <w:color w:val="auto"/>
        </w:rPr>
      </w:pPr>
      <w:bookmarkStart w:id="39" w:name="_Hlk202731700"/>
      <w:r w:rsidRPr="00A02950">
        <w:rPr>
          <w:rFonts w:ascii="Arial" w:hAnsi="Arial" w:cs="Arial"/>
          <w:b/>
          <w:bCs/>
          <w:color w:val="auto"/>
          <w:sz w:val="28"/>
          <w:szCs w:val="28"/>
        </w:rPr>
        <w:lastRenderedPageBreak/>
        <w:t>Implications</w:t>
      </w:r>
    </w:p>
    <w:p w14:paraId="65EB7AF3" w14:textId="77777777" w:rsidR="00807606" w:rsidRPr="00807606" w:rsidRDefault="00807606" w:rsidP="00807606"/>
    <w:bookmarkEnd w:id="39"/>
    <w:p w14:paraId="0B57CC87" w14:textId="77777777" w:rsidR="00807606" w:rsidRPr="00807606" w:rsidRDefault="00807606" w:rsidP="00807606">
      <w:pPr>
        <w:rPr>
          <w:rFonts w:ascii="Arial" w:hAnsi="Arial" w:cs="Arial"/>
        </w:rPr>
      </w:pPr>
      <w:r w:rsidRPr="00807606">
        <w:rPr>
          <w:rFonts w:ascii="Arial" w:hAnsi="Arial" w:cs="Arial"/>
        </w:rPr>
        <w:t xml:space="preserve">If national policy goals were effectively </w:t>
      </w:r>
      <w:r w:rsidRPr="00FB4921">
        <w:rPr>
          <w:rFonts w:ascii="Arial" w:hAnsi="Arial" w:cs="Arial"/>
        </w:rPr>
        <w:t xml:space="preserve">met, such as expanding EIP services, this could result in improved clinical outcomes, reduced relapse rates, and enhanced social functioning (NICE, 2015; Pathan; Priebe </w:t>
      </w:r>
      <w:r w:rsidRPr="00FB4921">
        <w:rPr>
          <w:rFonts w:ascii="Arial" w:hAnsi="Arial" w:cs="Arial"/>
          <w:i/>
          <w:iCs/>
        </w:rPr>
        <w:t>et al.,</w:t>
      </w:r>
      <w:r w:rsidRPr="00FB4921">
        <w:rPr>
          <w:rFonts w:ascii="Arial" w:hAnsi="Arial" w:cs="Arial"/>
        </w:rPr>
        <w:t xml:space="preserve"> 2015, 2020).</w:t>
      </w:r>
      <w:r w:rsidRPr="00807606">
        <w:rPr>
          <w:rFonts w:ascii="Arial" w:hAnsi="Arial" w:cs="Arial"/>
        </w:rPr>
        <w:t xml:space="preserve"> </w:t>
      </w:r>
      <w:r w:rsidRPr="00020A5D">
        <w:rPr>
          <w:rFonts w:ascii="Arial" w:hAnsi="Arial" w:cs="Arial"/>
        </w:rPr>
        <w:t>Adcock, Parkin, and Abreu (2025) argue</w:t>
      </w:r>
      <w:r w:rsidRPr="00807606">
        <w:rPr>
          <w:rFonts w:ascii="Arial" w:hAnsi="Arial" w:cs="Arial"/>
        </w:rPr>
        <w:t xml:space="preserve"> that streamlined referral systems and adequate staffing are essential to achieving these objectives.</w:t>
      </w:r>
    </w:p>
    <w:p w14:paraId="3BE0F092" w14:textId="22673266" w:rsidR="00AF2301" w:rsidRDefault="00807606" w:rsidP="001607D1">
      <w:pPr>
        <w:rPr>
          <w:rFonts w:ascii="Arial" w:hAnsi="Arial" w:cs="Arial"/>
        </w:rPr>
      </w:pPr>
      <w:r w:rsidRPr="00807606">
        <w:rPr>
          <w:rFonts w:ascii="Arial" w:hAnsi="Arial" w:cs="Arial"/>
        </w:rPr>
        <w:t xml:space="preserve">However, when access gaps persist, the consequences are significant. Individuals may disengage from care, experience a deterioration in symptoms, and face an increased risk of crisis-related </w:t>
      </w:r>
      <w:r w:rsidRPr="00FB4921">
        <w:rPr>
          <w:rFonts w:ascii="Arial" w:hAnsi="Arial" w:cs="Arial"/>
        </w:rPr>
        <w:t>hospitalisations (Spremberg, 2021). Fragmented or delayed service access also extends the Duration of Untreated Psychosis, a critical predictor of poor long-term prognosis (Spremberg, 2021).</w:t>
      </w:r>
    </w:p>
    <w:p w14:paraId="1C7EA2C3" w14:textId="77777777" w:rsidR="003955D5" w:rsidRPr="003955D5" w:rsidRDefault="003955D5" w:rsidP="001607D1">
      <w:pPr>
        <w:rPr>
          <w:rFonts w:ascii="Arial" w:hAnsi="Arial" w:cs="Arial"/>
        </w:rPr>
      </w:pPr>
    </w:p>
    <w:p w14:paraId="5F38254F" w14:textId="65F34728" w:rsidR="00660FF5" w:rsidRDefault="007D5AE6" w:rsidP="00660FF5">
      <w:pPr>
        <w:pStyle w:val="Heading4"/>
        <w:rPr>
          <w:rFonts w:ascii="Arial" w:hAnsi="Arial" w:cs="Arial"/>
          <w:b/>
          <w:bCs/>
          <w:color w:val="auto"/>
        </w:rPr>
      </w:pPr>
      <w:r w:rsidRPr="00A02950">
        <w:rPr>
          <w:rFonts w:ascii="Arial" w:hAnsi="Arial" w:cs="Arial"/>
          <w:b/>
          <w:bCs/>
          <w:color w:val="auto"/>
          <w:sz w:val="28"/>
          <w:szCs w:val="28"/>
        </w:rPr>
        <w:t>Examples from Your Articles</w:t>
      </w:r>
    </w:p>
    <w:p w14:paraId="1390E3F1" w14:textId="77777777" w:rsidR="00193F41" w:rsidRPr="00895319" w:rsidRDefault="00193F41" w:rsidP="00895319">
      <w:pPr>
        <w:pStyle w:val="NormalWeb"/>
        <w:spacing w:line="360" w:lineRule="auto"/>
        <w:jc w:val="both"/>
        <w:rPr>
          <w:rFonts w:ascii="Arial" w:hAnsi="Arial" w:cs="Arial"/>
          <w:sz w:val="22"/>
          <w:szCs w:val="22"/>
        </w:rPr>
      </w:pPr>
      <w:r w:rsidRPr="00895319">
        <w:rPr>
          <w:rFonts w:ascii="Arial" w:hAnsi="Arial" w:cs="Arial"/>
          <w:sz w:val="22"/>
          <w:szCs w:val="22"/>
        </w:rPr>
        <w:t>Morrison et al. (2018) conducted a UK RCT on CBT for clozapine-resistant SCZ. While improvements were modest, the study supports NICE (2015) guidance on using psychological therapies alongside medication. It also highlights challenges in scaling such interventions across NHS settings due to resource and training constraints.</w:t>
      </w:r>
    </w:p>
    <w:p w14:paraId="3885452E" w14:textId="77777777" w:rsidR="00193F41" w:rsidRPr="00895319" w:rsidRDefault="00193F41" w:rsidP="00895319">
      <w:pPr>
        <w:pStyle w:val="NormalWeb"/>
        <w:spacing w:line="360" w:lineRule="auto"/>
        <w:jc w:val="both"/>
        <w:rPr>
          <w:rFonts w:ascii="Arial" w:hAnsi="Arial" w:cs="Arial"/>
          <w:sz w:val="22"/>
          <w:szCs w:val="22"/>
        </w:rPr>
      </w:pPr>
      <w:r w:rsidRPr="00895319">
        <w:rPr>
          <w:rFonts w:ascii="Arial" w:hAnsi="Arial" w:cs="Arial"/>
          <w:sz w:val="22"/>
          <w:szCs w:val="22"/>
        </w:rPr>
        <w:t>Bucci et al. (2016) identified key barriers to the implementation of family-based interventions, including ambiguous referral processes, limited staff capacity, and insufficient training. Pathan (2020) further highlighted that some service users, particularly from ethnically diverse backgrounds, experienced disengagement due to delays in access and limited cultural responsiveness. Together, these studies illustrate a gap between NICE (2015) guidance and the practical realities of service delivery.</w:t>
      </w:r>
    </w:p>
    <w:p w14:paraId="6BBBCB20" w14:textId="77777777" w:rsidR="00193F41" w:rsidRPr="00895319" w:rsidRDefault="00193F41" w:rsidP="00895319">
      <w:pPr>
        <w:pStyle w:val="NormalWeb"/>
        <w:spacing w:line="360" w:lineRule="auto"/>
        <w:jc w:val="both"/>
        <w:rPr>
          <w:rFonts w:ascii="Arial" w:hAnsi="Arial" w:cs="Arial"/>
          <w:sz w:val="22"/>
          <w:szCs w:val="22"/>
        </w:rPr>
      </w:pPr>
      <w:r w:rsidRPr="00895319">
        <w:rPr>
          <w:rFonts w:ascii="Arial" w:hAnsi="Arial" w:cs="Arial"/>
          <w:sz w:val="22"/>
          <w:szCs w:val="22"/>
        </w:rPr>
        <w:t>Priebe et al. (2015) evaluated DIALOG+, a shared decision-making tool, showing enhanced satisfaction and engagement. The findings underscore the value of person-centred care, particularly in long-term recovery.</w:t>
      </w:r>
    </w:p>
    <w:p w14:paraId="1E6C8D87" w14:textId="77777777" w:rsidR="00193F41" w:rsidRDefault="00193F41" w:rsidP="00895319">
      <w:pPr>
        <w:pStyle w:val="NormalWeb"/>
        <w:spacing w:line="360" w:lineRule="auto"/>
        <w:jc w:val="both"/>
      </w:pPr>
      <w:r w:rsidRPr="00895319">
        <w:rPr>
          <w:rFonts w:ascii="Arial" w:hAnsi="Arial" w:cs="Arial"/>
          <w:sz w:val="22"/>
          <w:szCs w:val="22"/>
        </w:rPr>
        <w:t>Together, these articles confirm that although CBT, family therapy, and shared decision-making are clinically supported, their implementation remains inconsistent. Organisational barriers continue to restrict their reach, weakening the overall effectiveness of SCZ treatment in community settings</w:t>
      </w:r>
      <w:r>
        <w:t>.</w:t>
      </w:r>
    </w:p>
    <w:p w14:paraId="0D32D027" w14:textId="3C20AA14" w:rsidR="001A14BD" w:rsidRDefault="001A14BD" w:rsidP="001A14BD">
      <w:pPr>
        <w:rPr>
          <w:rFonts w:ascii="Arial" w:hAnsi="Arial" w:cs="Arial"/>
          <w:b/>
          <w:bCs/>
          <w:i/>
          <w:iCs/>
        </w:rPr>
      </w:pPr>
      <w:r w:rsidRPr="00A02950">
        <w:rPr>
          <w:rFonts w:ascii="Arial" w:hAnsi="Arial" w:cs="Arial"/>
          <w:b/>
          <w:bCs/>
          <w:i/>
          <w:iCs/>
          <w:sz w:val="28"/>
          <w:szCs w:val="28"/>
        </w:rPr>
        <w:lastRenderedPageBreak/>
        <w:t>Connections to Other Themes</w:t>
      </w:r>
    </w:p>
    <w:p w14:paraId="0DF194D0" w14:textId="63B65716" w:rsidR="009479B6" w:rsidRPr="00891169" w:rsidRDefault="00CC50BA" w:rsidP="00115CCD">
      <w:pPr>
        <w:rPr>
          <w:rFonts w:ascii="Arial" w:hAnsi="Arial" w:cs="Arial"/>
        </w:rPr>
      </w:pPr>
      <w:r w:rsidRPr="00CC50BA">
        <w:rPr>
          <w:rFonts w:ascii="Arial" w:hAnsi="Arial" w:cs="Arial"/>
        </w:rPr>
        <w:t xml:space="preserve">Access to services is closely linked with Theme 2: Cultural and Ethnic Inequality, as individuals from ethnically minoritised backgrounds often face additional barriers beyond those experienced by the general population. These include language obstacles, cultural stigma, and systemic discrimination, which compound delays in diagnosis and treatment. This overlap highlights how structural barriers are not experienced uniformly but rather vary significantly across different demographic groups. Also, having less access to services affects how well Theme 3: Therapeutic Interventions and Community Care is provided, because getting help on time is crucial for the success of </w:t>
      </w:r>
      <w:r w:rsidRPr="00D06F74">
        <w:rPr>
          <w:rFonts w:ascii="Arial" w:hAnsi="Arial" w:cs="Arial"/>
        </w:rPr>
        <w:t>psychological treatments</w:t>
      </w:r>
      <w:r w:rsidRPr="00CC50BA">
        <w:rPr>
          <w:rFonts w:ascii="Arial" w:hAnsi="Arial" w:cs="Arial"/>
        </w:rPr>
        <w:t xml:space="preserve"> and ongoing support plans.</w:t>
      </w:r>
    </w:p>
    <w:p w14:paraId="4DDE33E4" w14:textId="77777777" w:rsidR="00CC50BA" w:rsidRDefault="00CC50BA" w:rsidP="00115CCD">
      <w:pPr>
        <w:rPr>
          <w:rFonts w:ascii="Arial" w:hAnsi="Arial" w:cs="Arial"/>
          <w:b/>
          <w:bCs/>
          <w:i/>
          <w:iCs/>
        </w:rPr>
      </w:pPr>
    </w:p>
    <w:p w14:paraId="5FA74930" w14:textId="4EAEBCA3" w:rsidR="00115CCD" w:rsidRPr="00E375FE" w:rsidRDefault="00115CCD" w:rsidP="00115CCD">
      <w:pPr>
        <w:rPr>
          <w:rFonts w:ascii="Arial" w:hAnsi="Arial" w:cs="Arial"/>
          <w:b/>
          <w:bCs/>
          <w:i/>
          <w:iCs/>
          <w:sz w:val="28"/>
          <w:szCs w:val="28"/>
        </w:rPr>
      </w:pPr>
      <w:r w:rsidRPr="00E375FE">
        <w:rPr>
          <w:rFonts w:ascii="Arial" w:hAnsi="Arial" w:cs="Arial"/>
          <w:b/>
          <w:bCs/>
          <w:i/>
          <w:iCs/>
          <w:sz w:val="28"/>
          <w:szCs w:val="28"/>
        </w:rPr>
        <w:t>Summary</w:t>
      </w:r>
      <w:r w:rsidR="00FC4682" w:rsidRPr="00E375FE">
        <w:rPr>
          <w:rFonts w:ascii="Arial" w:hAnsi="Arial" w:cs="Arial"/>
          <w:b/>
          <w:bCs/>
          <w:i/>
          <w:iCs/>
          <w:sz w:val="28"/>
          <w:szCs w:val="28"/>
        </w:rPr>
        <w:t xml:space="preserve">  </w:t>
      </w:r>
    </w:p>
    <w:bookmarkEnd w:id="38"/>
    <w:p w14:paraId="0BBAF1DC" w14:textId="77777777" w:rsidR="00CC50BA" w:rsidRPr="00020A5D" w:rsidRDefault="00CC50BA" w:rsidP="00CC50BA">
      <w:pPr>
        <w:rPr>
          <w:rFonts w:ascii="Arial" w:hAnsi="Arial" w:cs="Arial"/>
        </w:rPr>
      </w:pPr>
      <w:r w:rsidRPr="00CC50BA">
        <w:rPr>
          <w:rFonts w:ascii="Arial" w:hAnsi="Arial" w:cs="Arial"/>
        </w:rPr>
        <w:t xml:space="preserve">Access to services is a foundational theme in evaluating the effectiveness of the UK’s healthcare provisions for individuals with SCZ. Despite extensive national guidance and </w:t>
      </w:r>
      <w:r w:rsidRPr="00020A5D">
        <w:rPr>
          <w:rFonts w:ascii="Arial" w:hAnsi="Arial" w:cs="Arial"/>
        </w:rPr>
        <w:t xml:space="preserve">theoretically sound frameworks, real-world delivery remains inconsistent. Key authors in this theme, NICE (2015), Pathan (2020), Priebe </w:t>
      </w:r>
      <w:r w:rsidRPr="00020A5D">
        <w:rPr>
          <w:rFonts w:ascii="Arial" w:hAnsi="Arial" w:cs="Arial"/>
          <w:i/>
          <w:iCs/>
        </w:rPr>
        <w:t>et al.</w:t>
      </w:r>
      <w:r w:rsidRPr="00020A5D">
        <w:rPr>
          <w:rFonts w:ascii="Arial" w:hAnsi="Arial" w:cs="Arial"/>
        </w:rPr>
        <w:t xml:space="preserve"> (2015), and Spremberg (2021), highlight the policy, structural, and experiential failures that continue to restrict access. Addressing these deficiencies is essential if national mental health goals are to be realised and meaningful recovery outcomes achieved.</w:t>
      </w:r>
    </w:p>
    <w:p w14:paraId="450880B3" w14:textId="77777777" w:rsidR="00D06F74" w:rsidRDefault="00CC50BA" w:rsidP="00D06F74">
      <w:pPr>
        <w:rPr>
          <w:rFonts w:ascii="Arial" w:hAnsi="Arial" w:cs="Arial"/>
        </w:rPr>
      </w:pPr>
      <w:r w:rsidRPr="00020A5D">
        <w:rPr>
          <w:rFonts w:ascii="Arial" w:hAnsi="Arial" w:cs="Arial"/>
        </w:rPr>
        <w:t xml:space="preserve">Spremberg (2021) illustrates the lived experience of inadequate services. Bucci </w:t>
      </w:r>
      <w:r w:rsidRPr="00020A5D">
        <w:rPr>
          <w:rFonts w:ascii="Arial" w:hAnsi="Arial" w:cs="Arial"/>
          <w:i/>
          <w:iCs/>
        </w:rPr>
        <w:t>et al.</w:t>
      </w:r>
      <w:r w:rsidRPr="00020A5D">
        <w:rPr>
          <w:rFonts w:ascii="Arial" w:hAnsi="Arial" w:cs="Arial"/>
        </w:rPr>
        <w:t xml:space="preserve"> (2016) critique the failure to implement NICE guidelines effectively. Adcock </w:t>
      </w:r>
      <w:r w:rsidRPr="00020A5D">
        <w:rPr>
          <w:rFonts w:ascii="Arial" w:hAnsi="Arial" w:cs="Arial"/>
          <w:i/>
          <w:iCs/>
        </w:rPr>
        <w:t>et al.</w:t>
      </w:r>
      <w:r w:rsidRPr="00020A5D">
        <w:rPr>
          <w:rFonts w:ascii="Arial" w:hAnsi="Arial" w:cs="Arial"/>
        </w:rPr>
        <w:t xml:space="preserve"> (2025)</w:t>
      </w:r>
      <w:r w:rsidRPr="00CC50BA">
        <w:rPr>
          <w:rFonts w:ascii="Arial" w:hAnsi="Arial" w:cs="Arial"/>
        </w:rPr>
        <w:t xml:space="preserve"> provide evidence of persistent funding and workforce challenges. Collectively, these works reveal the misalignment between policy, practice, and service-user experience.</w:t>
      </w:r>
    </w:p>
    <w:p w14:paraId="54A4AA80" w14:textId="75B1411C" w:rsidR="00FD6C60" w:rsidRPr="00E375FE" w:rsidRDefault="007D5AE6" w:rsidP="00FD6C60">
      <w:pPr>
        <w:rPr>
          <w:rFonts w:ascii="Arial" w:hAnsi="Arial" w:cs="Arial"/>
          <w:i/>
          <w:iCs/>
          <w:sz w:val="28"/>
          <w:szCs w:val="28"/>
        </w:rPr>
      </w:pPr>
      <w:r w:rsidRPr="00FD6C60">
        <w:rPr>
          <w:rFonts w:ascii="Arial" w:hAnsi="Arial" w:cs="Arial"/>
          <w:b/>
          <w:bCs/>
        </w:rPr>
        <w:br/>
      </w:r>
      <w:r w:rsidRPr="00E375FE">
        <w:rPr>
          <w:rFonts w:ascii="Arial" w:hAnsi="Arial" w:cs="Arial"/>
          <w:b/>
          <w:bCs/>
          <w:i/>
          <w:iCs/>
          <w:sz w:val="28"/>
          <w:szCs w:val="28"/>
        </w:rPr>
        <w:t>Connections to Other Themes</w:t>
      </w:r>
    </w:p>
    <w:p w14:paraId="7199A050" w14:textId="5024F5D2" w:rsidR="00747510" w:rsidRPr="003955D5" w:rsidRDefault="00747510" w:rsidP="00747510">
      <w:pPr>
        <w:rPr>
          <w:rFonts w:ascii="Arial" w:hAnsi="Arial" w:cs="Arial"/>
        </w:rPr>
      </w:pPr>
      <w:r w:rsidRPr="0067228D">
        <w:rPr>
          <w:rFonts w:ascii="Arial" w:hAnsi="Arial" w:cs="Arial"/>
        </w:rPr>
        <w:t xml:space="preserve">This theme overlaps with </w:t>
      </w:r>
      <w:r w:rsidR="00FD6C60" w:rsidRPr="0067228D">
        <w:rPr>
          <w:rFonts w:ascii="Arial" w:hAnsi="Arial" w:cs="Arial"/>
        </w:rPr>
        <w:t>C</w:t>
      </w:r>
      <w:r w:rsidRPr="0067228D">
        <w:rPr>
          <w:rFonts w:ascii="Arial" w:hAnsi="Arial" w:cs="Arial"/>
        </w:rPr>
        <w:t xml:space="preserve">ultural and </w:t>
      </w:r>
      <w:r w:rsidR="00FD6C60" w:rsidRPr="0067228D">
        <w:rPr>
          <w:rFonts w:ascii="Arial" w:hAnsi="Arial" w:cs="Arial"/>
        </w:rPr>
        <w:t>E</w:t>
      </w:r>
      <w:r w:rsidRPr="0067228D">
        <w:rPr>
          <w:rFonts w:ascii="Arial" w:hAnsi="Arial" w:cs="Arial"/>
        </w:rPr>
        <w:t xml:space="preserve">thnic </w:t>
      </w:r>
      <w:r w:rsidR="00FD6C60" w:rsidRPr="0067228D">
        <w:rPr>
          <w:rFonts w:ascii="Arial" w:hAnsi="Arial" w:cs="Arial"/>
        </w:rPr>
        <w:t>I</w:t>
      </w:r>
      <w:r w:rsidRPr="0067228D">
        <w:rPr>
          <w:rFonts w:ascii="Arial" w:hAnsi="Arial" w:cs="Arial"/>
        </w:rPr>
        <w:t>nequality, as minoritised populations face additional access barriers. It also connects to treatment approaches since reduced access undermines the continuity and delivery of psychological interventions.</w:t>
      </w:r>
    </w:p>
    <w:p w14:paraId="71685722" w14:textId="77777777" w:rsidR="00DA137B" w:rsidRPr="00E375FE" w:rsidRDefault="00DA137B" w:rsidP="00747510">
      <w:pPr>
        <w:rPr>
          <w:sz w:val="28"/>
          <w:szCs w:val="28"/>
        </w:rPr>
      </w:pPr>
    </w:p>
    <w:p w14:paraId="4F1EDEF1" w14:textId="26A025CA" w:rsidR="007D5AE6" w:rsidRPr="00E375FE" w:rsidRDefault="007D5AE6" w:rsidP="000325CD">
      <w:pPr>
        <w:pStyle w:val="Heading2"/>
      </w:pPr>
      <w:bookmarkStart w:id="40" w:name="_Toc204981501"/>
      <w:r w:rsidRPr="00E375FE">
        <w:lastRenderedPageBreak/>
        <w:t xml:space="preserve">4.4 – Theme 2 </w:t>
      </w:r>
      <w:r w:rsidR="008C2FBB" w:rsidRPr="00E375FE">
        <w:t>Cultural and Ethnic Inequality</w:t>
      </w:r>
      <w:bookmarkEnd w:id="40"/>
      <w:r w:rsidR="009B671D" w:rsidRPr="00E375FE">
        <w:t xml:space="preserve">     </w:t>
      </w:r>
      <w:r w:rsidRPr="00E375FE">
        <w:t xml:space="preserve"> </w:t>
      </w:r>
    </w:p>
    <w:p w14:paraId="26780533" w14:textId="77777777" w:rsidR="009069BC" w:rsidRPr="00E375FE" w:rsidRDefault="009069BC" w:rsidP="00677D41">
      <w:pPr>
        <w:pStyle w:val="Heading4"/>
        <w:rPr>
          <w:rFonts w:ascii="Arial" w:hAnsi="Arial" w:cs="Arial"/>
          <w:b/>
          <w:bCs/>
          <w:color w:val="auto"/>
          <w:sz w:val="28"/>
          <w:szCs w:val="28"/>
        </w:rPr>
      </w:pPr>
    </w:p>
    <w:p w14:paraId="2AAFA037" w14:textId="59B7A9E7" w:rsidR="00677D41" w:rsidRPr="00E375FE" w:rsidRDefault="007D5AE6" w:rsidP="00677D41">
      <w:pPr>
        <w:pStyle w:val="Heading4"/>
        <w:rPr>
          <w:rFonts w:ascii="Arial" w:hAnsi="Arial" w:cs="Arial"/>
          <w:b/>
          <w:bCs/>
          <w:color w:val="auto"/>
          <w:sz w:val="28"/>
          <w:szCs w:val="28"/>
        </w:rPr>
      </w:pPr>
      <w:r w:rsidRPr="00E375FE">
        <w:rPr>
          <w:rFonts w:ascii="Arial" w:hAnsi="Arial" w:cs="Arial"/>
          <w:b/>
          <w:bCs/>
          <w:color w:val="auto"/>
          <w:sz w:val="28"/>
          <w:szCs w:val="28"/>
        </w:rPr>
        <w:t xml:space="preserve">Definition </w:t>
      </w:r>
    </w:p>
    <w:p w14:paraId="043F6814" w14:textId="77777777" w:rsidR="009069BC" w:rsidRDefault="009069BC" w:rsidP="009069BC">
      <w:pPr>
        <w:rPr>
          <w:rFonts w:ascii="Arial" w:hAnsi="Arial" w:cs="Arial"/>
        </w:rPr>
      </w:pPr>
    </w:p>
    <w:p w14:paraId="0069CB76" w14:textId="77777777" w:rsidR="008A02BA" w:rsidRPr="008A02BA" w:rsidRDefault="008A02BA" w:rsidP="008A02BA">
      <w:pPr>
        <w:rPr>
          <w:rFonts w:ascii="Arial" w:hAnsi="Arial" w:cs="Arial"/>
        </w:rPr>
      </w:pPr>
      <w:r w:rsidRPr="008A02BA">
        <w:rPr>
          <w:rFonts w:ascii="Arial" w:hAnsi="Arial" w:cs="Arial"/>
        </w:rPr>
        <w:t xml:space="preserve">Cultural and ethnic inequality in mental health, particularly in SCZ care, is marked by systemic disparities in diagnosis, treatment access, and outcomes between ethnic minority groups and White British </w:t>
      </w:r>
      <w:r w:rsidRPr="00D31B45">
        <w:rPr>
          <w:rFonts w:ascii="Arial" w:hAnsi="Arial" w:cs="Arial"/>
        </w:rPr>
        <w:t xml:space="preserve">populations (Das-Munshi </w:t>
      </w:r>
      <w:r w:rsidRPr="00D31B45">
        <w:rPr>
          <w:rFonts w:ascii="Arial" w:hAnsi="Arial" w:cs="Arial"/>
          <w:i/>
          <w:iCs/>
        </w:rPr>
        <w:t>et al.,</w:t>
      </w:r>
      <w:r w:rsidRPr="00D31B45">
        <w:rPr>
          <w:rFonts w:ascii="Arial" w:hAnsi="Arial" w:cs="Arial"/>
        </w:rPr>
        <w:t xml:space="preserve"> 2018; Halvorsrud </w:t>
      </w:r>
      <w:r w:rsidRPr="00D31B45">
        <w:rPr>
          <w:rFonts w:ascii="Arial" w:hAnsi="Arial" w:cs="Arial"/>
          <w:i/>
          <w:iCs/>
        </w:rPr>
        <w:t>et al.,</w:t>
      </w:r>
      <w:r w:rsidRPr="00D31B45">
        <w:rPr>
          <w:rFonts w:ascii="Arial" w:hAnsi="Arial" w:cs="Arial"/>
        </w:rPr>
        <w:t xml:space="preserve"> 2019).</w:t>
      </w:r>
      <w:r w:rsidRPr="008A02BA">
        <w:rPr>
          <w:rFonts w:ascii="Arial" w:hAnsi="Arial" w:cs="Arial"/>
        </w:rPr>
        <w:t xml:space="preserve"> Higher rates of involuntary admission, misdiagnosis, limited access to psychological therapies, and reduced satisfaction with care serve as evidence of these inequalities. They stem not only from cultural variation but also from structural racism, historical biases, and systemic exclusion from equitable healthcare </w:t>
      </w:r>
      <w:r w:rsidRPr="00D31B45">
        <w:rPr>
          <w:rFonts w:ascii="Arial" w:hAnsi="Arial" w:cs="Arial"/>
        </w:rPr>
        <w:t xml:space="preserve">services (Halvorsrud </w:t>
      </w:r>
      <w:r w:rsidRPr="00D31B45">
        <w:rPr>
          <w:rFonts w:ascii="Arial" w:hAnsi="Arial" w:cs="Arial"/>
          <w:i/>
          <w:iCs/>
        </w:rPr>
        <w:t>et al.,</w:t>
      </w:r>
      <w:r w:rsidRPr="00D31B45">
        <w:rPr>
          <w:rFonts w:ascii="Arial" w:hAnsi="Arial" w:cs="Arial"/>
        </w:rPr>
        <w:t xml:space="preserve"> 2019).</w:t>
      </w:r>
      <w:r w:rsidRPr="008A02BA">
        <w:rPr>
          <w:rFonts w:ascii="Arial" w:hAnsi="Arial" w:cs="Arial"/>
        </w:rPr>
        <w:t xml:space="preserve"> Additional barriers such as stigma, language difficulties, and clinician bias often contribute to diagnostic delays, mislabelling, or disengagement from </w:t>
      </w:r>
      <w:r w:rsidRPr="00D31B45">
        <w:rPr>
          <w:rFonts w:ascii="Arial" w:hAnsi="Arial" w:cs="Arial"/>
        </w:rPr>
        <w:t>services (Pathan, 2020; Valery &amp; Prouteau, 2020).</w:t>
      </w:r>
    </w:p>
    <w:p w14:paraId="641E7D52" w14:textId="77777777" w:rsidR="009069BC" w:rsidRPr="00DA137B" w:rsidRDefault="009069BC" w:rsidP="005954DE">
      <w:pPr>
        <w:rPr>
          <w:sz w:val="28"/>
          <w:szCs w:val="28"/>
        </w:rPr>
      </w:pPr>
    </w:p>
    <w:p w14:paraId="3703370F" w14:textId="02779C48" w:rsidR="00506EDE" w:rsidRDefault="009A7395" w:rsidP="00506EDE">
      <w:pPr>
        <w:pStyle w:val="Heading4"/>
        <w:rPr>
          <w:rFonts w:ascii="Arial" w:hAnsi="Arial" w:cs="Arial"/>
          <w:b/>
          <w:bCs/>
          <w:color w:val="auto"/>
          <w:sz w:val="24"/>
          <w:szCs w:val="24"/>
        </w:rPr>
      </w:pPr>
      <w:r w:rsidRPr="00DA137B">
        <w:rPr>
          <w:rFonts w:ascii="Arial" w:hAnsi="Arial" w:cs="Arial"/>
          <w:b/>
          <w:bCs/>
          <w:color w:val="auto"/>
          <w:sz w:val="28"/>
          <w:szCs w:val="28"/>
        </w:rPr>
        <w:t>Historical/Contextual Background</w:t>
      </w:r>
    </w:p>
    <w:p w14:paraId="6FBEA7B5" w14:textId="77777777" w:rsidR="00506EDE" w:rsidRPr="00506EDE" w:rsidRDefault="00506EDE" w:rsidP="00506EDE"/>
    <w:p w14:paraId="2062B7E1" w14:textId="3EA57B44" w:rsidR="00506EDE" w:rsidRDefault="00677D41" w:rsidP="00506EDE">
      <w:pPr>
        <w:rPr>
          <w:rFonts w:ascii="Arial" w:hAnsi="Arial" w:cs="Arial"/>
        </w:rPr>
      </w:pPr>
      <w:r w:rsidRPr="003D6B8D">
        <w:rPr>
          <w:rFonts w:ascii="Arial" w:hAnsi="Arial" w:cs="Arial"/>
        </w:rPr>
        <w:t xml:space="preserve">Since the 1980s, the UK has recognised ethnic inequalities in </w:t>
      </w:r>
      <w:r w:rsidR="0016161A" w:rsidRPr="003D6B8D">
        <w:rPr>
          <w:rFonts w:ascii="Arial" w:hAnsi="Arial" w:cs="Arial"/>
        </w:rPr>
        <w:t>M</w:t>
      </w:r>
      <w:r w:rsidRPr="003D6B8D">
        <w:rPr>
          <w:rFonts w:ascii="Arial" w:hAnsi="Arial" w:cs="Arial"/>
        </w:rPr>
        <w:t xml:space="preserve">ental </w:t>
      </w:r>
      <w:r w:rsidR="0016161A" w:rsidRPr="003D6B8D">
        <w:rPr>
          <w:rFonts w:ascii="Arial" w:hAnsi="Arial" w:cs="Arial"/>
        </w:rPr>
        <w:t>H</w:t>
      </w:r>
      <w:r w:rsidRPr="003D6B8D">
        <w:rPr>
          <w:rFonts w:ascii="Arial" w:hAnsi="Arial" w:cs="Arial"/>
        </w:rPr>
        <w:t>ealthcare</w:t>
      </w:r>
      <w:r w:rsidR="007A6740" w:rsidRPr="003D6B8D">
        <w:rPr>
          <w:rFonts w:ascii="Times New Roman" w:eastAsia="Times New Roman" w:hAnsi="Times New Roman" w:cs="Times New Roman"/>
          <w:kern w:val="0"/>
          <w:sz w:val="24"/>
          <w:szCs w:val="24"/>
          <w:lang w:eastAsia="en-GB"/>
          <w14:ligatures w14:val="none"/>
        </w:rPr>
        <w:t xml:space="preserve"> </w:t>
      </w:r>
      <w:r w:rsidR="007A6740" w:rsidRPr="003D6B8D">
        <w:rPr>
          <w:rFonts w:ascii="Arial" w:hAnsi="Arial" w:cs="Arial"/>
        </w:rPr>
        <w:t xml:space="preserve">(Bansal </w:t>
      </w:r>
      <w:r w:rsidR="007A6740" w:rsidRPr="003D6B8D">
        <w:rPr>
          <w:rFonts w:ascii="Arial" w:hAnsi="Arial" w:cs="Arial"/>
          <w:i/>
          <w:iCs/>
        </w:rPr>
        <w:t>et al.,</w:t>
      </w:r>
      <w:r w:rsidR="007A6740" w:rsidRPr="003D6B8D">
        <w:rPr>
          <w:rFonts w:ascii="Arial" w:hAnsi="Arial" w:cs="Arial"/>
        </w:rPr>
        <w:t xml:space="preserve"> 2022)</w:t>
      </w:r>
      <w:r w:rsidRPr="003D6B8D">
        <w:rPr>
          <w:rFonts w:ascii="Arial" w:hAnsi="Arial" w:cs="Arial"/>
        </w:rPr>
        <w:t>.</w:t>
      </w:r>
      <w:r w:rsidRPr="00677D41">
        <w:rPr>
          <w:rFonts w:ascii="Arial" w:hAnsi="Arial" w:cs="Arial"/>
        </w:rPr>
        <w:t xml:space="preserve"> Reports have consistently shown poorer outcomes for Black African, Caribbean, and South Asian populations (</w:t>
      </w:r>
      <w:r w:rsidRPr="003C47E4">
        <w:rPr>
          <w:rFonts w:ascii="Arial" w:hAnsi="Arial" w:cs="Arial"/>
        </w:rPr>
        <w:t xml:space="preserve">Halvorsrud </w:t>
      </w:r>
      <w:r w:rsidRPr="003C47E4">
        <w:rPr>
          <w:rFonts w:ascii="Arial" w:hAnsi="Arial" w:cs="Arial"/>
          <w:i/>
          <w:iCs/>
        </w:rPr>
        <w:t>et al.,</w:t>
      </w:r>
      <w:r w:rsidRPr="003C47E4">
        <w:rPr>
          <w:rFonts w:ascii="Arial" w:hAnsi="Arial" w:cs="Arial"/>
        </w:rPr>
        <w:t xml:space="preserve"> 2019).</w:t>
      </w:r>
      <w:r w:rsidRPr="00677D41">
        <w:rPr>
          <w:rFonts w:ascii="Arial" w:hAnsi="Arial" w:cs="Arial"/>
        </w:rPr>
        <w:t xml:space="preserve"> The Macpherson Report 1999 exposed institutional raci</w:t>
      </w:r>
      <w:r w:rsidRPr="003D6B8D">
        <w:rPr>
          <w:rFonts w:ascii="Arial" w:hAnsi="Arial" w:cs="Arial"/>
        </w:rPr>
        <w:t>sm within public services, including mental health</w:t>
      </w:r>
      <w:r w:rsidR="00555D08" w:rsidRPr="003D6B8D">
        <w:rPr>
          <w:rFonts w:ascii="Times New Roman" w:eastAsia="Times New Roman" w:hAnsi="Times New Roman" w:cs="Times New Roman"/>
          <w:kern w:val="0"/>
          <w:sz w:val="24"/>
          <w:szCs w:val="24"/>
          <w:lang w:eastAsia="en-GB"/>
          <w14:ligatures w14:val="none"/>
        </w:rPr>
        <w:t xml:space="preserve"> </w:t>
      </w:r>
      <w:r w:rsidR="001613A1" w:rsidRPr="003D6B8D">
        <w:rPr>
          <w:rFonts w:ascii="Arial" w:hAnsi="Arial" w:cs="Arial"/>
        </w:rPr>
        <w:t>(Stowell-Smith and McKeown, 2005)</w:t>
      </w:r>
      <w:r w:rsidRPr="003D6B8D">
        <w:rPr>
          <w:rFonts w:ascii="Arial" w:hAnsi="Arial" w:cs="Arial"/>
        </w:rPr>
        <w:t>.</w:t>
      </w:r>
      <w:r w:rsidRPr="00677D41">
        <w:rPr>
          <w:rFonts w:ascii="Arial" w:hAnsi="Arial" w:cs="Arial"/>
        </w:rPr>
        <w:t xml:space="preserve"> Despite the introduction of initiatives, ethnic minority groups continue to experience poor outcomes </w:t>
      </w:r>
      <w:r w:rsidRPr="003C47E4">
        <w:rPr>
          <w:rFonts w:ascii="Arial" w:hAnsi="Arial" w:cs="Arial"/>
        </w:rPr>
        <w:t xml:space="preserve">(Das-Munshi </w:t>
      </w:r>
      <w:r w:rsidRPr="003C47E4">
        <w:rPr>
          <w:rFonts w:ascii="Arial" w:hAnsi="Arial" w:cs="Arial"/>
          <w:i/>
          <w:iCs/>
        </w:rPr>
        <w:t>et al.,</w:t>
      </w:r>
      <w:r w:rsidRPr="003C47E4">
        <w:rPr>
          <w:rFonts w:ascii="Arial" w:hAnsi="Arial" w:cs="Arial"/>
        </w:rPr>
        <w:t xml:space="preserve"> 2018; Halvorsrud </w:t>
      </w:r>
      <w:r w:rsidRPr="003C47E4">
        <w:rPr>
          <w:rFonts w:ascii="Arial" w:hAnsi="Arial" w:cs="Arial"/>
          <w:i/>
          <w:iCs/>
        </w:rPr>
        <w:t>et al.,</w:t>
      </w:r>
      <w:r w:rsidRPr="003C47E4">
        <w:rPr>
          <w:rFonts w:ascii="Arial" w:hAnsi="Arial" w:cs="Arial"/>
        </w:rPr>
        <w:t xml:space="preserve"> 2019).</w:t>
      </w:r>
      <w:r w:rsidRPr="00677D41">
        <w:rPr>
          <w:rFonts w:ascii="Arial" w:hAnsi="Arial" w:cs="Arial"/>
        </w:rPr>
        <w:t xml:space="preserve"> According to </w:t>
      </w:r>
      <w:r w:rsidRPr="003C47E4">
        <w:rPr>
          <w:rFonts w:ascii="Arial" w:hAnsi="Arial" w:cs="Arial"/>
        </w:rPr>
        <w:t>Pathan (2020), these</w:t>
      </w:r>
      <w:r w:rsidRPr="00677D41">
        <w:rPr>
          <w:rFonts w:ascii="Arial" w:hAnsi="Arial" w:cs="Arial"/>
        </w:rPr>
        <w:t xml:space="preserve"> groups remain over-represented in crisis services and under-represented in community-based or early intervention care. Cultural stigma and mistrust of services further restrict access and continuity of </w:t>
      </w:r>
      <w:r w:rsidRPr="003C47E4">
        <w:rPr>
          <w:rFonts w:ascii="Arial" w:hAnsi="Arial" w:cs="Arial"/>
        </w:rPr>
        <w:t>care (Ngaage &amp; Agius, 2016; Pathan, 2020).</w:t>
      </w:r>
    </w:p>
    <w:p w14:paraId="4499AD04" w14:textId="77777777" w:rsidR="00506EDE" w:rsidRPr="00D27F43" w:rsidRDefault="00506EDE" w:rsidP="00506EDE">
      <w:pPr>
        <w:rPr>
          <w:rFonts w:ascii="Arial" w:hAnsi="Arial" w:cs="Arial"/>
          <w:b/>
          <w:bCs/>
          <w:sz w:val="24"/>
          <w:szCs w:val="24"/>
        </w:rPr>
      </w:pPr>
    </w:p>
    <w:p w14:paraId="1874E100" w14:textId="539F9BBA" w:rsidR="00EE7C4C" w:rsidRPr="00D27F43" w:rsidRDefault="00EE7C4C" w:rsidP="00EE7C4C">
      <w:pPr>
        <w:rPr>
          <w:rFonts w:ascii="Arial" w:hAnsi="Arial" w:cs="Arial"/>
          <w:i/>
          <w:iCs/>
          <w:sz w:val="24"/>
          <w:szCs w:val="24"/>
        </w:rPr>
      </w:pPr>
      <w:r w:rsidRPr="00DA137B">
        <w:rPr>
          <w:rFonts w:ascii="Arial" w:hAnsi="Arial" w:cs="Arial"/>
          <w:b/>
          <w:bCs/>
          <w:sz w:val="28"/>
          <w:szCs w:val="28"/>
        </w:rPr>
        <w:t>Impact on Research Question</w:t>
      </w:r>
    </w:p>
    <w:p w14:paraId="4B9E10F8" w14:textId="601A5C71" w:rsidR="00D27F43" w:rsidRPr="00E81A82" w:rsidRDefault="00EE7C4C" w:rsidP="004C4DBB">
      <w:pPr>
        <w:rPr>
          <w:rFonts w:ascii="Arial" w:hAnsi="Arial" w:cs="Arial"/>
        </w:rPr>
      </w:pPr>
      <w:r w:rsidRPr="00F2402F">
        <w:rPr>
          <w:rFonts w:ascii="Arial" w:hAnsi="Arial" w:cs="Arial"/>
        </w:rPr>
        <w:t xml:space="preserve">This theme links directly to the research question: “How </w:t>
      </w:r>
      <w:r w:rsidR="00C93936">
        <w:rPr>
          <w:rFonts w:ascii="Arial" w:hAnsi="Arial" w:cs="Arial"/>
        </w:rPr>
        <w:t>e</w:t>
      </w:r>
      <w:r w:rsidRPr="00F2402F">
        <w:rPr>
          <w:rFonts w:ascii="Arial" w:hAnsi="Arial" w:cs="Arial"/>
        </w:rPr>
        <w:t xml:space="preserve">ffective are the UK’s </w:t>
      </w:r>
      <w:r w:rsidR="00C93936">
        <w:rPr>
          <w:rFonts w:ascii="Arial" w:hAnsi="Arial" w:cs="Arial"/>
        </w:rPr>
        <w:t>h</w:t>
      </w:r>
      <w:r w:rsidR="00C93936" w:rsidRPr="00F2402F">
        <w:rPr>
          <w:rFonts w:ascii="Arial" w:hAnsi="Arial" w:cs="Arial"/>
        </w:rPr>
        <w:t>ealth</w:t>
      </w:r>
      <w:r w:rsidR="00C93936">
        <w:rPr>
          <w:rFonts w:ascii="Arial" w:hAnsi="Arial" w:cs="Arial"/>
        </w:rPr>
        <w:t xml:space="preserve"> c</w:t>
      </w:r>
      <w:r w:rsidR="00C93936" w:rsidRPr="00F2402F">
        <w:rPr>
          <w:rFonts w:ascii="Arial" w:hAnsi="Arial" w:cs="Arial"/>
        </w:rPr>
        <w:t>are</w:t>
      </w:r>
      <w:r w:rsidRPr="00F2402F">
        <w:rPr>
          <w:rFonts w:ascii="Arial" w:hAnsi="Arial" w:cs="Arial"/>
        </w:rPr>
        <w:t xml:space="preserve"> provisions for individuals with SCZ</w:t>
      </w:r>
      <w:r w:rsidRPr="001E1663">
        <w:rPr>
          <w:rFonts w:ascii="Arial" w:hAnsi="Arial" w:cs="Arial"/>
        </w:rPr>
        <w:t>?” (Pathan, 2020; NICE, 2015). Inequitable</w:t>
      </w:r>
      <w:r w:rsidRPr="00F2402F">
        <w:rPr>
          <w:rFonts w:ascii="Arial" w:hAnsi="Arial" w:cs="Arial"/>
        </w:rPr>
        <w:t xml:space="preserve"> care, particularly for ethnic minorities, compromises </w:t>
      </w:r>
      <w:r w:rsidRPr="003D6B8D">
        <w:rPr>
          <w:rFonts w:ascii="Arial" w:hAnsi="Arial" w:cs="Arial"/>
        </w:rPr>
        <w:t>effectiveness (Halvorsrud</w:t>
      </w:r>
      <w:r w:rsidRPr="003D6B8D">
        <w:rPr>
          <w:rFonts w:ascii="Arial" w:hAnsi="Arial" w:cs="Arial"/>
          <w:i/>
          <w:iCs/>
        </w:rPr>
        <w:t xml:space="preserve"> et al</w:t>
      </w:r>
      <w:r w:rsidRPr="003D6B8D">
        <w:rPr>
          <w:rFonts w:ascii="Arial" w:hAnsi="Arial" w:cs="Arial"/>
        </w:rPr>
        <w:t>., 2019).</w:t>
      </w:r>
      <w:r w:rsidRPr="00F2402F">
        <w:rPr>
          <w:rFonts w:ascii="Arial" w:hAnsi="Arial" w:cs="Arial"/>
        </w:rPr>
        <w:t xml:space="preserve"> The study also addresses Objective 2, which evaluates disparities in access, diagnosis, and treatment along ethnic </w:t>
      </w:r>
      <w:r w:rsidRPr="001E1663">
        <w:rPr>
          <w:rFonts w:ascii="Arial" w:hAnsi="Arial" w:cs="Arial"/>
        </w:rPr>
        <w:t xml:space="preserve">lines (Das-Munshi </w:t>
      </w:r>
      <w:r w:rsidRPr="001E1663">
        <w:rPr>
          <w:rFonts w:ascii="Arial" w:hAnsi="Arial" w:cs="Arial"/>
          <w:i/>
          <w:iCs/>
        </w:rPr>
        <w:t>et al.,</w:t>
      </w:r>
      <w:r w:rsidRPr="001E1663">
        <w:rPr>
          <w:rFonts w:ascii="Arial" w:hAnsi="Arial" w:cs="Arial"/>
        </w:rPr>
        <w:t xml:space="preserve"> 2018; Valery &amp; Prouteau, 2020).</w:t>
      </w:r>
    </w:p>
    <w:p w14:paraId="563EE822" w14:textId="24F59FFB" w:rsidR="004C4DBB" w:rsidRPr="00227883" w:rsidRDefault="007D5AE6" w:rsidP="004C4DBB">
      <w:pPr>
        <w:rPr>
          <w:rFonts w:ascii="Arial" w:hAnsi="Arial" w:cs="Arial"/>
          <w:sz w:val="28"/>
          <w:szCs w:val="28"/>
        </w:rPr>
      </w:pPr>
      <w:r w:rsidRPr="00227883">
        <w:rPr>
          <w:rFonts w:ascii="Arial" w:hAnsi="Arial" w:cs="Arial"/>
          <w:b/>
          <w:bCs/>
          <w:sz w:val="28"/>
          <w:szCs w:val="28"/>
        </w:rPr>
        <w:lastRenderedPageBreak/>
        <w:t>Statistical Information</w:t>
      </w:r>
      <w:r w:rsidR="00352AFB" w:rsidRPr="00227883">
        <w:rPr>
          <w:rFonts w:ascii="Arial" w:hAnsi="Arial" w:cs="Arial"/>
          <w:b/>
          <w:bCs/>
          <w:sz w:val="28"/>
          <w:szCs w:val="28"/>
        </w:rPr>
        <w:t xml:space="preserve"> </w:t>
      </w:r>
    </w:p>
    <w:p w14:paraId="4FB799D1" w14:textId="6CD5BCDB" w:rsidR="004C4DBB" w:rsidRPr="00D62F74" w:rsidRDefault="004C4DBB" w:rsidP="00D62F74">
      <w:pPr>
        <w:rPr>
          <w:rFonts w:ascii="Arial" w:hAnsi="Arial" w:cs="Arial"/>
        </w:rPr>
      </w:pPr>
      <w:r w:rsidRPr="00D62F74">
        <w:rPr>
          <w:rFonts w:ascii="Arial" w:hAnsi="Arial" w:cs="Arial"/>
        </w:rPr>
        <w:t xml:space="preserve">Quantitative and qualitative evidence confirms enduring ethnic inequalities. Das-Munshi </w:t>
      </w:r>
      <w:r w:rsidRPr="00D62F74">
        <w:rPr>
          <w:rFonts w:ascii="Arial" w:hAnsi="Arial" w:cs="Arial"/>
          <w:i/>
          <w:iCs/>
        </w:rPr>
        <w:t xml:space="preserve">et al. </w:t>
      </w:r>
      <w:r w:rsidRPr="00D62F74">
        <w:rPr>
          <w:rFonts w:ascii="Arial" w:hAnsi="Arial" w:cs="Arial"/>
        </w:rPr>
        <w:t xml:space="preserve">(2018) found that ethnic minority groups were less likely to receive talking therapies or timely referrals. Halvorsrud </w:t>
      </w:r>
      <w:r w:rsidRPr="00D62F74">
        <w:rPr>
          <w:rFonts w:ascii="Arial" w:hAnsi="Arial" w:cs="Arial"/>
          <w:i/>
          <w:iCs/>
        </w:rPr>
        <w:t>et al.</w:t>
      </w:r>
      <w:r w:rsidRPr="00D62F74">
        <w:rPr>
          <w:rFonts w:ascii="Arial" w:hAnsi="Arial" w:cs="Arial"/>
        </w:rPr>
        <w:t xml:space="preserve"> (2019), in a meta-analysis of 60 studies, found that Black Caribbean and African individuals are diagnosed with SCZ at three to six times the rate of White British people. These patterns have persisted across decades and regions.</w:t>
      </w:r>
    </w:p>
    <w:p w14:paraId="51CDFB38" w14:textId="0B012CF8" w:rsidR="004C4DBB" w:rsidRPr="00D62F74" w:rsidRDefault="004C4DBB" w:rsidP="00D62F74">
      <w:pPr>
        <w:rPr>
          <w:rFonts w:ascii="Arial" w:hAnsi="Arial" w:cs="Arial"/>
        </w:rPr>
      </w:pPr>
      <w:r w:rsidRPr="00D62F74">
        <w:rPr>
          <w:rFonts w:ascii="Arial" w:hAnsi="Arial" w:cs="Arial"/>
        </w:rPr>
        <w:t xml:space="preserve">Pathan (2020) notes inconsistent access to psychological therapies and disproportionate use of coercive measures, like involuntary hospitalisation under the Mental Health Act. Spremberg (2021) adds qualitative insight: Black and South Asian service users described care as fragmented and culturally detached, deepening mistrust. While NICE (2015) promotes equitable access to psychological and family-based interventions, Bucci </w:t>
      </w:r>
      <w:r w:rsidRPr="00D62F74">
        <w:rPr>
          <w:rFonts w:ascii="Arial" w:hAnsi="Arial" w:cs="Arial"/>
          <w:i/>
          <w:iCs/>
        </w:rPr>
        <w:t>et al.</w:t>
      </w:r>
      <w:r w:rsidRPr="00D62F74">
        <w:rPr>
          <w:rFonts w:ascii="Arial" w:hAnsi="Arial" w:cs="Arial"/>
        </w:rPr>
        <w:t xml:space="preserve"> (2016) and Pathan (2020) highlight that these goals are not met in practice.</w:t>
      </w:r>
    </w:p>
    <w:p w14:paraId="12E040C3" w14:textId="6CE0623E" w:rsidR="003955D5" w:rsidRPr="00B91805" w:rsidRDefault="004C4DBB" w:rsidP="003955D5">
      <w:pPr>
        <w:rPr>
          <w:rFonts w:ascii="Arial" w:hAnsi="Arial" w:cs="Arial"/>
        </w:rPr>
      </w:pPr>
      <w:r w:rsidRPr="00D62F74">
        <w:rPr>
          <w:rFonts w:ascii="Arial" w:hAnsi="Arial" w:cs="Arial"/>
        </w:rPr>
        <w:t>Valery and Prouteau (2020) assert that dissatisfaction and disengagement stem from clinician bias and cultural misunderstandings. Their review links discriminatory beliefs in staff to persistent exclusion from adequate mental health care.</w:t>
      </w:r>
    </w:p>
    <w:p w14:paraId="54BC24F1" w14:textId="77777777" w:rsidR="003955D5" w:rsidRPr="003955D5" w:rsidRDefault="003955D5" w:rsidP="003955D5"/>
    <w:p w14:paraId="6F2084AB" w14:textId="26283353" w:rsidR="009B671D" w:rsidRDefault="009A7395" w:rsidP="00D27F43">
      <w:pPr>
        <w:pStyle w:val="Heading4"/>
        <w:rPr>
          <w:rFonts w:ascii="Arial" w:hAnsi="Arial" w:cs="Arial"/>
          <w:b/>
          <w:bCs/>
          <w:color w:val="auto"/>
        </w:rPr>
      </w:pPr>
      <w:r w:rsidRPr="00227883">
        <w:rPr>
          <w:rFonts w:ascii="Arial" w:hAnsi="Arial" w:cs="Arial"/>
          <w:b/>
          <w:bCs/>
          <w:color w:val="auto"/>
          <w:sz w:val="28"/>
          <w:szCs w:val="28"/>
        </w:rPr>
        <w:t>Theoretical Framework</w:t>
      </w:r>
      <w:r w:rsidR="00597652">
        <w:rPr>
          <w:rFonts w:ascii="Arial" w:hAnsi="Arial" w:cs="Arial"/>
          <w:b/>
          <w:bCs/>
          <w:color w:val="auto"/>
        </w:rPr>
        <w:t xml:space="preserve">  </w:t>
      </w:r>
      <w:r w:rsidR="00D27F43">
        <w:rPr>
          <w:rFonts w:ascii="Arial" w:hAnsi="Arial" w:cs="Arial"/>
          <w:b/>
          <w:bCs/>
          <w:color w:val="auto"/>
        </w:rPr>
        <w:t xml:space="preserve">  </w:t>
      </w:r>
    </w:p>
    <w:p w14:paraId="0DFEAE76" w14:textId="77777777" w:rsidR="00A0012E" w:rsidRPr="00A0012E" w:rsidRDefault="00A0012E" w:rsidP="00A0012E"/>
    <w:p w14:paraId="6EDB094B" w14:textId="77777777" w:rsidR="005520BC" w:rsidRPr="009F2701" w:rsidRDefault="005520BC" w:rsidP="00A0012E">
      <w:pPr>
        <w:rPr>
          <w:rFonts w:ascii="Arial" w:hAnsi="Arial" w:cs="Arial"/>
        </w:rPr>
      </w:pPr>
      <w:r w:rsidRPr="009F2701">
        <w:rPr>
          <w:rFonts w:ascii="Arial" w:hAnsi="Arial" w:cs="Arial"/>
        </w:rPr>
        <w:t xml:space="preserve">This theme draws on Critical Race Theory and the Cultural Competence Model (Isaacs &amp; Benjamin, 1991). Critical Race Theory views racism as embedded within systems and institutions (Halvorsrud et al., 2019; Ngaage &amp; Agius, 2016). It helps contextualise patterns such as the overdiagnosis of SCZ among individuals from Black ethnic backgrounds, rooted in racialised assumptions embedded in clinical and institutional practices (Das-Munshi </w:t>
      </w:r>
      <w:r w:rsidRPr="009F2701">
        <w:rPr>
          <w:rFonts w:ascii="Arial" w:hAnsi="Arial" w:cs="Arial"/>
          <w:i/>
          <w:iCs/>
        </w:rPr>
        <w:t>et al.,</w:t>
      </w:r>
      <w:r w:rsidRPr="009F2701">
        <w:rPr>
          <w:rFonts w:ascii="Arial" w:hAnsi="Arial" w:cs="Arial"/>
        </w:rPr>
        <w:t xml:space="preserve"> 2018; Pathan, 2020).</w:t>
      </w:r>
    </w:p>
    <w:p w14:paraId="489D459C" w14:textId="7C2FB9AE" w:rsidR="001528B3" w:rsidRPr="00B91805" w:rsidRDefault="005520BC" w:rsidP="00B91805">
      <w:pPr>
        <w:rPr>
          <w:rStyle w:val="Strong"/>
          <w:rFonts w:ascii="Arial" w:hAnsi="Arial" w:cs="Arial"/>
          <w:b w:val="0"/>
          <w:bCs w:val="0"/>
        </w:rPr>
      </w:pPr>
      <w:r w:rsidRPr="009F2701">
        <w:rPr>
          <w:rFonts w:ascii="Arial" w:hAnsi="Arial" w:cs="Arial"/>
        </w:rPr>
        <w:t>The Cultural Competence Model defines competence as the integration of behaviours and policies that support effective practice in cross-cultural contexts. It promotes inclusive staffing, culturally adapted care, and community engagement (Valery &amp; Prouteau, 2020; Pathan, 2020). These frameworks emphasise that equity requires systemic reform, not just interpersonal change (Ngaage &amp; Agius, 2016). Although</w:t>
      </w:r>
      <w:r w:rsidRPr="005520BC">
        <w:rPr>
          <w:rFonts w:ascii="Arial" w:hAnsi="Arial" w:cs="Arial"/>
        </w:rPr>
        <w:t xml:space="preserve"> legislation like the Equality Act 2010 mandates non-discrimination, ongoing disparities highlight the limitations of legal safeguards when structural biases remain </w:t>
      </w:r>
      <w:r w:rsidRPr="00B11766">
        <w:rPr>
          <w:rFonts w:ascii="Arial" w:hAnsi="Arial" w:cs="Arial"/>
        </w:rPr>
        <w:t>unaddressed (GOV.UK, 2010; Halvorsrud</w:t>
      </w:r>
      <w:r w:rsidRPr="009F2701">
        <w:rPr>
          <w:rFonts w:ascii="Arial" w:hAnsi="Arial" w:cs="Arial"/>
        </w:rPr>
        <w:t xml:space="preserve"> </w:t>
      </w:r>
      <w:r w:rsidRPr="009F2701">
        <w:rPr>
          <w:rFonts w:ascii="Arial" w:hAnsi="Arial" w:cs="Arial"/>
          <w:i/>
          <w:iCs/>
        </w:rPr>
        <w:t>et al.,</w:t>
      </w:r>
      <w:r w:rsidRPr="009F2701">
        <w:rPr>
          <w:rFonts w:ascii="Arial" w:hAnsi="Arial" w:cs="Arial"/>
        </w:rPr>
        <w:t xml:space="preserve"> 2019)</w:t>
      </w:r>
    </w:p>
    <w:p w14:paraId="72AA59D4" w14:textId="77777777" w:rsidR="00E81A82" w:rsidRDefault="00E81A82" w:rsidP="00C2549E">
      <w:pPr>
        <w:pStyle w:val="NormalWeb"/>
        <w:spacing w:line="360" w:lineRule="auto"/>
        <w:rPr>
          <w:rStyle w:val="Strong"/>
          <w:rFonts w:ascii="Arial" w:eastAsia="Calibri Light" w:hAnsi="Arial" w:cs="Arial"/>
          <w:i/>
          <w:iCs/>
          <w:sz w:val="28"/>
          <w:szCs w:val="28"/>
        </w:rPr>
      </w:pPr>
    </w:p>
    <w:p w14:paraId="06526612" w14:textId="6E594B4A" w:rsidR="00373907" w:rsidRPr="00D27F43" w:rsidRDefault="007D5AE6" w:rsidP="00C2549E">
      <w:pPr>
        <w:pStyle w:val="NormalWeb"/>
        <w:spacing w:line="360" w:lineRule="auto"/>
        <w:rPr>
          <w:rStyle w:val="Strong"/>
          <w:rFonts w:ascii="Arial" w:eastAsia="Calibri Light" w:hAnsi="Arial" w:cs="Arial"/>
          <w:i/>
          <w:iCs/>
        </w:rPr>
      </w:pPr>
      <w:r w:rsidRPr="00227883">
        <w:rPr>
          <w:rStyle w:val="Strong"/>
          <w:rFonts w:ascii="Arial" w:eastAsia="Calibri Light" w:hAnsi="Arial" w:cs="Arial"/>
          <w:i/>
          <w:iCs/>
          <w:sz w:val="28"/>
          <w:szCs w:val="28"/>
        </w:rPr>
        <w:lastRenderedPageBreak/>
        <w:t>Policy and Legislation</w:t>
      </w:r>
    </w:p>
    <w:p w14:paraId="4B87A873" w14:textId="77777777" w:rsidR="00B0135E" w:rsidRPr="00B0135E" w:rsidRDefault="00B0135E" w:rsidP="003A7705">
      <w:pPr>
        <w:pStyle w:val="NormalWeb"/>
        <w:spacing w:line="360" w:lineRule="auto"/>
        <w:rPr>
          <w:rFonts w:ascii="Arial" w:hAnsi="Arial" w:cs="Arial"/>
          <w:sz w:val="22"/>
          <w:szCs w:val="22"/>
        </w:rPr>
      </w:pPr>
      <w:r w:rsidRPr="009F2701">
        <w:rPr>
          <w:rFonts w:ascii="Arial" w:hAnsi="Arial" w:cs="Arial"/>
          <w:sz w:val="22"/>
          <w:szCs w:val="22"/>
        </w:rPr>
        <w:t xml:space="preserve">NICE (2015) advocates equitable access to psychological therapies, including for ethnic minorities. Yet Bucci </w:t>
      </w:r>
      <w:r w:rsidRPr="009F2701">
        <w:rPr>
          <w:rFonts w:ascii="Arial" w:hAnsi="Arial" w:cs="Arial"/>
          <w:i/>
          <w:iCs/>
          <w:sz w:val="22"/>
          <w:szCs w:val="22"/>
        </w:rPr>
        <w:t>et al.</w:t>
      </w:r>
      <w:r w:rsidRPr="009F2701">
        <w:rPr>
          <w:rFonts w:ascii="Arial" w:hAnsi="Arial" w:cs="Arial"/>
          <w:sz w:val="22"/>
          <w:szCs w:val="22"/>
        </w:rPr>
        <w:t xml:space="preserve"> (2016) found</w:t>
      </w:r>
      <w:r w:rsidRPr="00B0135E">
        <w:rPr>
          <w:rFonts w:ascii="Arial" w:hAnsi="Arial" w:cs="Arial"/>
          <w:sz w:val="22"/>
          <w:szCs w:val="22"/>
        </w:rPr>
        <w:t xml:space="preserve"> that uptake among ethnic minority families remains low due to language, trust, and system complexity.</w:t>
      </w:r>
    </w:p>
    <w:p w14:paraId="6C4DB39E" w14:textId="5E9C9E30" w:rsidR="005B48A5" w:rsidRPr="00D5366B" w:rsidRDefault="00B0135E" w:rsidP="00C2549E">
      <w:pPr>
        <w:pStyle w:val="NormalWeb"/>
        <w:spacing w:line="360" w:lineRule="auto"/>
        <w:rPr>
          <w:rFonts w:ascii="Arial" w:hAnsi="Arial" w:cs="Arial"/>
          <w:sz w:val="22"/>
          <w:szCs w:val="22"/>
        </w:rPr>
      </w:pPr>
      <w:r w:rsidRPr="00B0135E">
        <w:rPr>
          <w:rFonts w:ascii="Arial" w:hAnsi="Arial" w:cs="Arial"/>
          <w:sz w:val="22"/>
          <w:szCs w:val="22"/>
        </w:rPr>
        <w:t xml:space="preserve">The Equality Act </w:t>
      </w:r>
      <w:r w:rsidRPr="00B11766">
        <w:rPr>
          <w:rFonts w:ascii="Arial" w:hAnsi="Arial" w:cs="Arial"/>
          <w:sz w:val="22"/>
          <w:szCs w:val="22"/>
        </w:rPr>
        <w:t>2010 (</w:t>
      </w:r>
      <w:hyperlink r:id="rId15" w:tgtFrame="_blank" w:history="1">
        <w:r w:rsidRPr="00B11766">
          <w:rPr>
            <w:rStyle w:val="Hyperlink"/>
            <w:rFonts w:ascii="Arial" w:hAnsi="Arial" w:cs="Arial"/>
            <w:color w:val="auto"/>
            <w:sz w:val="22"/>
            <w:szCs w:val="22"/>
            <w:u w:val="none"/>
          </w:rPr>
          <w:t>GOV.UK</w:t>
        </w:r>
      </w:hyperlink>
      <w:r w:rsidRPr="00B11766">
        <w:rPr>
          <w:rFonts w:ascii="Arial" w:hAnsi="Arial" w:cs="Arial"/>
          <w:sz w:val="22"/>
          <w:szCs w:val="22"/>
        </w:rPr>
        <w:t>, 2010)</w:t>
      </w:r>
      <w:r w:rsidRPr="00B0135E">
        <w:rPr>
          <w:rFonts w:ascii="Arial" w:hAnsi="Arial" w:cs="Arial"/>
          <w:sz w:val="22"/>
          <w:szCs w:val="22"/>
        </w:rPr>
        <w:t xml:space="preserve"> legally mandates non-discrimination in public services. However, enforcement in mental health is weak</w:t>
      </w:r>
      <w:r w:rsidRPr="009F2701">
        <w:rPr>
          <w:rFonts w:ascii="Arial" w:hAnsi="Arial" w:cs="Arial"/>
          <w:sz w:val="22"/>
          <w:szCs w:val="22"/>
        </w:rPr>
        <w:t>. Ngaage and Agius (2016) argue that cultural misunderstanding in assessments contributes to misdiagnosis. Halvorsrud</w:t>
      </w:r>
      <w:r w:rsidRPr="009F2701">
        <w:rPr>
          <w:rFonts w:ascii="Arial" w:hAnsi="Arial" w:cs="Arial"/>
          <w:i/>
          <w:iCs/>
          <w:sz w:val="22"/>
          <w:szCs w:val="22"/>
        </w:rPr>
        <w:t xml:space="preserve"> et al.</w:t>
      </w:r>
      <w:r w:rsidRPr="009F2701">
        <w:rPr>
          <w:rFonts w:ascii="Arial" w:hAnsi="Arial" w:cs="Arial"/>
          <w:sz w:val="22"/>
          <w:szCs w:val="22"/>
        </w:rPr>
        <w:t xml:space="preserve"> (2019) call for reform in training and diagnostic criteria.</w:t>
      </w:r>
    </w:p>
    <w:p w14:paraId="204860F2" w14:textId="77777777" w:rsidR="005B48A5" w:rsidRPr="00A252E2" w:rsidRDefault="005B48A5" w:rsidP="00C2549E">
      <w:pPr>
        <w:pStyle w:val="NormalWeb"/>
        <w:spacing w:line="360" w:lineRule="auto"/>
        <w:rPr>
          <w:rFonts w:ascii="Arial" w:hAnsi="Arial" w:cs="Arial"/>
          <w:i/>
          <w:iCs/>
        </w:rPr>
      </w:pPr>
    </w:p>
    <w:p w14:paraId="42F4649B" w14:textId="152A12C9" w:rsidR="00032CC3" w:rsidRPr="00D27F43" w:rsidRDefault="007D5AE6" w:rsidP="00290636">
      <w:pPr>
        <w:pStyle w:val="Heading4"/>
        <w:rPr>
          <w:rFonts w:ascii="Arial" w:hAnsi="Arial" w:cs="Arial"/>
          <w:b/>
          <w:bCs/>
          <w:color w:val="auto"/>
          <w:sz w:val="24"/>
          <w:szCs w:val="24"/>
        </w:rPr>
      </w:pPr>
      <w:r w:rsidRPr="00227883">
        <w:rPr>
          <w:rFonts w:ascii="Arial" w:hAnsi="Arial" w:cs="Arial"/>
          <w:b/>
          <w:bCs/>
          <w:color w:val="auto"/>
          <w:sz w:val="28"/>
          <w:szCs w:val="28"/>
        </w:rPr>
        <w:t>Implications</w:t>
      </w:r>
      <w:r w:rsidR="00995802" w:rsidRPr="00227883">
        <w:rPr>
          <w:rFonts w:ascii="Arial" w:hAnsi="Arial" w:cs="Arial"/>
          <w:b/>
          <w:bCs/>
          <w:color w:val="auto"/>
          <w:sz w:val="28"/>
          <w:szCs w:val="28"/>
        </w:rPr>
        <w:t xml:space="preserve"> </w:t>
      </w:r>
    </w:p>
    <w:p w14:paraId="3F7A918A" w14:textId="77777777" w:rsidR="00290636" w:rsidRPr="00290636" w:rsidRDefault="00290636" w:rsidP="00290636"/>
    <w:p w14:paraId="61E8B4C4" w14:textId="77777777" w:rsidR="00845E76" w:rsidRPr="00845E76" w:rsidRDefault="00845E76" w:rsidP="00845E76">
      <w:pPr>
        <w:rPr>
          <w:rFonts w:ascii="Arial" w:hAnsi="Arial" w:cs="Arial"/>
        </w:rPr>
      </w:pPr>
      <w:r w:rsidRPr="00845E76">
        <w:rPr>
          <w:rFonts w:ascii="Arial" w:hAnsi="Arial" w:cs="Arial"/>
        </w:rPr>
        <w:t>Persistent inequalities in SCZ care have significant clinical and policy-level consequences. Clinically, they contribute to service-user mistrust, reduced engagement, and poorer outcomes among ethnically minoritised populations (Valery &amp; Prouteau, 2020). At a systemic level, they reflect a shortfall in meeting the UK’s parity of esteem commitments (NICE, 2015; Pathan, 2020). Halvorsrud et al. (2019) argue that such disparities stem from institutional bias rather than isolated practice failures. Similarly, Bucci et al. (2016) highlight that the lack of culturally adapted family therapy exacerbates the treatment divide.</w:t>
      </w:r>
    </w:p>
    <w:p w14:paraId="376BA403" w14:textId="77777777" w:rsidR="00845E76" w:rsidRPr="00845E76" w:rsidRDefault="00845E76" w:rsidP="00845E76">
      <w:pPr>
        <w:rPr>
          <w:rFonts w:ascii="Arial" w:hAnsi="Arial" w:cs="Arial"/>
        </w:rPr>
      </w:pPr>
      <w:r w:rsidRPr="00845E76">
        <w:rPr>
          <w:rFonts w:ascii="Arial" w:hAnsi="Arial" w:cs="Arial"/>
        </w:rPr>
        <w:t>Comparative studies, such as Morgan, Knowles &amp; Hutchinson (2019), reveal parallel patterns across Northern Europe, linking high SCZ prevalence among ethnic minorities to racial discrimination, migration-related stress, and inadequate culturally sensitive provision. Nonetheless, evidence suggests that culturally competent approaches, including shared decision-making (Pathan, 2020; Ngaage &amp; Agius, 2016) and community-focused early intervention, can enhance trust and improve long-term outcomes (Das-Munshi et al., 2018).</w:t>
      </w:r>
    </w:p>
    <w:p w14:paraId="415205F8" w14:textId="77777777" w:rsidR="00E762F1" w:rsidRPr="00E762F1" w:rsidRDefault="00E762F1" w:rsidP="00E762F1"/>
    <w:p w14:paraId="665DFFEB" w14:textId="6ED2FFC3" w:rsidR="008605F3" w:rsidRDefault="007D5AE6" w:rsidP="008605F3">
      <w:pPr>
        <w:pStyle w:val="Heading4"/>
        <w:rPr>
          <w:rFonts w:ascii="Arial" w:hAnsi="Arial" w:cs="Arial"/>
          <w:b/>
          <w:bCs/>
          <w:i w:val="0"/>
          <w:iCs w:val="0"/>
          <w:color w:val="auto"/>
          <w:sz w:val="24"/>
          <w:szCs w:val="24"/>
        </w:rPr>
      </w:pPr>
      <w:r w:rsidRPr="00227883">
        <w:rPr>
          <w:rFonts w:ascii="Arial" w:hAnsi="Arial" w:cs="Arial"/>
          <w:b/>
          <w:bCs/>
          <w:color w:val="auto"/>
          <w:sz w:val="28"/>
          <w:szCs w:val="28"/>
        </w:rPr>
        <w:t>Examples from Your Articles</w:t>
      </w:r>
      <w:r w:rsidR="00054D42" w:rsidRPr="00227883">
        <w:rPr>
          <w:rFonts w:ascii="Arial" w:hAnsi="Arial" w:cs="Arial"/>
          <w:b/>
          <w:bCs/>
          <w:color w:val="auto"/>
          <w:sz w:val="28"/>
          <w:szCs w:val="28"/>
        </w:rPr>
        <w:t>:</w:t>
      </w:r>
      <w:r w:rsidR="008605F3" w:rsidRPr="00D27F43">
        <w:rPr>
          <w:rFonts w:ascii="Arial" w:hAnsi="Arial" w:cs="Arial"/>
          <w:b/>
          <w:bCs/>
          <w:i w:val="0"/>
          <w:iCs w:val="0"/>
          <w:color w:val="auto"/>
          <w:sz w:val="24"/>
          <w:szCs w:val="24"/>
        </w:rPr>
        <w:t xml:space="preserve"> </w:t>
      </w:r>
      <w:r w:rsidR="00995802" w:rsidRPr="00D27F43">
        <w:rPr>
          <w:rFonts w:ascii="Arial" w:hAnsi="Arial" w:cs="Arial"/>
          <w:b/>
          <w:bCs/>
          <w:i w:val="0"/>
          <w:iCs w:val="0"/>
          <w:color w:val="auto"/>
          <w:sz w:val="24"/>
          <w:szCs w:val="24"/>
        </w:rPr>
        <w:t xml:space="preserve">  </w:t>
      </w:r>
    </w:p>
    <w:p w14:paraId="1554323C" w14:textId="77777777" w:rsidR="009F7F64" w:rsidRPr="009F7F64" w:rsidRDefault="009F7F64" w:rsidP="00697BA1">
      <w:pPr>
        <w:rPr>
          <w:rFonts w:ascii="Arial" w:hAnsi="Arial" w:cs="Arial"/>
        </w:rPr>
      </w:pPr>
      <w:r w:rsidRPr="009F7F64">
        <w:rPr>
          <w:rFonts w:ascii="Arial" w:hAnsi="Arial" w:cs="Arial"/>
        </w:rPr>
        <w:t>Morrison et al. (2018) conducted a UK RCT on CBT for clozapine-resistant SCZ. While improvements were modest, the study supports NICE (2015) guidance on using psychological therapies alongside medication. It also highlights challenges in scaling such interventions across NHS settings due to resource and training constraints.</w:t>
      </w:r>
    </w:p>
    <w:p w14:paraId="3FF4A492" w14:textId="77777777" w:rsidR="009F7F64" w:rsidRPr="00697BA1" w:rsidRDefault="009F7F64" w:rsidP="00697BA1">
      <w:pPr>
        <w:rPr>
          <w:rFonts w:ascii="Arial" w:hAnsi="Arial" w:cs="Arial"/>
        </w:rPr>
      </w:pPr>
    </w:p>
    <w:p w14:paraId="31CED34F" w14:textId="77777777" w:rsidR="009F7F64" w:rsidRPr="009F7F64" w:rsidRDefault="009F7F64" w:rsidP="00697BA1">
      <w:pPr>
        <w:rPr>
          <w:rFonts w:ascii="Arial" w:hAnsi="Arial" w:cs="Arial"/>
        </w:rPr>
      </w:pPr>
      <w:r w:rsidRPr="009F7F64">
        <w:rPr>
          <w:rFonts w:ascii="Arial" w:hAnsi="Arial" w:cs="Arial"/>
        </w:rPr>
        <w:lastRenderedPageBreak/>
        <w:t>Bucci et al. (2016) identified key barriers to the implementation of family-based interventions, including ambiguous referral processes, limited staff capacity, and insufficient training. Pathan (2020) further highlighted that some service users, particularly from ethnically diverse backgrounds, experienced disengagement due to delays in access and limited cultural responsiveness. Together, these studies illustrate a gap between NICE (2015) guidance and the practical realities of service delivery.</w:t>
      </w:r>
    </w:p>
    <w:p w14:paraId="668D3F69" w14:textId="29AD8420" w:rsidR="009F7F64" w:rsidRPr="009F7F64" w:rsidRDefault="009F7F64" w:rsidP="00697BA1">
      <w:pPr>
        <w:rPr>
          <w:rFonts w:ascii="Arial" w:hAnsi="Arial" w:cs="Arial"/>
        </w:rPr>
      </w:pPr>
      <w:r w:rsidRPr="009F7F64">
        <w:rPr>
          <w:rFonts w:ascii="Arial" w:hAnsi="Arial" w:cs="Arial"/>
        </w:rPr>
        <w:t xml:space="preserve">Priebe et al. (2015) evaluated DIALOG+, a shared decision-making tool, showing enhanced satisfaction and engagement. The findings </w:t>
      </w:r>
      <w:r w:rsidR="00697BA1" w:rsidRPr="009F7F64">
        <w:rPr>
          <w:rFonts w:ascii="Arial" w:hAnsi="Arial" w:cs="Arial"/>
        </w:rPr>
        <w:t>highlight</w:t>
      </w:r>
      <w:r w:rsidRPr="009F7F64">
        <w:rPr>
          <w:rFonts w:ascii="Arial" w:hAnsi="Arial" w:cs="Arial"/>
        </w:rPr>
        <w:t xml:space="preserve"> the value of person-centred care, particularly in long-term recovery.</w:t>
      </w:r>
    </w:p>
    <w:p w14:paraId="53C68472" w14:textId="77777777" w:rsidR="009F7F64" w:rsidRPr="009F7F64" w:rsidRDefault="009F7F64" w:rsidP="00697BA1">
      <w:pPr>
        <w:rPr>
          <w:rFonts w:ascii="Arial" w:hAnsi="Arial" w:cs="Arial"/>
        </w:rPr>
      </w:pPr>
      <w:r w:rsidRPr="009F7F64">
        <w:rPr>
          <w:rFonts w:ascii="Arial" w:hAnsi="Arial" w:cs="Arial"/>
        </w:rPr>
        <w:t>Together, these articles confirm that although CBT, family therapy, and shared decision-making are clinically supported, their implementation remains inconsistent. Organisational barriers continue to restrict their reach, weakening the overall effectiveness of SCZ treatment in community settings.</w:t>
      </w:r>
    </w:p>
    <w:p w14:paraId="0A3AD43F" w14:textId="77777777" w:rsidR="003955D5" w:rsidRPr="003955D5" w:rsidRDefault="003955D5" w:rsidP="003955D5"/>
    <w:p w14:paraId="528FBFE6" w14:textId="6BF6F83B" w:rsidR="007D5AE6" w:rsidRDefault="007D5AE6" w:rsidP="00200F08">
      <w:pPr>
        <w:pStyle w:val="Heading4"/>
        <w:tabs>
          <w:tab w:val="left" w:pos="5201"/>
        </w:tabs>
        <w:rPr>
          <w:rFonts w:ascii="Arial" w:hAnsi="Arial" w:cs="Arial"/>
          <w:b/>
          <w:bCs/>
          <w:color w:val="auto"/>
        </w:rPr>
      </w:pPr>
      <w:r w:rsidRPr="00227883">
        <w:rPr>
          <w:rFonts w:ascii="Arial" w:hAnsi="Arial" w:cs="Arial"/>
          <w:b/>
          <w:bCs/>
          <w:color w:val="auto"/>
          <w:sz w:val="28"/>
          <w:szCs w:val="28"/>
        </w:rPr>
        <w:t>Connections to Other Themes</w:t>
      </w:r>
      <w:r w:rsidR="00995802">
        <w:rPr>
          <w:rFonts w:ascii="Arial" w:hAnsi="Arial" w:cs="Arial"/>
          <w:b/>
          <w:bCs/>
          <w:color w:val="auto"/>
        </w:rPr>
        <w:t xml:space="preserve">   </w:t>
      </w:r>
      <w:r w:rsidR="00200F08">
        <w:rPr>
          <w:rFonts w:ascii="Arial" w:hAnsi="Arial" w:cs="Arial"/>
          <w:b/>
          <w:bCs/>
          <w:color w:val="auto"/>
        </w:rPr>
        <w:tab/>
      </w:r>
    </w:p>
    <w:p w14:paraId="6B37C827" w14:textId="77777777" w:rsidR="00F10FD6" w:rsidRPr="00F10FD6" w:rsidRDefault="00F10FD6" w:rsidP="00F10FD6"/>
    <w:p w14:paraId="4A3D8FB9" w14:textId="0483C100" w:rsidR="004F18CB" w:rsidRPr="001F04D1" w:rsidRDefault="00F10FD6" w:rsidP="001F04D1">
      <w:pPr>
        <w:rPr>
          <w:rFonts w:ascii="Arial" w:hAnsi="Arial" w:cs="Arial"/>
        </w:rPr>
      </w:pPr>
      <w:r w:rsidRPr="00F10FD6">
        <w:rPr>
          <w:rFonts w:ascii="Arial" w:hAnsi="Arial" w:cs="Arial"/>
        </w:rPr>
        <w:t xml:space="preserve">This theme intersects </w:t>
      </w:r>
      <w:r w:rsidRPr="00AA1B6B">
        <w:rPr>
          <w:rFonts w:ascii="Arial" w:hAnsi="Arial" w:cs="Arial"/>
        </w:rPr>
        <w:t xml:space="preserve">with Theme 1 (Access to Services), as ethnic disparities exacerbate already limited access (Pathan, 2020; Spremberg, 2021). It also links to Theme 3 (Therapeutic Interventions and Community Care), where culturally mismatched interventions reduce treatment effectiveness (Valery &amp; Prouteau, 2020; Bucci </w:t>
      </w:r>
      <w:r w:rsidRPr="00AA1B6B">
        <w:rPr>
          <w:rFonts w:ascii="Arial" w:hAnsi="Arial" w:cs="Arial"/>
          <w:i/>
          <w:iCs/>
        </w:rPr>
        <w:t>et al.,</w:t>
      </w:r>
      <w:r w:rsidRPr="00AA1B6B">
        <w:rPr>
          <w:rFonts w:ascii="Arial" w:hAnsi="Arial" w:cs="Arial"/>
        </w:rPr>
        <w:t xml:space="preserve"> 2016). These overlaps underline the importance of culturally informed reforms across all levels of mental</w:t>
      </w:r>
      <w:r w:rsidRPr="00F10FD6">
        <w:rPr>
          <w:rFonts w:ascii="Arial" w:hAnsi="Arial" w:cs="Arial"/>
        </w:rPr>
        <w:t xml:space="preserve"> healthcare.</w:t>
      </w:r>
    </w:p>
    <w:p w14:paraId="4440406B" w14:textId="77777777" w:rsidR="00227883" w:rsidRDefault="00227883" w:rsidP="000325CD">
      <w:pPr>
        <w:pStyle w:val="Heading2"/>
        <w:rPr>
          <w:bCs w:val="0"/>
          <w:i w:val="0"/>
          <w:iCs w:val="0"/>
        </w:rPr>
      </w:pPr>
    </w:p>
    <w:p w14:paraId="4BEAEBE6" w14:textId="277E2136" w:rsidR="007D5AE6" w:rsidRPr="00227883" w:rsidRDefault="007D5AE6" w:rsidP="000325CD">
      <w:pPr>
        <w:pStyle w:val="Heading2"/>
      </w:pPr>
      <w:bookmarkStart w:id="41" w:name="_Toc204981502"/>
      <w:r w:rsidRPr="00227883">
        <w:t xml:space="preserve">4.5 – Theme 3 </w:t>
      </w:r>
      <w:r w:rsidR="00AF1E87" w:rsidRPr="00227883">
        <w:t>Therapeutic Interventions and Community Care</w:t>
      </w:r>
      <w:bookmarkEnd w:id="41"/>
      <w:r w:rsidRPr="00D27F43">
        <w:rPr>
          <w:szCs w:val="24"/>
        </w:rPr>
        <w:t xml:space="preserve"> </w:t>
      </w:r>
    </w:p>
    <w:p w14:paraId="1842A8C7" w14:textId="77777777" w:rsidR="002F4AE5" w:rsidRDefault="002F4AE5" w:rsidP="007D5AE6">
      <w:pPr>
        <w:pStyle w:val="Heading4"/>
        <w:rPr>
          <w:rFonts w:ascii="Arial" w:hAnsi="Arial" w:cs="Arial"/>
          <w:b/>
          <w:bCs/>
          <w:color w:val="auto"/>
          <w:sz w:val="28"/>
          <w:szCs w:val="28"/>
        </w:rPr>
      </w:pPr>
    </w:p>
    <w:p w14:paraId="18928755" w14:textId="4DF6D238" w:rsidR="003B7702" w:rsidRPr="00EE0C48" w:rsidRDefault="007D5AE6" w:rsidP="00EE0C48">
      <w:pPr>
        <w:pStyle w:val="Heading4"/>
        <w:rPr>
          <w:rFonts w:ascii="Arial" w:hAnsi="Arial" w:cs="Arial"/>
          <w:b/>
          <w:bCs/>
          <w:color w:val="auto"/>
          <w:sz w:val="28"/>
          <w:szCs w:val="28"/>
        </w:rPr>
      </w:pPr>
      <w:r w:rsidRPr="00227883">
        <w:rPr>
          <w:rFonts w:ascii="Arial" w:hAnsi="Arial" w:cs="Arial"/>
          <w:b/>
          <w:bCs/>
          <w:color w:val="auto"/>
          <w:sz w:val="28"/>
          <w:szCs w:val="28"/>
        </w:rPr>
        <w:t xml:space="preserve">Definition </w:t>
      </w:r>
    </w:p>
    <w:p w14:paraId="6E9F87AA" w14:textId="14CA8941" w:rsidR="00DB74C2" w:rsidRPr="001528B3" w:rsidRDefault="006C5BBC" w:rsidP="00DB74C2">
      <w:pPr>
        <w:rPr>
          <w:rFonts w:ascii="Arial" w:hAnsi="Arial" w:cs="Arial"/>
        </w:rPr>
      </w:pPr>
      <w:r w:rsidRPr="007E71F2">
        <w:rPr>
          <w:rFonts w:ascii="Arial" w:hAnsi="Arial" w:cs="Arial"/>
        </w:rPr>
        <w:t>Therapeutic interventions and community care refer to a combination of clinical and community-based supports aimed at improving outcomes for individuals with SCZ</w:t>
      </w:r>
      <w:r w:rsidR="00E361F0" w:rsidRPr="007E71F2">
        <w:rPr>
          <w:rFonts w:ascii="Times New Roman" w:eastAsia="Times New Roman" w:hAnsi="Times New Roman" w:cs="Times New Roman"/>
          <w:kern w:val="0"/>
          <w:sz w:val="24"/>
          <w:szCs w:val="24"/>
          <w:lang w:eastAsia="en-GB"/>
          <w14:ligatures w14:val="none"/>
        </w:rPr>
        <w:t xml:space="preserve"> </w:t>
      </w:r>
      <w:r w:rsidR="00E361F0" w:rsidRPr="007E71F2">
        <w:rPr>
          <w:rFonts w:ascii="Arial" w:hAnsi="Arial" w:cs="Arial"/>
        </w:rPr>
        <w:t xml:space="preserve">(Ferguson </w:t>
      </w:r>
      <w:r w:rsidR="00E361F0" w:rsidRPr="007E71F2">
        <w:rPr>
          <w:rFonts w:ascii="Arial" w:hAnsi="Arial" w:cs="Arial"/>
          <w:i/>
          <w:iCs/>
        </w:rPr>
        <w:t>et al</w:t>
      </w:r>
      <w:r w:rsidR="00E361F0" w:rsidRPr="007E71F2">
        <w:rPr>
          <w:rFonts w:ascii="Arial" w:hAnsi="Arial" w:cs="Arial"/>
        </w:rPr>
        <w:t>., 2018)</w:t>
      </w:r>
      <w:r w:rsidRPr="007E71F2">
        <w:rPr>
          <w:rFonts w:ascii="Arial" w:hAnsi="Arial" w:cs="Arial"/>
        </w:rPr>
        <w:t>. Therapeutic</w:t>
      </w:r>
      <w:r w:rsidRPr="006C5BBC">
        <w:rPr>
          <w:rFonts w:ascii="Arial" w:hAnsi="Arial" w:cs="Arial"/>
        </w:rPr>
        <w:t xml:space="preserve"> interventions include pharmacological and psychological treatments, while community care involves localised services that promote recovery, social inclusion, and independent </w:t>
      </w:r>
      <w:r w:rsidRPr="007E71F2">
        <w:rPr>
          <w:rFonts w:ascii="Arial" w:hAnsi="Arial" w:cs="Arial"/>
        </w:rPr>
        <w:t>living</w:t>
      </w:r>
      <w:r w:rsidR="008A2270" w:rsidRPr="007E71F2">
        <w:rPr>
          <w:rFonts w:ascii="Times New Roman" w:eastAsia="Times New Roman" w:hAnsi="Times New Roman" w:cs="Times New Roman"/>
          <w:kern w:val="0"/>
          <w:sz w:val="24"/>
          <w:szCs w:val="24"/>
          <w:lang w:eastAsia="en-GB"/>
          <w14:ligatures w14:val="none"/>
        </w:rPr>
        <w:t xml:space="preserve"> </w:t>
      </w:r>
      <w:r w:rsidR="008A2270" w:rsidRPr="007E71F2">
        <w:rPr>
          <w:rFonts w:ascii="Arial" w:hAnsi="Arial" w:cs="Arial"/>
        </w:rPr>
        <w:t>(Galer-Unti and Tappe, 2019)</w:t>
      </w:r>
      <w:r w:rsidRPr="007E71F2">
        <w:rPr>
          <w:rFonts w:ascii="Arial" w:hAnsi="Arial" w:cs="Arial"/>
        </w:rPr>
        <w:t>.</w:t>
      </w:r>
      <w:r w:rsidRPr="006C5BBC">
        <w:rPr>
          <w:rFonts w:ascii="Arial" w:hAnsi="Arial" w:cs="Arial"/>
        </w:rPr>
        <w:t xml:space="preserve"> This integrated model recognises that effective </w:t>
      </w:r>
      <w:r w:rsidR="005D06FE">
        <w:rPr>
          <w:rFonts w:ascii="Arial" w:hAnsi="Arial" w:cs="Arial"/>
        </w:rPr>
        <w:t>M</w:t>
      </w:r>
      <w:r w:rsidRPr="006C5BBC">
        <w:rPr>
          <w:rFonts w:ascii="Arial" w:hAnsi="Arial" w:cs="Arial"/>
        </w:rPr>
        <w:t xml:space="preserve">ental </w:t>
      </w:r>
      <w:r w:rsidR="005D06FE">
        <w:rPr>
          <w:rFonts w:ascii="Arial" w:hAnsi="Arial" w:cs="Arial"/>
        </w:rPr>
        <w:t>H</w:t>
      </w:r>
      <w:r w:rsidRPr="006C5BBC">
        <w:rPr>
          <w:rFonts w:ascii="Arial" w:hAnsi="Arial" w:cs="Arial"/>
        </w:rPr>
        <w:t xml:space="preserve">ealth support requires a blend of medical, </w:t>
      </w:r>
      <w:r w:rsidR="003B7E46">
        <w:rPr>
          <w:rFonts w:ascii="Arial" w:hAnsi="Arial" w:cs="Arial"/>
        </w:rPr>
        <w:t>p</w:t>
      </w:r>
      <w:r w:rsidRPr="006C5BBC">
        <w:rPr>
          <w:rFonts w:ascii="Arial" w:hAnsi="Arial" w:cs="Arial"/>
        </w:rPr>
        <w:t xml:space="preserve">sychological, and </w:t>
      </w:r>
      <w:r w:rsidR="003B7E46">
        <w:rPr>
          <w:rFonts w:ascii="Arial" w:hAnsi="Arial" w:cs="Arial"/>
        </w:rPr>
        <w:t>social</w:t>
      </w:r>
      <w:r w:rsidRPr="006C5BBC">
        <w:rPr>
          <w:rFonts w:ascii="Arial" w:hAnsi="Arial" w:cs="Arial"/>
        </w:rPr>
        <w:t xml:space="preserve"> strategies delivered in accessible, people-centred ways. Within the context of SCZ, this dual </w:t>
      </w:r>
      <w:r w:rsidRPr="003B7E46">
        <w:rPr>
          <w:rFonts w:ascii="Arial" w:hAnsi="Arial" w:cs="Arial"/>
        </w:rPr>
        <w:lastRenderedPageBreak/>
        <w:t>approach is intended to reduce relapse, promote autonomy, and improve long-term well-being</w:t>
      </w:r>
      <w:r w:rsidR="00754F63" w:rsidRPr="003B7E46">
        <w:rPr>
          <w:rFonts w:ascii="Times New Roman" w:eastAsia="Times New Roman" w:hAnsi="Times New Roman" w:cs="Times New Roman"/>
          <w:kern w:val="0"/>
          <w:sz w:val="24"/>
          <w:szCs w:val="24"/>
          <w:lang w:eastAsia="en-GB"/>
          <w14:ligatures w14:val="none"/>
        </w:rPr>
        <w:t xml:space="preserve"> </w:t>
      </w:r>
      <w:r w:rsidR="00754F63" w:rsidRPr="0004608A">
        <w:rPr>
          <w:rFonts w:ascii="Arial" w:hAnsi="Arial" w:cs="Arial"/>
        </w:rPr>
        <w:t>(Castillo, 2021</w:t>
      </w:r>
      <w:r w:rsidR="00BA4BCF" w:rsidRPr="0004608A">
        <w:rPr>
          <w:rFonts w:ascii="Arial" w:hAnsi="Arial" w:cs="Arial"/>
        </w:rPr>
        <w:t>; NHS, 2018).</w:t>
      </w:r>
    </w:p>
    <w:p w14:paraId="21395D51" w14:textId="77777777" w:rsidR="00BC0EBA" w:rsidRDefault="00BC0EBA" w:rsidP="007D5AE6">
      <w:pPr>
        <w:pStyle w:val="Heading4"/>
        <w:rPr>
          <w:rFonts w:ascii="Arial" w:hAnsi="Arial" w:cs="Arial"/>
          <w:b/>
          <w:bCs/>
          <w:color w:val="auto"/>
          <w:sz w:val="28"/>
          <w:szCs w:val="28"/>
        </w:rPr>
      </w:pPr>
    </w:p>
    <w:p w14:paraId="5358D367" w14:textId="725A5A1C" w:rsidR="003B7702" w:rsidRDefault="009059B2" w:rsidP="00EE0C48">
      <w:pPr>
        <w:pStyle w:val="Heading4"/>
        <w:rPr>
          <w:rFonts w:ascii="Arial" w:hAnsi="Arial" w:cs="Arial"/>
          <w:b/>
          <w:bCs/>
          <w:color w:val="auto"/>
          <w:sz w:val="28"/>
          <w:szCs w:val="28"/>
        </w:rPr>
      </w:pPr>
      <w:r w:rsidRPr="00227883">
        <w:rPr>
          <w:rFonts w:ascii="Arial" w:hAnsi="Arial" w:cs="Arial"/>
          <w:b/>
          <w:bCs/>
          <w:color w:val="auto"/>
          <w:sz w:val="28"/>
          <w:szCs w:val="28"/>
        </w:rPr>
        <w:t xml:space="preserve">Historical /Contextual </w:t>
      </w:r>
      <w:r w:rsidR="007D5AE6" w:rsidRPr="00227883">
        <w:rPr>
          <w:rFonts w:ascii="Arial" w:hAnsi="Arial" w:cs="Arial"/>
          <w:b/>
          <w:bCs/>
          <w:color w:val="auto"/>
          <w:sz w:val="28"/>
          <w:szCs w:val="28"/>
        </w:rPr>
        <w:t>Background</w:t>
      </w:r>
    </w:p>
    <w:p w14:paraId="1E8866E3" w14:textId="77777777" w:rsidR="00EE0C48" w:rsidRPr="00EE0C48" w:rsidRDefault="00EE0C48" w:rsidP="00EE0C48"/>
    <w:p w14:paraId="11D94FD0" w14:textId="6A69FC34" w:rsidR="00D76A95" w:rsidRPr="00661D4B" w:rsidRDefault="00D76A95" w:rsidP="00661D4B">
      <w:pPr>
        <w:rPr>
          <w:rFonts w:ascii="Arial" w:eastAsia="Times New Roman" w:hAnsi="Arial" w:cs="Arial"/>
          <w:kern w:val="0"/>
          <w:lang w:eastAsia="en-GB"/>
          <w14:ligatures w14:val="none"/>
        </w:rPr>
      </w:pPr>
      <w:r w:rsidRPr="00661D4B">
        <w:rPr>
          <w:rFonts w:ascii="Arial" w:hAnsi="Arial" w:cs="Arial"/>
        </w:rPr>
        <w:t>As outlined in Section 2.2, the Mental Health Act (</w:t>
      </w:r>
      <w:r w:rsidRPr="00744BCC">
        <w:rPr>
          <w:rFonts w:ascii="Arial" w:hAnsi="Arial" w:cs="Arial"/>
        </w:rPr>
        <w:t>1959) marked a gradual shift from institutionalisation to community-based care in the UK</w:t>
      </w:r>
      <w:r w:rsidR="00914E66" w:rsidRPr="00744BCC">
        <w:rPr>
          <w:rFonts w:ascii="Arial" w:hAnsi="Arial" w:cs="Arial"/>
        </w:rPr>
        <w:t xml:space="preserve"> (Stephenson &amp; Hilton, 2021)</w:t>
      </w:r>
      <w:r w:rsidRPr="00744BCC">
        <w:rPr>
          <w:rFonts w:ascii="Arial" w:hAnsi="Arial" w:cs="Arial"/>
        </w:rPr>
        <w:t>.</w:t>
      </w:r>
      <w:r w:rsidRPr="00661D4B">
        <w:rPr>
          <w:rFonts w:ascii="Arial" w:hAnsi="Arial" w:cs="Arial"/>
        </w:rPr>
        <w:t xml:space="preserve"> This transition accelerated in the 1980s with the “Care in the Community” initiative, which aimed to support individuals locally. However, insufficient investment left services fragmented and reactive.</w:t>
      </w:r>
      <w:r w:rsidR="00661D4B" w:rsidRPr="00661D4B">
        <w:rPr>
          <w:rFonts w:ascii="Arial" w:eastAsia="Times New Roman" w:hAnsi="Arial" w:cs="Arial"/>
          <w:kern w:val="0"/>
          <w:lang w:eastAsia="en-GB"/>
          <w14:ligatures w14:val="none"/>
        </w:rPr>
        <w:t xml:space="preserve"> NHS England (2019)</w:t>
      </w:r>
      <w:r w:rsidRPr="00661D4B">
        <w:rPr>
          <w:rFonts w:ascii="Arial" w:hAnsi="Arial" w:cs="Arial"/>
        </w:rPr>
        <w:t xml:space="preserve"> advocated an integrated mental health care model that includes early intervention, CBT, and structured family involvement. Despite such efforts, significant disparities in service access and consistency </w:t>
      </w:r>
      <w:r w:rsidRPr="00744BCC">
        <w:rPr>
          <w:rFonts w:ascii="Arial" w:hAnsi="Arial" w:cs="Arial"/>
        </w:rPr>
        <w:t>persist.</w:t>
      </w:r>
    </w:p>
    <w:p w14:paraId="58D7A4C5" w14:textId="77777777" w:rsidR="00D76A95" w:rsidRPr="00BF5FA4" w:rsidRDefault="00D76A95" w:rsidP="00BF5FA4">
      <w:pPr>
        <w:spacing w:before="100" w:beforeAutospacing="1" w:after="100" w:afterAutospacing="1"/>
        <w:rPr>
          <w:rFonts w:ascii="Arial" w:hAnsi="Arial" w:cs="Arial"/>
        </w:rPr>
      </w:pPr>
      <w:r w:rsidRPr="001D295C">
        <w:rPr>
          <w:rFonts w:ascii="Arial" w:hAnsi="Arial" w:cs="Arial"/>
        </w:rPr>
        <w:t>While SGAs remain central to symptom management, their side effects, such as weight gain and metabolic disturbances, often complicate adherence (Jeon &amp; Kim, 2017; Patel et al., 2014). LAIs improved</w:t>
      </w:r>
      <w:r w:rsidRPr="00BF5FA4">
        <w:rPr>
          <w:rFonts w:ascii="Arial" w:hAnsi="Arial" w:cs="Arial"/>
        </w:rPr>
        <w:t xml:space="preserve"> treatment continuity, yet negative symptoms and cognitive impairments remain difficult to treat effectively (Krogmann et al., 2019; Kantrowitz, 2021). Psychosocial interventions, including CBT, motivational strategies, and family psychoeducation, are now recognised as vital for recovery and social reintegration (Lobo et al., 2022). Nevertheless, access to such therapies remains uneven across regions and populations, undermining policy </w:t>
      </w:r>
      <w:r w:rsidRPr="0017490F">
        <w:rPr>
          <w:rFonts w:ascii="Arial" w:hAnsi="Arial" w:cs="Arial"/>
        </w:rPr>
        <w:t>ambitions.</w:t>
      </w:r>
    </w:p>
    <w:p w14:paraId="60D90B5E" w14:textId="77777777" w:rsidR="00DB74C2" w:rsidRPr="00227883" w:rsidRDefault="00DB74C2" w:rsidP="00DB74C2">
      <w:pPr>
        <w:spacing w:before="100" w:beforeAutospacing="1" w:after="100" w:afterAutospacing="1"/>
        <w:jc w:val="left"/>
        <w:rPr>
          <w:sz w:val="28"/>
          <w:szCs w:val="28"/>
        </w:rPr>
      </w:pPr>
    </w:p>
    <w:p w14:paraId="5E7BEB3D" w14:textId="77777777" w:rsidR="007D5AE6" w:rsidRPr="00227883" w:rsidRDefault="007D5AE6" w:rsidP="007D5AE6">
      <w:pPr>
        <w:pStyle w:val="Heading4"/>
        <w:rPr>
          <w:rFonts w:ascii="Arial" w:hAnsi="Arial" w:cs="Arial"/>
          <w:b/>
          <w:bCs/>
          <w:color w:val="auto"/>
          <w:sz w:val="28"/>
          <w:szCs w:val="28"/>
        </w:rPr>
      </w:pPr>
      <w:r w:rsidRPr="00227883">
        <w:rPr>
          <w:rFonts w:ascii="Arial" w:hAnsi="Arial" w:cs="Arial"/>
          <w:b/>
          <w:bCs/>
          <w:color w:val="auto"/>
          <w:sz w:val="28"/>
          <w:szCs w:val="28"/>
        </w:rPr>
        <w:t>Impact on Research Question</w:t>
      </w:r>
    </w:p>
    <w:p w14:paraId="7B1F26A6" w14:textId="514DF0A0" w:rsidR="002F4AE5" w:rsidRPr="00E81A82" w:rsidRDefault="00EC4EFA" w:rsidP="00E81A82">
      <w:pPr>
        <w:spacing w:before="100" w:beforeAutospacing="1" w:after="100" w:afterAutospacing="1"/>
        <w:rPr>
          <w:rFonts w:ascii="Arial" w:hAnsi="Arial" w:cs="Arial"/>
        </w:rPr>
      </w:pPr>
      <w:r w:rsidRPr="002B6E79">
        <w:rPr>
          <w:rFonts w:ascii="Arial" w:hAnsi="Arial" w:cs="Arial"/>
        </w:rPr>
        <w:t xml:space="preserve">This theme directly addresses the research question: </w:t>
      </w:r>
      <w:r w:rsidRPr="002B6E79">
        <w:rPr>
          <w:rFonts w:ascii="Arial" w:hAnsi="Arial" w:cs="Arial"/>
          <w:i/>
          <w:iCs/>
        </w:rPr>
        <w:t>“</w:t>
      </w:r>
      <w:r w:rsidRPr="00C26DE2">
        <w:rPr>
          <w:rFonts w:ascii="Arial" w:hAnsi="Arial" w:cs="Arial"/>
          <w:i/>
          <w:iCs/>
        </w:rPr>
        <w:t>How effective are the UK’s</w:t>
      </w:r>
      <w:r w:rsidRPr="002B6E79">
        <w:rPr>
          <w:rFonts w:ascii="Arial" w:hAnsi="Arial" w:cs="Arial"/>
          <w:i/>
          <w:iCs/>
        </w:rPr>
        <w:t xml:space="preserve"> healthcare provisions for individuals with SCZ?”</w:t>
      </w:r>
      <w:r w:rsidRPr="002B6E79">
        <w:rPr>
          <w:rFonts w:ascii="Arial" w:hAnsi="Arial" w:cs="Arial"/>
        </w:rPr>
        <w:t xml:space="preserve"> Evaluating therapeutic and community care highlights how treatment is delivered in practice. When services are accessible, coordinated, and tailored, outcomes improve. When they are fragmented or under-resourced, effectiveness declines. Understanding how these approaches operate in real-world settings helps assess the overall strengths and limitations of the UK mental healthcare system.</w:t>
      </w:r>
    </w:p>
    <w:p w14:paraId="327CCBEB" w14:textId="77777777" w:rsidR="00EE0C48" w:rsidRDefault="00EE0C48" w:rsidP="00CC1FC2">
      <w:pPr>
        <w:pStyle w:val="Heading4"/>
        <w:rPr>
          <w:rFonts w:ascii="Arial" w:hAnsi="Arial" w:cs="Arial"/>
          <w:b/>
          <w:bCs/>
          <w:color w:val="auto"/>
          <w:sz w:val="28"/>
          <w:szCs w:val="28"/>
        </w:rPr>
      </w:pPr>
    </w:p>
    <w:p w14:paraId="16403870" w14:textId="71DFD1B4" w:rsidR="007D5AE6" w:rsidRPr="00CC1FC2" w:rsidRDefault="007D5AE6" w:rsidP="00CC1FC2">
      <w:pPr>
        <w:pStyle w:val="Heading4"/>
        <w:rPr>
          <w:rFonts w:ascii="Arial" w:hAnsi="Arial" w:cs="Arial"/>
          <w:b/>
          <w:bCs/>
          <w:color w:val="auto"/>
          <w:sz w:val="28"/>
          <w:szCs w:val="28"/>
        </w:rPr>
      </w:pPr>
      <w:r w:rsidRPr="00CC1FC2">
        <w:rPr>
          <w:rFonts w:ascii="Arial" w:hAnsi="Arial" w:cs="Arial"/>
          <w:b/>
          <w:bCs/>
          <w:color w:val="auto"/>
          <w:sz w:val="28"/>
          <w:szCs w:val="28"/>
        </w:rPr>
        <w:t>Statistical Information</w:t>
      </w:r>
    </w:p>
    <w:p w14:paraId="0E81A040" w14:textId="77777777" w:rsidR="0067054F" w:rsidRPr="0067054F" w:rsidRDefault="0067054F" w:rsidP="0067054F"/>
    <w:p w14:paraId="106B87A3" w14:textId="607BD43B" w:rsidR="00667241" w:rsidRPr="00CC1FC2" w:rsidRDefault="00667241" w:rsidP="00667241">
      <w:pPr>
        <w:rPr>
          <w:rFonts w:ascii="Arial" w:hAnsi="Arial" w:cs="Arial"/>
        </w:rPr>
      </w:pPr>
      <w:r w:rsidRPr="001D295C">
        <w:rPr>
          <w:rFonts w:ascii="Arial" w:hAnsi="Arial" w:cs="Arial"/>
        </w:rPr>
        <w:t xml:space="preserve">Recent data suggest that implementation of recommended treatments is inconsistent. According to Rethink Mental Illness (2024), fewer than 40% of eligible individuals are offered family-based interventions, and access to CBT for psychosis is limited to less than half of the target population. Pathan (2020) highlights additional disparities, reporting significantly lower therapy access among ethnic minority groups. Regarding pharmacological interventions, Barnes </w:t>
      </w:r>
      <w:r w:rsidRPr="001D295C">
        <w:rPr>
          <w:rFonts w:ascii="Arial" w:hAnsi="Arial" w:cs="Arial"/>
          <w:i/>
          <w:iCs/>
        </w:rPr>
        <w:t>et al</w:t>
      </w:r>
      <w:r w:rsidRPr="001D295C">
        <w:rPr>
          <w:rFonts w:ascii="Arial" w:hAnsi="Arial" w:cs="Arial"/>
        </w:rPr>
        <w:t xml:space="preserve">. (2019) note that while </w:t>
      </w:r>
      <w:r w:rsidR="00C57868" w:rsidRPr="001D295C">
        <w:rPr>
          <w:rFonts w:ascii="Arial" w:hAnsi="Arial" w:cs="Arial"/>
        </w:rPr>
        <w:t>SGAs can</w:t>
      </w:r>
      <w:r w:rsidRPr="001D295C">
        <w:rPr>
          <w:rFonts w:ascii="Arial" w:hAnsi="Arial" w:cs="Arial"/>
        </w:rPr>
        <w:t xml:space="preserve"> reduce symptom severity, non-adherence is common due to side effects, particularly from long-acting depot injections. These figures suggest systemic delivery gaps in treatment coverage and equity</w:t>
      </w:r>
    </w:p>
    <w:p w14:paraId="070F8129" w14:textId="77777777" w:rsidR="00CC1FC2" w:rsidRDefault="00CC1FC2" w:rsidP="007D5AE6">
      <w:pPr>
        <w:pStyle w:val="Heading4"/>
        <w:rPr>
          <w:rFonts w:ascii="Arial" w:hAnsi="Arial" w:cs="Arial"/>
          <w:b/>
          <w:bCs/>
          <w:color w:val="auto"/>
          <w:sz w:val="28"/>
          <w:szCs w:val="28"/>
        </w:rPr>
      </w:pPr>
    </w:p>
    <w:p w14:paraId="323D6FA6" w14:textId="0989D07A" w:rsidR="007D5AE6" w:rsidRPr="00CC1FC2" w:rsidRDefault="007A60ED" w:rsidP="007D5AE6">
      <w:pPr>
        <w:pStyle w:val="Heading4"/>
        <w:rPr>
          <w:rFonts w:ascii="Aptos" w:hAnsi="Aptos"/>
          <w:sz w:val="28"/>
          <w:szCs w:val="28"/>
        </w:rPr>
      </w:pPr>
      <w:r w:rsidRPr="00CC1FC2">
        <w:rPr>
          <w:rFonts w:ascii="Arial" w:hAnsi="Arial" w:cs="Arial"/>
          <w:b/>
          <w:bCs/>
          <w:color w:val="auto"/>
          <w:sz w:val="28"/>
          <w:szCs w:val="28"/>
        </w:rPr>
        <w:t xml:space="preserve">Theoretical Framework    </w:t>
      </w:r>
    </w:p>
    <w:p w14:paraId="0A87D0CB" w14:textId="77777777" w:rsidR="007A60ED" w:rsidRPr="007A60ED" w:rsidRDefault="007A60ED" w:rsidP="00B5303C">
      <w:pPr>
        <w:pStyle w:val="NormalWeb"/>
        <w:spacing w:line="360" w:lineRule="auto"/>
        <w:jc w:val="both"/>
        <w:rPr>
          <w:rFonts w:ascii="Arial" w:hAnsi="Arial" w:cs="Arial"/>
          <w:sz w:val="22"/>
          <w:szCs w:val="22"/>
        </w:rPr>
      </w:pPr>
      <w:r w:rsidRPr="007A60ED">
        <w:rPr>
          <w:rFonts w:ascii="Arial" w:hAnsi="Arial" w:cs="Arial"/>
          <w:sz w:val="22"/>
          <w:szCs w:val="22"/>
        </w:rPr>
        <w:t>Two key theoretical models underpin this theme: the Biopsychosocial Model and Shared Decision-Making Theory.</w:t>
      </w:r>
    </w:p>
    <w:p w14:paraId="1761BD16" w14:textId="3A191F72" w:rsidR="007A60ED" w:rsidRPr="006079EA" w:rsidRDefault="007A60ED" w:rsidP="00B5303C">
      <w:pPr>
        <w:pStyle w:val="NormalWeb"/>
        <w:spacing w:line="360" w:lineRule="auto"/>
        <w:jc w:val="both"/>
        <w:rPr>
          <w:rFonts w:ascii="Arial" w:hAnsi="Arial" w:cs="Arial"/>
        </w:rPr>
      </w:pPr>
      <w:r w:rsidRPr="007A60ED">
        <w:rPr>
          <w:rFonts w:ascii="Arial" w:hAnsi="Arial" w:cs="Arial"/>
          <w:sz w:val="22"/>
          <w:szCs w:val="22"/>
        </w:rPr>
        <w:t xml:space="preserve">The biopsychosocial model views </w:t>
      </w:r>
      <w:r w:rsidR="00104E81">
        <w:rPr>
          <w:rFonts w:ascii="Arial" w:hAnsi="Arial" w:cs="Arial"/>
          <w:sz w:val="22"/>
          <w:szCs w:val="22"/>
        </w:rPr>
        <w:t>M</w:t>
      </w:r>
      <w:r w:rsidRPr="007A60ED">
        <w:rPr>
          <w:rFonts w:ascii="Arial" w:hAnsi="Arial" w:cs="Arial"/>
          <w:sz w:val="22"/>
          <w:szCs w:val="22"/>
        </w:rPr>
        <w:t xml:space="preserve">ental </w:t>
      </w:r>
      <w:r w:rsidR="00104E81">
        <w:rPr>
          <w:rFonts w:ascii="Arial" w:hAnsi="Arial" w:cs="Arial"/>
          <w:sz w:val="22"/>
          <w:szCs w:val="22"/>
        </w:rPr>
        <w:t>H</w:t>
      </w:r>
      <w:r w:rsidRPr="007A60ED">
        <w:rPr>
          <w:rFonts w:ascii="Arial" w:hAnsi="Arial" w:cs="Arial"/>
          <w:sz w:val="22"/>
          <w:szCs w:val="22"/>
        </w:rPr>
        <w:t xml:space="preserve">ealth as the product of biological, psychological, and social </w:t>
      </w:r>
      <w:r w:rsidRPr="00544D9D">
        <w:rPr>
          <w:rFonts w:ascii="Arial" w:hAnsi="Arial" w:cs="Arial"/>
          <w:sz w:val="22"/>
          <w:szCs w:val="22"/>
        </w:rPr>
        <w:t>factors</w:t>
      </w:r>
      <w:r w:rsidR="006079EA" w:rsidRPr="00544D9D">
        <w:t xml:space="preserve"> </w:t>
      </w:r>
      <w:r w:rsidR="006079EA" w:rsidRPr="00544D9D">
        <w:rPr>
          <w:rFonts w:ascii="Arial" w:hAnsi="Arial" w:cs="Arial"/>
          <w:sz w:val="22"/>
          <w:szCs w:val="22"/>
        </w:rPr>
        <w:t>(Miles, 2013)</w:t>
      </w:r>
      <w:r w:rsidRPr="00544D9D">
        <w:rPr>
          <w:rFonts w:ascii="Arial" w:hAnsi="Arial" w:cs="Arial"/>
          <w:sz w:val="22"/>
          <w:szCs w:val="22"/>
        </w:rPr>
        <w:t>.</w:t>
      </w:r>
      <w:r w:rsidRPr="006079EA">
        <w:rPr>
          <w:rFonts w:ascii="Arial" w:hAnsi="Arial" w:cs="Arial"/>
          <w:sz w:val="22"/>
          <w:szCs w:val="22"/>
        </w:rPr>
        <w:t xml:space="preserve"> </w:t>
      </w:r>
      <w:r w:rsidRPr="007A60ED">
        <w:rPr>
          <w:rFonts w:ascii="Arial" w:hAnsi="Arial" w:cs="Arial"/>
          <w:sz w:val="22"/>
          <w:szCs w:val="22"/>
        </w:rPr>
        <w:t>In SCZ care, this model advocates combining medication with therapeutic and social supports to address the complexity of the condition. For example, family therapy, CBT, and supported housing can reinforce pharmacological treatment and aid recovery.</w:t>
      </w:r>
    </w:p>
    <w:p w14:paraId="420E2FE3" w14:textId="16354438" w:rsidR="009804AA" w:rsidRPr="00544D9D" w:rsidRDefault="007A60ED" w:rsidP="00CC1FC2">
      <w:pPr>
        <w:pStyle w:val="NormalWeb"/>
        <w:spacing w:line="360" w:lineRule="auto"/>
        <w:jc w:val="both"/>
        <w:rPr>
          <w:rStyle w:val="Strong"/>
          <w:rFonts w:ascii="Arial" w:hAnsi="Arial" w:cs="Arial"/>
          <w:b w:val="0"/>
          <w:bCs w:val="0"/>
          <w:sz w:val="22"/>
          <w:szCs w:val="22"/>
        </w:rPr>
      </w:pPr>
      <w:r w:rsidRPr="007A60ED">
        <w:rPr>
          <w:rFonts w:ascii="Arial" w:hAnsi="Arial" w:cs="Arial"/>
          <w:sz w:val="22"/>
          <w:szCs w:val="22"/>
        </w:rPr>
        <w:t xml:space="preserve">Shared Decision-Making Theory, demonstrated </w:t>
      </w:r>
      <w:r w:rsidRPr="00544D9D">
        <w:rPr>
          <w:rFonts w:ascii="Arial" w:hAnsi="Arial" w:cs="Arial"/>
          <w:sz w:val="22"/>
          <w:szCs w:val="22"/>
        </w:rPr>
        <w:t>in Priebe et al. (2015) through the DIALOG+ intervention, promotes collaborative planning between clinicians and patients. This model fosters trust and enhances patient agency, which is particularly important in chronic, relapsing conditions such as SCZ. Both theories support integrated and personalised care pathways.</w:t>
      </w:r>
    </w:p>
    <w:p w14:paraId="44AB8FFA" w14:textId="1B30BA74" w:rsidR="007D5AE6" w:rsidRPr="00544D9D" w:rsidRDefault="007D5AE6" w:rsidP="002F3FC1">
      <w:pPr>
        <w:pStyle w:val="NormalWeb"/>
        <w:spacing w:line="360" w:lineRule="auto"/>
        <w:rPr>
          <w:rStyle w:val="Strong"/>
          <w:rFonts w:ascii="Arial" w:eastAsia="Calibri Light" w:hAnsi="Arial" w:cs="Arial"/>
          <w:i/>
          <w:iCs/>
          <w:sz w:val="28"/>
          <w:szCs w:val="28"/>
        </w:rPr>
      </w:pPr>
      <w:r w:rsidRPr="00544D9D">
        <w:rPr>
          <w:rStyle w:val="Strong"/>
          <w:rFonts w:ascii="Arial" w:eastAsia="Calibri Light" w:hAnsi="Arial" w:cs="Arial"/>
          <w:i/>
          <w:iCs/>
          <w:sz w:val="28"/>
          <w:szCs w:val="28"/>
        </w:rPr>
        <w:t>Policy and Legislation</w:t>
      </w:r>
    </w:p>
    <w:p w14:paraId="357C0087" w14:textId="4224A527" w:rsidR="002F3FC1" w:rsidRPr="002F3FC1" w:rsidRDefault="00022DB5" w:rsidP="00D06D25">
      <w:pPr>
        <w:pStyle w:val="NormalWeb"/>
        <w:spacing w:line="360" w:lineRule="auto"/>
        <w:jc w:val="both"/>
        <w:rPr>
          <w:rFonts w:ascii="Arial" w:hAnsi="Arial" w:cs="Arial"/>
          <w:sz w:val="22"/>
          <w:szCs w:val="22"/>
        </w:rPr>
      </w:pPr>
      <w:r w:rsidRPr="00544D9D">
        <w:rPr>
          <w:rFonts w:ascii="Arial" w:hAnsi="Arial" w:cs="Arial"/>
          <w:sz w:val="22"/>
          <w:szCs w:val="22"/>
        </w:rPr>
        <w:t xml:space="preserve">The Mental Health Act 2007 provides the legal foundation for the treatment of individuals with SCZ, promoting least-restrictive and rights-based care. Complementing this, NICE (2015) recommends psychological therapies and structured family involvement as core components of treatment. However, Bucci </w:t>
      </w:r>
      <w:r w:rsidRPr="00544D9D">
        <w:rPr>
          <w:rFonts w:ascii="Arial" w:hAnsi="Arial" w:cs="Arial"/>
          <w:i/>
          <w:iCs/>
          <w:sz w:val="22"/>
          <w:szCs w:val="22"/>
        </w:rPr>
        <w:t>et al.</w:t>
      </w:r>
      <w:r w:rsidRPr="00544D9D">
        <w:rPr>
          <w:rFonts w:ascii="Arial" w:hAnsi="Arial" w:cs="Arial"/>
          <w:sz w:val="22"/>
          <w:szCs w:val="22"/>
        </w:rPr>
        <w:t xml:space="preserve"> (2016) highlight ongoing challenges in implementation, citing staff shortages, complex referral systems, and high caseloads. These barriers have led </w:t>
      </w:r>
      <w:r w:rsidRPr="00544D9D">
        <w:rPr>
          <w:rFonts w:ascii="Arial" w:hAnsi="Arial" w:cs="Arial"/>
          <w:sz w:val="22"/>
          <w:szCs w:val="22"/>
        </w:rPr>
        <w:lastRenderedPageBreak/>
        <w:t>to inconsistent service delivery and entrenched inequalities. Pathan (2020) further notes that systemic issues contribute to the underutilisation of psychological interventions, particularly for ethnic minority groups, highlighting the gap between national policy aims and on-the-ground realities.</w:t>
      </w:r>
    </w:p>
    <w:p w14:paraId="4FB2F240" w14:textId="4B2487CB" w:rsidR="007D5AE6" w:rsidRPr="009804AA" w:rsidRDefault="007D5AE6" w:rsidP="002F3FC1">
      <w:pPr>
        <w:pStyle w:val="Heading4"/>
        <w:rPr>
          <w:rFonts w:ascii="Arial" w:hAnsi="Arial" w:cs="Arial"/>
          <w:b/>
          <w:bCs/>
          <w:color w:val="auto"/>
          <w:sz w:val="28"/>
          <w:szCs w:val="28"/>
        </w:rPr>
      </w:pPr>
      <w:r w:rsidRPr="009804AA">
        <w:rPr>
          <w:rFonts w:ascii="Arial" w:hAnsi="Arial" w:cs="Arial"/>
          <w:b/>
          <w:bCs/>
          <w:color w:val="auto"/>
          <w:sz w:val="28"/>
          <w:szCs w:val="28"/>
        </w:rPr>
        <w:t>Implications</w:t>
      </w:r>
    </w:p>
    <w:p w14:paraId="7FA3C548" w14:textId="77777777" w:rsidR="00B3758C" w:rsidRPr="00B3758C" w:rsidRDefault="00B3758C" w:rsidP="00B3758C"/>
    <w:p w14:paraId="4493BD93" w14:textId="094D3DC9" w:rsidR="00B3758C" w:rsidRPr="00544D9D" w:rsidRDefault="00B3758C" w:rsidP="002A408F">
      <w:pPr>
        <w:rPr>
          <w:rFonts w:ascii="Arial" w:hAnsi="Arial" w:cs="Arial"/>
        </w:rPr>
      </w:pPr>
      <w:r w:rsidRPr="00544D9D">
        <w:rPr>
          <w:rFonts w:ascii="Arial" w:hAnsi="Arial" w:cs="Arial"/>
        </w:rPr>
        <w:t>Successful therapeutic and community interventions have positive implications, including reduced relapse rates, improved functionality, and greater service-user satisfaction</w:t>
      </w:r>
      <w:r w:rsidR="009D08B2" w:rsidRPr="009D08B2">
        <w:rPr>
          <w:rFonts w:ascii="Times New Roman" w:eastAsia="Times New Roman" w:hAnsi="Times New Roman" w:cs="Times New Roman"/>
          <w:sz w:val="24"/>
          <w:szCs w:val="24"/>
        </w:rPr>
        <w:t xml:space="preserve"> </w:t>
      </w:r>
      <w:r w:rsidR="009D08B2" w:rsidRPr="009D08B2">
        <w:rPr>
          <w:rFonts w:ascii="Arial" w:hAnsi="Arial" w:cs="Arial"/>
        </w:rPr>
        <w:t>(Priebe et al., 2015)</w:t>
      </w:r>
      <w:r w:rsidRPr="00544D9D">
        <w:rPr>
          <w:rFonts w:ascii="Arial" w:hAnsi="Arial" w:cs="Arial"/>
        </w:rPr>
        <w:t>. Holistic care fosters engagement and facilitates long-term recovery.</w:t>
      </w:r>
    </w:p>
    <w:p w14:paraId="6445F780" w14:textId="744A597E" w:rsidR="00022DB5" w:rsidRDefault="00B3758C" w:rsidP="00AB47C7">
      <w:r w:rsidRPr="00544D9D">
        <w:rPr>
          <w:rFonts w:ascii="Arial" w:hAnsi="Arial" w:cs="Arial"/>
        </w:rPr>
        <w:t xml:space="preserve">Misaligning services with patient needs can lead to negative consequences. Barnes </w:t>
      </w:r>
      <w:r w:rsidRPr="00544D9D">
        <w:rPr>
          <w:rFonts w:ascii="Arial" w:hAnsi="Arial" w:cs="Arial"/>
          <w:i/>
          <w:iCs/>
        </w:rPr>
        <w:t>et al</w:t>
      </w:r>
      <w:r w:rsidRPr="00544D9D">
        <w:rPr>
          <w:rFonts w:ascii="Arial" w:hAnsi="Arial" w:cs="Arial"/>
        </w:rPr>
        <w:t xml:space="preserve">. (2019) warn of low adherence due to side effects and poor follow-up. When psychosocial interventions are unavailable, service users may resort to crisis services, experience repeat </w:t>
      </w:r>
      <w:r w:rsidR="00420E33" w:rsidRPr="00544D9D">
        <w:rPr>
          <w:rFonts w:ascii="Arial" w:hAnsi="Arial" w:cs="Arial"/>
        </w:rPr>
        <w:t>admissions or</w:t>
      </w:r>
      <w:r w:rsidRPr="00544D9D">
        <w:rPr>
          <w:rFonts w:ascii="Arial" w:hAnsi="Arial" w:cs="Arial"/>
        </w:rPr>
        <w:t xml:space="preserve"> withdraw altogether. Bucci </w:t>
      </w:r>
      <w:r w:rsidRPr="00544D9D">
        <w:rPr>
          <w:rFonts w:ascii="Arial" w:hAnsi="Arial" w:cs="Arial"/>
          <w:i/>
          <w:iCs/>
        </w:rPr>
        <w:t>et al.</w:t>
      </w:r>
      <w:r w:rsidRPr="00544D9D">
        <w:rPr>
          <w:rFonts w:ascii="Arial" w:hAnsi="Arial" w:cs="Arial"/>
        </w:rPr>
        <w:t xml:space="preserve"> (2016) and Pathan (2020) both highlight organisational shortcomings and cultural insensitivity as critical barriers. These failures compromise treatment effectiveness and widen health inequalities</w:t>
      </w:r>
      <w:r w:rsidRPr="00544D9D">
        <w:t>.</w:t>
      </w:r>
    </w:p>
    <w:p w14:paraId="4DC732D0" w14:textId="77777777" w:rsidR="00AB47C7" w:rsidRDefault="00AB47C7" w:rsidP="007D5AE6">
      <w:pPr>
        <w:pStyle w:val="Heading4"/>
        <w:rPr>
          <w:rFonts w:ascii="Arial" w:hAnsi="Arial" w:cs="Arial"/>
          <w:b/>
          <w:bCs/>
          <w:color w:val="auto"/>
          <w:sz w:val="24"/>
          <w:szCs w:val="24"/>
        </w:rPr>
      </w:pPr>
    </w:p>
    <w:p w14:paraId="07C41DDE" w14:textId="6727B470" w:rsidR="007E4F06" w:rsidRPr="00D85D50" w:rsidRDefault="007D5AE6" w:rsidP="00D85D50">
      <w:pPr>
        <w:rPr>
          <w:color w:val="0000FF"/>
          <w:u w:val="single"/>
        </w:rPr>
      </w:pPr>
      <w:r w:rsidRPr="002F3FC1">
        <w:rPr>
          <w:rFonts w:ascii="Arial" w:hAnsi="Arial" w:cs="Arial"/>
          <w:b/>
          <w:bCs/>
          <w:sz w:val="24"/>
          <w:szCs w:val="24"/>
        </w:rPr>
        <w:t>Examples from Your Articles</w:t>
      </w:r>
      <w:r w:rsidR="00D85D50" w:rsidRPr="00D85D50">
        <w:t xml:space="preserve"> </w:t>
      </w:r>
      <w:hyperlink r:id="rId16" w:history="1"/>
    </w:p>
    <w:p w14:paraId="6B7012E2" w14:textId="77777777" w:rsidR="009804AA" w:rsidRPr="00544D9D" w:rsidRDefault="0018230B" w:rsidP="0018230B">
      <w:pPr>
        <w:rPr>
          <w:rFonts w:ascii="Arial" w:hAnsi="Arial" w:cs="Arial"/>
        </w:rPr>
      </w:pPr>
      <w:r w:rsidRPr="00544D9D">
        <w:rPr>
          <w:rFonts w:ascii="Arial" w:hAnsi="Arial" w:cs="Arial"/>
        </w:rPr>
        <w:t xml:space="preserve">Morrison </w:t>
      </w:r>
      <w:r w:rsidRPr="00544D9D">
        <w:rPr>
          <w:rFonts w:ascii="Arial" w:hAnsi="Arial" w:cs="Arial"/>
          <w:i/>
          <w:iCs/>
        </w:rPr>
        <w:t>et al.</w:t>
      </w:r>
      <w:r w:rsidRPr="00544D9D">
        <w:rPr>
          <w:rFonts w:ascii="Arial" w:hAnsi="Arial" w:cs="Arial"/>
        </w:rPr>
        <w:t xml:space="preserve"> (2018) conducted a UK-based RCT on CBT for clozapine-resistant SCZ. While improvements were modest</w:t>
      </w:r>
      <w:r w:rsidRPr="0018230B">
        <w:rPr>
          <w:rFonts w:ascii="Arial" w:hAnsi="Arial" w:cs="Arial"/>
        </w:rPr>
        <w:t xml:space="preserve">, the findings show that CBT can produce small but meaningful benefits, particularly when standard treatments fail. The study supports integrating psychological therapies into treatment pathways and emphasises the need to tailor </w:t>
      </w:r>
      <w:r w:rsidRPr="00544D9D">
        <w:rPr>
          <w:rFonts w:ascii="Arial" w:hAnsi="Arial" w:cs="Arial"/>
        </w:rPr>
        <w:t>approaches to patient subgroups.</w:t>
      </w:r>
    </w:p>
    <w:p w14:paraId="6A4B8E81" w14:textId="05B77E2C" w:rsidR="0018230B" w:rsidRPr="00544D9D" w:rsidRDefault="0018230B" w:rsidP="0018230B">
      <w:pPr>
        <w:rPr>
          <w:rFonts w:ascii="Arial" w:hAnsi="Arial" w:cs="Arial"/>
        </w:rPr>
      </w:pPr>
      <w:r w:rsidRPr="00544D9D">
        <w:rPr>
          <w:rFonts w:ascii="Arial" w:hAnsi="Arial" w:cs="Arial"/>
        </w:rPr>
        <w:t xml:space="preserve">Bucci </w:t>
      </w:r>
      <w:r w:rsidRPr="00544D9D">
        <w:rPr>
          <w:rFonts w:ascii="Arial" w:hAnsi="Arial" w:cs="Arial"/>
          <w:i/>
          <w:iCs/>
        </w:rPr>
        <w:t>et al</w:t>
      </w:r>
      <w:r w:rsidRPr="00544D9D">
        <w:rPr>
          <w:rFonts w:ascii="Arial" w:hAnsi="Arial" w:cs="Arial"/>
        </w:rPr>
        <w:t>. (2016) reviewed barriers to family-based interventions, concluding that implementation remains inconsistent despite strong evidence of effectiveness. Organisational constraints, referral issues, and lack of staff training were major obstacles. Their findings illustrate the gap between policy NICE guidelines and everyday practice.</w:t>
      </w:r>
    </w:p>
    <w:p w14:paraId="6FA6E272" w14:textId="77777777" w:rsidR="0018230B" w:rsidRPr="00544D9D" w:rsidRDefault="0018230B" w:rsidP="0018230B">
      <w:pPr>
        <w:rPr>
          <w:rFonts w:ascii="Arial" w:hAnsi="Arial" w:cs="Arial"/>
        </w:rPr>
      </w:pPr>
      <w:r w:rsidRPr="00544D9D">
        <w:rPr>
          <w:rFonts w:ascii="Arial" w:hAnsi="Arial" w:cs="Arial"/>
        </w:rPr>
        <w:t xml:space="preserve">Priebe </w:t>
      </w:r>
      <w:r w:rsidRPr="00544D9D">
        <w:rPr>
          <w:rFonts w:ascii="Arial" w:hAnsi="Arial" w:cs="Arial"/>
          <w:i/>
          <w:iCs/>
        </w:rPr>
        <w:t>et al.</w:t>
      </w:r>
      <w:r w:rsidRPr="00544D9D">
        <w:rPr>
          <w:rFonts w:ascii="Arial" w:hAnsi="Arial" w:cs="Arial"/>
        </w:rPr>
        <w:t xml:space="preserve"> (2015) evaluated DIALOG+, a patient-centred intervention based on shared decision-making. The results showed significant improvements in treatment satisfaction and perceived quality of care. This reinforces the importance of agency, communication, and personalised planning within therapeutic frameworks.</w:t>
      </w:r>
    </w:p>
    <w:p w14:paraId="61E7B8A7" w14:textId="36150DEE" w:rsidR="007D5AE6" w:rsidRPr="00E81A82" w:rsidRDefault="0018230B" w:rsidP="00E81A82">
      <w:pPr>
        <w:rPr>
          <w:rFonts w:ascii="Arial" w:hAnsi="Arial" w:cs="Arial"/>
        </w:rPr>
      </w:pPr>
      <w:r w:rsidRPr="00544D9D">
        <w:rPr>
          <w:rFonts w:ascii="Arial" w:hAnsi="Arial" w:cs="Arial"/>
        </w:rPr>
        <w:t xml:space="preserve">Together, these articles present a unified view: successful treatment depends not only on clinical efficacy but also on service organisation, cultural </w:t>
      </w:r>
      <w:r w:rsidR="005F5922" w:rsidRPr="00544D9D">
        <w:rPr>
          <w:rFonts w:ascii="Arial" w:hAnsi="Arial" w:cs="Arial"/>
        </w:rPr>
        <w:t>relevance</w:t>
      </w:r>
      <w:r w:rsidRPr="00544D9D">
        <w:rPr>
          <w:rFonts w:ascii="Arial" w:hAnsi="Arial" w:cs="Arial"/>
        </w:rPr>
        <w:t>, and user</w:t>
      </w:r>
      <w:r w:rsidRPr="0018230B">
        <w:rPr>
          <w:rFonts w:ascii="Arial" w:hAnsi="Arial" w:cs="Arial"/>
        </w:rPr>
        <w:t xml:space="preserve"> </w:t>
      </w:r>
    </w:p>
    <w:p w14:paraId="7FF19799" w14:textId="2FA29C97" w:rsidR="00D06D25" w:rsidRPr="00BA4C56" w:rsidRDefault="007D5AE6" w:rsidP="00BA4C56">
      <w:pPr>
        <w:pStyle w:val="Heading4"/>
        <w:rPr>
          <w:rFonts w:ascii="Arial" w:hAnsi="Arial" w:cs="Arial"/>
          <w:b/>
          <w:bCs/>
          <w:color w:val="auto"/>
          <w:sz w:val="28"/>
          <w:szCs w:val="28"/>
        </w:rPr>
      </w:pPr>
      <w:r w:rsidRPr="009804AA">
        <w:rPr>
          <w:rFonts w:ascii="Arial" w:hAnsi="Arial" w:cs="Arial"/>
          <w:b/>
          <w:bCs/>
          <w:color w:val="auto"/>
          <w:sz w:val="28"/>
          <w:szCs w:val="28"/>
        </w:rPr>
        <w:lastRenderedPageBreak/>
        <w:t>Connections to Other Themes</w:t>
      </w:r>
    </w:p>
    <w:p w14:paraId="206FE56E" w14:textId="77777777" w:rsidR="0065178D" w:rsidRPr="0065178D" w:rsidRDefault="0065178D" w:rsidP="0065178D">
      <w:pPr>
        <w:rPr>
          <w:rFonts w:ascii="Arial" w:hAnsi="Arial" w:cs="Arial"/>
        </w:rPr>
      </w:pPr>
      <w:r w:rsidRPr="0065178D">
        <w:rPr>
          <w:rFonts w:ascii="Arial" w:hAnsi="Arial" w:cs="Arial"/>
        </w:rPr>
        <w:t>This theme overlaps significantly with Theme 1: Access to Services and Theme 2: Cultural and Ethnic Inequality. Treatment cannot be delivered without first addressing timely and equitable access (Theme 1). Moreover, cultural misunderstandings or service-user mistrust (Theme 2) can lead to disengagement from even high-quality therapeutic options. For instance, Pathan (2020) shows that early intervention is least accessible to ethnic minorities, despite being widely endorsed in policy.</w:t>
      </w:r>
    </w:p>
    <w:p w14:paraId="4902DC53" w14:textId="1387132A" w:rsidR="007D5AE6" w:rsidRDefault="0065178D" w:rsidP="005C3FDB">
      <w:pPr>
        <w:rPr>
          <w:rFonts w:ascii="Arial" w:hAnsi="Arial" w:cs="Arial"/>
        </w:rPr>
      </w:pPr>
      <w:r w:rsidRPr="0065178D">
        <w:rPr>
          <w:rFonts w:ascii="Arial" w:hAnsi="Arial" w:cs="Arial"/>
        </w:rPr>
        <w:t>In this way, treatment effectiveness is inseparable from issues of access and equity. To enhance real-world SCZ outcomes in the UK, holistic improvements across all themes are required.</w:t>
      </w:r>
    </w:p>
    <w:p w14:paraId="7E370AB3" w14:textId="77777777" w:rsidR="005C3FDB" w:rsidRPr="005C3FDB" w:rsidRDefault="005C3FDB" w:rsidP="005C3FDB">
      <w:pPr>
        <w:rPr>
          <w:rFonts w:ascii="Arial" w:hAnsi="Arial" w:cs="Arial"/>
        </w:rPr>
      </w:pPr>
    </w:p>
    <w:p w14:paraId="20C2C3E8" w14:textId="2F54F564" w:rsidR="00B710FC" w:rsidRDefault="007D5AE6" w:rsidP="000325CD">
      <w:pPr>
        <w:pStyle w:val="Heading2"/>
      </w:pPr>
      <w:bookmarkStart w:id="42" w:name="_Toc204981503"/>
      <w:r w:rsidRPr="00922D35">
        <w:t>4.6 – Chapter Conclusion</w:t>
      </w:r>
      <w:bookmarkEnd w:id="42"/>
      <w:r w:rsidRPr="0009236F">
        <w:t xml:space="preserve"> </w:t>
      </w:r>
    </w:p>
    <w:p w14:paraId="69A23170" w14:textId="77777777" w:rsidR="00922D35" w:rsidRPr="00922D35" w:rsidRDefault="00922D35" w:rsidP="00922D35"/>
    <w:p w14:paraId="152D20C9" w14:textId="5DB7665F" w:rsidR="00E00CCE" w:rsidRPr="009E725B" w:rsidRDefault="00E00CCE" w:rsidP="00B710FC">
      <w:pPr>
        <w:rPr>
          <w:rFonts w:ascii="Arial" w:hAnsi="Arial" w:cs="Arial"/>
        </w:rPr>
      </w:pPr>
      <w:r w:rsidRPr="00E00CCE">
        <w:rPr>
          <w:rFonts w:ascii="Arial" w:hAnsi="Arial" w:cs="Arial"/>
        </w:rPr>
        <w:t xml:space="preserve">This chapter critically explored three interrelated themes that shape the effectiveness of healthcare provisions for individuals with SCZ in the UK: </w:t>
      </w:r>
      <w:r w:rsidR="00F336F0">
        <w:rPr>
          <w:rFonts w:ascii="Arial" w:hAnsi="Arial" w:cs="Arial"/>
        </w:rPr>
        <w:t>A</w:t>
      </w:r>
      <w:r w:rsidRPr="00E00CCE">
        <w:rPr>
          <w:rFonts w:ascii="Arial" w:hAnsi="Arial" w:cs="Arial"/>
        </w:rPr>
        <w:t xml:space="preserve">ccess to </w:t>
      </w:r>
      <w:r w:rsidR="00F336F0">
        <w:rPr>
          <w:rFonts w:ascii="Arial" w:hAnsi="Arial" w:cs="Arial"/>
        </w:rPr>
        <w:t>S</w:t>
      </w:r>
      <w:r w:rsidRPr="00E00CCE">
        <w:rPr>
          <w:rFonts w:ascii="Arial" w:hAnsi="Arial" w:cs="Arial"/>
        </w:rPr>
        <w:t xml:space="preserve">ervices, </w:t>
      </w:r>
      <w:r w:rsidR="00F336F0">
        <w:rPr>
          <w:rFonts w:ascii="Arial" w:hAnsi="Arial" w:cs="Arial"/>
        </w:rPr>
        <w:t>C</w:t>
      </w:r>
      <w:r w:rsidRPr="00E00CCE">
        <w:rPr>
          <w:rFonts w:ascii="Arial" w:hAnsi="Arial" w:cs="Arial"/>
        </w:rPr>
        <w:t xml:space="preserve">ultural and </w:t>
      </w:r>
      <w:r w:rsidR="00F336F0">
        <w:rPr>
          <w:rFonts w:ascii="Arial" w:hAnsi="Arial" w:cs="Arial"/>
        </w:rPr>
        <w:t>E</w:t>
      </w:r>
      <w:r w:rsidRPr="00E00CCE">
        <w:rPr>
          <w:rFonts w:ascii="Arial" w:hAnsi="Arial" w:cs="Arial"/>
        </w:rPr>
        <w:t xml:space="preserve">thnic </w:t>
      </w:r>
      <w:r w:rsidR="00F336F0">
        <w:rPr>
          <w:rFonts w:ascii="Arial" w:hAnsi="Arial" w:cs="Arial"/>
        </w:rPr>
        <w:t>I</w:t>
      </w:r>
      <w:r w:rsidRPr="00E00CCE">
        <w:rPr>
          <w:rFonts w:ascii="Arial" w:hAnsi="Arial" w:cs="Arial"/>
        </w:rPr>
        <w:t xml:space="preserve">nequality, and </w:t>
      </w:r>
      <w:r w:rsidR="00F336F0">
        <w:rPr>
          <w:rFonts w:ascii="Arial" w:hAnsi="Arial" w:cs="Arial"/>
        </w:rPr>
        <w:t>T</w:t>
      </w:r>
      <w:r w:rsidRPr="00E00CCE">
        <w:rPr>
          <w:rFonts w:ascii="Arial" w:hAnsi="Arial" w:cs="Arial"/>
        </w:rPr>
        <w:t xml:space="preserve">herapeutic </w:t>
      </w:r>
      <w:r w:rsidR="00F336F0">
        <w:rPr>
          <w:rFonts w:ascii="Arial" w:hAnsi="Arial" w:cs="Arial"/>
        </w:rPr>
        <w:t>I</w:t>
      </w:r>
      <w:r w:rsidRPr="00E00CCE">
        <w:rPr>
          <w:rFonts w:ascii="Arial" w:hAnsi="Arial" w:cs="Arial"/>
        </w:rPr>
        <w:t xml:space="preserve">nterventions with </w:t>
      </w:r>
      <w:r w:rsidR="00F336F0">
        <w:rPr>
          <w:rFonts w:ascii="Arial" w:hAnsi="Arial" w:cs="Arial"/>
        </w:rPr>
        <w:t>C</w:t>
      </w:r>
      <w:r w:rsidRPr="00E00CCE">
        <w:rPr>
          <w:rFonts w:ascii="Arial" w:hAnsi="Arial" w:cs="Arial"/>
        </w:rPr>
        <w:t xml:space="preserve">ommunity </w:t>
      </w:r>
      <w:r w:rsidR="00F336F0">
        <w:rPr>
          <w:rFonts w:ascii="Arial" w:hAnsi="Arial" w:cs="Arial"/>
        </w:rPr>
        <w:t>C</w:t>
      </w:r>
      <w:r w:rsidRPr="00E00CCE">
        <w:rPr>
          <w:rFonts w:ascii="Arial" w:hAnsi="Arial" w:cs="Arial"/>
        </w:rPr>
        <w:t>are. Theme 1 identified systemic barriers such as long wait times, underfunding, and inconsistent policy implementation, which delay treatment and compromise recovery. Theme 2 revealed how structural racism and cultural insensitivity contribute to unequal access and outcomes for ethnically minoritised populations, despite legal mandates like the Equality Act 2010. Theme 3 examined how pharmacological and psychological treatments, when integrated with community-based support, can promote recovery</w:t>
      </w:r>
      <w:r w:rsidRPr="00B710FC">
        <w:rPr>
          <w:rFonts w:ascii="Arial" w:hAnsi="Arial" w:cs="Arial"/>
        </w:rPr>
        <w:t xml:space="preserve"> </w:t>
      </w:r>
      <w:r w:rsidRPr="00E00CCE">
        <w:rPr>
          <w:rFonts w:ascii="Arial" w:hAnsi="Arial" w:cs="Arial"/>
        </w:rPr>
        <w:t xml:space="preserve">but are often undermined by poor service </w:t>
      </w:r>
      <w:r w:rsidRPr="009E725B">
        <w:rPr>
          <w:rFonts w:ascii="Arial" w:hAnsi="Arial" w:cs="Arial"/>
        </w:rPr>
        <w:t>coordination, staff shortages, and limited cultural adaptation.</w:t>
      </w:r>
    </w:p>
    <w:p w14:paraId="7F4F867F" w14:textId="336E5841" w:rsidR="00E00CCE" w:rsidRPr="009E725B" w:rsidRDefault="00E00CCE" w:rsidP="00B710FC">
      <w:pPr>
        <w:rPr>
          <w:rFonts w:ascii="Arial" w:hAnsi="Arial" w:cs="Arial"/>
        </w:rPr>
      </w:pPr>
      <w:r w:rsidRPr="009E725B">
        <w:rPr>
          <w:rFonts w:ascii="Arial" w:hAnsi="Arial" w:cs="Arial"/>
        </w:rPr>
        <w:t>Across all themes, the gap between national policy and real-world practice was consistently highlighted. Findings from key studies, including NICE (2015), Pathan (2020), Bucci et al. (2016), and Priebe et al. (2015), demonstrate that effective care remains unevenly distributed, particularly for vulnerable populations.</w:t>
      </w:r>
    </w:p>
    <w:p w14:paraId="4A196978" w14:textId="63200844" w:rsidR="007D5AE6" w:rsidRPr="00E81A82" w:rsidRDefault="00E00CCE" w:rsidP="00E81A82">
      <w:pPr>
        <w:rPr>
          <w:rFonts w:ascii="Arial" w:hAnsi="Arial" w:cs="Arial"/>
        </w:rPr>
      </w:pPr>
      <w:r w:rsidRPr="009E725B">
        <w:rPr>
          <w:rFonts w:ascii="Arial" w:hAnsi="Arial" w:cs="Arial"/>
        </w:rPr>
        <w:t xml:space="preserve">The evidence presented here reinforces the need for structural reform, cultural competence, and sustained investment in </w:t>
      </w:r>
      <w:r w:rsidR="009352C5" w:rsidRPr="009E725B">
        <w:rPr>
          <w:rFonts w:ascii="Arial" w:hAnsi="Arial" w:cs="Arial"/>
        </w:rPr>
        <w:t>M</w:t>
      </w:r>
      <w:r w:rsidRPr="009E725B">
        <w:rPr>
          <w:rFonts w:ascii="Arial" w:hAnsi="Arial" w:cs="Arial"/>
        </w:rPr>
        <w:t xml:space="preserve">ental </w:t>
      </w:r>
      <w:r w:rsidR="009352C5" w:rsidRPr="009E725B">
        <w:rPr>
          <w:rFonts w:ascii="Arial" w:hAnsi="Arial" w:cs="Arial"/>
        </w:rPr>
        <w:t>H</w:t>
      </w:r>
      <w:r w:rsidRPr="009E725B">
        <w:rPr>
          <w:rFonts w:ascii="Arial" w:hAnsi="Arial" w:cs="Arial"/>
        </w:rPr>
        <w:t xml:space="preserve">ealth </w:t>
      </w:r>
      <w:r w:rsidR="009352C5" w:rsidRPr="009E725B">
        <w:rPr>
          <w:rFonts w:ascii="Arial" w:hAnsi="Arial" w:cs="Arial"/>
        </w:rPr>
        <w:t>S</w:t>
      </w:r>
      <w:r w:rsidRPr="009E725B">
        <w:rPr>
          <w:rFonts w:ascii="Arial" w:hAnsi="Arial" w:cs="Arial"/>
        </w:rPr>
        <w:t>ervices. The following chapter will evaluate current literature in relation to these themes, offering a critical synthesis of how existing research addresses the gaps identified in UK SCZ care.</w:t>
      </w:r>
    </w:p>
    <w:p w14:paraId="1FA6FD9F" w14:textId="77777777" w:rsidR="005C3FDB" w:rsidRDefault="005C3FDB" w:rsidP="00FD0175">
      <w:pPr>
        <w:pStyle w:val="Heading1"/>
      </w:pPr>
    </w:p>
    <w:p w14:paraId="38DA243E" w14:textId="77777777" w:rsidR="0089098E" w:rsidRDefault="0089098E" w:rsidP="00FD0175">
      <w:pPr>
        <w:pStyle w:val="Heading1"/>
      </w:pPr>
    </w:p>
    <w:p w14:paraId="4F677181" w14:textId="514A04CD" w:rsidR="007D5AE6" w:rsidRPr="004F7A57" w:rsidRDefault="007D5AE6" w:rsidP="00FD0175">
      <w:pPr>
        <w:pStyle w:val="Heading1"/>
      </w:pPr>
      <w:bookmarkStart w:id="43" w:name="_Toc204981504"/>
      <w:r w:rsidRPr="004F7A57">
        <w:lastRenderedPageBreak/>
        <w:t>CHAPTER 5 – Conclusion and Recommendations</w:t>
      </w:r>
      <w:bookmarkEnd w:id="43"/>
      <w:r w:rsidRPr="004F7A57">
        <w:t xml:space="preserve"> </w:t>
      </w:r>
    </w:p>
    <w:p w14:paraId="6A245DEB" w14:textId="77777777" w:rsidR="00DF46CE" w:rsidRPr="00636D9A" w:rsidRDefault="00DF46CE" w:rsidP="00FD0175">
      <w:pPr>
        <w:pStyle w:val="Heading1"/>
      </w:pPr>
    </w:p>
    <w:p w14:paraId="21550F18" w14:textId="4280F158" w:rsidR="007D5AE6" w:rsidRDefault="007D5AE6" w:rsidP="009452FE">
      <w:pPr>
        <w:pStyle w:val="Heading2"/>
      </w:pPr>
      <w:bookmarkStart w:id="44" w:name="_Toc204981505"/>
      <w:r w:rsidRPr="00166232">
        <w:t>5.1 – Overall Conclusion</w:t>
      </w:r>
      <w:bookmarkEnd w:id="44"/>
      <w:r w:rsidRPr="00741AEB">
        <w:t xml:space="preserve"> </w:t>
      </w:r>
    </w:p>
    <w:p w14:paraId="44C1A53A" w14:textId="77777777" w:rsidR="00DF46CE" w:rsidRPr="00DF46CE" w:rsidRDefault="00DF46CE" w:rsidP="00DF46CE"/>
    <w:p w14:paraId="68647D10" w14:textId="77777777" w:rsidR="00E55C01" w:rsidRPr="00E55C01" w:rsidRDefault="00E55C01" w:rsidP="00DF46CE">
      <w:pPr>
        <w:rPr>
          <w:rFonts w:ascii="Arial" w:hAnsi="Arial" w:cs="Arial"/>
        </w:rPr>
      </w:pPr>
      <w:r w:rsidRPr="00E55C01">
        <w:rPr>
          <w:rFonts w:ascii="Arial" w:hAnsi="Arial" w:cs="Arial"/>
        </w:rPr>
        <w:t>This dissertation evaluated the effectiveness of healthcare provisions for individuals diagnosed with SCZ in the UK. Drawing on historical, theoretical, and policy frameworks, a thematic analysis of secondary literature identified both strengths and persistent shortcomings within current mental health care systems.</w:t>
      </w:r>
    </w:p>
    <w:p w14:paraId="721EC067" w14:textId="77777777" w:rsidR="00E55C01" w:rsidRPr="00E55C01" w:rsidRDefault="00E55C01" w:rsidP="00DF46CE">
      <w:pPr>
        <w:rPr>
          <w:rFonts w:ascii="Arial" w:hAnsi="Arial" w:cs="Arial"/>
        </w:rPr>
      </w:pPr>
      <w:r w:rsidRPr="00E55C01">
        <w:rPr>
          <w:rFonts w:ascii="Arial" w:hAnsi="Arial" w:cs="Arial"/>
        </w:rPr>
        <w:t>Chapter 1 introduced the complex nature and public health impact of SCZ, particularly among ethnically minoritised populations, and outlined the research aim and four objectives. Chapter 2 contextualises UK services within a global framework, demonstrating that, despite progressive policies, implementation remains fragmented due to regional disparities and limited resources.</w:t>
      </w:r>
    </w:p>
    <w:p w14:paraId="20C81759" w14:textId="13B13D5B" w:rsidR="00E55C01" w:rsidRPr="00E55C01" w:rsidRDefault="00E55C01" w:rsidP="00DF46CE">
      <w:pPr>
        <w:rPr>
          <w:rFonts w:ascii="Arial" w:hAnsi="Arial" w:cs="Arial"/>
        </w:rPr>
      </w:pPr>
      <w:r w:rsidRPr="00E55C01">
        <w:rPr>
          <w:rFonts w:ascii="Arial" w:hAnsi="Arial" w:cs="Arial"/>
        </w:rPr>
        <w:t xml:space="preserve">Chapter 3 described a rigorous secondary research methodology, applying Braun and Clarke’s thematic analysis to consistently and ethically evaluate peer-reviewed sources. Chapter 4 presented key findings across three themes: </w:t>
      </w:r>
      <w:r w:rsidR="00733EC6">
        <w:rPr>
          <w:rFonts w:ascii="Arial" w:hAnsi="Arial" w:cs="Arial"/>
        </w:rPr>
        <w:t>A</w:t>
      </w:r>
      <w:r w:rsidRPr="00E55C01">
        <w:rPr>
          <w:rFonts w:ascii="Arial" w:hAnsi="Arial" w:cs="Arial"/>
        </w:rPr>
        <w:t xml:space="preserve">ccess to </w:t>
      </w:r>
      <w:r w:rsidR="00733EC6">
        <w:rPr>
          <w:rFonts w:ascii="Arial" w:hAnsi="Arial" w:cs="Arial"/>
        </w:rPr>
        <w:t>S</w:t>
      </w:r>
      <w:r w:rsidRPr="00E55C01">
        <w:rPr>
          <w:rFonts w:ascii="Arial" w:hAnsi="Arial" w:cs="Arial"/>
        </w:rPr>
        <w:t xml:space="preserve">ervices, </w:t>
      </w:r>
      <w:r w:rsidR="00733EC6">
        <w:rPr>
          <w:rFonts w:ascii="Arial" w:hAnsi="Arial" w:cs="Arial"/>
        </w:rPr>
        <w:t>C</w:t>
      </w:r>
      <w:r w:rsidRPr="00E55C01">
        <w:rPr>
          <w:rFonts w:ascii="Arial" w:hAnsi="Arial" w:cs="Arial"/>
        </w:rPr>
        <w:t xml:space="preserve">ultural and </w:t>
      </w:r>
      <w:r w:rsidR="00733EC6">
        <w:rPr>
          <w:rFonts w:ascii="Arial" w:hAnsi="Arial" w:cs="Arial"/>
        </w:rPr>
        <w:t>E</w:t>
      </w:r>
      <w:r w:rsidRPr="00E55C01">
        <w:rPr>
          <w:rFonts w:ascii="Arial" w:hAnsi="Arial" w:cs="Arial"/>
        </w:rPr>
        <w:t xml:space="preserve">thnic </w:t>
      </w:r>
      <w:r w:rsidR="00733EC6">
        <w:rPr>
          <w:rFonts w:ascii="Arial" w:hAnsi="Arial" w:cs="Arial"/>
        </w:rPr>
        <w:t>I</w:t>
      </w:r>
      <w:r w:rsidRPr="00E55C01">
        <w:rPr>
          <w:rFonts w:ascii="Arial" w:hAnsi="Arial" w:cs="Arial"/>
        </w:rPr>
        <w:t xml:space="preserve">nequalities, and </w:t>
      </w:r>
      <w:r w:rsidR="00733EC6" w:rsidRPr="00E55C01">
        <w:rPr>
          <w:rFonts w:ascii="Arial" w:hAnsi="Arial" w:cs="Arial"/>
        </w:rPr>
        <w:t>Therapeutic Interventions</w:t>
      </w:r>
      <w:r w:rsidRPr="00E55C01">
        <w:rPr>
          <w:rFonts w:ascii="Arial" w:hAnsi="Arial" w:cs="Arial"/>
        </w:rPr>
        <w:t>. The evidence revealed ongoing delays in treatment, inconsistent adherence to national guidelines, and systemic bias against ethnic minorities, resulting in disproportionate compulsory treatments and reduced access to psychological care.</w:t>
      </w:r>
    </w:p>
    <w:p w14:paraId="37346269" w14:textId="77777777" w:rsidR="00E55C01" w:rsidRPr="00E55C01" w:rsidRDefault="00E55C01" w:rsidP="00DF46CE">
      <w:pPr>
        <w:rPr>
          <w:rFonts w:ascii="Arial" w:hAnsi="Arial" w:cs="Arial"/>
        </w:rPr>
      </w:pPr>
      <w:r w:rsidRPr="00E55C01">
        <w:rPr>
          <w:rFonts w:ascii="Arial" w:hAnsi="Arial" w:cs="Arial"/>
        </w:rPr>
        <w:t>The study successfully met all four objectives:</w:t>
      </w:r>
    </w:p>
    <w:p w14:paraId="6FB02F02" w14:textId="77777777" w:rsidR="00E55C01" w:rsidRPr="00E55C01" w:rsidRDefault="00E55C01" w:rsidP="00DF46CE">
      <w:pPr>
        <w:numPr>
          <w:ilvl w:val="0"/>
          <w:numId w:val="45"/>
        </w:numPr>
        <w:rPr>
          <w:rFonts w:ascii="Arial" w:hAnsi="Arial" w:cs="Arial"/>
        </w:rPr>
      </w:pPr>
      <w:r w:rsidRPr="00E55C01">
        <w:rPr>
          <w:rFonts w:ascii="Arial" w:hAnsi="Arial" w:cs="Arial"/>
        </w:rPr>
        <w:t>The structure and outcomes of care were critically examined.</w:t>
      </w:r>
    </w:p>
    <w:p w14:paraId="550849E6" w14:textId="77777777" w:rsidR="00E55C01" w:rsidRPr="00E55C01" w:rsidRDefault="00E55C01" w:rsidP="00DF46CE">
      <w:pPr>
        <w:numPr>
          <w:ilvl w:val="0"/>
          <w:numId w:val="45"/>
        </w:numPr>
        <w:rPr>
          <w:rFonts w:ascii="Arial" w:hAnsi="Arial" w:cs="Arial"/>
        </w:rPr>
      </w:pPr>
      <w:r w:rsidRPr="00E55C01">
        <w:rPr>
          <w:rFonts w:ascii="Arial" w:hAnsi="Arial" w:cs="Arial"/>
        </w:rPr>
        <w:t>Treatment strategies and interventions were assessed.</w:t>
      </w:r>
    </w:p>
    <w:p w14:paraId="3A07E53B" w14:textId="77777777" w:rsidR="00E55C01" w:rsidRPr="00E55C01" w:rsidRDefault="00E55C01" w:rsidP="00DF46CE">
      <w:pPr>
        <w:numPr>
          <w:ilvl w:val="0"/>
          <w:numId w:val="45"/>
        </w:numPr>
        <w:rPr>
          <w:rFonts w:ascii="Arial" w:hAnsi="Arial" w:cs="Arial"/>
        </w:rPr>
      </w:pPr>
      <w:r w:rsidRPr="00E55C01">
        <w:rPr>
          <w:rFonts w:ascii="Arial" w:hAnsi="Arial" w:cs="Arial"/>
        </w:rPr>
        <w:t>Systemic barriers were evaluated.</w:t>
      </w:r>
    </w:p>
    <w:p w14:paraId="5BF1D8C1" w14:textId="77777777" w:rsidR="00E55C01" w:rsidRPr="00E55C01" w:rsidRDefault="00E55C01" w:rsidP="00DF46CE">
      <w:pPr>
        <w:numPr>
          <w:ilvl w:val="0"/>
          <w:numId w:val="45"/>
        </w:numPr>
        <w:rPr>
          <w:rFonts w:ascii="Arial" w:hAnsi="Arial" w:cs="Arial"/>
        </w:rPr>
      </w:pPr>
      <w:r w:rsidRPr="00E55C01">
        <w:rPr>
          <w:rFonts w:ascii="Arial" w:hAnsi="Arial" w:cs="Arial"/>
        </w:rPr>
        <w:t>Evidence-based recommendations were developed from thematic findings.</w:t>
      </w:r>
    </w:p>
    <w:p w14:paraId="5730DF56" w14:textId="66BA83A4" w:rsidR="007D5AE6" w:rsidRPr="005C3FDB" w:rsidRDefault="00E55C01" w:rsidP="007D5AE6">
      <w:pPr>
        <w:rPr>
          <w:rFonts w:ascii="Arial" w:hAnsi="Arial" w:cs="Arial"/>
        </w:rPr>
      </w:pPr>
      <w:r w:rsidRPr="00E55C01">
        <w:rPr>
          <w:rFonts w:ascii="Arial" w:hAnsi="Arial" w:cs="Arial"/>
        </w:rPr>
        <w:t xml:space="preserve">While the UK’s SCZ provisions are grounded in sound policy, their uneven delivery highlights an urgent need for targeted reform, improved cultural competence, and sustained investment in </w:t>
      </w:r>
      <w:r>
        <w:rPr>
          <w:rFonts w:ascii="Arial" w:hAnsi="Arial" w:cs="Arial"/>
        </w:rPr>
        <w:t>M</w:t>
      </w:r>
      <w:r w:rsidRPr="00E55C01">
        <w:rPr>
          <w:rFonts w:ascii="Arial" w:hAnsi="Arial" w:cs="Arial"/>
        </w:rPr>
        <w:t xml:space="preserve">ental </w:t>
      </w:r>
      <w:r>
        <w:rPr>
          <w:rFonts w:ascii="Arial" w:hAnsi="Arial" w:cs="Arial"/>
        </w:rPr>
        <w:t>H</w:t>
      </w:r>
      <w:r w:rsidRPr="00E55C01">
        <w:rPr>
          <w:rFonts w:ascii="Arial" w:hAnsi="Arial" w:cs="Arial"/>
        </w:rPr>
        <w:t>ealth infrastructure. This study contributes valuable insights into how care can become more equitable, person-centred, and effective for all individuals living with SCZ.</w:t>
      </w:r>
    </w:p>
    <w:p w14:paraId="39A049C2" w14:textId="2816B272" w:rsidR="005F0F3B" w:rsidRDefault="00715D55" w:rsidP="000325CD">
      <w:pPr>
        <w:pStyle w:val="Heading2"/>
      </w:pPr>
      <w:bookmarkStart w:id="45" w:name="_Toc204981506"/>
      <w:r w:rsidRPr="00790D29">
        <w:lastRenderedPageBreak/>
        <w:t>5.2 Recommendations</w:t>
      </w:r>
      <w:bookmarkEnd w:id="45"/>
      <w:r w:rsidR="007D5AE6" w:rsidRPr="00790D29">
        <w:t xml:space="preserve"> </w:t>
      </w:r>
    </w:p>
    <w:p w14:paraId="74AB3D9F" w14:textId="3F22EB0E" w:rsidR="007D5AE6" w:rsidRPr="00046598" w:rsidRDefault="007D5AE6" w:rsidP="00046598">
      <w:pPr>
        <w:pStyle w:val="Heading3"/>
      </w:pPr>
      <w:r w:rsidRPr="00046598">
        <w:t xml:space="preserve"> </w:t>
      </w:r>
    </w:p>
    <w:p w14:paraId="11315359" w14:textId="7259011D" w:rsidR="0052525E" w:rsidRPr="008848F3" w:rsidRDefault="00A25A51" w:rsidP="008848F3">
      <w:pPr>
        <w:pStyle w:val="Heading3"/>
      </w:pPr>
      <w:bookmarkStart w:id="46" w:name="_Toc204981507"/>
      <w:r w:rsidRPr="008848F3">
        <w:t>5.2.1 Recommendation</w:t>
      </w:r>
      <w:r w:rsidR="0052525E" w:rsidRPr="008848F3">
        <w:t>:</w:t>
      </w:r>
      <w:r w:rsidR="001756C3" w:rsidRPr="008848F3">
        <w:t xml:space="preserve">  </w:t>
      </w:r>
      <w:r w:rsidR="0052525E" w:rsidRPr="008848F3">
        <w:t>Strengthen Early Access Pathways via Workforce Investment and Local Service Coordination</w:t>
      </w:r>
      <w:bookmarkEnd w:id="46"/>
    </w:p>
    <w:p w14:paraId="61A1215A" w14:textId="77777777" w:rsidR="004057D6" w:rsidRDefault="004057D6" w:rsidP="00FD0175">
      <w:pPr>
        <w:pStyle w:val="Heading1"/>
      </w:pPr>
    </w:p>
    <w:p w14:paraId="60E5CA38" w14:textId="15E3C9C6" w:rsidR="00F440F9" w:rsidRPr="0080083C" w:rsidRDefault="0052525E" w:rsidP="00942226">
      <w:pPr>
        <w:rPr>
          <w:rFonts w:ascii="Arial" w:hAnsi="Arial" w:cs="Arial"/>
        </w:rPr>
      </w:pPr>
      <w:r w:rsidRPr="0080083C">
        <w:rPr>
          <w:rFonts w:ascii="Arial" w:hAnsi="Arial" w:cs="Arial"/>
        </w:rPr>
        <w:t>Access delays remain a major barrier in SCZ care. Despite national strategies like the NHS Long-Term Plan 2019 and NICE (2015), real-world delivery is hindered by staff shortages, inconsistent referral systems, and fragmented service structures (Adcock, Parkin &amp; Abreu, 2025; Bucci et al., 2016; Spremberg, 2021).</w:t>
      </w:r>
      <w:r w:rsidR="0089098E">
        <w:rPr>
          <w:rFonts w:ascii="Arial" w:hAnsi="Arial" w:cs="Arial"/>
        </w:rPr>
        <w:t xml:space="preserve"> </w:t>
      </w:r>
      <w:r w:rsidRPr="0080083C">
        <w:rPr>
          <w:rFonts w:ascii="Arial" w:hAnsi="Arial" w:cs="Arial"/>
        </w:rPr>
        <w:t>Investment in the mental health workforce is essential, particularly in EIP teams. Services must standardise training in SCZ, CBTp, and culturally sensitive practice to ensure the equitable delivery of NICE-aligned interventions.</w:t>
      </w:r>
    </w:p>
    <w:p w14:paraId="109164DE" w14:textId="4E67C427" w:rsidR="004057D6" w:rsidRPr="0080083C" w:rsidRDefault="0052525E" w:rsidP="00942226">
      <w:pPr>
        <w:rPr>
          <w:rFonts w:ascii="Arial" w:hAnsi="Arial" w:cs="Arial"/>
        </w:rPr>
      </w:pPr>
      <w:r w:rsidRPr="0080083C">
        <w:rPr>
          <w:rFonts w:ascii="Arial" w:hAnsi="Arial" w:cs="Arial"/>
        </w:rPr>
        <w:t>Referral systems also require reform. Many areas lack clarity, leading to delays, disengagement, and missed opportunities for early treatment (Pathan, 2020; Rethink Mental Illness, 2025b). Services should co-design referral routes with service users to improve accessibility and trust.</w:t>
      </w:r>
      <w:r w:rsidR="00BA649F">
        <w:rPr>
          <w:rFonts w:ascii="Arial" w:hAnsi="Arial" w:cs="Arial"/>
        </w:rPr>
        <w:t xml:space="preserve"> </w:t>
      </w:r>
      <w:r w:rsidRPr="0080083C">
        <w:rPr>
          <w:rFonts w:ascii="Arial" w:hAnsi="Arial" w:cs="Arial"/>
        </w:rPr>
        <w:t>Barriers include funding gaps, uneven commissioning, and limited cross-agency coordination. These can be addressed through ring-fenced budgets, national audits of the 4-week access target, and improved integration between</w:t>
      </w:r>
      <w:r w:rsidR="00BD27DE">
        <w:rPr>
          <w:rFonts w:ascii="Arial" w:hAnsi="Arial" w:cs="Arial"/>
        </w:rPr>
        <w:t xml:space="preserve"> </w:t>
      </w:r>
      <w:r w:rsidR="004E36F0" w:rsidRPr="004E36F0">
        <w:rPr>
          <w:rFonts w:ascii="Arial" w:hAnsi="Arial" w:cs="Arial"/>
        </w:rPr>
        <w:t>General Practitioners</w:t>
      </w:r>
      <w:r w:rsidRPr="0080083C">
        <w:rPr>
          <w:rFonts w:ascii="Arial" w:hAnsi="Arial" w:cs="Arial"/>
        </w:rPr>
        <w:t>, EIP, and community services.</w:t>
      </w:r>
    </w:p>
    <w:p w14:paraId="2C2C6E54" w14:textId="3BD2FB99" w:rsidR="00606C8B" w:rsidRPr="004E36F0" w:rsidRDefault="0052525E" w:rsidP="004E36F0">
      <w:pPr>
        <w:rPr>
          <w:rFonts w:ascii="Arial" w:hAnsi="Arial" w:cs="Arial"/>
        </w:rPr>
      </w:pPr>
      <w:r w:rsidRPr="0080083C">
        <w:rPr>
          <w:rFonts w:ascii="Arial" w:hAnsi="Arial" w:cs="Arial"/>
        </w:rPr>
        <w:t xml:space="preserve">This recommendation responds to the core gaps identified in Theme 1 and aligns with NHS goals for earlier, person-centred interventions and improved long-term </w:t>
      </w:r>
      <w:r w:rsidR="007356A7" w:rsidRPr="0080083C">
        <w:rPr>
          <w:rFonts w:ascii="Arial" w:hAnsi="Arial" w:cs="Arial"/>
        </w:rPr>
        <w:t>outcomes.</w:t>
      </w:r>
    </w:p>
    <w:p w14:paraId="438D4DD2" w14:textId="77777777" w:rsidR="00412EC5" w:rsidRDefault="00412EC5" w:rsidP="001052B8">
      <w:pPr>
        <w:jc w:val="left"/>
        <w:rPr>
          <w:rFonts w:ascii="Arial" w:hAnsi="Arial" w:cs="Arial"/>
          <w:b/>
          <w:bCs/>
          <w:i/>
          <w:iCs/>
          <w:sz w:val="28"/>
          <w:szCs w:val="28"/>
        </w:rPr>
      </w:pPr>
    </w:p>
    <w:p w14:paraId="69C702E8" w14:textId="46D1D8F7" w:rsidR="008B473A" w:rsidRPr="00412EC5" w:rsidRDefault="007D5AE6" w:rsidP="00715D55">
      <w:pPr>
        <w:pStyle w:val="Heading3"/>
      </w:pPr>
      <w:bookmarkStart w:id="47" w:name="_Toc204981508"/>
      <w:r w:rsidRPr="00412EC5">
        <w:t>5.2.2</w:t>
      </w:r>
      <w:r w:rsidR="005F0F3B">
        <w:t xml:space="preserve"> </w:t>
      </w:r>
      <w:r w:rsidRPr="00412EC5">
        <w:t>Recommendation</w:t>
      </w:r>
      <w:r w:rsidR="00864B68" w:rsidRPr="00412EC5">
        <w:t>: Cultural and Ethnic Inequality</w:t>
      </w:r>
      <w:bookmarkEnd w:id="47"/>
      <w:r w:rsidR="00864B68" w:rsidRPr="00412EC5">
        <w:br/>
      </w:r>
    </w:p>
    <w:p w14:paraId="3BE63AAB" w14:textId="7B96A4EC" w:rsidR="009E07B4" w:rsidRPr="0080083C" w:rsidRDefault="008B473A" w:rsidP="00942226">
      <w:pPr>
        <w:rPr>
          <w:rFonts w:ascii="Arial" w:hAnsi="Arial" w:cs="Arial"/>
        </w:rPr>
      </w:pPr>
      <w:r w:rsidRPr="0080083C">
        <w:rPr>
          <w:rFonts w:ascii="Arial" w:hAnsi="Arial" w:cs="Arial"/>
        </w:rPr>
        <w:t>To reduce entrenched disparities in SCZ care, NHS services must expand culturally adapted early intervention models (Pathan, 2020; Halvorsrud et al., 2019). This should include mandatory cultural competence training, diversified staffing reflective of local populations, and co-produced care pathways involving ethnic minority service users (Valery &amp; Prouteau, 2020; Bucci et al., 2016).</w:t>
      </w:r>
      <w:r w:rsidR="00BB0D02">
        <w:rPr>
          <w:rFonts w:ascii="Arial" w:hAnsi="Arial" w:cs="Arial"/>
        </w:rPr>
        <w:t xml:space="preserve"> </w:t>
      </w:r>
      <w:r w:rsidRPr="0080083C">
        <w:rPr>
          <w:rFonts w:ascii="Arial" w:hAnsi="Arial" w:cs="Arial"/>
        </w:rPr>
        <w:t>Greater Manchester’s culturally tailored CBTp pilots have demonstrated improved engagement among Black and South Asian communities, supporting the case for national rollout (Williams et al., 2023). Offering translated materials, community liaison roles, and flexible referral options may improve uptake of CBT and family-based therapies (Das-Munshi et al., 2018; NICE, 2015).</w:t>
      </w:r>
      <w:r w:rsidR="00BB0D02">
        <w:rPr>
          <w:rFonts w:ascii="Arial" w:hAnsi="Arial" w:cs="Arial"/>
        </w:rPr>
        <w:t xml:space="preserve"> </w:t>
      </w:r>
      <w:r w:rsidRPr="0080083C">
        <w:rPr>
          <w:rFonts w:ascii="Arial" w:hAnsi="Arial" w:cs="Arial"/>
        </w:rPr>
        <w:t xml:space="preserve">To minimise diagnostic bias, services should re-evaluate assessment tools through an equity lens and conduct routine audits of ethnic disparities in </w:t>
      </w:r>
      <w:r w:rsidRPr="0080083C">
        <w:rPr>
          <w:rFonts w:ascii="Arial" w:hAnsi="Arial" w:cs="Arial"/>
        </w:rPr>
        <w:lastRenderedPageBreak/>
        <w:t xml:space="preserve">outcomes (Halvorsrud et al., 2019; Pathan, 2020). Barriers such as underfunding and low ethnic representation in leadership can be addressed via ring-fenced budgets, cross-sector partnerships, and enforced diversity targets </w:t>
      </w:r>
      <w:r w:rsidR="0028402D">
        <w:rPr>
          <w:rFonts w:ascii="Arial" w:hAnsi="Arial" w:cs="Arial"/>
        </w:rPr>
        <w:t>(GOV.UK,</w:t>
      </w:r>
      <w:r w:rsidRPr="0080083C">
        <w:rPr>
          <w:rFonts w:ascii="Arial" w:hAnsi="Arial" w:cs="Arial"/>
        </w:rPr>
        <w:t>2010; Ngaage &amp; Agius, 2016).</w:t>
      </w:r>
    </w:p>
    <w:p w14:paraId="0E664DDE" w14:textId="1B3CC350" w:rsidR="0083459B" w:rsidRDefault="008B473A" w:rsidP="00942226">
      <w:pPr>
        <w:rPr>
          <w:rFonts w:ascii="Arial" w:hAnsi="Arial" w:cs="Arial"/>
        </w:rPr>
      </w:pPr>
      <w:r w:rsidRPr="0080083C">
        <w:rPr>
          <w:rFonts w:ascii="Arial" w:hAnsi="Arial" w:cs="Arial"/>
        </w:rPr>
        <w:t xml:space="preserve">The Equality Act 2010 and NICE (2015) guidance align with this, </w:t>
      </w:r>
      <w:r w:rsidR="00BB0D02" w:rsidRPr="0080083C">
        <w:rPr>
          <w:rFonts w:ascii="Arial" w:hAnsi="Arial" w:cs="Arial"/>
        </w:rPr>
        <w:t>emphasi</w:t>
      </w:r>
      <w:r w:rsidR="00BB0D02">
        <w:rPr>
          <w:rFonts w:ascii="Arial" w:hAnsi="Arial" w:cs="Arial"/>
        </w:rPr>
        <w:t>s</w:t>
      </w:r>
      <w:r w:rsidR="00BB0D02" w:rsidRPr="0080083C">
        <w:rPr>
          <w:rFonts w:ascii="Arial" w:hAnsi="Arial" w:cs="Arial"/>
        </w:rPr>
        <w:t>ing</w:t>
      </w:r>
      <w:r w:rsidRPr="0080083C">
        <w:rPr>
          <w:rFonts w:ascii="Arial" w:hAnsi="Arial" w:cs="Arial"/>
        </w:rPr>
        <w:t xml:space="preserve"> the necessity of structural reform for achieving equity in SCZ care.</w:t>
      </w:r>
    </w:p>
    <w:p w14:paraId="178375FF" w14:textId="77777777" w:rsidR="0083459B" w:rsidRPr="00715D55" w:rsidRDefault="0083459B" w:rsidP="00715D55">
      <w:pPr>
        <w:pStyle w:val="Heading3"/>
      </w:pPr>
    </w:p>
    <w:p w14:paraId="1A159080" w14:textId="31D84CA2" w:rsidR="004057D6" w:rsidRPr="00715D55" w:rsidRDefault="007D5AE6" w:rsidP="00715D55">
      <w:pPr>
        <w:pStyle w:val="Heading3"/>
      </w:pPr>
      <w:bookmarkStart w:id="48" w:name="_Toc204981509"/>
      <w:r w:rsidRPr="00715D55">
        <w:t>5.2.3 – Recommendation</w:t>
      </w:r>
      <w:r w:rsidR="009E07B4" w:rsidRPr="00715D55">
        <w:t>:</w:t>
      </w:r>
      <w:r w:rsidRPr="00715D55">
        <w:t xml:space="preserve"> </w:t>
      </w:r>
      <w:r w:rsidR="004057D6" w:rsidRPr="00715D55">
        <w:t>Therapeutic Interventions and Community Care</w:t>
      </w:r>
      <w:bookmarkEnd w:id="48"/>
    </w:p>
    <w:p w14:paraId="4DA4416B" w14:textId="77777777" w:rsidR="00C91463" w:rsidRDefault="004057D6" w:rsidP="00942226">
      <w:pPr>
        <w:rPr>
          <w:rFonts w:ascii="Arial" w:hAnsi="Arial" w:cs="Arial"/>
        </w:rPr>
      </w:pPr>
      <w:r w:rsidRPr="0080083C">
        <w:rPr>
          <w:rFonts w:ascii="Arial" w:hAnsi="Arial" w:cs="Arial"/>
        </w:rPr>
        <w:t>To improve outcomes for individuals with SCZ, national policy must prioritise the full integration of therapeutics and community-based care. This includes consistent access to CBT,</w:t>
      </w:r>
      <w:r w:rsidR="00DF52E1" w:rsidRPr="0080083C">
        <w:rPr>
          <w:rFonts w:ascii="Arial" w:hAnsi="Arial" w:cs="Arial"/>
        </w:rPr>
        <w:t xml:space="preserve"> FI</w:t>
      </w:r>
      <w:r w:rsidRPr="0080083C">
        <w:rPr>
          <w:rFonts w:ascii="Arial" w:hAnsi="Arial" w:cs="Arial"/>
        </w:rPr>
        <w:t>, and shared decision-making tools like DIALOG+ (Priebe et al., 2015). These supports should not remain aspirational but be embedded as standard care, regardless of location or background (Bucci et al., 2016; NICE, 2015).</w:t>
      </w:r>
      <w:r w:rsidR="00BB0D02">
        <w:rPr>
          <w:rFonts w:ascii="Arial" w:hAnsi="Arial" w:cs="Arial"/>
        </w:rPr>
        <w:t xml:space="preserve"> </w:t>
      </w:r>
    </w:p>
    <w:p w14:paraId="3A1D43BD" w14:textId="69E6D11A" w:rsidR="004057D6" w:rsidRPr="0080083C" w:rsidRDefault="004057D6" w:rsidP="00E81A82">
      <w:pPr>
        <w:rPr>
          <w:rFonts w:ascii="Arial" w:hAnsi="Arial" w:cs="Arial"/>
        </w:rPr>
      </w:pPr>
      <w:r w:rsidRPr="0080083C">
        <w:rPr>
          <w:rFonts w:ascii="Arial" w:hAnsi="Arial" w:cs="Arial"/>
        </w:rPr>
        <w:t>Tailoring care to patient needs, including cultural adaptation, improves adherence and engagement (Pathan, 2020). Local implementation teams should co-produce care plans with service users, and ring-fenced funding must address staff training gaps and referral inconsistencies (Morrison et al., 2018; Bucci et al., 2016).</w:t>
      </w:r>
      <w:r w:rsidR="00C91463">
        <w:rPr>
          <w:rFonts w:ascii="Arial" w:hAnsi="Arial" w:cs="Arial"/>
        </w:rPr>
        <w:t xml:space="preserve"> </w:t>
      </w:r>
      <w:r w:rsidRPr="0080083C">
        <w:rPr>
          <w:rFonts w:ascii="Arial" w:hAnsi="Arial" w:cs="Arial"/>
        </w:rPr>
        <w:t>Though pharmacological treatment remains central, overreliance on SGAs without psychosocial support limits recovery (Barnes et al., 2019). National audits should monitor equitable access to psychological therapies and enforce NICE compliance across trusts.</w:t>
      </w:r>
    </w:p>
    <w:p w14:paraId="0FBC8B25" w14:textId="77777777" w:rsidR="004057D6" w:rsidRPr="0080083C" w:rsidRDefault="004057D6" w:rsidP="00E81A82">
      <w:pPr>
        <w:rPr>
          <w:rFonts w:ascii="Arial" w:hAnsi="Arial" w:cs="Arial"/>
        </w:rPr>
      </w:pPr>
      <w:r w:rsidRPr="0080083C">
        <w:rPr>
          <w:rFonts w:ascii="Arial" w:hAnsi="Arial" w:cs="Arial"/>
        </w:rPr>
        <w:t>Barriers such as staffing shortages and inconsistent delivery can be addressed through integrated commissioning and accountability mechanisms. Embedding this model ensures SCZ treatment is not only clinically sound but also holistic, person-centred, and sustainable.</w:t>
      </w:r>
    </w:p>
    <w:p w14:paraId="57D038B2" w14:textId="77777777" w:rsidR="00F9282E" w:rsidRDefault="00F9282E" w:rsidP="0023048C">
      <w:pPr>
        <w:pStyle w:val="NormalWeb"/>
        <w:spacing w:before="0" w:beforeAutospacing="0" w:after="240" w:afterAutospacing="0" w:line="360" w:lineRule="auto"/>
        <w:rPr>
          <w:rFonts w:ascii="Arial" w:hAnsi="Arial" w:cs="Arial"/>
          <w:b/>
          <w:bCs/>
          <w:i/>
          <w:iCs/>
          <w:sz w:val="28"/>
          <w:szCs w:val="28"/>
        </w:rPr>
      </w:pPr>
    </w:p>
    <w:p w14:paraId="3C172BD3" w14:textId="77777777" w:rsidR="001B0019" w:rsidRDefault="001B0019" w:rsidP="0023048C">
      <w:pPr>
        <w:pStyle w:val="NormalWeb"/>
        <w:spacing w:before="0" w:beforeAutospacing="0" w:after="240" w:afterAutospacing="0" w:line="360" w:lineRule="auto"/>
        <w:rPr>
          <w:rFonts w:ascii="Arial" w:hAnsi="Arial" w:cs="Arial"/>
          <w:b/>
          <w:bCs/>
          <w:i/>
          <w:iCs/>
          <w:sz w:val="28"/>
          <w:szCs w:val="28"/>
        </w:rPr>
      </w:pPr>
    </w:p>
    <w:p w14:paraId="6E80770D" w14:textId="77777777" w:rsidR="001B0019" w:rsidRDefault="001B0019" w:rsidP="0023048C">
      <w:pPr>
        <w:pStyle w:val="NormalWeb"/>
        <w:spacing w:before="0" w:beforeAutospacing="0" w:after="240" w:afterAutospacing="0" w:line="360" w:lineRule="auto"/>
        <w:rPr>
          <w:rFonts w:ascii="Arial" w:hAnsi="Arial" w:cs="Arial"/>
          <w:b/>
          <w:bCs/>
          <w:i/>
          <w:iCs/>
          <w:sz w:val="28"/>
          <w:szCs w:val="28"/>
        </w:rPr>
      </w:pPr>
    </w:p>
    <w:p w14:paraId="1F17903A" w14:textId="77777777" w:rsidR="001B0019" w:rsidRDefault="001B0019" w:rsidP="0023048C">
      <w:pPr>
        <w:pStyle w:val="NormalWeb"/>
        <w:spacing w:before="0" w:beforeAutospacing="0" w:after="240" w:afterAutospacing="0" w:line="360" w:lineRule="auto"/>
        <w:rPr>
          <w:rFonts w:ascii="Arial" w:hAnsi="Arial" w:cs="Arial"/>
          <w:b/>
          <w:bCs/>
          <w:i/>
          <w:iCs/>
          <w:sz w:val="28"/>
          <w:szCs w:val="28"/>
        </w:rPr>
      </w:pPr>
    </w:p>
    <w:p w14:paraId="12CD522E" w14:textId="77777777" w:rsidR="00E81A82" w:rsidRDefault="00E81A82" w:rsidP="00FD0175">
      <w:pPr>
        <w:pStyle w:val="Heading1"/>
      </w:pPr>
    </w:p>
    <w:p w14:paraId="39DB4DD9" w14:textId="77777777" w:rsidR="00C91463" w:rsidRDefault="00C91463" w:rsidP="00FD0175">
      <w:pPr>
        <w:pStyle w:val="Heading1"/>
      </w:pPr>
    </w:p>
    <w:p w14:paraId="7DA13E89" w14:textId="77777777" w:rsidR="00C91463" w:rsidRDefault="00C91463" w:rsidP="00FD0175">
      <w:pPr>
        <w:pStyle w:val="Heading1"/>
      </w:pPr>
    </w:p>
    <w:p w14:paraId="0D781278" w14:textId="73680B3A" w:rsidR="003D05B6" w:rsidRPr="00FD0175" w:rsidRDefault="0023048C" w:rsidP="00FD0175">
      <w:pPr>
        <w:pStyle w:val="Heading1"/>
      </w:pPr>
      <w:bookmarkStart w:id="49" w:name="_Toc204981510"/>
      <w:r w:rsidRPr="00FD0175">
        <w:lastRenderedPageBreak/>
        <w:t>References</w:t>
      </w:r>
      <w:bookmarkEnd w:id="49"/>
      <w:r w:rsidRPr="00FD0175">
        <w:t xml:space="preserve"> </w:t>
      </w:r>
    </w:p>
    <w:p w14:paraId="41EE705E" w14:textId="77777777" w:rsidR="00342517" w:rsidRPr="00F57CA5" w:rsidRDefault="00342517" w:rsidP="00F57CA5">
      <w:pPr>
        <w:pStyle w:val="Heading1"/>
        <w:spacing w:line="360" w:lineRule="auto"/>
        <w:rPr>
          <w:sz w:val="22"/>
          <w:szCs w:val="22"/>
        </w:rPr>
      </w:pPr>
    </w:p>
    <w:p w14:paraId="73598FF3" w14:textId="77777777" w:rsidR="00342517" w:rsidRPr="00F57CA5" w:rsidRDefault="00342517" w:rsidP="00F57CA5">
      <w:pPr>
        <w:pStyle w:val="NormalWeb"/>
        <w:spacing w:before="0" w:beforeAutospacing="0" w:after="240" w:afterAutospacing="0" w:line="360" w:lineRule="auto"/>
        <w:rPr>
          <w:rFonts w:ascii="Arial" w:hAnsi="Arial" w:cs="Arial"/>
          <w:color w:val="2809E5"/>
          <w:sz w:val="22"/>
          <w:szCs w:val="22"/>
        </w:rPr>
      </w:pPr>
      <w:r w:rsidRPr="00F57CA5">
        <w:rPr>
          <w:rFonts w:ascii="Arial" w:hAnsi="Arial" w:cs="Arial"/>
          <w:sz w:val="22"/>
          <w:szCs w:val="22"/>
        </w:rPr>
        <w:t xml:space="preserve">Abrahamson, D. (1993) ‘Institutionalisation and the Long-Term Course of Schizophrenia’. </w:t>
      </w:r>
      <w:r w:rsidRPr="00F57CA5">
        <w:rPr>
          <w:rFonts w:ascii="Arial" w:hAnsi="Arial" w:cs="Arial"/>
          <w:i/>
          <w:iCs/>
          <w:sz w:val="22"/>
          <w:szCs w:val="22"/>
        </w:rPr>
        <w:t>British Journal of Psychiatry</w:t>
      </w:r>
      <w:r w:rsidRPr="00F57CA5">
        <w:rPr>
          <w:rFonts w:ascii="Arial" w:hAnsi="Arial" w:cs="Arial"/>
          <w:sz w:val="22"/>
          <w:szCs w:val="22"/>
        </w:rPr>
        <w:t xml:space="preserve">, 162(4), pp.533–538. Available at:  </w:t>
      </w:r>
      <w:hyperlink r:id="rId17" w:history="1">
        <w:r w:rsidRPr="00F57CA5">
          <w:rPr>
            <w:rStyle w:val="Hyperlink"/>
            <w:rFonts w:ascii="Arial" w:hAnsi="Arial" w:cs="Arial"/>
            <w:color w:val="2809E5"/>
            <w:sz w:val="22"/>
            <w:szCs w:val="22"/>
          </w:rPr>
          <w:t>https://doi.org/10.1192/bjp.162.4.533</w:t>
        </w:r>
      </w:hyperlink>
      <w:r w:rsidRPr="00F57CA5">
        <w:rPr>
          <w:rFonts w:ascii="Arial" w:hAnsi="Arial" w:cs="Arial"/>
          <w:color w:val="2809E5"/>
          <w:sz w:val="22"/>
          <w:szCs w:val="22"/>
        </w:rPr>
        <w:t>.</w:t>
      </w:r>
    </w:p>
    <w:p w14:paraId="4DF45A42"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ACAS (2025) </w:t>
      </w:r>
      <w:r w:rsidRPr="00F57CA5">
        <w:rPr>
          <w:rFonts w:ascii="Arial" w:hAnsi="Arial" w:cs="Arial"/>
          <w:i/>
          <w:iCs/>
          <w:sz w:val="22"/>
          <w:szCs w:val="22"/>
        </w:rPr>
        <w:t>Discrimination and the Law</w:t>
      </w:r>
      <w:r w:rsidRPr="00F57CA5">
        <w:rPr>
          <w:rFonts w:ascii="Arial" w:hAnsi="Arial" w:cs="Arial"/>
          <w:sz w:val="22"/>
          <w:szCs w:val="22"/>
        </w:rPr>
        <w:t xml:space="preserve">. Available at: </w:t>
      </w:r>
      <w:hyperlink r:id="rId18" w:history="1">
        <w:r w:rsidRPr="00F57CA5">
          <w:rPr>
            <w:rStyle w:val="Hyperlink"/>
            <w:rFonts w:ascii="Arial" w:hAnsi="Arial" w:cs="Arial"/>
            <w:color w:val="2809E5"/>
            <w:sz w:val="22"/>
            <w:szCs w:val="22"/>
          </w:rPr>
          <w:t>https://www.acas.org.uk/discrimination-and-the-law</w:t>
        </w:r>
      </w:hyperlink>
      <w:r w:rsidRPr="00F57CA5">
        <w:rPr>
          <w:rFonts w:ascii="Arial" w:hAnsi="Arial" w:cs="Arial"/>
          <w:color w:val="2809E5"/>
          <w:sz w:val="22"/>
          <w:szCs w:val="22"/>
        </w:rPr>
        <w:t>.</w:t>
      </w:r>
      <w:r w:rsidRPr="00F57CA5">
        <w:rPr>
          <w:rFonts w:ascii="Arial" w:hAnsi="Arial" w:cs="Arial"/>
          <w:sz w:val="22"/>
          <w:szCs w:val="22"/>
        </w:rPr>
        <w:t xml:space="preserve">(Accessed: 20 January 2025).  </w:t>
      </w:r>
    </w:p>
    <w:p w14:paraId="32376EEB"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Adcock, A., Parkin, E. and Abreu, L. (2025) </w:t>
      </w:r>
      <w:r w:rsidRPr="00F57CA5">
        <w:rPr>
          <w:rFonts w:ascii="Arial" w:hAnsi="Arial" w:cs="Arial"/>
          <w:i/>
          <w:iCs/>
          <w:sz w:val="22"/>
          <w:szCs w:val="22"/>
        </w:rPr>
        <w:t>Report from the Independent Mental Health Taskforce to the NHS in England</w:t>
      </w:r>
      <w:r w:rsidRPr="00F57CA5">
        <w:rPr>
          <w:rFonts w:ascii="Arial" w:hAnsi="Arial" w:cs="Arial"/>
          <w:sz w:val="22"/>
          <w:szCs w:val="22"/>
        </w:rPr>
        <w:t xml:space="preserve">. Available at: </w:t>
      </w:r>
      <w:hyperlink r:id="rId19" w:history="1">
        <w:r w:rsidRPr="00F57CA5">
          <w:rPr>
            <w:rStyle w:val="Hyperlink"/>
            <w:rFonts w:ascii="Arial" w:hAnsi="Arial" w:cs="Arial"/>
            <w:color w:val="2809E5"/>
            <w:sz w:val="22"/>
            <w:szCs w:val="22"/>
          </w:rPr>
          <w:t>https://commonslibrary.parliament.uk/research-briefings/cdp-2016-0075/?utm</w:t>
        </w:r>
      </w:hyperlink>
      <w:r w:rsidRPr="00F57CA5">
        <w:rPr>
          <w:rFonts w:ascii="Arial" w:hAnsi="Arial" w:cs="Arial"/>
          <w:color w:val="2809E5"/>
          <w:sz w:val="22"/>
          <w:szCs w:val="22"/>
        </w:rPr>
        <w:t>.</w:t>
      </w:r>
      <w:r w:rsidRPr="00F57CA5">
        <w:rPr>
          <w:rFonts w:ascii="Arial" w:hAnsi="Arial" w:cs="Arial"/>
          <w:sz w:val="22"/>
          <w:szCs w:val="22"/>
        </w:rPr>
        <w:t xml:space="preserve">(Accessed: 20 July 2025).  </w:t>
      </w:r>
    </w:p>
    <w:p w14:paraId="13A6F827" w14:textId="77777777" w:rsidR="00342517" w:rsidRPr="00F57CA5" w:rsidRDefault="00342517" w:rsidP="00F57CA5">
      <w:pPr>
        <w:pStyle w:val="NormalWeb"/>
        <w:spacing w:line="360" w:lineRule="auto"/>
        <w:rPr>
          <w:rFonts w:ascii="Arial" w:hAnsi="Arial" w:cs="Arial"/>
          <w:color w:val="2809E5"/>
          <w:sz w:val="22"/>
          <w:szCs w:val="22"/>
        </w:rPr>
      </w:pPr>
      <w:r w:rsidRPr="00F57CA5">
        <w:rPr>
          <w:rFonts w:ascii="Arial" w:hAnsi="Arial" w:cs="Arial"/>
          <w:sz w:val="22"/>
          <w:szCs w:val="22"/>
        </w:rPr>
        <w:t xml:space="preserve">Adil, M., Atiq, I. and Ellahi, A. (2022) ‘Stigmatisation of Schizophrenic Individuals and Its Correlation to the Fear of Violent Offence. Should We Be concerned’? </w:t>
      </w:r>
      <w:r w:rsidRPr="00F57CA5">
        <w:rPr>
          <w:rFonts w:ascii="Arial" w:hAnsi="Arial" w:cs="Arial"/>
          <w:i/>
          <w:iCs/>
          <w:sz w:val="22"/>
          <w:szCs w:val="22"/>
        </w:rPr>
        <w:t>Annals of Medicine and Surgery</w:t>
      </w:r>
      <w:r w:rsidRPr="00F57CA5">
        <w:rPr>
          <w:rFonts w:ascii="Arial" w:hAnsi="Arial" w:cs="Arial"/>
          <w:sz w:val="22"/>
          <w:szCs w:val="22"/>
        </w:rPr>
        <w:t xml:space="preserve">, 82(104666). Available at: </w:t>
      </w:r>
      <w:hyperlink r:id="rId20" w:history="1">
        <w:r w:rsidRPr="00F57CA5">
          <w:rPr>
            <w:rStyle w:val="Hyperlink"/>
            <w:rFonts w:ascii="Arial" w:hAnsi="Arial" w:cs="Arial"/>
            <w:color w:val="2809E5"/>
            <w:sz w:val="22"/>
            <w:szCs w:val="22"/>
          </w:rPr>
          <w:t>https://doi.org/10.1016/j.amsu.2022.104666</w:t>
        </w:r>
      </w:hyperlink>
      <w:r w:rsidRPr="00F57CA5">
        <w:rPr>
          <w:rFonts w:ascii="Arial" w:hAnsi="Arial" w:cs="Arial"/>
          <w:color w:val="2809E5"/>
          <w:sz w:val="22"/>
          <w:szCs w:val="22"/>
        </w:rPr>
        <w:t>.</w:t>
      </w:r>
    </w:p>
    <w:p w14:paraId="078AAE4A"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American Psychiatric Association. (2015) </w:t>
      </w:r>
      <w:r w:rsidRPr="00F57CA5">
        <w:rPr>
          <w:rFonts w:ascii="Arial" w:hAnsi="Arial" w:cs="Arial"/>
          <w:i/>
          <w:iCs/>
          <w:sz w:val="22"/>
          <w:szCs w:val="22"/>
        </w:rPr>
        <w:t>Clinical Practice Guidelines</w:t>
      </w:r>
      <w:r w:rsidRPr="00F57CA5">
        <w:rPr>
          <w:rFonts w:ascii="Arial" w:hAnsi="Arial" w:cs="Arial"/>
          <w:sz w:val="22"/>
          <w:szCs w:val="22"/>
        </w:rPr>
        <w:t xml:space="preserve">. Available at: </w:t>
      </w:r>
      <w:hyperlink r:id="rId21" w:history="1">
        <w:r w:rsidRPr="00F57CA5">
          <w:rPr>
            <w:rStyle w:val="Hyperlink"/>
            <w:rFonts w:ascii="Arial" w:hAnsi="Arial" w:cs="Arial"/>
            <w:color w:val="2809E5"/>
            <w:sz w:val="22"/>
            <w:szCs w:val="22"/>
          </w:rPr>
          <w:t>https://www.psychiatry.org/psychiatrists/practice/clinical-practice-guidelines</w:t>
        </w:r>
      </w:hyperlink>
      <w:r w:rsidRPr="00F57CA5">
        <w:rPr>
          <w:rFonts w:ascii="Arial" w:hAnsi="Arial" w:cs="Arial"/>
          <w:color w:val="2809E5"/>
          <w:sz w:val="22"/>
          <w:szCs w:val="22"/>
        </w:rPr>
        <w:t>.</w:t>
      </w:r>
      <w:r w:rsidRPr="00F57CA5">
        <w:rPr>
          <w:rFonts w:ascii="Arial" w:hAnsi="Arial" w:cs="Arial"/>
          <w:sz w:val="22"/>
          <w:szCs w:val="22"/>
        </w:rPr>
        <w:t xml:space="preserve">(Accessed: 7 July 2025).  </w:t>
      </w:r>
    </w:p>
    <w:p w14:paraId="6E4CF03F" w14:textId="77777777" w:rsidR="00342517" w:rsidRPr="00F57CA5" w:rsidRDefault="00342517" w:rsidP="00F57CA5">
      <w:pPr>
        <w:pStyle w:val="NormalWeb"/>
        <w:spacing w:before="0" w:beforeAutospacing="0" w:after="240" w:afterAutospacing="0" w:line="360" w:lineRule="auto"/>
        <w:rPr>
          <w:rFonts w:ascii="Arial" w:hAnsi="Arial" w:cs="Arial"/>
          <w:color w:val="2809E5"/>
          <w:sz w:val="22"/>
          <w:szCs w:val="22"/>
        </w:rPr>
      </w:pPr>
      <w:r w:rsidRPr="00F57CA5">
        <w:rPr>
          <w:rFonts w:ascii="Arial" w:hAnsi="Arial" w:cs="Arial"/>
          <w:sz w:val="22"/>
          <w:szCs w:val="22"/>
        </w:rPr>
        <w:t xml:space="preserve">Anderko, L., Robertson, J.F. and Uscian, M.M. (2000) ‘The Effectiveness of a Rural Nursing Centre in Improving Health Care Access in a Three-County Area’. </w:t>
      </w:r>
      <w:r w:rsidRPr="00F57CA5">
        <w:rPr>
          <w:rFonts w:ascii="Arial" w:hAnsi="Arial" w:cs="Arial"/>
          <w:i/>
          <w:iCs/>
          <w:sz w:val="22"/>
          <w:szCs w:val="22"/>
        </w:rPr>
        <w:t>The Journal of Rural Health</w:t>
      </w:r>
      <w:r w:rsidRPr="00F57CA5">
        <w:rPr>
          <w:rFonts w:ascii="Arial" w:hAnsi="Arial" w:cs="Arial"/>
          <w:sz w:val="22"/>
          <w:szCs w:val="22"/>
        </w:rPr>
        <w:t>, 16(2), pp.177–184. Available at</w:t>
      </w:r>
      <w:r w:rsidRPr="00F57CA5">
        <w:rPr>
          <w:rFonts w:ascii="Arial" w:hAnsi="Arial" w:cs="Arial"/>
          <w:color w:val="2809E5"/>
          <w:sz w:val="22"/>
          <w:szCs w:val="22"/>
        </w:rPr>
        <w:t xml:space="preserve">:  </w:t>
      </w:r>
      <w:hyperlink r:id="rId22" w:history="1">
        <w:r w:rsidRPr="00F57CA5">
          <w:rPr>
            <w:rStyle w:val="Hyperlink"/>
            <w:rFonts w:ascii="Arial" w:hAnsi="Arial" w:cs="Arial"/>
            <w:color w:val="2809E5"/>
            <w:sz w:val="22"/>
            <w:szCs w:val="22"/>
          </w:rPr>
          <w:t>https://doi.org/10.1111/j.1748-0361.2000.tb00452.x</w:t>
        </w:r>
      </w:hyperlink>
      <w:r w:rsidRPr="00F57CA5">
        <w:rPr>
          <w:rFonts w:ascii="Arial" w:hAnsi="Arial" w:cs="Arial"/>
          <w:color w:val="2809E5"/>
          <w:sz w:val="22"/>
          <w:szCs w:val="22"/>
        </w:rPr>
        <w:t>.</w:t>
      </w:r>
    </w:p>
    <w:p w14:paraId="18A996E7"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Appel, J.M. (2025) ‘Ethical Considerations Related to Stigma in Mental Health Aspects of Treating Substance Use Disorders’. </w:t>
      </w:r>
      <w:r w:rsidRPr="00F57CA5">
        <w:rPr>
          <w:rFonts w:ascii="Arial" w:hAnsi="Arial" w:cs="Arial"/>
          <w:i/>
          <w:iCs/>
          <w:sz w:val="22"/>
          <w:szCs w:val="22"/>
        </w:rPr>
        <w:t>PubMed</w:t>
      </w:r>
      <w:r w:rsidRPr="00F57CA5">
        <w:rPr>
          <w:rFonts w:ascii="Arial" w:hAnsi="Arial" w:cs="Arial"/>
          <w:sz w:val="22"/>
          <w:szCs w:val="22"/>
        </w:rPr>
        <w:t xml:space="preserve">, 23(1), pp.61–65. Available at:   </w:t>
      </w:r>
      <w:hyperlink r:id="rId23" w:history="1">
        <w:r w:rsidRPr="00F57CA5">
          <w:rPr>
            <w:rStyle w:val="Hyperlink"/>
            <w:rFonts w:ascii="Arial" w:hAnsi="Arial" w:cs="Arial"/>
            <w:color w:val="2809E5"/>
            <w:sz w:val="22"/>
            <w:szCs w:val="22"/>
          </w:rPr>
          <w:t>https://doi.org/10.1176/appi.focus.20240033</w:t>
        </w:r>
      </w:hyperlink>
      <w:r w:rsidRPr="00F57CA5">
        <w:rPr>
          <w:rFonts w:ascii="Arial" w:hAnsi="Arial" w:cs="Arial"/>
          <w:color w:val="2809E5"/>
          <w:sz w:val="22"/>
          <w:szCs w:val="22"/>
        </w:rPr>
        <w:t>.</w:t>
      </w:r>
    </w:p>
    <w:p w14:paraId="3D0ED2B1"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Arora, S.-J. and Rabe, M. (2023) ‘Approach to Reference Models for Building Performance Simulation: Establishing Common Understanding’. </w:t>
      </w:r>
      <w:r w:rsidRPr="00F57CA5">
        <w:rPr>
          <w:rFonts w:ascii="Arial" w:hAnsi="Arial" w:cs="Arial"/>
          <w:i/>
          <w:iCs/>
          <w:sz w:val="22"/>
          <w:szCs w:val="22"/>
        </w:rPr>
        <w:t>SN Computer Science</w:t>
      </w:r>
      <w:r w:rsidRPr="00F57CA5">
        <w:rPr>
          <w:rFonts w:ascii="Arial" w:hAnsi="Arial" w:cs="Arial"/>
          <w:sz w:val="22"/>
          <w:szCs w:val="22"/>
        </w:rPr>
        <w:t xml:space="preserve">, 4(3). Available at:   </w:t>
      </w:r>
      <w:hyperlink r:id="rId24" w:history="1">
        <w:r w:rsidRPr="00F57CA5">
          <w:rPr>
            <w:rStyle w:val="Hyperlink"/>
            <w:rFonts w:ascii="Arial" w:hAnsi="Arial" w:cs="Arial"/>
            <w:color w:val="2809E5"/>
            <w:sz w:val="22"/>
            <w:szCs w:val="22"/>
          </w:rPr>
          <w:t>https://doi.org/10.1007/s42979-023-01696-2</w:t>
        </w:r>
      </w:hyperlink>
      <w:r w:rsidRPr="00F57CA5">
        <w:rPr>
          <w:rFonts w:ascii="Arial" w:hAnsi="Arial" w:cs="Arial"/>
          <w:color w:val="2809E5"/>
          <w:sz w:val="22"/>
          <w:szCs w:val="22"/>
        </w:rPr>
        <w:t>.</w:t>
      </w:r>
    </w:p>
    <w:p w14:paraId="7CB5A1AB" w14:textId="77777777" w:rsidR="00342517" w:rsidRPr="00F57CA5" w:rsidRDefault="00342517" w:rsidP="00F57CA5">
      <w:pPr>
        <w:pStyle w:val="NormalWeb"/>
        <w:spacing w:before="0" w:beforeAutospacing="0" w:after="240" w:afterAutospacing="0" w:line="360" w:lineRule="auto"/>
        <w:rPr>
          <w:rFonts w:ascii="Arial" w:hAnsi="Arial" w:cs="Arial"/>
          <w:color w:val="2809E5"/>
          <w:sz w:val="22"/>
          <w:szCs w:val="22"/>
        </w:rPr>
      </w:pPr>
      <w:r w:rsidRPr="00F57CA5">
        <w:rPr>
          <w:rFonts w:ascii="Arial" w:hAnsi="Arial" w:cs="Arial"/>
          <w:sz w:val="22"/>
          <w:szCs w:val="22"/>
        </w:rPr>
        <w:t xml:space="preserve">Asher, L., Patel, V. and De Silva, M.J. (2017) ‘Community-Based Psychosocial Interventions for People with Schizophrenia in Low and Middle-Income Countries: Systematic Review and Meta-Analysis. </w:t>
      </w:r>
      <w:r w:rsidRPr="00F57CA5">
        <w:rPr>
          <w:rFonts w:ascii="Arial" w:hAnsi="Arial" w:cs="Arial"/>
          <w:i/>
          <w:iCs/>
          <w:sz w:val="22"/>
          <w:szCs w:val="22"/>
        </w:rPr>
        <w:t>BMC Psychiatry</w:t>
      </w:r>
      <w:r w:rsidRPr="00F57CA5">
        <w:rPr>
          <w:rFonts w:ascii="Arial" w:hAnsi="Arial" w:cs="Arial"/>
          <w:sz w:val="22"/>
          <w:szCs w:val="22"/>
        </w:rPr>
        <w:t xml:space="preserve">, 17(1). Available at:  </w:t>
      </w:r>
      <w:hyperlink r:id="rId25" w:history="1">
        <w:r w:rsidRPr="00F57CA5">
          <w:rPr>
            <w:rStyle w:val="Hyperlink"/>
            <w:rFonts w:ascii="Arial" w:hAnsi="Arial" w:cs="Arial"/>
            <w:color w:val="2809E5"/>
            <w:sz w:val="22"/>
            <w:szCs w:val="22"/>
          </w:rPr>
          <w:t>https://doi.org/10.1186/s12888-017-1516-7</w:t>
        </w:r>
      </w:hyperlink>
      <w:r w:rsidRPr="00F57CA5">
        <w:rPr>
          <w:rFonts w:ascii="Arial" w:hAnsi="Arial" w:cs="Arial"/>
          <w:color w:val="2809E5"/>
          <w:sz w:val="22"/>
          <w:szCs w:val="22"/>
        </w:rPr>
        <w:t>.</w:t>
      </w:r>
    </w:p>
    <w:p w14:paraId="5F08275D"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lastRenderedPageBreak/>
        <w:t xml:space="preserve">Aveyard, H. (2018) </w:t>
      </w:r>
      <w:r w:rsidRPr="00F57CA5">
        <w:rPr>
          <w:rFonts w:ascii="Arial" w:hAnsi="Arial" w:cs="Arial"/>
          <w:i/>
          <w:iCs/>
          <w:sz w:val="22"/>
          <w:szCs w:val="22"/>
        </w:rPr>
        <w:t>Google Books</w:t>
      </w:r>
      <w:r w:rsidRPr="00F57CA5">
        <w:rPr>
          <w:rFonts w:ascii="Arial" w:hAnsi="Arial" w:cs="Arial"/>
          <w:sz w:val="22"/>
          <w:szCs w:val="22"/>
        </w:rPr>
        <w:t xml:space="preserve">. Available at: </w:t>
      </w:r>
      <w:hyperlink r:id="rId26" w:history="1">
        <w:r w:rsidRPr="00F57CA5">
          <w:rPr>
            <w:rStyle w:val="Hyperlink"/>
            <w:rFonts w:ascii="Arial" w:hAnsi="Arial" w:cs="Arial"/>
            <w:color w:val="2809E5"/>
            <w:sz w:val="22"/>
            <w:szCs w:val="22"/>
          </w:rPr>
          <w:t>https://www.google.co.uk/books/edition/Ebook_Doing_a_Literature_Review_in_Healt/65W1EAAAQBAJ?hl=en&amp;gbpv=1&amp;dq=Aveyard</w:t>
        </w:r>
      </w:hyperlink>
      <w:r w:rsidRPr="00F57CA5">
        <w:rPr>
          <w:rFonts w:ascii="Arial" w:hAnsi="Arial" w:cs="Arial"/>
          <w:color w:val="2809E5"/>
          <w:sz w:val="22"/>
          <w:szCs w:val="22"/>
        </w:rPr>
        <w:t>.(</w:t>
      </w:r>
      <w:r w:rsidRPr="00F57CA5">
        <w:rPr>
          <w:rFonts w:ascii="Arial" w:hAnsi="Arial" w:cs="Arial"/>
          <w:sz w:val="22"/>
          <w:szCs w:val="22"/>
        </w:rPr>
        <w:t>Accessed: 23 July 2025).</w:t>
      </w:r>
    </w:p>
    <w:p w14:paraId="56DAF992" w14:textId="77777777" w:rsidR="00342517" w:rsidRPr="00F57CA5" w:rsidRDefault="00342517" w:rsidP="00F57CA5">
      <w:pPr>
        <w:pStyle w:val="NormalWeb"/>
        <w:spacing w:line="360" w:lineRule="auto"/>
        <w:rPr>
          <w:rFonts w:ascii="Arial" w:hAnsi="Arial" w:cs="Arial"/>
          <w:color w:val="2809E5"/>
          <w:sz w:val="22"/>
          <w:szCs w:val="22"/>
        </w:rPr>
      </w:pPr>
      <w:r w:rsidRPr="00F57CA5">
        <w:rPr>
          <w:rFonts w:ascii="Arial" w:hAnsi="Arial" w:cs="Arial"/>
          <w:sz w:val="22"/>
          <w:szCs w:val="22"/>
        </w:rPr>
        <w:t xml:space="preserve">Ban, T.A. (2007)’ Fifty years Chlorpromazine: A Historical Perspective’. </w:t>
      </w:r>
      <w:r w:rsidRPr="00F57CA5">
        <w:rPr>
          <w:rFonts w:ascii="Arial" w:hAnsi="Arial" w:cs="Arial"/>
          <w:i/>
          <w:iCs/>
          <w:sz w:val="22"/>
          <w:szCs w:val="22"/>
        </w:rPr>
        <w:t>Neuropsychiatric Disease and Treatment</w:t>
      </w:r>
      <w:r w:rsidRPr="00F57CA5">
        <w:rPr>
          <w:rFonts w:ascii="Arial" w:hAnsi="Arial" w:cs="Arial"/>
          <w:sz w:val="22"/>
          <w:szCs w:val="22"/>
        </w:rPr>
        <w:t xml:space="preserve">, 3(4), pp.495–500. Available at: </w:t>
      </w:r>
      <w:hyperlink r:id="rId27" w:history="1">
        <w:r w:rsidRPr="00F57CA5">
          <w:rPr>
            <w:rStyle w:val="Hyperlink"/>
            <w:rFonts w:ascii="Arial" w:hAnsi="Arial" w:cs="Arial"/>
            <w:color w:val="2809E5"/>
            <w:sz w:val="22"/>
            <w:szCs w:val="22"/>
          </w:rPr>
          <w:t>https://pubmed.ncbi.nlm.nih.gov/19300578/</w:t>
        </w:r>
      </w:hyperlink>
      <w:r w:rsidRPr="00F57CA5">
        <w:rPr>
          <w:rFonts w:ascii="Arial" w:hAnsi="Arial" w:cs="Arial"/>
          <w:color w:val="2809E5"/>
          <w:sz w:val="22"/>
          <w:szCs w:val="22"/>
        </w:rPr>
        <w:t>.</w:t>
      </w:r>
    </w:p>
    <w:p w14:paraId="29A52743"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Bansal, N., Karlsen, S., Sashidharan, S.P., Cohen, R., Chew-Graham, C.A. and Malpass, A. (2022) ‘Understanding Ethnic Inequalities in Mental Healthcare in the UK: a meta-ethnography’. </w:t>
      </w:r>
      <w:r w:rsidRPr="00F57CA5">
        <w:rPr>
          <w:rFonts w:ascii="Arial" w:hAnsi="Arial" w:cs="Arial"/>
          <w:i/>
          <w:iCs/>
          <w:sz w:val="22"/>
          <w:szCs w:val="22"/>
        </w:rPr>
        <w:t>PLOS Medicine</w:t>
      </w:r>
      <w:r w:rsidRPr="00F57CA5">
        <w:rPr>
          <w:rFonts w:ascii="Arial" w:hAnsi="Arial" w:cs="Arial"/>
          <w:sz w:val="22"/>
          <w:szCs w:val="22"/>
        </w:rPr>
        <w:t xml:space="preserve">, 19(12), pp.1–36. Available at: </w:t>
      </w:r>
      <w:hyperlink r:id="rId28" w:history="1">
        <w:r w:rsidRPr="00F57CA5">
          <w:rPr>
            <w:rStyle w:val="Hyperlink"/>
            <w:rFonts w:ascii="Arial" w:hAnsi="Arial" w:cs="Arial"/>
            <w:color w:val="2809E5"/>
            <w:sz w:val="22"/>
            <w:szCs w:val="22"/>
          </w:rPr>
          <w:t>https://doi.org/10.1371/journal.pmed.1004139</w:t>
        </w:r>
      </w:hyperlink>
      <w:r w:rsidRPr="00F57CA5">
        <w:rPr>
          <w:rFonts w:ascii="Arial" w:hAnsi="Arial" w:cs="Arial"/>
          <w:color w:val="2809E5"/>
          <w:sz w:val="22"/>
          <w:szCs w:val="22"/>
        </w:rPr>
        <w:t>.</w:t>
      </w:r>
    </w:p>
    <w:p w14:paraId="3FE00B48"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Barnes, T.R., Drake, R., Paton, C., Cooper, S.J., Deakin, B., Ferrier, I.N., Gregory, C.J., Haddad, P.M., Howes, O.D., Jones, I., Joyce, E.M., Lewis, S., Lingford-Hughes, A., MacCabe, J.H., Owens, D.C., Patel, M.X., Sinclair, J.M., Stone, J.M., Talbot, P.S. and Upthegrove, R. (2019). ‘Evidence-Based Guidelines for The Pharmacological Treatment of Schizophrenia: Updated Recommendations from The British Association for Psychopharmacology’. </w:t>
      </w:r>
      <w:r w:rsidRPr="00F57CA5">
        <w:rPr>
          <w:rFonts w:ascii="Arial" w:hAnsi="Arial" w:cs="Arial"/>
          <w:i/>
          <w:iCs/>
          <w:sz w:val="22"/>
          <w:szCs w:val="22"/>
        </w:rPr>
        <w:t>Journal of Psychopharmacology</w:t>
      </w:r>
      <w:r w:rsidRPr="00F57CA5">
        <w:rPr>
          <w:rFonts w:ascii="Arial" w:hAnsi="Arial" w:cs="Arial"/>
          <w:sz w:val="22"/>
          <w:szCs w:val="22"/>
        </w:rPr>
        <w:t xml:space="preserve">,34(1), pp.3–78. Available at:  </w:t>
      </w:r>
      <w:hyperlink r:id="rId29" w:history="1">
        <w:r w:rsidRPr="00F57CA5">
          <w:rPr>
            <w:rStyle w:val="Hyperlink"/>
            <w:rFonts w:ascii="Arial" w:hAnsi="Arial" w:cs="Arial"/>
            <w:color w:val="2809E5"/>
            <w:sz w:val="22"/>
            <w:szCs w:val="22"/>
          </w:rPr>
          <w:t>https://doi.org/10.1177/0269881119889296</w:t>
        </w:r>
      </w:hyperlink>
      <w:r w:rsidRPr="00F57CA5">
        <w:rPr>
          <w:rFonts w:ascii="Arial" w:hAnsi="Arial" w:cs="Arial"/>
          <w:color w:val="2809E5"/>
          <w:sz w:val="22"/>
          <w:szCs w:val="22"/>
        </w:rPr>
        <w:t>.</w:t>
      </w:r>
    </w:p>
    <w:p w14:paraId="111DB01C"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Barnett, P., Mackay, E., Matthews, H., Gate, R., Greenwood, H., Ariyo, K., Bhui, K., Halvorsrud, K., Pilling, S. and Smith, S. (2019) ‘Ethnic Variations in Compulsory Detention under the Mental Health Act: A Systematic Review and Meta-Analysis of International Data’. </w:t>
      </w:r>
      <w:r w:rsidRPr="00F57CA5">
        <w:rPr>
          <w:rFonts w:ascii="Arial" w:hAnsi="Arial" w:cs="Arial"/>
          <w:i/>
          <w:iCs/>
          <w:sz w:val="22"/>
          <w:szCs w:val="22"/>
        </w:rPr>
        <w:t>The Lancet Psychiatry</w:t>
      </w:r>
      <w:r w:rsidRPr="00F57CA5">
        <w:rPr>
          <w:rFonts w:ascii="Arial" w:hAnsi="Arial" w:cs="Arial"/>
          <w:sz w:val="22"/>
          <w:szCs w:val="22"/>
        </w:rPr>
        <w:t xml:space="preserve">, 6(4), pp.305–317. Available at: </w:t>
      </w:r>
      <w:hyperlink r:id="rId30" w:history="1">
        <w:r w:rsidRPr="00F57CA5">
          <w:rPr>
            <w:rStyle w:val="Hyperlink"/>
            <w:rFonts w:ascii="Arial" w:hAnsi="Arial" w:cs="Arial"/>
            <w:color w:val="2809E5"/>
            <w:sz w:val="22"/>
            <w:szCs w:val="22"/>
          </w:rPr>
          <w:t>https://www.thelancet.com/journals/lanpsy/article/PIIS2215-0366(19)30027-6/fulltext</w:t>
        </w:r>
      </w:hyperlink>
      <w:r w:rsidRPr="00F57CA5">
        <w:rPr>
          <w:rFonts w:ascii="Arial" w:hAnsi="Arial" w:cs="Arial"/>
          <w:color w:val="2809E5"/>
          <w:sz w:val="22"/>
          <w:szCs w:val="22"/>
        </w:rPr>
        <w:t>.</w:t>
      </w:r>
    </w:p>
    <w:p w14:paraId="3AF9EBAD"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Bellack, A.S. (2001) ‘Schizophrenia: Specific Topics’. </w:t>
      </w:r>
      <w:r w:rsidRPr="00F57CA5">
        <w:rPr>
          <w:rFonts w:ascii="Arial" w:hAnsi="Arial" w:cs="Arial"/>
          <w:i/>
          <w:iCs/>
          <w:sz w:val="22"/>
          <w:szCs w:val="22"/>
        </w:rPr>
        <w:t>Dialogues in Clinical Neuroscience</w:t>
      </w:r>
      <w:r w:rsidRPr="00F57CA5">
        <w:rPr>
          <w:rFonts w:ascii="Arial" w:hAnsi="Arial" w:cs="Arial"/>
          <w:sz w:val="22"/>
          <w:szCs w:val="22"/>
        </w:rPr>
        <w:t xml:space="preserve">, 3(2). Available at:  </w:t>
      </w:r>
      <w:hyperlink r:id="rId31" w:history="1">
        <w:r w:rsidRPr="00F57CA5">
          <w:rPr>
            <w:rStyle w:val="Hyperlink"/>
            <w:rFonts w:ascii="Arial" w:hAnsi="Arial" w:cs="Arial"/>
            <w:color w:val="2809E5"/>
            <w:sz w:val="22"/>
            <w:szCs w:val="22"/>
          </w:rPr>
          <w:t>https://doi.org/10.31887/dcns.2001.3.2</w:t>
        </w:r>
      </w:hyperlink>
      <w:r w:rsidRPr="00F57CA5">
        <w:rPr>
          <w:rFonts w:ascii="Arial" w:hAnsi="Arial" w:cs="Arial"/>
          <w:color w:val="2809E5"/>
          <w:sz w:val="22"/>
          <w:szCs w:val="22"/>
        </w:rPr>
        <w:t>.</w:t>
      </w:r>
    </w:p>
    <w:p w14:paraId="20D32CF5"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Berendsen, S., Berendse, S., van der Torren, J., Vermeulen, J. and de Haan, L. (2024) ‘Cognitive Behavioural Therapy for The Treatment of Schizophrenia Spectrum Disorders: An Umbrella Review of Meta-Analyses of Randomised Controlled Trials’. </w:t>
      </w:r>
      <w:r w:rsidRPr="00F57CA5">
        <w:rPr>
          <w:rFonts w:ascii="Arial" w:hAnsi="Arial" w:cs="Arial"/>
          <w:i/>
          <w:iCs/>
          <w:sz w:val="22"/>
          <w:szCs w:val="22"/>
        </w:rPr>
        <w:t>Clinical Medicine</w:t>
      </w:r>
      <w:r w:rsidRPr="00F57CA5">
        <w:rPr>
          <w:rFonts w:ascii="Arial" w:hAnsi="Arial" w:cs="Arial"/>
          <w:sz w:val="22"/>
          <w:szCs w:val="22"/>
        </w:rPr>
        <w:t xml:space="preserve">, 67, p.102392. Available at: </w:t>
      </w:r>
      <w:hyperlink r:id="rId32" w:history="1">
        <w:r w:rsidRPr="00F57CA5">
          <w:rPr>
            <w:rStyle w:val="Hyperlink"/>
            <w:rFonts w:ascii="Arial" w:hAnsi="Arial" w:cs="Arial"/>
            <w:color w:val="2809E5"/>
            <w:sz w:val="22"/>
            <w:szCs w:val="22"/>
          </w:rPr>
          <w:t>https://doi.org/10.1016/j.eclinm.2023.102392</w:t>
        </w:r>
      </w:hyperlink>
      <w:r w:rsidRPr="00F57CA5">
        <w:rPr>
          <w:rFonts w:ascii="Arial" w:hAnsi="Arial" w:cs="Arial"/>
          <w:color w:val="2809E5"/>
          <w:sz w:val="22"/>
          <w:szCs w:val="22"/>
        </w:rPr>
        <w:t>.</w:t>
      </w:r>
    </w:p>
    <w:p w14:paraId="60707610"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Berrios, G.E. and Hauser, R. (1988) ‘The early development of Kraepelin’s ideas on classification: a conceptual history’. </w:t>
      </w:r>
      <w:r w:rsidRPr="00F57CA5">
        <w:rPr>
          <w:rFonts w:ascii="Arial" w:hAnsi="Arial" w:cs="Arial"/>
          <w:i/>
          <w:iCs/>
          <w:sz w:val="22"/>
          <w:szCs w:val="22"/>
        </w:rPr>
        <w:t>Psychological Medicine</w:t>
      </w:r>
      <w:r w:rsidRPr="00F57CA5">
        <w:rPr>
          <w:rFonts w:ascii="Arial" w:hAnsi="Arial" w:cs="Arial"/>
          <w:sz w:val="22"/>
          <w:szCs w:val="22"/>
        </w:rPr>
        <w:t xml:space="preserve">, 18(4), pp.813–821. doi: </w:t>
      </w:r>
      <w:hyperlink r:id="rId33" w:history="1">
        <w:r w:rsidRPr="00F57CA5">
          <w:rPr>
            <w:rStyle w:val="Hyperlink"/>
            <w:rFonts w:ascii="Arial" w:hAnsi="Arial" w:cs="Arial"/>
            <w:sz w:val="22"/>
            <w:szCs w:val="22"/>
          </w:rPr>
          <w:t>https://doi.org/10.1017/s0033291700009740</w:t>
        </w:r>
      </w:hyperlink>
      <w:r w:rsidRPr="00F57CA5">
        <w:rPr>
          <w:rFonts w:ascii="Arial" w:hAnsi="Arial" w:cs="Arial"/>
          <w:sz w:val="22"/>
          <w:szCs w:val="22"/>
        </w:rPr>
        <w:t>.</w:t>
      </w:r>
    </w:p>
    <w:p w14:paraId="556E3374" w14:textId="77777777" w:rsidR="00342517" w:rsidRPr="00F57CA5" w:rsidRDefault="00342517" w:rsidP="00F57CA5">
      <w:pPr>
        <w:pStyle w:val="NormalWeb"/>
        <w:spacing w:line="360" w:lineRule="auto"/>
        <w:rPr>
          <w:rFonts w:ascii="Arial" w:hAnsi="Arial" w:cs="Arial"/>
          <w:color w:val="2809E5"/>
          <w:sz w:val="22"/>
          <w:szCs w:val="22"/>
        </w:rPr>
      </w:pPr>
      <w:r w:rsidRPr="00F57CA5">
        <w:rPr>
          <w:rFonts w:ascii="Arial" w:hAnsi="Arial" w:cs="Arial"/>
          <w:sz w:val="22"/>
          <w:szCs w:val="22"/>
        </w:rPr>
        <w:lastRenderedPageBreak/>
        <w:t xml:space="preserve">Berry, Katherine. and Haddock, Gillian. (2008) ‘The Implementation of The NICE Guidelines for Schizophrenia: Barriers to The Implementation of Psychological Interventions and Recommendations for The Future’. </w:t>
      </w:r>
      <w:r w:rsidRPr="00F57CA5">
        <w:rPr>
          <w:rFonts w:ascii="Arial" w:hAnsi="Arial" w:cs="Arial"/>
          <w:i/>
          <w:iCs/>
          <w:sz w:val="22"/>
          <w:szCs w:val="22"/>
        </w:rPr>
        <w:t>Psychology and Psychotherapy: Theory, Research and Practice</w:t>
      </w:r>
      <w:r w:rsidRPr="00F57CA5">
        <w:rPr>
          <w:rFonts w:ascii="Arial" w:hAnsi="Arial" w:cs="Arial"/>
          <w:sz w:val="22"/>
          <w:szCs w:val="22"/>
        </w:rPr>
        <w:t xml:space="preserve">, 81(4), pp.419–436. Available at: </w:t>
      </w:r>
      <w:hyperlink r:id="rId34" w:history="1">
        <w:r w:rsidRPr="00F57CA5">
          <w:rPr>
            <w:rStyle w:val="Hyperlink"/>
            <w:rFonts w:ascii="Arial" w:hAnsi="Arial" w:cs="Arial"/>
            <w:sz w:val="22"/>
            <w:szCs w:val="22"/>
          </w:rPr>
          <w:t>https://doi.org/10.1348/147608308x329540</w:t>
        </w:r>
      </w:hyperlink>
      <w:r w:rsidRPr="00F57CA5">
        <w:rPr>
          <w:rFonts w:ascii="Arial" w:hAnsi="Arial" w:cs="Arial"/>
          <w:color w:val="2809E5"/>
          <w:sz w:val="22"/>
          <w:szCs w:val="22"/>
        </w:rPr>
        <w:t>.</w:t>
      </w:r>
    </w:p>
    <w:p w14:paraId="7FB8DBB4"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Bolton, D. (2023) ‘A Revitalised Biopsychosocial Model: Core Theory, Research Paradigms, and Clinical Implications’. </w:t>
      </w:r>
      <w:r w:rsidRPr="00F57CA5">
        <w:rPr>
          <w:rFonts w:ascii="Arial" w:hAnsi="Arial" w:cs="Arial"/>
          <w:i/>
          <w:iCs/>
          <w:sz w:val="22"/>
          <w:szCs w:val="22"/>
        </w:rPr>
        <w:t>Psychological Medicine</w:t>
      </w:r>
      <w:r w:rsidRPr="00F57CA5">
        <w:rPr>
          <w:rFonts w:ascii="Arial" w:hAnsi="Arial" w:cs="Arial"/>
          <w:sz w:val="22"/>
          <w:szCs w:val="22"/>
        </w:rPr>
        <w:t xml:space="preserve">, 53(16), pp.1–8. Available at:  </w:t>
      </w:r>
      <w:hyperlink r:id="rId35" w:history="1">
        <w:r w:rsidRPr="00F57CA5">
          <w:rPr>
            <w:rStyle w:val="Hyperlink"/>
            <w:rFonts w:ascii="Arial" w:hAnsi="Arial" w:cs="Arial"/>
            <w:color w:val="2809E5"/>
            <w:sz w:val="22"/>
            <w:szCs w:val="22"/>
          </w:rPr>
          <w:t>https://doi.org/10.1017/s0033291723002660</w:t>
        </w:r>
      </w:hyperlink>
      <w:r w:rsidRPr="00F57CA5">
        <w:rPr>
          <w:rFonts w:ascii="Arial" w:hAnsi="Arial" w:cs="Arial"/>
          <w:color w:val="2809E5"/>
          <w:sz w:val="22"/>
          <w:szCs w:val="22"/>
        </w:rPr>
        <w:t>.</w:t>
      </w:r>
    </w:p>
    <w:p w14:paraId="71D17E2D"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Booth, A., Papaioannou, D. and Sutton, A. (2018) </w:t>
      </w:r>
      <w:r w:rsidRPr="00F57CA5">
        <w:rPr>
          <w:rFonts w:ascii="Arial" w:hAnsi="Arial" w:cs="Arial"/>
          <w:i/>
          <w:iCs/>
          <w:sz w:val="22"/>
          <w:szCs w:val="22"/>
        </w:rPr>
        <w:t>Google Books</w:t>
      </w:r>
      <w:r w:rsidRPr="00F57CA5">
        <w:rPr>
          <w:rFonts w:ascii="Arial" w:hAnsi="Arial" w:cs="Arial"/>
          <w:sz w:val="22"/>
          <w:szCs w:val="22"/>
        </w:rPr>
        <w:t xml:space="preserve">. Available at: </w:t>
      </w:r>
      <w:hyperlink r:id="rId36" w:history="1">
        <w:r w:rsidRPr="00F57CA5">
          <w:rPr>
            <w:rStyle w:val="Hyperlink"/>
            <w:rFonts w:ascii="Arial" w:hAnsi="Arial" w:cs="Arial"/>
            <w:color w:val="2809E5"/>
            <w:sz w:val="22"/>
            <w:szCs w:val="22"/>
          </w:rPr>
          <w:t>https://www.google.co.uk/books/edition/Systematic_Approaches_to_a_Successful_Li/A1lvCAAAQBAJ?hl=en</w:t>
        </w:r>
      </w:hyperlink>
      <w:r w:rsidRPr="00F57CA5">
        <w:rPr>
          <w:rFonts w:ascii="Arial" w:hAnsi="Arial" w:cs="Arial"/>
          <w:color w:val="2809E5"/>
          <w:sz w:val="22"/>
          <w:szCs w:val="22"/>
        </w:rPr>
        <w:t xml:space="preserve">. </w:t>
      </w:r>
      <w:r w:rsidRPr="00F57CA5">
        <w:rPr>
          <w:rFonts w:ascii="Arial" w:hAnsi="Arial" w:cs="Arial"/>
          <w:sz w:val="22"/>
          <w:szCs w:val="22"/>
        </w:rPr>
        <w:t>(Accessed: 23 July 2025).</w:t>
      </w:r>
    </w:p>
    <w:p w14:paraId="0CE272DF"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Bowen, M., Kinderman, P. and Cooke, A. (2019) ‘Stigma: A Linguistic Analysis of The UK Red-Top Tabloids Press’ Representation of Schizophrenia’. </w:t>
      </w:r>
      <w:r w:rsidRPr="00F57CA5">
        <w:rPr>
          <w:rFonts w:ascii="Arial" w:hAnsi="Arial" w:cs="Arial"/>
          <w:i/>
          <w:iCs/>
          <w:sz w:val="22"/>
          <w:szCs w:val="22"/>
        </w:rPr>
        <w:t>Perspectives in Public Health</w:t>
      </w:r>
      <w:r w:rsidRPr="00F57CA5">
        <w:rPr>
          <w:rFonts w:ascii="Arial" w:hAnsi="Arial" w:cs="Arial"/>
          <w:sz w:val="22"/>
          <w:szCs w:val="22"/>
        </w:rPr>
        <w:t xml:space="preserve">, 139(3), pp.147–152. Available at:  </w:t>
      </w:r>
      <w:hyperlink r:id="rId37" w:history="1">
        <w:r w:rsidRPr="00F57CA5">
          <w:rPr>
            <w:rStyle w:val="Hyperlink"/>
            <w:rFonts w:ascii="Arial" w:hAnsi="Arial" w:cs="Arial"/>
            <w:color w:val="2809E5"/>
            <w:sz w:val="22"/>
            <w:szCs w:val="22"/>
          </w:rPr>
          <w:t>https://doi.org/10.1177/1757913919835858</w:t>
        </w:r>
      </w:hyperlink>
      <w:r w:rsidRPr="00F57CA5">
        <w:rPr>
          <w:rFonts w:ascii="Arial" w:hAnsi="Arial" w:cs="Arial"/>
          <w:color w:val="2809E5"/>
          <w:sz w:val="22"/>
          <w:szCs w:val="22"/>
        </w:rPr>
        <w:t>.</w:t>
      </w:r>
    </w:p>
    <w:p w14:paraId="665D857D"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Braun, V. and Clarke, V. (2006) ‘Using Thematic Analysis in Psychology’. </w:t>
      </w:r>
      <w:r w:rsidRPr="00F57CA5">
        <w:rPr>
          <w:rFonts w:ascii="Arial" w:hAnsi="Arial" w:cs="Arial"/>
          <w:i/>
          <w:iCs/>
          <w:sz w:val="22"/>
          <w:szCs w:val="22"/>
        </w:rPr>
        <w:t>Qualitative Research in Psychology</w:t>
      </w:r>
      <w:r w:rsidRPr="00F57CA5">
        <w:rPr>
          <w:rFonts w:ascii="Arial" w:hAnsi="Arial" w:cs="Arial"/>
          <w:sz w:val="22"/>
          <w:szCs w:val="22"/>
        </w:rPr>
        <w:t xml:space="preserve">, 3(2), pp.77–101. Available at: </w:t>
      </w:r>
      <w:hyperlink r:id="rId38" w:history="1">
        <w:r w:rsidRPr="00F57CA5">
          <w:rPr>
            <w:rStyle w:val="Hyperlink"/>
            <w:rFonts w:ascii="Arial" w:hAnsi="Arial" w:cs="Arial"/>
            <w:color w:val="2809E5"/>
            <w:sz w:val="22"/>
            <w:szCs w:val="22"/>
          </w:rPr>
          <w:t>https://doi.org/10.1191/1478088706qp063oa</w:t>
        </w:r>
      </w:hyperlink>
      <w:r w:rsidRPr="00F57CA5">
        <w:rPr>
          <w:rFonts w:ascii="Arial" w:hAnsi="Arial" w:cs="Arial"/>
          <w:color w:val="2809E5"/>
          <w:sz w:val="22"/>
          <w:szCs w:val="22"/>
        </w:rPr>
        <w:t>.</w:t>
      </w:r>
    </w:p>
    <w:p w14:paraId="2CD6FA42"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Brissos, S., Molodynski, A., Dias, V. and Figueira, M. (2011) ‘The Importance of Measuring Psychosocial Functioning in Schizophrenia’. </w:t>
      </w:r>
      <w:r w:rsidRPr="00F57CA5">
        <w:rPr>
          <w:rFonts w:ascii="Arial" w:hAnsi="Arial" w:cs="Arial"/>
          <w:i/>
          <w:iCs/>
          <w:sz w:val="22"/>
          <w:szCs w:val="22"/>
        </w:rPr>
        <w:t>Annals of General Psychiatry</w:t>
      </w:r>
      <w:r w:rsidRPr="00F57CA5">
        <w:rPr>
          <w:rFonts w:ascii="Arial" w:hAnsi="Arial" w:cs="Arial"/>
          <w:sz w:val="22"/>
          <w:szCs w:val="22"/>
        </w:rPr>
        <w:t xml:space="preserve">, 10(1), p.18. Available at: </w:t>
      </w:r>
      <w:hyperlink r:id="rId39" w:history="1">
        <w:r w:rsidRPr="00F57CA5">
          <w:rPr>
            <w:rStyle w:val="Hyperlink"/>
            <w:rFonts w:ascii="Arial" w:hAnsi="Arial" w:cs="Arial"/>
            <w:color w:val="2809E5"/>
            <w:sz w:val="22"/>
            <w:szCs w:val="22"/>
          </w:rPr>
          <w:t>https://doi.org/10.1186/1744-859x-10-18</w:t>
        </w:r>
      </w:hyperlink>
      <w:r w:rsidRPr="00F57CA5">
        <w:rPr>
          <w:rFonts w:ascii="Arial" w:hAnsi="Arial" w:cs="Arial"/>
          <w:color w:val="2809E5"/>
          <w:sz w:val="22"/>
          <w:szCs w:val="22"/>
        </w:rPr>
        <w:t>.</w:t>
      </w:r>
    </w:p>
    <w:p w14:paraId="4E4B7464"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Brown, S. and Birtwistle, J. (1998) ‘People with Schizophrenia and Their Families. Fifteen-Year Outcome’. </w:t>
      </w:r>
      <w:r w:rsidRPr="00F57CA5">
        <w:rPr>
          <w:rFonts w:ascii="Arial" w:hAnsi="Arial" w:cs="Arial"/>
          <w:i/>
          <w:iCs/>
          <w:sz w:val="22"/>
          <w:szCs w:val="22"/>
        </w:rPr>
        <w:t>The British Journal of Psychiatry: The Journal of Mental Science</w:t>
      </w:r>
      <w:r w:rsidRPr="00F57CA5">
        <w:rPr>
          <w:rFonts w:ascii="Arial" w:hAnsi="Arial" w:cs="Arial"/>
          <w:sz w:val="22"/>
          <w:szCs w:val="22"/>
        </w:rPr>
        <w:t xml:space="preserve">, 173, pp.139–144.Available at: </w:t>
      </w:r>
      <w:hyperlink r:id="rId40" w:history="1">
        <w:r w:rsidRPr="00F57CA5">
          <w:rPr>
            <w:rStyle w:val="Hyperlink"/>
            <w:rFonts w:ascii="Arial" w:hAnsi="Arial" w:cs="Arial"/>
            <w:color w:val="2809E5"/>
            <w:sz w:val="22"/>
            <w:szCs w:val="22"/>
          </w:rPr>
          <w:t>https://doi.org/10.1192/bjp.173.2.139</w:t>
        </w:r>
      </w:hyperlink>
      <w:r w:rsidRPr="00F57CA5">
        <w:rPr>
          <w:rFonts w:ascii="Arial" w:hAnsi="Arial" w:cs="Arial"/>
          <w:color w:val="2809E5"/>
          <w:sz w:val="22"/>
          <w:szCs w:val="22"/>
        </w:rPr>
        <w:t>.</w:t>
      </w:r>
    </w:p>
    <w:p w14:paraId="3FBD05EE"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Bucci, S., Berry, K., Barrowclough, C. and Haddock, G. (2016) ‘Family Interventions in Psychosis: A Review of the Evidence and Barriers to Implementation’. </w:t>
      </w:r>
      <w:r w:rsidRPr="00F57CA5">
        <w:rPr>
          <w:rFonts w:ascii="Arial" w:hAnsi="Arial" w:cs="Arial"/>
          <w:i/>
          <w:iCs/>
          <w:sz w:val="22"/>
          <w:szCs w:val="22"/>
        </w:rPr>
        <w:t>Australian Psychologist</w:t>
      </w:r>
      <w:r w:rsidRPr="00F57CA5">
        <w:rPr>
          <w:rFonts w:ascii="Arial" w:hAnsi="Arial" w:cs="Arial"/>
          <w:sz w:val="22"/>
          <w:szCs w:val="22"/>
        </w:rPr>
        <w:t xml:space="preserve">, 51(1), pp.62–68. Available at:  </w:t>
      </w:r>
      <w:hyperlink r:id="rId41" w:history="1">
        <w:r w:rsidRPr="00F57CA5">
          <w:rPr>
            <w:rStyle w:val="Hyperlink"/>
            <w:rFonts w:ascii="Arial" w:hAnsi="Arial" w:cs="Arial"/>
            <w:color w:val="2809E5"/>
            <w:sz w:val="22"/>
            <w:szCs w:val="22"/>
          </w:rPr>
          <w:t>https://doi.org/10.1111/ap.12172</w:t>
        </w:r>
      </w:hyperlink>
      <w:r w:rsidRPr="00F57CA5">
        <w:rPr>
          <w:rFonts w:ascii="Arial" w:hAnsi="Arial" w:cs="Arial"/>
          <w:color w:val="2809E5"/>
          <w:sz w:val="22"/>
          <w:szCs w:val="22"/>
        </w:rPr>
        <w:t>.</w:t>
      </w:r>
    </w:p>
    <w:p w14:paraId="519960FD"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Caltabiano, E. (2022) </w:t>
      </w:r>
      <w:r w:rsidRPr="00F57CA5">
        <w:rPr>
          <w:rFonts w:ascii="Arial" w:hAnsi="Arial" w:cs="Arial"/>
          <w:i/>
          <w:iCs/>
          <w:sz w:val="22"/>
          <w:szCs w:val="22"/>
        </w:rPr>
        <w:t>Cultural Differences of Schizophrenia and the Effect on Patient Outcomes. Master</w:t>
      </w:r>
      <w:r w:rsidRPr="00F57CA5">
        <w:rPr>
          <w:rFonts w:ascii="Arial" w:hAnsi="Arial" w:cs="Arial"/>
          <w:sz w:val="22"/>
          <w:szCs w:val="22"/>
        </w:rPr>
        <w:t xml:space="preserve">. Available at: </w:t>
      </w:r>
      <w:hyperlink r:id="rId42" w:history="1">
        <w:r w:rsidRPr="00F57CA5">
          <w:rPr>
            <w:rStyle w:val="Hyperlink"/>
            <w:rFonts w:ascii="Arial" w:hAnsi="Arial" w:cs="Arial"/>
            <w:color w:val="2809E5"/>
            <w:sz w:val="22"/>
            <w:szCs w:val="22"/>
          </w:rPr>
          <w:t>https://jdc.jefferson.edu/mphcapstone_presentation/448/</w:t>
        </w:r>
      </w:hyperlink>
      <w:r w:rsidRPr="00F57CA5">
        <w:rPr>
          <w:rFonts w:ascii="Arial" w:hAnsi="Arial" w:cs="Arial"/>
          <w:color w:val="2809E5"/>
          <w:sz w:val="22"/>
          <w:szCs w:val="22"/>
        </w:rPr>
        <w:t>.</w:t>
      </w:r>
      <w:r w:rsidRPr="00F57CA5">
        <w:rPr>
          <w:rFonts w:ascii="Arial" w:hAnsi="Arial" w:cs="Arial"/>
          <w:sz w:val="22"/>
          <w:szCs w:val="22"/>
        </w:rPr>
        <w:t>(Accessed: 29 June 2025).</w:t>
      </w:r>
    </w:p>
    <w:p w14:paraId="042AA879"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Carruthers, E., Dobbin, J., Fagan, L., Humphrey, A., Ahimza Nagasivam, Stevenson, K., Yuan, J.-M., Aldridge, R.W. and Burns, R. (2023) ‘Interventions to Improve Access to </w:t>
      </w:r>
      <w:r w:rsidRPr="00F57CA5">
        <w:rPr>
          <w:rFonts w:ascii="Arial" w:hAnsi="Arial" w:cs="Arial"/>
          <w:sz w:val="22"/>
          <w:szCs w:val="22"/>
        </w:rPr>
        <w:lastRenderedPageBreak/>
        <w:t xml:space="preserve">Primary Care for Inclusion Health Groups in England: A Scoping Review’. </w:t>
      </w:r>
      <w:r w:rsidRPr="00F57CA5">
        <w:rPr>
          <w:rFonts w:ascii="Arial" w:hAnsi="Arial" w:cs="Arial"/>
          <w:i/>
          <w:iCs/>
          <w:sz w:val="22"/>
          <w:szCs w:val="22"/>
        </w:rPr>
        <w:t>The Lancet</w:t>
      </w:r>
      <w:r w:rsidRPr="00F57CA5">
        <w:rPr>
          <w:rFonts w:ascii="Arial" w:hAnsi="Arial" w:cs="Arial"/>
          <w:sz w:val="22"/>
          <w:szCs w:val="22"/>
        </w:rPr>
        <w:t xml:space="preserve">, 402, pp. S32–S32. Available at: </w:t>
      </w:r>
      <w:hyperlink r:id="rId43" w:history="1">
        <w:r w:rsidRPr="00F57CA5">
          <w:rPr>
            <w:rStyle w:val="Hyperlink"/>
            <w:rFonts w:ascii="Arial" w:hAnsi="Arial" w:cs="Arial"/>
            <w:color w:val="2809E5"/>
            <w:sz w:val="22"/>
            <w:szCs w:val="22"/>
          </w:rPr>
          <w:t>https://doi.org/10.1016/s0140-6736(23)02081–0</w:t>
        </w:r>
      </w:hyperlink>
      <w:r w:rsidRPr="00F57CA5">
        <w:rPr>
          <w:rFonts w:ascii="Arial" w:hAnsi="Arial" w:cs="Arial"/>
          <w:color w:val="2809E5"/>
          <w:sz w:val="22"/>
          <w:szCs w:val="22"/>
        </w:rPr>
        <w:t>.</w:t>
      </w:r>
    </w:p>
    <w:p w14:paraId="738DE646" w14:textId="77777777" w:rsidR="00342517" w:rsidRPr="00F57CA5" w:rsidRDefault="00342517" w:rsidP="00F57CA5">
      <w:pPr>
        <w:pStyle w:val="NormalWeb"/>
        <w:spacing w:before="0" w:beforeAutospacing="0" w:after="240" w:afterAutospacing="0" w:line="360" w:lineRule="auto"/>
        <w:rPr>
          <w:rFonts w:ascii="Arial" w:hAnsi="Arial" w:cs="Arial"/>
          <w:color w:val="2809E5"/>
          <w:sz w:val="22"/>
          <w:szCs w:val="22"/>
        </w:rPr>
      </w:pPr>
      <w:r w:rsidRPr="00F57CA5">
        <w:rPr>
          <w:rFonts w:ascii="Arial" w:hAnsi="Arial" w:cs="Arial"/>
          <w:sz w:val="22"/>
          <w:szCs w:val="22"/>
        </w:rPr>
        <w:t xml:space="preserve">Castillo, E.G. (2021) ‘Community Interventions to Promote Mental Health and Social Equity’. </w:t>
      </w:r>
      <w:r w:rsidRPr="00F57CA5">
        <w:rPr>
          <w:rFonts w:ascii="Arial" w:hAnsi="Arial" w:cs="Arial"/>
          <w:i/>
          <w:iCs/>
          <w:sz w:val="22"/>
          <w:szCs w:val="22"/>
        </w:rPr>
        <w:t>Current Psychiatry Reports</w:t>
      </w:r>
      <w:r w:rsidRPr="00F57CA5">
        <w:rPr>
          <w:rFonts w:ascii="Arial" w:hAnsi="Arial" w:cs="Arial"/>
          <w:sz w:val="22"/>
          <w:szCs w:val="22"/>
        </w:rPr>
        <w:t xml:space="preserve">, 21(5), pp.1–14. Available at:  </w:t>
      </w:r>
      <w:hyperlink r:id="rId44" w:history="1">
        <w:r w:rsidRPr="00F57CA5">
          <w:rPr>
            <w:rStyle w:val="Hyperlink"/>
            <w:rFonts w:ascii="Arial" w:hAnsi="Arial" w:cs="Arial"/>
            <w:color w:val="2809E5"/>
            <w:sz w:val="22"/>
            <w:szCs w:val="22"/>
          </w:rPr>
          <w:t>https://doi.org/10.1007/s11920-019-1017-0</w:t>
        </w:r>
      </w:hyperlink>
      <w:r w:rsidRPr="00F57CA5">
        <w:rPr>
          <w:rFonts w:ascii="Arial" w:hAnsi="Arial" w:cs="Arial"/>
          <w:color w:val="2809E5"/>
          <w:sz w:val="22"/>
          <w:szCs w:val="22"/>
        </w:rPr>
        <w:t>.</w:t>
      </w:r>
    </w:p>
    <w:p w14:paraId="25C7EDBD"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Chen, L., Zhao, Y., Tang, J., Jin, G., Liu, Y., Zhao, X., Chen, C. and Lu, X. (2019) ‘The Burden, Support and Needs of Primary Family Caregivers of People Experiencing Schizophrenia in Beijing Communities: A Qualitative Study’. </w:t>
      </w:r>
      <w:r w:rsidRPr="00F57CA5">
        <w:rPr>
          <w:rFonts w:ascii="Arial" w:hAnsi="Arial" w:cs="Arial"/>
          <w:i/>
          <w:iCs/>
          <w:sz w:val="22"/>
          <w:szCs w:val="22"/>
        </w:rPr>
        <w:t>BMC Psychiatry</w:t>
      </w:r>
      <w:r w:rsidRPr="00F57CA5">
        <w:rPr>
          <w:rFonts w:ascii="Arial" w:hAnsi="Arial" w:cs="Arial"/>
          <w:sz w:val="22"/>
          <w:szCs w:val="22"/>
        </w:rPr>
        <w:t xml:space="preserve">, 19(1). Available at:  </w:t>
      </w:r>
      <w:hyperlink r:id="rId45" w:history="1">
        <w:r w:rsidRPr="00F57CA5">
          <w:rPr>
            <w:rStyle w:val="Hyperlink"/>
            <w:rFonts w:ascii="Arial" w:hAnsi="Arial" w:cs="Arial"/>
            <w:color w:val="2809E5"/>
            <w:sz w:val="22"/>
            <w:szCs w:val="22"/>
          </w:rPr>
          <w:t>https://doi.org/10.1186/s12888-019-2052-4</w:t>
        </w:r>
      </w:hyperlink>
      <w:r w:rsidRPr="00F57CA5">
        <w:rPr>
          <w:rFonts w:ascii="Arial" w:hAnsi="Arial" w:cs="Arial"/>
          <w:color w:val="2809E5"/>
          <w:sz w:val="22"/>
          <w:szCs w:val="22"/>
        </w:rPr>
        <w:t>.</w:t>
      </w:r>
    </w:p>
    <w:p w14:paraId="01F82B21"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Clarke, V. and Braun, V. (2016) ‘Thematic Analysis’. </w:t>
      </w:r>
      <w:r w:rsidRPr="00F57CA5">
        <w:rPr>
          <w:rFonts w:ascii="Arial" w:hAnsi="Arial" w:cs="Arial"/>
          <w:i/>
          <w:iCs/>
          <w:sz w:val="22"/>
          <w:szCs w:val="22"/>
        </w:rPr>
        <w:t>The Journal of Positive Psychology</w:t>
      </w:r>
      <w:r w:rsidRPr="00F57CA5">
        <w:rPr>
          <w:rFonts w:ascii="Arial" w:hAnsi="Arial" w:cs="Arial"/>
          <w:sz w:val="22"/>
          <w:szCs w:val="22"/>
        </w:rPr>
        <w:t xml:space="preserve">, 12(3), pp.297–298. Available at:  </w:t>
      </w:r>
      <w:hyperlink r:id="rId46" w:history="1">
        <w:r w:rsidRPr="00F57CA5">
          <w:rPr>
            <w:rStyle w:val="Hyperlink"/>
            <w:rFonts w:ascii="Arial" w:hAnsi="Arial" w:cs="Arial"/>
            <w:color w:val="2809E5"/>
            <w:sz w:val="22"/>
            <w:szCs w:val="22"/>
          </w:rPr>
          <w:t>https://doi.org/10.1080/17439760.2016.1262613</w:t>
        </w:r>
      </w:hyperlink>
      <w:r w:rsidRPr="00F57CA5">
        <w:rPr>
          <w:rFonts w:ascii="Arial" w:hAnsi="Arial" w:cs="Arial"/>
          <w:color w:val="2809E5"/>
          <w:sz w:val="22"/>
          <w:szCs w:val="22"/>
        </w:rPr>
        <w:t>.</w:t>
      </w:r>
    </w:p>
    <w:p w14:paraId="289B3EB2"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Coleman, M., Cuesta-Briand, B. and Collins, N. (2022) ‘Rethinking Accessibility in Light of the Orange Declaration: Applying a Socio-Ecological Lens to Rural Mental Health Commissioning’. </w:t>
      </w:r>
      <w:r w:rsidRPr="00F57CA5">
        <w:rPr>
          <w:rFonts w:ascii="Arial" w:hAnsi="Arial" w:cs="Arial"/>
          <w:i/>
          <w:iCs/>
          <w:sz w:val="22"/>
          <w:szCs w:val="22"/>
        </w:rPr>
        <w:t>Frontiers in Psychiatry</w:t>
      </w:r>
      <w:r w:rsidRPr="00F57CA5">
        <w:rPr>
          <w:rFonts w:ascii="Arial" w:hAnsi="Arial" w:cs="Arial"/>
          <w:sz w:val="22"/>
          <w:szCs w:val="22"/>
        </w:rPr>
        <w:t xml:space="preserve">, 13. Available at: </w:t>
      </w:r>
      <w:hyperlink r:id="rId47" w:history="1">
        <w:r w:rsidRPr="00F57CA5">
          <w:rPr>
            <w:rStyle w:val="Hyperlink"/>
            <w:rFonts w:ascii="Arial" w:hAnsi="Arial" w:cs="Arial"/>
            <w:color w:val="2809E5"/>
            <w:sz w:val="22"/>
            <w:szCs w:val="22"/>
          </w:rPr>
          <w:t>https://doi.org/10.3389/fpsyt.2022.930188</w:t>
        </w:r>
      </w:hyperlink>
      <w:r w:rsidRPr="00F57CA5">
        <w:rPr>
          <w:rFonts w:ascii="Arial" w:hAnsi="Arial" w:cs="Arial"/>
          <w:color w:val="2809E5"/>
          <w:sz w:val="22"/>
          <w:szCs w:val="22"/>
        </w:rPr>
        <w:t>.</w:t>
      </w:r>
    </w:p>
    <w:p w14:paraId="66C104DC"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Committee of Public Accounts (2022) </w:t>
      </w:r>
      <w:r w:rsidRPr="00F57CA5">
        <w:rPr>
          <w:rFonts w:ascii="Arial" w:hAnsi="Arial" w:cs="Arial"/>
          <w:i/>
          <w:iCs/>
          <w:sz w:val="22"/>
          <w:szCs w:val="22"/>
        </w:rPr>
        <w:t>Progress in Improving NHS Mental Health Services</w:t>
      </w:r>
      <w:r w:rsidRPr="00F57CA5">
        <w:rPr>
          <w:rFonts w:ascii="Arial" w:hAnsi="Arial" w:cs="Arial"/>
          <w:sz w:val="22"/>
          <w:szCs w:val="22"/>
        </w:rPr>
        <w:t xml:space="preserve">. Available at: </w:t>
      </w:r>
      <w:hyperlink r:id="rId48" w:history="1">
        <w:r w:rsidRPr="00F57CA5">
          <w:rPr>
            <w:rStyle w:val="Hyperlink"/>
            <w:rFonts w:ascii="Arial" w:hAnsi="Arial" w:cs="Arial"/>
            <w:sz w:val="22"/>
            <w:szCs w:val="22"/>
          </w:rPr>
          <w:t>https://publications.parliament.uk/pa/cm5803/cmselect/cmpubacc/1000/report.html</w:t>
        </w:r>
      </w:hyperlink>
      <w:r w:rsidRPr="00F57CA5">
        <w:rPr>
          <w:rFonts w:ascii="Arial" w:hAnsi="Arial" w:cs="Arial"/>
          <w:color w:val="2809E5"/>
          <w:sz w:val="22"/>
          <w:szCs w:val="22"/>
        </w:rPr>
        <w:t>.</w:t>
      </w:r>
    </w:p>
    <w:p w14:paraId="15E466BB"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Corrigan, P.W., Druss, B.G. and Perlick, D.A. (2014) ‘The Impact of Mental Illness Stigma on Seeking and Participating in Mental Health Care’. </w:t>
      </w:r>
      <w:r w:rsidRPr="00F57CA5">
        <w:rPr>
          <w:rFonts w:ascii="Arial" w:hAnsi="Arial" w:cs="Arial"/>
          <w:i/>
          <w:iCs/>
          <w:sz w:val="22"/>
          <w:szCs w:val="22"/>
        </w:rPr>
        <w:t>Psychological Science in the Public Interest</w:t>
      </w:r>
      <w:r w:rsidRPr="00F57CA5">
        <w:rPr>
          <w:rFonts w:ascii="Arial" w:hAnsi="Arial" w:cs="Arial"/>
          <w:sz w:val="22"/>
          <w:szCs w:val="22"/>
        </w:rPr>
        <w:t xml:space="preserve">, 15(2), pp.37–70. Available at:  </w:t>
      </w:r>
      <w:hyperlink r:id="rId49" w:history="1">
        <w:r w:rsidRPr="00F57CA5">
          <w:rPr>
            <w:rStyle w:val="Hyperlink"/>
            <w:rFonts w:ascii="Arial" w:hAnsi="Arial" w:cs="Arial"/>
            <w:color w:val="2809E5"/>
            <w:sz w:val="22"/>
            <w:szCs w:val="22"/>
          </w:rPr>
          <w:t>https://doi.org/10.1177/1529100614531398</w:t>
        </w:r>
      </w:hyperlink>
      <w:r w:rsidRPr="00F57CA5">
        <w:rPr>
          <w:rFonts w:ascii="Arial" w:hAnsi="Arial" w:cs="Arial"/>
          <w:color w:val="2809E5"/>
          <w:sz w:val="22"/>
          <w:szCs w:val="22"/>
        </w:rPr>
        <w:t>.</w:t>
      </w:r>
    </w:p>
    <w:p w14:paraId="7645E29B"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Coyle, D. and Muhtar, A. (2023) ‘Levelling Up Policies and The Failure to Learn’. </w:t>
      </w:r>
      <w:r w:rsidRPr="00F57CA5">
        <w:rPr>
          <w:rFonts w:ascii="Arial" w:hAnsi="Arial" w:cs="Arial"/>
          <w:i/>
          <w:iCs/>
          <w:sz w:val="22"/>
          <w:szCs w:val="22"/>
        </w:rPr>
        <w:t>Contemporary Social Science</w:t>
      </w:r>
      <w:r w:rsidRPr="00F57CA5">
        <w:rPr>
          <w:rFonts w:ascii="Arial" w:hAnsi="Arial" w:cs="Arial"/>
          <w:sz w:val="22"/>
          <w:szCs w:val="22"/>
        </w:rPr>
        <w:t xml:space="preserve">, 18(3-4), pp.1–22. Available at:  </w:t>
      </w:r>
      <w:hyperlink r:id="rId50" w:history="1">
        <w:r w:rsidRPr="00F57CA5">
          <w:rPr>
            <w:rStyle w:val="Hyperlink"/>
            <w:rFonts w:ascii="Arial" w:hAnsi="Arial" w:cs="Arial"/>
            <w:color w:val="2809E5"/>
            <w:sz w:val="22"/>
            <w:szCs w:val="22"/>
          </w:rPr>
          <w:t>https://doi.org/10.1080/21582041.2023.2197877</w:t>
        </w:r>
      </w:hyperlink>
      <w:r w:rsidRPr="00F57CA5">
        <w:rPr>
          <w:rFonts w:ascii="Arial" w:hAnsi="Arial" w:cs="Arial"/>
          <w:color w:val="2809E5"/>
          <w:sz w:val="22"/>
          <w:szCs w:val="22"/>
        </w:rPr>
        <w:t>.</w:t>
      </w:r>
    </w:p>
    <w:p w14:paraId="721349DE"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Cu, A., Meister, S., Lefebvre, B. and Ridde, V. (2021) ‘Assessing Healthcare Access Using the Levesque’s Conceptual Framework– A Scoping Review’. </w:t>
      </w:r>
      <w:r w:rsidRPr="00F57CA5">
        <w:rPr>
          <w:rFonts w:ascii="Arial" w:hAnsi="Arial" w:cs="Arial"/>
          <w:i/>
          <w:iCs/>
          <w:sz w:val="22"/>
          <w:szCs w:val="22"/>
        </w:rPr>
        <w:t>International Journal for Equity in Health</w:t>
      </w:r>
      <w:r w:rsidRPr="00F57CA5">
        <w:rPr>
          <w:rFonts w:ascii="Arial" w:hAnsi="Arial" w:cs="Arial"/>
          <w:sz w:val="22"/>
          <w:szCs w:val="22"/>
        </w:rPr>
        <w:t xml:space="preserve">, 20(1). Available at: </w:t>
      </w:r>
      <w:hyperlink r:id="rId51" w:history="1">
        <w:r w:rsidRPr="00F57CA5">
          <w:rPr>
            <w:rStyle w:val="Hyperlink"/>
            <w:rFonts w:ascii="Arial" w:hAnsi="Arial" w:cs="Arial"/>
            <w:color w:val="2809E5"/>
            <w:sz w:val="22"/>
            <w:szCs w:val="22"/>
          </w:rPr>
          <w:t>https://doi.org/10.1186/s12939-021-01416-3</w:t>
        </w:r>
      </w:hyperlink>
      <w:r w:rsidRPr="00F57CA5">
        <w:rPr>
          <w:rFonts w:ascii="Arial" w:hAnsi="Arial" w:cs="Arial"/>
          <w:color w:val="2809E5"/>
          <w:sz w:val="22"/>
          <w:szCs w:val="22"/>
        </w:rPr>
        <w:t>.</w:t>
      </w:r>
    </w:p>
    <w:p w14:paraId="6905C9B3"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Daluiso-King, G. and Hebron, C. (2020) ‘Is the Biopsychosocial Model in Musculoskeletal Physiotherapy Adequate? An Evolutionary Concept Analysis’. </w:t>
      </w:r>
      <w:r w:rsidRPr="00F57CA5">
        <w:rPr>
          <w:rFonts w:ascii="Arial" w:hAnsi="Arial" w:cs="Arial"/>
          <w:i/>
          <w:iCs/>
          <w:sz w:val="22"/>
          <w:szCs w:val="22"/>
        </w:rPr>
        <w:t>Physiotherapy Theory and Practice</w:t>
      </w:r>
      <w:r w:rsidRPr="00F57CA5">
        <w:rPr>
          <w:rFonts w:ascii="Arial" w:hAnsi="Arial" w:cs="Arial"/>
          <w:sz w:val="22"/>
          <w:szCs w:val="22"/>
        </w:rPr>
        <w:t xml:space="preserve">, 38(3), pp.1–17. Available at: </w:t>
      </w:r>
      <w:hyperlink r:id="rId52" w:history="1">
        <w:r w:rsidRPr="00F57CA5">
          <w:rPr>
            <w:rStyle w:val="Hyperlink"/>
            <w:rFonts w:ascii="Arial" w:hAnsi="Arial" w:cs="Arial"/>
            <w:color w:val="2809E5"/>
            <w:sz w:val="22"/>
            <w:szCs w:val="22"/>
          </w:rPr>
          <w:t>https://doi.org/10.1080/09593985.2020.1765440</w:t>
        </w:r>
      </w:hyperlink>
      <w:r w:rsidRPr="00F57CA5">
        <w:rPr>
          <w:rFonts w:ascii="Arial" w:hAnsi="Arial" w:cs="Arial"/>
          <w:color w:val="2809E5"/>
          <w:sz w:val="22"/>
          <w:szCs w:val="22"/>
        </w:rPr>
        <w:t>.</w:t>
      </w:r>
    </w:p>
    <w:p w14:paraId="1E17C234"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lastRenderedPageBreak/>
        <w:t xml:space="preserve">Das-Munshi, J., Bhugra, D. and Crawford, M.J. (2018) ‘Ethnic Minority Inequalities in Access to Treatments for Schizophrenia and Schizoaffective disorders: Findings from a Nationally Representative cross-sectional Study’. </w:t>
      </w:r>
      <w:r w:rsidRPr="00F57CA5">
        <w:rPr>
          <w:rFonts w:ascii="Arial" w:hAnsi="Arial" w:cs="Arial"/>
          <w:i/>
          <w:iCs/>
          <w:sz w:val="22"/>
          <w:szCs w:val="22"/>
        </w:rPr>
        <w:t>BMC Medicine</w:t>
      </w:r>
      <w:r w:rsidRPr="00F57CA5">
        <w:rPr>
          <w:rFonts w:ascii="Arial" w:hAnsi="Arial" w:cs="Arial"/>
          <w:sz w:val="22"/>
          <w:szCs w:val="22"/>
        </w:rPr>
        <w:t xml:space="preserve">, 16(1). Available at:  </w:t>
      </w:r>
      <w:hyperlink r:id="rId53" w:history="1">
        <w:r w:rsidRPr="00F57CA5">
          <w:rPr>
            <w:rStyle w:val="Hyperlink"/>
            <w:rFonts w:ascii="Arial" w:hAnsi="Arial" w:cs="Arial"/>
            <w:color w:val="2809E5"/>
            <w:sz w:val="22"/>
            <w:szCs w:val="22"/>
          </w:rPr>
          <w:t>https://doi.org/10.1186/s12916-018-1035-5</w:t>
        </w:r>
      </w:hyperlink>
      <w:r w:rsidRPr="00F57CA5">
        <w:rPr>
          <w:rFonts w:ascii="Arial" w:hAnsi="Arial" w:cs="Arial"/>
          <w:color w:val="2809E5"/>
          <w:sz w:val="22"/>
          <w:szCs w:val="22"/>
        </w:rPr>
        <w:t>.</w:t>
      </w:r>
    </w:p>
    <w:p w14:paraId="10820721"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Dean, J. (2024) </w:t>
      </w:r>
      <w:r w:rsidRPr="00F57CA5">
        <w:rPr>
          <w:rFonts w:ascii="Arial" w:hAnsi="Arial" w:cs="Arial"/>
          <w:i/>
          <w:iCs/>
          <w:sz w:val="22"/>
          <w:szCs w:val="22"/>
        </w:rPr>
        <w:t>Subject Guides: Critical Evaluation: Criteria Checklist Approach: CRAAP</w:t>
      </w:r>
      <w:r w:rsidRPr="00F57CA5">
        <w:rPr>
          <w:rFonts w:ascii="Arial" w:hAnsi="Arial" w:cs="Arial"/>
          <w:sz w:val="22"/>
          <w:szCs w:val="22"/>
        </w:rPr>
        <w:t xml:space="preserve">. Available at: </w:t>
      </w:r>
      <w:hyperlink r:id="rId54" w:history="1">
        <w:r w:rsidRPr="00F57CA5">
          <w:rPr>
            <w:rStyle w:val="Hyperlink"/>
            <w:rFonts w:ascii="Arial" w:hAnsi="Arial" w:cs="Arial"/>
            <w:color w:val="2809E5"/>
            <w:sz w:val="22"/>
            <w:szCs w:val="22"/>
          </w:rPr>
          <w:t>https://libguides.bcu.ac.uk/critical-evaluation/checklist-approach</w:t>
        </w:r>
      </w:hyperlink>
      <w:r w:rsidRPr="00F57CA5">
        <w:rPr>
          <w:rFonts w:ascii="Arial" w:hAnsi="Arial" w:cs="Arial"/>
          <w:color w:val="2809E5"/>
          <w:sz w:val="22"/>
          <w:szCs w:val="22"/>
        </w:rPr>
        <w:t>.</w:t>
      </w:r>
      <w:r w:rsidRPr="00F57CA5">
        <w:rPr>
          <w:rFonts w:ascii="Arial" w:hAnsi="Arial" w:cs="Arial"/>
          <w:sz w:val="22"/>
          <w:szCs w:val="22"/>
        </w:rPr>
        <w:t xml:space="preserve"> (Accessed: 18 June 2025).  </w:t>
      </w:r>
    </w:p>
    <w:p w14:paraId="67584657"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Department for Constitutional Affairs (2007) </w:t>
      </w:r>
      <w:r w:rsidRPr="00F57CA5">
        <w:rPr>
          <w:rFonts w:ascii="Arial" w:hAnsi="Arial" w:cs="Arial"/>
          <w:i/>
          <w:iCs/>
          <w:sz w:val="22"/>
          <w:szCs w:val="22"/>
        </w:rPr>
        <w:t>Code of Practice Mental Capacity Act 2005</w:t>
      </w:r>
      <w:r w:rsidRPr="00F57CA5">
        <w:rPr>
          <w:rFonts w:ascii="Arial" w:hAnsi="Arial" w:cs="Arial"/>
          <w:sz w:val="22"/>
          <w:szCs w:val="22"/>
        </w:rPr>
        <w:t xml:space="preserve">. Available at: </w:t>
      </w:r>
      <w:hyperlink r:id="rId55" w:history="1">
        <w:r w:rsidRPr="00F57CA5">
          <w:rPr>
            <w:rStyle w:val="Hyperlink"/>
            <w:rFonts w:ascii="Arial" w:hAnsi="Arial" w:cs="Arial"/>
            <w:color w:val="2809E5"/>
            <w:sz w:val="22"/>
            <w:szCs w:val="22"/>
          </w:rPr>
          <w:t>https://assets.publishing.service.gov.uk/media/5f6cc6138fa8f541f6763295/Mental-capacity-act-code-of-practice.pdf</w:t>
        </w:r>
      </w:hyperlink>
      <w:r w:rsidRPr="00F57CA5">
        <w:rPr>
          <w:rFonts w:ascii="Arial" w:hAnsi="Arial" w:cs="Arial"/>
          <w:color w:val="2809E5"/>
          <w:sz w:val="22"/>
          <w:szCs w:val="22"/>
        </w:rPr>
        <w:t>. (</w:t>
      </w:r>
      <w:r w:rsidRPr="00F57CA5">
        <w:rPr>
          <w:rFonts w:ascii="Arial" w:hAnsi="Arial" w:cs="Arial"/>
          <w:sz w:val="22"/>
          <w:szCs w:val="22"/>
        </w:rPr>
        <w:t xml:space="preserve">Accessed: 14 June 2025).  </w:t>
      </w:r>
    </w:p>
    <w:p w14:paraId="408F7124"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Department of Health (2015) </w:t>
      </w:r>
      <w:r w:rsidRPr="00F57CA5">
        <w:rPr>
          <w:rFonts w:ascii="Arial" w:hAnsi="Arial" w:cs="Arial"/>
          <w:i/>
          <w:iCs/>
          <w:sz w:val="22"/>
          <w:szCs w:val="22"/>
        </w:rPr>
        <w:t>Mental Health Act 1983: Code of Practice</w:t>
      </w:r>
      <w:r w:rsidRPr="00F57CA5">
        <w:rPr>
          <w:rFonts w:ascii="Arial" w:hAnsi="Arial" w:cs="Arial"/>
          <w:sz w:val="22"/>
          <w:szCs w:val="22"/>
        </w:rPr>
        <w:t xml:space="preserve">. Available at: </w:t>
      </w:r>
      <w:hyperlink r:id="rId56" w:history="1">
        <w:r w:rsidRPr="00F57CA5">
          <w:rPr>
            <w:rStyle w:val="Hyperlink"/>
            <w:rFonts w:ascii="Arial" w:hAnsi="Arial" w:cs="Arial"/>
            <w:color w:val="2809E5"/>
            <w:sz w:val="22"/>
            <w:szCs w:val="22"/>
          </w:rPr>
          <w:t>https://assets.publishing.service.gov.uk/media/5a80a774e5274a2e87dbb0f0/MHA_Code_ofPractice.PDF</w:t>
        </w:r>
      </w:hyperlink>
      <w:r w:rsidRPr="00F57CA5">
        <w:rPr>
          <w:rFonts w:ascii="Arial" w:hAnsi="Arial" w:cs="Arial"/>
          <w:color w:val="2809E5"/>
          <w:sz w:val="22"/>
          <w:szCs w:val="22"/>
        </w:rPr>
        <w:t xml:space="preserve">. </w:t>
      </w:r>
      <w:r w:rsidRPr="00F57CA5">
        <w:rPr>
          <w:rFonts w:ascii="Arial" w:hAnsi="Arial" w:cs="Arial"/>
          <w:sz w:val="22"/>
          <w:szCs w:val="22"/>
        </w:rPr>
        <w:t xml:space="preserve">(Accessed: 27 June 2025).  </w:t>
      </w:r>
    </w:p>
    <w:p w14:paraId="59F43D61"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Department of Health and Social Care (2018) </w:t>
      </w:r>
      <w:r w:rsidRPr="00F57CA5">
        <w:rPr>
          <w:rFonts w:ascii="Arial" w:hAnsi="Arial" w:cs="Arial"/>
          <w:i/>
          <w:iCs/>
          <w:sz w:val="22"/>
          <w:szCs w:val="22"/>
        </w:rPr>
        <w:t>How the NHS Charges Overseas Visitors for NHS Hospital Care</w:t>
      </w:r>
      <w:r w:rsidRPr="00F57CA5">
        <w:rPr>
          <w:rFonts w:ascii="Arial" w:hAnsi="Arial" w:cs="Arial"/>
          <w:sz w:val="22"/>
          <w:szCs w:val="22"/>
        </w:rPr>
        <w:t xml:space="preserve">. Available at: </w:t>
      </w:r>
      <w:hyperlink r:id="rId57" w:history="1">
        <w:r w:rsidRPr="00F57CA5">
          <w:rPr>
            <w:rStyle w:val="Hyperlink"/>
            <w:rFonts w:ascii="Arial" w:hAnsi="Arial" w:cs="Arial"/>
            <w:color w:val="2809E5"/>
            <w:sz w:val="22"/>
            <w:szCs w:val="22"/>
          </w:rPr>
          <w:t>https://www.gov.uk/government/publications/how-the-nhs-charges-overseas-visitors-for-nhs-hospital-care/how-the-nhs-charges-overseas-visitors-for-nhs-hospital-care</w:t>
        </w:r>
      </w:hyperlink>
      <w:r w:rsidRPr="00F57CA5">
        <w:rPr>
          <w:rFonts w:ascii="Arial" w:hAnsi="Arial" w:cs="Arial"/>
          <w:color w:val="2809E5"/>
          <w:sz w:val="22"/>
          <w:szCs w:val="22"/>
        </w:rPr>
        <w:t xml:space="preserve">. </w:t>
      </w:r>
      <w:r w:rsidRPr="00F57CA5">
        <w:rPr>
          <w:rFonts w:ascii="Arial" w:hAnsi="Arial" w:cs="Arial"/>
          <w:sz w:val="22"/>
          <w:szCs w:val="22"/>
        </w:rPr>
        <w:t xml:space="preserve">(Accessed: 27 June 2025).  </w:t>
      </w:r>
    </w:p>
    <w:p w14:paraId="09E3A123"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Department of Health and Social Care (2021) </w:t>
      </w:r>
      <w:r w:rsidRPr="00F57CA5">
        <w:rPr>
          <w:rFonts w:ascii="Arial" w:hAnsi="Arial" w:cs="Arial"/>
          <w:i/>
          <w:iCs/>
          <w:sz w:val="22"/>
          <w:szCs w:val="22"/>
        </w:rPr>
        <w:t>Reforming the Mental Health Act</w:t>
      </w:r>
      <w:r w:rsidRPr="00F57CA5">
        <w:rPr>
          <w:rFonts w:ascii="Arial" w:hAnsi="Arial" w:cs="Arial"/>
          <w:sz w:val="22"/>
          <w:szCs w:val="22"/>
        </w:rPr>
        <w:t xml:space="preserve">. Available at: </w:t>
      </w:r>
      <w:hyperlink r:id="rId58" w:history="1">
        <w:r w:rsidRPr="00F57CA5">
          <w:rPr>
            <w:rStyle w:val="Hyperlink"/>
            <w:rFonts w:ascii="Arial" w:hAnsi="Arial" w:cs="Arial"/>
            <w:color w:val="2809E5"/>
            <w:sz w:val="22"/>
            <w:szCs w:val="22"/>
          </w:rPr>
          <w:t>https://www.gov.uk/government/consultations/reforming-the-mental-health-act/reforming-the-mental-health-act</w:t>
        </w:r>
      </w:hyperlink>
      <w:r w:rsidRPr="00F57CA5">
        <w:rPr>
          <w:rFonts w:ascii="Arial" w:hAnsi="Arial" w:cs="Arial"/>
          <w:color w:val="2809E5"/>
          <w:sz w:val="22"/>
          <w:szCs w:val="22"/>
        </w:rPr>
        <w:t>.</w:t>
      </w:r>
      <w:r w:rsidRPr="00F57CA5">
        <w:rPr>
          <w:rFonts w:ascii="Arial" w:hAnsi="Arial" w:cs="Arial"/>
          <w:sz w:val="22"/>
          <w:szCs w:val="22"/>
        </w:rPr>
        <w:t xml:space="preserve"> (Accessed: 10 June 2025).  </w:t>
      </w:r>
    </w:p>
    <w:p w14:paraId="7CA96898"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Developing, in (2015). </w:t>
      </w:r>
      <w:r w:rsidRPr="00F57CA5">
        <w:rPr>
          <w:rFonts w:ascii="Arial" w:hAnsi="Arial" w:cs="Arial"/>
          <w:i/>
          <w:iCs/>
          <w:sz w:val="22"/>
          <w:szCs w:val="22"/>
        </w:rPr>
        <w:t>Schizophrenia</w:t>
      </w:r>
      <w:r w:rsidRPr="00F57CA5">
        <w:rPr>
          <w:rFonts w:ascii="Arial" w:hAnsi="Arial" w:cs="Arial"/>
          <w:sz w:val="22"/>
          <w:szCs w:val="22"/>
        </w:rPr>
        <w:t xml:space="preserve">. Available at: </w:t>
      </w:r>
      <w:hyperlink r:id="rId59" w:history="1">
        <w:r w:rsidRPr="00F57CA5">
          <w:rPr>
            <w:rStyle w:val="Hyperlink"/>
            <w:rFonts w:ascii="Arial" w:hAnsi="Arial" w:cs="Arial"/>
            <w:color w:val="2809E5"/>
            <w:sz w:val="22"/>
            <w:szCs w:val="22"/>
          </w:rPr>
          <w:t>https://www.ncbi.nlm.nih.gov/books/NBK223456/</w:t>
        </w:r>
      </w:hyperlink>
      <w:r w:rsidRPr="00F57CA5">
        <w:rPr>
          <w:rFonts w:ascii="Arial" w:hAnsi="Arial" w:cs="Arial"/>
          <w:color w:val="2809E5"/>
          <w:sz w:val="22"/>
          <w:szCs w:val="22"/>
        </w:rPr>
        <w:t xml:space="preserve">. </w:t>
      </w:r>
      <w:r w:rsidRPr="00F57CA5">
        <w:rPr>
          <w:rFonts w:ascii="Arial" w:hAnsi="Arial" w:cs="Arial"/>
          <w:sz w:val="22"/>
          <w:szCs w:val="22"/>
        </w:rPr>
        <w:t xml:space="preserve">(Accessed: 19 June 2025).  </w:t>
      </w:r>
    </w:p>
    <w:p w14:paraId="0A1E87DB"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Dewhurst, K. and McKnight, A.L. (1969) ‘Psychiatric Aspects of Mental Health Legislation’. </w:t>
      </w:r>
      <w:r w:rsidRPr="00F57CA5">
        <w:rPr>
          <w:rFonts w:ascii="Arial" w:hAnsi="Arial" w:cs="Arial"/>
          <w:i/>
          <w:iCs/>
          <w:sz w:val="22"/>
          <w:szCs w:val="22"/>
        </w:rPr>
        <w:t>Medicine Science and the Law</w:t>
      </w:r>
      <w:r w:rsidRPr="00F57CA5">
        <w:rPr>
          <w:rFonts w:ascii="Arial" w:hAnsi="Arial" w:cs="Arial"/>
          <w:sz w:val="22"/>
          <w:szCs w:val="22"/>
        </w:rPr>
        <w:t xml:space="preserve">, 9(3), pp.183–187. Available at:  </w:t>
      </w:r>
      <w:hyperlink r:id="rId60" w:history="1">
        <w:r w:rsidRPr="00F57CA5">
          <w:rPr>
            <w:rStyle w:val="Hyperlink"/>
            <w:rFonts w:ascii="Arial" w:hAnsi="Arial" w:cs="Arial"/>
            <w:color w:val="2809E5"/>
            <w:sz w:val="22"/>
            <w:szCs w:val="22"/>
          </w:rPr>
          <w:t>https://doi.org/10.1177/002580246900900305</w:t>
        </w:r>
      </w:hyperlink>
      <w:r w:rsidRPr="00F57CA5">
        <w:rPr>
          <w:rFonts w:ascii="Arial" w:hAnsi="Arial" w:cs="Arial"/>
          <w:color w:val="2809E5"/>
          <w:sz w:val="22"/>
          <w:szCs w:val="22"/>
        </w:rPr>
        <w:t>.</w:t>
      </w:r>
    </w:p>
    <w:p w14:paraId="504EA11E" w14:textId="77777777" w:rsidR="00342517" w:rsidRPr="00F57CA5" w:rsidRDefault="00342517" w:rsidP="00F57CA5">
      <w:pPr>
        <w:pStyle w:val="NormalWeb"/>
        <w:spacing w:line="360" w:lineRule="auto"/>
        <w:rPr>
          <w:rFonts w:ascii="Arial" w:hAnsi="Arial" w:cs="Arial"/>
          <w:color w:val="2809E5"/>
          <w:sz w:val="22"/>
          <w:szCs w:val="22"/>
        </w:rPr>
      </w:pPr>
      <w:r w:rsidRPr="00F57CA5">
        <w:rPr>
          <w:rFonts w:ascii="Arial" w:hAnsi="Arial" w:cs="Arial"/>
          <w:sz w:val="22"/>
          <w:szCs w:val="22"/>
        </w:rPr>
        <w:t xml:space="preserve">Dewhurst, K. and McKnight, A.L. (1969) ‘Psychiatric Aspects of Mental Health Legislation’. </w:t>
      </w:r>
      <w:r w:rsidRPr="00F57CA5">
        <w:rPr>
          <w:rFonts w:ascii="Arial" w:hAnsi="Arial" w:cs="Arial"/>
          <w:i/>
          <w:iCs/>
          <w:sz w:val="22"/>
          <w:szCs w:val="22"/>
        </w:rPr>
        <w:t>Medicine Science and the Law</w:t>
      </w:r>
      <w:r w:rsidRPr="00F57CA5">
        <w:rPr>
          <w:rFonts w:ascii="Arial" w:hAnsi="Arial" w:cs="Arial"/>
          <w:sz w:val="22"/>
          <w:szCs w:val="22"/>
        </w:rPr>
        <w:t xml:space="preserve">, 9(3), pp.183–187. Available at:   </w:t>
      </w:r>
      <w:hyperlink r:id="rId61" w:history="1">
        <w:r w:rsidRPr="00F57CA5">
          <w:rPr>
            <w:rStyle w:val="Hyperlink"/>
            <w:rFonts w:ascii="Arial" w:hAnsi="Arial" w:cs="Arial"/>
            <w:color w:val="2809E5"/>
            <w:sz w:val="22"/>
            <w:szCs w:val="22"/>
          </w:rPr>
          <w:t>https://doi.org/10.1177/002580246900900305</w:t>
        </w:r>
      </w:hyperlink>
      <w:r w:rsidRPr="00F57CA5">
        <w:rPr>
          <w:rFonts w:ascii="Arial" w:hAnsi="Arial" w:cs="Arial"/>
          <w:color w:val="2809E5"/>
          <w:sz w:val="22"/>
          <w:szCs w:val="22"/>
        </w:rPr>
        <w:t>.</w:t>
      </w:r>
    </w:p>
    <w:p w14:paraId="7387DD74"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Di Lorenzo, R., Girone, A., Panzera, N., Fiore, G., Pinelli, M., Venturi, G., Magarini, F. and Ferri, P. (2021) ‘Empathy and Perceived Burden in Caregivers of Patients with </w:t>
      </w:r>
      <w:r w:rsidRPr="00F57CA5">
        <w:rPr>
          <w:rFonts w:ascii="Arial" w:hAnsi="Arial" w:cs="Arial"/>
          <w:sz w:val="22"/>
          <w:szCs w:val="22"/>
        </w:rPr>
        <w:lastRenderedPageBreak/>
        <w:t xml:space="preserve">Schizophrenia Spectrum Disorders’. </w:t>
      </w:r>
      <w:r w:rsidRPr="00F57CA5">
        <w:rPr>
          <w:rFonts w:ascii="Arial" w:hAnsi="Arial" w:cs="Arial"/>
          <w:i/>
          <w:iCs/>
          <w:sz w:val="22"/>
          <w:szCs w:val="22"/>
        </w:rPr>
        <w:t>BMC Health Services Research</w:t>
      </w:r>
      <w:r w:rsidRPr="00F57CA5">
        <w:rPr>
          <w:rFonts w:ascii="Arial" w:hAnsi="Arial" w:cs="Arial"/>
          <w:sz w:val="22"/>
          <w:szCs w:val="22"/>
        </w:rPr>
        <w:t xml:space="preserve">, 21(1). Available at: </w:t>
      </w:r>
      <w:hyperlink r:id="rId62" w:history="1">
        <w:r w:rsidRPr="00F57CA5">
          <w:rPr>
            <w:rStyle w:val="Hyperlink"/>
            <w:rFonts w:ascii="Arial" w:hAnsi="Arial" w:cs="Arial"/>
            <w:color w:val="2809E5"/>
            <w:sz w:val="22"/>
            <w:szCs w:val="22"/>
          </w:rPr>
          <w:t>https://doi.org/10.1186/s12913-021-06258-x</w:t>
        </w:r>
      </w:hyperlink>
      <w:r w:rsidRPr="00F57CA5">
        <w:rPr>
          <w:rFonts w:ascii="Arial" w:hAnsi="Arial" w:cs="Arial"/>
          <w:color w:val="2809E5"/>
          <w:sz w:val="22"/>
          <w:szCs w:val="22"/>
        </w:rPr>
        <w:t>.</w:t>
      </w:r>
    </w:p>
    <w:p w14:paraId="3E479803"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Fabrazzo, M., Cipolla, S., Camerlengo, A., Perris, F. and Catapano, F. (2022) ‘Second-Generation Antipsychotics’ Effectiveness and Tolerability: A Review of Real-World Studies in Patients with Schizophrenia and Related Disorders’. </w:t>
      </w:r>
      <w:r w:rsidRPr="00F57CA5">
        <w:rPr>
          <w:rFonts w:ascii="Arial" w:hAnsi="Arial" w:cs="Arial"/>
          <w:i/>
          <w:iCs/>
          <w:sz w:val="22"/>
          <w:szCs w:val="22"/>
        </w:rPr>
        <w:t>Journal of Clinical Medicine</w:t>
      </w:r>
      <w:r w:rsidRPr="00F57CA5">
        <w:rPr>
          <w:rFonts w:ascii="Arial" w:hAnsi="Arial" w:cs="Arial"/>
          <w:sz w:val="22"/>
          <w:szCs w:val="22"/>
        </w:rPr>
        <w:t xml:space="preserve">, 11(15), p.4530. Available at: </w:t>
      </w:r>
      <w:hyperlink r:id="rId63" w:history="1">
        <w:r w:rsidRPr="00F57CA5">
          <w:rPr>
            <w:rStyle w:val="Hyperlink"/>
            <w:rFonts w:ascii="Arial" w:hAnsi="Arial" w:cs="Arial"/>
            <w:color w:val="2809E5"/>
            <w:sz w:val="22"/>
            <w:szCs w:val="22"/>
          </w:rPr>
          <w:t>https://doi.org/10.3390/jcm11154530</w:t>
        </w:r>
      </w:hyperlink>
      <w:r w:rsidRPr="00F57CA5">
        <w:rPr>
          <w:rFonts w:ascii="Arial" w:hAnsi="Arial" w:cs="Arial"/>
          <w:color w:val="2809E5"/>
          <w:sz w:val="22"/>
          <w:szCs w:val="22"/>
        </w:rPr>
        <w:t>.</w:t>
      </w:r>
    </w:p>
    <w:p w14:paraId="5B9F8215" w14:textId="77777777" w:rsidR="00342517" w:rsidRPr="00F57CA5" w:rsidRDefault="00342517" w:rsidP="00F57CA5">
      <w:pPr>
        <w:rPr>
          <w:rFonts w:ascii="Arial" w:hAnsi="Arial" w:cs="Arial"/>
        </w:rPr>
      </w:pPr>
      <w:r w:rsidRPr="00F57CA5">
        <w:rPr>
          <w:rFonts w:ascii="Arial" w:hAnsi="Arial" w:cs="Arial"/>
        </w:rPr>
        <w:t xml:space="preserve">Farah, F.H. (2018) Schizophrenia: ‘An Overview. </w:t>
      </w:r>
      <w:r w:rsidRPr="00F57CA5">
        <w:rPr>
          <w:rFonts w:ascii="Arial" w:hAnsi="Arial" w:cs="Arial"/>
          <w:i/>
          <w:iCs/>
        </w:rPr>
        <w:t>Asian Journal of Pharmaceutics’</w:t>
      </w:r>
      <w:r w:rsidRPr="00F57CA5">
        <w:rPr>
          <w:rFonts w:ascii="Arial" w:hAnsi="Arial" w:cs="Arial"/>
        </w:rPr>
        <w:t xml:space="preserve"> 12(2). </w:t>
      </w:r>
      <w:bookmarkStart w:id="50" w:name="_Hlk189496127"/>
      <w:r w:rsidRPr="00F57CA5">
        <w:rPr>
          <w:rFonts w:ascii="Arial" w:hAnsi="Arial" w:cs="Arial"/>
        </w:rPr>
        <w:t>Available at</w:t>
      </w:r>
      <w:bookmarkEnd w:id="50"/>
      <w:r w:rsidRPr="00F57CA5">
        <w:rPr>
          <w:rFonts w:ascii="Arial" w:hAnsi="Arial" w:cs="Arial"/>
        </w:rPr>
        <w:t xml:space="preserve">: </w:t>
      </w:r>
      <w:hyperlink r:id="rId64" w:history="1">
        <w:r w:rsidRPr="00F57CA5">
          <w:rPr>
            <w:rStyle w:val="Hyperlink"/>
            <w:rFonts w:ascii="Arial" w:hAnsi="Arial" w:cs="Arial"/>
            <w:color w:val="2809E5"/>
          </w:rPr>
          <w:t>https://doi.org/10.22377/ajp.v12i02.2319</w:t>
        </w:r>
      </w:hyperlink>
      <w:r w:rsidRPr="00F57CA5">
        <w:rPr>
          <w:rFonts w:ascii="Arial" w:hAnsi="Arial" w:cs="Arial"/>
          <w:color w:val="2809E5"/>
        </w:rPr>
        <w:t>.</w:t>
      </w:r>
    </w:p>
    <w:p w14:paraId="114E350D"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Faulkner, A., Carr, S., Gould, D., Khisa, C., Hafford</w:t>
      </w:r>
      <w:r w:rsidRPr="00F57CA5">
        <w:rPr>
          <w:rFonts w:ascii="Cambria Math" w:hAnsi="Cambria Math" w:cs="Cambria Math"/>
          <w:sz w:val="22"/>
          <w:szCs w:val="22"/>
        </w:rPr>
        <w:t>‐</w:t>
      </w:r>
      <w:r w:rsidRPr="00F57CA5">
        <w:rPr>
          <w:rFonts w:ascii="Arial" w:hAnsi="Arial" w:cs="Arial"/>
          <w:sz w:val="22"/>
          <w:szCs w:val="22"/>
        </w:rPr>
        <w:t>Letchfield, T., Cohen, R., Megele, C. and Holley, J. (2019) ‘Dignity and Respect’: An Example of Service User Leadership and Co</w:t>
      </w:r>
      <w:r w:rsidRPr="00F57CA5">
        <w:rPr>
          <w:rFonts w:ascii="Cambria Math" w:hAnsi="Cambria Math" w:cs="Cambria Math"/>
          <w:sz w:val="22"/>
          <w:szCs w:val="22"/>
        </w:rPr>
        <w:t>‐</w:t>
      </w:r>
      <w:r w:rsidRPr="00F57CA5">
        <w:rPr>
          <w:rFonts w:ascii="Arial" w:hAnsi="Arial" w:cs="Arial"/>
          <w:sz w:val="22"/>
          <w:szCs w:val="22"/>
        </w:rPr>
        <w:t xml:space="preserve">Production in Mental Health Research’. </w:t>
      </w:r>
      <w:r w:rsidRPr="00F57CA5">
        <w:rPr>
          <w:rFonts w:ascii="Arial" w:hAnsi="Arial" w:cs="Arial"/>
          <w:i/>
          <w:iCs/>
          <w:sz w:val="22"/>
          <w:szCs w:val="22"/>
        </w:rPr>
        <w:t>Health Expectations</w:t>
      </w:r>
      <w:r w:rsidRPr="00F57CA5">
        <w:rPr>
          <w:rFonts w:ascii="Arial" w:hAnsi="Arial" w:cs="Arial"/>
          <w:sz w:val="22"/>
          <w:szCs w:val="22"/>
        </w:rPr>
        <w:t xml:space="preserve">, 24(S1). Available at:  </w:t>
      </w:r>
      <w:hyperlink r:id="rId65" w:history="1">
        <w:r w:rsidRPr="00F57CA5">
          <w:rPr>
            <w:rStyle w:val="Hyperlink"/>
            <w:rFonts w:ascii="Arial" w:hAnsi="Arial" w:cs="Arial"/>
            <w:color w:val="2809E5"/>
            <w:sz w:val="22"/>
            <w:szCs w:val="22"/>
          </w:rPr>
          <w:t>https://doi.org/10.1111/hex.12963</w:t>
        </w:r>
      </w:hyperlink>
      <w:r w:rsidRPr="00F57CA5">
        <w:rPr>
          <w:rFonts w:ascii="Arial" w:hAnsi="Arial" w:cs="Arial"/>
          <w:color w:val="2809E5"/>
          <w:sz w:val="22"/>
          <w:szCs w:val="22"/>
        </w:rPr>
        <w:t>.</w:t>
      </w:r>
    </w:p>
    <w:p w14:paraId="0055E9E6"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Fava, G.A. and Sonino, N. (2007) ‘The Biopsychosocial Model Thirty Years Later’. </w:t>
      </w:r>
      <w:r w:rsidRPr="00F57CA5">
        <w:rPr>
          <w:rFonts w:ascii="Arial" w:hAnsi="Arial" w:cs="Arial"/>
          <w:i/>
          <w:iCs/>
          <w:sz w:val="22"/>
          <w:szCs w:val="22"/>
        </w:rPr>
        <w:t>Psychotherapy and Psychosomatics</w:t>
      </w:r>
      <w:r w:rsidRPr="00F57CA5">
        <w:rPr>
          <w:rFonts w:ascii="Arial" w:hAnsi="Arial" w:cs="Arial"/>
          <w:sz w:val="22"/>
          <w:szCs w:val="22"/>
        </w:rPr>
        <w:t xml:space="preserve">, 77(1), pp.1–2. Available at:  </w:t>
      </w:r>
      <w:hyperlink r:id="rId66" w:history="1">
        <w:r w:rsidRPr="00F57CA5">
          <w:rPr>
            <w:rStyle w:val="Hyperlink"/>
            <w:rFonts w:ascii="Arial" w:hAnsi="Arial" w:cs="Arial"/>
            <w:color w:val="2809E5"/>
            <w:sz w:val="22"/>
            <w:szCs w:val="22"/>
          </w:rPr>
          <w:t>https://doi.org/10.1159/000110052</w:t>
        </w:r>
      </w:hyperlink>
      <w:r w:rsidRPr="00F57CA5">
        <w:rPr>
          <w:rFonts w:ascii="Arial" w:hAnsi="Arial" w:cs="Arial"/>
          <w:color w:val="2809E5"/>
          <w:sz w:val="22"/>
          <w:szCs w:val="22"/>
        </w:rPr>
        <w:t>.</w:t>
      </w:r>
    </w:p>
    <w:p w14:paraId="7AFADC8A"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Federal Register (2023) </w:t>
      </w:r>
      <w:r w:rsidRPr="00F57CA5">
        <w:rPr>
          <w:rFonts w:ascii="Arial" w:hAnsi="Arial" w:cs="Arial"/>
          <w:i/>
          <w:iCs/>
          <w:sz w:val="22"/>
          <w:szCs w:val="22"/>
        </w:rPr>
        <w:t>Federal Register: Request Access</w:t>
      </w:r>
      <w:r w:rsidRPr="00F57CA5">
        <w:rPr>
          <w:rFonts w:ascii="Arial" w:hAnsi="Arial" w:cs="Arial"/>
          <w:sz w:val="22"/>
          <w:szCs w:val="22"/>
        </w:rPr>
        <w:t xml:space="preserve">. Available at: </w:t>
      </w:r>
      <w:hyperlink r:id="rId67" w:history="1">
        <w:r w:rsidRPr="00F57CA5">
          <w:rPr>
            <w:rStyle w:val="Hyperlink"/>
            <w:rFonts w:ascii="Arial" w:hAnsi="Arial" w:cs="Arial"/>
            <w:color w:val="2809E5"/>
            <w:sz w:val="22"/>
            <w:szCs w:val="22"/>
          </w:rPr>
          <w:t>https://www.federalregister.gov/documents/2023/08/03/2023-15945/requirements-related-to-the-mental-health-parity-and-addiction-equity-act</w:t>
        </w:r>
      </w:hyperlink>
      <w:r w:rsidRPr="00F57CA5">
        <w:rPr>
          <w:rFonts w:ascii="Arial" w:hAnsi="Arial" w:cs="Arial"/>
          <w:color w:val="2809E5"/>
          <w:sz w:val="22"/>
          <w:szCs w:val="22"/>
        </w:rPr>
        <w:t xml:space="preserve">. </w:t>
      </w:r>
      <w:r w:rsidRPr="00F57CA5">
        <w:rPr>
          <w:rFonts w:ascii="Arial" w:hAnsi="Arial" w:cs="Arial"/>
          <w:sz w:val="22"/>
          <w:szCs w:val="22"/>
        </w:rPr>
        <w:t xml:space="preserve">(Accessed: 15 June 2025).  </w:t>
      </w:r>
    </w:p>
    <w:p w14:paraId="04EB9EFC"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Ferguson, K.M., Teixeira, S., Wernick, L.J. and Burghardt, S. (2018) ‘Macro Interventions and Their Influence on Individual and Community Well-Being’. </w:t>
      </w:r>
      <w:r w:rsidRPr="00F57CA5">
        <w:rPr>
          <w:rFonts w:ascii="Arial" w:hAnsi="Arial" w:cs="Arial"/>
          <w:i/>
          <w:iCs/>
          <w:sz w:val="22"/>
          <w:szCs w:val="22"/>
        </w:rPr>
        <w:t>Journal of Social Work</w:t>
      </w:r>
      <w:r w:rsidRPr="00F57CA5">
        <w:rPr>
          <w:rFonts w:ascii="Arial" w:hAnsi="Arial" w:cs="Arial"/>
          <w:sz w:val="22"/>
          <w:szCs w:val="22"/>
        </w:rPr>
        <w:t xml:space="preserve">, 18(6), pp.679–702. Available at:  </w:t>
      </w:r>
      <w:hyperlink r:id="rId68" w:history="1">
        <w:r w:rsidRPr="00F57CA5">
          <w:rPr>
            <w:rStyle w:val="Hyperlink"/>
            <w:rFonts w:ascii="Arial" w:hAnsi="Arial" w:cs="Arial"/>
            <w:color w:val="2809E5"/>
            <w:sz w:val="22"/>
            <w:szCs w:val="22"/>
          </w:rPr>
          <w:t>https://doi.org/10.1177/1468017318757160</w:t>
        </w:r>
      </w:hyperlink>
      <w:r w:rsidRPr="00F57CA5">
        <w:rPr>
          <w:rFonts w:ascii="Arial" w:hAnsi="Arial" w:cs="Arial"/>
          <w:color w:val="2809E5"/>
          <w:sz w:val="22"/>
          <w:szCs w:val="22"/>
        </w:rPr>
        <w:t>.</w:t>
      </w:r>
    </w:p>
    <w:p w14:paraId="5E3EED5B"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Gaebel, W. and Zielasek, J. (2015) ‘Schizophrenia in 2020: Trends in Diagnosis and Therapy’. </w:t>
      </w:r>
      <w:r w:rsidRPr="00F57CA5">
        <w:rPr>
          <w:rFonts w:ascii="Arial" w:hAnsi="Arial" w:cs="Arial"/>
          <w:i/>
          <w:iCs/>
          <w:sz w:val="22"/>
          <w:szCs w:val="22"/>
        </w:rPr>
        <w:t>Psychiatry and Clinical Neurosciences</w:t>
      </w:r>
      <w:r w:rsidRPr="00F57CA5">
        <w:rPr>
          <w:rFonts w:ascii="Arial" w:hAnsi="Arial" w:cs="Arial"/>
          <w:sz w:val="22"/>
          <w:szCs w:val="22"/>
        </w:rPr>
        <w:t xml:space="preserve">, [online] 69(11), pp.661–673. Available at: </w:t>
      </w:r>
      <w:hyperlink r:id="rId69" w:history="1">
        <w:r w:rsidRPr="00F57CA5">
          <w:rPr>
            <w:rStyle w:val="Hyperlink"/>
            <w:rFonts w:ascii="Arial" w:hAnsi="Arial" w:cs="Arial"/>
            <w:color w:val="2809E5"/>
            <w:sz w:val="22"/>
            <w:szCs w:val="22"/>
          </w:rPr>
          <w:t>https://doi.org/10.1111/pcn.12322</w:t>
        </w:r>
      </w:hyperlink>
      <w:r w:rsidRPr="00F57CA5">
        <w:rPr>
          <w:rFonts w:ascii="Arial" w:hAnsi="Arial" w:cs="Arial"/>
          <w:color w:val="2809E5"/>
          <w:sz w:val="22"/>
          <w:szCs w:val="22"/>
        </w:rPr>
        <w:t>.</w:t>
      </w:r>
    </w:p>
    <w:p w14:paraId="2F24A4A9"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Gaebel, W., Weinmann, S., Sartorius, N., Rutz, W. and McIntyre, J.S. (2005) ‘Schizophrenia Practice Guidelines: International Survey and Comparison’. </w:t>
      </w:r>
      <w:r w:rsidRPr="00F57CA5">
        <w:rPr>
          <w:rFonts w:ascii="Arial" w:hAnsi="Arial" w:cs="Arial"/>
          <w:i/>
          <w:iCs/>
          <w:sz w:val="22"/>
          <w:szCs w:val="22"/>
        </w:rPr>
        <w:t>British Journal of Psychiatry</w:t>
      </w:r>
      <w:r w:rsidRPr="00F57CA5">
        <w:rPr>
          <w:rFonts w:ascii="Arial" w:hAnsi="Arial" w:cs="Arial"/>
          <w:sz w:val="22"/>
          <w:szCs w:val="22"/>
        </w:rPr>
        <w:t xml:space="preserve">, 187(3), pp.248–255. Available at: </w:t>
      </w:r>
      <w:hyperlink r:id="rId70" w:history="1">
        <w:r w:rsidRPr="00F57CA5">
          <w:rPr>
            <w:rStyle w:val="Hyperlink"/>
            <w:rFonts w:ascii="Arial" w:hAnsi="Arial" w:cs="Arial"/>
            <w:color w:val="2809E5"/>
            <w:sz w:val="22"/>
            <w:szCs w:val="22"/>
          </w:rPr>
          <w:t>https://doi.org/10.1192/bjp.187.3.248</w:t>
        </w:r>
      </w:hyperlink>
      <w:r w:rsidRPr="00F57CA5">
        <w:rPr>
          <w:rFonts w:ascii="Arial" w:hAnsi="Arial" w:cs="Arial"/>
          <w:color w:val="2809E5"/>
          <w:sz w:val="22"/>
          <w:szCs w:val="22"/>
        </w:rPr>
        <w:t>.</w:t>
      </w:r>
    </w:p>
    <w:p w14:paraId="2BCDB0C0"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Galer-Unti, R.A. and Tappe, M. (2019) ‘Community Health Interventions’. </w:t>
      </w:r>
      <w:r w:rsidRPr="00F57CA5">
        <w:rPr>
          <w:rFonts w:ascii="Arial" w:hAnsi="Arial" w:cs="Arial"/>
          <w:i/>
          <w:iCs/>
          <w:sz w:val="22"/>
          <w:szCs w:val="22"/>
        </w:rPr>
        <w:t>Public Health</w:t>
      </w:r>
      <w:r w:rsidRPr="00F57CA5">
        <w:rPr>
          <w:rFonts w:ascii="Arial" w:hAnsi="Arial" w:cs="Arial"/>
          <w:sz w:val="22"/>
          <w:szCs w:val="22"/>
        </w:rPr>
        <w:t xml:space="preserve">. Available at: </w:t>
      </w:r>
      <w:hyperlink r:id="rId71" w:history="1">
        <w:r w:rsidRPr="00F57CA5">
          <w:rPr>
            <w:rStyle w:val="Hyperlink"/>
            <w:rFonts w:ascii="Arial" w:hAnsi="Arial" w:cs="Arial"/>
            <w:color w:val="2809E5"/>
            <w:sz w:val="22"/>
            <w:szCs w:val="22"/>
          </w:rPr>
          <w:t>https://doi.org/10.1093/obo/9780199756797-0193</w:t>
        </w:r>
      </w:hyperlink>
      <w:r w:rsidRPr="00F57CA5">
        <w:rPr>
          <w:rFonts w:ascii="Arial" w:hAnsi="Arial" w:cs="Arial"/>
          <w:color w:val="2809E5"/>
          <w:sz w:val="22"/>
          <w:szCs w:val="22"/>
        </w:rPr>
        <w:t>.</w:t>
      </w:r>
    </w:p>
    <w:p w14:paraId="0D0288ED"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lastRenderedPageBreak/>
        <w:t xml:space="preserve">Gibson, D.M. (2001) </w:t>
      </w:r>
      <w:r w:rsidRPr="00F57CA5">
        <w:rPr>
          <w:rFonts w:ascii="Arial" w:hAnsi="Arial" w:cs="Arial"/>
          <w:i/>
          <w:iCs/>
          <w:sz w:val="22"/>
          <w:szCs w:val="22"/>
        </w:rPr>
        <w:t>De-institutionalisation: The move to community-based care</w:t>
      </w:r>
      <w:r w:rsidRPr="00F57CA5">
        <w:rPr>
          <w:rFonts w:ascii="Arial" w:hAnsi="Arial" w:cs="Arial"/>
          <w:sz w:val="22"/>
          <w:szCs w:val="22"/>
        </w:rPr>
        <w:t>. Available at:</w:t>
      </w:r>
      <w:hyperlink r:id="rId72" w:history="1">
        <w:r w:rsidRPr="00F57CA5">
          <w:rPr>
            <w:rStyle w:val="Hyperlink"/>
            <w:rFonts w:ascii="Arial" w:hAnsi="Arial" w:cs="Arial"/>
            <w:color w:val="2809E5"/>
            <w:sz w:val="22"/>
            <w:szCs w:val="22"/>
          </w:rPr>
          <w:t>https://www.researchgate.net/publication/255716547_Deinstitutionalisation_The_move_tocommunity_based_care</w:t>
        </w:r>
      </w:hyperlink>
      <w:r w:rsidRPr="00F57CA5">
        <w:rPr>
          <w:rFonts w:ascii="Arial" w:hAnsi="Arial" w:cs="Arial"/>
          <w:color w:val="2809E5"/>
          <w:sz w:val="22"/>
          <w:szCs w:val="22"/>
        </w:rPr>
        <w:t xml:space="preserve">. </w:t>
      </w:r>
      <w:r w:rsidRPr="00F57CA5">
        <w:rPr>
          <w:rFonts w:ascii="Arial" w:hAnsi="Arial" w:cs="Arial"/>
          <w:sz w:val="22"/>
          <w:szCs w:val="22"/>
        </w:rPr>
        <w:t xml:space="preserve">(Accessed: 10 June 2025).  </w:t>
      </w:r>
    </w:p>
    <w:p w14:paraId="354B910A"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Gov.UK (2010) </w:t>
      </w:r>
      <w:r w:rsidRPr="00F57CA5">
        <w:rPr>
          <w:rFonts w:ascii="Arial" w:hAnsi="Arial" w:cs="Arial"/>
          <w:i/>
          <w:iCs/>
          <w:sz w:val="22"/>
          <w:szCs w:val="22"/>
        </w:rPr>
        <w:t>Equality Act 2010</w:t>
      </w:r>
      <w:r w:rsidRPr="00F57CA5">
        <w:rPr>
          <w:rFonts w:ascii="Arial" w:hAnsi="Arial" w:cs="Arial"/>
          <w:sz w:val="22"/>
          <w:szCs w:val="22"/>
        </w:rPr>
        <w:t>. Available at:</w:t>
      </w:r>
      <w:r w:rsidRPr="00F57CA5">
        <w:rPr>
          <w:rFonts w:ascii="Arial" w:hAnsi="Arial" w:cs="Arial"/>
          <w:color w:val="2809E5"/>
          <w:sz w:val="22"/>
          <w:szCs w:val="22"/>
        </w:rPr>
        <w:t xml:space="preserve"> </w:t>
      </w:r>
      <w:hyperlink r:id="rId73" w:history="1">
        <w:r w:rsidRPr="00F57CA5">
          <w:rPr>
            <w:rStyle w:val="Hyperlink"/>
            <w:rFonts w:ascii="Arial" w:hAnsi="Arial" w:cs="Arial"/>
            <w:color w:val="2809E5"/>
            <w:sz w:val="22"/>
            <w:szCs w:val="22"/>
          </w:rPr>
          <w:t>https://www.gov.uk/guidance/equality-act-2010-guidance</w:t>
        </w:r>
      </w:hyperlink>
      <w:r w:rsidRPr="00F57CA5">
        <w:rPr>
          <w:rFonts w:ascii="Arial" w:hAnsi="Arial" w:cs="Arial"/>
          <w:sz w:val="22"/>
          <w:szCs w:val="22"/>
        </w:rPr>
        <w:t xml:space="preserve">. (Accessed: 11 June 2025).  </w:t>
      </w:r>
    </w:p>
    <w:p w14:paraId="2F07F52A"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GOV.UK (2013) </w:t>
      </w:r>
      <w:r w:rsidRPr="00F57CA5">
        <w:rPr>
          <w:rFonts w:ascii="Arial" w:hAnsi="Arial" w:cs="Arial"/>
          <w:i/>
          <w:iCs/>
          <w:sz w:val="22"/>
          <w:szCs w:val="22"/>
        </w:rPr>
        <w:t>Equality Act 2010</w:t>
      </w:r>
      <w:r w:rsidRPr="00F57CA5">
        <w:rPr>
          <w:rFonts w:ascii="Arial" w:hAnsi="Arial" w:cs="Arial"/>
          <w:sz w:val="22"/>
          <w:szCs w:val="22"/>
        </w:rPr>
        <w:t xml:space="preserve">. Available at: </w:t>
      </w:r>
      <w:hyperlink r:id="rId74" w:history="1">
        <w:r w:rsidRPr="00F57CA5">
          <w:rPr>
            <w:rStyle w:val="Hyperlink"/>
            <w:rFonts w:ascii="Arial" w:hAnsi="Arial" w:cs="Arial"/>
            <w:color w:val="2809E5"/>
            <w:sz w:val="22"/>
            <w:szCs w:val="22"/>
          </w:rPr>
          <w:t>https://www.gov.uk/guidance/equality-act-2010-guidance</w:t>
        </w:r>
      </w:hyperlink>
      <w:r w:rsidRPr="00F57CA5">
        <w:rPr>
          <w:rFonts w:ascii="Arial" w:hAnsi="Arial" w:cs="Arial"/>
          <w:sz w:val="22"/>
          <w:szCs w:val="22"/>
        </w:rPr>
        <w:t xml:space="preserve">. (Accessed: 15 June 2025).  </w:t>
      </w:r>
    </w:p>
    <w:p w14:paraId="5F551F80"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GOV.UK (2025) </w:t>
      </w:r>
      <w:r w:rsidRPr="00F57CA5">
        <w:rPr>
          <w:rFonts w:ascii="Arial" w:hAnsi="Arial" w:cs="Arial"/>
          <w:i/>
          <w:iCs/>
          <w:sz w:val="22"/>
          <w:szCs w:val="22"/>
        </w:rPr>
        <w:t>Mental Health Act 1983</w:t>
      </w:r>
      <w:r w:rsidRPr="00F57CA5">
        <w:rPr>
          <w:rFonts w:ascii="Arial" w:hAnsi="Arial" w:cs="Arial"/>
          <w:sz w:val="22"/>
          <w:szCs w:val="22"/>
        </w:rPr>
        <w:t xml:space="preserve">. Available at: </w:t>
      </w:r>
      <w:hyperlink r:id="rId75" w:history="1">
        <w:r w:rsidRPr="00F57CA5">
          <w:rPr>
            <w:rStyle w:val="Hyperlink"/>
            <w:rFonts w:ascii="Arial" w:hAnsi="Arial" w:cs="Arial"/>
            <w:color w:val="2809E5"/>
            <w:sz w:val="22"/>
            <w:szCs w:val="22"/>
          </w:rPr>
          <w:t>https://www.legislation.gov.uk/ukpga/1983/20/contents?utm</w:t>
        </w:r>
      </w:hyperlink>
      <w:r w:rsidRPr="00F57CA5">
        <w:rPr>
          <w:rFonts w:ascii="Arial" w:hAnsi="Arial" w:cs="Arial"/>
          <w:sz w:val="22"/>
          <w:szCs w:val="22"/>
        </w:rPr>
        <w:t xml:space="preserve"> (Accessed: 19 July 2025).</w:t>
      </w:r>
    </w:p>
    <w:p w14:paraId="5FA66A22"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Government of India (2017) </w:t>
      </w:r>
      <w:r w:rsidRPr="00F57CA5">
        <w:rPr>
          <w:rFonts w:ascii="Arial" w:hAnsi="Arial" w:cs="Arial"/>
          <w:i/>
          <w:iCs/>
          <w:sz w:val="22"/>
          <w:szCs w:val="22"/>
        </w:rPr>
        <w:t>The Mental Healthcare Act, 2017 Arrangement of Sections Chapter I Preliminary Sections 1. Short Title, Extent and Commencement. 2. Definitions. Chapter II Mental Illness and Capacity to Make Mental Healthcare and Treatment Decisions</w:t>
      </w:r>
      <w:r w:rsidRPr="00F57CA5">
        <w:rPr>
          <w:rFonts w:ascii="Arial" w:hAnsi="Arial" w:cs="Arial"/>
          <w:sz w:val="22"/>
          <w:szCs w:val="22"/>
        </w:rPr>
        <w:t xml:space="preserve">. Available At: </w:t>
      </w:r>
      <w:hyperlink r:id="rId76" w:history="1">
        <w:r w:rsidRPr="00F57CA5">
          <w:rPr>
            <w:rStyle w:val="Hyperlink"/>
            <w:rFonts w:ascii="Arial" w:hAnsi="Arial" w:cs="Arial"/>
            <w:color w:val="2809E5"/>
            <w:sz w:val="22"/>
            <w:szCs w:val="22"/>
          </w:rPr>
          <w:t>Https://Www.Indiacode.Nic.In/Bitstream/123456789/2249/1/A2017-10.Pdf</w:t>
        </w:r>
      </w:hyperlink>
      <w:r w:rsidRPr="00F57CA5">
        <w:rPr>
          <w:rFonts w:ascii="Arial" w:hAnsi="Arial" w:cs="Arial"/>
          <w:color w:val="2809E5"/>
          <w:sz w:val="22"/>
          <w:szCs w:val="22"/>
        </w:rPr>
        <w:t xml:space="preserve">. </w:t>
      </w:r>
      <w:r w:rsidRPr="00F57CA5">
        <w:rPr>
          <w:rFonts w:ascii="Arial" w:hAnsi="Arial" w:cs="Arial"/>
          <w:sz w:val="22"/>
          <w:szCs w:val="22"/>
        </w:rPr>
        <w:t xml:space="preserve">(Accessed: 8 May 2025).  </w:t>
      </w:r>
    </w:p>
    <w:p w14:paraId="0E428521"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Granholm, E., Holden, J.L., Sommerfeld, D., Rufener, C., Perivoliotis, D., Mueser, K. and Aarons, G.A. (2015) ‘Enhancing Assertive Community Treatment with Cognitive Behavioural Social Skills Training for Schizophrenia: Study Protocol for A Randomised Controlled Trial’. </w:t>
      </w:r>
      <w:r w:rsidRPr="00F57CA5">
        <w:rPr>
          <w:rFonts w:ascii="Arial" w:hAnsi="Arial" w:cs="Arial"/>
          <w:i/>
          <w:iCs/>
          <w:sz w:val="22"/>
          <w:szCs w:val="22"/>
        </w:rPr>
        <w:t>Trials</w:t>
      </w:r>
      <w:r w:rsidRPr="00F57CA5">
        <w:rPr>
          <w:rFonts w:ascii="Arial" w:hAnsi="Arial" w:cs="Arial"/>
          <w:sz w:val="22"/>
          <w:szCs w:val="22"/>
        </w:rPr>
        <w:t xml:space="preserve">, 16(1). Available at: </w:t>
      </w:r>
      <w:hyperlink r:id="rId77" w:history="1">
        <w:r w:rsidRPr="00F57CA5">
          <w:rPr>
            <w:rStyle w:val="Hyperlink"/>
            <w:rFonts w:ascii="Arial" w:hAnsi="Arial" w:cs="Arial"/>
            <w:color w:val="2809E5"/>
            <w:sz w:val="22"/>
            <w:szCs w:val="22"/>
          </w:rPr>
          <w:t>https://doi.org/10.1186/s13063-015-0967-8</w:t>
        </w:r>
      </w:hyperlink>
      <w:r w:rsidRPr="00F57CA5">
        <w:rPr>
          <w:rFonts w:ascii="Arial" w:hAnsi="Arial" w:cs="Arial"/>
          <w:color w:val="2809E5"/>
          <w:sz w:val="22"/>
          <w:szCs w:val="22"/>
        </w:rPr>
        <w:t>.</w:t>
      </w:r>
    </w:p>
    <w:p w14:paraId="28F9F03F"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Gray, J. (2021) ‘Reform of the Mental Health Act in the UK’. </w:t>
      </w:r>
      <w:r w:rsidRPr="00F57CA5">
        <w:rPr>
          <w:rFonts w:ascii="Arial" w:hAnsi="Arial" w:cs="Arial"/>
          <w:i/>
          <w:iCs/>
          <w:sz w:val="22"/>
          <w:szCs w:val="22"/>
        </w:rPr>
        <w:t>The Lancet Psychiatry</w:t>
      </w:r>
      <w:r w:rsidRPr="00F57CA5">
        <w:rPr>
          <w:rFonts w:ascii="Arial" w:hAnsi="Arial" w:cs="Arial"/>
          <w:sz w:val="22"/>
          <w:szCs w:val="22"/>
        </w:rPr>
        <w:t xml:space="preserve">, 8(8), pp.652–653. Available At: </w:t>
      </w:r>
      <w:hyperlink r:id="rId78" w:history="1">
        <w:r w:rsidRPr="00F57CA5">
          <w:rPr>
            <w:rStyle w:val="Hyperlink"/>
            <w:rFonts w:ascii="Arial" w:hAnsi="Arial" w:cs="Arial"/>
            <w:color w:val="2809E5"/>
            <w:sz w:val="22"/>
            <w:szCs w:val="22"/>
          </w:rPr>
          <w:t>https://doi.org/10.1016/s2215-0366(21)00214–5</w:t>
        </w:r>
      </w:hyperlink>
      <w:r w:rsidRPr="00F57CA5">
        <w:rPr>
          <w:rFonts w:ascii="Arial" w:hAnsi="Arial" w:cs="Arial"/>
          <w:color w:val="2809E5"/>
          <w:sz w:val="22"/>
          <w:szCs w:val="22"/>
        </w:rPr>
        <w:t>.</w:t>
      </w:r>
    </w:p>
    <w:p w14:paraId="17826FA4"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Grewal, A., Kataria, H. and Dhawan, I. (2016) ‘Literature Search for Research Planning and Identification of Research Problem’. </w:t>
      </w:r>
      <w:r w:rsidRPr="00F57CA5">
        <w:rPr>
          <w:rFonts w:ascii="Arial" w:hAnsi="Arial" w:cs="Arial"/>
          <w:i/>
          <w:iCs/>
          <w:sz w:val="22"/>
          <w:szCs w:val="22"/>
        </w:rPr>
        <w:t>Indian Journal of Anaesthesia</w:t>
      </w:r>
      <w:r w:rsidRPr="00F57CA5">
        <w:rPr>
          <w:rFonts w:ascii="Arial" w:hAnsi="Arial" w:cs="Arial"/>
          <w:sz w:val="22"/>
          <w:szCs w:val="22"/>
        </w:rPr>
        <w:t xml:space="preserve">, [online] 60(9), pp.635–639. Available at:  </w:t>
      </w:r>
      <w:hyperlink r:id="rId79" w:history="1">
        <w:r w:rsidRPr="00F57CA5">
          <w:rPr>
            <w:rStyle w:val="Hyperlink"/>
            <w:rFonts w:ascii="Arial" w:hAnsi="Arial" w:cs="Arial"/>
            <w:color w:val="2809E5"/>
            <w:sz w:val="22"/>
            <w:szCs w:val="22"/>
          </w:rPr>
          <w:t>https://doi.org/10.4103/0019-5049.190618</w:t>
        </w:r>
      </w:hyperlink>
      <w:r w:rsidRPr="00F57CA5">
        <w:rPr>
          <w:rFonts w:ascii="Arial" w:hAnsi="Arial" w:cs="Arial"/>
          <w:color w:val="2809E5"/>
          <w:sz w:val="22"/>
          <w:szCs w:val="22"/>
        </w:rPr>
        <w:t>.</w:t>
      </w:r>
    </w:p>
    <w:p w14:paraId="02019663"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Guidi, J., Brakemeier, E.-L., Bockting, Claudi L.H., Cosci, F., Cuijpers, P., Jarrett, Robin B., Linden, M., Marks, I., Peretti, Charles S., Rafanelli, C., Rief, W., Schneider, S., Schnyder, U., Sensky, T., Tomba, E., Vazquez, C., Vieta, E., Zipfel, S., Wright, Jesse H. and Fava, Giovanni A. (2018) ‘Methodological Recommendations for Trials of Psychological Interventions’. </w:t>
      </w:r>
      <w:r w:rsidRPr="00F57CA5">
        <w:rPr>
          <w:rFonts w:ascii="Arial" w:hAnsi="Arial" w:cs="Arial"/>
          <w:i/>
          <w:iCs/>
          <w:sz w:val="22"/>
          <w:szCs w:val="22"/>
        </w:rPr>
        <w:t>Psychotherapy and Psychosomatics</w:t>
      </w:r>
      <w:r w:rsidRPr="00F57CA5">
        <w:rPr>
          <w:rFonts w:ascii="Arial" w:hAnsi="Arial" w:cs="Arial"/>
          <w:sz w:val="22"/>
          <w:szCs w:val="22"/>
        </w:rPr>
        <w:t xml:space="preserve">, 87(5), pp.276–284. Available at: </w:t>
      </w:r>
      <w:hyperlink r:id="rId80" w:history="1">
        <w:r w:rsidRPr="00F57CA5">
          <w:rPr>
            <w:rStyle w:val="Hyperlink"/>
            <w:rFonts w:ascii="Arial" w:hAnsi="Arial" w:cs="Arial"/>
            <w:color w:val="2809E5"/>
            <w:sz w:val="22"/>
            <w:szCs w:val="22"/>
          </w:rPr>
          <w:t>https://doi.org/10.1159/000490574</w:t>
        </w:r>
      </w:hyperlink>
      <w:r w:rsidRPr="00F57CA5">
        <w:rPr>
          <w:rFonts w:ascii="Arial" w:hAnsi="Arial" w:cs="Arial"/>
          <w:color w:val="2809E5"/>
          <w:sz w:val="22"/>
          <w:szCs w:val="22"/>
        </w:rPr>
        <w:t>.</w:t>
      </w:r>
    </w:p>
    <w:p w14:paraId="11F30319"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lastRenderedPageBreak/>
        <w:t xml:space="preserve">Gupta, I. (2020) </w:t>
      </w:r>
      <w:r w:rsidRPr="00F57CA5">
        <w:rPr>
          <w:rFonts w:ascii="Arial" w:hAnsi="Arial" w:cs="Arial"/>
          <w:i/>
          <w:iCs/>
          <w:sz w:val="22"/>
          <w:szCs w:val="22"/>
        </w:rPr>
        <w:t>India Commonwealth Fund</w:t>
      </w:r>
      <w:r w:rsidRPr="00F57CA5">
        <w:rPr>
          <w:rFonts w:ascii="Arial" w:hAnsi="Arial" w:cs="Arial"/>
          <w:sz w:val="22"/>
          <w:szCs w:val="22"/>
        </w:rPr>
        <w:t xml:space="preserve">. Available at: </w:t>
      </w:r>
      <w:hyperlink r:id="rId81" w:history="1">
        <w:r w:rsidRPr="00F57CA5">
          <w:rPr>
            <w:rStyle w:val="Hyperlink"/>
            <w:rFonts w:ascii="Arial" w:hAnsi="Arial" w:cs="Arial"/>
            <w:color w:val="2809E5"/>
            <w:sz w:val="22"/>
            <w:szCs w:val="22"/>
          </w:rPr>
          <w:t>https://www.commonwealthfund.org/international-health-policy-center/countries/india</w:t>
        </w:r>
      </w:hyperlink>
      <w:r w:rsidRPr="00F57CA5">
        <w:rPr>
          <w:rFonts w:ascii="Arial" w:hAnsi="Arial" w:cs="Arial"/>
          <w:color w:val="2809E5"/>
          <w:sz w:val="22"/>
          <w:szCs w:val="22"/>
        </w:rPr>
        <w:t xml:space="preserve">. </w:t>
      </w:r>
      <w:r w:rsidRPr="00F57CA5">
        <w:rPr>
          <w:rFonts w:ascii="Arial" w:hAnsi="Arial" w:cs="Arial"/>
          <w:sz w:val="22"/>
          <w:szCs w:val="22"/>
        </w:rPr>
        <w:t xml:space="preserve">(Accessed: 15 March 2025).  </w:t>
      </w:r>
    </w:p>
    <w:p w14:paraId="32CA933A" w14:textId="77777777" w:rsidR="00342517" w:rsidRPr="00F57CA5" w:rsidRDefault="00342517" w:rsidP="00F57CA5">
      <w:pPr>
        <w:pStyle w:val="NormalWeb"/>
        <w:spacing w:line="360" w:lineRule="auto"/>
        <w:rPr>
          <w:rFonts w:ascii="Arial" w:hAnsi="Arial" w:cs="Arial"/>
          <w:color w:val="2809E5"/>
          <w:sz w:val="22"/>
          <w:szCs w:val="22"/>
        </w:rPr>
      </w:pPr>
      <w:r w:rsidRPr="00F57CA5">
        <w:rPr>
          <w:rFonts w:ascii="Arial" w:hAnsi="Arial" w:cs="Arial"/>
          <w:sz w:val="22"/>
          <w:szCs w:val="22"/>
        </w:rPr>
        <w:t xml:space="preserve">Gupta, S. and Sagar, R. (2021) National Mental Health Policy, India (2014): Where Have We Reached? </w:t>
      </w:r>
      <w:r w:rsidRPr="00F57CA5">
        <w:rPr>
          <w:rFonts w:ascii="Arial" w:hAnsi="Arial" w:cs="Arial"/>
          <w:i/>
          <w:iCs/>
          <w:sz w:val="22"/>
          <w:szCs w:val="22"/>
        </w:rPr>
        <w:t>Indian Journal of Psychological Medicine</w:t>
      </w:r>
      <w:r w:rsidRPr="00F57CA5">
        <w:rPr>
          <w:rFonts w:ascii="Arial" w:hAnsi="Arial" w:cs="Arial"/>
          <w:sz w:val="22"/>
          <w:szCs w:val="22"/>
        </w:rPr>
        <w:t xml:space="preserve">, 44(5), p.025371762110483. Available at: </w:t>
      </w:r>
      <w:hyperlink r:id="rId82" w:history="1">
        <w:r w:rsidRPr="00F57CA5">
          <w:rPr>
            <w:rStyle w:val="Hyperlink"/>
            <w:rFonts w:ascii="Arial" w:hAnsi="Arial" w:cs="Arial"/>
            <w:sz w:val="22"/>
            <w:szCs w:val="22"/>
          </w:rPr>
          <w:t>https://doi.org/10.1177/02537176211048335</w:t>
        </w:r>
      </w:hyperlink>
      <w:r w:rsidRPr="00F57CA5">
        <w:rPr>
          <w:rFonts w:ascii="Arial" w:hAnsi="Arial" w:cs="Arial"/>
          <w:color w:val="2809E5"/>
          <w:sz w:val="22"/>
          <w:szCs w:val="22"/>
        </w:rPr>
        <w:t>.</w:t>
      </w:r>
    </w:p>
    <w:p w14:paraId="207EEAF1" w14:textId="77777777" w:rsidR="00342517" w:rsidRPr="00F57CA5" w:rsidRDefault="00342517" w:rsidP="00F57CA5">
      <w:pPr>
        <w:pStyle w:val="NormalWeb"/>
        <w:spacing w:line="360" w:lineRule="auto"/>
        <w:rPr>
          <w:rFonts w:ascii="Arial" w:hAnsi="Arial" w:cs="Arial"/>
          <w:color w:val="2809E5"/>
          <w:sz w:val="22"/>
          <w:szCs w:val="22"/>
        </w:rPr>
      </w:pPr>
      <w:r w:rsidRPr="00F57CA5">
        <w:rPr>
          <w:rFonts w:ascii="Arial" w:hAnsi="Arial" w:cs="Arial"/>
          <w:sz w:val="22"/>
          <w:szCs w:val="22"/>
        </w:rPr>
        <w:t xml:space="preserve">Haddock, G., Eisner, E., Boone, C., Davies, G., Coogan, C. and Barrowclough, C. (2014) ‘An Investigation of the Implementation of NICE-Recommended CBT Interventions for People with Schizophrenia’. </w:t>
      </w:r>
      <w:r w:rsidRPr="00F57CA5">
        <w:rPr>
          <w:rFonts w:ascii="Arial" w:hAnsi="Arial" w:cs="Arial"/>
          <w:i/>
          <w:iCs/>
          <w:sz w:val="22"/>
          <w:szCs w:val="22"/>
        </w:rPr>
        <w:t>Journal of Mental Health</w:t>
      </w:r>
      <w:r w:rsidRPr="00F57CA5">
        <w:rPr>
          <w:rFonts w:ascii="Arial" w:hAnsi="Arial" w:cs="Arial"/>
          <w:sz w:val="22"/>
          <w:szCs w:val="22"/>
        </w:rPr>
        <w:t xml:space="preserve">, 23(4), pp.162–165. Available at: </w:t>
      </w:r>
      <w:hyperlink r:id="rId83" w:history="1">
        <w:r w:rsidRPr="00F57CA5">
          <w:rPr>
            <w:rStyle w:val="Hyperlink"/>
            <w:rFonts w:ascii="Arial" w:hAnsi="Arial" w:cs="Arial"/>
            <w:color w:val="2809E5"/>
            <w:sz w:val="22"/>
            <w:szCs w:val="22"/>
          </w:rPr>
          <w:t>https://doi.org/10.3109/09638237.2013.869571</w:t>
        </w:r>
      </w:hyperlink>
      <w:r w:rsidRPr="00F57CA5">
        <w:rPr>
          <w:rFonts w:ascii="Arial" w:hAnsi="Arial" w:cs="Arial"/>
          <w:color w:val="2809E5"/>
          <w:sz w:val="22"/>
          <w:szCs w:val="22"/>
        </w:rPr>
        <w:t>.</w:t>
      </w:r>
    </w:p>
    <w:p w14:paraId="4007F558" w14:textId="77777777" w:rsidR="00342517" w:rsidRPr="00F57CA5" w:rsidRDefault="00342517" w:rsidP="00F57CA5">
      <w:pPr>
        <w:pStyle w:val="NormalWeb"/>
        <w:spacing w:line="360" w:lineRule="auto"/>
        <w:rPr>
          <w:rFonts w:ascii="Arial" w:hAnsi="Arial" w:cs="Arial"/>
          <w:color w:val="2809E5"/>
          <w:sz w:val="22"/>
          <w:szCs w:val="22"/>
        </w:rPr>
      </w:pPr>
      <w:r w:rsidRPr="00F57CA5">
        <w:rPr>
          <w:rFonts w:ascii="Arial" w:hAnsi="Arial" w:cs="Arial"/>
          <w:sz w:val="22"/>
          <w:szCs w:val="22"/>
        </w:rPr>
        <w:t xml:space="preserve">Halvorsrud, K., Nazroo, J., Otis, M., Brown Hajdukova, E. and Bhui, K. (2018) ‘Ethnic Inequalities and Pathways to Care in Psychosis in England: A Systematic Review and Meta-Analysis’. </w:t>
      </w:r>
      <w:r w:rsidRPr="00F57CA5">
        <w:rPr>
          <w:rFonts w:ascii="Arial" w:hAnsi="Arial" w:cs="Arial"/>
          <w:i/>
          <w:iCs/>
          <w:sz w:val="22"/>
          <w:szCs w:val="22"/>
        </w:rPr>
        <w:t>BMC Medicine</w:t>
      </w:r>
      <w:r w:rsidRPr="00F57CA5">
        <w:rPr>
          <w:rFonts w:ascii="Arial" w:hAnsi="Arial" w:cs="Arial"/>
          <w:sz w:val="22"/>
          <w:szCs w:val="22"/>
        </w:rPr>
        <w:t xml:space="preserve">, 16(1). Available at: </w:t>
      </w:r>
      <w:hyperlink r:id="rId84" w:history="1">
        <w:r w:rsidRPr="00F57CA5">
          <w:rPr>
            <w:rStyle w:val="Hyperlink"/>
            <w:rFonts w:ascii="Arial" w:hAnsi="Arial" w:cs="Arial"/>
            <w:sz w:val="22"/>
            <w:szCs w:val="22"/>
          </w:rPr>
          <w:t>https://doi.org/10.1186/s12916-018-1201-9</w:t>
        </w:r>
      </w:hyperlink>
      <w:r w:rsidRPr="00F57CA5">
        <w:rPr>
          <w:rFonts w:ascii="Arial" w:hAnsi="Arial" w:cs="Arial"/>
          <w:color w:val="2809E5"/>
          <w:sz w:val="22"/>
          <w:szCs w:val="22"/>
        </w:rPr>
        <w:t>.</w:t>
      </w:r>
    </w:p>
    <w:p w14:paraId="0C5C09FD" w14:textId="77777777" w:rsidR="00342517" w:rsidRPr="00F57CA5" w:rsidRDefault="00342517" w:rsidP="00F57CA5">
      <w:pPr>
        <w:pStyle w:val="NormalWeb"/>
        <w:spacing w:line="360" w:lineRule="auto"/>
        <w:rPr>
          <w:rFonts w:ascii="Arial" w:hAnsi="Arial" w:cs="Arial"/>
          <w:color w:val="2809E5"/>
          <w:sz w:val="22"/>
          <w:szCs w:val="22"/>
        </w:rPr>
      </w:pPr>
      <w:r w:rsidRPr="00F57CA5">
        <w:rPr>
          <w:rFonts w:ascii="Arial" w:hAnsi="Arial" w:cs="Arial"/>
          <w:sz w:val="22"/>
          <w:szCs w:val="22"/>
        </w:rPr>
        <w:t xml:space="preserve">Halvorsrud, K., Nazroo, J., Otis, M., Brown Hajdukova, E. and Bhui, K. (2019) ‘Ethnic Inequalities in The Incidence of Diagnosis of Severe Mental Illness in England: A Systematic Review and New Meta-Analyses for Non-Affective and Affective Psychoses’. </w:t>
      </w:r>
      <w:r w:rsidRPr="00F57CA5">
        <w:rPr>
          <w:rFonts w:ascii="Arial" w:hAnsi="Arial" w:cs="Arial"/>
          <w:i/>
          <w:iCs/>
          <w:sz w:val="22"/>
          <w:szCs w:val="22"/>
        </w:rPr>
        <w:t>Social Psychiatry and Psychiatric Epidemiology</w:t>
      </w:r>
      <w:r w:rsidRPr="00F57CA5">
        <w:rPr>
          <w:rFonts w:ascii="Arial" w:hAnsi="Arial" w:cs="Arial"/>
          <w:sz w:val="22"/>
          <w:szCs w:val="22"/>
        </w:rPr>
        <w:t xml:space="preserve">, 54(11), pp.1311–1323. Available at: </w:t>
      </w:r>
      <w:hyperlink r:id="rId85" w:history="1">
        <w:r w:rsidRPr="00F57CA5">
          <w:rPr>
            <w:rStyle w:val="Hyperlink"/>
            <w:rFonts w:ascii="Arial" w:hAnsi="Arial" w:cs="Arial"/>
            <w:color w:val="2809E5"/>
            <w:sz w:val="22"/>
            <w:szCs w:val="22"/>
          </w:rPr>
          <w:t>https://doi.org/10.1007/s00127-019-01758-y</w:t>
        </w:r>
      </w:hyperlink>
      <w:r w:rsidRPr="00F57CA5">
        <w:rPr>
          <w:rFonts w:ascii="Arial" w:hAnsi="Arial" w:cs="Arial"/>
          <w:color w:val="2809E5"/>
          <w:sz w:val="22"/>
          <w:szCs w:val="22"/>
        </w:rPr>
        <w:t>.</w:t>
      </w:r>
    </w:p>
    <w:p w14:paraId="41F7DA4B"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Hany, M., Rehman, B., Azhar, Y. and Chapman, J. (2024) </w:t>
      </w:r>
      <w:r w:rsidRPr="00F57CA5">
        <w:rPr>
          <w:rFonts w:ascii="Arial" w:hAnsi="Arial" w:cs="Arial"/>
          <w:i/>
          <w:iCs/>
          <w:sz w:val="22"/>
          <w:szCs w:val="22"/>
        </w:rPr>
        <w:t>Schizophrenia</w:t>
      </w:r>
      <w:r w:rsidRPr="00F57CA5">
        <w:rPr>
          <w:rFonts w:ascii="Arial" w:hAnsi="Arial" w:cs="Arial"/>
          <w:sz w:val="22"/>
          <w:szCs w:val="22"/>
        </w:rPr>
        <w:t xml:space="preserve">. Available at: </w:t>
      </w:r>
      <w:hyperlink r:id="rId86" w:history="1">
        <w:r w:rsidRPr="00F57CA5">
          <w:rPr>
            <w:rStyle w:val="Hyperlink"/>
            <w:rFonts w:ascii="Arial" w:hAnsi="Arial" w:cs="Arial"/>
            <w:color w:val="2809E5"/>
            <w:sz w:val="22"/>
            <w:szCs w:val="22"/>
          </w:rPr>
          <w:t>https://www.ncbi.nlm.nih.gov/books/NBK539864/</w:t>
        </w:r>
      </w:hyperlink>
      <w:r w:rsidRPr="00F57CA5">
        <w:rPr>
          <w:rFonts w:ascii="Arial" w:hAnsi="Arial" w:cs="Arial"/>
          <w:color w:val="2809E5"/>
          <w:sz w:val="22"/>
          <w:szCs w:val="22"/>
        </w:rPr>
        <w:t>.</w:t>
      </w:r>
      <w:r w:rsidRPr="00F57CA5">
        <w:rPr>
          <w:rFonts w:ascii="Arial" w:hAnsi="Arial" w:cs="Arial"/>
          <w:sz w:val="22"/>
          <w:szCs w:val="22"/>
        </w:rPr>
        <w:t xml:space="preserve">(Accessed: 15 May 2025).  </w:t>
      </w:r>
    </w:p>
    <w:p w14:paraId="5C7E4F9A"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Hardoon, S., Hayes, J.F., Blackburn, R., Petersen, I., Walters, K., Nazareth, I. and Osborn, D.P.J. (2013) ‘Recording of Severe Mental Illness in United Kingdom Primary Care, 2000–2010’. </w:t>
      </w:r>
      <w:r w:rsidRPr="00F57CA5">
        <w:rPr>
          <w:rFonts w:ascii="Arial" w:hAnsi="Arial" w:cs="Arial"/>
          <w:i/>
          <w:iCs/>
          <w:sz w:val="22"/>
          <w:szCs w:val="22"/>
        </w:rPr>
        <w:t>PLoS ONE</w:t>
      </w:r>
      <w:r w:rsidRPr="00F57CA5">
        <w:rPr>
          <w:rFonts w:ascii="Arial" w:hAnsi="Arial" w:cs="Arial"/>
          <w:sz w:val="22"/>
          <w:szCs w:val="22"/>
        </w:rPr>
        <w:t xml:space="preserve">, 8(12), p.e82365. Available at: </w:t>
      </w:r>
      <w:hyperlink r:id="rId87" w:history="1">
        <w:r w:rsidRPr="00F57CA5">
          <w:rPr>
            <w:rStyle w:val="Hyperlink"/>
            <w:rFonts w:ascii="Arial" w:hAnsi="Arial" w:cs="Arial"/>
            <w:color w:val="2809E5"/>
            <w:sz w:val="22"/>
            <w:szCs w:val="22"/>
          </w:rPr>
          <w:t>https://doi.org/10.1371/journal.pone.0082365</w:t>
        </w:r>
      </w:hyperlink>
      <w:r w:rsidRPr="00F57CA5">
        <w:rPr>
          <w:rFonts w:ascii="Arial" w:hAnsi="Arial" w:cs="Arial"/>
          <w:color w:val="2809E5"/>
          <w:sz w:val="22"/>
          <w:szCs w:val="22"/>
        </w:rPr>
        <w:t>.</w:t>
      </w:r>
    </w:p>
    <w:p w14:paraId="74C0B769"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Harvey, P.D. (2021) ‘Patient-Centred Treatment Strategies to Improve Outcomes in Schizophrenia’. </w:t>
      </w:r>
      <w:r w:rsidRPr="00F57CA5">
        <w:rPr>
          <w:rFonts w:ascii="Arial" w:hAnsi="Arial" w:cs="Arial"/>
          <w:i/>
          <w:iCs/>
          <w:sz w:val="22"/>
          <w:szCs w:val="22"/>
        </w:rPr>
        <w:t>The Journal of Clinical Psychiatry</w:t>
      </w:r>
      <w:r w:rsidRPr="00F57CA5">
        <w:rPr>
          <w:rFonts w:ascii="Arial" w:hAnsi="Arial" w:cs="Arial"/>
          <w:sz w:val="22"/>
          <w:szCs w:val="22"/>
        </w:rPr>
        <w:t xml:space="preserve">, 82(2). Available at:  </w:t>
      </w:r>
      <w:hyperlink r:id="rId88" w:history="1">
        <w:r w:rsidRPr="00F57CA5">
          <w:rPr>
            <w:rStyle w:val="Hyperlink"/>
            <w:rFonts w:ascii="Arial" w:hAnsi="Arial" w:cs="Arial"/>
            <w:color w:val="2809E5"/>
            <w:sz w:val="22"/>
            <w:szCs w:val="22"/>
          </w:rPr>
          <w:t>https://doi.org/10.4088/jcp.ic20018br2c</w:t>
        </w:r>
      </w:hyperlink>
      <w:r w:rsidRPr="00F57CA5">
        <w:rPr>
          <w:rFonts w:ascii="Arial" w:hAnsi="Arial" w:cs="Arial"/>
          <w:color w:val="2809E5"/>
          <w:sz w:val="22"/>
          <w:szCs w:val="22"/>
        </w:rPr>
        <w:t>.</w:t>
      </w:r>
    </w:p>
    <w:p w14:paraId="204929A3"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Hickling, L.M., Dabrowski, J. and Williams, S. (2023) ‘Expanding the Early Intervention offer: a New Care Pathway for Children’s Wellbeing Practitioners in a South London Child and Adolescent Mental Health Service’. </w:t>
      </w:r>
      <w:r w:rsidRPr="00F57CA5">
        <w:rPr>
          <w:rFonts w:ascii="Arial" w:hAnsi="Arial" w:cs="Arial"/>
          <w:i/>
          <w:iCs/>
          <w:sz w:val="22"/>
          <w:szCs w:val="22"/>
        </w:rPr>
        <w:t>Clinical Child Psychology and Psychiatry</w:t>
      </w:r>
      <w:r w:rsidRPr="00F57CA5">
        <w:rPr>
          <w:rFonts w:ascii="Arial" w:hAnsi="Arial" w:cs="Arial"/>
          <w:sz w:val="22"/>
          <w:szCs w:val="22"/>
        </w:rPr>
        <w:t xml:space="preserve">, 29(1). Available at:  </w:t>
      </w:r>
      <w:hyperlink r:id="rId89" w:history="1">
        <w:r w:rsidRPr="00F57CA5">
          <w:rPr>
            <w:rStyle w:val="Hyperlink"/>
            <w:rFonts w:ascii="Arial" w:hAnsi="Arial" w:cs="Arial"/>
            <w:color w:val="2809E5"/>
            <w:sz w:val="22"/>
            <w:szCs w:val="22"/>
          </w:rPr>
          <w:t>https://doi.org/10.1177/13591045231201195</w:t>
        </w:r>
      </w:hyperlink>
      <w:r w:rsidRPr="00F57CA5">
        <w:rPr>
          <w:rFonts w:ascii="Arial" w:hAnsi="Arial" w:cs="Arial"/>
          <w:color w:val="2809E5"/>
          <w:sz w:val="22"/>
          <w:szCs w:val="22"/>
        </w:rPr>
        <w:t>.</w:t>
      </w:r>
    </w:p>
    <w:p w14:paraId="31CF1AAC"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lang w:val="nl-NL"/>
        </w:rPr>
        <w:lastRenderedPageBreak/>
        <w:t xml:space="preserve">Hoff, P. (2010)  ‘Sicht der Klassiker: Der Affekt in den Psychosekonzepten von Emil Kraepelin und Eugen Bleuler'. </w:t>
      </w:r>
      <w:r w:rsidRPr="00F57CA5">
        <w:rPr>
          <w:rFonts w:ascii="Arial" w:hAnsi="Arial" w:cs="Arial"/>
          <w:i/>
          <w:iCs/>
          <w:sz w:val="22"/>
          <w:szCs w:val="22"/>
        </w:rPr>
        <w:t>Psychiatrie und Psychotherapie</w:t>
      </w:r>
      <w:r w:rsidRPr="00F57CA5">
        <w:rPr>
          <w:rFonts w:ascii="Arial" w:hAnsi="Arial" w:cs="Arial"/>
          <w:sz w:val="22"/>
          <w:szCs w:val="22"/>
        </w:rPr>
        <w:t xml:space="preserve">, 6(3), pp.98–103. Available at: </w:t>
      </w:r>
      <w:hyperlink r:id="rId90" w:history="1">
        <w:r w:rsidRPr="00F57CA5">
          <w:rPr>
            <w:rStyle w:val="Hyperlink"/>
            <w:rFonts w:ascii="Arial" w:hAnsi="Arial" w:cs="Arial"/>
            <w:color w:val="2809E5"/>
            <w:sz w:val="22"/>
            <w:szCs w:val="22"/>
          </w:rPr>
          <w:t>https://doi.org/10.1007/s11326-010-0117-6</w:t>
        </w:r>
      </w:hyperlink>
      <w:r w:rsidRPr="00F57CA5">
        <w:rPr>
          <w:rFonts w:ascii="Arial" w:hAnsi="Arial" w:cs="Arial"/>
          <w:color w:val="2809E5"/>
          <w:sz w:val="22"/>
          <w:szCs w:val="22"/>
        </w:rPr>
        <w:t>.</w:t>
      </w:r>
    </w:p>
    <w:p w14:paraId="713F04C2"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Huhn, M., Nikolakopoulou, A., Schneider-Thoma, J., Krause, M., Samara, M., Peter, N., Arndt, T., BäckersU, L., Rothe, P., Cipriani, A., Davis, J., Salanti, G. and Leucht, S. (2019) ‘Comparative Efficacy and Tolerability of 32 Oral Antipsychotics for The Acute Treatment of Adults with Multi-Episode Schizophrenia: A Systematic Review and Network Meta-Analysis’. </w:t>
      </w:r>
      <w:r w:rsidRPr="00F57CA5">
        <w:rPr>
          <w:rFonts w:ascii="Arial" w:hAnsi="Arial" w:cs="Arial"/>
          <w:i/>
          <w:iCs/>
          <w:sz w:val="22"/>
          <w:szCs w:val="22"/>
        </w:rPr>
        <w:t>The Lancet</w:t>
      </w:r>
      <w:r w:rsidRPr="00F57CA5">
        <w:rPr>
          <w:rFonts w:ascii="Arial" w:hAnsi="Arial" w:cs="Arial"/>
          <w:sz w:val="22"/>
          <w:szCs w:val="22"/>
        </w:rPr>
        <w:t xml:space="preserve">, 394(10202). Available at: </w:t>
      </w:r>
      <w:hyperlink r:id="rId91" w:history="1">
        <w:r w:rsidRPr="00F57CA5">
          <w:rPr>
            <w:rStyle w:val="Hyperlink"/>
            <w:rFonts w:ascii="Arial" w:hAnsi="Arial" w:cs="Arial"/>
            <w:color w:val="2809E5"/>
            <w:sz w:val="22"/>
            <w:szCs w:val="22"/>
          </w:rPr>
          <w:t>https://doi.org/10.1016/s0140-6736(19)31135–3</w:t>
        </w:r>
      </w:hyperlink>
      <w:r w:rsidRPr="00F57CA5">
        <w:rPr>
          <w:rFonts w:ascii="Arial" w:hAnsi="Arial" w:cs="Arial"/>
          <w:color w:val="2809E5"/>
          <w:sz w:val="22"/>
          <w:szCs w:val="22"/>
        </w:rPr>
        <w:t>.</w:t>
      </w:r>
    </w:p>
    <w:p w14:paraId="19A6833C"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IMPACT Improving Adult Care Together (2025) </w:t>
      </w:r>
      <w:r w:rsidRPr="00F57CA5">
        <w:rPr>
          <w:rFonts w:ascii="Arial" w:hAnsi="Arial" w:cs="Arial"/>
          <w:i/>
          <w:iCs/>
          <w:sz w:val="22"/>
          <w:szCs w:val="22"/>
        </w:rPr>
        <w:t>Recovery-Based Approaches to Mental Health (November 2024 - May 2025)</w:t>
      </w:r>
      <w:r w:rsidRPr="00F57CA5">
        <w:rPr>
          <w:rFonts w:ascii="Arial" w:hAnsi="Arial" w:cs="Arial"/>
          <w:sz w:val="22"/>
          <w:szCs w:val="22"/>
        </w:rPr>
        <w:t xml:space="preserve"> Available at:</w:t>
      </w:r>
      <w:r w:rsidRPr="00F57CA5">
        <w:rPr>
          <w:rFonts w:ascii="Arial" w:hAnsi="Arial" w:cs="Arial"/>
          <w:color w:val="2809E5"/>
          <w:sz w:val="22"/>
          <w:szCs w:val="22"/>
        </w:rPr>
        <w:t xml:space="preserve"> </w:t>
      </w:r>
      <w:hyperlink r:id="rId92" w:history="1">
        <w:r w:rsidRPr="00F57CA5">
          <w:rPr>
            <w:rStyle w:val="Hyperlink"/>
            <w:rFonts w:ascii="Arial" w:hAnsi="Arial" w:cs="Arial"/>
            <w:color w:val="2809E5"/>
            <w:sz w:val="22"/>
            <w:szCs w:val="22"/>
          </w:rPr>
          <w:t>https://impact.bham.ac.uk/our-projects/networks/recovery-based-approaches-to-mental-health/</w:t>
        </w:r>
      </w:hyperlink>
      <w:r w:rsidRPr="00F57CA5">
        <w:rPr>
          <w:rFonts w:ascii="Arial" w:hAnsi="Arial" w:cs="Arial"/>
          <w:sz w:val="22"/>
          <w:szCs w:val="22"/>
        </w:rPr>
        <w:t>(Accessed: 9 April 2025).</w:t>
      </w:r>
    </w:p>
    <w:p w14:paraId="240558E9"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Ince, P., Haddock, G. and Tai, S. (2015) ‘A Systematic Review of The Implementation of Recommended Psychological Interventions for Schizophrenia: Rates, Barriers, And Improvement Strategies’. </w:t>
      </w:r>
      <w:r w:rsidRPr="00F57CA5">
        <w:rPr>
          <w:rFonts w:ascii="Arial" w:hAnsi="Arial" w:cs="Arial"/>
          <w:i/>
          <w:iCs/>
          <w:sz w:val="22"/>
          <w:szCs w:val="22"/>
        </w:rPr>
        <w:t>Psychology and Psychotherapy: Theory, Research and Practice</w:t>
      </w:r>
      <w:r w:rsidRPr="00F57CA5">
        <w:rPr>
          <w:rFonts w:ascii="Arial" w:hAnsi="Arial" w:cs="Arial"/>
          <w:sz w:val="22"/>
          <w:szCs w:val="22"/>
        </w:rPr>
        <w:t xml:space="preserve">, 89(3), pp.324–350. Available at:  </w:t>
      </w:r>
      <w:hyperlink r:id="rId93" w:history="1">
        <w:r w:rsidRPr="00F57CA5">
          <w:rPr>
            <w:rStyle w:val="Hyperlink"/>
            <w:rFonts w:ascii="Arial" w:hAnsi="Arial" w:cs="Arial"/>
            <w:color w:val="2809E5"/>
            <w:sz w:val="22"/>
            <w:szCs w:val="22"/>
          </w:rPr>
          <w:t>https://doi.org/10.1111/papt.12084</w:t>
        </w:r>
      </w:hyperlink>
      <w:r w:rsidRPr="00F57CA5">
        <w:rPr>
          <w:rFonts w:ascii="Arial" w:hAnsi="Arial" w:cs="Arial"/>
          <w:color w:val="2809E5"/>
          <w:sz w:val="22"/>
          <w:szCs w:val="22"/>
        </w:rPr>
        <w:t>.</w:t>
      </w:r>
    </w:p>
    <w:p w14:paraId="7C309A63"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Isaacs, M.R. and Benjamin, M.P. (1991) </w:t>
      </w:r>
      <w:r w:rsidRPr="00F57CA5">
        <w:rPr>
          <w:rFonts w:ascii="Arial" w:hAnsi="Arial" w:cs="Arial"/>
          <w:i/>
          <w:iCs/>
          <w:sz w:val="22"/>
          <w:szCs w:val="22"/>
        </w:rPr>
        <w:t>Towards a Culturally Competent System of Care. Volume II: Programs Which Utilise Culturally Competent Principles</w:t>
      </w:r>
      <w:r w:rsidRPr="00F57CA5">
        <w:rPr>
          <w:rFonts w:ascii="Arial" w:hAnsi="Arial" w:cs="Arial"/>
          <w:sz w:val="22"/>
          <w:szCs w:val="22"/>
        </w:rPr>
        <w:t xml:space="preserve">. Available at: </w:t>
      </w:r>
      <w:hyperlink r:id="rId94" w:history="1">
        <w:r w:rsidRPr="00F57CA5">
          <w:rPr>
            <w:rStyle w:val="Hyperlink"/>
            <w:rFonts w:ascii="Arial" w:hAnsi="Arial" w:cs="Arial"/>
            <w:color w:val="2809E5"/>
            <w:sz w:val="22"/>
            <w:szCs w:val="22"/>
          </w:rPr>
          <w:t>https://eric.ed.gov/?id=ED345393</w:t>
        </w:r>
      </w:hyperlink>
      <w:r w:rsidRPr="00F57CA5">
        <w:rPr>
          <w:rFonts w:ascii="Arial" w:hAnsi="Arial" w:cs="Arial"/>
          <w:color w:val="2809E5"/>
          <w:sz w:val="22"/>
          <w:szCs w:val="22"/>
        </w:rPr>
        <w:t xml:space="preserve">. </w:t>
      </w:r>
      <w:r w:rsidRPr="00F57CA5">
        <w:rPr>
          <w:rFonts w:ascii="Arial" w:hAnsi="Arial" w:cs="Arial"/>
          <w:sz w:val="22"/>
          <w:szCs w:val="22"/>
        </w:rPr>
        <w:t>(Accessed: 9 April 2025).</w:t>
      </w:r>
    </w:p>
    <w:p w14:paraId="6F9FCD8F"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Jablensky, A. (2010a) ‘The Diagnostic Concept of Schizophrenia: Its History, Evolution, and Future Prospects’. </w:t>
      </w:r>
      <w:r w:rsidRPr="00F57CA5">
        <w:rPr>
          <w:rFonts w:ascii="Arial" w:hAnsi="Arial" w:cs="Arial"/>
          <w:i/>
          <w:iCs/>
          <w:sz w:val="22"/>
          <w:szCs w:val="22"/>
        </w:rPr>
        <w:t>Schizophrenia</w:t>
      </w:r>
      <w:r w:rsidRPr="00F57CA5">
        <w:rPr>
          <w:rFonts w:ascii="Arial" w:hAnsi="Arial" w:cs="Arial"/>
          <w:sz w:val="22"/>
          <w:szCs w:val="22"/>
        </w:rPr>
        <w:t xml:space="preserve">, 12(3), pp.271–287. Available at: </w:t>
      </w:r>
      <w:hyperlink r:id="rId95" w:history="1">
        <w:r w:rsidRPr="00F57CA5">
          <w:rPr>
            <w:rStyle w:val="Hyperlink"/>
            <w:rFonts w:ascii="Arial" w:hAnsi="Arial" w:cs="Arial"/>
            <w:sz w:val="22"/>
            <w:szCs w:val="22"/>
          </w:rPr>
          <w:t>https://doi.org/10.31887/dcns.2010.12.3/ajablensky</w:t>
        </w:r>
      </w:hyperlink>
      <w:r w:rsidRPr="00F57CA5">
        <w:rPr>
          <w:rFonts w:ascii="Arial" w:hAnsi="Arial" w:cs="Arial"/>
          <w:sz w:val="22"/>
          <w:szCs w:val="22"/>
        </w:rPr>
        <w:t>.</w:t>
      </w:r>
    </w:p>
    <w:p w14:paraId="609DE20E"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Jablensky, A. (2010b) ‘Schizophrenia’. </w:t>
      </w:r>
      <w:r w:rsidRPr="00F57CA5">
        <w:rPr>
          <w:rFonts w:ascii="Arial" w:hAnsi="Arial" w:cs="Arial"/>
          <w:i/>
          <w:iCs/>
          <w:sz w:val="22"/>
          <w:szCs w:val="22"/>
        </w:rPr>
        <w:t>Dialogues in Clinical Neuroscience</w:t>
      </w:r>
      <w:r w:rsidRPr="00F57CA5">
        <w:rPr>
          <w:rFonts w:ascii="Arial" w:hAnsi="Arial" w:cs="Arial"/>
          <w:sz w:val="22"/>
          <w:szCs w:val="22"/>
        </w:rPr>
        <w:t xml:space="preserve">, 12(3). Available at:  </w:t>
      </w:r>
      <w:hyperlink r:id="rId96" w:history="1">
        <w:r w:rsidRPr="00F57CA5">
          <w:rPr>
            <w:rStyle w:val="Hyperlink"/>
            <w:rFonts w:ascii="Arial" w:hAnsi="Arial" w:cs="Arial"/>
            <w:color w:val="2809E5"/>
            <w:sz w:val="22"/>
            <w:szCs w:val="22"/>
          </w:rPr>
          <w:t>https://doi.org/10.31887/dcns.2010.12.3</w:t>
        </w:r>
      </w:hyperlink>
      <w:r w:rsidRPr="00F57CA5">
        <w:rPr>
          <w:rFonts w:ascii="Arial" w:hAnsi="Arial" w:cs="Arial"/>
          <w:color w:val="2809E5"/>
          <w:sz w:val="22"/>
          <w:szCs w:val="22"/>
        </w:rPr>
        <w:t>.</w:t>
      </w:r>
    </w:p>
    <w:p w14:paraId="23F61DB6"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Jablensky, A. and Sartorius, N. (2007) ‘What Did the WHO Studies Really Find?’ </w:t>
      </w:r>
      <w:r w:rsidRPr="00F57CA5">
        <w:rPr>
          <w:rFonts w:ascii="Arial" w:hAnsi="Arial" w:cs="Arial"/>
          <w:i/>
          <w:iCs/>
          <w:sz w:val="22"/>
          <w:szCs w:val="22"/>
        </w:rPr>
        <w:t>Schizophrenia Bulletin</w:t>
      </w:r>
      <w:r w:rsidRPr="00F57CA5">
        <w:rPr>
          <w:rFonts w:ascii="Arial" w:hAnsi="Arial" w:cs="Arial"/>
          <w:sz w:val="22"/>
          <w:szCs w:val="22"/>
        </w:rPr>
        <w:t xml:space="preserve">, 34(2), pp.253–255. Available at:  </w:t>
      </w:r>
      <w:hyperlink r:id="rId97" w:history="1">
        <w:r w:rsidRPr="00F57CA5">
          <w:rPr>
            <w:rStyle w:val="Hyperlink"/>
            <w:rFonts w:ascii="Arial" w:hAnsi="Arial" w:cs="Arial"/>
            <w:color w:val="2809E5"/>
            <w:sz w:val="22"/>
            <w:szCs w:val="22"/>
          </w:rPr>
          <w:t>https://doi.org/10.1093/schbul/sbm151</w:t>
        </w:r>
      </w:hyperlink>
      <w:r w:rsidRPr="00F57CA5">
        <w:rPr>
          <w:rFonts w:ascii="Arial" w:hAnsi="Arial" w:cs="Arial"/>
          <w:color w:val="2809E5"/>
          <w:sz w:val="22"/>
          <w:szCs w:val="22"/>
        </w:rPr>
        <w:t>.</w:t>
      </w:r>
    </w:p>
    <w:p w14:paraId="33DE94CD"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Jakobsson, C., Genovesi, E., Adeola Afolayan, Tolulope Bella-Awusah, Olubukola Omobowale, Musa Buyanga, Ritsuko Kakuma and Ryan, G. (2023) ‘Co-Producing Research on Psychosis: A Scoping Review on Barriers, Facilitators and Outcomes’. </w:t>
      </w:r>
      <w:r w:rsidRPr="00F57CA5">
        <w:rPr>
          <w:rFonts w:ascii="Arial" w:hAnsi="Arial" w:cs="Arial"/>
          <w:i/>
          <w:iCs/>
          <w:sz w:val="22"/>
          <w:szCs w:val="22"/>
        </w:rPr>
        <w:t>International Journal of Mental Health Systems</w:t>
      </w:r>
      <w:r w:rsidRPr="00F57CA5">
        <w:rPr>
          <w:rFonts w:ascii="Arial" w:hAnsi="Arial" w:cs="Arial"/>
          <w:sz w:val="22"/>
          <w:szCs w:val="22"/>
        </w:rPr>
        <w:t xml:space="preserve">, 17(1). Available at: </w:t>
      </w:r>
      <w:hyperlink r:id="rId98" w:history="1">
        <w:r w:rsidRPr="00F57CA5">
          <w:rPr>
            <w:rStyle w:val="Hyperlink"/>
            <w:rFonts w:ascii="Arial" w:hAnsi="Arial" w:cs="Arial"/>
            <w:color w:val="2809E5"/>
            <w:sz w:val="22"/>
            <w:szCs w:val="22"/>
          </w:rPr>
          <w:t>https://doi.org/10.1186/s13033-023-00594-7</w:t>
        </w:r>
      </w:hyperlink>
      <w:r w:rsidRPr="00F57CA5">
        <w:rPr>
          <w:rFonts w:ascii="Arial" w:hAnsi="Arial" w:cs="Arial"/>
          <w:color w:val="2809E5"/>
          <w:sz w:val="22"/>
          <w:szCs w:val="22"/>
        </w:rPr>
        <w:t>.</w:t>
      </w:r>
    </w:p>
    <w:p w14:paraId="7CFF5376"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lastRenderedPageBreak/>
        <w:t xml:space="preserve">Jenkins, R. (2005) ‘Supporting Governments to Adopt Mental Health Policies’. </w:t>
      </w:r>
      <w:r w:rsidRPr="00F57CA5">
        <w:rPr>
          <w:rFonts w:ascii="Arial" w:hAnsi="Arial" w:cs="Arial"/>
          <w:i/>
          <w:iCs/>
          <w:sz w:val="22"/>
          <w:szCs w:val="22"/>
        </w:rPr>
        <w:t>Mental Health Review Journal</w:t>
      </w:r>
      <w:r w:rsidRPr="00F57CA5">
        <w:rPr>
          <w:rFonts w:ascii="Arial" w:hAnsi="Arial" w:cs="Arial"/>
          <w:sz w:val="22"/>
          <w:szCs w:val="22"/>
        </w:rPr>
        <w:t xml:space="preserve">, 10(1), pp.33–38. Available at: </w:t>
      </w:r>
      <w:hyperlink r:id="rId99" w:history="1">
        <w:r w:rsidRPr="00F57CA5">
          <w:rPr>
            <w:rStyle w:val="Hyperlink"/>
            <w:rFonts w:ascii="Arial" w:hAnsi="Arial" w:cs="Arial"/>
            <w:color w:val="2809E5"/>
            <w:sz w:val="22"/>
            <w:szCs w:val="22"/>
          </w:rPr>
          <w:t>https://doi.org/10.1108/13619322200500008</w:t>
        </w:r>
      </w:hyperlink>
      <w:r w:rsidRPr="00F57CA5">
        <w:rPr>
          <w:rFonts w:ascii="Arial" w:hAnsi="Arial" w:cs="Arial"/>
          <w:color w:val="2809E5"/>
          <w:sz w:val="22"/>
          <w:szCs w:val="22"/>
        </w:rPr>
        <w:t>.</w:t>
      </w:r>
    </w:p>
    <w:p w14:paraId="6A31D1A5" w14:textId="77777777" w:rsidR="00342517" w:rsidRPr="00F57CA5" w:rsidRDefault="00342517" w:rsidP="00F57CA5">
      <w:pPr>
        <w:pStyle w:val="NormalWeb"/>
        <w:spacing w:line="360" w:lineRule="auto"/>
        <w:rPr>
          <w:rFonts w:ascii="Arial" w:hAnsi="Arial" w:cs="Arial"/>
          <w:color w:val="2809E5"/>
          <w:sz w:val="22"/>
          <w:szCs w:val="22"/>
        </w:rPr>
      </w:pPr>
      <w:r w:rsidRPr="00F57CA5">
        <w:rPr>
          <w:rFonts w:ascii="Arial" w:hAnsi="Arial" w:cs="Arial"/>
          <w:sz w:val="22"/>
          <w:szCs w:val="22"/>
        </w:rPr>
        <w:t xml:space="preserve">Jeon, S. and Kim, Y.-K. (2017) ‘Unresolved Issues for Utilisation of Atypical Antipsychotics in Schizophrenia: Antipsychotic Polypharmacy and Metabolic Syndrome’. </w:t>
      </w:r>
      <w:r w:rsidRPr="00F57CA5">
        <w:rPr>
          <w:rFonts w:ascii="Arial" w:hAnsi="Arial" w:cs="Arial"/>
          <w:i/>
          <w:iCs/>
          <w:sz w:val="22"/>
          <w:szCs w:val="22"/>
        </w:rPr>
        <w:t>International Journal of Molecular Sciences</w:t>
      </w:r>
      <w:r w:rsidRPr="00F57CA5">
        <w:rPr>
          <w:rFonts w:ascii="Arial" w:hAnsi="Arial" w:cs="Arial"/>
          <w:sz w:val="22"/>
          <w:szCs w:val="22"/>
        </w:rPr>
        <w:t xml:space="preserve">, 18(10), p.2174. Available at: </w:t>
      </w:r>
      <w:hyperlink r:id="rId100" w:history="1">
        <w:r w:rsidRPr="00F57CA5">
          <w:rPr>
            <w:rStyle w:val="Hyperlink"/>
            <w:rFonts w:ascii="Arial" w:hAnsi="Arial" w:cs="Arial"/>
            <w:color w:val="2809E5"/>
            <w:sz w:val="22"/>
            <w:szCs w:val="22"/>
          </w:rPr>
          <w:t>https://doi.org/10.3390/ijms18102174</w:t>
        </w:r>
      </w:hyperlink>
      <w:r w:rsidRPr="00F57CA5">
        <w:rPr>
          <w:rFonts w:ascii="Arial" w:hAnsi="Arial" w:cs="Arial"/>
          <w:color w:val="2809E5"/>
          <w:sz w:val="22"/>
          <w:szCs w:val="22"/>
        </w:rPr>
        <w:t>.</w:t>
      </w:r>
    </w:p>
    <w:p w14:paraId="1444A9D8"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Johnstone, E.C., Owens, D.G.C., Gold, A., Crow, T.J. and Macmillan, J.F. (1981) ‘Institutionalisation and the Defects of Schizophrenia’. </w:t>
      </w:r>
      <w:r w:rsidRPr="00F57CA5">
        <w:rPr>
          <w:rFonts w:ascii="Arial" w:hAnsi="Arial" w:cs="Arial"/>
          <w:i/>
          <w:iCs/>
          <w:sz w:val="22"/>
          <w:szCs w:val="22"/>
        </w:rPr>
        <w:t>British Journal of Psychiatry</w:t>
      </w:r>
      <w:r w:rsidRPr="00F57CA5">
        <w:rPr>
          <w:rFonts w:ascii="Arial" w:hAnsi="Arial" w:cs="Arial"/>
          <w:sz w:val="22"/>
          <w:szCs w:val="22"/>
        </w:rPr>
        <w:t xml:space="preserve">, 139(3), pp.195–203. Available at: </w:t>
      </w:r>
      <w:hyperlink r:id="rId101" w:history="1">
        <w:r w:rsidRPr="00F57CA5">
          <w:rPr>
            <w:rStyle w:val="Hyperlink"/>
            <w:rFonts w:ascii="Arial" w:hAnsi="Arial" w:cs="Arial"/>
            <w:color w:val="2809E5"/>
            <w:sz w:val="22"/>
            <w:szCs w:val="22"/>
          </w:rPr>
          <w:t>https://doi.org/10.1192/bjp.139.3.195</w:t>
        </w:r>
      </w:hyperlink>
      <w:r w:rsidRPr="00F57CA5">
        <w:rPr>
          <w:rFonts w:ascii="Arial" w:hAnsi="Arial" w:cs="Arial"/>
          <w:color w:val="2809E5"/>
          <w:sz w:val="22"/>
          <w:szCs w:val="22"/>
        </w:rPr>
        <w:t>.</w:t>
      </w:r>
    </w:p>
    <w:p w14:paraId="29348376"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Jull, G. (2017) ‘Biopsychosocial Model of Disease: 40 years on. Which way is the Pendulum swinging’? </w:t>
      </w:r>
      <w:r w:rsidRPr="00F57CA5">
        <w:rPr>
          <w:rFonts w:ascii="Arial" w:hAnsi="Arial" w:cs="Arial"/>
          <w:i/>
          <w:iCs/>
          <w:sz w:val="22"/>
          <w:szCs w:val="22"/>
        </w:rPr>
        <w:t>British Journal of Sports Medicine</w:t>
      </w:r>
      <w:r w:rsidRPr="00F57CA5">
        <w:rPr>
          <w:rFonts w:ascii="Arial" w:hAnsi="Arial" w:cs="Arial"/>
          <w:sz w:val="22"/>
          <w:szCs w:val="22"/>
        </w:rPr>
        <w:t xml:space="preserve">, 51(16), pp.1187–1188. Available at:  </w:t>
      </w:r>
      <w:hyperlink r:id="rId102" w:history="1">
        <w:r w:rsidRPr="00F57CA5">
          <w:rPr>
            <w:rStyle w:val="Hyperlink"/>
            <w:rFonts w:ascii="Arial" w:hAnsi="Arial" w:cs="Arial"/>
            <w:color w:val="2809E5"/>
            <w:sz w:val="22"/>
            <w:szCs w:val="22"/>
          </w:rPr>
          <w:t>https://doi.org/10.1136/bjsports-2016-097362</w:t>
        </w:r>
      </w:hyperlink>
      <w:r w:rsidRPr="00F57CA5">
        <w:rPr>
          <w:rFonts w:ascii="Arial" w:hAnsi="Arial" w:cs="Arial"/>
          <w:color w:val="2809E5"/>
          <w:sz w:val="22"/>
          <w:szCs w:val="22"/>
        </w:rPr>
        <w:t>.</w:t>
      </w:r>
    </w:p>
    <w:p w14:paraId="5EA3FDFD"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Kadakia, A., Catillon, M., Fan, Q., Williams, G.R., Marden, J.R., Anderson, A., Kirson, N. and Dembek, C. (2022) ‘The Economic Burden of Schizophrenia in the United States’. </w:t>
      </w:r>
      <w:r w:rsidRPr="00F57CA5">
        <w:rPr>
          <w:rFonts w:ascii="Arial" w:hAnsi="Arial" w:cs="Arial"/>
          <w:i/>
          <w:iCs/>
          <w:sz w:val="22"/>
          <w:szCs w:val="22"/>
        </w:rPr>
        <w:t>The Journal of Clinical Psychiatry</w:t>
      </w:r>
      <w:r w:rsidRPr="00F57CA5">
        <w:rPr>
          <w:rFonts w:ascii="Arial" w:hAnsi="Arial" w:cs="Arial"/>
          <w:sz w:val="22"/>
          <w:szCs w:val="22"/>
        </w:rPr>
        <w:t xml:space="preserve">, 83(6). Available at: </w:t>
      </w:r>
      <w:hyperlink r:id="rId103" w:history="1">
        <w:r w:rsidRPr="00F57CA5">
          <w:rPr>
            <w:rStyle w:val="Hyperlink"/>
            <w:rFonts w:ascii="Arial" w:hAnsi="Arial" w:cs="Arial"/>
            <w:color w:val="2809E5"/>
            <w:sz w:val="22"/>
            <w:szCs w:val="22"/>
          </w:rPr>
          <w:t>https://doi.org/10.4088/jcp.22m14458</w:t>
        </w:r>
      </w:hyperlink>
      <w:r w:rsidRPr="00F57CA5">
        <w:rPr>
          <w:rFonts w:ascii="Arial" w:hAnsi="Arial" w:cs="Arial"/>
          <w:color w:val="2809E5"/>
          <w:sz w:val="22"/>
          <w:szCs w:val="22"/>
        </w:rPr>
        <w:t>.</w:t>
      </w:r>
    </w:p>
    <w:p w14:paraId="5453AE9F"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Kamil, S.H. and Velligan, D.I. (2019) ‘Caregivers of individuals with schizophrenia’. </w:t>
      </w:r>
      <w:r w:rsidRPr="00F57CA5">
        <w:rPr>
          <w:rFonts w:ascii="Arial" w:hAnsi="Arial" w:cs="Arial"/>
          <w:i/>
          <w:iCs/>
          <w:sz w:val="22"/>
          <w:szCs w:val="22"/>
        </w:rPr>
        <w:t>Current Opinion in Psychiatry</w:t>
      </w:r>
      <w:r w:rsidRPr="00F57CA5">
        <w:rPr>
          <w:rFonts w:ascii="Arial" w:hAnsi="Arial" w:cs="Arial"/>
          <w:sz w:val="22"/>
          <w:szCs w:val="22"/>
        </w:rPr>
        <w:t xml:space="preserve">, 32(3), pp.157–163. Available at:  </w:t>
      </w:r>
      <w:hyperlink r:id="rId104" w:history="1">
        <w:r w:rsidRPr="00F57CA5">
          <w:rPr>
            <w:rStyle w:val="Hyperlink"/>
            <w:rFonts w:ascii="Arial" w:hAnsi="Arial" w:cs="Arial"/>
            <w:color w:val="2809E5"/>
            <w:sz w:val="22"/>
            <w:szCs w:val="22"/>
          </w:rPr>
          <w:t>https://doi.org/10.1097/yco.0000000000000492</w:t>
        </w:r>
      </w:hyperlink>
      <w:r w:rsidRPr="00F57CA5">
        <w:rPr>
          <w:rFonts w:ascii="Arial" w:hAnsi="Arial" w:cs="Arial"/>
          <w:color w:val="2809E5"/>
          <w:sz w:val="22"/>
          <w:szCs w:val="22"/>
        </w:rPr>
        <w:t>.</w:t>
      </w:r>
    </w:p>
    <w:p w14:paraId="295EF031"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Kampen, K.V. (2023) Library Guides: Evaluating Resources and</w:t>
      </w:r>
      <w:r w:rsidRPr="00F57CA5">
        <w:rPr>
          <w:rFonts w:ascii="Arial" w:hAnsi="Arial" w:cs="Arial"/>
          <w:i/>
          <w:iCs/>
          <w:sz w:val="22"/>
          <w:szCs w:val="22"/>
        </w:rPr>
        <w:t xml:space="preserve"> Misinformation: CRAAP test</w:t>
      </w:r>
      <w:r w:rsidRPr="00F57CA5">
        <w:rPr>
          <w:rFonts w:ascii="Arial" w:hAnsi="Arial" w:cs="Arial"/>
          <w:sz w:val="22"/>
          <w:szCs w:val="22"/>
        </w:rPr>
        <w:t xml:space="preserve">. Available at: </w:t>
      </w:r>
      <w:hyperlink r:id="rId105" w:history="1">
        <w:r w:rsidRPr="00F57CA5">
          <w:rPr>
            <w:rStyle w:val="Hyperlink"/>
            <w:rFonts w:ascii="Arial" w:hAnsi="Arial" w:cs="Arial"/>
            <w:color w:val="2809E5"/>
            <w:sz w:val="22"/>
            <w:szCs w:val="22"/>
          </w:rPr>
          <w:t>https://guides.lib.uchicago.edu/c.php?g=1241077&amp;p=9082343</w:t>
        </w:r>
      </w:hyperlink>
      <w:r w:rsidRPr="00F57CA5">
        <w:rPr>
          <w:rFonts w:ascii="Arial" w:hAnsi="Arial" w:cs="Arial"/>
          <w:color w:val="2809E5"/>
          <w:sz w:val="22"/>
          <w:szCs w:val="22"/>
        </w:rPr>
        <w:t xml:space="preserve">. </w:t>
      </w:r>
      <w:r w:rsidRPr="00F57CA5">
        <w:rPr>
          <w:rFonts w:ascii="Arial" w:hAnsi="Arial" w:cs="Arial"/>
          <w:sz w:val="22"/>
          <w:szCs w:val="22"/>
        </w:rPr>
        <w:t xml:space="preserve">(Accessed: 15 July 2025).  </w:t>
      </w:r>
    </w:p>
    <w:p w14:paraId="3A3146E4"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Kantrowitz, J.T. (2021) ‘How Do We Address Treating the Negative Symptoms of Schizophrenia Pharmacologically’? </w:t>
      </w:r>
      <w:r w:rsidRPr="00F57CA5">
        <w:rPr>
          <w:rFonts w:ascii="Arial" w:hAnsi="Arial" w:cs="Arial"/>
          <w:i/>
          <w:iCs/>
          <w:sz w:val="22"/>
          <w:szCs w:val="22"/>
        </w:rPr>
        <w:t>Expert Opinion on Pharmacotherapy</w:t>
      </w:r>
      <w:r w:rsidRPr="00F57CA5">
        <w:rPr>
          <w:rFonts w:ascii="Arial" w:hAnsi="Arial" w:cs="Arial"/>
          <w:sz w:val="22"/>
          <w:szCs w:val="22"/>
        </w:rPr>
        <w:t>, 22(14), pp.1811–1813. Available at</w:t>
      </w:r>
      <w:r w:rsidRPr="00F57CA5">
        <w:rPr>
          <w:rFonts w:ascii="Arial" w:hAnsi="Arial" w:cs="Arial"/>
          <w:color w:val="2809E5"/>
          <w:sz w:val="22"/>
          <w:szCs w:val="22"/>
        </w:rPr>
        <w:t xml:space="preserve">: </w:t>
      </w:r>
      <w:hyperlink r:id="rId106" w:history="1">
        <w:r w:rsidRPr="00F57CA5">
          <w:rPr>
            <w:rStyle w:val="Hyperlink"/>
            <w:rFonts w:ascii="Arial" w:hAnsi="Arial" w:cs="Arial"/>
            <w:color w:val="2809E5"/>
            <w:sz w:val="22"/>
            <w:szCs w:val="22"/>
          </w:rPr>
          <w:t>https://doi.org/10.1080/14656566.2021.1939677</w:t>
        </w:r>
      </w:hyperlink>
    </w:p>
    <w:p w14:paraId="0F79706C"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Kaveh Same, Parnian Shobeiri, Rashidi, M., Ghasemi, E., Sahar Saeedi Moghaddam, Mohammadi, E., Masoud Masinaei, Salehi, N., Sahar Mohammadi Fateh, Seyed Farzad Maroufi, Elham Abdolhamidi, Moghimi, M., Zeinab Abbasi-Kangevari, Rezaei, N. and Esfahani, Z. (2023)  ‘A Global, Regional, and National Burden and Quality of Care Index for Schizophrenia: Global Burden of Disease Systematic Analysis 1990–2019’. </w:t>
      </w:r>
      <w:r w:rsidRPr="00F57CA5">
        <w:rPr>
          <w:rFonts w:ascii="Arial" w:hAnsi="Arial" w:cs="Arial"/>
          <w:i/>
          <w:iCs/>
          <w:sz w:val="22"/>
          <w:szCs w:val="22"/>
        </w:rPr>
        <w:t>Schizophrenia Bulletin</w:t>
      </w:r>
      <w:r w:rsidRPr="00F57CA5">
        <w:rPr>
          <w:rFonts w:ascii="Arial" w:hAnsi="Arial" w:cs="Arial"/>
          <w:sz w:val="22"/>
          <w:szCs w:val="22"/>
        </w:rPr>
        <w:t xml:space="preserve">, 50(5). Available at:  </w:t>
      </w:r>
      <w:hyperlink r:id="rId107" w:history="1">
        <w:r w:rsidRPr="00F57CA5">
          <w:rPr>
            <w:rStyle w:val="Hyperlink"/>
            <w:rFonts w:ascii="Arial" w:hAnsi="Arial" w:cs="Arial"/>
            <w:color w:val="2809E5"/>
            <w:sz w:val="22"/>
            <w:szCs w:val="22"/>
          </w:rPr>
          <w:t>https://doi.org/10.1093/schbul/sbad120</w:t>
        </w:r>
      </w:hyperlink>
      <w:r w:rsidRPr="00F57CA5">
        <w:rPr>
          <w:rFonts w:ascii="Arial" w:hAnsi="Arial" w:cs="Arial"/>
          <w:color w:val="2809E5"/>
          <w:sz w:val="22"/>
          <w:szCs w:val="22"/>
        </w:rPr>
        <w:t>.</w:t>
      </w:r>
    </w:p>
    <w:p w14:paraId="1E2C6B6B"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lastRenderedPageBreak/>
        <w:t xml:space="preserve">Kendler, K.S. (2016) 'Phenomenology of Schizophrenia and the Representativeness of Modern Diagnostic Criteria’. </w:t>
      </w:r>
      <w:r w:rsidRPr="00F57CA5">
        <w:rPr>
          <w:rFonts w:ascii="Arial" w:hAnsi="Arial" w:cs="Arial"/>
          <w:i/>
          <w:iCs/>
          <w:sz w:val="22"/>
          <w:szCs w:val="22"/>
        </w:rPr>
        <w:t>JAMA Psychiatry</w:t>
      </w:r>
      <w:r w:rsidRPr="00F57CA5">
        <w:rPr>
          <w:rFonts w:ascii="Arial" w:hAnsi="Arial" w:cs="Arial"/>
          <w:sz w:val="22"/>
          <w:szCs w:val="22"/>
        </w:rPr>
        <w:t xml:space="preserve">, 73(10), p.1082. Available at:  </w:t>
      </w:r>
      <w:hyperlink r:id="rId108" w:history="1">
        <w:r w:rsidRPr="00F57CA5">
          <w:rPr>
            <w:rStyle w:val="Hyperlink"/>
            <w:rFonts w:ascii="Arial" w:hAnsi="Arial" w:cs="Arial"/>
            <w:color w:val="2809E5"/>
            <w:sz w:val="22"/>
            <w:szCs w:val="22"/>
          </w:rPr>
          <w:t>https://doi.org/10.1001/jamapsychiatry.2016.1976</w:t>
        </w:r>
      </w:hyperlink>
      <w:r w:rsidRPr="00F57CA5">
        <w:rPr>
          <w:rFonts w:ascii="Arial" w:hAnsi="Arial" w:cs="Arial"/>
          <w:color w:val="2809E5"/>
          <w:sz w:val="22"/>
          <w:szCs w:val="22"/>
        </w:rPr>
        <w:t>.</w:t>
      </w:r>
    </w:p>
    <w:p w14:paraId="2921AADC"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Killaspy, H., Harvey, C., Brasier, C., Brophy, L., Ennals, P., Fletcher, J. and Hamilton, B. (2022) ‘Community</w:t>
      </w:r>
      <w:r w:rsidRPr="00F57CA5">
        <w:rPr>
          <w:rFonts w:ascii="Cambria Math" w:hAnsi="Cambria Math" w:cs="Cambria Math"/>
          <w:sz w:val="22"/>
          <w:szCs w:val="22"/>
        </w:rPr>
        <w:t>‐</w:t>
      </w:r>
      <w:r w:rsidRPr="00F57CA5">
        <w:rPr>
          <w:rFonts w:ascii="Arial" w:hAnsi="Arial" w:cs="Arial"/>
          <w:sz w:val="22"/>
          <w:szCs w:val="22"/>
        </w:rPr>
        <w:t xml:space="preserve">Based Social Interventions for People with Severe Mental Illness: A Systematic Review and Narrative Synthesis of Recent Evidence’. </w:t>
      </w:r>
      <w:r w:rsidRPr="00F57CA5">
        <w:rPr>
          <w:rFonts w:ascii="Arial" w:hAnsi="Arial" w:cs="Arial"/>
          <w:i/>
          <w:iCs/>
          <w:sz w:val="22"/>
          <w:szCs w:val="22"/>
        </w:rPr>
        <w:t>World Psychiatry</w:t>
      </w:r>
      <w:r w:rsidRPr="00F57CA5">
        <w:rPr>
          <w:rFonts w:ascii="Arial" w:hAnsi="Arial" w:cs="Arial"/>
          <w:sz w:val="22"/>
          <w:szCs w:val="22"/>
        </w:rPr>
        <w:t xml:space="preserve">, 21(1), pp.96–123. Available at: </w:t>
      </w:r>
      <w:hyperlink r:id="rId109" w:history="1">
        <w:r w:rsidRPr="00F57CA5">
          <w:rPr>
            <w:rStyle w:val="Hyperlink"/>
            <w:rFonts w:ascii="Arial" w:hAnsi="Arial" w:cs="Arial"/>
            <w:color w:val="2809E5"/>
            <w:sz w:val="22"/>
            <w:szCs w:val="22"/>
          </w:rPr>
          <w:t>https://doi.org/10.1002/wps.20940</w:t>
        </w:r>
      </w:hyperlink>
      <w:r w:rsidRPr="00F57CA5">
        <w:rPr>
          <w:rFonts w:ascii="Arial" w:hAnsi="Arial" w:cs="Arial"/>
          <w:color w:val="2809E5"/>
          <w:sz w:val="22"/>
          <w:szCs w:val="22"/>
        </w:rPr>
        <w:t>.</w:t>
      </w:r>
    </w:p>
    <w:p w14:paraId="0BA47C3D"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Kirkbride, J.B. (2018) ‘Addressing ethnic inequalities in the pathways to care for psychosis’. </w:t>
      </w:r>
      <w:r w:rsidRPr="00F57CA5">
        <w:rPr>
          <w:rFonts w:ascii="Arial" w:hAnsi="Arial" w:cs="Arial"/>
          <w:i/>
          <w:iCs/>
          <w:sz w:val="22"/>
          <w:szCs w:val="22"/>
        </w:rPr>
        <w:t>BMC Medicine</w:t>
      </w:r>
      <w:r w:rsidRPr="00F57CA5">
        <w:rPr>
          <w:rFonts w:ascii="Arial" w:hAnsi="Arial" w:cs="Arial"/>
          <w:sz w:val="22"/>
          <w:szCs w:val="22"/>
        </w:rPr>
        <w:t xml:space="preserve">, 16(1). </w:t>
      </w:r>
      <w:bookmarkStart w:id="51" w:name="_Hlk204937949"/>
      <w:r w:rsidRPr="00F57CA5">
        <w:rPr>
          <w:rFonts w:ascii="Arial" w:hAnsi="Arial" w:cs="Arial"/>
          <w:sz w:val="22"/>
          <w:szCs w:val="22"/>
        </w:rPr>
        <w:t xml:space="preserve">Available at: </w:t>
      </w:r>
      <w:bookmarkEnd w:id="51"/>
      <w:r w:rsidRPr="00F57CA5">
        <w:rPr>
          <w:rFonts w:ascii="Arial" w:hAnsi="Arial" w:cs="Arial"/>
          <w:color w:val="2809E5"/>
          <w:sz w:val="22"/>
          <w:szCs w:val="22"/>
        </w:rPr>
        <w:fldChar w:fldCharType="begin"/>
      </w:r>
      <w:r w:rsidRPr="00F57CA5">
        <w:rPr>
          <w:rFonts w:ascii="Arial" w:hAnsi="Arial" w:cs="Arial"/>
          <w:color w:val="2809E5"/>
          <w:sz w:val="22"/>
          <w:szCs w:val="22"/>
        </w:rPr>
        <w:instrText>HYPERLINK "https://doi.org/10.1186/s12916-018-1236-y"</w:instrText>
      </w:r>
      <w:r w:rsidRPr="00F57CA5">
        <w:rPr>
          <w:rFonts w:ascii="Arial" w:hAnsi="Arial" w:cs="Arial"/>
          <w:color w:val="2809E5"/>
          <w:sz w:val="22"/>
          <w:szCs w:val="22"/>
        </w:rPr>
      </w:r>
      <w:r w:rsidRPr="00F57CA5">
        <w:rPr>
          <w:rFonts w:ascii="Arial" w:hAnsi="Arial" w:cs="Arial"/>
          <w:color w:val="2809E5"/>
          <w:sz w:val="22"/>
          <w:szCs w:val="22"/>
        </w:rPr>
        <w:fldChar w:fldCharType="separate"/>
      </w:r>
      <w:r w:rsidRPr="00F57CA5">
        <w:rPr>
          <w:rStyle w:val="Hyperlink"/>
          <w:rFonts w:ascii="Arial" w:hAnsi="Arial" w:cs="Arial"/>
          <w:color w:val="2809E5"/>
          <w:sz w:val="22"/>
          <w:szCs w:val="22"/>
        </w:rPr>
        <w:t>https://doi.org/10.1186/s12916-018-1236-y</w:t>
      </w:r>
      <w:r w:rsidRPr="00F57CA5">
        <w:rPr>
          <w:rFonts w:ascii="Arial" w:hAnsi="Arial" w:cs="Arial"/>
          <w:color w:val="2809E5"/>
          <w:sz w:val="22"/>
          <w:szCs w:val="22"/>
        </w:rPr>
        <w:fldChar w:fldCharType="end"/>
      </w:r>
      <w:r w:rsidRPr="00F57CA5">
        <w:rPr>
          <w:rFonts w:ascii="Arial" w:hAnsi="Arial" w:cs="Arial"/>
          <w:color w:val="2809E5"/>
          <w:sz w:val="22"/>
          <w:szCs w:val="22"/>
        </w:rPr>
        <w:t>.</w:t>
      </w:r>
    </w:p>
    <w:p w14:paraId="403EDA1F"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Kirkbride, J.B., Errazuriz, A., Croudace, T.J., Morgan, C., Jackson, D., Boydell, J., Murray, R.M. and Jones, P.B. (2012) ‘Incidence of Schizophrenia and Other Psychoses in England, 1950–2009: A Systematic Review and Meta-Analyses’. </w:t>
      </w:r>
      <w:r w:rsidRPr="00F57CA5">
        <w:rPr>
          <w:rFonts w:ascii="Arial" w:hAnsi="Arial" w:cs="Arial"/>
          <w:i/>
          <w:iCs/>
          <w:sz w:val="22"/>
          <w:szCs w:val="22"/>
        </w:rPr>
        <w:t>PLoS ONE</w:t>
      </w:r>
      <w:r w:rsidRPr="00F57CA5">
        <w:rPr>
          <w:rFonts w:ascii="Arial" w:hAnsi="Arial" w:cs="Arial"/>
          <w:sz w:val="22"/>
          <w:szCs w:val="22"/>
        </w:rPr>
        <w:t xml:space="preserve">, 7(3), p.e31660. Available at:  </w:t>
      </w:r>
      <w:hyperlink r:id="rId110" w:history="1">
        <w:r w:rsidRPr="00F57CA5">
          <w:rPr>
            <w:rStyle w:val="Hyperlink"/>
            <w:rFonts w:ascii="Arial" w:hAnsi="Arial" w:cs="Arial"/>
            <w:color w:val="2809E5"/>
            <w:sz w:val="22"/>
            <w:szCs w:val="22"/>
          </w:rPr>
          <w:t>https://doi.org/10.1371/journal.pone.0031660</w:t>
        </w:r>
      </w:hyperlink>
      <w:r w:rsidRPr="00F57CA5">
        <w:rPr>
          <w:rFonts w:ascii="Arial" w:hAnsi="Arial" w:cs="Arial"/>
          <w:color w:val="2809E5"/>
          <w:sz w:val="22"/>
          <w:szCs w:val="22"/>
        </w:rPr>
        <w:t>.</w:t>
      </w:r>
    </w:p>
    <w:p w14:paraId="4642A650"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Krogmann, A., Peters, L., Hardenberg, L. von, Bödeker, K., Nöhles, V.B. and Correll, C.U. (2019) ‘Keeping Up with The Therapeutic Advances in Schizophrenia: A Review of Novel and Emerging Pharmacological Entities’. </w:t>
      </w:r>
      <w:r w:rsidRPr="00F57CA5">
        <w:rPr>
          <w:rFonts w:ascii="Arial" w:hAnsi="Arial" w:cs="Arial"/>
          <w:i/>
          <w:iCs/>
          <w:sz w:val="22"/>
          <w:szCs w:val="22"/>
        </w:rPr>
        <w:t>CNS Spectrums</w:t>
      </w:r>
      <w:r w:rsidRPr="00F57CA5">
        <w:rPr>
          <w:rFonts w:ascii="Arial" w:hAnsi="Arial" w:cs="Arial"/>
          <w:sz w:val="22"/>
          <w:szCs w:val="22"/>
        </w:rPr>
        <w:t xml:space="preserve">,24(S1), pp.38–69. Available at:  </w:t>
      </w:r>
      <w:hyperlink r:id="rId111" w:history="1">
        <w:r w:rsidRPr="00F57CA5">
          <w:rPr>
            <w:rStyle w:val="Hyperlink"/>
            <w:rFonts w:ascii="Arial" w:hAnsi="Arial" w:cs="Arial"/>
            <w:color w:val="2809E5"/>
            <w:sz w:val="22"/>
            <w:szCs w:val="22"/>
          </w:rPr>
          <w:t>https://doi.org/10.1017/S109285291900124X</w:t>
        </w:r>
      </w:hyperlink>
      <w:r w:rsidRPr="00F57CA5">
        <w:rPr>
          <w:rFonts w:ascii="Arial" w:hAnsi="Arial" w:cs="Arial"/>
          <w:color w:val="2809E5"/>
          <w:sz w:val="22"/>
          <w:szCs w:val="22"/>
        </w:rPr>
        <w:t>.</w:t>
      </w:r>
      <w:r w:rsidRPr="00F57CA5">
        <w:rPr>
          <w:rFonts w:ascii="Arial" w:hAnsi="Arial" w:cs="Arial"/>
          <w:sz w:val="22"/>
          <w:szCs w:val="22"/>
        </w:rPr>
        <w:t xml:space="preserve"> Available at:</w:t>
      </w:r>
      <w:r w:rsidRPr="00F57CA5">
        <w:rPr>
          <w:rFonts w:ascii="Arial" w:hAnsi="Arial" w:cs="Arial"/>
          <w:color w:val="2809E5"/>
          <w:sz w:val="22"/>
          <w:szCs w:val="22"/>
        </w:rPr>
        <w:t xml:space="preserve"> </w:t>
      </w:r>
    </w:p>
    <w:p w14:paraId="05F316BE"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Kusuma, O. and Subandi (2021) Psychological Intervention in Community-Based Treatment of Schizophrenia: A Systematic Narrative Review. </w:t>
      </w:r>
      <w:r w:rsidRPr="00F57CA5">
        <w:rPr>
          <w:rFonts w:ascii="Arial" w:hAnsi="Arial" w:cs="Arial"/>
          <w:i/>
          <w:iCs/>
          <w:sz w:val="22"/>
          <w:szCs w:val="22"/>
        </w:rPr>
        <w:t>Journal of Educational, Health and Community Psychology</w:t>
      </w:r>
      <w:r w:rsidRPr="00F57CA5">
        <w:rPr>
          <w:rFonts w:ascii="Arial" w:hAnsi="Arial" w:cs="Arial"/>
          <w:sz w:val="22"/>
          <w:szCs w:val="22"/>
        </w:rPr>
        <w:t xml:space="preserve">, 10(3). Available at: </w:t>
      </w:r>
      <w:hyperlink r:id="rId112" w:history="1">
        <w:r w:rsidRPr="00F57CA5">
          <w:rPr>
            <w:rStyle w:val="Hyperlink"/>
            <w:rFonts w:ascii="Arial" w:hAnsi="Arial" w:cs="Arial"/>
            <w:color w:val="2809E5"/>
            <w:sz w:val="22"/>
            <w:szCs w:val="22"/>
          </w:rPr>
          <w:t>https://pdfs.semanticscholar.org/9157/2a1ca67383a045f0c1ecce3bd428580b86d7.pdf</w:t>
        </w:r>
      </w:hyperlink>
      <w:r w:rsidRPr="00F57CA5">
        <w:rPr>
          <w:rFonts w:ascii="Arial" w:hAnsi="Arial" w:cs="Arial"/>
          <w:color w:val="2809E5"/>
          <w:sz w:val="22"/>
          <w:szCs w:val="22"/>
        </w:rPr>
        <w:t xml:space="preserve">. </w:t>
      </w:r>
      <w:r w:rsidRPr="00F57CA5">
        <w:rPr>
          <w:rFonts w:ascii="Arial" w:hAnsi="Arial" w:cs="Arial"/>
          <w:sz w:val="22"/>
          <w:szCs w:val="22"/>
        </w:rPr>
        <w:t xml:space="preserve">(Accessed: 24 May 2025).  </w:t>
      </w:r>
    </w:p>
    <w:p w14:paraId="59BC3C08"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Laborde, S. (2016). </w:t>
      </w:r>
      <w:r w:rsidRPr="00F57CA5">
        <w:rPr>
          <w:rFonts w:ascii="Arial" w:hAnsi="Arial" w:cs="Arial"/>
          <w:i/>
          <w:iCs/>
          <w:sz w:val="22"/>
          <w:szCs w:val="22"/>
        </w:rPr>
        <w:t>Biopsychosocial Model - an Overview</w:t>
      </w:r>
      <w:r w:rsidRPr="00F57CA5">
        <w:rPr>
          <w:rFonts w:ascii="Arial" w:hAnsi="Arial" w:cs="Arial"/>
          <w:sz w:val="22"/>
          <w:szCs w:val="22"/>
        </w:rPr>
        <w:t xml:space="preserve">. Available at: </w:t>
      </w:r>
      <w:hyperlink r:id="rId113" w:history="1">
        <w:r w:rsidRPr="00F57CA5">
          <w:rPr>
            <w:rStyle w:val="Hyperlink"/>
            <w:rFonts w:ascii="Arial" w:hAnsi="Arial" w:cs="Arial"/>
            <w:color w:val="2809E5"/>
            <w:sz w:val="22"/>
            <w:szCs w:val="22"/>
          </w:rPr>
          <w:t>https://www.sciencedirect.com/topics/social-sciences/biopsychosocial-model</w:t>
        </w:r>
      </w:hyperlink>
      <w:r w:rsidRPr="00F57CA5">
        <w:rPr>
          <w:rFonts w:ascii="Arial" w:hAnsi="Arial" w:cs="Arial"/>
          <w:color w:val="2809E5"/>
          <w:sz w:val="22"/>
          <w:szCs w:val="22"/>
        </w:rPr>
        <w:t>.(</w:t>
      </w:r>
      <w:r w:rsidRPr="00F57CA5">
        <w:rPr>
          <w:rFonts w:ascii="Arial" w:hAnsi="Arial" w:cs="Arial"/>
          <w:sz w:val="22"/>
          <w:szCs w:val="22"/>
        </w:rPr>
        <w:t xml:space="preserve">Accessed: 15 July 2025).  </w:t>
      </w:r>
    </w:p>
    <w:p w14:paraId="2557E3E9"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Lieberman, J.A., Small, S.A. and Girgis, R.R. (2019) ‘Early Detection and Preventive Intervention in Schizophrenia: From Fantasy to Reality’. </w:t>
      </w:r>
      <w:r w:rsidRPr="00F57CA5">
        <w:rPr>
          <w:rFonts w:ascii="Arial" w:hAnsi="Arial" w:cs="Arial"/>
          <w:i/>
          <w:iCs/>
          <w:sz w:val="22"/>
          <w:szCs w:val="22"/>
        </w:rPr>
        <w:t>American Journal of Psychiatry</w:t>
      </w:r>
      <w:r w:rsidRPr="00F57CA5">
        <w:rPr>
          <w:rFonts w:ascii="Arial" w:hAnsi="Arial" w:cs="Arial"/>
          <w:sz w:val="22"/>
          <w:szCs w:val="22"/>
        </w:rPr>
        <w:t xml:space="preserve">, 176(10), pp.794–810. Available at: </w:t>
      </w:r>
      <w:hyperlink r:id="rId114" w:history="1">
        <w:r w:rsidRPr="00F57CA5">
          <w:rPr>
            <w:rStyle w:val="Hyperlink"/>
            <w:rFonts w:ascii="Arial" w:hAnsi="Arial" w:cs="Arial"/>
            <w:color w:val="2809E5"/>
            <w:sz w:val="22"/>
            <w:szCs w:val="22"/>
          </w:rPr>
          <w:t>https://doi.org/10.1176/appi.ajp.2019.19080865</w:t>
        </w:r>
      </w:hyperlink>
      <w:r w:rsidRPr="00F57CA5">
        <w:rPr>
          <w:rFonts w:ascii="Arial" w:hAnsi="Arial" w:cs="Arial"/>
          <w:color w:val="2809E5"/>
          <w:sz w:val="22"/>
          <w:szCs w:val="22"/>
        </w:rPr>
        <w:t>.</w:t>
      </w:r>
    </w:p>
    <w:p w14:paraId="37CF35CA" w14:textId="77777777" w:rsidR="00342517" w:rsidRPr="00F57CA5" w:rsidRDefault="00342517" w:rsidP="00F57CA5">
      <w:pPr>
        <w:pStyle w:val="NormalWeb"/>
        <w:spacing w:line="360" w:lineRule="auto"/>
        <w:rPr>
          <w:rFonts w:ascii="Arial" w:hAnsi="Arial" w:cs="Arial"/>
          <w:color w:val="2809E5"/>
          <w:sz w:val="22"/>
          <w:szCs w:val="22"/>
        </w:rPr>
      </w:pPr>
      <w:r w:rsidRPr="00F57CA5">
        <w:rPr>
          <w:rFonts w:ascii="Arial" w:hAnsi="Arial" w:cs="Arial"/>
          <w:sz w:val="22"/>
          <w:szCs w:val="22"/>
        </w:rPr>
        <w:t xml:space="preserve">Lobo, M.C., Whitehurst, T.S., Kaar, S.J. and Howes, O.D. (2022) ‘New and Emerging Treatments for Schizophrenia: A Narrative Review of Their Pharmacology, Efficacy and Side </w:t>
      </w:r>
      <w:r w:rsidRPr="00F57CA5">
        <w:rPr>
          <w:rFonts w:ascii="Arial" w:hAnsi="Arial" w:cs="Arial"/>
          <w:sz w:val="22"/>
          <w:szCs w:val="22"/>
        </w:rPr>
        <w:lastRenderedPageBreak/>
        <w:t xml:space="preserve">Effect Profile Relative to Established Antipsychotics’. </w:t>
      </w:r>
      <w:r w:rsidRPr="00F57CA5">
        <w:rPr>
          <w:rFonts w:ascii="Arial" w:hAnsi="Arial" w:cs="Arial"/>
          <w:i/>
          <w:iCs/>
          <w:sz w:val="22"/>
          <w:szCs w:val="22"/>
        </w:rPr>
        <w:t>Neuroscience &amp; Biobehavioural Reviews</w:t>
      </w:r>
      <w:r w:rsidRPr="00F57CA5">
        <w:rPr>
          <w:rFonts w:ascii="Arial" w:hAnsi="Arial" w:cs="Arial"/>
          <w:sz w:val="22"/>
          <w:szCs w:val="22"/>
        </w:rPr>
        <w:t>, 132, pp.324–361.  Available at:</w:t>
      </w:r>
      <w:r w:rsidRPr="00F57CA5">
        <w:rPr>
          <w:rFonts w:ascii="Arial" w:hAnsi="Arial" w:cs="Arial"/>
          <w:color w:val="2809E5"/>
          <w:sz w:val="22"/>
          <w:szCs w:val="22"/>
        </w:rPr>
        <w:t xml:space="preserve"> </w:t>
      </w:r>
      <w:hyperlink r:id="rId115" w:history="1">
        <w:r w:rsidRPr="00F57CA5">
          <w:rPr>
            <w:rStyle w:val="Hyperlink"/>
            <w:rFonts w:ascii="Arial" w:hAnsi="Arial" w:cs="Arial"/>
            <w:color w:val="2809E5"/>
            <w:sz w:val="22"/>
            <w:szCs w:val="22"/>
          </w:rPr>
          <w:t>https://doi.org/10.1016/j.neubiorev.2021.11.032</w:t>
        </w:r>
      </w:hyperlink>
      <w:r w:rsidRPr="00F57CA5">
        <w:rPr>
          <w:rFonts w:ascii="Arial" w:hAnsi="Arial" w:cs="Arial"/>
          <w:color w:val="2809E5"/>
          <w:sz w:val="22"/>
          <w:szCs w:val="22"/>
        </w:rPr>
        <w:t>.</w:t>
      </w:r>
    </w:p>
    <w:p w14:paraId="234F5F8D"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Lochmiller, C. (2021) ‘Conducting Thematic Analysis with Qualitative Data’. </w:t>
      </w:r>
      <w:r w:rsidRPr="00F57CA5">
        <w:rPr>
          <w:rFonts w:ascii="Arial" w:hAnsi="Arial" w:cs="Arial"/>
          <w:i/>
          <w:iCs/>
          <w:sz w:val="22"/>
          <w:szCs w:val="22"/>
        </w:rPr>
        <w:t>The Qualitative Report</w:t>
      </w:r>
      <w:r w:rsidRPr="00F57CA5">
        <w:rPr>
          <w:rFonts w:ascii="Arial" w:hAnsi="Arial" w:cs="Arial"/>
          <w:sz w:val="22"/>
          <w:szCs w:val="22"/>
        </w:rPr>
        <w:t xml:space="preserve">, 26(6), pp.2029–2044. Available at:  </w:t>
      </w:r>
      <w:hyperlink r:id="rId116" w:history="1">
        <w:r w:rsidRPr="00F57CA5">
          <w:rPr>
            <w:rStyle w:val="Hyperlink"/>
            <w:rFonts w:ascii="Arial" w:hAnsi="Arial" w:cs="Arial"/>
            <w:color w:val="2809E5"/>
            <w:sz w:val="22"/>
            <w:szCs w:val="22"/>
          </w:rPr>
          <w:t>https://doi.org/10.46743/2160-3715/2021.5008</w:t>
        </w:r>
      </w:hyperlink>
      <w:r w:rsidRPr="00F57CA5">
        <w:rPr>
          <w:rFonts w:ascii="Arial" w:hAnsi="Arial" w:cs="Arial"/>
          <w:color w:val="2809E5"/>
          <w:sz w:val="22"/>
          <w:szCs w:val="22"/>
        </w:rPr>
        <w:t>.</w:t>
      </w:r>
    </w:p>
    <w:p w14:paraId="37115D8B"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Lorenz, C., Bighelli, I., Hanna, F., Akhtar, A. and Leucht, S. (2024) ‘Update of the World Health Organisation’s Mental Health Gap Action Programme Guideline for Psychoses (Including Schizophrenia)’. </w:t>
      </w:r>
      <w:r w:rsidRPr="00F57CA5">
        <w:rPr>
          <w:rFonts w:ascii="Arial" w:hAnsi="Arial" w:cs="Arial"/>
          <w:i/>
          <w:iCs/>
          <w:sz w:val="22"/>
          <w:szCs w:val="22"/>
        </w:rPr>
        <w:t>Schizophrenia Bulletin</w:t>
      </w:r>
      <w:r w:rsidRPr="00F57CA5">
        <w:rPr>
          <w:rFonts w:ascii="Arial" w:hAnsi="Arial" w:cs="Arial"/>
          <w:sz w:val="22"/>
          <w:szCs w:val="22"/>
        </w:rPr>
        <w:t xml:space="preserve">, 50(6).  Available at:  </w:t>
      </w:r>
      <w:hyperlink r:id="rId117" w:history="1">
        <w:r w:rsidRPr="00F57CA5">
          <w:rPr>
            <w:rStyle w:val="Hyperlink"/>
            <w:rFonts w:ascii="Arial" w:hAnsi="Arial" w:cs="Arial"/>
            <w:color w:val="2809E5"/>
            <w:sz w:val="22"/>
            <w:szCs w:val="22"/>
          </w:rPr>
          <w:t>https://doi.org/10.1093/schbul/sbae043</w:t>
        </w:r>
      </w:hyperlink>
      <w:r w:rsidRPr="00F57CA5">
        <w:rPr>
          <w:rFonts w:ascii="Arial" w:hAnsi="Arial" w:cs="Arial"/>
          <w:color w:val="2809E5"/>
          <w:sz w:val="22"/>
          <w:szCs w:val="22"/>
        </w:rPr>
        <w:t>.</w:t>
      </w:r>
    </w:p>
    <w:p w14:paraId="303E759D"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Lowther-Payne, H.J., Ushakova, A., Beckwith, A., Liberty, C., Edge, R. and Lobban, F. (2023) ‘Understanding Inequalities in Access to Adult Mental Health Services in the UK: a Systematic Mapping Review’. </w:t>
      </w:r>
      <w:r w:rsidRPr="00F57CA5">
        <w:rPr>
          <w:rFonts w:ascii="Arial" w:hAnsi="Arial" w:cs="Arial"/>
          <w:i/>
          <w:iCs/>
          <w:sz w:val="22"/>
          <w:szCs w:val="22"/>
        </w:rPr>
        <w:t>BMC Health Services Research</w:t>
      </w:r>
      <w:r w:rsidRPr="00F57CA5">
        <w:rPr>
          <w:rFonts w:ascii="Arial" w:hAnsi="Arial" w:cs="Arial"/>
          <w:sz w:val="22"/>
          <w:szCs w:val="22"/>
        </w:rPr>
        <w:t xml:space="preserve">, 23(1). Available at: </w:t>
      </w:r>
      <w:hyperlink r:id="rId118" w:history="1">
        <w:r w:rsidRPr="00F57CA5">
          <w:rPr>
            <w:rStyle w:val="Hyperlink"/>
            <w:rFonts w:ascii="Arial" w:hAnsi="Arial" w:cs="Arial"/>
            <w:color w:val="2809E5"/>
            <w:sz w:val="22"/>
            <w:szCs w:val="22"/>
          </w:rPr>
          <w:t>https://bmchealthservres.biomedcentral.com/articles/10.1186/s12913-023-10030-8</w:t>
        </w:r>
      </w:hyperlink>
      <w:r w:rsidRPr="00F57CA5">
        <w:rPr>
          <w:rFonts w:ascii="Arial" w:hAnsi="Arial" w:cs="Arial"/>
          <w:color w:val="2809E5"/>
          <w:sz w:val="22"/>
          <w:szCs w:val="22"/>
        </w:rPr>
        <w:t>.</w:t>
      </w:r>
    </w:p>
    <w:p w14:paraId="6732D2E3"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Lugg, W. (2021) ‘The Biopsychosocial Model: History, Controversy and Engel’. </w:t>
      </w:r>
      <w:r w:rsidRPr="00F57CA5">
        <w:rPr>
          <w:rFonts w:ascii="Arial" w:hAnsi="Arial" w:cs="Arial"/>
          <w:i/>
          <w:iCs/>
          <w:sz w:val="22"/>
          <w:szCs w:val="22"/>
        </w:rPr>
        <w:t>Australasian Psychiatry</w:t>
      </w:r>
      <w:r w:rsidRPr="00F57CA5">
        <w:rPr>
          <w:rFonts w:ascii="Arial" w:hAnsi="Arial" w:cs="Arial"/>
          <w:sz w:val="22"/>
          <w:szCs w:val="22"/>
        </w:rPr>
        <w:t xml:space="preserve">, 30(1), p. 103985622110373.  Available at:  </w:t>
      </w:r>
      <w:hyperlink r:id="rId119" w:history="1">
        <w:r w:rsidRPr="00F57CA5">
          <w:rPr>
            <w:rStyle w:val="Hyperlink"/>
            <w:rFonts w:ascii="Arial" w:hAnsi="Arial" w:cs="Arial"/>
            <w:color w:val="2809E5"/>
            <w:sz w:val="22"/>
            <w:szCs w:val="22"/>
          </w:rPr>
          <w:t>https://doi.org/10.1177/10398562211037333</w:t>
        </w:r>
      </w:hyperlink>
      <w:r w:rsidRPr="00F57CA5">
        <w:rPr>
          <w:rFonts w:ascii="Arial" w:hAnsi="Arial" w:cs="Arial"/>
          <w:color w:val="2809E5"/>
          <w:sz w:val="22"/>
          <w:szCs w:val="22"/>
        </w:rPr>
        <w:t>.</w:t>
      </w:r>
    </w:p>
    <w:p w14:paraId="23D139EA"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Lukose, A., Venkatesh, R.K., Cherian, A.V., Bhat, S.U., Prabhu, S., Arahanthabailu, P., Kumar, S., Bhat, A. and Shetty, N.C. (2021) ‘Accessing Mental Health Care among People with Schizophrenia’. </w:t>
      </w:r>
      <w:r w:rsidRPr="00F57CA5">
        <w:rPr>
          <w:rFonts w:ascii="Arial" w:hAnsi="Arial" w:cs="Arial"/>
          <w:i/>
          <w:iCs/>
          <w:sz w:val="22"/>
          <w:szCs w:val="22"/>
        </w:rPr>
        <w:t>Indian Journal of Social Psychiatry</w:t>
      </w:r>
      <w:r w:rsidRPr="00F57CA5">
        <w:rPr>
          <w:rFonts w:ascii="Arial" w:hAnsi="Arial" w:cs="Arial"/>
          <w:sz w:val="22"/>
          <w:szCs w:val="22"/>
        </w:rPr>
        <w:t xml:space="preserve">, 37(4), pp.423–429. Available at:   </w:t>
      </w:r>
      <w:hyperlink r:id="rId120" w:history="1">
        <w:r w:rsidRPr="00F57CA5">
          <w:rPr>
            <w:rStyle w:val="Hyperlink"/>
            <w:rFonts w:ascii="Arial" w:hAnsi="Arial" w:cs="Arial"/>
            <w:color w:val="2809E5"/>
            <w:sz w:val="22"/>
            <w:szCs w:val="22"/>
          </w:rPr>
          <w:t>https://doi.org/10.4103/ijsp.ijsp_141_20</w:t>
        </w:r>
      </w:hyperlink>
      <w:r w:rsidRPr="00F57CA5">
        <w:rPr>
          <w:rFonts w:ascii="Arial" w:hAnsi="Arial" w:cs="Arial"/>
          <w:color w:val="2809E5"/>
          <w:sz w:val="22"/>
          <w:szCs w:val="22"/>
        </w:rPr>
        <w:t>.</w:t>
      </w:r>
    </w:p>
    <w:p w14:paraId="2CA78B9E"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Luo, H., Li, Y., Yang, B.X., Chen, J. and Zhao, P. (2022) ‘Psychological Interventions for Personal Stigma of Patients with Schizophrenia: A Systematic Review and Network Meta-Analysis’. </w:t>
      </w:r>
      <w:r w:rsidRPr="00F57CA5">
        <w:rPr>
          <w:rFonts w:ascii="Arial" w:hAnsi="Arial" w:cs="Arial"/>
          <w:i/>
          <w:iCs/>
          <w:sz w:val="22"/>
          <w:szCs w:val="22"/>
        </w:rPr>
        <w:t>Journal of Psychiatric Research</w:t>
      </w:r>
      <w:r w:rsidRPr="00F57CA5">
        <w:rPr>
          <w:rFonts w:ascii="Arial" w:hAnsi="Arial" w:cs="Arial"/>
          <w:sz w:val="22"/>
          <w:szCs w:val="22"/>
        </w:rPr>
        <w:t xml:space="preserve">, 148, pp.348–356.  Available at:  </w:t>
      </w:r>
      <w:hyperlink r:id="rId121" w:history="1">
        <w:r w:rsidRPr="00F57CA5">
          <w:rPr>
            <w:rStyle w:val="Hyperlink"/>
            <w:rFonts w:ascii="Arial" w:hAnsi="Arial" w:cs="Arial"/>
            <w:color w:val="2809E5"/>
            <w:sz w:val="22"/>
            <w:szCs w:val="22"/>
          </w:rPr>
          <w:t>https://doi.org/10.1016/j.jpsychires.2022.02.010</w:t>
        </w:r>
      </w:hyperlink>
      <w:r w:rsidRPr="00F57CA5">
        <w:rPr>
          <w:rFonts w:ascii="Arial" w:hAnsi="Arial" w:cs="Arial"/>
          <w:color w:val="2809E5"/>
          <w:sz w:val="22"/>
          <w:szCs w:val="22"/>
        </w:rPr>
        <w:t>.</w:t>
      </w:r>
    </w:p>
    <w:p w14:paraId="32A3FC6C"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Maatz, A. and Hoff, P. (2014) ‘The birth of schizophrenia or a very modern Bleuler: a close reading of Eugen Bleuler’s ‘Die Prognose der Dementia Praecox’ and a Consideration of his contribution to psychiatry’. </w:t>
      </w:r>
      <w:r w:rsidRPr="00F57CA5">
        <w:rPr>
          <w:rFonts w:ascii="Arial" w:hAnsi="Arial" w:cs="Arial"/>
          <w:i/>
          <w:iCs/>
          <w:sz w:val="22"/>
          <w:szCs w:val="22"/>
        </w:rPr>
        <w:t>History of Psychiatry</w:t>
      </w:r>
      <w:r w:rsidRPr="00F57CA5">
        <w:rPr>
          <w:rFonts w:ascii="Arial" w:hAnsi="Arial" w:cs="Arial"/>
          <w:sz w:val="22"/>
          <w:szCs w:val="22"/>
        </w:rPr>
        <w:t xml:space="preserve">, 25(4), pp.431–440.  Available at:  </w:t>
      </w:r>
      <w:hyperlink r:id="rId122" w:history="1">
        <w:r w:rsidRPr="00F57CA5">
          <w:rPr>
            <w:rStyle w:val="Hyperlink"/>
            <w:rFonts w:ascii="Arial" w:hAnsi="Arial" w:cs="Arial"/>
            <w:color w:val="2809E5"/>
            <w:sz w:val="22"/>
            <w:szCs w:val="22"/>
          </w:rPr>
          <w:t>https://doi.org/10.1177/0957154x14546606</w:t>
        </w:r>
      </w:hyperlink>
      <w:r w:rsidRPr="00F57CA5">
        <w:rPr>
          <w:rFonts w:ascii="Arial" w:hAnsi="Arial" w:cs="Arial"/>
          <w:color w:val="2809E5"/>
          <w:sz w:val="22"/>
          <w:szCs w:val="22"/>
        </w:rPr>
        <w:t>.</w:t>
      </w:r>
    </w:p>
    <w:p w14:paraId="581794C6"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Mahapatra, P. and Seshadri, S. (2023) ‘Mental Health in India: Evolving Strategies, Initiatives, and Prospects’. </w:t>
      </w:r>
      <w:r w:rsidRPr="00F57CA5">
        <w:rPr>
          <w:rFonts w:ascii="Arial" w:hAnsi="Arial" w:cs="Arial"/>
          <w:i/>
          <w:iCs/>
          <w:sz w:val="22"/>
          <w:szCs w:val="22"/>
        </w:rPr>
        <w:t>The Lancet Regional Health - Southeast Asia</w:t>
      </w:r>
      <w:r w:rsidRPr="00F57CA5">
        <w:rPr>
          <w:rFonts w:ascii="Arial" w:hAnsi="Arial" w:cs="Arial"/>
          <w:sz w:val="22"/>
          <w:szCs w:val="22"/>
        </w:rPr>
        <w:t xml:space="preserve">, 20, p.100300.  Available at: </w:t>
      </w:r>
      <w:hyperlink r:id="rId123" w:history="1">
        <w:r w:rsidRPr="00F57CA5">
          <w:rPr>
            <w:rStyle w:val="Hyperlink"/>
            <w:rFonts w:ascii="Arial" w:hAnsi="Arial" w:cs="Arial"/>
            <w:color w:val="2809E5"/>
            <w:sz w:val="22"/>
            <w:szCs w:val="22"/>
          </w:rPr>
          <w:t>https://doi.org/10.1016/j.lansea.2023.100300</w:t>
        </w:r>
      </w:hyperlink>
      <w:r w:rsidRPr="00F57CA5">
        <w:rPr>
          <w:rFonts w:ascii="Arial" w:hAnsi="Arial" w:cs="Arial"/>
          <w:color w:val="2809E5"/>
          <w:sz w:val="22"/>
          <w:szCs w:val="22"/>
        </w:rPr>
        <w:t>.</w:t>
      </w:r>
    </w:p>
    <w:p w14:paraId="1BB34C18"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lastRenderedPageBreak/>
        <w:t xml:space="preserve">Mahmood, Z., Clark, J.M.R. and Twamley, E.W. (2019) ‘Compensatory Cognitive Training for Psychosis: Effects on Negative Symptom Subdomains’. </w:t>
      </w:r>
      <w:r w:rsidRPr="00F57CA5">
        <w:rPr>
          <w:rFonts w:ascii="Arial" w:hAnsi="Arial" w:cs="Arial"/>
          <w:i/>
          <w:iCs/>
          <w:sz w:val="22"/>
          <w:szCs w:val="22"/>
        </w:rPr>
        <w:t>Schizophrenia Research</w:t>
      </w:r>
      <w:r w:rsidRPr="00F57CA5">
        <w:rPr>
          <w:rFonts w:ascii="Arial" w:hAnsi="Arial" w:cs="Arial"/>
          <w:sz w:val="22"/>
          <w:szCs w:val="22"/>
        </w:rPr>
        <w:t xml:space="preserve">, 204, pp.397–400.   Available at: </w:t>
      </w:r>
      <w:hyperlink r:id="rId124" w:history="1">
        <w:r w:rsidRPr="00F57CA5">
          <w:rPr>
            <w:rStyle w:val="Hyperlink"/>
            <w:rFonts w:ascii="Arial" w:hAnsi="Arial" w:cs="Arial"/>
            <w:color w:val="2809E5"/>
            <w:sz w:val="22"/>
            <w:szCs w:val="22"/>
          </w:rPr>
          <w:t>https://doi.org/10.1016/j.schres.2018.09.024</w:t>
        </w:r>
      </w:hyperlink>
      <w:r w:rsidRPr="00F57CA5">
        <w:rPr>
          <w:rFonts w:ascii="Arial" w:hAnsi="Arial" w:cs="Arial"/>
          <w:color w:val="2809E5"/>
          <w:sz w:val="22"/>
          <w:szCs w:val="22"/>
        </w:rPr>
        <w:t>.</w:t>
      </w:r>
    </w:p>
    <w:p w14:paraId="487AF83B"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Mamtani, H.G. (2024) ‘Is it time to Incorporate the Biopsychosocial Model into Medical Practice: A call for Action for Medical Practitioners across Specialities’. </w:t>
      </w:r>
      <w:r w:rsidRPr="00F57CA5">
        <w:rPr>
          <w:rFonts w:ascii="Arial" w:hAnsi="Arial" w:cs="Arial"/>
          <w:i/>
          <w:iCs/>
          <w:sz w:val="22"/>
          <w:szCs w:val="22"/>
        </w:rPr>
        <w:t>Journal of education and health promotion</w:t>
      </w:r>
      <w:r w:rsidRPr="00F57CA5">
        <w:rPr>
          <w:rFonts w:ascii="Arial" w:hAnsi="Arial" w:cs="Arial"/>
          <w:sz w:val="22"/>
          <w:szCs w:val="22"/>
        </w:rPr>
        <w:t xml:space="preserve">, 13(1). Available at: </w:t>
      </w:r>
      <w:hyperlink r:id="rId125" w:history="1">
        <w:r w:rsidRPr="00F57CA5">
          <w:rPr>
            <w:rStyle w:val="Hyperlink"/>
            <w:rFonts w:ascii="Arial" w:hAnsi="Arial" w:cs="Arial"/>
            <w:color w:val="2809E5"/>
            <w:sz w:val="22"/>
            <w:szCs w:val="22"/>
          </w:rPr>
          <w:t>https://doi.org/10.4103/jehp.jehp_1667_23</w:t>
        </w:r>
      </w:hyperlink>
      <w:r w:rsidRPr="00F57CA5">
        <w:rPr>
          <w:rFonts w:ascii="Arial" w:hAnsi="Arial" w:cs="Arial"/>
          <w:color w:val="2809E5"/>
          <w:sz w:val="22"/>
          <w:szCs w:val="22"/>
        </w:rPr>
        <w:t>.</w:t>
      </w:r>
    </w:p>
    <w:p w14:paraId="3091BC29"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Mann, F., Fisher, H.L., Major, B., Lawrence, J., Tapfumaneyi, A., Joyce, J., Hinton, M.F. and Johnson, S. (2014) ‘Ethnic Variations in Compulsory Detention and Hospital Admission for </w:t>
      </w:r>
    </w:p>
    <w:p w14:paraId="61EC4ABB"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Mannarini, S., Taccini, F., Sato, I. and Rossi, A.A. (2022) ‘Understanding stigma toward schizophrenia’. </w:t>
      </w:r>
      <w:r w:rsidRPr="00F57CA5">
        <w:rPr>
          <w:rFonts w:ascii="Arial" w:hAnsi="Arial" w:cs="Arial"/>
          <w:i/>
          <w:iCs/>
          <w:sz w:val="22"/>
          <w:szCs w:val="22"/>
        </w:rPr>
        <w:t>Psychiatry Research</w:t>
      </w:r>
      <w:r w:rsidRPr="00F57CA5">
        <w:rPr>
          <w:rFonts w:ascii="Arial" w:hAnsi="Arial" w:cs="Arial"/>
          <w:sz w:val="22"/>
          <w:szCs w:val="22"/>
        </w:rPr>
        <w:t xml:space="preserve">, 318(114970), p.114970.  Available at: </w:t>
      </w:r>
      <w:hyperlink r:id="rId126" w:history="1">
        <w:r w:rsidRPr="00F57CA5">
          <w:rPr>
            <w:rStyle w:val="Hyperlink"/>
            <w:rFonts w:ascii="Arial" w:hAnsi="Arial" w:cs="Arial"/>
            <w:color w:val="2809E5"/>
            <w:sz w:val="22"/>
            <w:szCs w:val="22"/>
          </w:rPr>
          <w:t>https://doi.org/10.1016/j.psychres.2022.114970</w:t>
        </w:r>
      </w:hyperlink>
      <w:r w:rsidRPr="00F57CA5">
        <w:rPr>
          <w:rFonts w:ascii="Arial" w:hAnsi="Arial" w:cs="Arial"/>
          <w:color w:val="2809E5"/>
          <w:sz w:val="22"/>
          <w:szCs w:val="22"/>
        </w:rPr>
        <w:t>.</w:t>
      </w:r>
    </w:p>
    <w:p w14:paraId="40FBDFF8"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MarksMan Healthcare (2024) </w:t>
      </w:r>
      <w:r w:rsidRPr="00F57CA5">
        <w:rPr>
          <w:rFonts w:ascii="Arial" w:hAnsi="Arial" w:cs="Arial"/>
          <w:i/>
          <w:iCs/>
          <w:sz w:val="22"/>
          <w:szCs w:val="22"/>
        </w:rPr>
        <w:t xml:space="preserve">Date Range Restriction in Systematic Reviews. </w:t>
      </w:r>
      <w:r w:rsidRPr="00F57CA5">
        <w:rPr>
          <w:rFonts w:ascii="Arial" w:hAnsi="Arial" w:cs="Arial"/>
          <w:sz w:val="22"/>
          <w:szCs w:val="22"/>
        </w:rPr>
        <w:t xml:space="preserve">Available at: </w:t>
      </w:r>
      <w:hyperlink r:id="rId127" w:history="1">
        <w:r w:rsidRPr="00F57CA5">
          <w:rPr>
            <w:rStyle w:val="Hyperlink"/>
            <w:rFonts w:ascii="Arial" w:hAnsi="Arial" w:cs="Arial"/>
            <w:color w:val="2809E5"/>
            <w:sz w:val="22"/>
            <w:szCs w:val="22"/>
          </w:rPr>
          <w:t>https://marksmanhealthcare.com/2024/01/16/date-range-restriction-in-systematic-reviews-navigating-the-why-how-and-when</w:t>
        </w:r>
      </w:hyperlink>
      <w:r w:rsidRPr="00F57CA5">
        <w:rPr>
          <w:rFonts w:ascii="Arial" w:hAnsi="Arial" w:cs="Arial"/>
          <w:color w:val="2809E5"/>
          <w:sz w:val="22"/>
          <w:szCs w:val="22"/>
        </w:rPr>
        <w:t>.(</w:t>
      </w:r>
      <w:r w:rsidRPr="00F57CA5">
        <w:rPr>
          <w:rFonts w:ascii="Arial" w:hAnsi="Arial" w:cs="Arial"/>
          <w:sz w:val="22"/>
          <w:szCs w:val="22"/>
        </w:rPr>
        <w:t>Accessed: 24 Jul 2025).</w:t>
      </w:r>
    </w:p>
    <w:p w14:paraId="19CC067C"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Mayo Clinic (2024) </w:t>
      </w:r>
      <w:r w:rsidRPr="00F57CA5">
        <w:rPr>
          <w:rFonts w:ascii="Arial" w:hAnsi="Arial" w:cs="Arial"/>
          <w:i/>
          <w:iCs/>
          <w:sz w:val="22"/>
          <w:szCs w:val="22"/>
        </w:rPr>
        <w:t>Schizophrenia - symptoms and causes</w:t>
      </w:r>
      <w:r w:rsidRPr="00F57CA5">
        <w:rPr>
          <w:rFonts w:ascii="Arial" w:hAnsi="Arial" w:cs="Arial"/>
          <w:sz w:val="22"/>
          <w:szCs w:val="22"/>
        </w:rPr>
        <w:t xml:space="preserve">. </w:t>
      </w:r>
      <w:bookmarkStart w:id="52" w:name="_Hlk204902155"/>
      <w:r w:rsidRPr="00F57CA5">
        <w:rPr>
          <w:rFonts w:ascii="Arial" w:hAnsi="Arial" w:cs="Arial"/>
          <w:sz w:val="22"/>
          <w:szCs w:val="22"/>
        </w:rPr>
        <w:t xml:space="preserve">Available at: </w:t>
      </w:r>
      <w:bookmarkEnd w:id="52"/>
      <w:r w:rsidRPr="00F57CA5">
        <w:rPr>
          <w:rFonts w:ascii="Arial" w:hAnsi="Arial" w:cs="Arial"/>
          <w:color w:val="2809E5"/>
          <w:sz w:val="22"/>
          <w:szCs w:val="22"/>
        </w:rPr>
        <w:fldChar w:fldCharType="begin"/>
      </w:r>
      <w:r w:rsidRPr="00F57CA5">
        <w:rPr>
          <w:rFonts w:ascii="Arial" w:hAnsi="Arial" w:cs="Arial"/>
          <w:color w:val="2809E5"/>
          <w:sz w:val="22"/>
          <w:szCs w:val="22"/>
        </w:rPr>
        <w:instrText>HYPERLINK "https://www.mayoclinic.org/diseases-conditions/schizophrenia/symptoms-causes/syc-20354443"</w:instrText>
      </w:r>
      <w:r w:rsidRPr="00F57CA5">
        <w:rPr>
          <w:rFonts w:ascii="Arial" w:hAnsi="Arial" w:cs="Arial"/>
          <w:color w:val="2809E5"/>
          <w:sz w:val="22"/>
          <w:szCs w:val="22"/>
        </w:rPr>
      </w:r>
      <w:r w:rsidRPr="00F57CA5">
        <w:rPr>
          <w:rFonts w:ascii="Arial" w:hAnsi="Arial" w:cs="Arial"/>
          <w:color w:val="2809E5"/>
          <w:sz w:val="22"/>
          <w:szCs w:val="22"/>
        </w:rPr>
        <w:fldChar w:fldCharType="separate"/>
      </w:r>
      <w:r w:rsidRPr="00F57CA5">
        <w:rPr>
          <w:rStyle w:val="Hyperlink"/>
          <w:rFonts w:ascii="Arial" w:hAnsi="Arial" w:cs="Arial"/>
          <w:color w:val="2809E5"/>
          <w:sz w:val="22"/>
          <w:szCs w:val="22"/>
        </w:rPr>
        <w:t>https://www.mayoclinic.org/diseases-conditions/schizophrenia/symptoms-causes/syc-20354443</w:t>
      </w:r>
      <w:r w:rsidRPr="00F57CA5">
        <w:rPr>
          <w:rFonts w:ascii="Arial" w:hAnsi="Arial" w:cs="Arial"/>
          <w:color w:val="2809E5"/>
          <w:sz w:val="22"/>
          <w:szCs w:val="22"/>
        </w:rPr>
        <w:fldChar w:fldCharType="end"/>
      </w:r>
      <w:r w:rsidRPr="00F57CA5">
        <w:rPr>
          <w:rFonts w:ascii="Arial" w:hAnsi="Arial" w:cs="Arial"/>
          <w:color w:val="2809E5"/>
          <w:sz w:val="22"/>
          <w:szCs w:val="22"/>
        </w:rPr>
        <w:t>.(</w:t>
      </w:r>
      <w:r w:rsidRPr="00F57CA5">
        <w:rPr>
          <w:rFonts w:ascii="Arial" w:hAnsi="Arial" w:cs="Arial"/>
          <w:sz w:val="22"/>
          <w:szCs w:val="22"/>
        </w:rPr>
        <w:t>Accessed: 24 March 2025).</w:t>
      </w:r>
    </w:p>
    <w:p w14:paraId="43219146" w14:textId="77777777" w:rsidR="00342517" w:rsidRPr="00F57CA5" w:rsidRDefault="00342517" w:rsidP="00F57CA5">
      <w:pPr>
        <w:pStyle w:val="NormalWeb"/>
        <w:spacing w:before="0" w:beforeAutospacing="0" w:after="240" w:afterAutospacing="0" w:line="360" w:lineRule="auto"/>
        <w:rPr>
          <w:rFonts w:ascii="Arial" w:hAnsi="Arial" w:cs="Arial"/>
          <w:color w:val="2809E5"/>
          <w:sz w:val="22"/>
          <w:szCs w:val="22"/>
        </w:rPr>
      </w:pPr>
      <w:r w:rsidRPr="00F57CA5">
        <w:rPr>
          <w:rFonts w:ascii="Arial" w:hAnsi="Arial" w:cs="Arial"/>
          <w:sz w:val="22"/>
          <w:szCs w:val="22"/>
        </w:rPr>
        <w:t xml:space="preserve">McBride, O., Duncan, C., Twigg, L., Keown, P., Bhui, K., Scott, J., Parsons, H., Crepaz-Keay, D., Cyhlarova, E. and Weich, S. (2021) ‘Effects of Ethnic Density on The Risk of Compulsory Psychiatric Admission for Individuals Attending Secondary Care Mental Health Services: Evidence from A Large-Scale Study in England’. </w:t>
      </w:r>
      <w:r w:rsidRPr="00F57CA5">
        <w:rPr>
          <w:rFonts w:ascii="Arial" w:hAnsi="Arial" w:cs="Arial"/>
          <w:i/>
          <w:iCs/>
          <w:sz w:val="22"/>
          <w:szCs w:val="22"/>
        </w:rPr>
        <w:t>Psychological Medicine</w:t>
      </w:r>
      <w:r w:rsidRPr="00F57CA5">
        <w:rPr>
          <w:rFonts w:ascii="Arial" w:hAnsi="Arial" w:cs="Arial"/>
          <w:sz w:val="22"/>
          <w:szCs w:val="22"/>
        </w:rPr>
        <w:t xml:space="preserve">, pp.1–10. Available at: </w:t>
      </w:r>
      <w:hyperlink r:id="rId128" w:history="1">
        <w:r w:rsidRPr="00F57CA5">
          <w:rPr>
            <w:rStyle w:val="Hyperlink"/>
            <w:rFonts w:ascii="Arial" w:hAnsi="Arial" w:cs="Arial"/>
            <w:color w:val="2809E5"/>
            <w:sz w:val="22"/>
            <w:szCs w:val="22"/>
          </w:rPr>
          <w:t>https://doi.org/10.1017/s0033291721001768</w:t>
        </w:r>
      </w:hyperlink>
      <w:r w:rsidRPr="00F57CA5">
        <w:rPr>
          <w:rFonts w:ascii="Arial" w:hAnsi="Arial" w:cs="Arial"/>
          <w:color w:val="2809E5"/>
          <w:sz w:val="22"/>
          <w:szCs w:val="22"/>
        </w:rPr>
        <w:t>.</w:t>
      </w:r>
    </w:p>
    <w:p w14:paraId="79CEF62E" w14:textId="77777777" w:rsidR="00342517" w:rsidRPr="00F57CA5" w:rsidRDefault="00342517" w:rsidP="00F57CA5">
      <w:pPr>
        <w:pStyle w:val="NormalWeb"/>
        <w:spacing w:before="0" w:beforeAutospacing="0" w:after="240" w:afterAutospacing="0" w:line="360" w:lineRule="auto"/>
        <w:rPr>
          <w:rFonts w:ascii="Arial" w:hAnsi="Arial" w:cs="Arial"/>
          <w:color w:val="2809E5"/>
          <w:sz w:val="22"/>
          <w:szCs w:val="22"/>
        </w:rPr>
      </w:pPr>
      <w:r w:rsidRPr="00F57CA5">
        <w:rPr>
          <w:rFonts w:ascii="Arial" w:hAnsi="Arial" w:cs="Arial"/>
          <w:sz w:val="22"/>
          <w:szCs w:val="22"/>
        </w:rPr>
        <w:t xml:space="preserve">McCutcheon, R.A., Reis Marques, T. and Howes, O.D. (2020) ‘Schizophrenia: An Overview’. </w:t>
      </w:r>
      <w:r w:rsidRPr="00F57CA5">
        <w:rPr>
          <w:rFonts w:ascii="Arial" w:hAnsi="Arial" w:cs="Arial"/>
          <w:i/>
          <w:iCs/>
          <w:sz w:val="22"/>
          <w:szCs w:val="22"/>
        </w:rPr>
        <w:t>JAMA Psychiatry</w:t>
      </w:r>
      <w:r w:rsidRPr="00F57CA5">
        <w:rPr>
          <w:rFonts w:ascii="Arial" w:hAnsi="Arial" w:cs="Arial"/>
          <w:sz w:val="22"/>
          <w:szCs w:val="22"/>
        </w:rPr>
        <w:t xml:space="preserve">, 77(2). Available at: </w:t>
      </w:r>
      <w:hyperlink r:id="rId129" w:history="1">
        <w:r w:rsidRPr="00F57CA5">
          <w:rPr>
            <w:rStyle w:val="Hyperlink"/>
            <w:rFonts w:ascii="Arial" w:hAnsi="Arial" w:cs="Arial"/>
            <w:color w:val="2809E5"/>
            <w:sz w:val="22"/>
            <w:szCs w:val="22"/>
          </w:rPr>
          <w:t>https://doi.org/10.1001/jamapsychiatry.2019.3360</w:t>
        </w:r>
      </w:hyperlink>
      <w:r w:rsidRPr="00F57CA5">
        <w:rPr>
          <w:rFonts w:ascii="Arial" w:hAnsi="Arial" w:cs="Arial"/>
          <w:color w:val="2809E5"/>
          <w:sz w:val="22"/>
          <w:szCs w:val="22"/>
        </w:rPr>
        <w:t>.</w:t>
      </w:r>
    </w:p>
    <w:p w14:paraId="13C7350E" w14:textId="77777777" w:rsidR="00342517" w:rsidRPr="00F57CA5" w:rsidRDefault="00342517" w:rsidP="00F57CA5">
      <w:pPr>
        <w:pStyle w:val="NormalWeb"/>
        <w:spacing w:before="0" w:beforeAutospacing="0" w:after="240" w:afterAutospacing="0" w:line="360" w:lineRule="auto"/>
        <w:rPr>
          <w:rFonts w:ascii="Arial" w:hAnsi="Arial" w:cs="Arial"/>
          <w:color w:val="2809E5"/>
          <w:sz w:val="22"/>
          <w:szCs w:val="22"/>
        </w:rPr>
      </w:pPr>
      <w:r w:rsidRPr="00F57CA5">
        <w:rPr>
          <w:rFonts w:ascii="Arial" w:hAnsi="Arial" w:cs="Arial"/>
          <w:sz w:val="22"/>
          <w:szCs w:val="22"/>
        </w:rPr>
        <w:t xml:space="preserve">McGorry, P.D. (2004) ‘The Recognition and Optimal Management of Early Psychosis’. </w:t>
      </w:r>
      <w:r w:rsidRPr="00F57CA5">
        <w:rPr>
          <w:rFonts w:ascii="Arial" w:hAnsi="Arial" w:cs="Arial"/>
          <w:i/>
          <w:iCs/>
          <w:sz w:val="22"/>
          <w:szCs w:val="22"/>
        </w:rPr>
        <w:t>KARGER eBooks</w:t>
      </w:r>
      <w:r w:rsidRPr="00F57CA5">
        <w:rPr>
          <w:rFonts w:ascii="Arial" w:hAnsi="Arial" w:cs="Arial"/>
          <w:sz w:val="22"/>
          <w:szCs w:val="22"/>
        </w:rPr>
        <w:t xml:space="preserve">, pp.11–26. Available at:  </w:t>
      </w:r>
      <w:hyperlink r:id="rId130" w:history="1">
        <w:r w:rsidRPr="00F57CA5">
          <w:rPr>
            <w:rStyle w:val="Hyperlink"/>
            <w:rFonts w:ascii="Arial" w:hAnsi="Arial" w:cs="Arial"/>
            <w:color w:val="2809E5"/>
            <w:sz w:val="22"/>
            <w:szCs w:val="22"/>
          </w:rPr>
          <w:t>https://doi.org/10.1159/000078973</w:t>
        </w:r>
      </w:hyperlink>
      <w:r w:rsidRPr="00F57CA5">
        <w:rPr>
          <w:rFonts w:ascii="Arial" w:hAnsi="Arial" w:cs="Arial"/>
          <w:color w:val="2809E5"/>
          <w:sz w:val="22"/>
          <w:szCs w:val="22"/>
        </w:rPr>
        <w:t>.</w:t>
      </w:r>
    </w:p>
    <w:p w14:paraId="5C4B14C1" w14:textId="77777777" w:rsidR="00342517" w:rsidRPr="00F57CA5" w:rsidRDefault="00342517" w:rsidP="00F57CA5">
      <w:pPr>
        <w:pStyle w:val="NormalWeb"/>
        <w:spacing w:before="0" w:beforeAutospacing="0" w:after="240" w:afterAutospacing="0" w:line="360" w:lineRule="auto"/>
        <w:rPr>
          <w:rFonts w:ascii="Arial" w:hAnsi="Arial" w:cs="Arial"/>
          <w:color w:val="2809E5"/>
          <w:sz w:val="22"/>
          <w:szCs w:val="22"/>
        </w:rPr>
      </w:pPr>
      <w:r w:rsidRPr="00F57CA5">
        <w:rPr>
          <w:rFonts w:ascii="Arial" w:hAnsi="Arial" w:cs="Arial"/>
          <w:sz w:val="22"/>
          <w:szCs w:val="22"/>
        </w:rPr>
        <w:t xml:space="preserve">McLaughlin, C.G. and Wyszewianski, L. (2002) ‘Access to Care: Remembering Old Lessons’. </w:t>
      </w:r>
      <w:r w:rsidRPr="00F57CA5">
        <w:rPr>
          <w:rFonts w:ascii="Arial" w:hAnsi="Arial" w:cs="Arial"/>
          <w:i/>
          <w:iCs/>
          <w:sz w:val="22"/>
          <w:szCs w:val="22"/>
        </w:rPr>
        <w:t>Health Services Research</w:t>
      </w:r>
      <w:r w:rsidRPr="00F57CA5">
        <w:rPr>
          <w:rFonts w:ascii="Arial" w:hAnsi="Arial" w:cs="Arial"/>
          <w:sz w:val="22"/>
          <w:szCs w:val="22"/>
        </w:rPr>
        <w:t xml:space="preserve">, 37(6), pp.1441–1443. Available at:  </w:t>
      </w:r>
      <w:hyperlink r:id="rId131" w:history="1">
        <w:r w:rsidRPr="00F57CA5">
          <w:rPr>
            <w:rStyle w:val="Hyperlink"/>
            <w:rFonts w:ascii="Arial" w:hAnsi="Arial" w:cs="Arial"/>
            <w:color w:val="2809E5"/>
            <w:sz w:val="22"/>
            <w:szCs w:val="22"/>
          </w:rPr>
          <w:t>https://doi.org/10.1111/1475-6773.12171</w:t>
        </w:r>
      </w:hyperlink>
      <w:r w:rsidRPr="00F57CA5">
        <w:rPr>
          <w:rFonts w:ascii="Arial" w:hAnsi="Arial" w:cs="Arial"/>
          <w:color w:val="2809E5"/>
          <w:sz w:val="22"/>
          <w:szCs w:val="22"/>
        </w:rPr>
        <w:t xml:space="preserve">. </w:t>
      </w:r>
    </w:p>
    <w:p w14:paraId="47681292"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lastRenderedPageBreak/>
        <w:t xml:space="preserve">Mental Health Act (2007) </w:t>
      </w:r>
      <w:r w:rsidRPr="00F57CA5">
        <w:rPr>
          <w:rFonts w:ascii="Arial" w:hAnsi="Arial" w:cs="Arial"/>
          <w:i/>
          <w:iCs/>
          <w:sz w:val="22"/>
          <w:szCs w:val="22"/>
        </w:rPr>
        <w:t>Mental Health Act 2007</w:t>
      </w:r>
      <w:r w:rsidRPr="00F57CA5">
        <w:rPr>
          <w:rFonts w:ascii="Arial" w:hAnsi="Arial" w:cs="Arial"/>
          <w:sz w:val="22"/>
          <w:szCs w:val="22"/>
        </w:rPr>
        <w:t xml:space="preserve">. Available at: </w:t>
      </w:r>
      <w:hyperlink r:id="rId132" w:history="1">
        <w:r w:rsidRPr="00F57CA5">
          <w:rPr>
            <w:rStyle w:val="Hyperlink"/>
            <w:rFonts w:ascii="Arial" w:hAnsi="Arial" w:cs="Arial"/>
            <w:color w:val="2809E5"/>
            <w:sz w:val="22"/>
            <w:szCs w:val="22"/>
          </w:rPr>
          <w:t>https://www.legislation.gov.uk/ukpga/2007/12/contents</w:t>
        </w:r>
      </w:hyperlink>
      <w:r w:rsidRPr="00F57CA5">
        <w:rPr>
          <w:rFonts w:ascii="Arial" w:hAnsi="Arial" w:cs="Arial"/>
          <w:color w:val="2809E5"/>
          <w:sz w:val="22"/>
          <w:szCs w:val="22"/>
        </w:rPr>
        <w:t>.</w:t>
      </w:r>
      <w:r w:rsidRPr="00F57CA5">
        <w:rPr>
          <w:rFonts w:ascii="Arial" w:hAnsi="Arial" w:cs="Arial"/>
          <w:sz w:val="22"/>
          <w:szCs w:val="22"/>
        </w:rPr>
        <w:t xml:space="preserve"> (Accessed: 24 June 2025).</w:t>
      </w:r>
    </w:p>
    <w:p w14:paraId="7E9D3870" w14:textId="77777777" w:rsidR="00342517" w:rsidRPr="00F57CA5" w:rsidRDefault="00342517" w:rsidP="00F57CA5">
      <w:pPr>
        <w:pStyle w:val="NormalWeb"/>
        <w:spacing w:before="0" w:beforeAutospacing="0" w:after="240" w:afterAutospacing="0" w:line="360" w:lineRule="auto"/>
        <w:rPr>
          <w:rFonts w:ascii="Arial" w:hAnsi="Arial" w:cs="Arial"/>
          <w:color w:val="2809E5"/>
          <w:sz w:val="22"/>
          <w:szCs w:val="22"/>
        </w:rPr>
      </w:pPr>
      <w:r w:rsidRPr="00F57CA5">
        <w:rPr>
          <w:rFonts w:ascii="Arial" w:hAnsi="Arial" w:cs="Arial"/>
          <w:sz w:val="22"/>
          <w:szCs w:val="22"/>
        </w:rPr>
        <w:t xml:space="preserve">Miles, E. (2013) ‘Biopsychosocial Model’. </w:t>
      </w:r>
      <w:r w:rsidRPr="00F57CA5">
        <w:rPr>
          <w:rFonts w:ascii="Arial" w:hAnsi="Arial" w:cs="Arial"/>
          <w:i/>
          <w:iCs/>
          <w:sz w:val="22"/>
          <w:szCs w:val="22"/>
        </w:rPr>
        <w:t>Encyclopaedia of Behavioural Medicine</w:t>
      </w:r>
      <w:r w:rsidRPr="00F57CA5">
        <w:rPr>
          <w:rFonts w:ascii="Arial" w:hAnsi="Arial" w:cs="Arial"/>
          <w:sz w:val="22"/>
          <w:szCs w:val="22"/>
        </w:rPr>
        <w:t xml:space="preserve">, pp.227–228. Available at:  </w:t>
      </w:r>
      <w:hyperlink r:id="rId133" w:history="1">
        <w:r w:rsidRPr="00F57CA5">
          <w:rPr>
            <w:rStyle w:val="Hyperlink"/>
            <w:rFonts w:ascii="Arial" w:hAnsi="Arial" w:cs="Arial"/>
            <w:color w:val="2809E5"/>
            <w:sz w:val="22"/>
            <w:szCs w:val="22"/>
          </w:rPr>
          <w:t>https://doi.org/10.1007/978-1-4419-1005-9_1095</w:t>
        </w:r>
      </w:hyperlink>
      <w:r w:rsidRPr="00F57CA5">
        <w:rPr>
          <w:rFonts w:ascii="Arial" w:hAnsi="Arial" w:cs="Arial"/>
          <w:color w:val="2809E5"/>
          <w:sz w:val="22"/>
          <w:szCs w:val="22"/>
        </w:rPr>
        <w:t>.</w:t>
      </w:r>
    </w:p>
    <w:p w14:paraId="708B12E0"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Mind for a Better Mental (2020) </w:t>
      </w:r>
      <w:r w:rsidRPr="00F57CA5">
        <w:rPr>
          <w:rFonts w:ascii="Arial" w:hAnsi="Arial" w:cs="Arial"/>
          <w:i/>
          <w:iCs/>
          <w:sz w:val="22"/>
          <w:szCs w:val="22"/>
        </w:rPr>
        <w:t>Schizophrenia.</w:t>
      </w:r>
      <w:r w:rsidRPr="00F57CA5">
        <w:rPr>
          <w:rFonts w:ascii="Arial" w:hAnsi="Arial" w:cs="Arial"/>
          <w:sz w:val="22"/>
          <w:szCs w:val="22"/>
        </w:rPr>
        <w:t xml:space="preserve"> Available at: </w:t>
      </w:r>
      <w:hyperlink r:id="rId134" w:history="1">
        <w:r w:rsidRPr="00F57CA5">
          <w:rPr>
            <w:rStyle w:val="Hyperlink"/>
            <w:rFonts w:ascii="Arial" w:hAnsi="Arial" w:cs="Arial"/>
            <w:color w:val="2809E5"/>
            <w:sz w:val="22"/>
            <w:szCs w:val="22"/>
          </w:rPr>
          <w:t>https://www.mind.org.uk/media/9201/schizophrenia-2020-pdf-version-updated-mid-cycle.pdf</w:t>
        </w:r>
      </w:hyperlink>
      <w:r w:rsidRPr="00F57CA5">
        <w:rPr>
          <w:rFonts w:ascii="Arial" w:hAnsi="Arial" w:cs="Arial"/>
          <w:color w:val="2809E5"/>
          <w:sz w:val="22"/>
          <w:szCs w:val="22"/>
        </w:rPr>
        <w:t xml:space="preserve">. </w:t>
      </w:r>
      <w:r w:rsidRPr="00F57CA5">
        <w:rPr>
          <w:rFonts w:ascii="Arial" w:hAnsi="Arial" w:cs="Arial"/>
          <w:sz w:val="22"/>
          <w:szCs w:val="22"/>
        </w:rPr>
        <w:t>(Accessed: 24 June 2025).</w:t>
      </w:r>
    </w:p>
    <w:p w14:paraId="226014B0"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Mohr, P., Galderisi, S., Boyer, P., Wasserman, D., Arteel, P., Ieven, A., Karkkainen, H., Pereira, E., Guldemond, N., Winkler, P. and Gaebel, W. (2018) ‘Value of Schizophrenia treatment I: The Patient Journey’. </w:t>
      </w:r>
      <w:r w:rsidRPr="00F57CA5">
        <w:rPr>
          <w:rFonts w:ascii="Arial" w:hAnsi="Arial" w:cs="Arial"/>
          <w:i/>
          <w:iCs/>
          <w:sz w:val="22"/>
          <w:szCs w:val="22"/>
        </w:rPr>
        <w:t>European Psychiatry</w:t>
      </w:r>
      <w:r w:rsidRPr="00F57CA5">
        <w:rPr>
          <w:rFonts w:ascii="Arial" w:hAnsi="Arial" w:cs="Arial"/>
          <w:sz w:val="22"/>
          <w:szCs w:val="22"/>
        </w:rPr>
        <w:t xml:space="preserve">, 53, pp.107–115. Available at:  </w:t>
      </w:r>
      <w:hyperlink r:id="rId135" w:history="1">
        <w:r w:rsidRPr="00F57CA5">
          <w:rPr>
            <w:rStyle w:val="Hyperlink"/>
            <w:rFonts w:ascii="Arial" w:hAnsi="Arial" w:cs="Arial"/>
            <w:color w:val="2809E5"/>
            <w:sz w:val="22"/>
            <w:szCs w:val="22"/>
          </w:rPr>
          <w:t>https://doi.org/10.1016/j.eurpsy.2018.06.007</w:t>
        </w:r>
      </w:hyperlink>
      <w:r w:rsidRPr="00F57CA5">
        <w:rPr>
          <w:rFonts w:ascii="Arial" w:hAnsi="Arial" w:cs="Arial"/>
          <w:color w:val="2809E5"/>
          <w:sz w:val="22"/>
          <w:szCs w:val="22"/>
        </w:rPr>
        <w:t>.</w:t>
      </w:r>
    </w:p>
    <w:p w14:paraId="5B065A69"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Morgan, C., Knowles, G. and Hutchinson, G. (2019) ‘Migration, Ethnicity and Psychoses: Evidence, Models and Future Directions’. </w:t>
      </w:r>
      <w:r w:rsidRPr="00F57CA5">
        <w:rPr>
          <w:rFonts w:ascii="Arial" w:hAnsi="Arial" w:cs="Arial"/>
          <w:i/>
          <w:iCs/>
          <w:sz w:val="22"/>
          <w:szCs w:val="22"/>
        </w:rPr>
        <w:t>World Psychiatry</w:t>
      </w:r>
      <w:r w:rsidRPr="00F57CA5">
        <w:rPr>
          <w:rFonts w:ascii="Arial" w:hAnsi="Arial" w:cs="Arial"/>
          <w:sz w:val="22"/>
          <w:szCs w:val="22"/>
        </w:rPr>
        <w:t xml:space="preserve">, 18(3), pp.247–258. Available at:  </w:t>
      </w:r>
      <w:hyperlink r:id="rId136" w:history="1">
        <w:r w:rsidRPr="00F57CA5">
          <w:rPr>
            <w:rStyle w:val="Hyperlink"/>
            <w:rFonts w:ascii="Arial" w:hAnsi="Arial" w:cs="Arial"/>
            <w:color w:val="2809E5"/>
            <w:sz w:val="22"/>
            <w:szCs w:val="22"/>
          </w:rPr>
          <w:t>https://doi.org/10.1002/wps.20655</w:t>
        </w:r>
      </w:hyperlink>
      <w:r w:rsidRPr="00F57CA5">
        <w:rPr>
          <w:rFonts w:ascii="Arial" w:hAnsi="Arial" w:cs="Arial"/>
          <w:color w:val="2809E5"/>
          <w:sz w:val="22"/>
          <w:szCs w:val="22"/>
        </w:rPr>
        <w:t>.</w:t>
      </w:r>
    </w:p>
    <w:p w14:paraId="1DC74A02"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Morrison, A.P., Pyle, M., Gumley, A., Schwannauer, M., Turkington, D., MacLennan, G., Norrie, J., Hudson, J., Bowe, S.E., French, P., Byrne, R., Syrett, S., Dudley, R., McLeod, H.J., Griffiths, H., Barnes, T.R.E., Davies, L., Kingdon, D., Aydinlar, S. and Courtley, J. (2018) ‘Cognitive behavioural therapy in clozapine-resistant schizophrenia (FOCUS): an assessor-blinded, randomised controlled trial’. </w:t>
      </w:r>
      <w:r w:rsidRPr="00F57CA5">
        <w:rPr>
          <w:rFonts w:ascii="Arial" w:hAnsi="Arial" w:cs="Arial"/>
          <w:i/>
          <w:iCs/>
          <w:sz w:val="22"/>
          <w:szCs w:val="22"/>
        </w:rPr>
        <w:t>The Lancet Psychiatry</w:t>
      </w:r>
      <w:r w:rsidRPr="00F57CA5">
        <w:rPr>
          <w:rFonts w:ascii="Arial" w:hAnsi="Arial" w:cs="Arial"/>
          <w:sz w:val="22"/>
          <w:szCs w:val="22"/>
        </w:rPr>
        <w:t xml:space="preserve">, 5(8), pp.633–643. Available at: </w:t>
      </w:r>
      <w:hyperlink r:id="rId137" w:history="1">
        <w:r w:rsidRPr="00F57CA5">
          <w:rPr>
            <w:rStyle w:val="Hyperlink"/>
            <w:rFonts w:ascii="Arial" w:hAnsi="Arial" w:cs="Arial"/>
            <w:color w:val="2809E5"/>
            <w:sz w:val="22"/>
            <w:szCs w:val="22"/>
          </w:rPr>
          <w:t>https://doi.org/10.1016/s2215-0366(18)30184-6</w:t>
        </w:r>
      </w:hyperlink>
      <w:r w:rsidRPr="00F57CA5">
        <w:rPr>
          <w:rFonts w:ascii="Arial" w:hAnsi="Arial" w:cs="Arial"/>
          <w:color w:val="2809E5"/>
          <w:sz w:val="22"/>
          <w:szCs w:val="22"/>
        </w:rPr>
        <w:t>.</w:t>
      </w:r>
    </w:p>
    <w:p w14:paraId="6FB14202" w14:textId="3CEAAF73" w:rsidR="001651BF" w:rsidRPr="00F57CA5" w:rsidRDefault="00342517" w:rsidP="00F57CA5">
      <w:pPr>
        <w:pStyle w:val="NormalWeb"/>
        <w:spacing w:line="360" w:lineRule="auto"/>
        <w:rPr>
          <w:rFonts w:ascii="Arial" w:hAnsi="Arial" w:cs="Arial"/>
          <w:color w:val="2809E5"/>
          <w:sz w:val="22"/>
          <w:szCs w:val="22"/>
        </w:rPr>
      </w:pPr>
      <w:r w:rsidRPr="00F57CA5">
        <w:rPr>
          <w:rFonts w:ascii="Arial" w:hAnsi="Arial" w:cs="Arial"/>
          <w:sz w:val="22"/>
          <w:szCs w:val="22"/>
        </w:rPr>
        <w:t xml:space="preserve">Naeem, F., Khoury, B., Munshi, T., Ayub, M., Lecomte, T., Kingdon, D. and Farooq, S. (2016) ‘Brief Cognitive Behavioural Therapy for Psychosis (CBTp) for Schizophrenia: Literature Review and Meta-analysis’. </w:t>
      </w:r>
      <w:r w:rsidRPr="00F57CA5">
        <w:rPr>
          <w:rFonts w:ascii="Arial" w:hAnsi="Arial" w:cs="Arial"/>
          <w:i/>
          <w:iCs/>
          <w:sz w:val="22"/>
          <w:szCs w:val="22"/>
        </w:rPr>
        <w:t>International Journal of Cognitive Therapy</w:t>
      </w:r>
      <w:r w:rsidRPr="00F57CA5">
        <w:rPr>
          <w:rFonts w:ascii="Arial" w:hAnsi="Arial" w:cs="Arial"/>
          <w:sz w:val="22"/>
          <w:szCs w:val="22"/>
        </w:rPr>
        <w:t xml:space="preserve">, 9(1), pp.73–86. Available at:  </w:t>
      </w:r>
      <w:hyperlink r:id="rId138" w:history="1">
        <w:r w:rsidRPr="00F57CA5">
          <w:rPr>
            <w:rStyle w:val="Hyperlink"/>
            <w:rFonts w:ascii="Arial" w:hAnsi="Arial" w:cs="Arial"/>
            <w:color w:val="2809E5"/>
            <w:sz w:val="22"/>
            <w:szCs w:val="22"/>
          </w:rPr>
          <w:t>https://doi.org/10.1521/ijct_2016_09_04</w:t>
        </w:r>
      </w:hyperlink>
      <w:r w:rsidRPr="00F57CA5">
        <w:rPr>
          <w:rFonts w:ascii="Arial" w:hAnsi="Arial" w:cs="Arial"/>
          <w:color w:val="2809E5"/>
          <w:sz w:val="22"/>
          <w:szCs w:val="22"/>
        </w:rPr>
        <w:t>.</w:t>
      </w:r>
    </w:p>
    <w:p w14:paraId="3664C7EF" w14:textId="4A08CBF3" w:rsidR="001651BF" w:rsidRPr="00F57CA5" w:rsidRDefault="001651BF" w:rsidP="00F57CA5">
      <w:pPr>
        <w:pStyle w:val="NormalWeb"/>
        <w:spacing w:line="360" w:lineRule="auto"/>
        <w:rPr>
          <w:rFonts w:ascii="Arial" w:hAnsi="Arial" w:cs="Arial"/>
          <w:sz w:val="22"/>
          <w:szCs w:val="22"/>
        </w:rPr>
      </w:pPr>
      <w:r w:rsidRPr="00F57CA5">
        <w:rPr>
          <w:rFonts w:ascii="Arial" w:hAnsi="Arial" w:cs="Arial"/>
          <w:sz w:val="22"/>
          <w:szCs w:val="22"/>
        </w:rPr>
        <w:t xml:space="preserve">Naeem, M., Ozuem, W., Howell, K. and Ranfagni, S. (2023) </w:t>
      </w:r>
      <w:r w:rsidR="004616DA" w:rsidRPr="00F57CA5">
        <w:rPr>
          <w:rFonts w:ascii="Arial" w:hAnsi="Arial" w:cs="Arial"/>
          <w:sz w:val="22"/>
          <w:szCs w:val="22"/>
        </w:rPr>
        <w:t>‘</w:t>
      </w:r>
      <w:r w:rsidRPr="00F57CA5">
        <w:rPr>
          <w:rFonts w:ascii="Arial" w:hAnsi="Arial" w:cs="Arial"/>
          <w:sz w:val="22"/>
          <w:szCs w:val="22"/>
        </w:rPr>
        <w:t>A step-by-step Process of Thematic Analysis to Develop a Conceptual Model in Qualitative Research</w:t>
      </w:r>
      <w:r w:rsidR="004616DA" w:rsidRPr="00F57CA5">
        <w:rPr>
          <w:rFonts w:ascii="Arial" w:hAnsi="Arial" w:cs="Arial"/>
          <w:sz w:val="22"/>
          <w:szCs w:val="22"/>
        </w:rPr>
        <w:t>’</w:t>
      </w:r>
      <w:r w:rsidRPr="00F57CA5">
        <w:rPr>
          <w:rFonts w:ascii="Arial" w:hAnsi="Arial" w:cs="Arial"/>
          <w:sz w:val="22"/>
          <w:szCs w:val="22"/>
        </w:rPr>
        <w:t xml:space="preserve">. </w:t>
      </w:r>
      <w:r w:rsidRPr="00F57CA5">
        <w:rPr>
          <w:rFonts w:ascii="Arial" w:hAnsi="Arial" w:cs="Arial"/>
          <w:i/>
          <w:iCs/>
          <w:sz w:val="22"/>
          <w:szCs w:val="22"/>
        </w:rPr>
        <w:t>International Journal of Qualitative Methods</w:t>
      </w:r>
      <w:r w:rsidRPr="00F57CA5">
        <w:rPr>
          <w:rFonts w:ascii="Arial" w:hAnsi="Arial" w:cs="Arial"/>
          <w:sz w:val="22"/>
          <w:szCs w:val="22"/>
        </w:rPr>
        <w:t xml:space="preserve">, 22(1), pp.1–18. Available at: </w:t>
      </w:r>
      <w:hyperlink r:id="rId139" w:history="1">
        <w:r w:rsidRPr="00F57CA5">
          <w:rPr>
            <w:rStyle w:val="Hyperlink"/>
            <w:rFonts w:ascii="Arial" w:hAnsi="Arial" w:cs="Arial"/>
            <w:sz w:val="22"/>
            <w:szCs w:val="22"/>
          </w:rPr>
          <w:t>https://doi.org/10.1177/16094069231205789</w:t>
        </w:r>
      </w:hyperlink>
    </w:p>
    <w:p w14:paraId="19E248C9"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National Institute of Mental Health (2024) </w:t>
      </w:r>
      <w:r w:rsidRPr="00F57CA5">
        <w:rPr>
          <w:rFonts w:ascii="Arial" w:hAnsi="Arial" w:cs="Arial"/>
          <w:i/>
          <w:iCs/>
          <w:sz w:val="22"/>
          <w:szCs w:val="22"/>
        </w:rPr>
        <w:t>Schizophrenia</w:t>
      </w:r>
      <w:r w:rsidRPr="00F57CA5">
        <w:rPr>
          <w:rFonts w:ascii="Arial" w:hAnsi="Arial" w:cs="Arial"/>
          <w:sz w:val="22"/>
          <w:szCs w:val="22"/>
        </w:rPr>
        <w:t xml:space="preserve">. Available at: </w:t>
      </w:r>
      <w:hyperlink r:id="rId140" w:history="1">
        <w:r w:rsidRPr="00F57CA5">
          <w:rPr>
            <w:rStyle w:val="Hyperlink"/>
            <w:rFonts w:ascii="Arial" w:hAnsi="Arial" w:cs="Arial"/>
            <w:color w:val="2809E5"/>
            <w:sz w:val="22"/>
            <w:szCs w:val="22"/>
          </w:rPr>
          <w:t>https://www.nimh.nih.gov/health/topics/schizophrenia</w:t>
        </w:r>
      </w:hyperlink>
      <w:r w:rsidRPr="00F57CA5">
        <w:rPr>
          <w:rFonts w:ascii="Arial" w:hAnsi="Arial" w:cs="Arial"/>
          <w:color w:val="2809E5"/>
          <w:sz w:val="22"/>
          <w:szCs w:val="22"/>
        </w:rPr>
        <w:t>.</w:t>
      </w:r>
      <w:r w:rsidRPr="00F57CA5">
        <w:rPr>
          <w:rFonts w:ascii="Arial" w:hAnsi="Arial" w:cs="Arial"/>
          <w:sz w:val="22"/>
          <w:szCs w:val="22"/>
        </w:rPr>
        <w:t>(Accessed: 24 March 2025).</w:t>
      </w:r>
    </w:p>
    <w:p w14:paraId="190EF900"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lastRenderedPageBreak/>
        <w:t xml:space="preserve">Neale, A. and Kinnair, D. (2017) Early Intervention in Psychosis Services. </w:t>
      </w:r>
      <w:r w:rsidRPr="00F57CA5">
        <w:rPr>
          <w:rFonts w:ascii="Arial" w:hAnsi="Arial" w:cs="Arial"/>
          <w:i/>
          <w:iCs/>
          <w:sz w:val="22"/>
          <w:szCs w:val="22"/>
        </w:rPr>
        <w:t>British Journal of General Practice</w:t>
      </w:r>
      <w:r w:rsidRPr="00F57CA5">
        <w:rPr>
          <w:rFonts w:ascii="Arial" w:hAnsi="Arial" w:cs="Arial"/>
          <w:sz w:val="22"/>
          <w:szCs w:val="22"/>
        </w:rPr>
        <w:t xml:space="preserve">, 67(661), pp.370–371. Available at:  </w:t>
      </w:r>
      <w:hyperlink r:id="rId141" w:history="1">
        <w:r w:rsidRPr="00F57CA5">
          <w:rPr>
            <w:rStyle w:val="Hyperlink"/>
            <w:rFonts w:ascii="Arial" w:hAnsi="Arial" w:cs="Arial"/>
            <w:color w:val="2809E5"/>
            <w:sz w:val="22"/>
            <w:szCs w:val="22"/>
          </w:rPr>
          <w:t>https://doi.org/10.3399/bjgp17x692069</w:t>
        </w:r>
      </w:hyperlink>
      <w:r w:rsidRPr="00F57CA5">
        <w:rPr>
          <w:rFonts w:ascii="Arial" w:hAnsi="Arial" w:cs="Arial"/>
          <w:sz w:val="22"/>
          <w:szCs w:val="22"/>
        </w:rPr>
        <w:t>.</w:t>
      </w:r>
    </w:p>
    <w:p w14:paraId="6E7339E5"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Ngaage, M. and Agius, M. (2016) ‘Does the Increased Rate of Schizophrenia Diagnosis in African-Caribbean Men in The UK Shown by the AESOP Study, Reflect Cultural Bias in Healthcare?’ </w:t>
      </w:r>
      <w:r w:rsidRPr="00F57CA5">
        <w:rPr>
          <w:rFonts w:ascii="Arial" w:hAnsi="Arial" w:cs="Arial"/>
          <w:i/>
          <w:iCs/>
          <w:sz w:val="22"/>
          <w:szCs w:val="22"/>
        </w:rPr>
        <w:t>Psychiatria Danubina</w:t>
      </w:r>
      <w:r w:rsidRPr="00F57CA5">
        <w:rPr>
          <w:rFonts w:ascii="Arial" w:hAnsi="Arial" w:cs="Arial"/>
          <w:sz w:val="22"/>
          <w:szCs w:val="22"/>
        </w:rPr>
        <w:t xml:space="preserve">, 28(Suppl-1), pp.25–30. Available at: </w:t>
      </w:r>
      <w:hyperlink r:id="rId142" w:history="1">
        <w:r w:rsidRPr="00F57CA5">
          <w:rPr>
            <w:rStyle w:val="Hyperlink"/>
            <w:rFonts w:ascii="Arial" w:hAnsi="Arial" w:cs="Arial"/>
            <w:color w:val="2809E5"/>
            <w:sz w:val="22"/>
            <w:szCs w:val="22"/>
          </w:rPr>
          <w:t>https://pubmed.ncbi.nlm.nih.gov/27663801/</w:t>
        </w:r>
      </w:hyperlink>
      <w:r w:rsidRPr="00F57CA5">
        <w:rPr>
          <w:rFonts w:ascii="Arial" w:hAnsi="Arial" w:cs="Arial"/>
          <w:sz w:val="22"/>
          <w:szCs w:val="22"/>
        </w:rPr>
        <w:t>.</w:t>
      </w:r>
    </w:p>
    <w:p w14:paraId="5580F3EC"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NHS (2018) </w:t>
      </w:r>
      <w:r w:rsidRPr="00F57CA5">
        <w:rPr>
          <w:rFonts w:ascii="Arial" w:hAnsi="Arial" w:cs="Arial"/>
          <w:i/>
          <w:iCs/>
          <w:sz w:val="22"/>
          <w:szCs w:val="22"/>
        </w:rPr>
        <w:t>NHS England Community Mental Health Services</w:t>
      </w:r>
      <w:r w:rsidRPr="00F57CA5">
        <w:rPr>
          <w:rFonts w:ascii="Arial" w:hAnsi="Arial" w:cs="Arial"/>
          <w:sz w:val="22"/>
          <w:szCs w:val="22"/>
        </w:rPr>
        <w:t xml:space="preserve">. Available at: </w:t>
      </w:r>
      <w:hyperlink r:id="rId143" w:history="1">
        <w:r w:rsidRPr="00F57CA5">
          <w:rPr>
            <w:rStyle w:val="Hyperlink"/>
            <w:rFonts w:ascii="Arial" w:hAnsi="Arial" w:cs="Arial"/>
            <w:color w:val="2809E5"/>
            <w:sz w:val="22"/>
            <w:szCs w:val="22"/>
          </w:rPr>
          <w:t>https://www.england.nhs.uk/mental-health/adults/cmhs/</w:t>
        </w:r>
      </w:hyperlink>
      <w:r w:rsidRPr="00F57CA5">
        <w:rPr>
          <w:rFonts w:ascii="Arial" w:hAnsi="Arial" w:cs="Arial"/>
          <w:sz w:val="22"/>
          <w:szCs w:val="22"/>
        </w:rPr>
        <w:t>.</w:t>
      </w:r>
    </w:p>
    <w:p w14:paraId="4F1A925B"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NHS (2022) </w:t>
      </w:r>
      <w:r w:rsidRPr="00F57CA5">
        <w:rPr>
          <w:rFonts w:ascii="Arial" w:hAnsi="Arial" w:cs="Arial"/>
          <w:i/>
          <w:iCs/>
          <w:sz w:val="22"/>
          <w:szCs w:val="22"/>
        </w:rPr>
        <w:t>Mental Health Act Statistics, Annual Figures, 2021-22</w:t>
      </w:r>
      <w:r w:rsidRPr="00F57CA5">
        <w:rPr>
          <w:rFonts w:ascii="Arial" w:hAnsi="Arial" w:cs="Arial"/>
          <w:sz w:val="22"/>
          <w:szCs w:val="22"/>
        </w:rPr>
        <w:t xml:space="preserve">. Available at: </w:t>
      </w:r>
      <w:hyperlink r:id="rId144" w:history="1">
        <w:r w:rsidRPr="00F57CA5">
          <w:rPr>
            <w:rStyle w:val="Hyperlink"/>
            <w:rFonts w:ascii="Arial" w:hAnsi="Arial" w:cs="Arial"/>
            <w:color w:val="2809E5"/>
            <w:sz w:val="22"/>
            <w:szCs w:val="22"/>
          </w:rPr>
          <w:t>https://digital.nhs.uk/data-and-information/publications/statistical/mental-health-act-statistics-annual-figures/2021-22-annual-figures</w:t>
        </w:r>
      </w:hyperlink>
      <w:r w:rsidRPr="00F57CA5">
        <w:rPr>
          <w:rFonts w:ascii="Arial" w:hAnsi="Arial" w:cs="Arial"/>
          <w:sz w:val="22"/>
          <w:szCs w:val="22"/>
        </w:rPr>
        <w:t>.(Accessed: 14 June 2025).</w:t>
      </w:r>
    </w:p>
    <w:p w14:paraId="496D7CEF"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NHS (2023) </w:t>
      </w:r>
      <w:r w:rsidRPr="00F57CA5">
        <w:rPr>
          <w:rFonts w:ascii="Arial" w:hAnsi="Arial" w:cs="Arial"/>
          <w:i/>
          <w:iCs/>
          <w:sz w:val="22"/>
          <w:szCs w:val="22"/>
        </w:rPr>
        <w:t>Schizophrenia</w:t>
      </w:r>
      <w:r w:rsidRPr="00F57CA5">
        <w:rPr>
          <w:rFonts w:ascii="Arial" w:hAnsi="Arial" w:cs="Arial"/>
          <w:sz w:val="22"/>
          <w:szCs w:val="22"/>
        </w:rPr>
        <w:t>. Available at:</w:t>
      </w:r>
      <w:r w:rsidRPr="00F57CA5">
        <w:rPr>
          <w:rFonts w:ascii="Arial" w:hAnsi="Arial" w:cs="Arial"/>
          <w:color w:val="2809E5"/>
          <w:sz w:val="22"/>
          <w:szCs w:val="22"/>
        </w:rPr>
        <w:t xml:space="preserve"> </w:t>
      </w:r>
      <w:hyperlink r:id="rId145" w:history="1">
        <w:r w:rsidRPr="00F57CA5">
          <w:rPr>
            <w:rStyle w:val="Hyperlink"/>
            <w:rFonts w:ascii="Arial" w:hAnsi="Arial" w:cs="Arial"/>
            <w:color w:val="2809E5"/>
            <w:sz w:val="22"/>
            <w:szCs w:val="22"/>
          </w:rPr>
          <w:t>https://www.nhs.uk/mental-health/conditions/schizophrenia/overview/</w:t>
        </w:r>
      </w:hyperlink>
      <w:r w:rsidRPr="00F57CA5">
        <w:rPr>
          <w:rFonts w:ascii="Arial" w:hAnsi="Arial" w:cs="Arial"/>
          <w:sz w:val="22"/>
          <w:szCs w:val="22"/>
        </w:rPr>
        <w:t>.(Accessed: 24 April 2025).</w:t>
      </w:r>
    </w:p>
    <w:p w14:paraId="085EA86E"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NHS England (2019)</w:t>
      </w:r>
      <w:r w:rsidRPr="00F57CA5">
        <w:rPr>
          <w:rFonts w:ascii="Arial" w:hAnsi="Arial" w:cs="Arial"/>
          <w:i/>
          <w:iCs/>
          <w:sz w:val="22"/>
          <w:szCs w:val="22"/>
        </w:rPr>
        <w:t xml:space="preserve"> The NHS Long Term Plan</w:t>
      </w:r>
      <w:r w:rsidRPr="00F57CA5">
        <w:rPr>
          <w:rFonts w:ascii="Arial" w:hAnsi="Arial" w:cs="Arial"/>
          <w:sz w:val="22"/>
          <w:szCs w:val="22"/>
        </w:rPr>
        <w:t xml:space="preserve">. Available at: </w:t>
      </w:r>
      <w:hyperlink r:id="rId146" w:history="1">
        <w:r w:rsidRPr="00F57CA5">
          <w:rPr>
            <w:rStyle w:val="Hyperlink"/>
            <w:rFonts w:ascii="Arial" w:hAnsi="Arial" w:cs="Arial"/>
            <w:color w:val="2809E5"/>
            <w:sz w:val="22"/>
            <w:szCs w:val="22"/>
          </w:rPr>
          <w:t>https://www.longtermplan.nhs.uk/publication/nhs-long-term-plan/</w:t>
        </w:r>
      </w:hyperlink>
      <w:r w:rsidRPr="00F57CA5">
        <w:rPr>
          <w:rFonts w:ascii="Arial" w:hAnsi="Arial" w:cs="Arial"/>
          <w:sz w:val="22"/>
          <w:szCs w:val="22"/>
        </w:rPr>
        <w:t>.(Accessed: 24 April 2025).</w:t>
      </w:r>
    </w:p>
    <w:p w14:paraId="32704201"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NHS England (2023) </w:t>
      </w:r>
      <w:r w:rsidRPr="00F57CA5">
        <w:rPr>
          <w:rFonts w:ascii="Arial" w:hAnsi="Arial" w:cs="Arial"/>
          <w:i/>
          <w:iCs/>
          <w:sz w:val="22"/>
          <w:szCs w:val="22"/>
        </w:rPr>
        <w:t>NHS talking therapies for anxiety and depression</w:t>
      </w:r>
      <w:r w:rsidRPr="00F57CA5">
        <w:rPr>
          <w:rFonts w:ascii="Arial" w:hAnsi="Arial" w:cs="Arial"/>
          <w:sz w:val="22"/>
          <w:szCs w:val="22"/>
        </w:rPr>
        <w:t xml:space="preserve">. www.england.nhs.uk. Available at: </w:t>
      </w:r>
      <w:hyperlink r:id="rId147" w:history="1">
        <w:r w:rsidRPr="00F57CA5">
          <w:rPr>
            <w:rStyle w:val="Hyperlink"/>
            <w:rFonts w:ascii="Arial" w:hAnsi="Arial" w:cs="Arial"/>
            <w:color w:val="2809E5"/>
            <w:sz w:val="22"/>
            <w:szCs w:val="22"/>
          </w:rPr>
          <w:t>https://www.england.nhs.uk/mental-health/adults/nhs-talking-therapies/</w:t>
        </w:r>
      </w:hyperlink>
      <w:r w:rsidRPr="00F57CA5">
        <w:rPr>
          <w:rFonts w:ascii="Arial" w:hAnsi="Arial" w:cs="Arial"/>
          <w:sz w:val="22"/>
          <w:szCs w:val="22"/>
        </w:rPr>
        <w:t>.(Accessed: 24 July 2025).</w:t>
      </w:r>
    </w:p>
    <w:p w14:paraId="17A0E321"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NHS England (2024) </w:t>
      </w:r>
      <w:r w:rsidRPr="00F57CA5">
        <w:rPr>
          <w:rFonts w:ascii="Arial" w:hAnsi="Arial" w:cs="Arial"/>
          <w:i/>
          <w:iCs/>
          <w:sz w:val="22"/>
          <w:szCs w:val="22"/>
        </w:rPr>
        <w:t>Implementation Guidance 2024 – Psychological Therapies for Severe Mental Health Problems</w:t>
      </w:r>
      <w:r w:rsidRPr="00F57CA5">
        <w:rPr>
          <w:rFonts w:ascii="Arial" w:hAnsi="Arial" w:cs="Arial"/>
          <w:sz w:val="22"/>
          <w:szCs w:val="22"/>
        </w:rPr>
        <w:t xml:space="preserve">. Available at: </w:t>
      </w:r>
      <w:hyperlink r:id="rId148" w:history="1">
        <w:r w:rsidRPr="00F57CA5">
          <w:rPr>
            <w:rStyle w:val="Hyperlink"/>
            <w:rFonts w:ascii="Arial" w:hAnsi="Arial" w:cs="Arial"/>
            <w:color w:val="2809E5"/>
            <w:sz w:val="22"/>
            <w:szCs w:val="22"/>
          </w:rPr>
          <w:t>https://www.england.nhs.uk/long-read/implementation-guidance-2024-psychological-therapies-for-severe-mental-health-problems/</w:t>
        </w:r>
      </w:hyperlink>
      <w:r w:rsidRPr="00F57CA5">
        <w:rPr>
          <w:rFonts w:ascii="Arial" w:hAnsi="Arial" w:cs="Arial"/>
          <w:sz w:val="22"/>
          <w:szCs w:val="22"/>
        </w:rPr>
        <w:t>.(Accessed: 24 July 2025).</w:t>
      </w:r>
    </w:p>
    <w:p w14:paraId="12361666"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NHS George Eliot Hospital (2025) </w:t>
      </w:r>
      <w:r w:rsidRPr="00F57CA5">
        <w:rPr>
          <w:rFonts w:ascii="Arial" w:hAnsi="Arial" w:cs="Arial"/>
          <w:i/>
          <w:iCs/>
          <w:sz w:val="22"/>
          <w:szCs w:val="22"/>
        </w:rPr>
        <w:t xml:space="preserve">Improving Access to Healthcare. </w:t>
      </w:r>
      <w:r w:rsidRPr="00F57CA5">
        <w:rPr>
          <w:rFonts w:ascii="Arial" w:hAnsi="Arial" w:cs="Arial"/>
          <w:sz w:val="22"/>
          <w:szCs w:val="22"/>
        </w:rPr>
        <w:t xml:space="preserve">Available at: </w:t>
      </w:r>
      <w:hyperlink r:id="rId149" w:history="1">
        <w:r w:rsidRPr="00F57CA5">
          <w:rPr>
            <w:rStyle w:val="Hyperlink"/>
            <w:rFonts w:ascii="Arial" w:hAnsi="Arial" w:cs="Arial"/>
            <w:sz w:val="22"/>
            <w:szCs w:val="22"/>
          </w:rPr>
          <w:t>https://www.geh.nhs.uk/about-us/improving-access-healthcare</w:t>
        </w:r>
      </w:hyperlink>
      <w:r w:rsidRPr="00F57CA5">
        <w:rPr>
          <w:rFonts w:ascii="Arial" w:hAnsi="Arial" w:cs="Arial"/>
          <w:sz w:val="22"/>
          <w:szCs w:val="22"/>
        </w:rPr>
        <w:t>. (Accessed: 24 Jul 2025).</w:t>
      </w:r>
    </w:p>
    <w:p w14:paraId="4005FD61"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NHS Health Research Authority (2021) </w:t>
      </w:r>
      <w:r w:rsidRPr="00F57CA5">
        <w:rPr>
          <w:rFonts w:ascii="Arial" w:hAnsi="Arial" w:cs="Arial"/>
          <w:i/>
          <w:iCs/>
          <w:sz w:val="22"/>
          <w:szCs w:val="22"/>
        </w:rPr>
        <w:t>Mental Capacity Act</w:t>
      </w:r>
      <w:r w:rsidRPr="00F57CA5">
        <w:rPr>
          <w:rFonts w:ascii="Arial" w:hAnsi="Arial" w:cs="Arial"/>
          <w:sz w:val="22"/>
          <w:szCs w:val="22"/>
        </w:rPr>
        <w:t xml:space="preserve">. Available at: </w:t>
      </w:r>
      <w:hyperlink r:id="rId150" w:history="1">
        <w:r w:rsidRPr="00F57CA5">
          <w:rPr>
            <w:rStyle w:val="Hyperlink"/>
            <w:rFonts w:ascii="Arial" w:hAnsi="Arial" w:cs="Arial"/>
            <w:color w:val="2809E5"/>
            <w:sz w:val="22"/>
            <w:szCs w:val="22"/>
          </w:rPr>
          <w:t>https://www.hra.nhs.uk/planning-and-improving-research/policies-standards-legislation/mental-capacity-act</w:t>
        </w:r>
        <w:r w:rsidRPr="00F57CA5">
          <w:rPr>
            <w:rStyle w:val="Hyperlink"/>
            <w:rFonts w:ascii="Arial" w:hAnsi="Arial" w:cs="Arial"/>
            <w:sz w:val="22"/>
            <w:szCs w:val="22"/>
          </w:rPr>
          <w:t>/</w:t>
        </w:r>
      </w:hyperlink>
      <w:r w:rsidRPr="00F57CA5">
        <w:rPr>
          <w:rFonts w:ascii="Arial" w:hAnsi="Arial" w:cs="Arial"/>
          <w:sz w:val="22"/>
          <w:szCs w:val="22"/>
        </w:rPr>
        <w:t>. (Accessed: 12 July 2025).</w:t>
      </w:r>
    </w:p>
    <w:p w14:paraId="40D6402A"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NICE (2014) </w:t>
      </w:r>
      <w:r w:rsidRPr="00F57CA5">
        <w:rPr>
          <w:rFonts w:ascii="Arial" w:hAnsi="Arial" w:cs="Arial"/>
          <w:i/>
          <w:iCs/>
          <w:sz w:val="22"/>
          <w:szCs w:val="22"/>
        </w:rPr>
        <w:t xml:space="preserve">Commentary on Selected Evidence: Psychosis and Schizophrenia in Adults: Prevention and Management. </w:t>
      </w:r>
      <w:r w:rsidRPr="00F57CA5">
        <w:rPr>
          <w:rFonts w:ascii="Arial" w:hAnsi="Arial" w:cs="Arial"/>
          <w:sz w:val="22"/>
          <w:szCs w:val="22"/>
        </w:rPr>
        <w:t xml:space="preserve">Available at: </w:t>
      </w:r>
      <w:hyperlink r:id="rId151" w:history="1">
        <w:r w:rsidRPr="00F57CA5">
          <w:rPr>
            <w:rStyle w:val="Hyperlink"/>
            <w:rFonts w:ascii="Arial" w:hAnsi="Arial" w:cs="Arial"/>
            <w:color w:val="2809E5"/>
            <w:sz w:val="22"/>
            <w:szCs w:val="22"/>
          </w:rPr>
          <w:t>https://www.nice.org.uk/guidance/cg178/resources/surveillance-report-2017-psychosis-and-schizophrenia-in-adults-prevention-and-management-2014-nice-guideline-cg178-4661271325/chapter/Commentary-on-selected-evidence</w:t>
        </w:r>
      </w:hyperlink>
      <w:r w:rsidRPr="00F57CA5">
        <w:rPr>
          <w:rFonts w:ascii="Arial" w:hAnsi="Arial" w:cs="Arial"/>
          <w:sz w:val="22"/>
          <w:szCs w:val="22"/>
        </w:rPr>
        <w:t>.(Accessed: 14 Jul 2025).</w:t>
      </w:r>
    </w:p>
    <w:p w14:paraId="7668617F"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NICE (2023) </w:t>
      </w:r>
      <w:r w:rsidRPr="00F57CA5">
        <w:rPr>
          <w:rFonts w:ascii="Arial" w:hAnsi="Arial" w:cs="Arial"/>
          <w:i/>
          <w:iCs/>
          <w:sz w:val="22"/>
          <w:szCs w:val="22"/>
        </w:rPr>
        <w:t>NICE Guidelines.</w:t>
      </w:r>
      <w:r w:rsidRPr="00F57CA5">
        <w:rPr>
          <w:rFonts w:ascii="Arial" w:hAnsi="Arial" w:cs="Arial"/>
          <w:sz w:val="22"/>
          <w:szCs w:val="22"/>
        </w:rPr>
        <w:t xml:space="preserve"> Available at: </w:t>
      </w:r>
      <w:hyperlink r:id="rId152" w:history="1">
        <w:r w:rsidRPr="00F57CA5">
          <w:rPr>
            <w:rStyle w:val="Hyperlink"/>
            <w:rFonts w:ascii="Arial" w:hAnsi="Arial" w:cs="Arial"/>
            <w:color w:val="2809E5"/>
            <w:sz w:val="22"/>
            <w:szCs w:val="22"/>
          </w:rPr>
          <w:t>https://www.nice.org.uk/about/what-we-do/our-programmes/nice-guidance/nice-guidelines</w:t>
        </w:r>
      </w:hyperlink>
      <w:r w:rsidRPr="00F57CA5">
        <w:rPr>
          <w:rFonts w:ascii="Arial" w:hAnsi="Arial" w:cs="Arial"/>
          <w:sz w:val="22"/>
          <w:szCs w:val="22"/>
        </w:rPr>
        <w:t>.(Accessed: 7 July 2025).</w:t>
      </w:r>
    </w:p>
    <w:p w14:paraId="1D7147F7"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NICE National Institute for Health and Care Excellence (2015) </w:t>
      </w:r>
      <w:r w:rsidRPr="00F57CA5">
        <w:rPr>
          <w:rFonts w:ascii="Arial" w:hAnsi="Arial" w:cs="Arial"/>
          <w:i/>
          <w:iCs/>
          <w:sz w:val="22"/>
          <w:szCs w:val="22"/>
        </w:rPr>
        <w:t>Quality statement 3: Family intervention Psychosis and schizophrenia in adults Quality standards.</w:t>
      </w:r>
      <w:r w:rsidRPr="00F57CA5">
        <w:rPr>
          <w:rFonts w:ascii="Arial" w:hAnsi="Arial" w:cs="Arial"/>
          <w:sz w:val="22"/>
          <w:szCs w:val="22"/>
        </w:rPr>
        <w:t xml:space="preserve"> Available at: </w:t>
      </w:r>
      <w:hyperlink r:id="rId153" w:history="1">
        <w:r w:rsidRPr="00F57CA5">
          <w:rPr>
            <w:rStyle w:val="Hyperlink"/>
            <w:rFonts w:ascii="Arial" w:hAnsi="Arial" w:cs="Arial"/>
            <w:color w:val="2809E5"/>
            <w:sz w:val="22"/>
            <w:szCs w:val="22"/>
          </w:rPr>
          <w:t>https://www.nice.org.uk/guidance/qs80/chapter/quality-statement-3-family-intervention?utm</w:t>
        </w:r>
      </w:hyperlink>
      <w:r w:rsidRPr="00F57CA5">
        <w:rPr>
          <w:rFonts w:ascii="Arial" w:hAnsi="Arial" w:cs="Arial"/>
          <w:sz w:val="22"/>
          <w:szCs w:val="22"/>
        </w:rPr>
        <w:t>(Accessed 25 Jun. 2025).</w:t>
      </w:r>
    </w:p>
    <w:p w14:paraId="1DE287E7" w14:textId="77777777" w:rsidR="00342517" w:rsidRPr="00F57CA5" w:rsidRDefault="00342517" w:rsidP="00F57CA5">
      <w:pPr>
        <w:pStyle w:val="NormalWeb"/>
        <w:spacing w:line="360" w:lineRule="auto"/>
        <w:rPr>
          <w:rFonts w:ascii="Arial" w:hAnsi="Arial" w:cs="Arial"/>
          <w:color w:val="2809E5"/>
          <w:sz w:val="22"/>
          <w:szCs w:val="22"/>
        </w:rPr>
      </w:pPr>
      <w:r w:rsidRPr="00F57CA5">
        <w:rPr>
          <w:rFonts w:ascii="Arial" w:hAnsi="Arial" w:cs="Arial"/>
          <w:sz w:val="22"/>
          <w:szCs w:val="22"/>
        </w:rPr>
        <w:t xml:space="preserve">Nowell, L.S., Norris, J.M., White, D.E. and Moules, N.J. (2017) ‘Thematic Analysis: Striving to Meet the Trustworthiness Criteria’. </w:t>
      </w:r>
      <w:r w:rsidRPr="00F57CA5">
        <w:rPr>
          <w:rFonts w:ascii="Arial" w:hAnsi="Arial" w:cs="Arial"/>
          <w:i/>
          <w:iCs/>
          <w:sz w:val="22"/>
          <w:szCs w:val="22"/>
        </w:rPr>
        <w:t>International Journal of Qualitative Methods</w:t>
      </w:r>
      <w:r w:rsidRPr="00F57CA5">
        <w:rPr>
          <w:rFonts w:ascii="Arial" w:hAnsi="Arial" w:cs="Arial"/>
          <w:sz w:val="22"/>
          <w:szCs w:val="22"/>
        </w:rPr>
        <w:t xml:space="preserve">,16(1), pp.1–13. Available at:  </w:t>
      </w:r>
      <w:hyperlink r:id="rId154" w:history="1">
        <w:r w:rsidRPr="00F57CA5">
          <w:rPr>
            <w:rStyle w:val="Hyperlink"/>
            <w:rFonts w:ascii="Arial" w:hAnsi="Arial" w:cs="Arial"/>
            <w:color w:val="2809E5"/>
            <w:sz w:val="22"/>
            <w:szCs w:val="22"/>
          </w:rPr>
          <w:t>https://doi.org/10.1177/1609406917733847</w:t>
        </w:r>
      </w:hyperlink>
      <w:r w:rsidRPr="00F57CA5">
        <w:rPr>
          <w:rFonts w:ascii="Arial" w:hAnsi="Arial" w:cs="Arial"/>
          <w:color w:val="2809E5"/>
          <w:sz w:val="22"/>
          <w:szCs w:val="22"/>
        </w:rPr>
        <w:t>.</w:t>
      </w:r>
    </w:p>
    <w:p w14:paraId="1684731A" w14:textId="77777777" w:rsidR="00342517" w:rsidRPr="00F57CA5" w:rsidRDefault="00342517" w:rsidP="00F57CA5">
      <w:pPr>
        <w:pStyle w:val="NormalWeb"/>
        <w:spacing w:line="360" w:lineRule="auto"/>
        <w:rPr>
          <w:rFonts w:ascii="Arial" w:hAnsi="Arial" w:cs="Arial"/>
          <w:color w:val="2809E5"/>
          <w:sz w:val="22"/>
          <w:szCs w:val="22"/>
        </w:rPr>
      </w:pPr>
      <w:r w:rsidRPr="00F57CA5">
        <w:rPr>
          <w:rFonts w:ascii="Arial" w:hAnsi="Arial" w:cs="Arial"/>
          <w:sz w:val="22"/>
          <w:szCs w:val="22"/>
        </w:rPr>
        <w:t xml:space="preserve">Oginni, S.O., Opoku, M.P. and Nketsia, W. (2021) ‘Crisis at The Intersection of Four Countries: Healthcare Access for Displaced Persons in The Lake Chad Basin Region’. </w:t>
      </w:r>
      <w:r w:rsidRPr="00F57CA5">
        <w:rPr>
          <w:rFonts w:ascii="Arial" w:hAnsi="Arial" w:cs="Arial"/>
          <w:i/>
          <w:iCs/>
          <w:sz w:val="22"/>
          <w:szCs w:val="22"/>
        </w:rPr>
        <w:t>Ethnicity &amp; Health</w:t>
      </w:r>
      <w:r w:rsidRPr="00F57CA5">
        <w:rPr>
          <w:rFonts w:ascii="Arial" w:hAnsi="Arial" w:cs="Arial"/>
          <w:sz w:val="22"/>
          <w:szCs w:val="22"/>
        </w:rPr>
        <w:t xml:space="preserve">, pp.1–20. Available at:  </w:t>
      </w:r>
      <w:hyperlink r:id="rId155" w:history="1">
        <w:r w:rsidRPr="00F57CA5">
          <w:rPr>
            <w:rStyle w:val="Hyperlink"/>
            <w:rFonts w:ascii="Arial" w:hAnsi="Arial" w:cs="Arial"/>
            <w:color w:val="2809E5"/>
            <w:sz w:val="22"/>
            <w:szCs w:val="22"/>
          </w:rPr>
          <w:t>https://doi.org/10.1080/13557858.2021.1947471</w:t>
        </w:r>
      </w:hyperlink>
      <w:r w:rsidRPr="00F57CA5">
        <w:rPr>
          <w:rFonts w:ascii="Arial" w:hAnsi="Arial" w:cs="Arial"/>
          <w:color w:val="2809E5"/>
          <w:sz w:val="22"/>
          <w:szCs w:val="22"/>
        </w:rPr>
        <w:t>.</w:t>
      </w:r>
    </w:p>
    <w:p w14:paraId="7240592D" w14:textId="77777777" w:rsidR="00342517" w:rsidRPr="00F57CA5" w:rsidRDefault="00342517" w:rsidP="00F57CA5">
      <w:pPr>
        <w:pStyle w:val="NormalWeb"/>
        <w:spacing w:line="360" w:lineRule="auto"/>
        <w:rPr>
          <w:rFonts w:ascii="Arial" w:hAnsi="Arial" w:cs="Arial"/>
          <w:color w:val="2809E5"/>
          <w:sz w:val="22"/>
          <w:szCs w:val="22"/>
          <w:highlight w:val="yellow"/>
        </w:rPr>
      </w:pPr>
      <w:r w:rsidRPr="00F57CA5">
        <w:rPr>
          <w:rFonts w:ascii="Arial" w:hAnsi="Arial" w:cs="Arial"/>
          <w:sz w:val="22"/>
          <w:szCs w:val="22"/>
        </w:rPr>
        <w:t xml:space="preserve">Omeni, E., Barnes, M., MacDonald, D., Crawford, M. and Rose, D. (2014) ‘Service User Involvement: Impact and Participation: A Survey of Service User and Staff Perspectives’. </w:t>
      </w:r>
      <w:r w:rsidRPr="00F57CA5">
        <w:rPr>
          <w:rFonts w:ascii="Arial" w:hAnsi="Arial" w:cs="Arial"/>
          <w:i/>
          <w:iCs/>
          <w:sz w:val="22"/>
          <w:szCs w:val="22"/>
        </w:rPr>
        <w:t>BMC Health Services Research</w:t>
      </w:r>
      <w:r w:rsidRPr="00F57CA5">
        <w:rPr>
          <w:rFonts w:ascii="Arial" w:hAnsi="Arial" w:cs="Arial"/>
          <w:sz w:val="22"/>
          <w:szCs w:val="22"/>
        </w:rPr>
        <w:t xml:space="preserve">,14(1). Available at: </w:t>
      </w:r>
      <w:hyperlink r:id="rId156" w:history="1">
        <w:r w:rsidRPr="00F57CA5">
          <w:rPr>
            <w:rStyle w:val="Hyperlink"/>
            <w:rFonts w:ascii="Arial" w:hAnsi="Arial" w:cs="Arial"/>
            <w:color w:val="2809E5"/>
            <w:sz w:val="22"/>
            <w:szCs w:val="22"/>
          </w:rPr>
          <w:t>https://doi.org/10.1186/s12913-014-0491-7</w:t>
        </w:r>
      </w:hyperlink>
      <w:r w:rsidRPr="00F57CA5">
        <w:rPr>
          <w:rFonts w:ascii="Arial" w:hAnsi="Arial" w:cs="Arial"/>
          <w:color w:val="2809E5"/>
          <w:sz w:val="22"/>
          <w:szCs w:val="22"/>
        </w:rPr>
        <w:t>.</w:t>
      </w:r>
    </w:p>
    <w:p w14:paraId="29A9FE0C"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Papadimitriou, G. (2017)</w:t>
      </w:r>
      <w:r w:rsidRPr="00F57CA5">
        <w:rPr>
          <w:rFonts w:ascii="Arial" w:hAnsi="Arial" w:cs="Arial"/>
          <w:i/>
          <w:iCs/>
          <w:sz w:val="22"/>
          <w:szCs w:val="22"/>
        </w:rPr>
        <w:t xml:space="preserve"> The ‘Biopsychosocial Model’: 40 Years of Application in Psychiatry. Psychiatrike = Psychiatriki.</w:t>
      </w:r>
      <w:r w:rsidRPr="00F57CA5">
        <w:rPr>
          <w:rFonts w:ascii="Arial" w:hAnsi="Arial" w:cs="Arial"/>
          <w:sz w:val="22"/>
          <w:szCs w:val="22"/>
        </w:rPr>
        <w:t xml:space="preserve"> Available at: </w:t>
      </w:r>
      <w:hyperlink r:id="rId157" w:history="1">
        <w:r w:rsidRPr="00F57CA5">
          <w:rPr>
            <w:rStyle w:val="Hyperlink"/>
            <w:rFonts w:ascii="Arial" w:hAnsi="Arial" w:cs="Arial"/>
            <w:color w:val="2809E5"/>
            <w:sz w:val="22"/>
            <w:szCs w:val="22"/>
          </w:rPr>
          <w:t>https://pubmed.ncbi.nlm.nih.gov/28686557/</w:t>
        </w:r>
      </w:hyperlink>
      <w:r w:rsidRPr="00F57CA5">
        <w:rPr>
          <w:rFonts w:ascii="Arial" w:hAnsi="Arial" w:cs="Arial"/>
          <w:sz w:val="22"/>
          <w:szCs w:val="22"/>
        </w:rPr>
        <w:t>.(Accessed 25 Jun. 2025).</w:t>
      </w:r>
    </w:p>
    <w:p w14:paraId="7983DF02" w14:textId="77777777" w:rsidR="00342517" w:rsidRPr="00F57CA5" w:rsidRDefault="00342517" w:rsidP="00F57CA5">
      <w:pPr>
        <w:pStyle w:val="NormalWeb"/>
        <w:spacing w:before="0" w:beforeAutospacing="0" w:after="240" w:afterAutospacing="0" w:line="360" w:lineRule="auto"/>
        <w:rPr>
          <w:rFonts w:ascii="Arial" w:hAnsi="Arial" w:cs="Arial"/>
          <w:color w:val="2809E5"/>
          <w:sz w:val="22"/>
          <w:szCs w:val="22"/>
        </w:rPr>
      </w:pPr>
      <w:r w:rsidRPr="00F57CA5">
        <w:rPr>
          <w:rFonts w:ascii="Arial" w:hAnsi="Arial" w:cs="Arial"/>
          <w:sz w:val="22"/>
          <w:szCs w:val="22"/>
        </w:rPr>
        <w:t xml:space="preserve">Patel, M.X., Bishara, D., Jayakumar, S., Zalewska, K., Shiers, D., Crawford, M.J. and Cooper, S.J. (2014) ‘Quality of prescribing for schizophrenia: Evidence from a national audit in England and Wales’. </w:t>
      </w:r>
      <w:r w:rsidRPr="00F57CA5">
        <w:rPr>
          <w:rFonts w:ascii="Arial" w:hAnsi="Arial" w:cs="Arial"/>
          <w:i/>
          <w:iCs/>
          <w:sz w:val="22"/>
          <w:szCs w:val="22"/>
        </w:rPr>
        <w:t>European Neuropsychopharmacology</w:t>
      </w:r>
      <w:r w:rsidRPr="00F57CA5">
        <w:rPr>
          <w:rFonts w:ascii="Arial" w:hAnsi="Arial" w:cs="Arial"/>
          <w:sz w:val="22"/>
          <w:szCs w:val="22"/>
        </w:rPr>
        <w:t xml:space="preserve">, 24(4), pp.499–509. Available at: </w:t>
      </w:r>
      <w:hyperlink r:id="rId158" w:history="1">
        <w:r w:rsidRPr="00F57CA5">
          <w:rPr>
            <w:rStyle w:val="Hyperlink"/>
            <w:rFonts w:ascii="Arial" w:hAnsi="Arial" w:cs="Arial"/>
            <w:color w:val="2809E5"/>
            <w:sz w:val="22"/>
            <w:szCs w:val="22"/>
          </w:rPr>
          <w:t>https://doi.org/10.1016/j.euroneuro.2014.01.014</w:t>
        </w:r>
      </w:hyperlink>
      <w:r w:rsidRPr="00F57CA5">
        <w:rPr>
          <w:rFonts w:ascii="Arial" w:hAnsi="Arial" w:cs="Arial"/>
          <w:color w:val="2809E5"/>
          <w:sz w:val="22"/>
          <w:szCs w:val="22"/>
        </w:rPr>
        <w:t>.</w:t>
      </w:r>
    </w:p>
    <w:p w14:paraId="530F48F6" w14:textId="77777777" w:rsidR="00342517" w:rsidRPr="00F57CA5" w:rsidRDefault="00342517" w:rsidP="00F57CA5">
      <w:pPr>
        <w:pStyle w:val="NormalWeb"/>
        <w:spacing w:line="360" w:lineRule="auto"/>
        <w:rPr>
          <w:rFonts w:ascii="Arial" w:hAnsi="Arial" w:cs="Arial"/>
          <w:color w:val="2809E5"/>
          <w:sz w:val="22"/>
          <w:szCs w:val="22"/>
        </w:rPr>
      </w:pPr>
      <w:r w:rsidRPr="00F57CA5">
        <w:rPr>
          <w:rFonts w:ascii="Arial" w:hAnsi="Arial" w:cs="Arial"/>
          <w:sz w:val="22"/>
          <w:szCs w:val="22"/>
        </w:rPr>
        <w:t xml:space="preserve">Patel, S.Y., Huskamp, H.A., Busch, A.B. and Mehrotra, A. (2020) ‘Telemental Health and US Rural–Urban Differences in Speciality Mental Health Use, 2010–2017’. </w:t>
      </w:r>
      <w:r w:rsidRPr="00F57CA5">
        <w:rPr>
          <w:rFonts w:ascii="Arial" w:hAnsi="Arial" w:cs="Arial"/>
          <w:i/>
          <w:iCs/>
          <w:sz w:val="22"/>
          <w:szCs w:val="22"/>
        </w:rPr>
        <w:t>American Journal of Public Health</w:t>
      </w:r>
      <w:r w:rsidRPr="00F57CA5">
        <w:rPr>
          <w:rFonts w:ascii="Arial" w:hAnsi="Arial" w:cs="Arial"/>
          <w:sz w:val="22"/>
          <w:szCs w:val="22"/>
        </w:rPr>
        <w:t xml:space="preserve">, 110(9), pp. e1-e7.  Available at:  </w:t>
      </w:r>
      <w:hyperlink r:id="rId159" w:history="1">
        <w:r w:rsidRPr="00F57CA5">
          <w:rPr>
            <w:rStyle w:val="Hyperlink"/>
            <w:rFonts w:ascii="Arial" w:hAnsi="Arial" w:cs="Arial"/>
            <w:color w:val="2809E5"/>
            <w:sz w:val="22"/>
            <w:szCs w:val="22"/>
          </w:rPr>
          <w:t>https://doi.org/10.2105/ajph.2020.305657</w:t>
        </w:r>
      </w:hyperlink>
      <w:r w:rsidRPr="00F57CA5">
        <w:rPr>
          <w:rFonts w:ascii="Arial" w:hAnsi="Arial" w:cs="Arial"/>
          <w:color w:val="2809E5"/>
          <w:sz w:val="22"/>
          <w:szCs w:val="22"/>
        </w:rPr>
        <w:t>.</w:t>
      </w:r>
    </w:p>
    <w:p w14:paraId="0C6EDB50"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lastRenderedPageBreak/>
        <w:t xml:space="preserve">Pathan, S. (2020) </w:t>
      </w:r>
      <w:r w:rsidRPr="00F57CA5">
        <w:rPr>
          <w:rFonts w:ascii="Arial" w:hAnsi="Arial" w:cs="Arial"/>
          <w:i/>
          <w:iCs/>
          <w:sz w:val="22"/>
          <w:szCs w:val="22"/>
        </w:rPr>
        <w:t>Understanding Ethnic Minority Differences in Access to and Outcomes of Psychological Therapies for First Episode Psychosis and Severe Mental Illness</w:t>
      </w:r>
      <w:r w:rsidRPr="00F57CA5">
        <w:rPr>
          <w:rFonts w:ascii="Arial" w:hAnsi="Arial" w:cs="Arial"/>
          <w:sz w:val="22"/>
          <w:szCs w:val="22"/>
        </w:rPr>
        <w:t xml:space="preserve">. Available at: </w:t>
      </w:r>
      <w:hyperlink r:id="rId160" w:history="1">
        <w:r w:rsidRPr="00F57CA5">
          <w:rPr>
            <w:rStyle w:val="Hyperlink"/>
            <w:rFonts w:ascii="Arial" w:hAnsi="Arial" w:cs="Arial"/>
            <w:color w:val="2809E5"/>
            <w:sz w:val="22"/>
            <w:szCs w:val="22"/>
          </w:rPr>
          <w:t>https://ueaeprints.uea.ac.uk/id/eprint/77639/</w:t>
        </w:r>
      </w:hyperlink>
      <w:r w:rsidRPr="00F57CA5">
        <w:rPr>
          <w:rFonts w:ascii="Arial" w:hAnsi="Arial" w:cs="Arial"/>
          <w:sz w:val="22"/>
          <w:szCs w:val="22"/>
        </w:rPr>
        <w:t>. Accessed 27 Jun. 2025).</w:t>
      </w:r>
    </w:p>
    <w:p w14:paraId="13E04CA7"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Petkovic, J., Magwood, O., Lytvyn, L., Khabsa, J., Concannon, T.W., Welch, V., Todhunter-Brown, A., Palm, M.E., Akl, E.A., Mbuagbaw, L., Arayssi, T., Avey, M.T., Marusic, A., Morley, R., Saginur, M., Slingers, N., Texeira, L., Brahem, A.B., Bhaumik, S. and Akl, I.B. (2023) ‘Key Issues for Stakeholder Engagement In The Development of Health And Healthcare Guidelines’. </w:t>
      </w:r>
      <w:r w:rsidRPr="00F57CA5">
        <w:rPr>
          <w:rFonts w:ascii="Arial" w:hAnsi="Arial" w:cs="Arial"/>
          <w:i/>
          <w:iCs/>
          <w:sz w:val="22"/>
          <w:szCs w:val="22"/>
        </w:rPr>
        <w:t>Research Involvement and Engagement</w:t>
      </w:r>
      <w:r w:rsidRPr="00F57CA5">
        <w:rPr>
          <w:rFonts w:ascii="Arial" w:hAnsi="Arial" w:cs="Arial"/>
          <w:sz w:val="22"/>
          <w:szCs w:val="22"/>
        </w:rPr>
        <w:t xml:space="preserve">, 9(1). Available at:  </w:t>
      </w:r>
      <w:hyperlink r:id="rId161" w:history="1">
        <w:r w:rsidRPr="00F57CA5">
          <w:rPr>
            <w:rStyle w:val="Hyperlink"/>
            <w:rFonts w:ascii="Arial" w:hAnsi="Arial" w:cs="Arial"/>
            <w:color w:val="2809E5"/>
            <w:sz w:val="22"/>
            <w:szCs w:val="22"/>
          </w:rPr>
          <w:t>https://doi.org/10.1186/s40900-023-00433-6</w:t>
        </w:r>
      </w:hyperlink>
      <w:r w:rsidRPr="00F57CA5">
        <w:rPr>
          <w:rFonts w:ascii="Arial" w:hAnsi="Arial" w:cs="Arial"/>
          <w:sz w:val="22"/>
          <w:szCs w:val="22"/>
        </w:rPr>
        <w:t>.</w:t>
      </w:r>
    </w:p>
    <w:p w14:paraId="1EE96C2D"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Preksha Saparia (2023) ‘Schizophrenia: A Systematic Review’. </w:t>
      </w:r>
      <w:r w:rsidRPr="00F57CA5">
        <w:rPr>
          <w:rFonts w:ascii="Arial" w:hAnsi="Arial" w:cs="Arial"/>
          <w:i/>
          <w:iCs/>
          <w:sz w:val="22"/>
          <w:szCs w:val="22"/>
        </w:rPr>
        <w:t>Clinical and Experimental Psychology</w:t>
      </w:r>
      <w:r w:rsidRPr="00F57CA5">
        <w:rPr>
          <w:rFonts w:ascii="Arial" w:hAnsi="Arial" w:cs="Arial"/>
          <w:sz w:val="22"/>
          <w:szCs w:val="22"/>
        </w:rPr>
        <w:t>, 9(1), pp.8–14. doihttps://doi.org/10.1111/j.1600-0447.2005.00687.%209(1).332.</w:t>
      </w:r>
    </w:p>
    <w:p w14:paraId="7BE7B517" w14:textId="77777777" w:rsidR="00342517" w:rsidRPr="00F57CA5" w:rsidRDefault="00342517" w:rsidP="00F57CA5">
      <w:pPr>
        <w:pStyle w:val="NormalWeb"/>
        <w:spacing w:before="0" w:beforeAutospacing="0" w:after="240" w:afterAutospacing="0" w:line="360" w:lineRule="auto"/>
        <w:rPr>
          <w:rFonts w:ascii="Arial" w:hAnsi="Arial" w:cs="Arial"/>
          <w:color w:val="2809E5"/>
          <w:sz w:val="22"/>
          <w:szCs w:val="22"/>
        </w:rPr>
      </w:pPr>
      <w:r w:rsidRPr="00F57CA5">
        <w:rPr>
          <w:rFonts w:ascii="Arial" w:hAnsi="Arial" w:cs="Arial"/>
          <w:sz w:val="22"/>
          <w:szCs w:val="22"/>
        </w:rPr>
        <w:t xml:space="preserve">Priebe, S. (2004) </w:t>
      </w:r>
      <w:bookmarkStart w:id="53" w:name="_Hlk204926961"/>
      <w:r w:rsidRPr="00F57CA5">
        <w:rPr>
          <w:rFonts w:ascii="Arial" w:hAnsi="Arial" w:cs="Arial"/>
          <w:sz w:val="22"/>
          <w:szCs w:val="22"/>
        </w:rPr>
        <w:t>Institutionalisation</w:t>
      </w:r>
      <w:bookmarkEnd w:id="53"/>
      <w:r w:rsidRPr="00F57CA5">
        <w:rPr>
          <w:rFonts w:ascii="Arial" w:hAnsi="Arial" w:cs="Arial"/>
          <w:sz w:val="22"/>
          <w:szCs w:val="22"/>
        </w:rPr>
        <w:t xml:space="preserve"> revisited - with and without walls. </w:t>
      </w:r>
      <w:r w:rsidRPr="00F57CA5">
        <w:rPr>
          <w:rFonts w:ascii="Arial" w:hAnsi="Arial" w:cs="Arial"/>
          <w:i/>
          <w:iCs/>
          <w:sz w:val="22"/>
          <w:szCs w:val="22"/>
        </w:rPr>
        <w:t>Acta Psychiatrica Scandinavica</w:t>
      </w:r>
      <w:r w:rsidRPr="00F57CA5">
        <w:rPr>
          <w:rFonts w:ascii="Arial" w:hAnsi="Arial" w:cs="Arial"/>
          <w:sz w:val="22"/>
          <w:szCs w:val="22"/>
        </w:rPr>
        <w:t xml:space="preserve">, 110(2), pp.81–82. Available at: </w:t>
      </w:r>
      <w:hyperlink r:id="rId162" w:history="1">
        <w:r w:rsidRPr="00F57CA5">
          <w:rPr>
            <w:rStyle w:val="Hyperlink"/>
            <w:rFonts w:ascii="Arial" w:hAnsi="Arial" w:cs="Arial"/>
            <w:color w:val="2809E5"/>
            <w:sz w:val="22"/>
            <w:szCs w:val="22"/>
          </w:rPr>
          <w:t>https://doi.org/10.1111/j.1600-0047.2004.00386.x</w:t>
        </w:r>
      </w:hyperlink>
      <w:r w:rsidRPr="00F57CA5">
        <w:rPr>
          <w:rFonts w:ascii="Arial" w:hAnsi="Arial" w:cs="Arial"/>
          <w:color w:val="2809E5"/>
          <w:sz w:val="22"/>
          <w:szCs w:val="22"/>
        </w:rPr>
        <w:t>.</w:t>
      </w:r>
    </w:p>
    <w:p w14:paraId="031B1CC9" w14:textId="77777777" w:rsidR="00342517" w:rsidRPr="00F57CA5" w:rsidRDefault="00342517" w:rsidP="00F57CA5">
      <w:pPr>
        <w:pStyle w:val="NormalWeb"/>
        <w:spacing w:line="360" w:lineRule="auto"/>
        <w:rPr>
          <w:rFonts w:ascii="Arial" w:hAnsi="Arial" w:cs="Arial"/>
          <w:color w:val="2809E5"/>
          <w:sz w:val="22"/>
          <w:szCs w:val="22"/>
        </w:rPr>
      </w:pPr>
      <w:r w:rsidRPr="00F57CA5">
        <w:rPr>
          <w:rFonts w:ascii="Arial" w:hAnsi="Arial" w:cs="Arial"/>
          <w:sz w:val="22"/>
          <w:szCs w:val="22"/>
        </w:rPr>
        <w:t xml:space="preserve">Priebe, S., Kelley, L., Omer, S., Golden, E., Walsh, S., Khanom, H., Kingdon, D., Rutterford, C., McCrone, P. and McCabe, R. (2015) ‘The Effectiveness of a Patient-Centred Assessment with a Solution-Focused Approach (DIALOG+) for Patients with Psychosis: A Pragmatic Cluster-Randomised Controlled Trial in Community Care’. </w:t>
      </w:r>
      <w:r w:rsidRPr="00F57CA5">
        <w:rPr>
          <w:rFonts w:ascii="Arial" w:hAnsi="Arial" w:cs="Arial"/>
          <w:i/>
          <w:iCs/>
          <w:sz w:val="22"/>
          <w:szCs w:val="22"/>
        </w:rPr>
        <w:t>Psychotherapy and Psychosomatics</w:t>
      </w:r>
      <w:r w:rsidRPr="00F57CA5">
        <w:rPr>
          <w:rFonts w:ascii="Arial" w:hAnsi="Arial" w:cs="Arial"/>
          <w:sz w:val="22"/>
          <w:szCs w:val="22"/>
        </w:rPr>
        <w:t xml:space="preserve">, 84(5), pp.304–313. Available at:  </w:t>
      </w:r>
      <w:hyperlink r:id="rId163" w:history="1">
        <w:r w:rsidRPr="00F57CA5">
          <w:rPr>
            <w:rStyle w:val="Hyperlink"/>
            <w:rFonts w:ascii="Arial" w:hAnsi="Arial" w:cs="Arial"/>
            <w:color w:val="2809E5"/>
            <w:sz w:val="22"/>
            <w:szCs w:val="22"/>
          </w:rPr>
          <w:t>https://doi.org/10.1159/000430991</w:t>
        </w:r>
      </w:hyperlink>
      <w:r w:rsidRPr="00F57CA5">
        <w:rPr>
          <w:rFonts w:ascii="Arial" w:hAnsi="Arial" w:cs="Arial"/>
          <w:color w:val="2809E5"/>
          <w:sz w:val="22"/>
          <w:szCs w:val="22"/>
        </w:rPr>
        <w:t>.</w:t>
      </w:r>
    </w:p>
    <w:p w14:paraId="422BEE03"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Psychosis Across Four UK Early Intervention Services’. </w:t>
      </w:r>
      <w:r w:rsidRPr="00F57CA5">
        <w:rPr>
          <w:rFonts w:ascii="Arial" w:hAnsi="Arial" w:cs="Arial"/>
          <w:i/>
          <w:iCs/>
          <w:sz w:val="22"/>
          <w:szCs w:val="22"/>
        </w:rPr>
        <w:t>BMC Psychiatry</w:t>
      </w:r>
      <w:r w:rsidRPr="00F57CA5">
        <w:rPr>
          <w:rFonts w:ascii="Arial" w:hAnsi="Arial" w:cs="Arial"/>
          <w:sz w:val="22"/>
          <w:szCs w:val="22"/>
        </w:rPr>
        <w:t xml:space="preserve">, 14(1). Available at:  </w:t>
      </w:r>
      <w:hyperlink r:id="rId164" w:history="1">
        <w:r w:rsidRPr="00F57CA5">
          <w:rPr>
            <w:rStyle w:val="Hyperlink"/>
            <w:rFonts w:ascii="Arial" w:hAnsi="Arial" w:cs="Arial"/>
            <w:color w:val="2809E5"/>
            <w:sz w:val="22"/>
            <w:szCs w:val="22"/>
          </w:rPr>
          <w:t>https://doi.org/10.1186/s12888-014-0256-1</w:t>
        </w:r>
      </w:hyperlink>
      <w:r w:rsidRPr="00F57CA5">
        <w:rPr>
          <w:rFonts w:ascii="Arial" w:hAnsi="Arial" w:cs="Arial"/>
          <w:color w:val="2809E5"/>
          <w:sz w:val="22"/>
          <w:szCs w:val="22"/>
        </w:rPr>
        <w:t>.</w:t>
      </w:r>
    </w:p>
    <w:p w14:paraId="2A56BC44" w14:textId="77777777" w:rsidR="00342517" w:rsidRPr="00F57CA5" w:rsidRDefault="00342517" w:rsidP="00F57CA5">
      <w:pPr>
        <w:pStyle w:val="NormalWeb"/>
        <w:spacing w:line="360" w:lineRule="auto"/>
        <w:rPr>
          <w:rFonts w:ascii="Arial" w:hAnsi="Arial" w:cs="Arial"/>
          <w:color w:val="2809E5"/>
          <w:sz w:val="22"/>
          <w:szCs w:val="22"/>
        </w:rPr>
      </w:pPr>
      <w:r w:rsidRPr="00F57CA5">
        <w:rPr>
          <w:rFonts w:ascii="Arial" w:hAnsi="Arial" w:cs="Arial"/>
          <w:sz w:val="22"/>
          <w:szCs w:val="22"/>
        </w:rPr>
        <w:t xml:space="preserve">Quirk, A. and Lelliott, P. (2001) ‘What Do We Know About Life on Acute Psychiatric Wards in the UK? A Review of The Research Evidence’. </w:t>
      </w:r>
      <w:r w:rsidRPr="00F57CA5">
        <w:rPr>
          <w:rFonts w:ascii="Arial" w:hAnsi="Arial" w:cs="Arial"/>
          <w:i/>
          <w:iCs/>
          <w:sz w:val="22"/>
          <w:szCs w:val="22"/>
        </w:rPr>
        <w:t>Social Science &amp; Medicine</w:t>
      </w:r>
      <w:r w:rsidRPr="00F57CA5">
        <w:rPr>
          <w:rFonts w:ascii="Arial" w:hAnsi="Arial" w:cs="Arial"/>
          <w:sz w:val="22"/>
          <w:szCs w:val="22"/>
        </w:rPr>
        <w:t>, 53(12), pp.1565–1574. Available at:</w:t>
      </w:r>
      <w:r w:rsidRPr="00F57CA5">
        <w:rPr>
          <w:rFonts w:ascii="Arial" w:hAnsi="Arial" w:cs="Arial"/>
          <w:color w:val="2809E5"/>
          <w:sz w:val="22"/>
          <w:szCs w:val="22"/>
        </w:rPr>
        <w:t xml:space="preserve"> </w:t>
      </w:r>
      <w:r w:rsidRPr="00F57CA5">
        <w:rPr>
          <w:rFonts w:ascii="Arial" w:hAnsi="Arial" w:cs="Arial"/>
          <w:sz w:val="22"/>
          <w:szCs w:val="22"/>
        </w:rPr>
        <w:t xml:space="preserve"> </w:t>
      </w:r>
      <w:hyperlink r:id="rId165" w:history="1">
        <w:r w:rsidRPr="00F57CA5">
          <w:rPr>
            <w:rStyle w:val="Hyperlink"/>
            <w:rFonts w:ascii="Arial" w:hAnsi="Arial" w:cs="Arial"/>
            <w:color w:val="2809E5"/>
            <w:sz w:val="22"/>
            <w:szCs w:val="22"/>
          </w:rPr>
          <w:t>https://doi.org/10.1016/s0277-9536(00)00457–3</w:t>
        </w:r>
      </w:hyperlink>
      <w:r w:rsidRPr="00F57CA5">
        <w:rPr>
          <w:rFonts w:ascii="Arial" w:hAnsi="Arial" w:cs="Arial"/>
          <w:color w:val="2809E5"/>
          <w:sz w:val="22"/>
          <w:szCs w:val="22"/>
        </w:rPr>
        <w:t>.</w:t>
      </w:r>
    </w:p>
    <w:p w14:paraId="5C8138A5"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Ranchoff, B.L., Jeung, C., Zeber, J.E., Simon, G.E., Ericson, K.M., Qian, J. and Geissler, K.H. (2024) ‘Transitions in Health Insurance Among Continuously Insured Patients with Schizophrenia’. </w:t>
      </w:r>
      <w:r w:rsidRPr="00F57CA5">
        <w:rPr>
          <w:rFonts w:ascii="Arial" w:hAnsi="Arial" w:cs="Arial"/>
          <w:i/>
          <w:iCs/>
          <w:sz w:val="22"/>
          <w:szCs w:val="22"/>
        </w:rPr>
        <w:t>Schizophrenia</w:t>
      </w:r>
      <w:r w:rsidRPr="00F57CA5">
        <w:rPr>
          <w:rFonts w:ascii="Arial" w:hAnsi="Arial" w:cs="Arial"/>
          <w:sz w:val="22"/>
          <w:szCs w:val="22"/>
        </w:rPr>
        <w:t xml:space="preserve">, 10(1). Available at:  </w:t>
      </w:r>
      <w:hyperlink r:id="rId166" w:history="1">
        <w:r w:rsidRPr="00F57CA5">
          <w:rPr>
            <w:rStyle w:val="Hyperlink"/>
            <w:rFonts w:ascii="Arial" w:hAnsi="Arial" w:cs="Arial"/>
            <w:color w:val="2809E5"/>
            <w:sz w:val="22"/>
            <w:szCs w:val="22"/>
          </w:rPr>
          <w:t>https://doi.org/10.1038/s41537-024-00446-4</w:t>
        </w:r>
      </w:hyperlink>
      <w:r w:rsidRPr="00F57CA5">
        <w:rPr>
          <w:rFonts w:ascii="Arial" w:hAnsi="Arial" w:cs="Arial"/>
          <w:color w:val="2809E5"/>
          <w:sz w:val="22"/>
          <w:szCs w:val="22"/>
        </w:rPr>
        <w:t>.</w:t>
      </w:r>
    </w:p>
    <w:p w14:paraId="6466F7C4"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Rethink Mental Illness (2023) </w:t>
      </w:r>
      <w:r w:rsidRPr="00F57CA5">
        <w:rPr>
          <w:rFonts w:ascii="Arial" w:hAnsi="Arial" w:cs="Arial"/>
          <w:i/>
          <w:iCs/>
          <w:sz w:val="22"/>
          <w:szCs w:val="22"/>
        </w:rPr>
        <w:t>Schizophrenia</w:t>
      </w:r>
      <w:r w:rsidRPr="00F57CA5">
        <w:rPr>
          <w:rFonts w:ascii="Arial" w:hAnsi="Arial" w:cs="Arial"/>
          <w:sz w:val="22"/>
          <w:szCs w:val="22"/>
        </w:rPr>
        <w:t xml:space="preserve">. Available at: </w:t>
      </w:r>
      <w:hyperlink r:id="rId167" w:history="1">
        <w:r w:rsidRPr="00F57CA5">
          <w:rPr>
            <w:rStyle w:val="Hyperlink"/>
            <w:rFonts w:ascii="Arial" w:hAnsi="Arial" w:cs="Arial"/>
            <w:color w:val="2809E5"/>
            <w:sz w:val="22"/>
            <w:szCs w:val="22"/>
          </w:rPr>
          <w:t>https://www.rethink.org/search-results?q=Schizophrenia%20i</w:t>
        </w:r>
      </w:hyperlink>
      <w:r w:rsidRPr="00F57CA5">
        <w:rPr>
          <w:rFonts w:ascii="Arial" w:hAnsi="Arial" w:cs="Arial"/>
          <w:sz w:val="22"/>
          <w:szCs w:val="22"/>
        </w:rPr>
        <w:t>. (Accessed 27 Jun. 2025).</w:t>
      </w:r>
    </w:p>
    <w:p w14:paraId="5D3C14A2"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lastRenderedPageBreak/>
        <w:t xml:space="preserve">Rethink Mental Illness' (2025a) </w:t>
      </w:r>
      <w:r w:rsidRPr="00F57CA5">
        <w:rPr>
          <w:rFonts w:ascii="Arial" w:hAnsi="Arial" w:cs="Arial"/>
          <w:i/>
          <w:iCs/>
          <w:sz w:val="22"/>
          <w:szCs w:val="22"/>
        </w:rPr>
        <w:t>New Analysis of NHS Data on Mental Health Waiting Times</w:t>
      </w:r>
      <w:r w:rsidRPr="00F57CA5">
        <w:rPr>
          <w:rFonts w:ascii="Arial" w:hAnsi="Arial" w:cs="Arial"/>
          <w:sz w:val="22"/>
          <w:szCs w:val="22"/>
        </w:rPr>
        <w:t>. Available at:</w:t>
      </w:r>
      <w:r w:rsidRPr="00F57CA5">
        <w:rPr>
          <w:rFonts w:ascii="Arial" w:hAnsi="Arial" w:cs="Arial"/>
          <w:color w:val="2809E5"/>
          <w:sz w:val="22"/>
          <w:szCs w:val="22"/>
        </w:rPr>
        <w:t xml:space="preserve"> </w:t>
      </w:r>
      <w:hyperlink r:id="rId168" w:history="1">
        <w:r w:rsidRPr="00F57CA5">
          <w:rPr>
            <w:rStyle w:val="Hyperlink"/>
            <w:rFonts w:ascii="Arial" w:hAnsi="Arial" w:cs="Arial"/>
            <w:color w:val="2809E5"/>
            <w:sz w:val="22"/>
            <w:szCs w:val="22"/>
          </w:rPr>
          <w:t>https://www.rethink.org/news-and-stories/media-centre/2025/02/new-analysis-of-nhs-data-on-mental-health-waiting-times/?utm</w:t>
        </w:r>
      </w:hyperlink>
      <w:r w:rsidRPr="00F57CA5">
        <w:rPr>
          <w:rFonts w:ascii="Arial" w:hAnsi="Arial" w:cs="Arial"/>
          <w:sz w:val="22"/>
          <w:szCs w:val="22"/>
        </w:rPr>
        <w:t xml:space="preserve"> (Accessed: 5 July 2025).</w:t>
      </w:r>
    </w:p>
    <w:p w14:paraId="64F08369"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Rethink Mental Illness (2025b). </w:t>
      </w:r>
      <w:r w:rsidRPr="00F57CA5">
        <w:rPr>
          <w:rFonts w:ascii="Arial" w:hAnsi="Arial" w:cs="Arial"/>
          <w:i/>
          <w:iCs/>
          <w:sz w:val="22"/>
          <w:szCs w:val="22"/>
        </w:rPr>
        <w:t>New Survey Reveals Stark Impact of NHS Mental Health Treatment Waiting Times</w:t>
      </w:r>
      <w:r w:rsidRPr="00F57CA5">
        <w:rPr>
          <w:rFonts w:ascii="Arial" w:hAnsi="Arial" w:cs="Arial"/>
          <w:sz w:val="22"/>
          <w:szCs w:val="22"/>
        </w:rPr>
        <w:t>. Available at:</w:t>
      </w:r>
      <w:r w:rsidRPr="00F57CA5">
        <w:rPr>
          <w:rFonts w:ascii="Arial" w:hAnsi="Arial" w:cs="Arial"/>
          <w:color w:val="2809E5"/>
          <w:sz w:val="22"/>
          <w:szCs w:val="22"/>
        </w:rPr>
        <w:t xml:space="preserve"> </w:t>
      </w:r>
      <w:hyperlink r:id="rId169" w:history="1">
        <w:r w:rsidRPr="00F57CA5">
          <w:rPr>
            <w:rStyle w:val="Hyperlink"/>
            <w:rFonts w:ascii="Arial" w:hAnsi="Arial" w:cs="Arial"/>
            <w:color w:val="2809E5"/>
            <w:sz w:val="22"/>
            <w:szCs w:val="22"/>
          </w:rPr>
          <w:t>https://www.rethink.org/news-and-stories/media-centre/2024/06/new-survey-reveals-stark-impact-of-nhs-mental-health-treatment-waiting-times/?utm</w:t>
        </w:r>
      </w:hyperlink>
      <w:r w:rsidRPr="00F57CA5">
        <w:rPr>
          <w:rFonts w:ascii="Arial" w:hAnsi="Arial" w:cs="Arial"/>
          <w:sz w:val="22"/>
          <w:szCs w:val="22"/>
        </w:rPr>
        <w:t xml:space="preserve"> (Accessed: 5 July 2025).</w:t>
      </w:r>
    </w:p>
    <w:p w14:paraId="79EE36F2"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Roder, V., Mueller, D.R. and Schmidt, S.J. (2011) ‘Effectiveness of Integrated Psychological Therapy (IPT) for Schizophrenia Patients: A Research Update’. </w:t>
      </w:r>
      <w:r w:rsidRPr="00F57CA5">
        <w:rPr>
          <w:rFonts w:ascii="Arial" w:hAnsi="Arial" w:cs="Arial"/>
          <w:i/>
          <w:iCs/>
          <w:sz w:val="22"/>
          <w:szCs w:val="22"/>
        </w:rPr>
        <w:t>Schizophrenia Bulletin</w:t>
      </w:r>
      <w:r w:rsidRPr="00F57CA5">
        <w:rPr>
          <w:rFonts w:ascii="Arial" w:hAnsi="Arial" w:cs="Arial"/>
          <w:sz w:val="22"/>
          <w:szCs w:val="22"/>
        </w:rPr>
        <w:t xml:space="preserve">, 37(Suppl 2), pp. S71–S79. Available at: </w:t>
      </w:r>
      <w:hyperlink r:id="rId170" w:history="1">
        <w:r w:rsidRPr="00F57CA5">
          <w:rPr>
            <w:rStyle w:val="Hyperlink"/>
            <w:rFonts w:ascii="Arial" w:hAnsi="Arial" w:cs="Arial"/>
            <w:color w:val="2809E5"/>
            <w:sz w:val="22"/>
            <w:szCs w:val="22"/>
          </w:rPr>
          <w:t>https://doi.org/10.1093/schbul/sbr072</w:t>
        </w:r>
      </w:hyperlink>
      <w:r w:rsidRPr="00F57CA5">
        <w:rPr>
          <w:rFonts w:ascii="Arial" w:hAnsi="Arial" w:cs="Arial"/>
          <w:color w:val="2809E5"/>
          <w:sz w:val="22"/>
          <w:szCs w:val="22"/>
        </w:rPr>
        <w:t>.</w:t>
      </w:r>
    </w:p>
    <w:p w14:paraId="42BEE005"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Ronaldson, A. and Henderson, C. (2024) ‘Investigating Changes in Mental Illness Stigma and Discrimination After the Time to Change Programme in England’. </w:t>
      </w:r>
      <w:r w:rsidRPr="00F57CA5">
        <w:rPr>
          <w:rFonts w:ascii="Arial" w:hAnsi="Arial" w:cs="Arial"/>
          <w:i/>
          <w:iCs/>
          <w:sz w:val="22"/>
          <w:szCs w:val="22"/>
        </w:rPr>
        <w:t>BJ Psych Open</w:t>
      </w:r>
      <w:r w:rsidRPr="00F57CA5">
        <w:rPr>
          <w:rFonts w:ascii="Arial" w:hAnsi="Arial" w:cs="Arial"/>
          <w:sz w:val="22"/>
          <w:szCs w:val="22"/>
        </w:rPr>
        <w:t xml:space="preserve">, 10(6). Available at: </w:t>
      </w:r>
      <w:hyperlink r:id="rId171" w:history="1">
        <w:r w:rsidRPr="00F57CA5">
          <w:rPr>
            <w:rStyle w:val="Hyperlink"/>
            <w:rFonts w:ascii="Arial" w:hAnsi="Arial" w:cs="Arial"/>
            <w:color w:val="2809E5"/>
            <w:sz w:val="22"/>
            <w:szCs w:val="22"/>
          </w:rPr>
          <w:t>https://doi.org/10.1192/bjo.2024.801</w:t>
        </w:r>
      </w:hyperlink>
      <w:r w:rsidRPr="00F57CA5">
        <w:rPr>
          <w:rFonts w:ascii="Arial" w:hAnsi="Arial" w:cs="Arial"/>
          <w:color w:val="2809E5"/>
          <w:sz w:val="22"/>
          <w:szCs w:val="22"/>
        </w:rPr>
        <w:t>.</w:t>
      </w:r>
    </w:p>
    <w:p w14:paraId="2FA4EE45"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Royal College of Psychiatrists (2022) </w:t>
      </w:r>
      <w:r w:rsidRPr="00F57CA5">
        <w:rPr>
          <w:rFonts w:ascii="Arial" w:hAnsi="Arial" w:cs="Arial"/>
          <w:i/>
          <w:iCs/>
          <w:sz w:val="22"/>
          <w:szCs w:val="22"/>
        </w:rPr>
        <w:t>An Urgent Call for Change: Tackling the Discrimination Faced by People with Severe Mental Illness</w:t>
      </w:r>
      <w:r w:rsidRPr="00F57CA5">
        <w:rPr>
          <w:rFonts w:ascii="Arial" w:hAnsi="Arial" w:cs="Arial"/>
          <w:sz w:val="22"/>
          <w:szCs w:val="22"/>
        </w:rPr>
        <w:t xml:space="preserve">. Available at: </w:t>
      </w:r>
      <w:hyperlink r:id="rId172" w:history="1">
        <w:r w:rsidRPr="00F57CA5">
          <w:rPr>
            <w:rStyle w:val="Hyperlink"/>
            <w:rFonts w:ascii="Arial" w:hAnsi="Arial" w:cs="Arial"/>
            <w:sz w:val="22"/>
            <w:szCs w:val="22"/>
          </w:rPr>
          <w:t>https://www.rcpsych.ac.uk/news-and-features/blogs/detail/presidents-blog/2024/05/31/an-urgent-call-for-change--tackling-the-discrimination-faced-by-people-with-severe-mental-illness?utm</w:t>
        </w:r>
      </w:hyperlink>
      <w:r w:rsidRPr="00F57CA5">
        <w:rPr>
          <w:rFonts w:ascii="Arial" w:hAnsi="Arial" w:cs="Arial"/>
          <w:sz w:val="22"/>
          <w:szCs w:val="22"/>
        </w:rPr>
        <w:t>. (Accessed: March 14, 2025).</w:t>
      </w:r>
    </w:p>
    <w:p w14:paraId="6555875C"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Royal College of Psychiatrists (2024) </w:t>
      </w:r>
      <w:r w:rsidRPr="00F57CA5">
        <w:rPr>
          <w:rFonts w:ascii="Arial" w:hAnsi="Arial" w:cs="Arial"/>
          <w:i/>
          <w:iCs/>
          <w:sz w:val="22"/>
          <w:szCs w:val="22"/>
        </w:rPr>
        <w:t>An Urgent Call for Change: Tackling the Discrimination Faced by People with Severe Mental Illness</w:t>
      </w:r>
      <w:r w:rsidRPr="00F57CA5">
        <w:rPr>
          <w:rFonts w:ascii="Arial" w:hAnsi="Arial" w:cs="Arial"/>
          <w:sz w:val="22"/>
          <w:szCs w:val="22"/>
        </w:rPr>
        <w:t xml:space="preserve">. Available at: </w:t>
      </w:r>
      <w:hyperlink r:id="rId173" w:history="1">
        <w:r w:rsidRPr="00F57CA5">
          <w:rPr>
            <w:rStyle w:val="Hyperlink"/>
            <w:rFonts w:ascii="Arial" w:hAnsi="Arial" w:cs="Arial"/>
            <w:color w:val="2809E5"/>
            <w:sz w:val="22"/>
            <w:szCs w:val="22"/>
          </w:rPr>
          <w:t>https://www.rcpsych.ac.uk/news-and-features/blogs/detail/presidents-blog/2024/05/31/an-urgent-call-for-change--tackling-the-discrimination-faced-by-people-with-severe-mental-illness?utm</w:t>
        </w:r>
      </w:hyperlink>
      <w:r w:rsidRPr="00F57CA5">
        <w:rPr>
          <w:rFonts w:ascii="Arial" w:hAnsi="Arial" w:cs="Arial"/>
          <w:sz w:val="22"/>
          <w:szCs w:val="22"/>
        </w:rPr>
        <w:t xml:space="preserve"> (Accessed: 7 April 2025).</w:t>
      </w:r>
    </w:p>
    <w:p w14:paraId="1D36BA67"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Sari, O.K. and Subandi, S. (2021) ‘Psychological Intervention in Community-Based Treatment of Schizophrenia: A Systematic Narrative Review’. </w:t>
      </w:r>
      <w:r w:rsidRPr="00F57CA5">
        <w:rPr>
          <w:rFonts w:ascii="Arial" w:hAnsi="Arial" w:cs="Arial"/>
          <w:i/>
          <w:iCs/>
          <w:sz w:val="22"/>
          <w:szCs w:val="22"/>
        </w:rPr>
        <w:t>Journal of Educational, Health and Community Psychology</w:t>
      </w:r>
      <w:r w:rsidRPr="00F57CA5">
        <w:rPr>
          <w:rFonts w:ascii="Arial" w:hAnsi="Arial" w:cs="Arial"/>
          <w:sz w:val="22"/>
          <w:szCs w:val="22"/>
        </w:rPr>
        <w:t xml:space="preserve">, 10(3), p.432. Available at: </w:t>
      </w:r>
      <w:hyperlink r:id="rId174" w:history="1">
        <w:r w:rsidRPr="00F57CA5">
          <w:rPr>
            <w:rStyle w:val="Hyperlink"/>
            <w:rFonts w:ascii="Arial" w:hAnsi="Arial" w:cs="Arial"/>
            <w:color w:val="2809E5"/>
            <w:sz w:val="22"/>
            <w:szCs w:val="22"/>
          </w:rPr>
          <w:t>https://doi.org/10.12928/jehcp.v10i3.20525</w:t>
        </w:r>
      </w:hyperlink>
      <w:r w:rsidRPr="00F57CA5">
        <w:rPr>
          <w:rFonts w:ascii="Arial" w:hAnsi="Arial" w:cs="Arial"/>
          <w:color w:val="2809E5"/>
          <w:sz w:val="22"/>
          <w:szCs w:val="22"/>
        </w:rPr>
        <w:t>.</w:t>
      </w:r>
    </w:p>
    <w:p w14:paraId="5799BD0F" w14:textId="77777777" w:rsidR="00342517" w:rsidRPr="00F57CA5" w:rsidRDefault="00342517" w:rsidP="00F57CA5">
      <w:pPr>
        <w:pStyle w:val="NormalWeb"/>
        <w:spacing w:line="360" w:lineRule="auto"/>
        <w:rPr>
          <w:rFonts w:ascii="Arial" w:hAnsi="Arial" w:cs="Arial"/>
          <w:color w:val="2809E5"/>
          <w:sz w:val="22"/>
          <w:szCs w:val="22"/>
        </w:rPr>
      </w:pPr>
      <w:r w:rsidRPr="00F57CA5">
        <w:rPr>
          <w:rFonts w:ascii="Arial" w:hAnsi="Arial" w:cs="Arial"/>
          <w:sz w:val="22"/>
          <w:szCs w:val="22"/>
        </w:rPr>
        <w:t xml:space="preserve">Saurman, E. (2015) Improving Access: Modifying Penchansky and Thomas’s Theory of Access. </w:t>
      </w:r>
      <w:r w:rsidRPr="00F57CA5">
        <w:rPr>
          <w:rFonts w:ascii="Arial" w:hAnsi="Arial" w:cs="Arial"/>
          <w:i/>
          <w:iCs/>
          <w:sz w:val="22"/>
          <w:szCs w:val="22"/>
        </w:rPr>
        <w:t>Journal of Health Services Research &amp; Policy</w:t>
      </w:r>
      <w:r w:rsidRPr="00F57CA5">
        <w:rPr>
          <w:rFonts w:ascii="Arial" w:hAnsi="Arial" w:cs="Arial"/>
          <w:sz w:val="22"/>
          <w:szCs w:val="22"/>
        </w:rPr>
        <w:t xml:space="preserve">, 21(1), pp.36–39. Available at:  </w:t>
      </w:r>
      <w:hyperlink r:id="rId175" w:history="1">
        <w:r w:rsidRPr="00F57CA5">
          <w:rPr>
            <w:rStyle w:val="Hyperlink"/>
            <w:rFonts w:ascii="Arial" w:hAnsi="Arial" w:cs="Arial"/>
            <w:color w:val="2809E5"/>
            <w:sz w:val="22"/>
            <w:szCs w:val="22"/>
          </w:rPr>
          <w:t>https://doi.org/10.1177/1355819615600001</w:t>
        </w:r>
      </w:hyperlink>
      <w:r w:rsidRPr="00F57CA5">
        <w:rPr>
          <w:rFonts w:ascii="Arial" w:hAnsi="Arial" w:cs="Arial"/>
          <w:color w:val="2809E5"/>
          <w:sz w:val="22"/>
          <w:szCs w:val="22"/>
        </w:rPr>
        <w:t>.</w:t>
      </w:r>
    </w:p>
    <w:p w14:paraId="3FF6D8C4"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Schlief, M., Rich, N., Rains, L.S., Baldwin, H., Rojas-Garcia, A., Nyikavaranda, P., Persaud, K., Dare, C., French, P., Lloyd-Evans, B., Crawford, M., Smith, J., Kirkbride, J.B. and </w:t>
      </w:r>
      <w:r w:rsidRPr="00F57CA5">
        <w:rPr>
          <w:rFonts w:ascii="Arial" w:hAnsi="Arial" w:cs="Arial"/>
          <w:sz w:val="22"/>
          <w:szCs w:val="22"/>
        </w:rPr>
        <w:lastRenderedPageBreak/>
        <w:t xml:space="preserve">Johnson, S. (2023) ‘Ethnic Differences in Receipt Of Psychological Interventions in Early Intervention in Psychosis Services in England – A Cross-Sectional Study’. </w:t>
      </w:r>
      <w:r w:rsidRPr="00F57CA5">
        <w:rPr>
          <w:rFonts w:ascii="Arial" w:hAnsi="Arial" w:cs="Arial"/>
          <w:i/>
          <w:iCs/>
          <w:sz w:val="22"/>
          <w:szCs w:val="22"/>
        </w:rPr>
        <w:t>Psychiatry Research</w:t>
      </w:r>
      <w:r w:rsidRPr="00F57CA5">
        <w:rPr>
          <w:rFonts w:ascii="Arial" w:hAnsi="Arial" w:cs="Arial"/>
          <w:sz w:val="22"/>
          <w:szCs w:val="22"/>
        </w:rPr>
        <w:t xml:space="preserve">, p.115529. Available at:  </w:t>
      </w:r>
      <w:hyperlink r:id="rId176" w:history="1">
        <w:r w:rsidRPr="00F57CA5">
          <w:rPr>
            <w:rStyle w:val="Hyperlink"/>
            <w:rFonts w:ascii="Arial" w:hAnsi="Arial" w:cs="Arial"/>
            <w:color w:val="2809E5"/>
            <w:sz w:val="22"/>
            <w:szCs w:val="22"/>
          </w:rPr>
          <w:t>https://doi.org/10.1016/j.psychres.2023.115529</w:t>
        </w:r>
      </w:hyperlink>
      <w:r w:rsidRPr="00F57CA5">
        <w:rPr>
          <w:rFonts w:ascii="Arial" w:hAnsi="Arial" w:cs="Arial"/>
          <w:color w:val="2809E5"/>
          <w:sz w:val="22"/>
          <w:szCs w:val="22"/>
        </w:rPr>
        <w:t>.</w:t>
      </w:r>
    </w:p>
    <w:p w14:paraId="7BE6BBC1"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Shuttleworth, K. and Nicholson, E. (2020) </w:t>
      </w:r>
      <w:r w:rsidRPr="00F57CA5">
        <w:rPr>
          <w:rFonts w:ascii="Arial" w:hAnsi="Arial" w:cs="Arial"/>
          <w:i/>
          <w:iCs/>
          <w:sz w:val="22"/>
          <w:szCs w:val="22"/>
        </w:rPr>
        <w:t>Devolution and the NHS</w:t>
      </w:r>
      <w:r w:rsidRPr="00F57CA5">
        <w:rPr>
          <w:rFonts w:ascii="Arial" w:hAnsi="Arial" w:cs="Arial"/>
          <w:sz w:val="22"/>
          <w:szCs w:val="22"/>
        </w:rPr>
        <w:t xml:space="preserve">. Available at: </w:t>
      </w:r>
      <w:hyperlink r:id="rId177" w:history="1">
        <w:r w:rsidRPr="00F57CA5">
          <w:rPr>
            <w:rStyle w:val="Hyperlink"/>
            <w:rFonts w:ascii="Arial" w:hAnsi="Arial" w:cs="Arial"/>
            <w:color w:val="2809E5"/>
            <w:sz w:val="22"/>
            <w:szCs w:val="22"/>
          </w:rPr>
          <w:t>https://www.instituteforgovernment.org.uk/explainer/devolution-and-nhs</w:t>
        </w:r>
      </w:hyperlink>
      <w:r w:rsidRPr="00F57CA5">
        <w:rPr>
          <w:rFonts w:ascii="Arial" w:hAnsi="Arial" w:cs="Arial"/>
          <w:sz w:val="22"/>
          <w:szCs w:val="22"/>
        </w:rPr>
        <w:t>.(Accessed: 7 April 2025).</w:t>
      </w:r>
    </w:p>
    <w:p w14:paraId="5DBDD22C"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Singh, K., Ghazi, F., White, R., Sarfo-Adu, B. and Carter, P. (2018) ‘Improving Access to Early Intervention in Psychosis (EIP): The 2-Week Wait for Cancer Comes to Psychosis’. </w:t>
      </w:r>
      <w:r w:rsidRPr="00F57CA5">
        <w:rPr>
          <w:rFonts w:ascii="Arial" w:hAnsi="Arial" w:cs="Arial"/>
          <w:i/>
          <w:iCs/>
          <w:sz w:val="22"/>
          <w:szCs w:val="22"/>
        </w:rPr>
        <w:t>BMJ Open Quality</w:t>
      </w:r>
      <w:r w:rsidRPr="00F57CA5">
        <w:rPr>
          <w:rFonts w:ascii="Arial" w:hAnsi="Arial" w:cs="Arial"/>
          <w:sz w:val="22"/>
          <w:szCs w:val="22"/>
        </w:rPr>
        <w:t xml:space="preserve">, 7(3), p.e000190. Available at: </w:t>
      </w:r>
      <w:r w:rsidRPr="00F57CA5">
        <w:rPr>
          <w:rFonts w:ascii="Arial" w:hAnsi="Arial" w:cs="Arial"/>
          <w:color w:val="2809E5"/>
          <w:sz w:val="22"/>
          <w:szCs w:val="22"/>
        </w:rPr>
        <w:t xml:space="preserve"> </w:t>
      </w:r>
      <w:hyperlink r:id="rId178" w:history="1">
        <w:r w:rsidRPr="00F57CA5">
          <w:rPr>
            <w:rStyle w:val="Hyperlink"/>
            <w:rFonts w:ascii="Arial" w:hAnsi="Arial" w:cs="Arial"/>
            <w:color w:val="2809E5"/>
            <w:sz w:val="22"/>
            <w:szCs w:val="22"/>
          </w:rPr>
          <w:t>https://doi.org/10.1136/bmjoq-2017-000190</w:t>
        </w:r>
      </w:hyperlink>
      <w:r w:rsidRPr="00F57CA5">
        <w:rPr>
          <w:rFonts w:ascii="Arial" w:hAnsi="Arial" w:cs="Arial"/>
          <w:sz w:val="22"/>
          <w:szCs w:val="22"/>
        </w:rPr>
        <w:t>.</w:t>
      </w:r>
    </w:p>
    <w:p w14:paraId="5634D3F3"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Slay, J. and Stephens, L. (2013). </w:t>
      </w:r>
      <w:r w:rsidRPr="00F57CA5">
        <w:rPr>
          <w:rFonts w:ascii="Arial" w:hAnsi="Arial" w:cs="Arial"/>
          <w:i/>
          <w:iCs/>
          <w:sz w:val="22"/>
          <w:szCs w:val="22"/>
        </w:rPr>
        <w:t>Co-production in mental health: A literature review. Commissioned by Mind</w:t>
      </w:r>
      <w:r w:rsidRPr="00F57CA5">
        <w:rPr>
          <w:rFonts w:ascii="Arial" w:hAnsi="Arial" w:cs="Arial"/>
          <w:sz w:val="22"/>
          <w:szCs w:val="22"/>
        </w:rPr>
        <w:t xml:space="preserve">. Available at: </w:t>
      </w:r>
      <w:hyperlink r:id="rId179" w:history="1">
        <w:r w:rsidRPr="00F57CA5">
          <w:rPr>
            <w:rStyle w:val="Hyperlink"/>
            <w:rFonts w:ascii="Arial" w:hAnsi="Arial" w:cs="Arial"/>
            <w:color w:val="2809E5"/>
            <w:sz w:val="22"/>
            <w:szCs w:val="22"/>
          </w:rPr>
          <w:t>https://new-economicsf.files.svdcdn.com/production/files/ca0975b7cd88125c3e_ywm6bp3l1.pdf</w:t>
        </w:r>
      </w:hyperlink>
      <w:r w:rsidRPr="00F57CA5">
        <w:rPr>
          <w:rFonts w:ascii="Arial" w:hAnsi="Arial" w:cs="Arial"/>
          <w:color w:val="2809E5"/>
          <w:sz w:val="22"/>
          <w:szCs w:val="22"/>
        </w:rPr>
        <w:t xml:space="preserve">. </w:t>
      </w:r>
      <w:r w:rsidRPr="00F57CA5">
        <w:rPr>
          <w:rFonts w:ascii="Arial" w:hAnsi="Arial" w:cs="Arial"/>
          <w:sz w:val="22"/>
          <w:szCs w:val="22"/>
        </w:rPr>
        <w:t>(Accessed: 21 April 2025).</w:t>
      </w:r>
    </w:p>
    <w:p w14:paraId="43B3F5AE"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Spremberg, A.N. (2021) </w:t>
      </w:r>
      <w:r w:rsidRPr="00F57CA5">
        <w:rPr>
          <w:rFonts w:ascii="Arial" w:hAnsi="Arial" w:cs="Arial"/>
          <w:i/>
          <w:iCs/>
          <w:sz w:val="22"/>
          <w:szCs w:val="22"/>
        </w:rPr>
        <w:t>Anomalous Experiences of Self and World, Enactivism and Sensemaking: Toward A More Dynamic Approach to The Psychopathology of Schizophrenia Experiencias Anômalas Do Self E Mundo, Enativismo E Sense-Making: Por Uma Abordagem Mais Dinâmica da Psicopatologia Da Esquizofrenia</w:t>
      </w:r>
      <w:r w:rsidRPr="00F57CA5">
        <w:rPr>
          <w:rFonts w:ascii="Arial" w:hAnsi="Arial" w:cs="Arial"/>
          <w:sz w:val="22"/>
          <w:szCs w:val="22"/>
        </w:rPr>
        <w:t xml:space="preserve">. Available at: </w:t>
      </w:r>
      <w:hyperlink r:id="rId180" w:history="1">
        <w:r w:rsidRPr="00F57CA5">
          <w:rPr>
            <w:rStyle w:val="Hyperlink"/>
            <w:rFonts w:ascii="Arial" w:hAnsi="Arial" w:cs="Arial"/>
            <w:color w:val="2809E5"/>
            <w:sz w:val="22"/>
            <w:szCs w:val="22"/>
          </w:rPr>
          <w:t>Https://Repositorio.Unicamp.Br/Busca/Download?Codigoarquivo=507573</w:t>
        </w:r>
      </w:hyperlink>
      <w:r w:rsidRPr="00F57CA5">
        <w:rPr>
          <w:rFonts w:ascii="Arial" w:hAnsi="Arial" w:cs="Arial"/>
          <w:color w:val="2809E5"/>
          <w:sz w:val="22"/>
          <w:szCs w:val="22"/>
        </w:rPr>
        <w:t xml:space="preserve">. </w:t>
      </w:r>
      <w:r w:rsidRPr="00F57CA5">
        <w:rPr>
          <w:rFonts w:ascii="Arial" w:hAnsi="Arial" w:cs="Arial"/>
          <w:sz w:val="22"/>
          <w:szCs w:val="22"/>
        </w:rPr>
        <w:t>(Accessed: 21 June 2025).</w:t>
      </w:r>
    </w:p>
    <w:p w14:paraId="69E4FD55"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Stain, H., Mawn, L., Common, S., Pilton, M. and Thompson, A. (2018) ‘F252. SERVICE Provision for Ultra-High Risk for Psychosis: Implementation of Clinical Guidelines in England’. </w:t>
      </w:r>
      <w:r w:rsidRPr="00F57CA5">
        <w:rPr>
          <w:rFonts w:ascii="Arial" w:hAnsi="Arial" w:cs="Arial"/>
          <w:i/>
          <w:iCs/>
          <w:sz w:val="22"/>
          <w:szCs w:val="22"/>
        </w:rPr>
        <w:t>Schizophrenia Bulletin</w:t>
      </w:r>
      <w:r w:rsidRPr="00F57CA5">
        <w:rPr>
          <w:rFonts w:ascii="Arial" w:hAnsi="Arial" w:cs="Arial"/>
          <w:sz w:val="22"/>
          <w:szCs w:val="22"/>
        </w:rPr>
        <w:t xml:space="preserve">, 44(suppl_1), pp. S321–S321. Available at:  </w:t>
      </w:r>
      <w:hyperlink r:id="rId181" w:history="1">
        <w:r w:rsidRPr="00F57CA5">
          <w:rPr>
            <w:rStyle w:val="Hyperlink"/>
            <w:rFonts w:ascii="Arial" w:hAnsi="Arial" w:cs="Arial"/>
            <w:color w:val="2809E5"/>
            <w:sz w:val="22"/>
            <w:szCs w:val="22"/>
          </w:rPr>
          <w:t>https://doi.org/10.1093/schbul/sby017.783</w:t>
        </w:r>
      </w:hyperlink>
      <w:r w:rsidRPr="00F57CA5">
        <w:rPr>
          <w:rFonts w:ascii="Arial" w:hAnsi="Arial" w:cs="Arial"/>
          <w:color w:val="2809E5"/>
          <w:sz w:val="22"/>
          <w:szCs w:val="22"/>
        </w:rPr>
        <w:t>.</w:t>
      </w:r>
    </w:p>
    <w:p w14:paraId="10D7A004"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Stephenson, T. and Hilton, C. (2021) ‘Life, Change and Charisma: Memories of UK Psychiatric Hospitals in the Long 1960s’. </w:t>
      </w:r>
      <w:r w:rsidRPr="00F57CA5">
        <w:rPr>
          <w:rFonts w:ascii="Arial" w:hAnsi="Arial" w:cs="Arial"/>
          <w:i/>
          <w:iCs/>
          <w:sz w:val="22"/>
          <w:szCs w:val="22"/>
        </w:rPr>
        <w:t>Cambridge University Press eBooks</w:t>
      </w:r>
      <w:r w:rsidRPr="00F57CA5">
        <w:rPr>
          <w:rFonts w:ascii="Arial" w:hAnsi="Arial" w:cs="Arial"/>
          <w:sz w:val="22"/>
          <w:szCs w:val="22"/>
        </w:rPr>
        <w:t xml:space="preserve">, pp.49–59. Available at: </w:t>
      </w:r>
      <w:hyperlink r:id="rId182" w:history="1">
        <w:r w:rsidRPr="00F57CA5">
          <w:rPr>
            <w:rStyle w:val="Hyperlink"/>
            <w:rFonts w:ascii="Arial" w:hAnsi="Arial" w:cs="Arial"/>
            <w:color w:val="2809E5"/>
            <w:sz w:val="22"/>
            <w:szCs w:val="22"/>
          </w:rPr>
          <w:t>https://doi.org/10.1017/9781911623793.008</w:t>
        </w:r>
      </w:hyperlink>
      <w:r w:rsidRPr="00F57CA5">
        <w:rPr>
          <w:rFonts w:ascii="Arial" w:hAnsi="Arial" w:cs="Arial"/>
          <w:color w:val="2809E5"/>
          <w:sz w:val="22"/>
          <w:szCs w:val="22"/>
        </w:rPr>
        <w:t>.</w:t>
      </w:r>
    </w:p>
    <w:p w14:paraId="3B226FC7"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Stępnicki, P., Kondej, M. and Kaczor, A.A. (2018) ‘Current Concepts and Treatments of Schizophrenia’. </w:t>
      </w:r>
      <w:r w:rsidRPr="00F57CA5">
        <w:rPr>
          <w:rFonts w:ascii="Arial" w:hAnsi="Arial" w:cs="Arial"/>
          <w:i/>
          <w:iCs/>
          <w:sz w:val="22"/>
          <w:szCs w:val="22"/>
        </w:rPr>
        <w:t>Molecules</w:t>
      </w:r>
      <w:r w:rsidRPr="00F57CA5">
        <w:rPr>
          <w:rFonts w:ascii="Arial" w:hAnsi="Arial" w:cs="Arial"/>
          <w:sz w:val="22"/>
          <w:szCs w:val="22"/>
        </w:rPr>
        <w:t xml:space="preserve">, 23(8). Available at: </w:t>
      </w:r>
      <w:hyperlink r:id="rId183" w:history="1">
        <w:r w:rsidRPr="00F57CA5">
          <w:rPr>
            <w:rStyle w:val="Hyperlink"/>
            <w:rFonts w:ascii="Arial" w:hAnsi="Arial" w:cs="Arial"/>
            <w:color w:val="2809E5"/>
            <w:sz w:val="22"/>
            <w:szCs w:val="22"/>
          </w:rPr>
          <w:t>https://doi.org/10.3390/molecules23082087</w:t>
        </w:r>
      </w:hyperlink>
      <w:r w:rsidRPr="00F57CA5">
        <w:rPr>
          <w:rFonts w:ascii="Arial" w:hAnsi="Arial" w:cs="Arial"/>
          <w:color w:val="2809E5"/>
          <w:sz w:val="22"/>
          <w:szCs w:val="22"/>
        </w:rPr>
        <w:t>.</w:t>
      </w:r>
    </w:p>
    <w:p w14:paraId="3326F338"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Stowell-Smith, M. and McKeown, M. (2005) ‘Race, stigma and stereotyping’. </w:t>
      </w:r>
      <w:r w:rsidRPr="00F57CA5">
        <w:rPr>
          <w:rFonts w:ascii="Arial" w:hAnsi="Arial" w:cs="Arial"/>
          <w:i/>
          <w:iCs/>
          <w:sz w:val="22"/>
          <w:szCs w:val="22"/>
        </w:rPr>
        <w:t>Routledge eBooks</w:t>
      </w:r>
      <w:r w:rsidRPr="00F57CA5">
        <w:rPr>
          <w:rFonts w:ascii="Arial" w:hAnsi="Arial" w:cs="Arial"/>
          <w:sz w:val="22"/>
          <w:szCs w:val="22"/>
        </w:rPr>
        <w:t xml:space="preserve">, pp.176–187. Available at </w:t>
      </w:r>
      <w:hyperlink r:id="rId184" w:history="1">
        <w:r w:rsidRPr="00F57CA5">
          <w:rPr>
            <w:rStyle w:val="Hyperlink"/>
            <w:rFonts w:ascii="Arial" w:hAnsi="Arial" w:cs="Arial"/>
            <w:color w:val="2809E5"/>
            <w:sz w:val="22"/>
            <w:szCs w:val="22"/>
          </w:rPr>
          <w:t>https://doi.org/10.4324/9780203995501-25</w:t>
        </w:r>
      </w:hyperlink>
      <w:r w:rsidRPr="00F57CA5">
        <w:rPr>
          <w:rFonts w:ascii="Arial" w:hAnsi="Arial" w:cs="Arial"/>
          <w:color w:val="2809E5"/>
          <w:sz w:val="22"/>
          <w:szCs w:val="22"/>
        </w:rPr>
        <w:t>.</w:t>
      </w:r>
    </w:p>
    <w:p w14:paraId="784D8195"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lastRenderedPageBreak/>
        <w:t xml:space="preserve">Suchonova, D. and Kéri, P. (2024) ‘Rethinking Schizophrenia: Beyond the Voices of Schizophrenia’. </w:t>
      </w:r>
      <w:r w:rsidRPr="00F57CA5">
        <w:rPr>
          <w:rFonts w:ascii="Arial" w:hAnsi="Arial" w:cs="Arial"/>
          <w:i/>
          <w:iCs/>
          <w:sz w:val="22"/>
          <w:szCs w:val="22"/>
        </w:rPr>
        <w:t>European Psychiatry</w:t>
      </w:r>
      <w:r w:rsidRPr="00F57CA5">
        <w:rPr>
          <w:rFonts w:ascii="Arial" w:hAnsi="Arial" w:cs="Arial"/>
          <w:sz w:val="22"/>
          <w:szCs w:val="22"/>
        </w:rPr>
        <w:t xml:space="preserve">, 67(S1), pp. S761–S762. Available at:  </w:t>
      </w:r>
      <w:hyperlink r:id="rId185" w:history="1">
        <w:r w:rsidRPr="00F57CA5">
          <w:rPr>
            <w:rStyle w:val="Hyperlink"/>
            <w:rFonts w:ascii="Arial" w:hAnsi="Arial" w:cs="Arial"/>
            <w:color w:val="2809E5"/>
            <w:sz w:val="22"/>
            <w:szCs w:val="22"/>
          </w:rPr>
          <w:t>https://doi.org/10.1192/j.eurpsy.2024.1585</w:t>
        </w:r>
      </w:hyperlink>
      <w:r w:rsidRPr="00F57CA5">
        <w:rPr>
          <w:rFonts w:ascii="Arial" w:hAnsi="Arial" w:cs="Arial"/>
          <w:color w:val="2809E5"/>
          <w:sz w:val="22"/>
          <w:szCs w:val="22"/>
        </w:rPr>
        <w:t>.</w:t>
      </w:r>
    </w:p>
    <w:p w14:paraId="507133F4"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The Council of State Governments (2023) </w:t>
      </w:r>
      <w:r w:rsidRPr="00F57CA5">
        <w:rPr>
          <w:rFonts w:ascii="Arial" w:hAnsi="Arial" w:cs="Arial"/>
          <w:i/>
          <w:iCs/>
          <w:sz w:val="22"/>
          <w:szCs w:val="22"/>
        </w:rPr>
        <w:t>Mental Health Among Top Policy Priorities for the States.</w:t>
      </w:r>
      <w:r w:rsidRPr="00F57CA5">
        <w:rPr>
          <w:rFonts w:ascii="Arial" w:hAnsi="Arial" w:cs="Arial"/>
          <w:sz w:val="22"/>
          <w:szCs w:val="22"/>
        </w:rPr>
        <w:t xml:space="preserve"> Available at: </w:t>
      </w:r>
      <w:hyperlink r:id="rId186" w:history="1">
        <w:r w:rsidRPr="00F57CA5">
          <w:rPr>
            <w:rStyle w:val="Hyperlink"/>
            <w:rFonts w:ascii="Arial" w:hAnsi="Arial" w:cs="Arial"/>
            <w:color w:val="2809E5"/>
            <w:sz w:val="22"/>
            <w:szCs w:val="22"/>
          </w:rPr>
          <w:t>https://www.csg.org/2023/03/08/mental-health-among-top-policy-priorities-for-the-states</w:t>
        </w:r>
        <w:r w:rsidRPr="00F57CA5">
          <w:rPr>
            <w:rStyle w:val="Hyperlink"/>
            <w:rFonts w:ascii="Arial" w:hAnsi="Arial" w:cs="Arial"/>
            <w:sz w:val="22"/>
            <w:szCs w:val="22"/>
          </w:rPr>
          <w:t>/</w:t>
        </w:r>
      </w:hyperlink>
      <w:r w:rsidRPr="00F57CA5">
        <w:rPr>
          <w:rFonts w:ascii="Arial" w:hAnsi="Arial" w:cs="Arial"/>
          <w:sz w:val="22"/>
          <w:szCs w:val="22"/>
        </w:rPr>
        <w:t>. (Accessed: 21 March 2025).</w:t>
      </w:r>
    </w:p>
    <w:p w14:paraId="21E2F72D"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The King's Fund (2024) </w:t>
      </w:r>
      <w:r w:rsidRPr="00F57CA5">
        <w:rPr>
          <w:rFonts w:ascii="Arial" w:hAnsi="Arial" w:cs="Arial"/>
          <w:i/>
          <w:iCs/>
          <w:sz w:val="22"/>
          <w:szCs w:val="22"/>
        </w:rPr>
        <w:t>Mental Health 360 Access.</w:t>
      </w:r>
      <w:r w:rsidRPr="00F57CA5">
        <w:rPr>
          <w:rFonts w:ascii="Arial" w:hAnsi="Arial" w:cs="Arial"/>
          <w:sz w:val="22"/>
          <w:szCs w:val="22"/>
        </w:rPr>
        <w:t xml:space="preserve"> Available at: </w:t>
      </w:r>
      <w:hyperlink r:id="rId187" w:history="1">
        <w:r w:rsidRPr="00F57CA5">
          <w:rPr>
            <w:rStyle w:val="Hyperlink"/>
            <w:rFonts w:ascii="Arial" w:hAnsi="Arial" w:cs="Arial"/>
            <w:color w:val="2809E5"/>
            <w:sz w:val="22"/>
            <w:szCs w:val="22"/>
          </w:rPr>
          <w:t>https://www.kingsfund.org.uk/insight-and-analysis/long-reads/mental-health-360-access?utm</w:t>
        </w:r>
      </w:hyperlink>
      <w:r w:rsidRPr="00F57CA5">
        <w:rPr>
          <w:rFonts w:ascii="Arial" w:hAnsi="Arial" w:cs="Arial"/>
          <w:color w:val="2809E5"/>
          <w:sz w:val="22"/>
          <w:szCs w:val="22"/>
        </w:rPr>
        <w:t xml:space="preserve"> </w:t>
      </w:r>
      <w:r w:rsidRPr="00F57CA5">
        <w:rPr>
          <w:rFonts w:ascii="Arial" w:hAnsi="Arial" w:cs="Arial"/>
          <w:sz w:val="22"/>
          <w:szCs w:val="22"/>
        </w:rPr>
        <w:t>(Accessed: 5 July 2025).</w:t>
      </w:r>
    </w:p>
    <w:p w14:paraId="1B314387"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Thornicroft, G., Bebbington, P. and Leff, J. (2005) ‘Outcomes for Long-Term Patients One Year After Discharge from a Psychiatric Hospital’. </w:t>
      </w:r>
      <w:r w:rsidRPr="00F57CA5">
        <w:rPr>
          <w:rFonts w:ascii="Arial" w:hAnsi="Arial" w:cs="Arial"/>
          <w:i/>
          <w:iCs/>
          <w:sz w:val="22"/>
          <w:szCs w:val="22"/>
        </w:rPr>
        <w:t>Psychiatric Services</w:t>
      </w:r>
      <w:r w:rsidRPr="00F57CA5">
        <w:rPr>
          <w:rFonts w:ascii="Arial" w:hAnsi="Arial" w:cs="Arial"/>
          <w:sz w:val="22"/>
          <w:szCs w:val="22"/>
        </w:rPr>
        <w:t xml:space="preserve">, 56(11), pp.1416–1422.  Available at: </w:t>
      </w:r>
      <w:hyperlink r:id="rId188" w:history="1">
        <w:r w:rsidRPr="00F57CA5">
          <w:rPr>
            <w:rStyle w:val="Hyperlink"/>
            <w:rFonts w:ascii="Arial" w:hAnsi="Arial" w:cs="Arial"/>
            <w:sz w:val="22"/>
            <w:szCs w:val="22"/>
          </w:rPr>
          <w:t>https://doi.org/10.1176/appi.ps.56.11.1416</w:t>
        </w:r>
      </w:hyperlink>
      <w:r w:rsidRPr="00F57CA5">
        <w:rPr>
          <w:rFonts w:ascii="Arial" w:hAnsi="Arial" w:cs="Arial"/>
          <w:color w:val="2809E5"/>
          <w:sz w:val="22"/>
          <w:szCs w:val="22"/>
        </w:rPr>
        <w:t>.</w:t>
      </w:r>
    </w:p>
    <w:p w14:paraId="4BF86523"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Tracy, D.K., Hanson, K., Brown, T., James, A.J.B., Paulsen, H., Mulliez, Z. and Shergill, S.S. (2019) ‘Integrated Care in Mental Health: Next Steps After the NHS Long Term Plan’. </w:t>
      </w:r>
      <w:r w:rsidRPr="00F57CA5">
        <w:rPr>
          <w:rFonts w:ascii="Arial" w:hAnsi="Arial" w:cs="Arial"/>
          <w:i/>
          <w:iCs/>
          <w:sz w:val="22"/>
          <w:szCs w:val="22"/>
        </w:rPr>
        <w:t>The British Journal of Psychiatry</w:t>
      </w:r>
      <w:r w:rsidRPr="00F57CA5">
        <w:rPr>
          <w:rFonts w:ascii="Arial" w:hAnsi="Arial" w:cs="Arial"/>
          <w:sz w:val="22"/>
          <w:szCs w:val="22"/>
        </w:rPr>
        <w:t xml:space="preserve">, 214(06), pp.315–317. Available at:  </w:t>
      </w:r>
      <w:hyperlink r:id="rId189" w:history="1">
        <w:r w:rsidRPr="00F57CA5">
          <w:rPr>
            <w:rStyle w:val="Hyperlink"/>
            <w:rFonts w:ascii="Arial" w:hAnsi="Arial" w:cs="Arial"/>
            <w:color w:val="2809E5"/>
            <w:sz w:val="22"/>
            <w:szCs w:val="22"/>
          </w:rPr>
          <w:t>https://doi.org/10.1192/bjp.2019.46</w:t>
        </w:r>
      </w:hyperlink>
      <w:r w:rsidRPr="00F57CA5">
        <w:rPr>
          <w:rFonts w:ascii="Arial" w:hAnsi="Arial" w:cs="Arial"/>
          <w:color w:val="2809E5"/>
          <w:sz w:val="22"/>
          <w:szCs w:val="22"/>
        </w:rPr>
        <w:t>.</w:t>
      </w:r>
    </w:p>
    <w:p w14:paraId="134CDA6A"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Tripathi, A., Das, A. and Kar, S. (2019) ‘Biopsychosocial Model in Contemporary Psychiatry: Current Validity and Future Prospects’. </w:t>
      </w:r>
      <w:r w:rsidRPr="00F57CA5">
        <w:rPr>
          <w:rFonts w:ascii="Arial" w:hAnsi="Arial" w:cs="Arial"/>
          <w:i/>
          <w:iCs/>
          <w:sz w:val="22"/>
          <w:szCs w:val="22"/>
        </w:rPr>
        <w:t>Indian Journal of Psychological Medicine</w:t>
      </w:r>
      <w:r w:rsidRPr="00F57CA5">
        <w:rPr>
          <w:rFonts w:ascii="Arial" w:hAnsi="Arial" w:cs="Arial"/>
          <w:sz w:val="22"/>
          <w:szCs w:val="22"/>
        </w:rPr>
        <w:t xml:space="preserve">, 41(6), pp.582–585. Available at: </w:t>
      </w:r>
      <w:hyperlink r:id="rId190" w:history="1">
        <w:r w:rsidRPr="00F57CA5">
          <w:rPr>
            <w:rStyle w:val="Hyperlink"/>
            <w:rFonts w:ascii="Arial" w:hAnsi="Arial" w:cs="Arial"/>
            <w:color w:val="2809E5"/>
            <w:sz w:val="22"/>
            <w:szCs w:val="22"/>
          </w:rPr>
          <w:t>https://doi.org/10.4103/ijpsym.ijpsym_314_19</w:t>
        </w:r>
      </w:hyperlink>
      <w:r w:rsidRPr="00F57CA5">
        <w:rPr>
          <w:rFonts w:ascii="Arial" w:hAnsi="Arial" w:cs="Arial"/>
          <w:color w:val="2809E5"/>
          <w:sz w:val="22"/>
          <w:szCs w:val="22"/>
        </w:rPr>
        <w:t>.</w:t>
      </w:r>
    </w:p>
    <w:p w14:paraId="0663E12A"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Tsiachristas, A., Thomas, T., Leal, J. and Lennox, B.R. (2016) ‘Economic impact of early intervention in psychosis services: results from a longitudinal retrospective controlled study in England’. </w:t>
      </w:r>
      <w:r w:rsidRPr="00F57CA5">
        <w:rPr>
          <w:rFonts w:ascii="Arial" w:hAnsi="Arial" w:cs="Arial"/>
          <w:i/>
          <w:iCs/>
          <w:sz w:val="22"/>
          <w:szCs w:val="22"/>
        </w:rPr>
        <w:t>BMJ Open</w:t>
      </w:r>
      <w:r w:rsidRPr="00F57CA5">
        <w:rPr>
          <w:rFonts w:ascii="Arial" w:hAnsi="Arial" w:cs="Arial"/>
          <w:sz w:val="22"/>
          <w:szCs w:val="22"/>
        </w:rPr>
        <w:t xml:space="preserve">, 6(10). Available at: </w:t>
      </w:r>
      <w:hyperlink r:id="rId191" w:history="1">
        <w:r w:rsidRPr="00F57CA5">
          <w:rPr>
            <w:rStyle w:val="Hyperlink"/>
            <w:rFonts w:ascii="Arial" w:hAnsi="Arial" w:cs="Arial"/>
            <w:color w:val="2809E5"/>
            <w:sz w:val="22"/>
            <w:szCs w:val="22"/>
          </w:rPr>
          <w:t>https://doi.org/10.1136/bmjopen-2016-012611</w:t>
        </w:r>
      </w:hyperlink>
      <w:r w:rsidRPr="00F57CA5">
        <w:rPr>
          <w:rFonts w:ascii="Arial" w:hAnsi="Arial" w:cs="Arial"/>
          <w:color w:val="2809E5"/>
          <w:sz w:val="22"/>
          <w:szCs w:val="22"/>
        </w:rPr>
        <w:t>.</w:t>
      </w:r>
    </w:p>
    <w:p w14:paraId="40C1B4C4" w14:textId="77777777" w:rsidR="00342517" w:rsidRPr="00F57CA5" w:rsidRDefault="00342517" w:rsidP="00F57CA5">
      <w:pPr>
        <w:rPr>
          <w:rFonts w:ascii="Arial" w:hAnsi="Arial" w:cs="Arial"/>
        </w:rPr>
      </w:pPr>
      <w:r w:rsidRPr="00F57CA5">
        <w:rPr>
          <w:rFonts w:ascii="Arial" w:hAnsi="Arial" w:cs="Arial"/>
        </w:rPr>
        <w:t xml:space="preserve">Turkington, D., Dudley, R., Warman, D.M. And Beck, A.T. (2004) ‘Cognitive-Behavioural Therapy for Schizophrenia: A Review’. </w:t>
      </w:r>
      <w:r w:rsidRPr="00F57CA5">
        <w:rPr>
          <w:rFonts w:ascii="Arial" w:hAnsi="Arial" w:cs="Arial"/>
          <w:i/>
          <w:iCs/>
        </w:rPr>
        <w:t>Journal of Psychiatric Practice</w:t>
      </w:r>
      <w:r w:rsidRPr="00F57CA5">
        <w:rPr>
          <w:rFonts w:ascii="Arial" w:hAnsi="Arial" w:cs="Arial"/>
        </w:rPr>
        <w:t xml:space="preserve">, 10(1), pp.5–16. Available </w:t>
      </w:r>
      <w:r w:rsidRPr="00F57CA5">
        <w:rPr>
          <w:rFonts w:ascii="Arial" w:hAnsi="Arial" w:cs="Arial"/>
          <w:color w:val="2809E5"/>
        </w:rPr>
        <w:t xml:space="preserve">at: </w:t>
      </w:r>
      <w:hyperlink r:id="rId192" w:history="1">
        <w:r w:rsidRPr="00F57CA5">
          <w:rPr>
            <w:rStyle w:val="Hyperlink"/>
            <w:rFonts w:ascii="Arial" w:hAnsi="Arial" w:cs="Arial"/>
            <w:color w:val="2809E5"/>
          </w:rPr>
          <w:t>https://doi.org/10.1097/00131746-200401000-00002</w:t>
        </w:r>
      </w:hyperlink>
    </w:p>
    <w:p w14:paraId="624098FF" w14:textId="77777777" w:rsidR="00342517" w:rsidRPr="00F57CA5" w:rsidRDefault="00342517" w:rsidP="00F57CA5">
      <w:pPr>
        <w:pStyle w:val="NormalWeb"/>
        <w:spacing w:line="360" w:lineRule="auto"/>
        <w:rPr>
          <w:rFonts w:ascii="Arial" w:hAnsi="Arial" w:cs="Arial"/>
          <w:color w:val="2809E5"/>
          <w:sz w:val="22"/>
          <w:szCs w:val="22"/>
        </w:rPr>
      </w:pPr>
      <w:r w:rsidRPr="00F57CA5">
        <w:rPr>
          <w:rFonts w:ascii="Arial" w:hAnsi="Arial" w:cs="Arial"/>
          <w:sz w:val="22"/>
          <w:szCs w:val="22"/>
        </w:rPr>
        <w:t xml:space="preserve">University of Illinois Library (2024) </w:t>
      </w:r>
      <w:r w:rsidRPr="00F57CA5">
        <w:rPr>
          <w:rFonts w:ascii="Arial" w:hAnsi="Arial" w:cs="Arial"/>
          <w:i/>
          <w:iCs/>
          <w:sz w:val="22"/>
          <w:szCs w:val="22"/>
        </w:rPr>
        <w:t>LibGuides: Advanced Research at the Library: Boolean Searching</w:t>
      </w:r>
      <w:r w:rsidRPr="00F57CA5">
        <w:rPr>
          <w:rFonts w:ascii="Arial" w:hAnsi="Arial" w:cs="Arial"/>
          <w:sz w:val="22"/>
          <w:szCs w:val="22"/>
        </w:rPr>
        <w:t xml:space="preserve">. Available at: </w:t>
      </w:r>
      <w:hyperlink r:id="rId193" w:history="1">
        <w:r w:rsidRPr="00F57CA5">
          <w:rPr>
            <w:rStyle w:val="Hyperlink"/>
            <w:rFonts w:ascii="Arial" w:hAnsi="Arial" w:cs="Arial"/>
            <w:color w:val="2809E5"/>
            <w:sz w:val="22"/>
            <w:szCs w:val="22"/>
          </w:rPr>
          <w:t>https://guides.library.illinois.edu/c.php?g=563215&amp;p=3877584</w:t>
        </w:r>
      </w:hyperlink>
      <w:r w:rsidRPr="00F57CA5">
        <w:rPr>
          <w:rFonts w:ascii="Arial" w:hAnsi="Arial" w:cs="Arial"/>
          <w:color w:val="2809E5"/>
          <w:sz w:val="22"/>
          <w:szCs w:val="22"/>
        </w:rPr>
        <w:t>.</w:t>
      </w:r>
      <w:r w:rsidRPr="00F57CA5">
        <w:rPr>
          <w:rFonts w:ascii="Arial" w:hAnsi="Arial" w:cs="Arial"/>
          <w:sz w:val="22"/>
          <w:szCs w:val="22"/>
        </w:rPr>
        <w:t xml:space="preserve"> (Accessed: 2 July 2025).</w:t>
      </w:r>
    </w:p>
    <w:p w14:paraId="633A47A6"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lastRenderedPageBreak/>
        <w:t xml:space="preserve">University of Wales Trinity Saint David (2022) </w:t>
      </w:r>
      <w:r w:rsidRPr="00F57CA5">
        <w:rPr>
          <w:rFonts w:ascii="Arial" w:hAnsi="Arial" w:cs="Arial"/>
          <w:i/>
          <w:iCs/>
          <w:sz w:val="22"/>
          <w:szCs w:val="22"/>
        </w:rPr>
        <w:t>Research Ethics &amp; Integrity Code of Practice</w:t>
      </w:r>
      <w:r w:rsidRPr="00F57CA5">
        <w:rPr>
          <w:rFonts w:ascii="Arial" w:hAnsi="Arial" w:cs="Arial"/>
          <w:sz w:val="22"/>
          <w:szCs w:val="22"/>
        </w:rPr>
        <w:t xml:space="preserve">.  Available at: </w:t>
      </w:r>
      <w:hyperlink r:id="rId194" w:history="1">
        <w:r w:rsidRPr="00F57CA5">
          <w:rPr>
            <w:rStyle w:val="Hyperlink"/>
            <w:rFonts w:ascii="Arial" w:hAnsi="Arial" w:cs="Arial"/>
            <w:color w:val="2809E5"/>
            <w:sz w:val="22"/>
            <w:szCs w:val="22"/>
          </w:rPr>
          <w:t>file:///C:/Users/Student/Downloads/REICoP-July-2022%20(3).pdf</w:t>
        </w:r>
      </w:hyperlink>
      <w:r w:rsidRPr="00F57CA5">
        <w:rPr>
          <w:rFonts w:ascii="Arial" w:hAnsi="Arial" w:cs="Arial"/>
          <w:color w:val="2809E5"/>
          <w:sz w:val="22"/>
          <w:szCs w:val="22"/>
        </w:rPr>
        <w:t>.</w:t>
      </w:r>
      <w:r w:rsidRPr="00F57CA5">
        <w:rPr>
          <w:rFonts w:ascii="Arial" w:hAnsi="Arial" w:cs="Arial"/>
          <w:sz w:val="22"/>
          <w:szCs w:val="22"/>
        </w:rPr>
        <w:t xml:space="preserve"> (Accessed: 7 March 2025).</w:t>
      </w:r>
    </w:p>
    <w:p w14:paraId="4DDBA36A"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Valery, K.-M. and Prouteau, A. (2020) ‘Schizophrenia Stigma in Mental Health Professionals and Associated Factors: A Systematic Review’. </w:t>
      </w:r>
      <w:r w:rsidRPr="00F57CA5">
        <w:rPr>
          <w:rFonts w:ascii="Arial" w:hAnsi="Arial" w:cs="Arial"/>
          <w:i/>
          <w:iCs/>
          <w:sz w:val="22"/>
          <w:szCs w:val="22"/>
        </w:rPr>
        <w:t>Psychiatry Research</w:t>
      </w:r>
      <w:r w:rsidRPr="00F57CA5">
        <w:rPr>
          <w:rFonts w:ascii="Arial" w:hAnsi="Arial" w:cs="Arial"/>
          <w:sz w:val="22"/>
          <w:szCs w:val="22"/>
        </w:rPr>
        <w:t xml:space="preserve">, 290(113068), p.113068. Available at: </w:t>
      </w:r>
      <w:hyperlink r:id="rId195" w:history="1">
        <w:r w:rsidRPr="00F57CA5">
          <w:rPr>
            <w:rStyle w:val="Hyperlink"/>
            <w:rFonts w:ascii="Arial" w:hAnsi="Arial" w:cs="Arial"/>
            <w:color w:val="2809E5"/>
            <w:sz w:val="22"/>
            <w:szCs w:val="22"/>
          </w:rPr>
          <w:t>https://doi.org/10.1016/j.psychres.2020.113068</w:t>
        </w:r>
      </w:hyperlink>
      <w:r w:rsidRPr="00F57CA5">
        <w:rPr>
          <w:rFonts w:ascii="Arial" w:hAnsi="Arial" w:cs="Arial"/>
          <w:color w:val="2809E5"/>
          <w:sz w:val="22"/>
          <w:szCs w:val="22"/>
        </w:rPr>
        <w:t>.</w:t>
      </w:r>
    </w:p>
    <w:p w14:paraId="7E18F9DD"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Velthorst, E., Koeter, M., van der Gaag, M., Nieman, D.H., Fett, A.-K., J., Smit, F., Staring, A.B.P., Meijer, C. and de Haan, L. (2014) ‘Adapted Cognitive–Behavioural Therapy Required for Targeting Negative Symptoms in Schizophrenia: Meta-Analysis and Meta-Regression. </w:t>
      </w:r>
      <w:r w:rsidRPr="00F57CA5">
        <w:rPr>
          <w:rFonts w:ascii="Arial" w:hAnsi="Arial" w:cs="Arial"/>
          <w:i/>
          <w:iCs/>
          <w:sz w:val="22"/>
          <w:szCs w:val="22"/>
        </w:rPr>
        <w:t>Psychological Medicine</w:t>
      </w:r>
      <w:r w:rsidRPr="00F57CA5">
        <w:rPr>
          <w:rFonts w:ascii="Arial" w:hAnsi="Arial" w:cs="Arial"/>
          <w:sz w:val="22"/>
          <w:szCs w:val="22"/>
        </w:rPr>
        <w:t xml:space="preserve">, 45(3), pp.453–465. Available at: </w:t>
      </w:r>
      <w:hyperlink r:id="rId196" w:history="1">
        <w:r w:rsidRPr="00F57CA5">
          <w:rPr>
            <w:rStyle w:val="Hyperlink"/>
            <w:rFonts w:ascii="Arial" w:hAnsi="Arial" w:cs="Arial"/>
            <w:color w:val="2809E5"/>
            <w:sz w:val="22"/>
            <w:szCs w:val="22"/>
          </w:rPr>
          <w:t>https://doi.org/10.1017/s0033291714001147</w:t>
        </w:r>
      </w:hyperlink>
      <w:r w:rsidRPr="00F57CA5">
        <w:rPr>
          <w:rFonts w:ascii="Arial" w:hAnsi="Arial" w:cs="Arial"/>
          <w:color w:val="2809E5"/>
          <w:sz w:val="22"/>
          <w:szCs w:val="22"/>
        </w:rPr>
        <w:t>.</w:t>
      </w:r>
    </w:p>
    <w:p w14:paraId="1F3683C1"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Ventriglio, A., Ricci, F., Magnifico, G., Chumakov, E., Torales, J., Watson, C., Castaldelli-Maia, J.M., Petito, A. and Bellomo, A. (2020) ‘Psychosocial Interventions in Schizophrenia: Focus on Guidelines. </w:t>
      </w:r>
      <w:r w:rsidRPr="00F57CA5">
        <w:rPr>
          <w:rFonts w:ascii="Arial" w:hAnsi="Arial" w:cs="Arial"/>
          <w:i/>
          <w:iCs/>
          <w:sz w:val="22"/>
          <w:szCs w:val="22"/>
        </w:rPr>
        <w:t>International Journal of Social Psychiatry</w:t>
      </w:r>
      <w:r w:rsidRPr="00F57CA5">
        <w:rPr>
          <w:rFonts w:ascii="Arial" w:hAnsi="Arial" w:cs="Arial"/>
          <w:sz w:val="22"/>
          <w:szCs w:val="22"/>
        </w:rPr>
        <w:t xml:space="preserve">, 66(8), pp.735–747. Available at: </w:t>
      </w:r>
      <w:hyperlink r:id="rId197" w:history="1">
        <w:r w:rsidRPr="00F57CA5">
          <w:rPr>
            <w:rStyle w:val="Hyperlink"/>
            <w:rFonts w:ascii="Arial" w:hAnsi="Arial" w:cs="Arial"/>
            <w:color w:val="2809E5"/>
            <w:sz w:val="22"/>
            <w:szCs w:val="22"/>
          </w:rPr>
          <w:t>https://doi.org/10.1177/0020764020934827</w:t>
        </w:r>
      </w:hyperlink>
      <w:r w:rsidRPr="00F57CA5">
        <w:rPr>
          <w:rFonts w:ascii="Arial" w:hAnsi="Arial" w:cs="Arial"/>
          <w:color w:val="2809E5"/>
          <w:sz w:val="22"/>
          <w:szCs w:val="22"/>
        </w:rPr>
        <w:t>.</w:t>
      </w:r>
    </w:p>
    <w:p w14:paraId="09694F52"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Ventura, A.M.B., Hayes, R.D. and Freitas, D.F. de (2022) ‘Ethnic Disparities in Clozapine Prescription for Service-Users with Schizophrenia-Spectrum Disorders: A Systematic Review’. </w:t>
      </w:r>
      <w:r w:rsidRPr="00F57CA5">
        <w:rPr>
          <w:rFonts w:ascii="Arial" w:hAnsi="Arial" w:cs="Arial"/>
          <w:i/>
          <w:iCs/>
          <w:sz w:val="22"/>
          <w:szCs w:val="22"/>
        </w:rPr>
        <w:t>Psychological Medicine</w:t>
      </w:r>
      <w:r w:rsidRPr="00F57CA5">
        <w:rPr>
          <w:rFonts w:ascii="Arial" w:hAnsi="Arial" w:cs="Arial"/>
          <w:sz w:val="22"/>
          <w:szCs w:val="22"/>
        </w:rPr>
        <w:t xml:space="preserve">, 52(12), Pp.2212–2223. Available at: </w:t>
      </w:r>
      <w:hyperlink r:id="rId198" w:history="1">
        <w:r w:rsidRPr="00F57CA5">
          <w:rPr>
            <w:rStyle w:val="Hyperlink"/>
            <w:rFonts w:ascii="Arial" w:hAnsi="Arial" w:cs="Arial"/>
            <w:color w:val="2809E5"/>
            <w:sz w:val="22"/>
            <w:szCs w:val="22"/>
          </w:rPr>
          <w:t>https://doi.org/10.1017/S0033291722001878</w:t>
        </w:r>
      </w:hyperlink>
      <w:r w:rsidRPr="00F57CA5">
        <w:rPr>
          <w:rFonts w:ascii="Arial" w:hAnsi="Arial" w:cs="Arial"/>
          <w:color w:val="2809E5"/>
          <w:sz w:val="22"/>
          <w:szCs w:val="22"/>
        </w:rPr>
        <w:t>.</w:t>
      </w:r>
    </w:p>
    <w:p w14:paraId="2814A5DA"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Wade, D.T. and Halligan, P.W. (2017) ‘The Biopsychosocial Model of Illness: A Model Whose Time Has Come’. </w:t>
      </w:r>
      <w:r w:rsidRPr="00F57CA5">
        <w:rPr>
          <w:rFonts w:ascii="Arial" w:hAnsi="Arial" w:cs="Arial"/>
          <w:i/>
          <w:iCs/>
          <w:sz w:val="22"/>
          <w:szCs w:val="22"/>
        </w:rPr>
        <w:t>Clinical Rehabilitation</w:t>
      </w:r>
      <w:r w:rsidRPr="00F57CA5">
        <w:rPr>
          <w:rFonts w:ascii="Arial" w:hAnsi="Arial" w:cs="Arial"/>
          <w:sz w:val="22"/>
          <w:szCs w:val="22"/>
        </w:rPr>
        <w:t xml:space="preserve">, 31(8), pp.995–1004. Available at: </w:t>
      </w:r>
      <w:hyperlink r:id="rId199" w:history="1">
        <w:r w:rsidRPr="00F57CA5">
          <w:rPr>
            <w:rStyle w:val="Hyperlink"/>
            <w:rFonts w:ascii="Arial" w:hAnsi="Arial" w:cs="Arial"/>
            <w:color w:val="2809E5"/>
            <w:sz w:val="22"/>
            <w:szCs w:val="22"/>
          </w:rPr>
          <w:t>https://doi.org/10.1177/0269215517709890</w:t>
        </w:r>
      </w:hyperlink>
      <w:r w:rsidRPr="00F57CA5">
        <w:rPr>
          <w:rFonts w:ascii="Arial" w:hAnsi="Arial" w:cs="Arial"/>
          <w:color w:val="2809E5"/>
          <w:sz w:val="22"/>
          <w:szCs w:val="22"/>
        </w:rPr>
        <w:t>.</w:t>
      </w:r>
    </w:p>
    <w:p w14:paraId="3B2B645A"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Walker, E.R., Cummings, J.R., Hockenberry, J.M. and Druss, B.G. (2015)’ Insurance Status, Use of Mental Health Services, and Unmet Need for Mental Health Care in the United States’. </w:t>
      </w:r>
      <w:r w:rsidRPr="00F57CA5">
        <w:rPr>
          <w:rFonts w:ascii="Arial" w:hAnsi="Arial" w:cs="Arial"/>
          <w:i/>
          <w:iCs/>
          <w:sz w:val="22"/>
          <w:szCs w:val="22"/>
        </w:rPr>
        <w:t>Psychiatric Services</w:t>
      </w:r>
      <w:r w:rsidRPr="00F57CA5">
        <w:rPr>
          <w:rFonts w:ascii="Arial" w:hAnsi="Arial" w:cs="Arial"/>
          <w:sz w:val="22"/>
          <w:szCs w:val="22"/>
        </w:rPr>
        <w:t xml:space="preserve">, 66(6), pp.578–584. Available at: </w:t>
      </w:r>
      <w:hyperlink r:id="rId200" w:history="1">
        <w:r w:rsidRPr="00F57CA5">
          <w:rPr>
            <w:rStyle w:val="Hyperlink"/>
            <w:rFonts w:ascii="Arial" w:hAnsi="Arial" w:cs="Arial"/>
            <w:color w:val="2809E5"/>
            <w:sz w:val="22"/>
            <w:szCs w:val="22"/>
          </w:rPr>
          <w:t>https://doi.org/10.1176/appi.ps.201400248</w:t>
        </w:r>
      </w:hyperlink>
      <w:r w:rsidRPr="00F57CA5">
        <w:rPr>
          <w:rFonts w:ascii="Arial" w:hAnsi="Arial" w:cs="Arial"/>
          <w:color w:val="2809E5"/>
          <w:sz w:val="22"/>
          <w:szCs w:val="22"/>
        </w:rPr>
        <w:t>.</w:t>
      </w:r>
    </w:p>
    <w:p w14:paraId="0AB5A777"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Wallace, M. and Wray, A. (2016) </w:t>
      </w:r>
      <w:r w:rsidRPr="00F57CA5">
        <w:rPr>
          <w:rFonts w:ascii="Arial" w:hAnsi="Arial" w:cs="Arial"/>
          <w:i/>
          <w:iCs/>
          <w:sz w:val="22"/>
          <w:szCs w:val="22"/>
        </w:rPr>
        <w:t>Critical Reading and Writing for Postgraduates</w:t>
      </w:r>
      <w:r w:rsidRPr="00F57CA5">
        <w:rPr>
          <w:rFonts w:ascii="Arial" w:hAnsi="Arial" w:cs="Arial"/>
          <w:sz w:val="22"/>
          <w:szCs w:val="22"/>
        </w:rPr>
        <w:t xml:space="preserve">. Available at: </w:t>
      </w:r>
      <w:hyperlink r:id="rId201" w:history="1">
        <w:r w:rsidRPr="00F57CA5">
          <w:rPr>
            <w:rStyle w:val="Hyperlink"/>
            <w:rFonts w:ascii="Arial" w:hAnsi="Arial" w:cs="Arial"/>
            <w:color w:val="2809E5"/>
            <w:sz w:val="22"/>
            <w:szCs w:val="22"/>
          </w:rPr>
          <w:t>https://uk.sagepub.com/sites/default/files/upm-binaries/74769_Wallace_Critical_Reading_and_Writing_for_Postgraduates.pdf</w:t>
        </w:r>
      </w:hyperlink>
      <w:r w:rsidRPr="00F57CA5">
        <w:rPr>
          <w:rFonts w:ascii="Arial" w:hAnsi="Arial" w:cs="Arial"/>
          <w:color w:val="2809E5"/>
          <w:sz w:val="22"/>
          <w:szCs w:val="22"/>
        </w:rPr>
        <w:t xml:space="preserve">. </w:t>
      </w:r>
      <w:r w:rsidRPr="00F57CA5">
        <w:rPr>
          <w:rFonts w:ascii="Arial" w:hAnsi="Arial" w:cs="Arial"/>
          <w:sz w:val="22"/>
          <w:szCs w:val="22"/>
        </w:rPr>
        <w:t>(Accessed: 21 June 2025).</w:t>
      </w:r>
    </w:p>
    <w:p w14:paraId="75E640BE"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lastRenderedPageBreak/>
        <w:t xml:space="preserve">Western University (2025) </w:t>
      </w:r>
      <w:r w:rsidRPr="00F57CA5">
        <w:rPr>
          <w:rFonts w:ascii="Arial" w:hAnsi="Arial" w:cs="Arial"/>
          <w:i/>
          <w:iCs/>
          <w:sz w:val="22"/>
          <w:szCs w:val="22"/>
        </w:rPr>
        <w:t>Long-Term Patterns of Acute Mental Health Service Use After a First Episode of Psychosis: Examining Ongoing Psychiatric Care Beyond the Critical Period</w:t>
      </w:r>
      <w:r w:rsidRPr="00F57CA5">
        <w:rPr>
          <w:rFonts w:ascii="Arial" w:hAnsi="Arial" w:cs="Arial"/>
          <w:sz w:val="22"/>
          <w:szCs w:val="22"/>
        </w:rPr>
        <w:t>. Available at:</w:t>
      </w:r>
      <w:r w:rsidRPr="00F57CA5">
        <w:rPr>
          <w:rFonts w:ascii="Arial" w:hAnsi="Arial" w:cs="Arial"/>
          <w:color w:val="2809E5"/>
          <w:sz w:val="22"/>
          <w:szCs w:val="22"/>
        </w:rPr>
        <w:t xml:space="preserve"> </w:t>
      </w:r>
      <w:hyperlink r:id="rId202" w:history="1">
        <w:r w:rsidRPr="00F57CA5">
          <w:rPr>
            <w:rStyle w:val="Hyperlink"/>
            <w:rFonts w:ascii="Arial" w:hAnsi="Arial" w:cs="Arial"/>
            <w:color w:val="2809E5"/>
            <w:sz w:val="22"/>
            <w:szCs w:val="22"/>
          </w:rPr>
          <w:t>https://www.proquest.com/docview/2714869631?pq-origsite=gscholar&amp;fromopenview=true&amp;sourcetype=Dissertations%20&amp;%20Theses</w:t>
        </w:r>
      </w:hyperlink>
      <w:r w:rsidRPr="00F57CA5">
        <w:rPr>
          <w:rFonts w:ascii="Arial" w:hAnsi="Arial" w:cs="Arial"/>
          <w:sz w:val="22"/>
          <w:szCs w:val="22"/>
        </w:rPr>
        <w:t>. (Accessed: 8 April 2025).</w:t>
      </w:r>
    </w:p>
    <w:p w14:paraId="1D4EA1ED"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Wigand, M.E., Orzechowski, M., Nowak, M., Becker, T. and Steger, F. (2020) ‘Schizophrenia, Human Rights and Access to Health Care: A Systematic Search and Review of Judgements by the European Court of Human Rights’. </w:t>
      </w:r>
      <w:r w:rsidRPr="00F57CA5">
        <w:rPr>
          <w:rFonts w:ascii="Arial" w:hAnsi="Arial" w:cs="Arial"/>
          <w:i/>
          <w:iCs/>
          <w:sz w:val="22"/>
          <w:szCs w:val="22"/>
        </w:rPr>
        <w:t>International Journal of Social Psychiatry</w:t>
      </w:r>
      <w:r w:rsidRPr="00F57CA5">
        <w:rPr>
          <w:rFonts w:ascii="Arial" w:hAnsi="Arial" w:cs="Arial"/>
          <w:sz w:val="22"/>
          <w:szCs w:val="22"/>
        </w:rPr>
        <w:t xml:space="preserve">, 67(2), p.002076402094279. Available at:  </w:t>
      </w:r>
      <w:hyperlink r:id="rId203" w:history="1">
        <w:r w:rsidRPr="00F57CA5">
          <w:rPr>
            <w:rStyle w:val="Hyperlink"/>
            <w:rFonts w:ascii="Arial" w:hAnsi="Arial" w:cs="Arial"/>
            <w:color w:val="2809E5"/>
            <w:sz w:val="22"/>
            <w:szCs w:val="22"/>
          </w:rPr>
          <w:t>https://doi.org/10.1177/0020764020942797</w:t>
        </w:r>
      </w:hyperlink>
      <w:r w:rsidRPr="00F57CA5">
        <w:rPr>
          <w:rFonts w:ascii="Arial" w:hAnsi="Arial" w:cs="Arial"/>
          <w:color w:val="2809E5"/>
          <w:sz w:val="22"/>
          <w:szCs w:val="22"/>
        </w:rPr>
        <w:t>.</w:t>
      </w:r>
    </w:p>
    <w:p w14:paraId="6CA6BFF6" w14:textId="77777777" w:rsidR="00342517" w:rsidRPr="00F57CA5" w:rsidRDefault="00342517" w:rsidP="00F57CA5">
      <w:pPr>
        <w:pStyle w:val="NormalWeb"/>
        <w:spacing w:before="0" w:beforeAutospacing="0" w:after="240" w:afterAutospacing="0" w:line="360" w:lineRule="auto"/>
        <w:rPr>
          <w:rFonts w:ascii="Arial" w:hAnsi="Arial" w:cs="Arial"/>
          <w:sz w:val="22"/>
          <w:szCs w:val="22"/>
        </w:rPr>
      </w:pPr>
      <w:r w:rsidRPr="00F57CA5">
        <w:rPr>
          <w:rFonts w:ascii="Arial" w:hAnsi="Arial" w:cs="Arial"/>
          <w:sz w:val="22"/>
          <w:szCs w:val="22"/>
        </w:rPr>
        <w:t xml:space="preserve">Williamson, S. (2022) ‘The biopsychosocial model: not dead, but in need of revival’. </w:t>
      </w:r>
      <w:r w:rsidRPr="00F57CA5">
        <w:rPr>
          <w:rFonts w:ascii="Arial" w:hAnsi="Arial" w:cs="Arial"/>
          <w:i/>
          <w:iCs/>
          <w:sz w:val="22"/>
          <w:szCs w:val="22"/>
        </w:rPr>
        <w:t>BJ Psych Bulletin</w:t>
      </w:r>
      <w:r w:rsidRPr="00F57CA5">
        <w:rPr>
          <w:rFonts w:ascii="Arial" w:hAnsi="Arial" w:cs="Arial"/>
          <w:sz w:val="22"/>
          <w:szCs w:val="22"/>
        </w:rPr>
        <w:t>, 46(4), pp.232–234. Available at</w:t>
      </w:r>
      <w:r w:rsidRPr="00F57CA5">
        <w:rPr>
          <w:rFonts w:ascii="Arial" w:hAnsi="Arial" w:cs="Arial"/>
          <w:color w:val="2809E5"/>
          <w:sz w:val="22"/>
          <w:szCs w:val="22"/>
        </w:rPr>
        <w:t xml:space="preserve">: </w:t>
      </w:r>
      <w:hyperlink r:id="rId204" w:history="1">
        <w:r w:rsidRPr="00F57CA5">
          <w:rPr>
            <w:rStyle w:val="Hyperlink"/>
            <w:rFonts w:ascii="Arial" w:hAnsi="Arial" w:cs="Arial"/>
            <w:color w:val="2809E5"/>
            <w:sz w:val="22"/>
            <w:szCs w:val="22"/>
          </w:rPr>
          <w:t>https://doi.org/10.1192/bjb.2022.29</w:t>
        </w:r>
      </w:hyperlink>
      <w:r w:rsidRPr="00F57CA5">
        <w:rPr>
          <w:rFonts w:ascii="Arial" w:hAnsi="Arial" w:cs="Arial"/>
          <w:color w:val="2809E5"/>
          <w:sz w:val="22"/>
          <w:szCs w:val="22"/>
        </w:rPr>
        <w:t>.</w:t>
      </w:r>
    </w:p>
    <w:p w14:paraId="541F296A" w14:textId="77777777" w:rsidR="00342517" w:rsidRPr="00F57CA5" w:rsidRDefault="00342517" w:rsidP="00F57CA5">
      <w:pPr>
        <w:pStyle w:val="NormalWeb"/>
        <w:spacing w:line="360" w:lineRule="auto"/>
        <w:rPr>
          <w:rFonts w:ascii="Arial" w:hAnsi="Arial" w:cs="Arial"/>
          <w:sz w:val="22"/>
          <w:szCs w:val="22"/>
        </w:rPr>
      </w:pPr>
      <w:r w:rsidRPr="00F57CA5">
        <w:rPr>
          <w:rFonts w:ascii="Arial" w:hAnsi="Arial" w:cs="Arial"/>
          <w:sz w:val="22"/>
          <w:szCs w:val="22"/>
        </w:rPr>
        <w:t xml:space="preserve">Wood, L., Byrne, R., Varese, F. and Morrison, A.P. (2016) ‘Psychosocial Interventions for Internalised Stigma in People with A Schizophrenia-Spectrum Diagnosis: A Systematic Narrative Synthesis and Meta-Analysis’. </w:t>
      </w:r>
      <w:r w:rsidRPr="00F57CA5">
        <w:rPr>
          <w:rFonts w:ascii="Arial" w:hAnsi="Arial" w:cs="Arial"/>
          <w:i/>
          <w:iCs/>
          <w:sz w:val="22"/>
          <w:szCs w:val="22"/>
        </w:rPr>
        <w:t>Schizophrenia Research</w:t>
      </w:r>
      <w:r w:rsidRPr="00F57CA5">
        <w:rPr>
          <w:rFonts w:ascii="Arial" w:hAnsi="Arial" w:cs="Arial"/>
          <w:sz w:val="22"/>
          <w:szCs w:val="22"/>
        </w:rPr>
        <w:t xml:space="preserve">, 176(2-3), pp.291–303. doi: </w:t>
      </w:r>
      <w:hyperlink r:id="rId205" w:history="1">
        <w:r w:rsidRPr="00F57CA5">
          <w:rPr>
            <w:rStyle w:val="Hyperlink"/>
            <w:rFonts w:ascii="Arial" w:hAnsi="Arial" w:cs="Arial"/>
            <w:color w:val="2809E5"/>
            <w:sz w:val="22"/>
            <w:szCs w:val="22"/>
          </w:rPr>
          <w:t>https://doi.org/10.1016/j.schres.2016.05.001</w:t>
        </w:r>
      </w:hyperlink>
      <w:r w:rsidRPr="00F57CA5">
        <w:rPr>
          <w:rFonts w:ascii="Arial" w:hAnsi="Arial" w:cs="Arial"/>
          <w:color w:val="2809E5"/>
          <w:sz w:val="22"/>
          <w:szCs w:val="22"/>
        </w:rPr>
        <w:t>.</w:t>
      </w:r>
    </w:p>
    <w:p w14:paraId="4A84BAD2" w14:textId="77777777" w:rsidR="00342517" w:rsidRPr="00F57CA5" w:rsidRDefault="00342517" w:rsidP="00F57CA5">
      <w:pPr>
        <w:pStyle w:val="NormalWeb"/>
        <w:spacing w:line="360" w:lineRule="auto"/>
        <w:rPr>
          <w:rFonts w:ascii="Arial" w:hAnsi="Arial" w:cs="Arial"/>
          <w:color w:val="2809E5"/>
          <w:sz w:val="22"/>
          <w:szCs w:val="22"/>
        </w:rPr>
      </w:pPr>
      <w:r w:rsidRPr="00F57CA5">
        <w:rPr>
          <w:rFonts w:ascii="Arial" w:hAnsi="Arial" w:cs="Arial"/>
          <w:sz w:val="22"/>
          <w:szCs w:val="22"/>
        </w:rPr>
        <w:t xml:space="preserve">World Health Organisation (2022) </w:t>
      </w:r>
      <w:r w:rsidRPr="00F57CA5">
        <w:rPr>
          <w:rFonts w:ascii="Arial" w:hAnsi="Arial" w:cs="Arial"/>
          <w:i/>
          <w:iCs/>
          <w:sz w:val="22"/>
          <w:szCs w:val="22"/>
        </w:rPr>
        <w:t>Schizophrenia</w:t>
      </w:r>
      <w:r w:rsidRPr="00F57CA5">
        <w:rPr>
          <w:rFonts w:ascii="Arial" w:hAnsi="Arial" w:cs="Arial"/>
          <w:sz w:val="22"/>
          <w:szCs w:val="22"/>
        </w:rPr>
        <w:t xml:space="preserve">. Available at: </w:t>
      </w:r>
      <w:hyperlink r:id="rId206" w:history="1">
        <w:r w:rsidRPr="00F57CA5">
          <w:rPr>
            <w:rStyle w:val="Hyperlink"/>
            <w:rFonts w:ascii="Arial" w:hAnsi="Arial" w:cs="Arial"/>
            <w:color w:val="2809E5"/>
            <w:sz w:val="22"/>
            <w:szCs w:val="22"/>
          </w:rPr>
          <w:t>https://www.who.int/news-room/fact-sheets/detail/schizophrenia</w:t>
        </w:r>
      </w:hyperlink>
      <w:r w:rsidRPr="00F57CA5">
        <w:rPr>
          <w:rFonts w:ascii="Arial" w:hAnsi="Arial" w:cs="Arial"/>
          <w:color w:val="2809E5"/>
          <w:sz w:val="22"/>
          <w:szCs w:val="22"/>
        </w:rPr>
        <w:t>.</w:t>
      </w:r>
    </w:p>
    <w:p w14:paraId="60FFF908" w14:textId="77777777" w:rsidR="00342517" w:rsidRPr="00F57CA5" w:rsidRDefault="00342517" w:rsidP="00F57CA5">
      <w:pPr>
        <w:pStyle w:val="NormalWeb"/>
        <w:spacing w:line="360" w:lineRule="auto"/>
        <w:rPr>
          <w:rFonts w:ascii="Arial" w:hAnsi="Arial" w:cs="Arial"/>
          <w:color w:val="2809E5"/>
          <w:sz w:val="22"/>
          <w:szCs w:val="22"/>
        </w:rPr>
      </w:pPr>
      <w:r w:rsidRPr="00F57CA5">
        <w:rPr>
          <w:rFonts w:ascii="Arial" w:hAnsi="Arial" w:cs="Arial"/>
          <w:sz w:val="22"/>
          <w:szCs w:val="22"/>
        </w:rPr>
        <w:t xml:space="preserve">Yeragani, V., Ashok, A. and Baugh, J. (2012) ‘Paul Eugen Bleuler and The Origin of The Term Schizophrenia (SCHIZOPRENIEGRUPPE)’. </w:t>
      </w:r>
      <w:r w:rsidRPr="00F57CA5">
        <w:rPr>
          <w:rFonts w:ascii="Arial" w:hAnsi="Arial" w:cs="Arial"/>
          <w:i/>
          <w:iCs/>
          <w:sz w:val="22"/>
          <w:szCs w:val="22"/>
        </w:rPr>
        <w:t>Indian Journal of Psychiatry</w:t>
      </w:r>
      <w:r w:rsidRPr="00F57CA5">
        <w:rPr>
          <w:rFonts w:ascii="Arial" w:hAnsi="Arial" w:cs="Arial"/>
          <w:sz w:val="22"/>
          <w:szCs w:val="22"/>
        </w:rPr>
        <w:t xml:space="preserve">, 54(1), p.95.  Available at: </w:t>
      </w:r>
      <w:hyperlink r:id="rId207" w:history="1">
        <w:r w:rsidRPr="00F57CA5">
          <w:rPr>
            <w:rStyle w:val="Hyperlink"/>
            <w:rFonts w:ascii="Arial" w:hAnsi="Arial" w:cs="Arial"/>
            <w:color w:val="2809E5"/>
            <w:sz w:val="22"/>
            <w:szCs w:val="22"/>
          </w:rPr>
          <w:t>https://doi.org/10.4103/0019-5545.94660</w:t>
        </w:r>
      </w:hyperlink>
      <w:r w:rsidRPr="00F57CA5">
        <w:rPr>
          <w:rFonts w:ascii="Arial" w:hAnsi="Arial" w:cs="Arial"/>
          <w:color w:val="2809E5"/>
          <w:sz w:val="22"/>
          <w:szCs w:val="22"/>
        </w:rPr>
        <w:t>.</w:t>
      </w:r>
    </w:p>
    <w:p w14:paraId="31CDF287" w14:textId="77777777" w:rsidR="00BA40C4" w:rsidRPr="00D866D2" w:rsidRDefault="00BA40C4" w:rsidP="00201598">
      <w:pPr>
        <w:pStyle w:val="NormalWeb"/>
        <w:spacing w:line="360" w:lineRule="auto"/>
        <w:rPr>
          <w:rFonts w:ascii="Arial" w:hAnsi="Arial" w:cs="Arial"/>
          <w:color w:val="2809E5"/>
          <w:sz w:val="22"/>
          <w:szCs w:val="22"/>
        </w:rPr>
      </w:pPr>
    </w:p>
    <w:p w14:paraId="174F53C4" w14:textId="4E3445BA" w:rsidR="00346849" w:rsidRPr="00346849" w:rsidRDefault="00346849" w:rsidP="00346849">
      <w:pPr>
        <w:pStyle w:val="NormalWeb"/>
        <w:spacing w:line="360" w:lineRule="auto"/>
        <w:rPr>
          <w:rFonts w:ascii="Arial" w:hAnsi="Arial" w:cs="Arial"/>
          <w:sz w:val="22"/>
          <w:szCs w:val="22"/>
        </w:rPr>
      </w:pPr>
    </w:p>
    <w:p w14:paraId="26FAFFE2" w14:textId="77777777" w:rsidR="00346849" w:rsidRDefault="00346849" w:rsidP="00201598">
      <w:pPr>
        <w:pStyle w:val="NormalWeb"/>
        <w:spacing w:line="360" w:lineRule="auto"/>
        <w:rPr>
          <w:rFonts w:ascii="Arial" w:hAnsi="Arial" w:cs="Arial"/>
          <w:color w:val="2809E5"/>
          <w:sz w:val="22"/>
          <w:szCs w:val="22"/>
        </w:rPr>
      </w:pPr>
    </w:p>
    <w:p w14:paraId="0CBEF68C" w14:textId="77777777" w:rsidR="00B837B4" w:rsidRDefault="00B837B4" w:rsidP="00201598">
      <w:pPr>
        <w:pStyle w:val="NormalWeb"/>
        <w:spacing w:line="360" w:lineRule="auto"/>
        <w:rPr>
          <w:rFonts w:ascii="Arial" w:hAnsi="Arial" w:cs="Arial"/>
          <w:sz w:val="22"/>
          <w:szCs w:val="22"/>
        </w:rPr>
      </w:pPr>
    </w:p>
    <w:p w14:paraId="637F8DD8" w14:textId="77777777" w:rsidR="00D31950" w:rsidRPr="00F53C3A" w:rsidRDefault="00D31950" w:rsidP="00F53C3A">
      <w:pPr>
        <w:pStyle w:val="NormalWeb"/>
        <w:rPr>
          <w:rFonts w:ascii="Arial" w:hAnsi="Arial" w:cs="Arial"/>
          <w:sz w:val="22"/>
          <w:szCs w:val="22"/>
        </w:rPr>
      </w:pPr>
    </w:p>
    <w:p w14:paraId="26E9C665" w14:textId="10514644" w:rsidR="00F53C3A" w:rsidRPr="00F53C3A" w:rsidRDefault="00F53C3A" w:rsidP="00F53C3A">
      <w:pPr>
        <w:pStyle w:val="NormalWeb"/>
        <w:rPr>
          <w:rFonts w:ascii="Arial" w:hAnsi="Arial" w:cs="Arial"/>
        </w:rPr>
      </w:pPr>
      <w:r w:rsidRPr="00F53C3A">
        <w:rPr>
          <w:rFonts w:ascii="Arial" w:hAnsi="Arial" w:cs="Arial"/>
        </w:rPr>
        <w:t>.</w:t>
      </w:r>
    </w:p>
    <w:p w14:paraId="5047D683" w14:textId="77777777" w:rsidR="00406DA0" w:rsidRPr="00406DA0" w:rsidRDefault="00406DA0" w:rsidP="00406DA0">
      <w:pPr>
        <w:pStyle w:val="NormalWeb"/>
        <w:spacing w:line="360" w:lineRule="auto"/>
        <w:rPr>
          <w:rFonts w:ascii="Arial" w:hAnsi="Arial" w:cs="Arial"/>
          <w:sz w:val="22"/>
          <w:szCs w:val="22"/>
        </w:rPr>
      </w:pPr>
    </w:p>
    <w:p w14:paraId="20B1AB95" w14:textId="6F92C3DB" w:rsidR="0021528A" w:rsidRPr="00D864C9" w:rsidRDefault="0021528A" w:rsidP="00D866D2">
      <w:pPr>
        <w:pStyle w:val="NormalWeb"/>
        <w:spacing w:after="240" w:line="360" w:lineRule="auto"/>
        <w:rPr>
          <w:rFonts w:ascii="Arial" w:hAnsi="Arial" w:cs="Arial"/>
          <w:b/>
          <w:bCs/>
          <w:i/>
          <w:iCs/>
        </w:rPr>
        <w:sectPr w:rsidR="0021528A" w:rsidRPr="00D864C9">
          <w:footerReference w:type="default" r:id="rId208"/>
          <w:pgSz w:w="11906" w:h="16838"/>
          <w:pgMar w:top="1440" w:right="1440" w:bottom="1440" w:left="1440" w:header="708" w:footer="708" w:gutter="0"/>
          <w:cols w:space="708"/>
          <w:docGrid w:linePitch="360"/>
        </w:sectPr>
      </w:pPr>
    </w:p>
    <w:p w14:paraId="1A09347B" w14:textId="1A76EE82" w:rsidR="00AA549C" w:rsidRDefault="00AA549C" w:rsidP="00B55768">
      <w:pPr>
        <w:rPr>
          <w:rFonts w:ascii="Arial" w:hAnsi="Arial" w:cs="Arial"/>
          <w:b/>
          <w:bCs/>
        </w:rPr>
      </w:pPr>
    </w:p>
    <w:p w14:paraId="6C75E0D4" w14:textId="00089E99" w:rsidR="003720E3" w:rsidRPr="00E55A89" w:rsidRDefault="003720E3" w:rsidP="00FD0175">
      <w:pPr>
        <w:pStyle w:val="Heading1"/>
      </w:pPr>
      <w:bookmarkStart w:id="54" w:name="_Toc204981511"/>
      <w:r w:rsidRPr="00E55A89">
        <w:t>Appendices</w:t>
      </w:r>
      <w:bookmarkEnd w:id="54"/>
      <w:r w:rsidRPr="00E55A89">
        <w:t xml:space="preserve"> </w:t>
      </w:r>
    </w:p>
    <w:p w14:paraId="20987BB4" w14:textId="1C69624B" w:rsidR="00AA549C" w:rsidRPr="00984009" w:rsidRDefault="00AA549C" w:rsidP="00FD0175">
      <w:pPr>
        <w:pStyle w:val="Heading1"/>
      </w:pPr>
    </w:p>
    <w:p w14:paraId="4BEC2237" w14:textId="02BE8E0B" w:rsidR="00AA549C" w:rsidRPr="00984009" w:rsidRDefault="004F64BE" w:rsidP="00635B89">
      <w:pPr>
        <w:pStyle w:val="Heading2"/>
      </w:pPr>
      <w:bookmarkStart w:id="55" w:name="_Toc204981512"/>
      <w:r w:rsidRPr="00984009">
        <w:t>6.2</w:t>
      </w:r>
      <w:r w:rsidR="00BE3654" w:rsidRPr="00984009">
        <w:t>.1</w:t>
      </w:r>
      <w:r w:rsidR="00056B40" w:rsidRPr="00984009">
        <w:t xml:space="preserve">   Boolean Searching</w:t>
      </w:r>
      <w:bookmarkEnd w:id="55"/>
      <w:r w:rsidR="00056B40" w:rsidRPr="00984009">
        <w:t xml:space="preserve"> </w:t>
      </w:r>
    </w:p>
    <w:p w14:paraId="651BFBCD" w14:textId="635BFC35" w:rsidR="00AA549C" w:rsidRDefault="002C049B" w:rsidP="00B55768">
      <w:pPr>
        <w:rPr>
          <w:rFonts w:ascii="Arial" w:hAnsi="Arial" w:cs="Arial"/>
          <w:b/>
          <w:bCs/>
        </w:rPr>
      </w:pPr>
      <w:r w:rsidRPr="008E41D3">
        <w:rPr>
          <w:rFonts w:ascii="Arial" w:hAnsi="Arial" w:cs="Arial"/>
          <w:b/>
          <w:bCs/>
          <w:noProof/>
          <w:sz w:val="24"/>
          <w:szCs w:val="24"/>
        </w:rPr>
        <w:drawing>
          <wp:anchor distT="0" distB="0" distL="114300" distR="114300" simplePos="0" relativeHeight="251660800" behindDoc="0" locked="0" layoutInCell="1" allowOverlap="1" wp14:anchorId="67C15A4A" wp14:editId="4FA48441">
            <wp:simplePos x="0" y="0"/>
            <wp:positionH relativeFrom="column">
              <wp:posOffset>520700</wp:posOffset>
            </wp:positionH>
            <wp:positionV relativeFrom="paragraph">
              <wp:posOffset>-23362</wp:posOffset>
            </wp:positionV>
            <wp:extent cx="8046085" cy="4604084"/>
            <wp:effectExtent l="0" t="0" r="0" b="6350"/>
            <wp:wrapSquare wrapText="bothSides"/>
            <wp:docPr id="22" name="Picture 21" descr="A close-up of a search engine&#10;&#10;AI-generated content may be incorrect.">
              <a:extLst xmlns:a="http://schemas.openxmlformats.org/drawingml/2006/main">
                <a:ext uri="{FF2B5EF4-FFF2-40B4-BE49-F238E27FC236}">
                  <a16:creationId xmlns:a16="http://schemas.microsoft.com/office/drawing/2014/main" id="{BF47FC8B-DEAC-E446-5C11-76077FAE91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descr="A close-up of a search engine&#10;&#10;AI-generated content may be incorrect.">
                      <a:extLst>
                        <a:ext uri="{FF2B5EF4-FFF2-40B4-BE49-F238E27FC236}">
                          <a16:creationId xmlns:a16="http://schemas.microsoft.com/office/drawing/2014/main" id="{BF47FC8B-DEAC-E446-5C11-76077FAE9175}"/>
                        </a:ext>
                      </a:extLst>
                    </pic:cNvPr>
                    <pic:cNvPicPr>
                      <a:picLocks noChangeAspect="1"/>
                    </pic:cNvPicPr>
                  </pic:nvPicPr>
                  <pic:blipFill>
                    <a:blip r:embed="rId209" cstate="print">
                      <a:extLst>
                        <a:ext uri="{28A0092B-C50C-407E-A947-70E740481C1C}">
                          <a14:useLocalDpi xmlns:a14="http://schemas.microsoft.com/office/drawing/2010/main" val="0"/>
                        </a:ext>
                      </a:extLst>
                    </a:blip>
                    <a:stretch>
                      <a:fillRect/>
                    </a:stretch>
                  </pic:blipFill>
                  <pic:spPr>
                    <a:xfrm>
                      <a:off x="0" y="0"/>
                      <a:ext cx="8046085" cy="4604084"/>
                    </a:xfrm>
                    <a:prstGeom prst="rect">
                      <a:avLst/>
                    </a:prstGeom>
                  </pic:spPr>
                </pic:pic>
              </a:graphicData>
            </a:graphic>
            <wp14:sizeRelH relativeFrom="page">
              <wp14:pctWidth>0</wp14:pctWidth>
            </wp14:sizeRelH>
            <wp14:sizeRelV relativeFrom="page">
              <wp14:pctHeight>0</wp14:pctHeight>
            </wp14:sizeRelV>
          </wp:anchor>
        </w:drawing>
      </w:r>
    </w:p>
    <w:p w14:paraId="44584F48" w14:textId="15AF7E0D" w:rsidR="00AA549C" w:rsidRDefault="00AA549C" w:rsidP="00B55768">
      <w:pPr>
        <w:rPr>
          <w:rFonts w:ascii="Arial" w:hAnsi="Arial" w:cs="Arial"/>
          <w:b/>
          <w:bCs/>
        </w:rPr>
      </w:pPr>
    </w:p>
    <w:p w14:paraId="43B52E83" w14:textId="35A72F49" w:rsidR="00AA549C" w:rsidRDefault="00AA549C" w:rsidP="00B55768">
      <w:pPr>
        <w:rPr>
          <w:rFonts w:ascii="Arial" w:hAnsi="Arial" w:cs="Arial"/>
          <w:b/>
          <w:bCs/>
        </w:rPr>
      </w:pPr>
    </w:p>
    <w:p w14:paraId="07AACBE5" w14:textId="3D8A1CDF" w:rsidR="00AA549C" w:rsidRDefault="00AA549C" w:rsidP="00B55768">
      <w:pPr>
        <w:rPr>
          <w:rFonts w:ascii="Arial" w:hAnsi="Arial" w:cs="Arial"/>
          <w:b/>
          <w:bCs/>
        </w:rPr>
      </w:pPr>
    </w:p>
    <w:p w14:paraId="064FD9DE" w14:textId="77777777" w:rsidR="00AA549C" w:rsidRDefault="00AA549C" w:rsidP="00B55768">
      <w:pPr>
        <w:rPr>
          <w:rFonts w:ascii="Arial" w:hAnsi="Arial" w:cs="Arial"/>
          <w:b/>
          <w:bCs/>
        </w:rPr>
      </w:pPr>
    </w:p>
    <w:p w14:paraId="1D724B2D" w14:textId="77777777" w:rsidR="00AA549C" w:rsidRDefault="00AA549C" w:rsidP="00B55768">
      <w:pPr>
        <w:rPr>
          <w:rFonts w:ascii="Arial" w:hAnsi="Arial" w:cs="Arial"/>
          <w:b/>
          <w:bCs/>
        </w:rPr>
      </w:pPr>
    </w:p>
    <w:p w14:paraId="4D6E2EAA" w14:textId="77777777" w:rsidR="00AA549C" w:rsidRDefault="00AA549C" w:rsidP="00B55768">
      <w:pPr>
        <w:rPr>
          <w:rFonts w:ascii="Arial" w:hAnsi="Arial" w:cs="Arial"/>
          <w:b/>
          <w:bCs/>
        </w:rPr>
      </w:pPr>
    </w:p>
    <w:p w14:paraId="1C58D596" w14:textId="77777777" w:rsidR="00AA549C" w:rsidRDefault="00AA549C" w:rsidP="00B55768">
      <w:pPr>
        <w:rPr>
          <w:rFonts w:ascii="Arial" w:hAnsi="Arial" w:cs="Arial"/>
          <w:b/>
          <w:bCs/>
        </w:rPr>
      </w:pPr>
    </w:p>
    <w:p w14:paraId="73DAF86A" w14:textId="77777777" w:rsidR="00AA549C" w:rsidRDefault="00AA549C" w:rsidP="00B55768">
      <w:pPr>
        <w:rPr>
          <w:rFonts w:ascii="Arial" w:hAnsi="Arial" w:cs="Arial"/>
          <w:b/>
          <w:bCs/>
        </w:rPr>
      </w:pPr>
    </w:p>
    <w:p w14:paraId="6CE89508" w14:textId="7D95898F" w:rsidR="00AA549C" w:rsidRDefault="00AA549C" w:rsidP="00B55768">
      <w:pPr>
        <w:rPr>
          <w:rFonts w:ascii="Arial" w:hAnsi="Arial" w:cs="Arial"/>
          <w:b/>
          <w:bCs/>
        </w:rPr>
        <w:sectPr w:rsidR="00AA549C" w:rsidSect="00426D15">
          <w:pgSz w:w="16838" w:h="11906" w:orient="landscape"/>
          <w:pgMar w:top="1440" w:right="1440" w:bottom="1440" w:left="1440" w:header="708" w:footer="708" w:gutter="0"/>
          <w:cols w:space="708"/>
          <w:docGrid w:linePitch="360"/>
        </w:sectPr>
      </w:pPr>
    </w:p>
    <w:p w14:paraId="69095E83" w14:textId="702B4B0A" w:rsidR="006D2C46" w:rsidRPr="00984009" w:rsidRDefault="00E9720F" w:rsidP="00984009">
      <w:pPr>
        <w:pStyle w:val="Heading2"/>
      </w:pPr>
      <w:bookmarkStart w:id="56" w:name="_Toc204981513"/>
      <w:r w:rsidRPr="00984009">
        <w:lastRenderedPageBreak/>
        <w:drawing>
          <wp:anchor distT="0" distB="0" distL="114300" distR="114300" simplePos="0" relativeHeight="251666432" behindDoc="0" locked="0" layoutInCell="1" allowOverlap="1" wp14:anchorId="0BB2E17B" wp14:editId="60BE8EFB">
            <wp:simplePos x="0" y="0"/>
            <wp:positionH relativeFrom="column">
              <wp:posOffset>-653415</wp:posOffset>
            </wp:positionH>
            <wp:positionV relativeFrom="paragraph">
              <wp:posOffset>374015</wp:posOffset>
            </wp:positionV>
            <wp:extent cx="10160000" cy="5354320"/>
            <wp:effectExtent l="0" t="0" r="0" b="0"/>
            <wp:wrapSquare wrapText="bothSides"/>
            <wp:docPr id="13299093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909349" name="Picture 1" descr="A screenshot of a computer&#10;&#10;AI-generated content may be incorrect."/>
                    <pic:cNvPicPr/>
                  </pic:nvPicPr>
                  <pic:blipFill rotWithShape="1">
                    <a:blip r:embed="rId210" cstate="print">
                      <a:extLst>
                        <a:ext uri="{28A0092B-C50C-407E-A947-70E740481C1C}">
                          <a14:useLocalDpi xmlns:a14="http://schemas.microsoft.com/office/drawing/2010/main" val="0"/>
                        </a:ext>
                      </a:extLst>
                    </a:blip>
                    <a:srcRect l="3129" t="-2607" r="5340" b="2607"/>
                    <a:stretch>
                      <a:fillRect/>
                    </a:stretch>
                  </pic:blipFill>
                  <pic:spPr bwMode="auto">
                    <a:xfrm>
                      <a:off x="0" y="0"/>
                      <a:ext cx="10160000" cy="5354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3C86" w:rsidRPr="00984009">
        <w:t xml:space="preserve">  6.2.2 </w:t>
      </w:r>
      <w:r w:rsidR="00DE7763" w:rsidRPr="00984009">
        <w:t xml:space="preserve">Critical </w:t>
      </w:r>
      <w:r w:rsidR="00003C86" w:rsidRPr="00984009">
        <w:t xml:space="preserve">Evaluation </w:t>
      </w:r>
      <w:r w:rsidR="00DE7763" w:rsidRPr="00984009">
        <w:t xml:space="preserve">Checklist </w:t>
      </w:r>
      <w:r w:rsidR="00003C86" w:rsidRPr="00984009">
        <w:t>Approach: CRAAP</w:t>
      </w:r>
      <w:bookmarkEnd w:id="56"/>
      <w:r w:rsidR="00DE7763" w:rsidRPr="00984009">
        <w:t xml:space="preserve"> </w:t>
      </w:r>
    </w:p>
    <w:p w14:paraId="6919A21B" w14:textId="7DC25AB5" w:rsidR="00586B7D" w:rsidRDefault="00551390" w:rsidP="00B55768">
      <w:pPr>
        <w:rPr>
          <w:rFonts w:ascii="Arial" w:hAnsi="Arial" w:cs="Arial"/>
          <w:b/>
          <w:bCs/>
        </w:rPr>
      </w:pPr>
      <w:r w:rsidRPr="00947980">
        <w:rPr>
          <w:rFonts w:ascii="Arial" w:hAnsi="Arial" w:cs="Arial"/>
          <w:b/>
          <w:bCs/>
          <w:i/>
          <w:iCs/>
          <w:noProof/>
          <w:sz w:val="24"/>
          <w:szCs w:val="24"/>
        </w:rPr>
        <w:lastRenderedPageBreak/>
        <w:drawing>
          <wp:anchor distT="0" distB="0" distL="114300" distR="114300" simplePos="0" relativeHeight="251684864" behindDoc="0" locked="0" layoutInCell="1" allowOverlap="1" wp14:anchorId="64EF9001" wp14:editId="7F76D237">
            <wp:simplePos x="0" y="0"/>
            <wp:positionH relativeFrom="column">
              <wp:posOffset>-725805</wp:posOffset>
            </wp:positionH>
            <wp:positionV relativeFrom="paragraph">
              <wp:posOffset>0</wp:posOffset>
            </wp:positionV>
            <wp:extent cx="10264140" cy="5718175"/>
            <wp:effectExtent l="0" t="0" r="3810" b="0"/>
            <wp:wrapSquare wrapText="bothSides"/>
            <wp:docPr id="1315895008"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895008" name="Picture 1" descr="A screenshot of a computer screen&#10;&#10;AI-generated content may be incorrect."/>
                    <pic:cNvPicPr/>
                  </pic:nvPicPr>
                  <pic:blipFill rotWithShape="1">
                    <a:blip r:embed="rId211" cstate="print">
                      <a:extLst>
                        <a:ext uri="{28A0092B-C50C-407E-A947-70E740481C1C}">
                          <a14:useLocalDpi xmlns:a14="http://schemas.microsoft.com/office/drawing/2010/main" val="0"/>
                        </a:ext>
                      </a:extLst>
                    </a:blip>
                    <a:srcRect l="361" t="-1743" r="7608" b="1743"/>
                    <a:stretch>
                      <a:fillRect/>
                    </a:stretch>
                  </pic:blipFill>
                  <pic:spPr bwMode="auto">
                    <a:xfrm>
                      <a:off x="0" y="0"/>
                      <a:ext cx="10264140" cy="5718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941155" w14:textId="1E0E9DF8" w:rsidR="00586B7D" w:rsidRPr="00607662" w:rsidRDefault="00B86D74" w:rsidP="00635B89">
      <w:pPr>
        <w:pStyle w:val="Heading2"/>
      </w:pPr>
      <w:bookmarkStart w:id="57" w:name="_Toc204981514"/>
      <w:r w:rsidRPr="00607662">
        <w:lastRenderedPageBreak/>
        <w:drawing>
          <wp:anchor distT="0" distB="0" distL="114300" distR="114300" simplePos="0" relativeHeight="251691008" behindDoc="0" locked="0" layoutInCell="1" allowOverlap="1" wp14:anchorId="4C0FB31F" wp14:editId="6769316F">
            <wp:simplePos x="0" y="0"/>
            <wp:positionH relativeFrom="column">
              <wp:posOffset>-609600</wp:posOffset>
            </wp:positionH>
            <wp:positionV relativeFrom="paragraph">
              <wp:posOffset>304800</wp:posOffset>
            </wp:positionV>
            <wp:extent cx="10226675" cy="5408295"/>
            <wp:effectExtent l="0" t="0" r="3175" b="1905"/>
            <wp:wrapSquare wrapText="bothSides"/>
            <wp:docPr id="1705572156" name="Picture 1" descr="A screenshot of a medical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572156" name="Picture 1" descr="A screenshot of a medical information&#10;&#10;AI-generated content may be incorrect."/>
                    <pic:cNvPicPr/>
                  </pic:nvPicPr>
                  <pic:blipFill>
                    <a:blip r:embed="rId212">
                      <a:extLst>
                        <a:ext uri="{28A0092B-C50C-407E-A947-70E740481C1C}">
                          <a14:useLocalDpi xmlns:a14="http://schemas.microsoft.com/office/drawing/2010/main" val="0"/>
                        </a:ext>
                      </a:extLst>
                    </a:blip>
                    <a:stretch>
                      <a:fillRect/>
                    </a:stretch>
                  </pic:blipFill>
                  <pic:spPr>
                    <a:xfrm>
                      <a:off x="0" y="0"/>
                      <a:ext cx="10226675" cy="5408295"/>
                    </a:xfrm>
                    <a:prstGeom prst="rect">
                      <a:avLst/>
                    </a:prstGeom>
                  </pic:spPr>
                </pic:pic>
              </a:graphicData>
            </a:graphic>
            <wp14:sizeRelH relativeFrom="page">
              <wp14:pctWidth>0</wp14:pctWidth>
            </wp14:sizeRelH>
            <wp14:sizeRelV relativeFrom="page">
              <wp14:pctHeight>0</wp14:pctHeight>
            </wp14:sizeRelV>
          </wp:anchor>
        </w:drawing>
      </w:r>
      <w:r w:rsidR="007E0BC3">
        <w:t xml:space="preserve">  </w:t>
      </w:r>
      <w:r w:rsidR="00AE2CA9">
        <w:t xml:space="preserve">6.2.3 Methodology </w:t>
      </w:r>
      <w:r>
        <w:t>Poster</w:t>
      </w:r>
      <w:bookmarkEnd w:id="57"/>
      <w:r>
        <w:t xml:space="preserve"> </w:t>
      </w:r>
      <w:r w:rsidR="007E0BC3">
        <w:t xml:space="preserve">                 </w:t>
      </w:r>
      <w:r w:rsidR="004272F6" w:rsidRPr="00607662">
        <w:t xml:space="preserve"> </w:t>
      </w:r>
      <w:r w:rsidR="007E0BC3">
        <w:t xml:space="preserve">                                                                                                                                                    </w:t>
      </w:r>
    </w:p>
    <w:p w14:paraId="7BD5616C" w14:textId="38FCE768" w:rsidR="006D2C46" w:rsidRDefault="00E46F0D" w:rsidP="00B55768">
      <w:pPr>
        <w:rPr>
          <w:rFonts w:ascii="Arial" w:hAnsi="Arial" w:cs="Arial"/>
          <w:b/>
          <w:bCs/>
        </w:rPr>
      </w:pPr>
      <w:r w:rsidRPr="00E46F0D">
        <w:rPr>
          <w:rFonts w:ascii="Arial" w:hAnsi="Arial" w:cs="Arial"/>
          <w:b/>
          <w:bCs/>
          <w:noProof/>
        </w:rPr>
        <w:lastRenderedPageBreak/>
        <w:drawing>
          <wp:anchor distT="0" distB="0" distL="114300" distR="114300" simplePos="0" relativeHeight="251692032" behindDoc="0" locked="0" layoutInCell="1" allowOverlap="1" wp14:anchorId="5CD612D8" wp14:editId="4A742A58">
            <wp:simplePos x="0" y="0"/>
            <wp:positionH relativeFrom="column">
              <wp:posOffset>-728345</wp:posOffset>
            </wp:positionH>
            <wp:positionV relativeFrom="paragraph">
              <wp:posOffset>158115</wp:posOffset>
            </wp:positionV>
            <wp:extent cx="10319385" cy="5560695"/>
            <wp:effectExtent l="0" t="0" r="5715" b="1905"/>
            <wp:wrapSquare wrapText="bothSides"/>
            <wp:docPr id="8905343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534329" name="Picture 1" descr="A screenshot of a computer&#10;&#10;AI-generated content may be incorrect."/>
                    <pic:cNvPicPr/>
                  </pic:nvPicPr>
                  <pic:blipFill>
                    <a:blip r:embed="rId213">
                      <a:extLst>
                        <a:ext uri="{28A0092B-C50C-407E-A947-70E740481C1C}">
                          <a14:useLocalDpi xmlns:a14="http://schemas.microsoft.com/office/drawing/2010/main" val="0"/>
                        </a:ext>
                      </a:extLst>
                    </a:blip>
                    <a:stretch>
                      <a:fillRect/>
                    </a:stretch>
                  </pic:blipFill>
                  <pic:spPr>
                    <a:xfrm>
                      <a:off x="0" y="0"/>
                      <a:ext cx="10319385" cy="5560695"/>
                    </a:xfrm>
                    <a:prstGeom prst="rect">
                      <a:avLst/>
                    </a:prstGeom>
                  </pic:spPr>
                </pic:pic>
              </a:graphicData>
            </a:graphic>
            <wp14:sizeRelH relativeFrom="page">
              <wp14:pctWidth>0</wp14:pctWidth>
            </wp14:sizeRelH>
            <wp14:sizeRelV relativeFrom="page">
              <wp14:pctHeight>0</wp14:pctHeight>
            </wp14:sizeRelV>
          </wp:anchor>
        </w:drawing>
      </w:r>
    </w:p>
    <w:p w14:paraId="42906C2B" w14:textId="4CF88659" w:rsidR="00984009" w:rsidRPr="00984009" w:rsidRDefault="00984009" w:rsidP="00635B89">
      <w:pPr>
        <w:pStyle w:val="Heading2"/>
      </w:pPr>
      <w:bookmarkStart w:id="58" w:name="_Toc204981515"/>
      <w:r>
        <w:lastRenderedPageBreak/>
        <w:t>6.2.4 Thematic</w:t>
      </w:r>
      <w:r w:rsidRPr="00984009">
        <w:t xml:space="preserve"> Coding Summary Table</w:t>
      </w:r>
      <w:bookmarkEnd w:id="58"/>
    </w:p>
    <w:p w14:paraId="2A8EAE3B" w14:textId="7546D028" w:rsidR="003E0F87" w:rsidRPr="00FE7D86" w:rsidRDefault="009E7720" w:rsidP="00FB38A5">
      <w:pPr>
        <w:jc w:val="left"/>
        <w:rPr>
          <w:rFonts w:ascii="Arial" w:hAnsi="Arial" w:cs="Arial"/>
          <w:b/>
          <w:bCs/>
          <w:i/>
          <w:iCs/>
        </w:rPr>
      </w:pPr>
      <w:r w:rsidRPr="00460200">
        <w:rPr>
          <w:b/>
          <w:bCs/>
          <w:noProof/>
          <w:color w:val="00B050"/>
        </w:rPr>
        <w:drawing>
          <wp:anchor distT="0" distB="0" distL="114300" distR="114300" simplePos="0" relativeHeight="251700224" behindDoc="0" locked="0" layoutInCell="1" allowOverlap="1" wp14:anchorId="4F8D44EA" wp14:editId="3CC2DC7C">
            <wp:simplePos x="0" y="0"/>
            <wp:positionH relativeFrom="column">
              <wp:posOffset>-32657</wp:posOffset>
            </wp:positionH>
            <wp:positionV relativeFrom="paragraph">
              <wp:posOffset>45084</wp:posOffset>
            </wp:positionV>
            <wp:extent cx="8044180" cy="5377543"/>
            <wp:effectExtent l="0" t="0" r="0" b="0"/>
            <wp:wrapSquare wrapText="bothSides"/>
            <wp:docPr id="1338057466" name="Picture 1" descr="A white sheet with text and a checkl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057466" name="Picture 1" descr="A white sheet with text and a checklist&#10;&#10;AI-generated content may be incorrect."/>
                    <pic:cNvPicPr/>
                  </pic:nvPicPr>
                  <pic:blipFill>
                    <a:blip r:embed="rId214">
                      <a:extLst>
                        <a:ext uri="{28A0092B-C50C-407E-A947-70E740481C1C}">
                          <a14:useLocalDpi xmlns:a14="http://schemas.microsoft.com/office/drawing/2010/main" val="0"/>
                        </a:ext>
                      </a:extLst>
                    </a:blip>
                    <a:stretch>
                      <a:fillRect/>
                    </a:stretch>
                  </pic:blipFill>
                  <pic:spPr>
                    <a:xfrm>
                      <a:off x="0" y="0"/>
                      <a:ext cx="8044180" cy="5377543"/>
                    </a:xfrm>
                    <a:prstGeom prst="rect">
                      <a:avLst/>
                    </a:prstGeom>
                  </pic:spPr>
                </pic:pic>
              </a:graphicData>
            </a:graphic>
            <wp14:sizeRelH relativeFrom="page">
              <wp14:pctWidth>0</wp14:pctWidth>
            </wp14:sizeRelH>
            <wp14:sizeRelV relativeFrom="page">
              <wp14:pctHeight>0</wp14:pctHeight>
            </wp14:sizeRelV>
          </wp:anchor>
        </w:drawing>
      </w:r>
      <w:r w:rsidR="0015381D" w:rsidRPr="00FE7D86">
        <w:rPr>
          <w:rFonts w:ascii="Arial" w:hAnsi="Arial" w:cs="Arial"/>
          <w:b/>
          <w:bCs/>
          <w:i/>
          <w:iCs/>
        </w:rPr>
        <w:br/>
      </w:r>
    </w:p>
    <w:p w14:paraId="3EBEC4A8" w14:textId="25917481" w:rsidR="003E0F87" w:rsidRDefault="003E0F87" w:rsidP="003E0F87"/>
    <w:p w14:paraId="36EF6E36" w14:textId="246B7E86" w:rsidR="006905A4" w:rsidRDefault="006905A4" w:rsidP="003E0F87"/>
    <w:p w14:paraId="01BF72B4" w14:textId="741BED2B" w:rsidR="006905A4" w:rsidRDefault="006905A4" w:rsidP="003E0F87"/>
    <w:p w14:paraId="1F74E184" w14:textId="6352351B" w:rsidR="006905A4" w:rsidRDefault="006905A4" w:rsidP="003E0F87"/>
    <w:p w14:paraId="272FA18D" w14:textId="54864706" w:rsidR="006905A4" w:rsidRDefault="006905A4" w:rsidP="003E0F87"/>
    <w:p w14:paraId="0F05AE53" w14:textId="03E6C3DC" w:rsidR="006905A4" w:rsidRDefault="006905A4" w:rsidP="003E0F87"/>
    <w:p w14:paraId="7D83E5BC" w14:textId="77777777" w:rsidR="006905A4" w:rsidRDefault="006905A4" w:rsidP="003E0F87"/>
    <w:p w14:paraId="5C2035F9" w14:textId="4E42CFCC" w:rsidR="006905A4" w:rsidRDefault="006905A4" w:rsidP="003E0F87"/>
    <w:p w14:paraId="198D0B07" w14:textId="77777777" w:rsidR="006905A4" w:rsidRDefault="006905A4" w:rsidP="003E0F87"/>
    <w:p w14:paraId="638DA4C4" w14:textId="77777777" w:rsidR="006905A4" w:rsidRDefault="006905A4" w:rsidP="003E0F87"/>
    <w:p w14:paraId="58277984" w14:textId="77777777" w:rsidR="006905A4" w:rsidRDefault="006905A4" w:rsidP="003E0F87"/>
    <w:p w14:paraId="749CE91B" w14:textId="0B8273B2" w:rsidR="006905A4" w:rsidRDefault="006905A4" w:rsidP="003E0F87"/>
    <w:p w14:paraId="37698463" w14:textId="0A8399F6" w:rsidR="006905A4" w:rsidRDefault="006905A4" w:rsidP="003E0F87"/>
    <w:p w14:paraId="78802522" w14:textId="1E067F52" w:rsidR="00317FD4" w:rsidRDefault="00317FD4" w:rsidP="003E0F87"/>
    <w:p w14:paraId="3D445B67" w14:textId="63D648D2" w:rsidR="00317FD4" w:rsidRPr="00FE7D86" w:rsidRDefault="00F0325F" w:rsidP="00535D73">
      <w:pPr>
        <w:pStyle w:val="Heading2"/>
      </w:pPr>
      <w:bookmarkStart w:id="59" w:name="_Toc204981516"/>
      <w:r w:rsidRPr="00FE7D86">
        <w:lastRenderedPageBreak/>
        <w:drawing>
          <wp:anchor distT="0" distB="0" distL="114300" distR="114300" simplePos="0" relativeHeight="251641344" behindDoc="0" locked="0" layoutInCell="1" allowOverlap="1" wp14:anchorId="049509D4" wp14:editId="2A08869D">
            <wp:simplePos x="0" y="0"/>
            <wp:positionH relativeFrom="column">
              <wp:posOffset>-762000</wp:posOffset>
            </wp:positionH>
            <wp:positionV relativeFrom="paragraph">
              <wp:posOffset>356779</wp:posOffset>
            </wp:positionV>
            <wp:extent cx="10340975" cy="5365750"/>
            <wp:effectExtent l="0" t="0" r="3175" b="6350"/>
            <wp:wrapSquare wrapText="bothSides"/>
            <wp:docPr id="1968022662" name="Picture 1" descr="A chart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022662" name="Picture 1" descr="A chart with different colored squares&#10;&#10;AI-generated content may be incorrect."/>
                    <pic:cNvPicPr/>
                  </pic:nvPicPr>
                  <pic:blipFill>
                    <a:blip r:embed="rId215">
                      <a:extLst>
                        <a:ext uri="{28A0092B-C50C-407E-A947-70E740481C1C}">
                          <a14:useLocalDpi xmlns:a14="http://schemas.microsoft.com/office/drawing/2010/main" val="0"/>
                        </a:ext>
                      </a:extLst>
                    </a:blip>
                    <a:stretch>
                      <a:fillRect/>
                    </a:stretch>
                  </pic:blipFill>
                  <pic:spPr>
                    <a:xfrm>
                      <a:off x="0" y="0"/>
                      <a:ext cx="10340975" cy="5365750"/>
                    </a:xfrm>
                    <a:prstGeom prst="rect">
                      <a:avLst/>
                    </a:prstGeom>
                  </pic:spPr>
                </pic:pic>
              </a:graphicData>
            </a:graphic>
            <wp14:sizeRelH relativeFrom="page">
              <wp14:pctWidth>0</wp14:pctWidth>
            </wp14:sizeRelH>
            <wp14:sizeRelV relativeFrom="page">
              <wp14:pctHeight>0</wp14:pctHeight>
            </wp14:sizeRelV>
          </wp:anchor>
        </w:drawing>
      </w:r>
      <w:r w:rsidR="00535D73">
        <w:t>6.2.5 Results Summary Table</w:t>
      </w:r>
      <w:bookmarkEnd w:id="59"/>
      <w:r w:rsidR="00535D73">
        <w:t xml:space="preserve"> </w:t>
      </w:r>
    </w:p>
    <w:p w14:paraId="2A46F8FF" w14:textId="08BEAB45" w:rsidR="003C1D75" w:rsidRDefault="00426D15" w:rsidP="00B55768">
      <w:pPr>
        <w:rPr>
          <w:rFonts w:ascii="Arial" w:hAnsi="Arial" w:cs="Arial"/>
          <w:b/>
          <w:bCs/>
        </w:rPr>
      </w:pPr>
      <w:r w:rsidRPr="00C21105">
        <w:rPr>
          <w:rFonts w:ascii="Arial" w:hAnsi="Arial" w:cs="Arial"/>
          <w:b/>
          <w:bCs/>
          <w:noProof/>
        </w:rPr>
        <w:lastRenderedPageBreak/>
        <w:drawing>
          <wp:anchor distT="0" distB="0" distL="114300" distR="114300" simplePos="0" relativeHeight="251640320" behindDoc="0" locked="0" layoutInCell="1" allowOverlap="1" wp14:anchorId="72627EFD" wp14:editId="6D8432B7">
            <wp:simplePos x="0" y="0"/>
            <wp:positionH relativeFrom="column">
              <wp:posOffset>-708224</wp:posOffset>
            </wp:positionH>
            <wp:positionV relativeFrom="paragraph">
              <wp:posOffset>607</wp:posOffset>
            </wp:positionV>
            <wp:extent cx="10486390" cy="5679440"/>
            <wp:effectExtent l="0" t="0" r="0" b="0"/>
            <wp:wrapSquare wrapText="bothSides"/>
            <wp:docPr id="256235456" name="Picture 1"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235456" name="Picture 1" descr="A close-up of a chart&#10;&#10;AI-generated content may be incorrect."/>
                    <pic:cNvPicPr/>
                  </pic:nvPicPr>
                  <pic:blipFill>
                    <a:blip r:embed="rId216">
                      <a:extLst>
                        <a:ext uri="{28A0092B-C50C-407E-A947-70E740481C1C}">
                          <a14:useLocalDpi xmlns:a14="http://schemas.microsoft.com/office/drawing/2010/main" val="0"/>
                        </a:ext>
                      </a:extLst>
                    </a:blip>
                    <a:stretch>
                      <a:fillRect/>
                    </a:stretch>
                  </pic:blipFill>
                  <pic:spPr>
                    <a:xfrm>
                      <a:off x="0" y="0"/>
                      <a:ext cx="10486390" cy="5679440"/>
                    </a:xfrm>
                    <a:prstGeom prst="rect">
                      <a:avLst/>
                    </a:prstGeom>
                  </pic:spPr>
                </pic:pic>
              </a:graphicData>
            </a:graphic>
            <wp14:sizeRelH relativeFrom="page">
              <wp14:pctWidth>0</wp14:pctWidth>
            </wp14:sizeRelH>
            <wp14:sizeRelV relativeFrom="page">
              <wp14:pctHeight>0</wp14:pctHeight>
            </wp14:sizeRelV>
          </wp:anchor>
        </w:drawing>
      </w:r>
    </w:p>
    <w:p w14:paraId="566E46C1" w14:textId="240CECCE" w:rsidR="00B55768" w:rsidRPr="00C6098C" w:rsidRDefault="00426D15" w:rsidP="00D01BE0">
      <w:pPr>
        <w:rPr>
          <w:rFonts w:ascii="Arial" w:hAnsi="Arial" w:cs="Arial"/>
          <w:b/>
          <w:bCs/>
        </w:rPr>
      </w:pPr>
      <w:r w:rsidRPr="000C5BB3">
        <w:rPr>
          <w:rFonts w:ascii="Arial" w:hAnsi="Arial" w:cs="Arial"/>
          <w:b/>
          <w:bCs/>
          <w:noProof/>
        </w:rPr>
        <w:lastRenderedPageBreak/>
        <w:drawing>
          <wp:anchor distT="0" distB="0" distL="114300" distR="114300" simplePos="0" relativeHeight="251642368" behindDoc="0" locked="0" layoutInCell="1" allowOverlap="1" wp14:anchorId="74C44CEE" wp14:editId="22FD4DD6">
            <wp:simplePos x="0" y="0"/>
            <wp:positionH relativeFrom="column">
              <wp:posOffset>-746760</wp:posOffset>
            </wp:positionH>
            <wp:positionV relativeFrom="paragraph">
              <wp:posOffset>283</wp:posOffset>
            </wp:positionV>
            <wp:extent cx="10291445" cy="5635625"/>
            <wp:effectExtent l="0" t="0" r="0" b="3175"/>
            <wp:wrapSquare wrapText="bothSides"/>
            <wp:docPr id="674908729" name="Picture 1" descr="A white sheet with colorful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908729" name="Picture 1" descr="A white sheet with colorful squares&#10;&#10;AI-generated content may be incorrect."/>
                    <pic:cNvPicPr/>
                  </pic:nvPicPr>
                  <pic:blipFill>
                    <a:blip r:embed="rId217">
                      <a:extLst>
                        <a:ext uri="{28A0092B-C50C-407E-A947-70E740481C1C}">
                          <a14:useLocalDpi xmlns:a14="http://schemas.microsoft.com/office/drawing/2010/main" val="0"/>
                        </a:ext>
                      </a:extLst>
                    </a:blip>
                    <a:stretch>
                      <a:fillRect/>
                    </a:stretch>
                  </pic:blipFill>
                  <pic:spPr>
                    <a:xfrm>
                      <a:off x="0" y="0"/>
                      <a:ext cx="10291445" cy="5635625"/>
                    </a:xfrm>
                    <a:prstGeom prst="rect">
                      <a:avLst/>
                    </a:prstGeom>
                  </pic:spPr>
                </pic:pic>
              </a:graphicData>
            </a:graphic>
            <wp14:sizeRelH relativeFrom="page">
              <wp14:pctWidth>0</wp14:pctWidth>
            </wp14:sizeRelH>
            <wp14:sizeRelV relativeFrom="page">
              <wp14:pctHeight>0</wp14:pctHeight>
            </wp14:sizeRelV>
          </wp:anchor>
        </w:drawing>
      </w:r>
    </w:p>
    <w:sectPr w:rsidR="00B55768" w:rsidRPr="00C6098C" w:rsidSect="00D01BE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38FC4" w14:textId="77777777" w:rsidR="00643B58" w:rsidRDefault="00643B58" w:rsidP="00211184">
      <w:pPr>
        <w:spacing w:after="0" w:line="240" w:lineRule="auto"/>
      </w:pPr>
      <w:r>
        <w:separator/>
      </w:r>
    </w:p>
  </w:endnote>
  <w:endnote w:type="continuationSeparator" w:id="0">
    <w:p w14:paraId="1508CDAF" w14:textId="77777777" w:rsidR="00643B58" w:rsidRDefault="00643B58"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6269589"/>
      <w:docPartObj>
        <w:docPartGallery w:val="Page Numbers (Bottom of Page)"/>
        <w:docPartUnique/>
      </w:docPartObj>
    </w:sdtPr>
    <w:sdtEndPr>
      <w:rPr>
        <w:noProof/>
      </w:rPr>
    </w:sdtEndPr>
    <w:sdtContent>
      <w:p w14:paraId="2E4C56DD" w14:textId="77777777" w:rsidR="008565E4" w:rsidRDefault="008565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AD3274" w14:textId="77777777" w:rsidR="008565E4" w:rsidRDefault="008565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710267" w14:textId="77777777" w:rsidR="00643B58" w:rsidRDefault="00643B58" w:rsidP="00211184">
      <w:pPr>
        <w:spacing w:after="0" w:line="240" w:lineRule="auto"/>
      </w:pPr>
      <w:r>
        <w:separator/>
      </w:r>
    </w:p>
  </w:footnote>
  <w:footnote w:type="continuationSeparator" w:id="0">
    <w:p w14:paraId="3B817FFA" w14:textId="77777777" w:rsidR="00643B58" w:rsidRDefault="00643B58"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21AF6"/>
    <w:multiLevelType w:val="multilevel"/>
    <w:tmpl w:val="FFB2D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2433DE"/>
    <w:multiLevelType w:val="multilevel"/>
    <w:tmpl w:val="09185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DA4B88"/>
    <w:multiLevelType w:val="multilevel"/>
    <w:tmpl w:val="C38C4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CB7CB9"/>
    <w:multiLevelType w:val="multilevel"/>
    <w:tmpl w:val="2340CFF0"/>
    <w:lvl w:ilvl="0">
      <w:start w:val="3"/>
      <w:numFmt w:val="decimal"/>
      <w:lvlText w:val="%1"/>
      <w:lvlJc w:val="left"/>
      <w:pPr>
        <w:ind w:left="555" w:hanging="555"/>
      </w:pPr>
      <w:rPr>
        <w:rFonts w:hint="default"/>
        <w:sz w:val="24"/>
      </w:rPr>
    </w:lvl>
    <w:lvl w:ilvl="1">
      <w:start w:val="2"/>
      <w:numFmt w:val="decimal"/>
      <w:lvlText w:val="%1.%2"/>
      <w:lvlJc w:val="left"/>
      <w:pPr>
        <w:ind w:left="720" w:hanging="720"/>
      </w:pPr>
      <w:rPr>
        <w:rFonts w:hint="default"/>
        <w:sz w:val="24"/>
      </w:rPr>
    </w:lvl>
    <w:lvl w:ilvl="2">
      <w:start w:val="4"/>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440" w:hanging="144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9" w15:restartNumberingAfterBreak="0">
    <w:nsid w:val="1C226C91"/>
    <w:multiLevelType w:val="multilevel"/>
    <w:tmpl w:val="64C8E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D932D5"/>
    <w:multiLevelType w:val="multilevel"/>
    <w:tmpl w:val="CAA23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315D0E"/>
    <w:multiLevelType w:val="multilevel"/>
    <w:tmpl w:val="6F9ABEC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B07E3A"/>
    <w:multiLevelType w:val="multilevel"/>
    <w:tmpl w:val="9DC62BFE"/>
    <w:lvl w:ilvl="0">
      <w:start w:val="1"/>
      <w:numFmt w:val="decimal"/>
      <w:lvlText w:val="%1"/>
      <w:lvlJc w:val="left"/>
      <w:pPr>
        <w:ind w:left="360" w:hanging="360"/>
      </w:pPr>
      <w:rPr>
        <w:rFonts w:eastAsiaTheme="majorEastAsia" w:hint="default"/>
        <w:i/>
      </w:rPr>
    </w:lvl>
    <w:lvl w:ilvl="1">
      <w:start w:val="1"/>
      <w:numFmt w:val="decimal"/>
      <w:lvlText w:val="%1.%2"/>
      <w:lvlJc w:val="left"/>
      <w:pPr>
        <w:ind w:left="360" w:hanging="360"/>
      </w:pPr>
      <w:rPr>
        <w:rFonts w:eastAsiaTheme="majorEastAsia" w:hint="default"/>
        <w:i/>
        <w:iCs/>
        <w:color w:val="000000" w:themeColor="text1"/>
        <w:sz w:val="22"/>
        <w:szCs w:val="22"/>
      </w:rPr>
    </w:lvl>
    <w:lvl w:ilvl="2">
      <w:start w:val="1"/>
      <w:numFmt w:val="decimal"/>
      <w:lvlText w:val="%1.%2.%3"/>
      <w:lvlJc w:val="left"/>
      <w:pPr>
        <w:ind w:left="720" w:hanging="720"/>
      </w:pPr>
      <w:rPr>
        <w:rFonts w:eastAsiaTheme="majorEastAsia" w:hint="default"/>
        <w:i/>
      </w:rPr>
    </w:lvl>
    <w:lvl w:ilvl="3">
      <w:start w:val="1"/>
      <w:numFmt w:val="decimal"/>
      <w:lvlText w:val="%1.%2.%3.%4"/>
      <w:lvlJc w:val="left"/>
      <w:pPr>
        <w:ind w:left="720" w:hanging="720"/>
      </w:pPr>
      <w:rPr>
        <w:rFonts w:eastAsiaTheme="majorEastAsia" w:hint="default"/>
        <w:i/>
      </w:rPr>
    </w:lvl>
    <w:lvl w:ilvl="4">
      <w:start w:val="1"/>
      <w:numFmt w:val="decimal"/>
      <w:lvlText w:val="%1.%2.%3.%4.%5"/>
      <w:lvlJc w:val="left"/>
      <w:pPr>
        <w:ind w:left="1080" w:hanging="1080"/>
      </w:pPr>
      <w:rPr>
        <w:rFonts w:eastAsiaTheme="majorEastAsia" w:hint="default"/>
        <w:i/>
      </w:rPr>
    </w:lvl>
    <w:lvl w:ilvl="5">
      <w:start w:val="1"/>
      <w:numFmt w:val="decimal"/>
      <w:lvlText w:val="%1.%2.%3.%4.%5.%6"/>
      <w:lvlJc w:val="left"/>
      <w:pPr>
        <w:ind w:left="1080" w:hanging="1080"/>
      </w:pPr>
      <w:rPr>
        <w:rFonts w:eastAsiaTheme="majorEastAsia" w:hint="default"/>
        <w:i/>
      </w:rPr>
    </w:lvl>
    <w:lvl w:ilvl="6">
      <w:start w:val="1"/>
      <w:numFmt w:val="decimal"/>
      <w:lvlText w:val="%1.%2.%3.%4.%5.%6.%7"/>
      <w:lvlJc w:val="left"/>
      <w:pPr>
        <w:ind w:left="1440" w:hanging="1440"/>
      </w:pPr>
      <w:rPr>
        <w:rFonts w:eastAsiaTheme="majorEastAsia" w:hint="default"/>
        <w:i/>
      </w:rPr>
    </w:lvl>
    <w:lvl w:ilvl="7">
      <w:start w:val="1"/>
      <w:numFmt w:val="decimal"/>
      <w:lvlText w:val="%1.%2.%3.%4.%5.%6.%7.%8"/>
      <w:lvlJc w:val="left"/>
      <w:pPr>
        <w:ind w:left="1440" w:hanging="1440"/>
      </w:pPr>
      <w:rPr>
        <w:rFonts w:eastAsiaTheme="majorEastAsia" w:hint="default"/>
        <w:i/>
      </w:rPr>
    </w:lvl>
    <w:lvl w:ilvl="8">
      <w:start w:val="1"/>
      <w:numFmt w:val="decimal"/>
      <w:lvlText w:val="%1.%2.%3.%4.%5.%6.%7.%8.%9"/>
      <w:lvlJc w:val="left"/>
      <w:pPr>
        <w:ind w:left="1800" w:hanging="1800"/>
      </w:pPr>
      <w:rPr>
        <w:rFonts w:eastAsiaTheme="majorEastAsia" w:hint="default"/>
        <w:i/>
      </w:rPr>
    </w:lvl>
  </w:abstractNum>
  <w:abstractNum w:abstractNumId="28"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C8612E"/>
    <w:multiLevelType w:val="multilevel"/>
    <w:tmpl w:val="7D0E028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b/>
        <w:bCs/>
        <w:i/>
        <w:iCs/>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437F6C"/>
    <w:multiLevelType w:val="multilevel"/>
    <w:tmpl w:val="64268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5"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4"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42"/>
  </w:num>
  <w:num w:numId="2" w16cid:durableId="1500121260">
    <w:abstractNumId w:val="25"/>
  </w:num>
  <w:num w:numId="3" w16cid:durableId="438111508">
    <w:abstractNumId w:val="39"/>
  </w:num>
  <w:num w:numId="4" w16cid:durableId="424033359">
    <w:abstractNumId w:val="22"/>
  </w:num>
  <w:num w:numId="5" w16cid:durableId="1335066293">
    <w:abstractNumId w:val="36"/>
  </w:num>
  <w:num w:numId="6" w16cid:durableId="662587085">
    <w:abstractNumId w:val="18"/>
  </w:num>
  <w:num w:numId="7" w16cid:durableId="2071072074">
    <w:abstractNumId w:val="34"/>
  </w:num>
  <w:num w:numId="8" w16cid:durableId="1573662111">
    <w:abstractNumId w:val="43"/>
  </w:num>
  <w:num w:numId="9" w16cid:durableId="131678057">
    <w:abstractNumId w:val="40"/>
  </w:num>
  <w:num w:numId="10" w16cid:durableId="2103643901">
    <w:abstractNumId w:val="33"/>
  </w:num>
  <w:num w:numId="11" w16cid:durableId="99565733">
    <w:abstractNumId w:val="14"/>
  </w:num>
  <w:num w:numId="12" w16cid:durableId="834734195">
    <w:abstractNumId w:val="8"/>
  </w:num>
  <w:num w:numId="13" w16cid:durableId="853808558">
    <w:abstractNumId w:val="27"/>
  </w:num>
  <w:num w:numId="14" w16cid:durableId="1018001623">
    <w:abstractNumId w:val="17"/>
  </w:num>
  <w:num w:numId="15" w16cid:durableId="1810784339">
    <w:abstractNumId w:val="29"/>
  </w:num>
  <w:num w:numId="16" w16cid:durableId="1491748033">
    <w:abstractNumId w:val="32"/>
  </w:num>
  <w:num w:numId="17" w16cid:durableId="670565925">
    <w:abstractNumId w:val="6"/>
  </w:num>
  <w:num w:numId="18" w16cid:durableId="211696971">
    <w:abstractNumId w:val="13"/>
  </w:num>
  <w:num w:numId="19" w16cid:durableId="1773429901">
    <w:abstractNumId w:val="21"/>
  </w:num>
  <w:num w:numId="20" w16cid:durableId="804733676">
    <w:abstractNumId w:val="15"/>
  </w:num>
  <w:num w:numId="21" w16cid:durableId="488864096">
    <w:abstractNumId w:val="37"/>
  </w:num>
  <w:num w:numId="22" w16cid:durableId="1599749197">
    <w:abstractNumId w:val="20"/>
  </w:num>
  <w:num w:numId="23" w16cid:durableId="1726679607">
    <w:abstractNumId w:val="11"/>
  </w:num>
  <w:num w:numId="24" w16cid:durableId="1630209448">
    <w:abstractNumId w:val="23"/>
  </w:num>
  <w:num w:numId="25" w16cid:durableId="928663234">
    <w:abstractNumId w:val="28"/>
  </w:num>
  <w:num w:numId="26" w16cid:durableId="2017072952">
    <w:abstractNumId w:val="30"/>
  </w:num>
  <w:num w:numId="27" w16cid:durableId="58405484">
    <w:abstractNumId w:val="16"/>
  </w:num>
  <w:num w:numId="28" w16cid:durableId="1817530714">
    <w:abstractNumId w:val="3"/>
  </w:num>
  <w:num w:numId="29" w16cid:durableId="2141336387">
    <w:abstractNumId w:val="26"/>
  </w:num>
  <w:num w:numId="30" w16cid:durableId="1325282792">
    <w:abstractNumId w:val="1"/>
  </w:num>
  <w:num w:numId="31" w16cid:durableId="1319654748">
    <w:abstractNumId w:val="31"/>
  </w:num>
  <w:num w:numId="32" w16cid:durableId="556555801">
    <w:abstractNumId w:val="0"/>
  </w:num>
  <w:num w:numId="33" w16cid:durableId="1903828627">
    <w:abstractNumId w:val="4"/>
  </w:num>
  <w:num w:numId="34" w16cid:durableId="281425930">
    <w:abstractNumId w:val="24"/>
  </w:num>
  <w:num w:numId="35" w16cid:durableId="1491553762">
    <w:abstractNumId w:val="19"/>
  </w:num>
  <w:num w:numId="36" w16cid:durableId="965625632">
    <w:abstractNumId w:val="35"/>
  </w:num>
  <w:num w:numId="37" w16cid:durableId="1481145624">
    <w:abstractNumId w:val="45"/>
  </w:num>
  <w:num w:numId="38" w16cid:durableId="29957555">
    <w:abstractNumId w:val="44"/>
  </w:num>
  <w:num w:numId="39" w16cid:durableId="1042821728">
    <w:abstractNumId w:val="38"/>
  </w:num>
  <w:num w:numId="40" w16cid:durableId="633143735">
    <w:abstractNumId w:val="41"/>
  </w:num>
  <w:num w:numId="41" w16cid:durableId="1100951892">
    <w:abstractNumId w:val="12"/>
  </w:num>
  <w:num w:numId="42" w16cid:durableId="1721400321">
    <w:abstractNumId w:val="10"/>
  </w:num>
  <w:num w:numId="43" w16cid:durableId="347559986">
    <w:abstractNumId w:val="5"/>
  </w:num>
  <w:num w:numId="44" w16cid:durableId="1454787405">
    <w:abstractNumId w:val="7"/>
  </w:num>
  <w:num w:numId="45" w16cid:durableId="592857018">
    <w:abstractNumId w:val="9"/>
  </w:num>
  <w:num w:numId="46" w16cid:durableId="1895238417">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00E8"/>
    <w:rsid w:val="0000056B"/>
    <w:rsid w:val="000011EC"/>
    <w:rsid w:val="00001DF8"/>
    <w:rsid w:val="0000384A"/>
    <w:rsid w:val="00003C86"/>
    <w:rsid w:val="000047CD"/>
    <w:rsid w:val="000047FE"/>
    <w:rsid w:val="00006001"/>
    <w:rsid w:val="000069EC"/>
    <w:rsid w:val="00006B9A"/>
    <w:rsid w:val="00010C1C"/>
    <w:rsid w:val="000112BB"/>
    <w:rsid w:val="00011855"/>
    <w:rsid w:val="00011E86"/>
    <w:rsid w:val="00012592"/>
    <w:rsid w:val="00013B8B"/>
    <w:rsid w:val="00013CF8"/>
    <w:rsid w:val="000142BF"/>
    <w:rsid w:val="00014BAF"/>
    <w:rsid w:val="00015613"/>
    <w:rsid w:val="00015918"/>
    <w:rsid w:val="000161F5"/>
    <w:rsid w:val="000162AC"/>
    <w:rsid w:val="0002042D"/>
    <w:rsid w:val="0002068D"/>
    <w:rsid w:val="00020999"/>
    <w:rsid w:val="00020A5D"/>
    <w:rsid w:val="00021DF2"/>
    <w:rsid w:val="00022393"/>
    <w:rsid w:val="0002266F"/>
    <w:rsid w:val="00022DB5"/>
    <w:rsid w:val="00023516"/>
    <w:rsid w:val="0002436C"/>
    <w:rsid w:val="000248CF"/>
    <w:rsid w:val="00024A28"/>
    <w:rsid w:val="000252C3"/>
    <w:rsid w:val="00026177"/>
    <w:rsid w:val="000264A2"/>
    <w:rsid w:val="000269B5"/>
    <w:rsid w:val="00026DE1"/>
    <w:rsid w:val="000275E9"/>
    <w:rsid w:val="00027B54"/>
    <w:rsid w:val="00027C84"/>
    <w:rsid w:val="000325CD"/>
    <w:rsid w:val="00032CC3"/>
    <w:rsid w:val="00033B2C"/>
    <w:rsid w:val="00034953"/>
    <w:rsid w:val="00035749"/>
    <w:rsid w:val="00036610"/>
    <w:rsid w:val="00037002"/>
    <w:rsid w:val="0004024E"/>
    <w:rsid w:val="000405E4"/>
    <w:rsid w:val="00042C9F"/>
    <w:rsid w:val="00043D97"/>
    <w:rsid w:val="000450BB"/>
    <w:rsid w:val="000452BA"/>
    <w:rsid w:val="0004558F"/>
    <w:rsid w:val="000455BA"/>
    <w:rsid w:val="0004608A"/>
    <w:rsid w:val="00046598"/>
    <w:rsid w:val="00047DE8"/>
    <w:rsid w:val="000511F5"/>
    <w:rsid w:val="00051BED"/>
    <w:rsid w:val="00054D42"/>
    <w:rsid w:val="00055017"/>
    <w:rsid w:val="0005623E"/>
    <w:rsid w:val="00056B40"/>
    <w:rsid w:val="00056B6A"/>
    <w:rsid w:val="00057068"/>
    <w:rsid w:val="0006133E"/>
    <w:rsid w:val="000613F1"/>
    <w:rsid w:val="00062E87"/>
    <w:rsid w:val="0006302D"/>
    <w:rsid w:val="00063B4C"/>
    <w:rsid w:val="000640D2"/>
    <w:rsid w:val="000642E9"/>
    <w:rsid w:val="00064409"/>
    <w:rsid w:val="00064B47"/>
    <w:rsid w:val="00065525"/>
    <w:rsid w:val="000656CF"/>
    <w:rsid w:val="00065C2C"/>
    <w:rsid w:val="00065C5F"/>
    <w:rsid w:val="00065C9D"/>
    <w:rsid w:val="0006675C"/>
    <w:rsid w:val="00066929"/>
    <w:rsid w:val="00066BC9"/>
    <w:rsid w:val="0006702D"/>
    <w:rsid w:val="00067095"/>
    <w:rsid w:val="00067119"/>
    <w:rsid w:val="0006723C"/>
    <w:rsid w:val="00071FC2"/>
    <w:rsid w:val="000733A1"/>
    <w:rsid w:val="00073533"/>
    <w:rsid w:val="000758F8"/>
    <w:rsid w:val="00075AB7"/>
    <w:rsid w:val="00075AF7"/>
    <w:rsid w:val="00076085"/>
    <w:rsid w:val="00076BB7"/>
    <w:rsid w:val="000772CC"/>
    <w:rsid w:val="00077686"/>
    <w:rsid w:val="00077989"/>
    <w:rsid w:val="00083B07"/>
    <w:rsid w:val="00085488"/>
    <w:rsid w:val="0008620C"/>
    <w:rsid w:val="00087481"/>
    <w:rsid w:val="0008757C"/>
    <w:rsid w:val="00087D13"/>
    <w:rsid w:val="00090835"/>
    <w:rsid w:val="000911B1"/>
    <w:rsid w:val="000914AC"/>
    <w:rsid w:val="0009236F"/>
    <w:rsid w:val="0009516A"/>
    <w:rsid w:val="0009573D"/>
    <w:rsid w:val="00095B8A"/>
    <w:rsid w:val="00095E5E"/>
    <w:rsid w:val="00096D4D"/>
    <w:rsid w:val="0009765A"/>
    <w:rsid w:val="000A0A6C"/>
    <w:rsid w:val="000A1117"/>
    <w:rsid w:val="000A1A9F"/>
    <w:rsid w:val="000A1C3F"/>
    <w:rsid w:val="000A2445"/>
    <w:rsid w:val="000A2F30"/>
    <w:rsid w:val="000A2F7C"/>
    <w:rsid w:val="000A3BBC"/>
    <w:rsid w:val="000A3ECA"/>
    <w:rsid w:val="000A45DD"/>
    <w:rsid w:val="000A45E9"/>
    <w:rsid w:val="000A4708"/>
    <w:rsid w:val="000A48CC"/>
    <w:rsid w:val="000A4BF1"/>
    <w:rsid w:val="000A563F"/>
    <w:rsid w:val="000B00D8"/>
    <w:rsid w:val="000B0338"/>
    <w:rsid w:val="000B0F65"/>
    <w:rsid w:val="000B21F8"/>
    <w:rsid w:val="000B4E23"/>
    <w:rsid w:val="000B4F82"/>
    <w:rsid w:val="000B4FF0"/>
    <w:rsid w:val="000B5C09"/>
    <w:rsid w:val="000B6292"/>
    <w:rsid w:val="000B68A1"/>
    <w:rsid w:val="000B78AE"/>
    <w:rsid w:val="000C1137"/>
    <w:rsid w:val="000C1311"/>
    <w:rsid w:val="000C21C4"/>
    <w:rsid w:val="000C222E"/>
    <w:rsid w:val="000C323F"/>
    <w:rsid w:val="000C3281"/>
    <w:rsid w:val="000C3814"/>
    <w:rsid w:val="000C4CDB"/>
    <w:rsid w:val="000C5096"/>
    <w:rsid w:val="000C51C9"/>
    <w:rsid w:val="000C597D"/>
    <w:rsid w:val="000C5A49"/>
    <w:rsid w:val="000C5BB3"/>
    <w:rsid w:val="000C5FC9"/>
    <w:rsid w:val="000C61C3"/>
    <w:rsid w:val="000D05D8"/>
    <w:rsid w:val="000D0601"/>
    <w:rsid w:val="000D0641"/>
    <w:rsid w:val="000D083E"/>
    <w:rsid w:val="000D0F2E"/>
    <w:rsid w:val="000D18EA"/>
    <w:rsid w:val="000D2B00"/>
    <w:rsid w:val="000D2D8F"/>
    <w:rsid w:val="000D3503"/>
    <w:rsid w:val="000D418F"/>
    <w:rsid w:val="000D455B"/>
    <w:rsid w:val="000D4798"/>
    <w:rsid w:val="000D4C20"/>
    <w:rsid w:val="000D57A4"/>
    <w:rsid w:val="000D6368"/>
    <w:rsid w:val="000D6B64"/>
    <w:rsid w:val="000E075C"/>
    <w:rsid w:val="000E203B"/>
    <w:rsid w:val="000E209B"/>
    <w:rsid w:val="000E2130"/>
    <w:rsid w:val="000E249D"/>
    <w:rsid w:val="000E337F"/>
    <w:rsid w:val="000E45C4"/>
    <w:rsid w:val="000E48EB"/>
    <w:rsid w:val="000E492F"/>
    <w:rsid w:val="000E60B0"/>
    <w:rsid w:val="000E69F0"/>
    <w:rsid w:val="000E7027"/>
    <w:rsid w:val="000E7343"/>
    <w:rsid w:val="000E73F1"/>
    <w:rsid w:val="000E7C7F"/>
    <w:rsid w:val="000E7DA6"/>
    <w:rsid w:val="000F0F93"/>
    <w:rsid w:val="000F1BA0"/>
    <w:rsid w:val="000F28C9"/>
    <w:rsid w:val="000F3110"/>
    <w:rsid w:val="000F3D94"/>
    <w:rsid w:val="000F47D1"/>
    <w:rsid w:val="000F53C0"/>
    <w:rsid w:val="000F5D0E"/>
    <w:rsid w:val="000F6D37"/>
    <w:rsid w:val="00100F67"/>
    <w:rsid w:val="0010130A"/>
    <w:rsid w:val="00101D2A"/>
    <w:rsid w:val="0010235A"/>
    <w:rsid w:val="00102523"/>
    <w:rsid w:val="00102EF6"/>
    <w:rsid w:val="001037BB"/>
    <w:rsid w:val="00103ACB"/>
    <w:rsid w:val="00104E81"/>
    <w:rsid w:val="001052B8"/>
    <w:rsid w:val="001060BA"/>
    <w:rsid w:val="0010676C"/>
    <w:rsid w:val="00106B60"/>
    <w:rsid w:val="0010781D"/>
    <w:rsid w:val="001108F4"/>
    <w:rsid w:val="00110F0F"/>
    <w:rsid w:val="0011171F"/>
    <w:rsid w:val="0011196A"/>
    <w:rsid w:val="00111FF8"/>
    <w:rsid w:val="001124C0"/>
    <w:rsid w:val="00112512"/>
    <w:rsid w:val="001138F3"/>
    <w:rsid w:val="001142D4"/>
    <w:rsid w:val="00114391"/>
    <w:rsid w:val="0011517B"/>
    <w:rsid w:val="001153DD"/>
    <w:rsid w:val="00115CCD"/>
    <w:rsid w:val="00115E0D"/>
    <w:rsid w:val="001167A6"/>
    <w:rsid w:val="00116B45"/>
    <w:rsid w:val="00116D95"/>
    <w:rsid w:val="00116E21"/>
    <w:rsid w:val="00120C3A"/>
    <w:rsid w:val="00121E7B"/>
    <w:rsid w:val="001220DB"/>
    <w:rsid w:val="00122940"/>
    <w:rsid w:val="00122BA4"/>
    <w:rsid w:val="00122BC3"/>
    <w:rsid w:val="0012344A"/>
    <w:rsid w:val="00123464"/>
    <w:rsid w:val="00123A4E"/>
    <w:rsid w:val="00123BF0"/>
    <w:rsid w:val="00123D9B"/>
    <w:rsid w:val="00124DEF"/>
    <w:rsid w:val="00125892"/>
    <w:rsid w:val="00126127"/>
    <w:rsid w:val="0012680A"/>
    <w:rsid w:val="00126BBA"/>
    <w:rsid w:val="00126C89"/>
    <w:rsid w:val="00126F5A"/>
    <w:rsid w:val="00130144"/>
    <w:rsid w:val="001304C3"/>
    <w:rsid w:val="00131C8B"/>
    <w:rsid w:val="001327D5"/>
    <w:rsid w:val="001332EA"/>
    <w:rsid w:val="00133A02"/>
    <w:rsid w:val="00134041"/>
    <w:rsid w:val="00134CCB"/>
    <w:rsid w:val="0013512E"/>
    <w:rsid w:val="0013597C"/>
    <w:rsid w:val="00136788"/>
    <w:rsid w:val="001368D5"/>
    <w:rsid w:val="00136AAA"/>
    <w:rsid w:val="00136BB6"/>
    <w:rsid w:val="001374C9"/>
    <w:rsid w:val="001375DB"/>
    <w:rsid w:val="001402EC"/>
    <w:rsid w:val="0014146B"/>
    <w:rsid w:val="00142F08"/>
    <w:rsid w:val="00143912"/>
    <w:rsid w:val="00144775"/>
    <w:rsid w:val="00144EF1"/>
    <w:rsid w:val="0014524B"/>
    <w:rsid w:val="0014577C"/>
    <w:rsid w:val="0015022C"/>
    <w:rsid w:val="0015186E"/>
    <w:rsid w:val="001528B3"/>
    <w:rsid w:val="0015381D"/>
    <w:rsid w:val="00154771"/>
    <w:rsid w:val="0015516C"/>
    <w:rsid w:val="001559BC"/>
    <w:rsid w:val="00156B2D"/>
    <w:rsid w:val="00157B51"/>
    <w:rsid w:val="00157C14"/>
    <w:rsid w:val="00160455"/>
    <w:rsid w:val="001607D1"/>
    <w:rsid w:val="001613A1"/>
    <w:rsid w:val="001613D2"/>
    <w:rsid w:val="0016161A"/>
    <w:rsid w:val="001620C9"/>
    <w:rsid w:val="0016414D"/>
    <w:rsid w:val="001641A2"/>
    <w:rsid w:val="00164A55"/>
    <w:rsid w:val="001651BF"/>
    <w:rsid w:val="00165B6C"/>
    <w:rsid w:val="00165C61"/>
    <w:rsid w:val="00166232"/>
    <w:rsid w:val="00171912"/>
    <w:rsid w:val="0017198C"/>
    <w:rsid w:val="00173371"/>
    <w:rsid w:val="00173AE6"/>
    <w:rsid w:val="00173DA4"/>
    <w:rsid w:val="0017490F"/>
    <w:rsid w:val="001756C3"/>
    <w:rsid w:val="0017639F"/>
    <w:rsid w:val="00176731"/>
    <w:rsid w:val="00176753"/>
    <w:rsid w:val="00176AB2"/>
    <w:rsid w:val="00176BC2"/>
    <w:rsid w:val="0018023B"/>
    <w:rsid w:val="0018118E"/>
    <w:rsid w:val="0018195C"/>
    <w:rsid w:val="00181F92"/>
    <w:rsid w:val="00181FEB"/>
    <w:rsid w:val="0018230B"/>
    <w:rsid w:val="001825B5"/>
    <w:rsid w:val="00183139"/>
    <w:rsid w:val="00184D62"/>
    <w:rsid w:val="00185BDF"/>
    <w:rsid w:val="00185D96"/>
    <w:rsid w:val="001869B5"/>
    <w:rsid w:val="001870E7"/>
    <w:rsid w:val="0018724E"/>
    <w:rsid w:val="00187D75"/>
    <w:rsid w:val="0019105A"/>
    <w:rsid w:val="00192141"/>
    <w:rsid w:val="00192E62"/>
    <w:rsid w:val="00193836"/>
    <w:rsid w:val="00193A60"/>
    <w:rsid w:val="00193F41"/>
    <w:rsid w:val="00194781"/>
    <w:rsid w:val="00195F82"/>
    <w:rsid w:val="001962DC"/>
    <w:rsid w:val="00196770"/>
    <w:rsid w:val="001A06CA"/>
    <w:rsid w:val="001A0B4F"/>
    <w:rsid w:val="001A14BD"/>
    <w:rsid w:val="001A36AE"/>
    <w:rsid w:val="001A38CD"/>
    <w:rsid w:val="001A3C70"/>
    <w:rsid w:val="001A4487"/>
    <w:rsid w:val="001A4CC3"/>
    <w:rsid w:val="001A4FE5"/>
    <w:rsid w:val="001A502C"/>
    <w:rsid w:val="001A53AE"/>
    <w:rsid w:val="001A555B"/>
    <w:rsid w:val="001A6099"/>
    <w:rsid w:val="001A6154"/>
    <w:rsid w:val="001A6323"/>
    <w:rsid w:val="001A6718"/>
    <w:rsid w:val="001B0019"/>
    <w:rsid w:val="001B0E14"/>
    <w:rsid w:val="001B1EF6"/>
    <w:rsid w:val="001B23A8"/>
    <w:rsid w:val="001B23F5"/>
    <w:rsid w:val="001B28E9"/>
    <w:rsid w:val="001B2B59"/>
    <w:rsid w:val="001B4956"/>
    <w:rsid w:val="001B5110"/>
    <w:rsid w:val="001B5D2C"/>
    <w:rsid w:val="001B5F0D"/>
    <w:rsid w:val="001B6A31"/>
    <w:rsid w:val="001B6FD3"/>
    <w:rsid w:val="001B762A"/>
    <w:rsid w:val="001C102D"/>
    <w:rsid w:val="001C2D3E"/>
    <w:rsid w:val="001C3AF6"/>
    <w:rsid w:val="001C3EBB"/>
    <w:rsid w:val="001C5421"/>
    <w:rsid w:val="001C5777"/>
    <w:rsid w:val="001C682D"/>
    <w:rsid w:val="001C71AE"/>
    <w:rsid w:val="001C7AAA"/>
    <w:rsid w:val="001C7EFA"/>
    <w:rsid w:val="001D0ADE"/>
    <w:rsid w:val="001D1485"/>
    <w:rsid w:val="001D15DB"/>
    <w:rsid w:val="001D2090"/>
    <w:rsid w:val="001D2844"/>
    <w:rsid w:val="001D295C"/>
    <w:rsid w:val="001D2F92"/>
    <w:rsid w:val="001D3BB8"/>
    <w:rsid w:val="001D3F91"/>
    <w:rsid w:val="001D4724"/>
    <w:rsid w:val="001D4AFD"/>
    <w:rsid w:val="001D4B85"/>
    <w:rsid w:val="001D7956"/>
    <w:rsid w:val="001D79AB"/>
    <w:rsid w:val="001E0080"/>
    <w:rsid w:val="001E0249"/>
    <w:rsid w:val="001E0564"/>
    <w:rsid w:val="001E130B"/>
    <w:rsid w:val="001E1663"/>
    <w:rsid w:val="001E1C36"/>
    <w:rsid w:val="001E1DC7"/>
    <w:rsid w:val="001E23F6"/>
    <w:rsid w:val="001E2545"/>
    <w:rsid w:val="001E394D"/>
    <w:rsid w:val="001E4671"/>
    <w:rsid w:val="001E4873"/>
    <w:rsid w:val="001E4AE7"/>
    <w:rsid w:val="001E568F"/>
    <w:rsid w:val="001E67FB"/>
    <w:rsid w:val="001F04D1"/>
    <w:rsid w:val="001F0709"/>
    <w:rsid w:val="001F0F72"/>
    <w:rsid w:val="001F163A"/>
    <w:rsid w:val="001F18E3"/>
    <w:rsid w:val="001F19A6"/>
    <w:rsid w:val="001F3C61"/>
    <w:rsid w:val="001F4B5E"/>
    <w:rsid w:val="001F5197"/>
    <w:rsid w:val="001F53ED"/>
    <w:rsid w:val="001F5685"/>
    <w:rsid w:val="001F58A6"/>
    <w:rsid w:val="001F7481"/>
    <w:rsid w:val="00200F08"/>
    <w:rsid w:val="002010A5"/>
    <w:rsid w:val="00201598"/>
    <w:rsid w:val="00201717"/>
    <w:rsid w:val="00202107"/>
    <w:rsid w:val="00202232"/>
    <w:rsid w:val="002029E2"/>
    <w:rsid w:val="00202A8B"/>
    <w:rsid w:val="00204048"/>
    <w:rsid w:val="00204397"/>
    <w:rsid w:val="0020606E"/>
    <w:rsid w:val="002067A3"/>
    <w:rsid w:val="00207C27"/>
    <w:rsid w:val="002106B3"/>
    <w:rsid w:val="00211184"/>
    <w:rsid w:val="002116E0"/>
    <w:rsid w:val="002129C1"/>
    <w:rsid w:val="00213581"/>
    <w:rsid w:val="0021364B"/>
    <w:rsid w:val="00213708"/>
    <w:rsid w:val="002140B6"/>
    <w:rsid w:val="00214650"/>
    <w:rsid w:val="0021528A"/>
    <w:rsid w:val="002169D1"/>
    <w:rsid w:val="00217C60"/>
    <w:rsid w:val="00217FB0"/>
    <w:rsid w:val="0022077E"/>
    <w:rsid w:val="00220B88"/>
    <w:rsid w:val="00220BE5"/>
    <w:rsid w:val="00221042"/>
    <w:rsid w:val="00221AD4"/>
    <w:rsid w:val="00221C21"/>
    <w:rsid w:val="00222347"/>
    <w:rsid w:val="002225CA"/>
    <w:rsid w:val="00222C04"/>
    <w:rsid w:val="0022302A"/>
    <w:rsid w:val="0022496F"/>
    <w:rsid w:val="002263EE"/>
    <w:rsid w:val="00227534"/>
    <w:rsid w:val="0022760C"/>
    <w:rsid w:val="00227883"/>
    <w:rsid w:val="0022788D"/>
    <w:rsid w:val="0023048C"/>
    <w:rsid w:val="00231579"/>
    <w:rsid w:val="0023205B"/>
    <w:rsid w:val="00232307"/>
    <w:rsid w:val="00232377"/>
    <w:rsid w:val="00232AAD"/>
    <w:rsid w:val="00233368"/>
    <w:rsid w:val="002335BF"/>
    <w:rsid w:val="002336C5"/>
    <w:rsid w:val="002348AD"/>
    <w:rsid w:val="00234A20"/>
    <w:rsid w:val="00234B4F"/>
    <w:rsid w:val="00234F34"/>
    <w:rsid w:val="00235850"/>
    <w:rsid w:val="00235AB9"/>
    <w:rsid w:val="00235BD4"/>
    <w:rsid w:val="00236203"/>
    <w:rsid w:val="00236288"/>
    <w:rsid w:val="00237C49"/>
    <w:rsid w:val="00237F4C"/>
    <w:rsid w:val="00241977"/>
    <w:rsid w:val="00241AC6"/>
    <w:rsid w:val="0024225D"/>
    <w:rsid w:val="00243804"/>
    <w:rsid w:val="002451CD"/>
    <w:rsid w:val="00246E94"/>
    <w:rsid w:val="0024759F"/>
    <w:rsid w:val="0025020C"/>
    <w:rsid w:val="00250F2F"/>
    <w:rsid w:val="0025102E"/>
    <w:rsid w:val="00251C32"/>
    <w:rsid w:val="00251DD4"/>
    <w:rsid w:val="00251E25"/>
    <w:rsid w:val="00254425"/>
    <w:rsid w:val="002546C1"/>
    <w:rsid w:val="00254F30"/>
    <w:rsid w:val="002553CA"/>
    <w:rsid w:val="00256951"/>
    <w:rsid w:val="00257D4C"/>
    <w:rsid w:val="0026170C"/>
    <w:rsid w:val="002621A6"/>
    <w:rsid w:val="0026257B"/>
    <w:rsid w:val="00262D15"/>
    <w:rsid w:val="00263361"/>
    <w:rsid w:val="00263BAC"/>
    <w:rsid w:val="00263D90"/>
    <w:rsid w:val="00263F7E"/>
    <w:rsid w:val="002645EC"/>
    <w:rsid w:val="00264D4B"/>
    <w:rsid w:val="0026511D"/>
    <w:rsid w:val="00265EEF"/>
    <w:rsid w:val="0026697D"/>
    <w:rsid w:val="00266A49"/>
    <w:rsid w:val="002675CD"/>
    <w:rsid w:val="00267821"/>
    <w:rsid w:val="00270301"/>
    <w:rsid w:val="0027040E"/>
    <w:rsid w:val="00270F36"/>
    <w:rsid w:val="002710C2"/>
    <w:rsid w:val="0027180A"/>
    <w:rsid w:val="002721B7"/>
    <w:rsid w:val="00274702"/>
    <w:rsid w:val="00274799"/>
    <w:rsid w:val="00274997"/>
    <w:rsid w:val="00274E28"/>
    <w:rsid w:val="00275EF2"/>
    <w:rsid w:val="00276C63"/>
    <w:rsid w:val="00280089"/>
    <w:rsid w:val="0028043A"/>
    <w:rsid w:val="002804E9"/>
    <w:rsid w:val="0028310A"/>
    <w:rsid w:val="002833EC"/>
    <w:rsid w:val="0028402D"/>
    <w:rsid w:val="002852FD"/>
    <w:rsid w:val="00285C4C"/>
    <w:rsid w:val="002865F5"/>
    <w:rsid w:val="0028665A"/>
    <w:rsid w:val="00287C4D"/>
    <w:rsid w:val="00287CAE"/>
    <w:rsid w:val="00290257"/>
    <w:rsid w:val="002905DF"/>
    <w:rsid w:val="00290636"/>
    <w:rsid w:val="00290967"/>
    <w:rsid w:val="00290EEA"/>
    <w:rsid w:val="00291F8D"/>
    <w:rsid w:val="00292A36"/>
    <w:rsid w:val="0029364A"/>
    <w:rsid w:val="00293CB5"/>
    <w:rsid w:val="00294A2F"/>
    <w:rsid w:val="00294A64"/>
    <w:rsid w:val="0029595B"/>
    <w:rsid w:val="00297FBB"/>
    <w:rsid w:val="002A04DF"/>
    <w:rsid w:val="002A0735"/>
    <w:rsid w:val="002A09C3"/>
    <w:rsid w:val="002A0D49"/>
    <w:rsid w:val="002A0F75"/>
    <w:rsid w:val="002A0F7B"/>
    <w:rsid w:val="002A1648"/>
    <w:rsid w:val="002A408F"/>
    <w:rsid w:val="002A4255"/>
    <w:rsid w:val="002A4709"/>
    <w:rsid w:val="002A5B85"/>
    <w:rsid w:val="002A6D96"/>
    <w:rsid w:val="002A7304"/>
    <w:rsid w:val="002A762A"/>
    <w:rsid w:val="002A7A2D"/>
    <w:rsid w:val="002B029B"/>
    <w:rsid w:val="002B1768"/>
    <w:rsid w:val="002B199B"/>
    <w:rsid w:val="002B1CE2"/>
    <w:rsid w:val="002B1D14"/>
    <w:rsid w:val="002B1DD2"/>
    <w:rsid w:val="002B3218"/>
    <w:rsid w:val="002B327B"/>
    <w:rsid w:val="002B382D"/>
    <w:rsid w:val="002B4CFE"/>
    <w:rsid w:val="002B5DA0"/>
    <w:rsid w:val="002B6E79"/>
    <w:rsid w:val="002B6EC6"/>
    <w:rsid w:val="002B72C1"/>
    <w:rsid w:val="002B7852"/>
    <w:rsid w:val="002C049B"/>
    <w:rsid w:val="002C05A6"/>
    <w:rsid w:val="002C0B96"/>
    <w:rsid w:val="002C1959"/>
    <w:rsid w:val="002C2575"/>
    <w:rsid w:val="002C2DA0"/>
    <w:rsid w:val="002C30E4"/>
    <w:rsid w:val="002C38AD"/>
    <w:rsid w:val="002C390B"/>
    <w:rsid w:val="002C522A"/>
    <w:rsid w:val="002C5503"/>
    <w:rsid w:val="002C5804"/>
    <w:rsid w:val="002C5CEA"/>
    <w:rsid w:val="002C65F6"/>
    <w:rsid w:val="002C6A07"/>
    <w:rsid w:val="002C6B26"/>
    <w:rsid w:val="002C7FB9"/>
    <w:rsid w:val="002D0C77"/>
    <w:rsid w:val="002D150F"/>
    <w:rsid w:val="002D2334"/>
    <w:rsid w:val="002D25A6"/>
    <w:rsid w:val="002D3758"/>
    <w:rsid w:val="002D577B"/>
    <w:rsid w:val="002D64A3"/>
    <w:rsid w:val="002D6F83"/>
    <w:rsid w:val="002D71D0"/>
    <w:rsid w:val="002D7CA1"/>
    <w:rsid w:val="002E01F7"/>
    <w:rsid w:val="002E054C"/>
    <w:rsid w:val="002E05E6"/>
    <w:rsid w:val="002E07E6"/>
    <w:rsid w:val="002E0E8E"/>
    <w:rsid w:val="002E1A89"/>
    <w:rsid w:val="002E259A"/>
    <w:rsid w:val="002E27E7"/>
    <w:rsid w:val="002E30CE"/>
    <w:rsid w:val="002E4C50"/>
    <w:rsid w:val="002E4F19"/>
    <w:rsid w:val="002E4F46"/>
    <w:rsid w:val="002E69EB"/>
    <w:rsid w:val="002E6FD8"/>
    <w:rsid w:val="002F13EF"/>
    <w:rsid w:val="002F1D38"/>
    <w:rsid w:val="002F386B"/>
    <w:rsid w:val="002F3FC1"/>
    <w:rsid w:val="002F4676"/>
    <w:rsid w:val="002F4AE5"/>
    <w:rsid w:val="002F5E53"/>
    <w:rsid w:val="002F61B2"/>
    <w:rsid w:val="002F6395"/>
    <w:rsid w:val="002F7A5E"/>
    <w:rsid w:val="00300ABA"/>
    <w:rsid w:val="00300AEE"/>
    <w:rsid w:val="00304713"/>
    <w:rsid w:val="00304FAE"/>
    <w:rsid w:val="00305284"/>
    <w:rsid w:val="003052B0"/>
    <w:rsid w:val="00305C5A"/>
    <w:rsid w:val="0030667C"/>
    <w:rsid w:val="00306723"/>
    <w:rsid w:val="00306CC7"/>
    <w:rsid w:val="00306F12"/>
    <w:rsid w:val="00307D59"/>
    <w:rsid w:val="00307E41"/>
    <w:rsid w:val="003106A4"/>
    <w:rsid w:val="0031077C"/>
    <w:rsid w:val="0031229F"/>
    <w:rsid w:val="00313145"/>
    <w:rsid w:val="003135AD"/>
    <w:rsid w:val="00313CBB"/>
    <w:rsid w:val="00314A38"/>
    <w:rsid w:val="00314FCC"/>
    <w:rsid w:val="00315BB5"/>
    <w:rsid w:val="00317627"/>
    <w:rsid w:val="00317FBF"/>
    <w:rsid w:val="00317FD4"/>
    <w:rsid w:val="0032056A"/>
    <w:rsid w:val="003205BA"/>
    <w:rsid w:val="00320859"/>
    <w:rsid w:val="0032117A"/>
    <w:rsid w:val="00321AE4"/>
    <w:rsid w:val="00322100"/>
    <w:rsid w:val="003225E4"/>
    <w:rsid w:val="00322890"/>
    <w:rsid w:val="00323FE8"/>
    <w:rsid w:val="00324436"/>
    <w:rsid w:val="0032496E"/>
    <w:rsid w:val="003259CF"/>
    <w:rsid w:val="00325F48"/>
    <w:rsid w:val="00327AB4"/>
    <w:rsid w:val="00327DFC"/>
    <w:rsid w:val="00330FEA"/>
    <w:rsid w:val="00331B7C"/>
    <w:rsid w:val="00332044"/>
    <w:rsid w:val="00332167"/>
    <w:rsid w:val="00334CC8"/>
    <w:rsid w:val="00335060"/>
    <w:rsid w:val="00337312"/>
    <w:rsid w:val="00337B7F"/>
    <w:rsid w:val="00342517"/>
    <w:rsid w:val="003427DD"/>
    <w:rsid w:val="00344F70"/>
    <w:rsid w:val="0034504C"/>
    <w:rsid w:val="003460E6"/>
    <w:rsid w:val="003462D8"/>
    <w:rsid w:val="00346849"/>
    <w:rsid w:val="00346A9B"/>
    <w:rsid w:val="00346D0B"/>
    <w:rsid w:val="00347657"/>
    <w:rsid w:val="00347793"/>
    <w:rsid w:val="003500E8"/>
    <w:rsid w:val="0035066C"/>
    <w:rsid w:val="00350DA3"/>
    <w:rsid w:val="00352258"/>
    <w:rsid w:val="00352AFB"/>
    <w:rsid w:val="0035338A"/>
    <w:rsid w:val="00354388"/>
    <w:rsid w:val="00354879"/>
    <w:rsid w:val="00355547"/>
    <w:rsid w:val="00355B60"/>
    <w:rsid w:val="00355DA8"/>
    <w:rsid w:val="0035651C"/>
    <w:rsid w:val="0035694A"/>
    <w:rsid w:val="00357D6F"/>
    <w:rsid w:val="00357EB4"/>
    <w:rsid w:val="00361AC8"/>
    <w:rsid w:val="00362EE1"/>
    <w:rsid w:val="00362F0B"/>
    <w:rsid w:val="00363285"/>
    <w:rsid w:val="003637F5"/>
    <w:rsid w:val="00364408"/>
    <w:rsid w:val="0036493A"/>
    <w:rsid w:val="00365826"/>
    <w:rsid w:val="00365AA0"/>
    <w:rsid w:val="00365B4D"/>
    <w:rsid w:val="00365E42"/>
    <w:rsid w:val="00365ED5"/>
    <w:rsid w:val="003664D5"/>
    <w:rsid w:val="00366AF5"/>
    <w:rsid w:val="00370430"/>
    <w:rsid w:val="00370477"/>
    <w:rsid w:val="00370CC1"/>
    <w:rsid w:val="0037138A"/>
    <w:rsid w:val="003720E3"/>
    <w:rsid w:val="003727B0"/>
    <w:rsid w:val="00373907"/>
    <w:rsid w:val="00373A00"/>
    <w:rsid w:val="00373EDD"/>
    <w:rsid w:val="003741FD"/>
    <w:rsid w:val="0037513E"/>
    <w:rsid w:val="00375DC4"/>
    <w:rsid w:val="00377928"/>
    <w:rsid w:val="0038194B"/>
    <w:rsid w:val="00381C5A"/>
    <w:rsid w:val="00382153"/>
    <w:rsid w:val="00383E1D"/>
    <w:rsid w:val="00384212"/>
    <w:rsid w:val="0038497B"/>
    <w:rsid w:val="00385079"/>
    <w:rsid w:val="00385803"/>
    <w:rsid w:val="00385B0D"/>
    <w:rsid w:val="00386BE4"/>
    <w:rsid w:val="00390770"/>
    <w:rsid w:val="003909B3"/>
    <w:rsid w:val="0039162B"/>
    <w:rsid w:val="00392342"/>
    <w:rsid w:val="0039273A"/>
    <w:rsid w:val="00393229"/>
    <w:rsid w:val="00393F39"/>
    <w:rsid w:val="003955D5"/>
    <w:rsid w:val="00395933"/>
    <w:rsid w:val="00395F94"/>
    <w:rsid w:val="003979E9"/>
    <w:rsid w:val="003A092F"/>
    <w:rsid w:val="003A0F8D"/>
    <w:rsid w:val="003A20AD"/>
    <w:rsid w:val="003A39C3"/>
    <w:rsid w:val="003A3B29"/>
    <w:rsid w:val="003A3C42"/>
    <w:rsid w:val="003A3CBC"/>
    <w:rsid w:val="003A486A"/>
    <w:rsid w:val="003A4CCE"/>
    <w:rsid w:val="003A4D6E"/>
    <w:rsid w:val="003A5D85"/>
    <w:rsid w:val="003A6565"/>
    <w:rsid w:val="003A66FD"/>
    <w:rsid w:val="003A7631"/>
    <w:rsid w:val="003A7705"/>
    <w:rsid w:val="003A7C8A"/>
    <w:rsid w:val="003B0A85"/>
    <w:rsid w:val="003B0B80"/>
    <w:rsid w:val="003B0C90"/>
    <w:rsid w:val="003B1E32"/>
    <w:rsid w:val="003B1F86"/>
    <w:rsid w:val="003B31E8"/>
    <w:rsid w:val="003B4288"/>
    <w:rsid w:val="003B4AAA"/>
    <w:rsid w:val="003B5160"/>
    <w:rsid w:val="003B5CE8"/>
    <w:rsid w:val="003B66DA"/>
    <w:rsid w:val="003B6AC0"/>
    <w:rsid w:val="003B72C5"/>
    <w:rsid w:val="003B7702"/>
    <w:rsid w:val="003B7C53"/>
    <w:rsid w:val="003B7E46"/>
    <w:rsid w:val="003B7E66"/>
    <w:rsid w:val="003C0B73"/>
    <w:rsid w:val="003C1922"/>
    <w:rsid w:val="003C1D75"/>
    <w:rsid w:val="003C2A48"/>
    <w:rsid w:val="003C31D4"/>
    <w:rsid w:val="003C3960"/>
    <w:rsid w:val="003C401F"/>
    <w:rsid w:val="003C47E4"/>
    <w:rsid w:val="003C4C3E"/>
    <w:rsid w:val="003C57C4"/>
    <w:rsid w:val="003C5DAE"/>
    <w:rsid w:val="003C6589"/>
    <w:rsid w:val="003C6B33"/>
    <w:rsid w:val="003C6B6D"/>
    <w:rsid w:val="003C6F66"/>
    <w:rsid w:val="003C7317"/>
    <w:rsid w:val="003C78FD"/>
    <w:rsid w:val="003C7A65"/>
    <w:rsid w:val="003D0558"/>
    <w:rsid w:val="003D05B6"/>
    <w:rsid w:val="003D0CEB"/>
    <w:rsid w:val="003D0E7F"/>
    <w:rsid w:val="003D3711"/>
    <w:rsid w:val="003D52AB"/>
    <w:rsid w:val="003D5689"/>
    <w:rsid w:val="003D6A54"/>
    <w:rsid w:val="003D6AE2"/>
    <w:rsid w:val="003D6B8D"/>
    <w:rsid w:val="003D7325"/>
    <w:rsid w:val="003E0A52"/>
    <w:rsid w:val="003E0A61"/>
    <w:rsid w:val="003E0F87"/>
    <w:rsid w:val="003E4293"/>
    <w:rsid w:val="003E4F87"/>
    <w:rsid w:val="003E5A40"/>
    <w:rsid w:val="003E7A5D"/>
    <w:rsid w:val="003F23E4"/>
    <w:rsid w:val="003F3B4E"/>
    <w:rsid w:val="003F3BE9"/>
    <w:rsid w:val="003F514C"/>
    <w:rsid w:val="003F6AD8"/>
    <w:rsid w:val="003F7A3D"/>
    <w:rsid w:val="003F7C9C"/>
    <w:rsid w:val="00401935"/>
    <w:rsid w:val="00401B90"/>
    <w:rsid w:val="004022DB"/>
    <w:rsid w:val="00403EFC"/>
    <w:rsid w:val="004041E8"/>
    <w:rsid w:val="00405214"/>
    <w:rsid w:val="004057D6"/>
    <w:rsid w:val="00405D5E"/>
    <w:rsid w:val="00406DA0"/>
    <w:rsid w:val="00407E85"/>
    <w:rsid w:val="00410560"/>
    <w:rsid w:val="00411250"/>
    <w:rsid w:val="00411E77"/>
    <w:rsid w:val="00412DFC"/>
    <w:rsid w:val="00412EC5"/>
    <w:rsid w:val="004130C8"/>
    <w:rsid w:val="0041310C"/>
    <w:rsid w:val="0041333C"/>
    <w:rsid w:val="00413821"/>
    <w:rsid w:val="00414F8D"/>
    <w:rsid w:val="00415E37"/>
    <w:rsid w:val="00416F0D"/>
    <w:rsid w:val="004171D8"/>
    <w:rsid w:val="00417728"/>
    <w:rsid w:val="004178B3"/>
    <w:rsid w:val="00420AA3"/>
    <w:rsid w:val="00420E33"/>
    <w:rsid w:val="00421EF5"/>
    <w:rsid w:val="00422717"/>
    <w:rsid w:val="0042288B"/>
    <w:rsid w:val="004229D5"/>
    <w:rsid w:val="00422FB9"/>
    <w:rsid w:val="00424AD5"/>
    <w:rsid w:val="00424B1D"/>
    <w:rsid w:val="00426D15"/>
    <w:rsid w:val="004272F6"/>
    <w:rsid w:val="00427E15"/>
    <w:rsid w:val="00432C02"/>
    <w:rsid w:val="00433182"/>
    <w:rsid w:val="0043358F"/>
    <w:rsid w:val="0043448B"/>
    <w:rsid w:val="0043487E"/>
    <w:rsid w:val="00434B38"/>
    <w:rsid w:val="004366AF"/>
    <w:rsid w:val="00437BFA"/>
    <w:rsid w:val="00440B2F"/>
    <w:rsid w:val="00441AF7"/>
    <w:rsid w:val="00442B43"/>
    <w:rsid w:val="0044384A"/>
    <w:rsid w:val="004452D9"/>
    <w:rsid w:val="00445524"/>
    <w:rsid w:val="0044575C"/>
    <w:rsid w:val="00445A1D"/>
    <w:rsid w:val="00446C48"/>
    <w:rsid w:val="00446E82"/>
    <w:rsid w:val="00447956"/>
    <w:rsid w:val="004501CB"/>
    <w:rsid w:val="00451E17"/>
    <w:rsid w:val="00452394"/>
    <w:rsid w:val="00452E0A"/>
    <w:rsid w:val="004551D6"/>
    <w:rsid w:val="00455EF1"/>
    <w:rsid w:val="0045782C"/>
    <w:rsid w:val="00457D06"/>
    <w:rsid w:val="00460200"/>
    <w:rsid w:val="00460F3B"/>
    <w:rsid w:val="00460FCE"/>
    <w:rsid w:val="004616DA"/>
    <w:rsid w:val="00461E0E"/>
    <w:rsid w:val="00462340"/>
    <w:rsid w:val="004629D3"/>
    <w:rsid w:val="00462C91"/>
    <w:rsid w:val="0046349E"/>
    <w:rsid w:val="00463CD7"/>
    <w:rsid w:val="00466028"/>
    <w:rsid w:val="0046616C"/>
    <w:rsid w:val="00466611"/>
    <w:rsid w:val="00467CC1"/>
    <w:rsid w:val="00471BAB"/>
    <w:rsid w:val="0047449B"/>
    <w:rsid w:val="00474C35"/>
    <w:rsid w:val="004754B5"/>
    <w:rsid w:val="00475BBD"/>
    <w:rsid w:val="004760C3"/>
    <w:rsid w:val="00476390"/>
    <w:rsid w:val="00477AD9"/>
    <w:rsid w:val="00480428"/>
    <w:rsid w:val="00480926"/>
    <w:rsid w:val="00480D09"/>
    <w:rsid w:val="00480DAC"/>
    <w:rsid w:val="0048111E"/>
    <w:rsid w:val="00481568"/>
    <w:rsid w:val="004817DE"/>
    <w:rsid w:val="00481D04"/>
    <w:rsid w:val="00481DDC"/>
    <w:rsid w:val="00481E02"/>
    <w:rsid w:val="00482629"/>
    <w:rsid w:val="00483EA4"/>
    <w:rsid w:val="004848F9"/>
    <w:rsid w:val="00485E15"/>
    <w:rsid w:val="004864DF"/>
    <w:rsid w:val="004865D0"/>
    <w:rsid w:val="00486656"/>
    <w:rsid w:val="004875FB"/>
    <w:rsid w:val="004876E8"/>
    <w:rsid w:val="00487A2E"/>
    <w:rsid w:val="00491B38"/>
    <w:rsid w:val="004927FB"/>
    <w:rsid w:val="0049286B"/>
    <w:rsid w:val="00492F8D"/>
    <w:rsid w:val="00493A34"/>
    <w:rsid w:val="004942D4"/>
    <w:rsid w:val="0049445C"/>
    <w:rsid w:val="00495160"/>
    <w:rsid w:val="004973F7"/>
    <w:rsid w:val="00497845"/>
    <w:rsid w:val="004A01BC"/>
    <w:rsid w:val="004A077E"/>
    <w:rsid w:val="004A088D"/>
    <w:rsid w:val="004A0B6E"/>
    <w:rsid w:val="004A0C4A"/>
    <w:rsid w:val="004A1263"/>
    <w:rsid w:val="004A248A"/>
    <w:rsid w:val="004A2B8A"/>
    <w:rsid w:val="004A42DC"/>
    <w:rsid w:val="004A4BC8"/>
    <w:rsid w:val="004A5F5E"/>
    <w:rsid w:val="004A7F54"/>
    <w:rsid w:val="004B096A"/>
    <w:rsid w:val="004B0A5C"/>
    <w:rsid w:val="004B0BEA"/>
    <w:rsid w:val="004B186F"/>
    <w:rsid w:val="004B1D7F"/>
    <w:rsid w:val="004B2561"/>
    <w:rsid w:val="004B2DD9"/>
    <w:rsid w:val="004B3D00"/>
    <w:rsid w:val="004B4A2C"/>
    <w:rsid w:val="004B5D3D"/>
    <w:rsid w:val="004B72E7"/>
    <w:rsid w:val="004B7415"/>
    <w:rsid w:val="004B76FF"/>
    <w:rsid w:val="004B777D"/>
    <w:rsid w:val="004B7E1C"/>
    <w:rsid w:val="004C0869"/>
    <w:rsid w:val="004C10B0"/>
    <w:rsid w:val="004C3B7E"/>
    <w:rsid w:val="004C46D8"/>
    <w:rsid w:val="004C4DBB"/>
    <w:rsid w:val="004D040D"/>
    <w:rsid w:val="004D06E2"/>
    <w:rsid w:val="004D082E"/>
    <w:rsid w:val="004D147A"/>
    <w:rsid w:val="004D2586"/>
    <w:rsid w:val="004D2CE6"/>
    <w:rsid w:val="004D3D92"/>
    <w:rsid w:val="004D4021"/>
    <w:rsid w:val="004D4E92"/>
    <w:rsid w:val="004D6686"/>
    <w:rsid w:val="004D674B"/>
    <w:rsid w:val="004D7199"/>
    <w:rsid w:val="004E0CFC"/>
    <w:rsid w:val="004E0E0C"/>
    <w:rsid w:val="004E0F09"/>
    <w:rsid w:val="004E2A5A"/>
    <w:rsid w:val="004E3392"/>
    <w:rsid w:val="004E36F0"/>
    <w:rsid w:val="004E3871"/>
    <w:rsid w:val="004E5DF9"/>
    <w:rsid w:val="004E6590"/>
    <w:rsid w:val="004E6639"/>
    <w:rsid w:val="004E6C5D"/>
    <w:rsid w:val="004E7BDF"/>
    <w:rsid w:val="004F04EE"/>
    <w:rsid w:val="004F16BA"/>
    <w:rsid w:val="004F18CB"/>
    <w:rsid w:val="004F21BE"/>
    <w:rsid w:val="004F287E"/>
    <w:rsid w:val="004F4A96"/>
    <w:rsid w:val="004F64BE"/>
    <w:rsid w:val="004F6B98"/>
    <w:rsid w:val="004F6EC2"/>
    <w:rsid w:val="004F73D1"/>
    <w:rsid w:val="004F76E5"/>
    <w:rsid w:val="004F7A57"/>
    <w:rsid w:val="00500AC9"/>
    <w:rsid w:val="00500E30"/>
    <w:rsid w:val="005013D9"/>
    <w:rsid w:val="005022F0"/>
    <w:rsid w:val="00502485"/>
    <w:rsid w:val="0050266A"/>
    <w:rsid w:val="005026BC"/>
    <w:rsid w:val="00503C3C"/>
    <w:rsid w:val="005040AE"/>
    <w:rsid w:val="00504543"/>
    <w:rsid w:val="00504A9A"/>
    <w:rsid w:val="00504BB8"/>
    <w:rsid w:val="00504D0F"/>
    <w:rsid w:val="00505CD9"/>
    <w:rsid w:val="00506E52"/>
    <w:rsid w:val="00506EDE"/>
    <w:rsid w:val="00506FB8"/>
    <w:rsid w:val="00510386"/>
    <w:rsid w:val="0051083E"/>
    <w:rsid w:val="005118A9"/>
    <w:rsid w:val="00513F37"/>
    <w:rsid w:val="00514252"/>
    <w:rsid w:val="0051453B"/>
    <w:rsid w:val="00515122"/>
    <w:rsid w:val="00515127"/>
    <w:rsid w:val="00515849"/>
    <w:rsid w:val="00515A15"/>
    <w:rsid w:val="005169A8"/>
    <w:rsid w:val="0051795A"/>
    <w:rsid w:val="005218AF"/>
    <w:rsid w:val="00522CE1"/>
    <w:rsid w:val="005230B8"/>
    <w:rsid w:val="005232D8"/>
    <w:rsid w:val="0052356E"/>
    <w:rsid w:val="0052381E"/>
    <w:rsid w:val="00524454"/>
    <w:rsid w:val="0052525E"/>
    <w:rsid w:val="00525D2B"/>
    <w:rsid w:val="00527F79"/>
    <w:rsid w:val="00531181"/>
    <w:rsid w:val="0053228A"/>
    <w:rsid w:val="005336A2"/>
    <w:rsid w:val="00533F3F"/>
    <w:rsid w:val="00535D73"/>
    <w:rsid w:val="00536AF8"/>
    <w:rsid w:val="005376DD"/>
    <w:rsid w:val="0053774F"/>
    <w:rsid w:val="005411CD"/>
    <w:rsid w:val="00542380"/>
    <w:rsid w:val="00543319"/>
    <w:rsid w:val="00544534"/>
    <w:rsid w:val="005446BF"/>
    <w:rsid w:val="00544D9D"/>
    <w:rsid w:val="00545475"/>
    <w:rsid w:val="0054574F"/>
    <w:rsid w:val="005472E1"/>
    <w:rsid w:val="005477F1"/>
    <w:rsid w:val="005479DE"/>
    <w:rsid w:val="00547B25"/>
    <w:rsid w:val="00551390"/>
    <w:rsid w:val="0055147E"/>
    <w:rsid w:val="005520BC"/>
    <w:rsid w:val="005525D3"/>
    <w:rsid w:val="005530AF"/>
    <w:rsid w:val="005532C6"/>
    <w:rsid w:val="00554CBC"/>
    <w:rsid w:val="005552E9"/>
    <w:rsid w:val="00555D08"/>
    <w:rsid w:val="005561E3"/>
    <w:rsid w:val="00557CD5"/>
    <w:rsid w:val="00560333"/>
    <w:rsid w:val="005605A6"/>
    <w:rsid w:val="00560BCE"/>
    <w:rsid w:val="00561FAE"/>
    <w:rsid w:val="005627C2"/>
    <w:rsid w:val="00562C91"/>
    <w:rsid w:val="0056525A"/>
    <w:rsid w:val="00567282"/>
    <w:rsid w:val="005676DC"/>
    <w:rsid w:val="00570117"/>
    <w:rsid w:val="00571C3F"/>
    <w:rsid w:val="00571F16"/>
    <w:rsid w:val="00575050"/>
    <w:rsid w:val="00576CE4"/>
    <w:rsid w:val="00576F73"/>
    <w:rsid w:val="00577867"/>
    <w:rsid w:val="00577E68"/>
    <w:rsid w:val="00577FEB"/>
    <w:rsid w:val="005800CD"/>
    <w:rsid w:val="0058090F"/>
    <w:rsid w:val="00580DE8"/>
    <w:rsid w:val="0058134B"/>
    <w:rsid w:val="00581D61"/>
    <w:rsid w:val="00582C35"/>
    <w:rsid w:val="00582F89"/>
    <w:rsid w:val="00583831"/>
    <w:rsid w:val="0058481D"/>
    <w:rsid w:val="0058521B"/>
    <w:rsid w:val="00585954"/>
    <w:rsid w:val="005863ED"/>
    <w:rsid w:val="00586B7D"/>
    <w:rsid w:val="005877FF"/>
    <w:rsid w:val="00590057"/>
    <w:rsid w:val="00590487"/>
    <w:rsid w:val="00590640"/>
    <w:rsid w:val="00591265"/>
    <w:rsid w:val="005918A3"/>
    <w:rsid w:val="0059414B"/>
    <w:rsid w:val="00595346"/>
    <w:rsid w:val="00595460"/>
    <w:rsid w:val="005954DE"/>
    <w:rsid w:val="00595961"/>
    <w:rsid w:val="00595F2E"/>
    <w:rsid w:val="005965AA"/>
    <w:rsid w:val="00596D63"/>
    <w:rsid w:val="00596ECB"/>
    <w:rsid w:val="00597652"/>
    <w:rsid w:val="005A043B"/>
    <w:rsid w:val="005A0B8A"/>
    <w:rsid w:val="005A0CBA"/>
    <w:rsid w:val="005A1CC5"/>
    <w:rsid w:val="005A2C4F"/>
    <w:rsid w:val="005A3ACA"/>
    <w:rsid w:val="005A3DF0"/>
    <w:rsid w:val="005A434C"/>
    <w:rsid w:val="005A45D2"/>
    <w:rsid w:val="005A4D2A"/>
    <w:rsid w:val="005A4FDF"/>
    <w:rsid w:val="005A5580"/>
    <w:rsid w:val="005A65EF"/>
    <w:rsid w:val="005A6709"/>
    <w:rsid w:val="005A6C94"/>
    <w:rsid w:val="005B0A5F"/>
    <w:rsid w:val="005B1413"/>
    <w:rsid w:val="005B1DCA"/>
    <w:rsid w:val="005B1F81"/>
    <w:rsid w:val="005B2472"/>
    <w:rsid w:val="005B325E"/>
    <w:rsid w:val="005B35A1"/>
    <w:rsid w:val="005B36F3"/>
    <w:rsid w:val="005B375C"/>
    <w:rsid w:val="005B479A"/>
    <w:rsid w:val="005B48A5"/>
    <w:rsid w:val="005B4960"/>
    <w:rsid w:val="005B58E9"/>
    <w:rsid w:val="005B594A"/>
    <w:rsid w:val="005B6DDE"/>
    <w:rsid w:val="005B6E67"/>
    <w:rsid w:val="005B7252"/>
    <w:rsid w:val="005B73A4"/>
    <w:rsid w:val="005C0205"/>
    <w:rsid w:val="005C061A"/>
    <w:rsid w:val="005C36DF"/>
    <w:rsid w:val="005C3FDB"/>
    <w:rsid w:val="005C470B"/>
    <w:rsid w:val="005C5E71"/>
    <w:rsid w:val="005C5E80"/>
    <w:rsid w:val="005D06FE"/>
    <w:rsid w:val="005D2D56"/>
    <w:rsid w:val="005D312F"/>
    <w:rsid w:val="005D3440"/>
    <w:rsid w:val="005D47DC"/>
    <w:rsid w:val="005D7A1E"/>
    <w:rsid w:val="005D7BC3"/>
    <w:rsid w:val="005E01C9"/>
    <w:rsid w:val="005E040A"/>
    <w:rsid w:val="005E07F1"/>
    <w:rsid w:val="005E0882"/>
    <w:rsid w:val="005E0BD9"/>
    <w:rsid w:val="005E0DD6"/>
    <w:rsid w:val="005E118D"/>
    <w:rsid w:val="005E144A"/>
    <w:rsid w:val="005E1650"/>
    <w:rsid w:val="005E2668"/>
    <w:rsid w:val="005E3B12"/>
    <w:rsid w:val="005E5851"/>
    <w:rsid w:val="005E6C51"/>
    <w:rsid w:val="005E6F93"/>
    <w:rsid w:val="005F0BCE"/>
    <w:rsid w:val="005F0CCC"/>
    <w:rsid w:val="005F0F3B"/>
    <w:rsid w:val="005F18C7"/>
    <w:rsid w:val="005F1BBA"/>
    <w:rsid w:val="005F3D68"/>
    <w:rsid w:val="005F564F"/>
    <w:rsid w:val="005F5922"/>
    <w:rsid w:val="005F5CFF"/>
    <w:rsid w:val="005F6490"/>
    <w:rsid w:val="005F7B4A"/>
    <w:rsid w:val="00600227"/>
    <w:rsid w:val="0060043B"/>
    <w:rsid w:val="00601622"/>
    <w:rsid w:val="00602F89"/>
    <w:rsid w:val="00603CE6"/>
    <w:rsid w:val="00603D7C"/>
    <w:rsid w:val="0060442B"/>
    <w:rsid w:val="00604A87"/>
    <w:rsid w:val="00604D5A"/>
    <w:rsid w:val="00604FA5"/>
    <w:rsid w:val="00605133"/>
    <w:rsid w:val="0060531B"/>
    <w:rsid w:val="00606055"/>
    <w:rsid w:val="00606C8B"/>
    <w:rsid w:val="00606FE4"/>
    <w:rsid w:val="00607094"/>
    <w:rsid w:val="00607406"/>
    <w:rsid w:val="00607464"/>
    <w:rsid w:val="006074FB"/>
    <w:rsid w:val="00607662"/>
    <w:rsid w:val="006079EA"/>
    <w:rsid w:val="00607AAD"/>
    <w:rsid w:val="006103DE"/>
    <w:rsid w:val="00611303"/>
    <w:rsid w:val="0061233D"/>
    <w:rsid w:val="00614FF1"/>
    <w:rsid w:val="00615CC7"/>
    <w:rsid w:val="00620F87"/>
    <w:rsid w:val="00621175"/>
    <w:rsid w:val="00621776"/>
    <w:rsid w:val="00621872"/>
    <w:rsid w:val="00622072"/>
    <w:rsid w:val="00622D43"/>
    <w:rsid w:val="00624A9D"/>
    <w:rsid w:val="00624B6E"/>
    <w:rsid w:val="006254B9"/>
    <w:rsid w:val="00625CD2"/>
    <w:rsid w:val="00627CB8"/>
    <w:rsid w:val="00630A73"/>
    <w:rsid w:val="00632ED6"/>
    <w:rsid w:val="00632F0F"/>
    <w:rsid w:val="006331DF"/>
    <w:rsid w:val="0063359B"/>
    <w:rsid w:val="00633B3F"/>
    <w:rsid w:val="00633BC0"/>
    <w:rsid w:val="00633FDA"/>
    <w:rsid w:val="00634082"/>
    <w:rsid w:val="00635B89"/>
    <w:rsid w:val="00635C90"/>
    <w:rsid w:val="00636D9A"/>
    <w:rsid w:val="00636DE6"/>
    <w:rsid w:val="00637B00"/>
    <w:rsid w:val="00637D1B"/>
    <w:rsid w:val="0064080F"/>
    <w:rsid w:val="00640DBA"/>
    <w:rsid w:val="00641050"/>
    <w:rsid w:val="00641681"/>
    <w:rsid w:val="0064168C"/>
    <w:rsid w:val="0064189E"/>
    <w:rsid w:val="00641D21"/>
    <w:rsid w:val="006433E0"/>
    <w:rsid w:val="00643B58"/>
    <w:rsid w:val="00643B83"/>
    <w:rsid w:val="00643F79"/>
    <w:rsid w:val="00644177"/>
    <w:rsid w:val="0064608E"/>
    <w:rsid w:val="00650098"/>
    <w:rsid w:val="006504D1"/>
    <w:rsid w:val="0065178D"/>
    <w:rsid w:val="006518C1"/>
    <w:rsid w:val="00651B15"/>
    <w:rsid w:val="00652782"/>
    <w:rsid w:val="00652B7C"/>
    <w:rsid w:val="00652DF6"/>
    <w:rsid w:val="0065371A"/>
    <w:rsid w:val="00654A17"/>
    <w:rsid w:val="006553B0"/>
    <w:rsid w:val="006556BD"/>
    <w:rsid w:val="00655BF4"/>
    <w:rsid w:val="00655E09"/>
    <w:rsid w:val="00656E23"/>
    <w:rsid w:val="006607AD"/>
    <w:rsid w:val="00660DD2"/>
    <w:rsid w:val="00660FF5"/>
    <w:rsid w:val="00661AA0"/>
    <w:rsid w:val="00661D4B"/>
    <w:rsid w:val="006628D8"/>
    <w:rsid w:val="006641CC"/>
    <w:rsid w:val="0066674E"/>
    <w:rsid w:val="006667AA"/>
    <w:rsid w:val="00667241"/>
    <w:rsid w:val="0067054F"/>
    <w:rsid w:val="006721C7"/>
    <w:rsid w:val="0067228D"/>
    <w:rsid w:val="00673956"/>
    <w:rsid w:val="00673D3B"/>
    <w:rsid w:val="00675C6C"/>
    <w:rsid w:val="0067671C"/>
    <w:rsid w:val="00677583"/>
    <w:rsid w:val="00677D41"/>
    <w:rsid w:val="00682B5C"/>
    <w:rsid w:val="00682B5E"/>
    <w:rsid w:val="006840B8"/>
    <w:rsid w:val="00684C36"/>
    <w:rsid w:val="0068519D"/>
    <w:rsid w:val="006858ED"/>
    <w:rsid w:val="006859A1"/>
    <w:rsid w:val="00687033"/>
    <w:rsid w:val="0068753A"/>
    <w:rsid w:val="00690412"/>
    <w:rsid w:val="006904B3"/>
    <w:rsid w:val="006905A4"/>
    <w:rsid w:val="0069153B"/>
    <w:rsid w:val="006915A6"/>
    <w:rsid w:val="0069161C"/>
    <w:rsid w:val="00691876"/>
    <w:rsid w:val="00691F40"/>
    <w:rsid w:val="0069254A"/>
    <w:rsid w:val="00693766"/>
    <w:rsid w:val="00694318"/>
    <w:rsid w:val="00694C32"/>
    <w:rsid w:val="00695567"/>
    <w:rsid w:val="0069563E"/>
    <w:rsid w:val="00697565"/>
    <w:rsid w:val="006979A4"/>
    <w:rsid w:val="00697AA1"/>
    <w:rsid w:val="00697BA1"/>
    <w:rsid w:val="00697FAA"/>
    <w:rsid w:val="006A1E5C"/>
    <w:rsid w:val="006A26D3"/>
    <w:rsid w:val="006A2708"/>
    <w:rsid w:val="006A3570"/>
    <w:rsid w:val="006A3C32"/>
    <w:rsid w:val="006A3DEE"/>
    <w:rsid w:val="006A3F0D"/>
    <w:rsid w:val="006A4515"/>
    <w:rsid w:val="006A4C1E"/>
    <w:rsid w:val="006A5420"/>
    <w:rsid w:val="006A751D"/>
    <w:rsid w:val="006A7FA0"/>
    <w:rsid w:val="006B01D6"/>
    <w:rsid w:val="006B15B5"/>
    <w:rsid w:val="006B1909"/>
    <w:rsid w:val="006B2073"/>
    <w:rsid w:val="006B20FC"/>
    <w:rsid w:val="006B2133"/>
    <w:rsid w:val="006B2B7E"/>
    <w:rsid w:val="006B2BCB"/>
    <w:rsid w:val="006B3FAF"/>
    <w:rsid w:val="006B48D0"/>
    <w:rsid w:val="006B49F1"/>
    <w:rsid w:val="006B4BFA"/>
    <w:rsid w:val="006B5472"/>
    <w:rsid w:val="006B5FA8"/>
    <w:rsid w:val="006B709D"/>
    <w:rsid w:val="006B7934"/>
    <w:rsid w:val="006C106B"/>
    <w:rsid w:val="006C121B"/>
    <w:rsid w:val="006C16E1"/>
    <w:rsid w:val="006C2022"/>
    <w:rsid w:val="006C32E7"/>
    <w:rsid w:val="006C4560"/>
    <w:rsid w:val="006C5162"/>
    <w:rsid w:val="006C5BBC"/>
    <w:rsid w:val="006C6E6A"/>
    <w:rsid w:val="006C758C"/>
    <w:rsid w:val="006C78AA"/>
    <w:rsid w:val="006D014A"/>
    <w:rsid w:val="006D044A"/>
    <w:rsid w:val="006D0B65"/>
    <w:rsid w:val="006D0D4F"/>
    <w:rsid w:val="006D1466"/>
    <w:rsid w:val="006D2C46"/>
    <w:rsid w:val="006D3AAC"/>
    <w:rsid w:val="006D3C74"/>
    <w:rsid w:val="006D48B6"/>
    <w:rsid w:val="006D552C"/>
    <w:rsid w:val="006D5B4E"/>
    <w:rsid w:val="006D79D0"/>
    <w:rsid w:val="006E0540"/>
    <w:rsid w:val="006E0813"/>
    <w:rsid w:val="006E1CD1"/>
    <w:rsid w:val="006E1E1B"/>
    <w:rsid w:val="006E27A5"/>
    <w:rsid w:val="006E38C6"/>
    <w:rsid w:val="006E4447"/>
    <w:rsid w:val="006E7198"/>
    <w:rsid w:val="006E76ED"/>
    <w:rsid w:val="006E794A"/>
    <w:rsid w:val="006F04D4"/>
    <w:rsid w:val="006F0EB4"/>
    <w:rsid w:val="006F10C4"/>
    <w:rsid w:val="006F1C28"/>
    <w:rsid w:val="006F2DA3"/>
    <w:rsid w:val="006F3DE3"/>
    <w:rsid w:val="006F4AB2"/>
    <w:rsid w:val="006F5DE7"/>
    <w:rsid w:val="006F6E9E"/>
    <w:rsid w:val="006F7B1F"/>
    <w:rsid w:val="007003A9"/>
    <w:rsid w:val="00700CE9"/>
    <w:rsid w:val="00701EB9"/>
    <w:rsid w:val="00703C41"/>
    <w:rsid w:val="00704C82"/>
    <w:rsid w:val="007063BA"/>
    <w:rsid w:val="00707A2A"/>
    <w:rsid w:val="00710112"/>
    <w:rsid w:val="00710AD4"/>
    <w:rsid w:val="00710BCD"/>
    <w:rsid w:val="00710E14"/>
    <w:rsid w:val="00710F5A"/>
    <w:rsid w:val="00711118"/>
    <w:rsid w:val="0071113B"/>
    <w:rsid w:val="00713200"/>
    <w:rsid w:val="00713A18"/>
    <w:rsid w:val="007154C3"/>
    <w:rsid w:val="00715D55"/>
    <w:rsid w:val="0071620A"/>
    <w:rsid w:val="007175DF"/>
    <w:rsid w:val="00717CF1"/>
    <w:rsid w:val="007202E2"/>
    <w:rsid w:val="00720F7A"/>
    <w:rsid w:val="0072213D"/>
    <w:rsid w:val="007221B4"/>
    <w:rsid w:val="00722505"/>
    <w:rsid w:val="007230E8"/>
    <w:rsid w:val="00723952"/>
    <w:rsid w:val="007240C9"/>
    <w:rsid w:val="00724913"/>
    <w:rsid w:val="00724E19"/>
    <w:rsid w:val="007277EB"/>
    <w:rsid w:val="00727DFF"/>
    <w:rsid w:val="00730C3C"/>
    <w:rsid w:val="0073135C"/>
    <w:rsid w:val="00731684"/>
    <w:rsid w:val="0073191A"/>
    <w:rsid w:val="0073280B"/>
    <w:rsid w:val="00733EC6"/>
    <w:rsid w:val="0073462E"/>
    <w:rsid w:val="00734BAF"/>
    <w:rsid w:val="0073560D"/>
    <w:rsid w:val="007356A7"/>
    <w:rsid w:val="00737124"/>
    <w:rsid w:val="00737497"/>
    <w:rsid w:val="0073787C"/>
    <w:rsid w:val="00740153"/>
    <w:rsid w:val="00740975"/>
    <w:rsid w:val="007411C9"/>
    <w:rsid w:val="00741AEB"/>
    <w:rsid w:val="00741F88"/>
    <w:rsid w:val="0074298F"/>
    <w:rsid w:val="00743432"/>
    <w:rsid w:val="007436FC"/>
    <w:rsid w:val="00743F64"/>
    <w:rsid w:val="00744BCC"/>
    <w:rsid w:val="007451AB"/>
    <w:rsid w:val="007451DC"/>
    <w:rsid w:val="00745229"/>
    <w:rsid w:val="00745722"/>
    <w:rsid w:val="00746206"/>
    <w:rsid w:val="00746800"/>
    <w:rsid w:val="00746931"/>
    <w:rsid w:val="00747510"/>
    <w:rsid w:val="00751AEA"/>
    <w:rsid w:val="00751CF2"/>
    <w:rsid w:val="00752ABB"/>
    <w:rsid w:val="007539F2"/>
    <w:rsid w:val="00753FB0"/>
    <w:rsid w:val="00754907"/>
    <w:rsid w:val="00754F63"/>
    <w:rsid w:val="00755925"/>
    <w:rsid w:val="007563A6"/>
    <w:rsid w:val="0076081A"/>
    <w:rsid w:val="00760A82"/>
    <w:rsid w:val="00762478"/>
    <w:rsid w:val="00762730"/>
    <w:rsid w:val="00762742"/>
    <w:rsid w:val="00762C92"/>
    <w:rsid w:val="00763F5D"/>
    <w:rsid w:val="00763FDB"/>
    <w:rsid w:val="007650AD"/>
    <w:rsid w:val="0076513D"/>
    <w:rsid w:val="00765B5B"/>
    <w:rsid w:val="00765FCA"/>
    <w:rsid w:val="00766F5C"/>
    <w:rsid w:val="00767306"/>
    <w:rsid w:val="00767855"/>
    <w:rsid w:val="00767C90"/>
    <w:rsid w:val="007706AF"/>
    <w:rsid w:val="00770AF0"/>
    <w:rsid w:val="00770B77"/>
    <w:rsid w:val="0077163A"/>
    <w:rsid w:val="00771E41"/>
    <w:rsid w:val="00772541"/>
    <w:rsid w:val="00772960"/>
    <w:rsid w:val="00773510"/>
    <w:rsid w:val="0077366D"/>
    <w:rsid w:val="00773F0B"/>
    <w:rsid w:val="00775327"/>
    <w:rsid w:val="00776D60"/>
    <w:rsid w:val="00777538"/>
    <w:rsid w:val="00777ADB"/>
    <w:rsid w:val="00777E13"/>
    <w:rsid w:val="00780A99"/>
    <w:rsid w:val="00783447"/>
    <w:rsid w:val="00783872"/>
    <w:rsid w:val="00783AEA"/>
    <w:rsid w:val="00783E98"/>
    <w:rsid w:val="00785752"/>
    <w:rsid w:val="00785AAA"/>
    <w:rsid w:val="007860B8"/>
    <w:rsid w:val="0078659A"/>
    <w:rsid w:val="0078663A"/>
    <w:rsid w:val="00786BFA"/>
    <w:rsid w:val="00786D67"/>
    <w:rsid w:val="00786E51"/>
    <w:rsid w:val="0078742D"/>
    <w:rsid w:val="007879C4"/>
    <w:rsid w:val="00787A40"/>
    <w:rsid w:val="00790276"/>
    <w:rsid w:val="00790D29"/>
    <w:rsid w:val="00791A52"/>
    <w:rsid w:val="0079220C"/>
    <w:rsid w:val="00792711"/>
    <w:rsid w:val="0079659E"/>
    <w:rsid w:val="0079702D"/>
    <w:rsid w:val="0079799C"/>
    <w:rsid w:val="007A0FF0"/>
    <w:rsid w:val="007A1B6C"/>
    <w:rsid w:val="007A24F4"/>
    <w:rsid w:val="007A26C5"/>
    <w:rsid w:val="007A3043"/>
    <w:rsid w:val="007A34BB"/>
    <w:rsid w:val="007A3D0F"/>
    <w:rsid w:val="007A4293"/>
    <w:rsid w:val="007A4B74"/>
    <w:rsid w:val="007A4F92"/>
    <w:rsid w:val="007A5239"/>
    <w:rsid w:val="007A59C8"/>
    <w:rsid w:val="007A5DB7"/>
    <w:rsid w:val="007A60ED"/>
    <w:rsid w:val="007A66ED"/>
    <w:rsid w:val="007A6740"/>
    <w:rsid w:val="007A67F4"/>
    <w:rsid w:val="007A6D9C"/>
    <w:rsid w:val="007A6DE0"/>
    <w:rsid w:val="007A6E60"/>
    <w:rsid w:val="007A712E"/>
    <w:rsid w:val="007A72E4"/>
    <w:rsid w:val="007A754A"/>
    <w:rsid w:val="007B03EE"/>
    <w:rsid w:val="007B112F"/>
    <w:rsid w:val="007B1D6F"/>
    <w:rsid w:val="007B2A63"/>
    <w:rsid w:val="007B2DD7"/>
    <w:rsid w:val="007B2E9B"/>
    <w:rsid w:val="007B3327"/>
    <w:rsid w:val="007B3E14"/>
    <w:rsid w:val="007B3F80"/>
    <w:rsid w:val="007B45DE"/>
    <w:rsid w:val="007B473E"/>
    <w:rsid w:val="007B57E1"/>
    <w:rsid w:val="007B5EE9"/>
    <w:rsid w:val="007B6096"/>
    <w:rsid w:val="007B6097"/>
    <w:rsid w:val="007B60B5"/>
    <w:rsid w:val="007B660D"/>
    <w:rsid w:val="007B6671"/>
    <w:rsid w:val="007B6DDD"/>
    <w:rsid w:val="007B6FC6"/>
    <w:rsid w:val="007B753F"/>
    <w:rsid w:val="007B7642"/>
    <w:rsid w:val="007B7B69"/>
    <w:rsid w:val="007C0666"/>
    <w:rsid w:val="007C19F6"/>
    <w:rsid w:val="007C246B"/>
    <w:rsid w:val="007C2511"/>
    <w:rsid w:val="007C2802"/>
    <w:rsid w:val="007C2FBA"/>
    <w:rsid w:val="007C37EE"/>
    <w:rsid w:val="007C3D06"/>
    <w:rsid w:val="007C5469"/>
    <w:rsid w:val="007C56D5"/>
    <w:rsid w:val="007C56ED"/>
    <w:rsid w:val="007C5734"/>
    <w:rsid w:val="007C5921"/>
    <w:rsid w:val="007C5C09"/>
    <w:rsid w:val="007C685B"/>
    <w:rsid w:val="007C6BDC"/>
    <w:rsid w:val="007C7760"/>
    <w:rsid w:val="007C796F"/>
    <w:rsid w:val="007D08A1"/>
    <w:rsid w:val="007D1B62"/>
    <w:rsid w:val="007D218E"/>
    <w:rsid w:val="007D38A6"/>
    <w:rsid w:val="007D3DFC"/>
    <w:rsid w:val="007D52DE"/>
    <w:rsid w:val="007D5AE6"/>
    <w:rsid w:val="007D6137"/>
    <w:rsid w:val="007D6157"/>
    <w:rsid w:val="007D680B"/>
    <w:rsid w:val="007E0861"/>
    <w:rsid w:val="007E0BC3"/>
    <w:rsid w:val="007E0D5F"/>
    <w:rsid w:val="007E1121"/>
    <w:rsid w:val="007E1153"/>
    <w:rsid w:val="007E1B42"/>
    <w:rsid w:val="007E24D7"/>
    <w:rsid w:val="007E3F34"/>
    <w:rsid w:val="007E4755"/>
    <w:rsid w:val="007E4805"/>
    <w:rsid w:val="007E4A6F"/>
    <w:rsid w:val="007E4F06"/>
    <w:rsid w:val="007E5756"/>
    <w:rsid w:val="007E5DBB"/>
    <w:rsid w:val="007E70E3"/>
    <w:rsid w:val="007E71F2"/>
    <w:rsid w:val="007E73A4"/>
    <w:rsid w:val="007F2F5C"/>
    <w:rsid w:val="007F3467"/>
    <w:rsid w:val="007F3741"/>
    <w:rsid w:val="007F3B04"/>
    <w:rsid w:val="007F4300"/>
    <w:rsid w:val="007F48CD"/>
    <w:rsid w:val="007F5024"/>
    <w:rsid w:val="007F57EA"/>
    <w:rsid w:val="007F66E4"/>
    <w:rsid w:val="007F784E"/>
    <w:rsid w:val="007F7A8A"/>
    <w:rsid w:val="0080083C"/>
    <w:rsid w:val="0080117C"/>
    <w:rsid w:val="00801813"/>
    <w:rsid w:val="00801D5C"/>
    <w:rsid w:val="0080417F"/>
    <w:rsid w:val="00804B94"/>
    <w:rsid w:val="00804C33"/>
    <w:rsid w:val="008055D9"/>
    <w:rsid w:val="00806153"/>
    <w:rsid w:val="008061B4"/>
    <w:rsid w:val="0080733D"/>
    <w:rsid w:val="00807606"/>
    <w:rsid w:val="00807B11"/>
    <w:rsid w:val="00807BB9"/>
    <w:rsid w:val="00807CFA"/>
    <w:rsid w:val="00807FCF"/>
    <w:rsid w:val="008119B8"/>
    <w:rsid w:val="00811A71"/>
    <w:rsid w:val="008135F4"/>
    <w:rsid w:val="00813C00"/>
    <w:rsid w:val="0081494F"/>
    <w:rsid w:val="00814C14"/>
    <w:rsid w:val="00814D26"/>
    <w:rsid w:val="00815D3A"/>
    <w:rsid w:val="0081725D"/>
    <w:rsid w:val="00821301"/>
    <w:rsid w:val="0082254F"/>
    <w:rsid w:val="00822588"/>
    <w:rsid w:val="00822931"/>
    <w:rsid w:val="00822976"/>
    <w:rsid w:val="0082397B"/>
    <w:rsid w:val="00825084"/>
    <w:rsid w:val="008254E6"/>
    <w:rsid w:val="0082675A"/>
    <w:rsid w:val="00826E5C"/>
    <w:rsid w:val="00827441"/>
    <w:rsid w:val="008314CD"/>
    <w:rsid w:val="00831D82"/>
    <w:rsid w:val="00832160"/>
    <w:rsid w:val="00832A74"/>
    <w:rsid w:val="00833120"/>
    <w:rsid w:val="008331FE"/>
    <w:rsid w:val="00833D9D"/>
    <w:rsid w:val="0083459B"/>
    <w:rsid w:val="008349BA"/>
    <w:rsid w:val="008355A9"/>
    <w:rsid w:val="00835A6F"/>
    <w:rsid w:val="00836123"/>
    <w:rsid w:val="0083650B"/>
    <w:rsid w:val="0083669C"/>
    <w:rsid w:val="00836C07"/>
    <w:rsid w:val="00836ED4"/>
    <w:rsid w:val="008371AC"/>
    <w:rsid w:val="00840DED"/>
    <w:rsid w:val="00842887"/>
    <w:rsid w:val="008437FC"/>
    <w:rsid w:val="008446DE"/>
    <w:rsid w:val="00845503"/>
    <w:rsid w:val="00845829"/>
    <w:rsid w:val="00845C87"/>
    <w:rsid w:val="00845E76"/>
    <w:rsid w:val="0084644F"/>
    <w:rsid w:val="008470F2"/>
    <w:rsid w:val="00847C3D"/>
    <w:rsid w:val="008513E6"/>
    <w:rsid w:val="008525FF"/>
    <w:rsid w:val="00852DB0"/>
    <w:rsid w:val="00853789"/>
    <w:rsid w:val="00854C64"/>
    <w:rsid w:val="00855DC2"/>
    <w:rsid w:val="008565E4"/>
    <w:rsid w:val="00856790"/>
    <w:rsid w:val="008574B1"/>
    <w:rsid w:val="00857DA5"/>
    <w:rsid w:val="00857F4C"/>
    <w:rsid w:val="008605F3"/>
    <w:rsid w:val="00862246"/>
    <w:rsid w:val="00862434"/>
    <w:rsid w:val="00862FEF"/>
    <w:rsid w:val="008636A2"/>
    <w:rsid w:val="008643DC"/>
    <w:rsid w:val="008646D1"/>
    <w:rsid w:val="00864B68"/>
    <w:rsid w:val="008650EC"/>
    <w:rsid w:val="00865CEB"/>
    <w:rsid w:val="00866EB6"/>
    <w:rsid w:val="008676A8"/>
    <w:rsid w:val="00867DF7"/>
    <w:rsid w:val="0087283B"/>
    <w:rsid w:val="00872F70"/>
    <w:rsid w:val="008733B2"/>
    <w:rsid w:val="00875532"/>
    <w:rsid w:val="008772EC"/>
    <w:rsid w:val="00880B2D"/>
    <w:rsid w:val="00880E3F"/>
    <w:rsid w:val="00881BBA"/>
    <w:rsid w:val="00881EF4"/>
    <w:rsid w:val="0088206C"/>
    <w:rsid w:val="00882819"/>
    <w:rsid w:val="0088296D"/>
    <w:rsid w:val="00882C1C"/>
    <w:rsid w:val="008839AC"/>
    <w:rsid w:val="00883AB0"/>
    <w:rsid w:val="00883C04"/>
    <w:rsid w:val="00884154"/>
    <w:rsid w:val="008848F3"/>
    <w:rsid w:val="00884F7E"/>
    <w:rsid w:val="00885275"/>
    <w:rsid w:val="008854DA"/>
    <w:rsid w:val="00886BFC"/>
    <w:rsid w:val="00887A9C"/>
    <w:rsid w:val="00887BF6"/>
    <w:rsid w:val="0089023C"/>
    <w:rsid w:val="008907A9"/>
    <w:rsid w:val="008908A4"/>
    <w:rsid w:val="0089098E"/>
    <w:rsid w:val="00890CCC"/>
    <w:rsid w:val="00890E6E"/>
    <w:rsid w:val="00891169"/>
    <w:rsid w:val="008925FE"/>
    <w:rsid w:val="0089367C"/>
    <w:rsid w:val="00894108"/>
    <w:rsid w:val="008942A3"/>
    <w:rsid w:val="00895319"/>
    <w:rsid w:val="0089718D"/>
    <w:rsid w:val="008A02BA"/>
    <w:rsid w:val="008A11FB"/>
    <w:rsid w:val="008A188A"/>
    <w:rsid w:val="008A1A1B"/>
    <w:rsid w:val="008A2270"/>
    <w:rsid w:val="008A2385"/>
    <w:rsid w:val="008A34DA"/>
    <w:rsid w:val="008A3B59"/>
    <w:rsid w:val="008A3E23"/>
    <w:rsid w:val="008A4277"/>
    <w:rsid w:val="008A49BB"/>
    <w:rsid w:val="008A50C9"/>
    <w:rsid w:val="008A59D0"/>
    <w:rsid w:val="008A5E07"/>
    <w:rsid w:val="008A667F"/>
    <w:rsid w:val="008A7449"/>
    <w:rsid w:val="008A79EE"/>
    <w:rsid w:val="008B1DFA"/>
    <w:rsid w:val="008B1ECF"/>
    <w:rsid w:val="008B2968"/>
    <w:rsid w:val="008B3808"/>
    <w:rsid w:val="008B39DE"/>
    <w:rsid w:val="008B3C0E"/>
    <w:rsid w:val="008B3D85"/>
    <w:rsid w:val="008B3F39"/>
    <w:rsid w:val="008B44E8"/>
    <w:rsid w:val="008B473A"/>
    <w:rsid w:val="008B735F"/>
    <w:rsid w:val="008B7629"/>
    <w:rsid w:val="008C18B4"/>
    <w:rsid w:val="008C2FBB"/>
    <w:rsid w:val="008C342E"/>
    <w:rsid w:val="008C38C3"/>
    <w:rsid w:val="008C45DD"/>
    <w:rsid w:val="008C642B"/>
    <w:rsid w:val="008C6809"/>
    <w:rsid w:val="008C6EEC"/>
    <w:rsid w:val="008C7707"/>
    <w:rsid w:val="008C7E96"/>
    <w:rsid w:val="008D00D1"/>
    <w:rsid w:val="008D1AEA"/>
    <w:rsid w:val="008D2B5C"/>
    <w:rsid w:val="008D4321"/>
    <w:rsid w:val="008D4963"/>
    <w:rsid w:val="008D562C"/>
    <w:rsid w:val="008D5DC4"/>
    <w:rsid w:val="008D6189"/>
    <w:rsid w:val="008D6815"/>
    <w:rsid w:val="008D6F0F"/>
    <w:rsid w:val="008D7123"/>
    <w:rsid w:val="008D779C"/>
    <w:rsid w:val="008D793A"/>
    <w:rsid w:val="008E0343"/>
    <w:rsid w:val="008E0A28"/>
    <w:rsid w:val="008E1EC6"/>
    <w:rsid w:val="008E3120"/>
    <w:rsid w:val="008E41D3"/>
    <w:rsid w:val="008E4AE5"/>
    <w:rsid w:val="008E4BD0"/>
    <w:rsid w:val="008E4EBD"/>
    <w:rsid w:val="008E50DD"/>
    <w:rsid w:val="008E5D7D"/>
    <w:rsid w:val="008E7B2E"/>
    <w:rsid w:val="008E7B46"/>
    <w:rsid w:val="008F1682"/>
    <w:rsid w:val="008F2826"/>
    <w:rsid w:val="008F2D49"/>
    <w:rsid w:val="008F37C8"/>
    <w:rsid w:val="008F3CE3"/>
    <w:rsid w:val="008F4283"/>
    <w:rsid w:val="008F5258"/>
    <w:rsid w:val="008F53F2"/>
    <w:rsid w:val="008F5BAF"/>
    <w:rsid w:val="008F6302"/>
    <w:rsid w:val="008F7709"/>
    <w:rsid w:val="008F7C0A"/>
    <w:rsid w:val="00901BC1"/>
    <w:rsid w:val="00901D36"/>
    <w:rsid w:val="00903D41"/>
    <w:rsid w:val="009049F1"/>
    <w:rsid w:val="00904C43"/>
    <w:rsid w:val="00904C86"/>
    <w:rsid w:val="00905953"/>
    <w:rsid w:val="009059B2"/>
    <w:rsid w:val="00905AE5"/>
    <w:rsid w:val="009063F2"/>
    <w:rsid w:val="00906564"/>
    <w:rsid w:val="009069BC"/>
    <w:rsid w:val="00906D00"/>
    <w:rsid w:val="009100C3"/>
    <w:rsid w:val="009105E7"/>
    <w:rsid w:val="009115C5"/>
    <w:rsid w:val="00912584"/>
    <w:rsid w:val="00912A69"/>
    <w:rsid w:val="00913455"/>
    <w:rsid w:val="00913DD3"/>
    <w:rsid w:val="009141CD"/>
    <w:rsid w:val="0091430F"/>
    <w:rsid w:val="00914A48"/>
    <w:rsid w:val="00914E66"/>
    <w:rsid w:val="0091521F"/>
    <w:rsid w:val="009155E3"/>
    <w:rsid w:val="00915F4F"/>
    <w:rsid w:val="00916814"/>
    <w:rsid w:val="00920561"/>
    <w:rsid w:val="00922400"/>
    <w:rsid w:val="00922D35"/>
    <w:rsid w:val="00922DEC"/>
    <w:rsid w:val="00924AD4"/>
    <w:rsid w:val="00926044"/>
    <w:rsid w:val="00926183"/>
    <w:rsid w:val="009262E0"/>
    <w:rsid w:val="009263F8"/>
    <w:rsid w:val="00926E84"/>
    <w:rsid w:val="00927338"/>
    <w:rsid w:val="0092766D"/>
    <w:rsid w:val="00930CF0"/>
    <w:rsid w:val="00930D98"/>
    <w:rsid w:val="00931650"/>
    <w:rsid w:val="00931C7B"/>
    <w:rsid w:val="00931F4F"/>
    <w:rsid w:val="00932BA4"/>
    <w:rsid w:val="0093324E"/>
    <w:rsid w:val="009337FE"/>
    <w:rsid w:val="00934684"/>
    <w:rsid w:val="009352C5"/>
    <w:rsid w:val="00935DC4"/>
    <w:rsid w:val="00935F48"/>
    <w:rsid w:val="00937227"/>
    <w:rsid w:val="00937928"/>
    <w:rsid w:val="009379B4"/>
    <w:rsid w:val="00940047"/>
    <w:rsid w:val="00941A28"/>
    <w:rsid w:val="00941D6D"/>
    <w:rsid w:val="00942226"/>
    <w:rsid w:val="00942A6D"/>
    <w:rsid w:val="00942AA8"/>
    <w:rsid w:val="00942CE0"/>
    <w:rsid w:val="00943444"/>
    <w:rsid w:val="00943E54"/>
    <w:rsid w:val="009445CC"/>
    <w:rsid w:val="00944ABF"/>
    <w:rsid w:val="00945107"/>
    <w:rsid w:val="0094518B"/>
    <w:rsid w:val="009452FE"/>
    <w:rsid w:val="009461DE"/>
    <w:rsid w:val="009471C9"/>
    <w:rsid w:val="00947980"/>
    <w:rsid w:val="009479B6"/>
    <w:rsid w:val="009504E6"/>
    <w:rsid w:val="0095057A"/>
    <w:rsid w:val="00951BC1"/>
    <w:rsid w:val="009527C4"/>
    <w:rsid w:val="00953061"/>
    <w:rsid w:val="009537C5"/>
    <w:rsid w:val="009540CC"/>
    <w:rsid w:val="00955D0C"/>
    <w:rsid w:val="00957128"/>
    <w:rsid w:val="0095761F"/>
    <w:rsid w:val="009578B0"/>
    <w:rsid w:val="00957E52"/>
    <w:rsid w:val="009601FA"/>
    <w:rsid w:val="009604D6"/>
    <w:rsid w:val="0096104E"/>
    <w:rsid w:val="009611DB"/>
    <w:rsid w:val="00961F28"/>
    <w:rsid w:val="009628C7"/>
    <w:rsid w:val="009629C3"/>
    <w:rsid w:val="0096368D"/>
    <w:rsid w:val="00963980"/>
    <w:rsid w:val="00964268"/>
    <w:rsid w:val="00964450"/>
    <w:rsid w:val="00964CBA"/>
    <w:rsid w:val="00965013"/>
    <w:rsid w:val="00965CEF"/>
    <w:rsid w:val="00966992"/>
    <w:rsid w:val="00966F13"/>
    <w:rsid w:val="00967BF6"/>
    <w:rsid w:val="00970113"/>
    <w:rsid w:val="0097080A"/>
    <w:rsid w:val="009725B7"/>
    <w:rsid w:val="0097289D"/>
    <w:rsid w:val="009729D2"/>
    <w:rsid w:val="00972DB7"/>
    <w:rsid w:val="00972EE7"/>
    <w:rsid w:val="00973B17"/>
    <w:rsid w:val="00973C69"/>
    <w:rsid w:val="009743D3"/>
    <w:rsid w:val="009747C7"/>
    <w:rsid w:val="00974969"/>
    <w:rsid w:val="00975A07"/>
    <w:rsid w:val="00975A1C"/>
    <w:rsid w:val="00976524"/>
    <w:rsid w:val="009779E7"/>
    <w:rsid w:val="00977FED"/>
    <w:rsid w:val="0098033A"/>
    <w:rsid w:val="009804AA"/>
    <w:rsid w:val="00981415"/>
    <w:rsid w:val="009824F1"/>
    <w:rsid w:val="0098367F"/>
    <w:rsid w:val="00983B45"/>
    <w:rsid w:val="00984009"/>
    <w:rsid w:val="0098423F"/>
    <w:rsid w:val="009858F4"/>
    <w:rsid w:val="00986596"/>
    <w:rsid w:val="00987051"/>
    <w:rsid w:val="00987590"/>
    <w:rsid w:val="0098788C"/>
    <w:rsid w:val="00990194"/>
    <w:rsid w:val="00990936"/>
    <w:rsid w:val="00990C74"/>
    <w:rsid w:val="00991467"/>
    <w:rsid w:val="00993E82"/>
    <w:rsid w:val="00995444"/>
    <w:rsid w:val="00995802"/>
    <w:rsid w:val="0099586D"/>
    <w:rsid w:val="00995D31"/>
    <w:rsid w:val="00996941"/>
    <w:rsid w:val="009A04F0"/>
    <w:rsid w:val="009A12B6"/>
    <w:rsid w:val="009A1911"/>
    <w:rsid w:val="009A23F2"/>
    <w:rsid w:val="009A2DA8"/>
    <w:rsid w:val="009A2EDA"/>
    <w:rsid w:val="009A3160"/>
    <w:rsid w:val="009A3904"/>
    <w:rsid w:val="009A46F8"/>
    <w:rsid w:val="009A4989"/>
    <w:rsid w:val="009A4E3F"/>
    <w:rsid w:val="009A50C4"/>
    <w:rsid w:val="009A7395"/>
    <w:rsid w:val="009A7502"/>
    <w:rsid w:val="009A77D8"/>
    <w:rsid w:val="009A7F68"/>
    <w:rsid w:val="009B00E0"/>
    <w:rsid w:val="009B0786"/>
    <w:rsid w:val="009B1278"/>
    <w:rsid w:val="009B1C71"/>
    <w:rsid w:val="009B5233"/>
    <w:rsid w:val="009B5711"/>
    <w:rsid w:val="009B671D"/>
    <w:rsid w:val="009B6DD8"/>
    <w:rsid w:val="009B6F9F"/>
    <w:rsid w:val="009B7D45"/>
    <w:rsid w:val="009B7E2F"/>
    <w:rsid w:val="009C1608"/>
    <w:rsid w:val="009C218E"/>
    <w:rsid w:val="009C36B4"/>
    <w:rsid w:val="009C43D3"/>
    <w:rsid w:val="009C4FC5"/>
    <w:rsid w:val="009C6FFA"/>
    <w:rsid w:val="009C79AB"/>
    <w:rsid w:val="009D06C5"/>
    <w:rsid w:val="009D08B2"/>
    <w:rsid w:val="009D1A4C"/>
    <w:rsid w:val="009D1EC2"/>
    <w:rsid w:val="009D1FCE"/>
    <w:rsid w:val="009D2E33"/>
    <w:rsid w:val="009D2FEA"/>
    <w:rsid w:val="009D47FF"/>
    <w:rsid w:val="009D534C"/>
    <w:rsid w:val="009D6860"/>
    <w:rsid w:val="009D728C"/>
    <w:rsid w:val="009D740E"/>
    <w:rsid w:val="009D745C"/>
    <w:rsid w:val="009D7E6B"/>
    <w:rsid w:val="009E0381"/>
    <w:rsid w:val="009E07B4"/>
    <w:rsid w:val="009E0CDD"/>
    <w:rsid w:val="009E1025"/>
    <w:rsid w:val="009E220A"/>
    <w:rsid w:val="009E239C"/>
    <w:rsid w:val="009E2547"/>
    <w:rsid w:val="009E27C0"/>
    <w:rsid w:val="009E2C91"/>
    <w:rsid w:val="009E2D23"/>
    <w:rsid w:val="009E3D77"/>
    <w:rsid w:val="009E42BA"/>
    <w:rsid w:val="009E45B3"/>
    <w:rsid w:val="009E5B14"/>
    <w:rsid w:val="009E5F80"/>
    <w:rsid w:val="009E6D43"/>
    <w:rsid w:val="009E6FD6"/>
    <w:rsid w:val="009E7040"/>
    <w:rsid w:val="009E705B"/>
    <w:rsid w:val="009E725B"/>
    <w:rsid w:val="009E7720"/>
    <w:rsid w:val="009E7A67"/>
    <w:rsid w:val="009F1AF4"/>
    <w:rsid w:val="009F2701"/>
    <w:rsid w:val="009F28A7"/>
    <w:rsid w:val="009F2BD1"/>
    <w:rsid w:val="009F2BEC"/>
    <w:rsid w:val="009F3622"/>
    <w:rsid w:val="009F3E24"/>
    <w:rsid w:val="009F4A28"/>
    <w:rsid w:val="009F4CCE"/>
    <w:rsid w:val="009F5698"/>
    <w:rsid w:val="009F5FEA"/>
    <w:rsid w:val="009F60F1"/>
    <w:rsid w:val="009F61F2"/>
    <w:rsid w:val="009F6826"/>
    <w:rsid w:val="009F71B7"/>
    <w:rsid w:val="009F7F64"/>
    <w:rsid w:val="00A0012E"/>
    <w:rsid w:val="00A00A69"/>
    <w:rsid w:val="00A00B04"/>
    <w:rsid w:val="00A01D93"/>
    <w:rsid w:val="00A025EB"/>
    <w:rsid w:val="00A02950"/>
    <w:rsid w:val="00A02CE1"/>
    <w:rsid w:val="00A02DCE"/>
    <w:rsid w:val="00A039C2"/>
    <w:rsid w:val="00A03F09"/>
    <w:rsid w:val="00A0457D"/>
    <w:rsid w:val="00A04B40"/>
    <w:rsid w:val="00A05833"/>
    <w:rsid w:val="00A05E46"/>
    <w:rsid w:val="00A068A5"/>
    <w:rsid w:val="00A06D26"/>
    <w:rsid w:val="00A06E99"/>
    <w:rsid w:val="00A06F67"/>
    <w:rsid w:val="00A106B0"/>
    <w:rsid w:val="00A10724"/>
    <w:rsid w:val="00A10BEF"/>
    <w:rsid w:val="00A13821"/>
    <w:rsid w:val="00A13A96"/>
    <w:rsid w:val="00A13BD4"/>
    <w:rsid w:val="00A15F94"/>
    <w:rsid w:val="00A17A60"/>
    <w:rsid w:val="00A206E1"/>
    <w:rsid w:val="00A207C2"/>
    <w:rsid w:val="00A2210E"/>
    <w:rsid w:val="00A23398"/>
    <w:rsid w:val="00A240C7"/>
    <w:rsid w:val="00A24CE7"/>
    <w:rsid w:val="00A24E53"/>
    <w:rsid w:val="00A252E2"/>
    <w:rsid w:val="00A25A51"/>
    <w:rsid w:val="00A27407"/>
    <w:rsid w:val="00A27AE3"/>
    <w:rsid w:val="00A3022C"/>
    <w:rsid w:val="00A305DE"/>
    <w:rsid w:val="00A3085D"/>
    <w:rsid w:val="00A311CC"/>
    <w:rsid w:val="00A35A7A"/>
    <w:rsid w:val="00A368A2"/>
    <w:rsid w:val="00A37231"/>
    <w:rsid w:val="00A3734C"/>
    <w:rsid w:val="00A37B7C"/>
    <w:rsid w:val="00A40E2F"/>
    <w:rsid w:val="00A425B6"/>
    <w:rsid w:val="00A42D15"/>
    <w:rsid w:val="00A4454F"/>
    <w:rsid w:val="00A45BF5"/>
    <w:rsid w:val="00A47872"/>
    <w:rsid w:val="00A5022E"/>
    <w:rsid w:val="00A50252"/>
    <w:rsid w:val="00A52657"/>
    <w:rsid w:val="00A52835"/>
    <w:rsid w:val="00A52A05"/>
    <w:rsid w:val="00A53039"/>
    <w:rsid w:val="00A537CA"/>
    <w:rsid w:val="00A53DEA"/>
    <w:rsid w:val="00A540FE"/>
    <w:rsid w:val="00A54C6C"/>
    <w:rsid w:val="00A563D9"/>
    <w:rsid w:val="00A5652A"/>
    <w:rsid w:val="00A56A3E"/>
    <w:rsid w:val="00A577A6"/>
    <w:rsid w:val="00A6265C"/>
    <w:rsid w:val="00A62B53"/>
    <w:rsid w:val="00A632AB"/>
    <w:rsid w:val="00A635EC"/>
    <w:rsid w:val="00A646EE"/>
    <w:rsid w:val="00A648AD"/>
    <w:rsid w:val="00A64C49"/>
    <w:rsid w:val="00A65141"/>
    <w:rsid w:val="00A65260"/>
    <w:rsid w:val="00A65949"/>
    <w:rsid w:val="00A65CDC"/>
    <w:rsid w:val="00A67603"/>
    <w:rsid w:val="00A706B9"/>
    <w:rsid w:val="00A71B69"/>
    <w:rsid w:val="00A71C48"/>
    <w:rsid w:val="00A74347"/>
    <w:rsid w:val="00A743FF"/>
    <w:rsid w:val="00A746FB"/>
    <w:rsid w:val="00A74C8B"/>
    <w:rsid w:val="00A7533E"/>
    <w:rsid w:val="00A75465"/>
    <w:rsid w:val="00A755BC"/>
    <w:rsid w:val="00A75FD2"/>
    <w:rsid w:val="00A760E8"/>
    <w:rsid w:val="00A76AA5"/>
    <w:rsid w:val="00A771B9"/>
    <w:rsid w:val="00A777CD"/>
    <w:rsid w:val="00A77ECA"/>
    <w:rsid w:val="00A803B6"/>
    <w:rsid w:val="00A808E4"/>
    <w:rsid w:val="00A80BCC"/>
    <w:rsid w:val="00A81201"/>
    <w:rsid w:val="00A81B0A"/>
    <w:rsid w:val="00A81E6F"/>
    <w:rsid w:val="00A82657"/>
    <w:rsid w:val="00A836F7"/>
    <w:rsid w:val="00A85D8C"/>
    <w:rsid w:val="00A85E24"/>
    <w:rsid w:val="00A86903"/>
    <w:rsid w:val="00A8773E"/>
    <w:rsid w:val="00A87A4E"/>
    <w:rsid w:val="00A87E40"/>
    <w:rsid w:val="00A90887"/>
    <w:rsid w:val="00A90964"/>
    <w:rsid w:val="00A90A7A"/>
    <w:rsid w:val="00A920A9"/>
    <w:rsid w:val="00A923D5"/>
    <w:rsid w:val="00A93A06"/>
    <w:rsid w:val="00A93CA4"/>
    <w:rsid w:val="00A94445"/>
    <w:rsid w:val="00A949C6"/>
    <w:rsid w:val="00A94BBF"/>
    <w:rsid w:val="00A97AD9"/>
    <w:rsid w:val="00A97B3C"/>
    <w:rsid w:val="00AA08BE"/>
    <w:rsid w:val="00AA0949"/>
    <w:rsid w:val="00AA0DAB"/>
    <w:rsid w:val="00AA139F"/>
    <w:rsid w:val="00AA150B"/>
    <w:rsid w:val="00AA1B6B"/>
    <w:rsid w:val="00AA1FBF"/>
    <w:rsid w:val="00AA34B5"/>
    <w:rsid w:val="00AA395B"/>
    <w:rsid w:val="00AA437C"/>
    <w:rsid w:val="00AA4A87"/>
    <w:rsid w:val="00AA549C"/>
    <w:rsid w:val="00AA5546"/>
    <w:rsid w:val="00AA5624"/>
    <w:rsid w:val="00AA57A8"/>
    <w:rsid w:val="00AA5E2F"/>
    <w:rsid w:val="00AA63C6"/>
    <w:rsid w:val="00AA66D6"/>
    <w:rsid w:val="00AA687E"/>
    <w:rsid w:val="00AA7027"/>
    <w:rsid w:val="00AA744C"/>
    <w:rsid w:val="00AA7B4D"/>
    <w:rsid w:val="00AA7B8C"/>
    <w:rsid w:val="00AB02DC"/>
    <w:rsid w:val="00AB092C"/>
    <w:rsid w:val="00AB1118"/>
    <w:rsid w:val="00AB23DF"/>
    <w:rsid w:val="00AB2B6E"/>
    <w:rsid w:val="00AB306F"/>
    <w:rsid w:val="00AB34BC"/>
    <w:rsid w:val="00AB389A"/>
    <w:rsid w:val="00AB3D17"/>
    <w:rsid w:val="00AB47C7"/>
    <w:rsid w:val="00AB47EE"/>
    <w:rsid w:val="00AB502E"/>
    <w:rsid w:val="00AB57F7"/>
    <w:rsid w:val="00AB63A3"/>
    <w:rsid w:val="00AB67F1"/>
    <w:rsid w:val="00AB6B9F"/>
    <w:rsid w:val="00AB6C7C"/>
    <w:rsid w:val="00AB6D80"/>
    <w:rsid w:val="00AB7651"/>
    <w:rsid w:val="00AB78F0"/>
    <w:rsid w:val="00AB7E10"/>
    <w:rsid w:val="00AB7FB7"/>
    <w:rsid w:val="00AC0F6D"/>
    <w:rsid w:val="00AC28DC"/>
    <w:rsid w:val="00AC2C43"/>
    <w:rsid w:val="00AC30BC"/>
    <w:rsid w:val="00AC3778"/>
    <w:rsid w:val="00AC6328"/>
    <w:rsid w:val="00AC64C6"/>
    <w:rsid w:val="00AC66BA"/>
    <w:rsid w:val="00AC6862"/>
    <w:rsid w:val="00AD1139"/>
    <w:rsid w:val="00AD24FC"/>
    <w:rsid w:val="00AD404E"/>
    <w:rsid w:val="00AD4082"/>
    <w:rsid w:val="00AD40B0"/>
    <w:rsid w:val="00AD50A8"/>
    <w:rsid w:val="00AD5EE1"/>
    <w:rsid w:val="00AD6241"/>
    <w:rsid w:val="00AD66A2"/>
    <w:rsid w:val="00AD6892"/>
    <w:rsid w:val="00AD79AD"/>
    <w:rsid w:val="00AE0497"/>
    <w:rsid w:val="00AE0850"/>
    <w:rsid w:val="00AE18F2"/>
    <w:rsid w:val="00AE2535"/>
    <w:rsid w:val="00AE2CA9"/>
    <w:rsid w:val="00AE30E4"/>
    <w:rsid w:val="00AE381D"/>
    <w:rsid w:val="00AE4468"/>
    <w:rsid w:val="00AE4486"/>
    <w:rsid w:val="00AE480E"/>
    <w:rsid w:val="00AE4B50"/>
    <w:rsid w:val="00AE5A18"/>
    <w:rsid w:val="00AE6073"/>
    <w:rsid w:val="00AE6EBF"/>
    <w:rsid w:val="00AE6FC3"/>
    <w:rsid w:val="00AE71F3"/>
    <w:rsid w:val="00AE79FE"/>
    <w:rsid w:val="00AE7A21"/>
    <w:rsid w:val="00AE7A78"/>
    <w:rsid w:val="00AE7B3E"/>
    <w:rsid w:val="00AE7F61"/>
    <w:rsid w:val="00AF0D7E"/>
    <w:rsid w:val="00AF0E5B"/>
    <w:rsid w:val="00AF17EC"/>
    <w:rsid w:val="00AF1AEC"/>
    <w:rsid w:val="00AF1E87"/>
    <w:rsid w:val="00AF2264"/>
    <w:rsid w:val="00AF2301"/>
    <w:rsid w:val="00AF2814"/>
    <w:rsid w:val="00AF291C"/>
    <w:rsid w:val="00AF2AEB"/>
    <w:rsid w:val="00AF3836"/>
    <w:rsid w:val="00AF387A"/>
    <w:rsid w:val="00AF38E6"/>
    <w:rsid w:val="00AF4610"/>
    <w:rsid w:val="00AF7656"/>
    <w:rsid w:val="00B003C5"/>
    <w:rsid w:val="00B00729"/>
    <w:rsid w:val="00B00AB1"/>
    <w:rsid w:val="00B00EBA"/>
    <w:rsid w:val="00B01059"/>
    <w:rsid w:val="00B0135E"/>
    <w:rsid w:val="00B01396"/>
    <w:rsid w:val="00B0147E"/>
    <w:rsid w:val="00B028A5"/>
    <w:rsid w:val="00B032A5"/>
    <w:rsid w:val="00B03640"/>
    <w:rsid w:val="00B048DC"/>
    <w:rsid w:val="00B04E46"/>
    <w:rsid w:val="00B065F6"/>
    <w:rsid w:val="00B0702B"/>
    <w:rsid w:val="00B07232"/>
    <w:rsid w:val="00B07246"/>
    <w:rsid w:val="00B07F4B"/>
    <w:rsid w:val="00B11766"/>
    <w:rsid w:val="00B1180E"/>
    <w:rsid w:val="00B11D88"/>
    <w:rsid w:val="00B1270E"/>
    <w:rsid w:val="00B12862"/>
    <w:rsid w:val="00B12C64"/>
    <w:rsid w:val="00B137C8"/>
    <w:rsid w:val="00B13993"/>
    <w:rsid w:val="00B15C6F"/>
    <w:rsid w:val="00B15F44"/>
    <w:rsid w:val="00B16979"/>
    <w:rsid w:val="00B16BCE"/>
    <w:rsid w:val="00B171DA"/>
    <w:rsid w:val="00B177DE"/>
    <w:rsid w:val="00B17CBB"/>
    <w:rsid w:val="00B21CC9"/>
    <w:rsid w:val="00B230F3"/>
    <w:rsid w:val="00B2495D"/>
    <w:rsid w:val="00B24ADF"/>
    <w:rsid w:val="00B24AF5"/>
    <w:rsid w:val="00B2605A"/>
    <w:rsid w:val="00B2631F"/>
    <w:rsid w:val="00B26B91"/>
    <w:rsid w:val="00B27271"/>
    <w:rsid w:val="00B27893"/>
    <w:rsid w:val="00B27DE0"/>
    <w:rsid w:val="00B3025A"/>
    <w:rsid w:val="00B307D0"/>
    <w:rsid w:val="00B30F87"/>
    <w:rsid w:val="00B33268"/>
    <w:rsid w:val="00B340F3"/>
    <w:rsid w:val="00B3526B"/>
    <w:rsid w:val="00B3622B"/>
    <w:rsid w:val="00B3650D"/>
    <w:rsid w:val="00B36893"/>
    <w:rsid w:val="00B36913"/>
    <w:rsid w:val="00B3758C"/>
    <w:rsid w:val="00B37E14"/>
    <w:rsid w:val="00B40625"/>
    <w:rsid w:val="00B40FD4"/>
    <w:rsid w:val="00B41077"/>
    <w:rsid w:val="00B41AA6"/>
    <w:rsid w:val="00B42D7E"/>
    <w:rsid w:val="00B4373F"/>
    <w:rsid w:val="00B43875"/>
    <w:rsid w:val="00B45421"/>
    <w:rsid w:val="00B45980"/>
    <w:rsid w:val="00B461B2"/>
    <w:rsid w:val="00B461E5"/>
    <w:rsid w:val="00B46B25"/>
    <w:rsid w:val="00B46BB8"/>
    <w:rsid w:val="00B47306"/>
    <w:rsid w:val="00B473DD"/>
    <w:rsid w:val="00B47AB3"/>
    <w:rsid w:val="00B47E11"/>
    <w:rsid w:val="00B500BB"/>
    <w:rsid w:val="00B504C4"/>
    <w:rsid w:val="00B5064A"/>
    <w:rsid w:val="00B50842"/>
    <w:rsid w:val="00B50C42"/>
    <w:rsid w:val="00B51A7B"/>
    <w:rsid w:val="00B522D3"/>
    <w:rsid w:val="00B52B33"/>
    <w:rsid w:val="00B5303C"/>
    <w:rsid w:val="00B53BCA"/>
    <w:rsid w:val="00B5420A"/>
    <w:rsid w:val="00B54508"/>
    <w:rsid w:val="00B545BB"/>
    <w:rsid w:val="00B5478B"/>
    <w:rsid w:val="00B55768"/>
    <w:rsid w:val="00B5587C"/>
    <w:rsid w:val="00B566D2"/>
    <w:rsid w:val="00B5683C"/>
    <w:rsid w:val="00B57F5F"/>
    <w:rsid w:val="00B6161A"/>
    <w:rsid w:val="00B61665"/>
    <w:rsid w:val="00B61EC5"/>
    <w:rsid w:val="00B637E7"/>
    <w:rsid w:val="00B63D66"/>
    <w:rsid w:val="00B668F7"/>
    <w:rsid w:val="00B710FC"/>
    <w:rsid w:val="00B714EB"/>
    <w:rsid w:val="00B72731"/>
    <w:rsid w:val="00B736AB"/>
    <w:rsid w:val="00B74B65"/>
    <w:rsid w:val="00B751E9"/>
    <w:rsid w:val="00B76F25"/>
    <w:rsid w:val="00B773DE"/>
    <w:rsid w:val="00B7772F"/>
    <w:rsid w:val="00B779A8"/>
    <w:rsid w:val="00B804E6"/>
    <w:rsid w:val="00B80C63"/>
    <w:rsid w:val="00B80EA3"/>
    <w:rsid w:val="00B81059"/>
    <w:rsid w:val="00B8121D"/>
    <w:rsid w:val="00B81447"/>
    <w:rsid w:val="00B81E35"/>
    <w:rsid w:val="00B822D1"/>
    <w:rsid w:val="00B82895"/>
    <w:rsid w:val="00B837B4"/>
    <w:rsid w:val="00B8454D"/>
    <w:rsid w:val="00B84AB3"/>
    <w:rsid w:val="00B858A1"/>
    <w:rsid w:val="00B863BA"/>
    <w:rsid w:val="00B86D74"/>
    <w:rsid w:val="00B8723D"/>
    <w:rsid w:val="00B9061C"/>
    <w:rsid w:val="00B91614"/>
    <w:rsid w:val="00B91767"/>
    <w:rsid w:val="00B91805"/>
    <w:rsid w:val="00B91E97"/>
    <w:rsid w:val="00B91FA6"/>
    <w:rsid w:val="00B92C12"/>
    <w:rsid w:val="00B92C44"/>
    <w:rsid w:val="00B93675"/>
    <w:rsid w:val="00B937F0"/>
    <w:rsid w:val="00B93C35"/>
    <w:rsid w:val="00B9429B"/>
    <w:rsid w:val="00B947ED"/>
    <w:rsid w:val="00B94AF4"/>
    <w:rsid w:val="00B9516D"/>
    <w:rsid w:val="00B966FD"/>
    <w:rsid w:val="00B97531"/>
    <w:rsid w:val="00BA2480"/>
    <w:rsid w:val="00BA2A3D"/>
    <w:rsid w:val="00BA40C4"/>
    <w:rsid w:val="00BA4BCF"/>
    <w:rsid w:val="00BA4C56"/>
    <w:rsid w:val="00BA5642"/>
    <w:rsid w:val="00BA56EF"/>
    <w:rsid w:val="00BA5C94"/>
    <w:rsid w:val="00BA5FCD"/>
    <w:rsid w:val="00BA5FDC"/>
    <w:rsid w:val="00BA649F"/>
    <w:rsid w:val="00BA7113"/>
    <w:rsid w:val="00BA790F"/>
    <w:rsid w:val="00BA79C7"/>
    <w:rsid w:val="00BB0D02"/>
    <w:rsid w:val="00BB15EF"/>
    <w:rsid w:val="00BB1624"/>
    <w:rsid w:val="00BB243F"/>
    <w:rsid w:val="00BB298E"/>
    <w:rsid w:val="00BB2ADB"/>
    <w:rsid w:val="00BB31CC"/>
    <w:rsid w:val="00BB3A0C"/>
    <w:rsid w:val="00BB3A23"/>
    <w:rsid w:val="00BB55C4"/>
    <w:rsid w:val="00BB65AC"/>
    <w:rsid w:val="00BC0EBA"/>
    <w:rsid w:val="00BC18FD"/>
    <w:rsid w:val="00BC3482"/>
    <w:rsid w:val="00BC498B"/>
    <w:rsid w:val="00BC5352"/>
    <w:rsid w:val="00BC5A70"/>
    <w:rsid w:val="00BC602A"/>
    <w:rsid w:val="00BC6F28"/>
    <w:rsid w:val="00BD0BF0"/>
    <w:rsid w:val="00BD0D05"/>
    <w:rsid w:val="00BD19FB"/>
    <w:rsid w:val="00BD23C5"/>
    <w:rsid w:val="00BD27DE"/>
    <w:rsid w:val="00BD28D2"/>
    <w:rsid w:val="00BD2909"/>
    <w:rsid w:val="00BD55CD"/>
    <w:rsid w:val="00BD6520"/>
    <w:rsid w:val="00BD715C"/>
    <w:rsid w:val="00BE0250"/>
    <w:rsid w:val="00BE0390"/>
    <w:rsid w:val="00BE0646"/>
    <w:rsid w:val="00BE1C64"/>
    <w:rsid w:val="00BE1D80"/>
    <w:rsid w:val="00BE211E"/>
    <w:rsid w:val="00BE213A"/>
    <w:rsid w:val="00BE23AF"/>
    <w:rsid w:val="00BE3249"/>
    <w:rsid w:val="00BE3654"/>
    <w:rsid w:val="00BE3798"/>
    <w:rsid w:val="00BE4A39"/>
    <w:rsid w:val="00BE4A86"/>
    <w:rsid w:val="00BE4E27"/>
    <w:rsid w:val="00BE51FE"/>
    <w:rsid w:val="00BE55EF"/>
    <w:rsid w:val="00BE593D"/>
    <w:rsid w:val="00BE5B85"/>
    <w:rsid w:val="00BE650D"/>
    <w:rsid w:val="00BE745C"/>
    <w:rsid w:val="00BE780F"/>
    <w:rsid w:val="00BF0386"/>
    <w:rsid w:val="00BF04CB"/>
    <w:rsid w:val="00BF04E7"/>
    <w:rsid w:val="00BF0E3C"/>
    <w:rsid w:val="00BF1963"/>
    <w:rsid w:val="00BF355D"/>
    <w:rsid w:val="00BF462A"/>
    <w:rsid w:val="00BF47DD"/>
    <w:rsid w:val="00BF5272"/>
    <w:rsid w:val="00BF5840"/>
    <w:rsid w:val="00BF5FA4"/>
    <w:rsid w:val="00BF6600"/>
    <w:rsid w:val="00BF692B"/>
    <w:rsid w:val="00BF7263"/>
    <w:rsid w:val="00BF76AE"/>
    <w:rsid w:val="00BF796C"/>
    <w:rsid w:val="00C00D4D"/>
    <w:rsid w:val="00C0232C"/>
    <w:rsid w:val="00C025A6"/>
    <w:rsid w:val="00C02C3F"/>
    <w:rsid w:val="00C03A92"/>
    <w:rsid w:val="00C05A28"/>
    <w:rsid w:val="00C05A34"/>
    <w:rsid w:val="00C05C2D"/>
    <w:rsid w:val="00C06198"/>
    <w:rsid w:val="00C0686B"/>
    <w:rsid w:val="00C073A9"/>
    <w:rsid w:val="00C11655"/>
    <w:rsid w:val="00C1173B"/>
    <w:rsid w:val="00C11D8F"/>
    <w:rsid w:val="00C13207"/>
    <w:rsid w:val="00C13682"/>
    <w:rsid w:val="00C14551"/>
    <w:rsid w:val="00C14D54"/>
    <w:rsid w:val="00C14F5E"/>
    <w:rsid w:val="00C166E7"/>
    <w:rsid w:val="00C17578"/>
    <w:rsid w:val="00C17ACD"/>
    <w:rsid w:val="00C20F31"/>
    <w:rsid w:val="00C210C9"/>
    <w:rsid w:val="00C21105"/>
    <w:rsid w:val="00C23019"/>
    <w:rsid w:val="00C23542"/>
    <w:rsid w:val="00C23A8C"/>
    <w:rsid w:val="00C23E8E"/>
    <w:rsid w:val="00C24FEE"/>
    <w:rsid w:val="00C2549E"/>
    <w:rsid w:val="00C26928"/>
    <w:rsid w:val="00C26DE2"/>
    <w:rsid w:val="00C27CEF"/>
    <w:rsid w:val="00C30704"/>
    <w:rsid w:val="00C322B6"/>
    <w:rsid w:val="00C32BC3"/>
    <w:rsid w:val="00C331A6"/>
    <w:rsid w:val="00C33E06"/>
    <w:rsid w:val="00C3408B"/>
    <w:rsid w:val="00C348C2"/>
    <w:rsid w:val="00C34BFF"/>
    <w:rsid w:val="00C35589"/>
    <w:rsid w:val="00C3677B"/>
    <w:rsid w:val="00C369F0"/>
    <w:rsid w:val="00C4044F"/>
    <w:rsid w:val="00C415F6"/>
    <w:rsid w:val="00C4186C"/>
    <w:rsid w:val="00C42A46"/>
    <w:rsid w:val="00C455F8"/>
    <w:rsid w:val="00C45F14"/>
    <w:rsid w:val="00C46183"/>
    <w:rsid w:val="00C4642F"/>
    <w:rsid w:val="00C46C9E"/>
    <w:rsid w:val="00C47136"/>
    <w:rsid w:val="00C50BC0"/>
    <w:rsid w:val="00C510B8"/>
    <w:rsid w:val="00C51BB8"/>
    <w:rsid w:val="00C52C1D"/>
    <w:rsid w:val="00C55A47"/>
    <w:rsid w:val="00C57868"/>
    <w:rsid w:val="00C57BA6"/>
    <w:rsid w:val="00C57D5E"/>
    <w:rsid w:val="00C6098C"/>
    <w:rsid w:val="00C61621"/>
    <w:rsid w:val="00C62B2C"/>
    <w:rsid w:val="00C63E88"/>
    <w:rsid w:val="00C64072"/>
    <w:rsid w:val="00C64EC1"/>
    <w:rsid w:val="00C650EE"/>
    <w:rsid w:val="00C6565D"/>
    <w:rsid w:val="00C658C9"/>
    <w:rsid w:val="00C710DB"/>
    <w:rsid w:val="00C72555"/>
    <w:rsid w:val="00C7356A"/>
    <w:rsid w:val="00C738AB"/>
    <w:rsid w:val="00C76318"/>
    <w:rsid w:val="00C80B05"/>
    <w:rsid w:val="00C80FA2"/>
    <w:rsid w:val="00C818DA"/>
    <w:rsid w:val="00C81914"/>
    <w:rsid w:val="00C81C11"/>
    <w:rsid w:val="00C82393"/>
    <w:rsid w:val="00C82418"/>
    <w:rsid w:val="00C830C0"/>
    <w:rsid w:val="00C831F9"/>
    <w:rsid w:val="00C837AE"/>
    <w:rsid w:val="00C83D5B"/>
    <w:rsid w:val="00C849C2"/>
    <w:rsid w:val="00C85CCA"/>
    <w:rsid w:val="00C86326"/>
    <w:rsid w:val="00C86F26"/>
    <w:rsid w:val="00C8784F"/>
    <w:rsid w:val="00C901A7"/>
    <w:rsid w:val="00C90C08"/>
    <w:rsid w:val="00C91051"/>
    <w:rsid w:val="00C9114E"/>
    <w:rsid w:val="00C9120D"/>
    <w:rsid w:val="00C912F7"/>
    <w:rsid w:val="00C91463"/>
    <w:rsid w:val="00C91479"/>
    <w:rsid w:val="00C925FC"/>
    <w:rsid w:val="00C929B3"/>
    <w:rsid w:val="00C93936"/>
    <w:rsid w:val="00C943AE"/>
    <w:rsid w:val="00C94807"/>
    <w:rsid w:val="00C94D60"/>
    <w:rsid w:val="00C9539A"/>
    <w:rsid w:val="00C95426"/>
    <w:rsid w:val="00C97FD7"/>
    <w:rsid w:val="00CA01CA"/>
    <w:rsid w:val="00CA0B94"/>
    <w:rsid w:val="00CA0C4E"/>
    <w:rsid w:val="00CA0C58"/>
    <w:rsid w:val="00CA1EB3"/>
    <w:rsid w:val="00CA2A33"/>
    <w:rsid w:val="00CA2BBE"/>
    <w:rsid w:val="00CA4BC9"/>
    <w:rsid w:val="00CA527B"/>
    <w:rsid w:val="00CA5A2F"/>
    <w:rsid w:val="00CA5A98"/>
    <w:rsid w:val="00CA6038"/>
    <w:rsid w:val="00CA6445"/>
    <w:rsid w:val="00CA64A2"/>
    <w:rsid w:val="00CA7073"/>
    <w:rsid w:val="00CB013F"/>
    <w:rsid w:val="00CB0D7C"/>
    <w:rsid w:val="00CB1BE2"/>
    <w:rsid w:val="00CB29BA"/>
    <w:rsid w:val="00CB2B51"/>
    <w:rsid w:val="00CB3AF6"/>
    <w:rsid w:val="00CB3C13"/>
    <w:rsid w:val="00CB4D51"/>
    <w:rsid w:val="00CB60C5"/>
    <w:rsid w:val="00CB6854"/>
    <w:rsid w:val="00CB78C3"/>
    <w:rsid w:val="00CC118B"/>
    <w:rsid w:val="00CC17FA"/>
    <w:rsid w:val="00CC1FC2"/>
    <w:rsid w:val="00CC2212"/>
    <w:rsid w:val="00CC3EC0"/>
    <w:rsid w:val="00CC4020"/>
    <w:rsid w:val="00CC4C23"/>
    <w:rsid w:val="00CC4F18"/>
    <w:rsid w:val="00CC50BA"/>
    <w:rsid w:val="00CC54E4"/>
    <w:rsid w:val="00CC5F47"/>
    <w:rsid w:val="00CC61D1"/>
    <w:rsid w:val="00CC6415"/>
    <w:rsid w:val="00CC7247"/>
    <w:rsid w:val="00CC7AA1"/>
    <w:rsid w:val="00CC7D9A"/>
    <w:rsid w:val="00CD0104"/>
    <w:rsid w:val="00CD0653"/>
    <w:rsid w:val="00CD08F2"/>
    <w:rsid w:val="00CD0BC8"/>
    <w:rsid w:val="00CD10BA"/>
    <w:rsid w:val="00CD16F7"/>
    <w:rsid w:val="00CD1FE9"/>
    <w:rsid w:val="00CD25E3"/>
    <w:rsid w:val="00CD28B1"/>
    <w:rsid w:val="00CD2B06"/>
    <w:rsid w:val="00CD2F7E"/>
    <w:rsid w:val="00CD348E"/>
    <w:rsid w:val="00CD3C62"/>
    <w:rsid w:val="00CD41BC"/>
    <w:rsid w:val="00CD45E4"/>
    <w:rsid w:val="00CD5422"/>
    <w:rsid w:val="00CD567A"/>
    <w:rsid w:val="00CD5D1F"/>
    <w:rsid w:val="00CD6351"/>
    <w:rsid w:val="00CD6439"/>
    <w:rsid w:val="00CD66C4"/>
    <w:rsid w:val="00CD68C0"/>
    <w:rsid w:val="00CD7131"/>
    <w:rsid w:val="00CE07E3"/>
    <w:rsid w:val="00CE12E1"/>
    <w:rsid w:val="00CE1606"/>
    <w:rsid w:val="00CE1E89"/>
    <w:rsid w:val="00CE29AF"/>
    <w:rsid w:val="00CE369D"/>
    <w:rsid w:val="00CE42F4"/>
    <w:rsid w:val="00CE4404"/>
    <w:rsid w:val="00CE527D"/>
    <w:rsid w:val="00CE620E"/>
    <w:rsid w:val="00CE7E22"/>
    <w:rsid w:val="00CF05AF"/>
    <w:rsid w:val="00CF1944"/>
    <w:rsid w:val="00CF1ED5"/>
    <w:rsid w:val="00CF23F9"/>
    <w:rsid w:val="00CF267F"/>
    <w:rsid w:val="00CF2AF5"/>
    <w:rsid w:val="00CF4CF9"/>
    <w:rsid w:val="00CF504E"/>
    <w:rsid w:val="00CF50BC"/>
    <w:rsid w:val="00CF6B8A"/>
    <w:rsid w:val="00CF6CA5"/>
    <w:rsid w:val="00CF7C1F"/>
    <w:rsid w:val="00D008B6"/>
    <w:rsid w:val="00D008FA"/>
    <w:rsid w:val="00D009CB"/>
    <w:rsid w:val="00D01179"/>
    <w:rsid w:val="00D0126B"/>
    <w:rsid w:val="00D015A2"/>
    <w:rsid w:val="00D01BE0"/>
    <w:rsid w:val="00D02773"/>
    <w:rsid w:val="00D031A5"/>
    <w:rsid w:val="00D03940"/>
    <w:rsid w:val="00D0410E"/>
    <w:rsid w:val="00D04930"/>
    <w:rsid w:val="00D04E19"/>
    <w:rsid w:val="00D050A1"/>
    <w:rsid w:val="00D05202"/>
    <w:rsid w:val="00D060DD"/>
    <w:rsid w:val="00D06173"/>
    <w:rsid w:val="00D06D25"/>
    <w:rsid w:val="00D06F74"/>
    <w:rsid w:val="00D07933"/>
    <w:rsid w:val="00D07C0A"/>
    <w:rsid w:val="00D07E87"/>
    <w:rsid w:val="00D07F01"/>
    <w:rsid w:val="00D11146"/>
    <w:rsid w:val="00D11506"/>
    <w:rsid w:val="00D118AA"/>
    <w:rsid w:val="00D11C38"/>
    <w:rsid w:val="00D13471"/>
    <w:rsid w:val="00D13656"/>
    <w:rsid w:val="00D13A82"/>
    <w:rsid w:val="00D13DB7"/>
    <w:rsid w:val="00D14155"/>
    <w:rsid w:val="00D14784"/>
    <w:rsid w:val="00D14C16"/>
    <w:rsid w:val="00D16140"/>
    <w:rsid w:val="00D162BA"/>
    <w:rsid w:val="00D1698D"/>
    <w:rsid w:val="00D17D34"/>
    <w:rsid w:val="00D2058F"/>
    <w:rsid w:val="00D205B3"/>
    <w:rsid w:val="00D210F4"/>
    <w:rsid w:val="00D2141D"/>
    <w:rsid w:val="00D23099"/>
    <w:rsid w:val="00D2322B"/>
    <w:rsid w:val="00D232CB"/>
    <w:rsid w:val="00D23C74"/>
    <w:rsid w:val="00D23C9E"/>
    <w:rsid w:val="00D2422A"/>
    <w:rsid w:val="00D2431A"/>
    <w:rsid w:val="00D2443A"/>
    <w:rsid w:val="00D24604"/>
    <w:rsid w:val="00D25908"/>
    <w:rsid w:val="00D25987"/>
    <w:rsid w:val="00D25A06"/>
    <w:rsid w:val="00D25D09"/>
    <w:rsid w:val="00D25ED1"/>
    <w:rsid w:val="00D264E2"/>
    <w:rsid w:val="00D26F1A"/>
    <w:rsid w:val="00D27D90"/>
    <w:rsid w:val="00D27F43"/>
    <w:rsid w:val="00D300D7"/>
    <w:rsid w:val="00D308D5"/>
    <w:rsid w:val="00D31950"/>
    <w:rsid w:val="00D31B45"/>
    <w:rsid w:val="00D32BE3"/>
    <w:rsid w:val="00D33323"/>
    <w:rsid w:val="00D335FE"/>
    <w:rsid w:val="00D3361D"/>
    <w:rsid w:val="00D35769"/>
    <w:rsid w:val="00D37090"/>
    <w:rsid w:val="00D37F17"/>
    <w:rsid w:val="00D4048F"/>
    <w:rsid w:val="00D40688"/>
    <w:rsid w:val="00D40B29"/>
    <w:rsid w:val="00D40C28"/>
    <w:rsid w:val="00D40F06"/>
    <w:rsid w:val="00D41016"/>
    <w:rsid w:val="00D41069"/>
    <w:rsid w:val="00D41323"/>
    <w:rsid w:val="00D41C8F"/>
    <w:rsid w:val="00D42504"/>
    <w:rsid w:val="00D4295E"/>
    <w:rsid w:val="00D43428"/>
    <w:rsid w:val="00D44402"/>
    <w:rsid w:val="00D450A2"/>
    <w:rsid w:val="00D466FB"/>
    <w:rsid w:val="00D4693B"/>
    <w:rsid w:val="00D46C00"/>
    <w:rsid w:val="00D46C60"/>
    <w:rsid w:val="00D47755"/>
    <w:rsid w:val="00D50018"/>
    <w:rsid w:val="00D501C1"/>
    <w:rsid w:val="00D50987"/>
    <w:rsid w:val="00D520C8"/>
    <w:rsid w:val="00D5366B"/>
    <w:rsid w:val="00D53740"/>
    <w:rsid w:val="00D538E7"/>
    <w:rsid w:val="00D541E9"/>
    <w:rsid w:val="00D54AD3"/>
    <w:rsid w:val="00D55C73"/>
    <w:rsid w:val="00D56561"/>
    <w:rsid w:val="00D579A0"/>
    <w:rsid w:val="00D60542"/>
    <w:rsid w:val="00D62F74"/>
    <w:rsid w:val="00D636E1"/>
    <w:rsid w:val="00D6419E"/>
    <w:rsid w:val="00D65641"/>
    <w:rsid w:val="00D67AF0"/>
    <w:rsid w:val="00D703D1"/>
    <w:rsid w:val="00D7048B"/>
    <w:rsid w:val="00D71118"/>
    <w:rsid w:val="00D7281F"/>
    <w:rsid w:val="00D72C81"/>
    <w:rsid w:val="00D73121"/>
    <w:rsid w:val="00D737B4"/>
    <w:rsid w:val="00D73D7B"/>
    <w:rsid w:val="00D74ED2"/>
    <w:rsid w:val="00D763FA"/>
    <w:rsid w:val="00D7672F"/>
    <w:rsid w:val="00D768B8"/>
    <w:rsid w:val="00D76A95"/>
    <w:rsid w:val="00D77878"/>
    <w:rsid w:val="00D801CC"/>
    <w:rsid w:val="00D80CD3"/>
    <w:rsid w:val="00D80EC3"/>
    <w:rsid w:val="00D81465"/>
    <w:rsid w:val="00D81859"/>
    <w:rsid w:val="00D824BB"/>
    <w:rsid w:val="00D82536"/>
    <w:rsid w:val="00D836E0"/>
    <w:rsid w:val="00D84997"/>
    <w:rsid w:val="00D84B02"/>
    <w:rsid w:val="00D85429"/>
    <w:rsid w:val="00D85D50"/>
    <w:rsid w:val="00D864C9"/>
    <w:rsid w:val="00D866D2"/>
    <w:rsid w:val="00D87190"/>
    <w:rsid w:val="00D90398"/>
    <w:rsid w:val="00D90E2D"/>
    <w:rsid w:val="00D90F3D"/>
    <w:rsid w:val="00D9303D"/>
    <w:rsid w:val="00D93212"/>
    <w:rsid w:val="00D933E0"/>
    <w:rsid w:val="00D9370F"/>
    <w:rsid w:val="00D947BC"/>
    <w:rsid w:val="00D9491C"/>
    <w:rsid w:val="00D967BA"/>
    <w:rsid w:val="00D96F66"/>
    <w:rsid w:val="00DA014B"/>
    <w:rsid w:val="00DA0BEB"/>
    <w:rsid w:val="00DA137B"/>
    <w:rsid w:val="00DA13F0"/>
    <w:rsid w:val="00DA294D"/>
    <w:rsid w:val="00DA360D"/>
    <w:rsid w:val="00DA3731"/>
    <w:rsid w:val="00DA417A"/>
    <w:rsid w:val="00DA5211"/>
    <w:rsid w:val="00DA53A0"/>
    <w:rsid w:val="00DA5AC0"/>
    <w:rsid w:val="00DA6533"/>
    <w:rsid w:val="00DA68FE"/>
    <w:rsid w:val="00DA722E"/>
    <w:rsid w:val="00DA78A5"/>
    <w:rsid w:val="00DB1D17"/>
    <w:rsid w:val="00DB1F8F"/>
    <w:rsid w:val="00DB25AD"/>
    <w:rsid w:val="00DB30EF"/>
    <w:rsid w:val="00DB38CB"/>
    <w:rsid w:val="00DB3A86"/>
    <w:rsid w:val="00DB4A64"/>
    <w:rsid w:val="00DB60B8"/>
    <w:rsid w:val="00DB6933"/>
    <w:rsid w:val="00DB6F3E"/>
    <w:rsid w:val="00DB74C2"/>
    <w:rsid w:val="00DB76FB"/>
    <w:rsid w:val="00DC00D1"/>
    <w:rsid w:val="00DC035B"/>
    <w:rsid w:val="00DC1226"/>
    <w:rsid w:val="00DC1D8D"/>
    <w:rsid w:val="00DC20E5"/>
    <w:rsid w:val="00DC24EE"/>
    <w:rsid w:val="00DC2E70"/>
    <w:rsid w:val="00DC4348"/>
    <w:rsid w:val="00DC52AE"/>
    <w:rsid w:val="00DC5C7E"/>
    <w:rsid w:val="00DC650E"/>
    <w:rsid w:val="00DC78AD"/>
    <w:rsid w:val="00DD0018"/>
    <w:rsid w:val="00DD02A4"/>
    <w:rsid w:val="00DD03DF"/>
    <w:rsid w:val="00DD0665"/>
    <w:rsid w:val="00DD2954"/>
    <w:rsid w:val="00DD3A51"/>
    <w:rsid w:val="00DD4261"/>
    <w:rsid w:val="00DD4700"/>
    <w:rsid w:val="00DD4A22"/>
    <w:rsid w:val="00DD4C85"/>
    <w:rsid w:val="00DD4CE6"/>
    <w:rsid w:val="00DD4FD4"/>
    <w:rsid w:val="00DD56D9"/>
    <w:rsid w:val="00DD6D23"/>
    <w:rsid w:val="00DD73BC"/>
    <w:rsid w:val="00DD763B"/>
    <w:rsid w:val="00DD7BFD"/>
    <w:rsid w:val="00DE0127"/>
    <w:rsid w:val="00DE1A02"/>
    <w:rsid w:val="00DE3320"/>
    <w:rsid w:val="00DE5FEE"/>
    <w:rsid w:val="00DE6A8F"/>
    <w:rsid w:val="00DE6B85"/>
    <w:rsid w:val="00DE6BE6"/>
    <w:rsid w:val="00DE7096"/>
    <w:rsid w:val="00DE759D"/>
    <w:rsid w:val="00DE7763"/>
    <w:rsid w:val="00DF0F64"/>
    <w:rsid w:val="00DF1AAD"/>
    <w:rsid w:val="00DF1EB6"/>
    <w:rsid w:val="00DF37A1"/>
    <w:rsid w:val="00DF4009"/>
    <w:rsid w:val="00DF46CE"/>
    <w:rsid w:val="00DF4C06"/>
    <w:rsid w:val="00DF52E1"/>
    <w:rsid w:val="00DF588C"/>
    <w:rsid w:val="00DF5A99"/>
    <w:rsid w:val="00DF610B"/>
    <w:rsid w:val="00DF68F9"/>
    <w:rsid w:val="00DF6926"/>
    <w:rsid w:val="00DF7435"/>
    <w:rsid w:val="00E00CCE"/>
    <w:rsid w:val="00E02E2A"/>
    <w:rsid w:val="00E02FB0"/>
    <w:rsid w:val="00E04298"/>
    <w:rsid w:val="00E05066"/>
    <w:rsid w:val="00E05496"/>
    <w:rsid w:val="00E05855"/>
    <w:rsid w:val="00E05C6C"/>
    <w:rsid w:val="00E05E91"/>
    <w:rsid w:val="00E10769"/>
    <w:rsid w:val="00E108B9"/>
    <w:rsid w:val="00E10D9E"/>
    <w:rsid w:val="00E11806"/>
    <w:rsid w:val="00E11D35"/>
    <w:rsid w:val="00E11F78"/>
    <w:rsid w:val="00E120D8"/>
    <w:rsid w:val="00E12B14"/>
    <w:rsid w:val="00E15726"/>
    <w:rsid w:val="00E157E1"/>
    <w:rsid w:val="00E160A9"/>
    <w:rsid w:val="00E202EE"/>
    <w:rsid w:val="00E206F7"/>
    <w:rsid w:val="00E2182C"/>
    <w:rsid w:val="00E22159"/>
    <w:rsid w:val="00E22E1D"/>
    <w:rsid w:val="00E243CA"/>
    <w:rsid w:val="00E26C89"/>
    <w:rsid w:val="00E26FE2"/>
    <w:rsid w:val="00E27D08"/>
    <w:rsid w:val="00E31081"/>
    <w:rsid w:val="00E311AC"/>
    <w:rsid w:val="00E31460"/>
    <w:rsid w:val="00E3291F"/>
    <w:rsid w:val="00E32CBE"/>
    <w:rsid w:val="00E33E27"/>
    <w:rsid w:val="00E342D7"/>
    <w:rsid w:val="00E3463E"/>
    <w:rsid w:val="00E357B2"/>
    <w:rsid w:val="00E3610D"/>
    <w:rsid w:val="00E361F0"/>
    <w:rsid w:val="00E36462"/>
    <w:rsid w:val="00E37023"/>
    <w:rsid w:val="00E375FE"/>
    <w:rsid w:val="00E402F4"/>
    <w:rsid w:val="00E40B0D"/>
    <w:rsid w:val="00E416E1"/>
    <w:rsid w:val="00E41720"/>
    <w:rsid w:val="00E417FF"/>
    <w:rsid w:val="00E419DF"/>
    <w:rsid w:val="00E42CE4"/>
    <w:rsid w:val="00E43C12"/>
    <w:rsid w:val="00E43C97"/>
    <w:rsid w:val="00E43EA1"/>
    <w:rsid w:val="00E43FBE"/>
    <w:rsid w:val="00E449E3"/>
    <w:rsid w:val="00E45B86"/>
    <w:rsid w:val="00E46187"/>
    <w:rsid w:val="00E46916"/>
    <w:rsid w:val="00E46F0D"/>
    <w:rsid w:val="00E501EF"/>
    <w:rsid w:val="00E502D1"/>
    <w:rsid w:val="00E517E1"/>
    <w:rsid w:val="00E52091"/>
    <w:rsid w:val="00E52A44"/>
    <w:rsid w:val="00E538CC"/>
    <w:rsid w:val="00E541C5"/>
    <w:rsid w:val="00E54694"/>
    <w:rsid w:val="00E549D3"/>
    <w:rsid w:val="00E54D20"/>
    <w:rsid w:val="00E55279"/>
    <w:rsid w:val="00E55A89"/>
    <w:rsid w:val="00E55C01"/>
    <w:rsid w:val="00E5608D"/>
    <w:rsid w:val="00E56443"/>
    <w:rsid w:val="00E56AAF"/>
    <w:rsid w:val="00E57467"/>
    <w:rsid w:val="00E57496"/>
    <w:rsid w:val="00E6159D"/>
    <w:rsid w:val="00E625A6"/>
    <w:rsid w:val="00E626F4"/>
    <w:rsid w:val="00E628CC"/>
    <w:rsid w:val="00E6314E"/>
    <w:rsid w:val="00E6315D"/>
    <w:rsid w:val="00E640BC"/>
    <w:rsid w:val="00E646E1"/>
    <w:rsid w:val="00E647C8"/>
    <w:rsid w:val="00E64908"/>
    <w:rsid w:val="00E65562"/>
    <w:rsid w:val="00E65A3F"/>
    <w:rsid w:val="00E667D1"/>
    <w:rsid w:val="00E675A6"/>
    <w:rsid w:val="00E677D7"/>
    <w:rsid w:val="00E67C64"/>
    <w:rsid w:val="00E703A0"/>
    <w:rsid w:val="00E70876"/>
    <w:rsid w:val="00E712D7"/>
    <w:rsid w:val="00E713CC"/>
    <w:rsid w:val="00E71420"/>
    <w:rsid w:val="00E71EF9"/>
    <w:rsid w:val="00E72B38"/>
    <w:rsid w:val="00E73062"/>
    <w:rsid w:val="00E73C72"/>
    <w:rsid w:val="00E744F1"/>
    <w:rsid w:val="00E74FF5"/>
    <w:rsid w:val="00E762F1"/>
    <w:rsid w:val="00E770E2"/>
    <w:rsid w:val="00E777EB"/>
    <w:rsid w:val="00E801A0"/>
    <w:rsid w:val="00E80750"/>
    <w:rsid w:val="00E81193"/>
    <w:rsid w:val="00E81A82"/>
    <w:rsid w:val="00E81B2B"/>
    <w:rsid w:val="00E8257B"/>
    <w:rsid w:val="00E827D7"/>
    <w:rsid w:val="00E82992"/>
    <w:rsid w:val="00E82FB5"/>
    <w:rsid w:val="00E83A86"/>
    <w:rsid w:val="00E83C37"/>
    <w:rsid w:val="00E83CEC"/>
    <w:rsid w:val="00E83FF3"/>
    <w:rsid w:val="00E84812"/>
    <w:rsid w:val="00E85180"/>
    <w:rsid w:val="00E85D9D"/>
    <w:rsid w:val="00E864D6"/>
    <w:rsid w:val="00E86E4A"/>
    <w:rsid w:val="00E87863"/>
    <w:rsid w:val="00E9041A"/>
    <w:rsid w:val="00E90E78"/>
    <w:rsid w:val="00E9194B"/>
    <w:rsid w:val="00E91D5D"/>
    <w:rsid w:val="00E92A2E"/>
    <w:rsid w:val="00E92E3C"/>
    <w:rsid w:val="00E93048"/>
    <w:rsid w:val="00E934C8"/>
    <w:rsid w:val="00E935CE"/>
    <w:rsid w:val="00E9416E"/>
    <w:rsid w:val="00E941FA"/>
    <w:rsid w:val="00E9496A"/>
    <w:rsid w:val="00E949A0"/>
    <w:rsid w:val="00E94DA0"/>
    <w:rsid w:val="00E95892"/>
    <w:rsid w:val="00E960B5"/>
    <w:rsid w:val="00E963B3"/>
    <w:rsid w:val="00E96E7C"/>
    <w:rsid w:val="00E9720F"/>
    <w:rsid w:val="00E974E3"/>
    <w:rsid w:val="00E97746"/>
    <w:rsid w:val="00EA0060"/>
    <w:rsid w:val="00EA0B7A"/>
    <w:rsid w:val="00EA1B95"/>
    <w:rsid w:val="00EA3408"/>
    <w:rsid w:val="00EA35CF"/>
    <w:rsid w:val="00EA402E"/>
    <w:rsid w:val="00EA5285"/>
    <w:rsid w:val="00EA5CC3"/>
    <w:rsid w:val="00EA6EA2"/>
    <w:rsid w:val="00EA7423"/>
    <w:rsid w:val="00EA7B97"/>
    <w:rsid w:val="00EB0536"/>
    <w:rsid w:val="00EB072E"/>
    <w:rsid w:val="00EB0878"/>
    <w:rsid w:val="00EB26BA"/>
    <w:rsid w:val="00EB2EC2"/>
    <w:rsid w:val="00EB2F2A"/>
    <w:rsid w:val="00EB5380"/>
    <w:rsid w:val="00EB5A04"/>
    <w:rsid w:val="00EB7787"/>
    <w:rsid w:val="00EB7A4F"/>
    <w:rsid w:val="00EB7E4E"/>
    <w:rsid w:val="00EC0A81"/>
    <w:rsid w:val="00EC3BA9"/>
    <w:rsid w:val="00EC4474"/>
    <w:rsid w:val="00EC4856"/>
    <w:rsid w:val="00EC4EFA"/>
    <w:rsid w:val="00EC5B3F"/>
    <w:rsid w:val="00EC6096"/>
    <w:rsid w:val="00EC6600"/>
    <w:rsid w:val="00EC6FD9"/>
    <w:rsid w:val="00EC7D80"/>
    <w:rsid w:val="00ED1863"/>
    <w:rsid w:val="00ED3169"/>
    <w:rsid w:val="00ED3B2A"/>
    <w:rsid w:val="00ED443F"/>
    <w:rsid w:val="00ED689F"/>
    <w:rsid w:val="00ED6AED"/>
    <w:rsid w:val="00ED72B2"/>
    <w:rsid w:val="00EE0B68"/>
    <w:rsid w:val="00EE0C48"/>
    <w:rsid w:val="00EE180F"/>
    <w:rsid w:val="00EE284C"/>
    <w:rsid w:val="00EE2A7D"/>
    <w:rsid w:val="00EE3117"/>
    <w:rsid w:val="00EE3DF5"/>
    <w:rsid w:val="00EE3FE6"/>
    <w:rsid w:val="00EE475D"/>
    <w:rsid w:val="00EE66F3"/>
    <w:rsid w:val="00EE75CA"/>
    <w:rsid w:val="00EE7C4C"/>
    <w:rsid w:val="00EF0E54"/>
    <w:rsid w:val="00EF1BDB"/>
    <w:rsid w:val="00EF1DDD"/>
    <w:rsid w:val="00EF48BC"/>
    <w:rsid w:val="00EF5090"/>
    <w:rsid w:val="00EF6341"/>
    <w:rsid w:val="00EF6774"/>
    <w:rsid w:val="00EF6904"/>
    <w:rsid w:val="00EF78AC"/>
    <w:rsid w:val="00F00846"/>
    <w:rsid w:val="00F020E8"/>
    <w:rsid w:val="00F02621"/>
    <w:rsid w:val="00F02E84"/>
    <w:rsid w:val="00F0325F"/>
    <w:rsid w:val="00F035C5"/>
    <w:rsid w:val="00F03681"/>
    <w:rsid w:val="00F045AC"/>
    <w:rsid w:val="00F0487C"/>
    <w:rsid w:val="00F04BA1"/>
    <w:rsid w:val="00F04FC8"/>
    <w:rsid w:val="00F0542B"/>
    <w:rsid w:val="00F0560A"/>
    <w:rsid w:val="00F10659"/>
    <w:rsid w:val="00F10733"/>
    <w:rsid w:val="00F10985"/>
    <w:rsid w:val="00F10ABF"/>
    <w:rsid w:val="00F10FD6"/>
    <w:rsid w:val="00F11F74"/>
    <w:rsid w:val="00F1360E"/>
    <w:rsid w:val="00F148A4"/>
    <w:rsid w:val="00F158D7"/>
    <w:rsid w:val="00F15BDF"/>
    <w:rsid w:val="00F1607C"/>
    <w:rsid w:val="00F16EF0"/>
    <w:rsid w:val="00F20EE5"/>
    <w:rsid w:val="00F217DE"/>
    <w:rsid w:val="00F225F1"/>
    <w:rsid w:val="00F22D0C"/>
    <w:rsid w:val="00F23114"/>
    <w:rsid w:val="00F23E00"/>
    <w:rsid w:val="00F2402F"/>
    <w:rsid w:val="00F2410A"/>
    <w:rsid w:val="00F24C7A"/>
    <w:rsid w:val="00F2535D"/>
    <w:rsid w:val="00F253D7"/>
    <w:rsid w:val="00F273AF"/>
    <w:rsid w:val="00F27D60"/>
    <w:rsid w:val="00F27F46"/>
    <w:rsid w:val="00F3096D"/>
    <w:rsid w:val="00F30CDC"/>
    <w:rsid w:val="00F31313"/>
    <w:rsid w:val="00F3167F"/>
    <w:rsid w:val="00F318B1"/>
    <w:rsid w:val="00F3228A"/>
    <w:rsid w:val="00F336F0"/>
    <w:rsid w:val="00F340BA"/>
    <w:rsid w:val="00F347B8"/>
    <w:rsid w:val="00F34939"/>
    <w:rsid w:val="00F34C29"/>
    <w:rsid w:val="00F3552C"/>
    <w:rsid w:val="00F364B4"/>
    <w:rsid w:val="00F37541"/>
    <w:rsid w:val="00F375AC"/>
    <w:rsid w:val="00F37878"/>
    <w:rsid w:val="00F4021C"/>
    <w:rsid w:val="00F40F4C"/>
    <w:rsid w:val="00F41243"/>
    <w:rsid w:val="00F4222C"/>
    <w:rsid w:val="00F42655"/>
    <w:rsid w:val="00F429A1"/>
    <w:rsid w:val="00F43D64"/>
    <w:rsid w:val="00F440F9"/>
    <w:rsid w:val="00F44833"/>
    <w:rsid w:val="00F44BA7"/>
    <w:rsid w:val="00F45547"/>
    <w:rsid w:val="00F45A60"/>
    <w:rsid w:val="00F45EAA"/>
    <w:rsid w:val="00F45FA6"/>
    <w:rsid w:val="00F4690B"/>
    <w:rsid w:val="00F50584"/>
    <w:rsid w:val="00F50DFD"/>
    <w:rsid w:val="00F53B70"/>
    <w:rsid w:val="00F53C3A"/>
    <w:rsid w:val="00F544B0"/>
    <w:rsid w:val="00F554B0"/>
    <w:rsid w:val="00F555BA"/>
    <w:rsid w:val="00F5587E"/>
    <w:rsid w:val="00F57CA5"/>
    <w:rsid w:val="00F606D0"/>
    <w:rsid w:val="00F617F6"/>
    <w:rsid w:val="00F62FB5"/>
    <w:rsid w:val="00F638B3"/>
    <w:rsid w:val="00F63AB2"/>
    <w:rsid w:val="00F63AF3"/>
    <w:rsid w:val="00F64A26"/>
    <w:rsid w:val="00F660A5"/>
    <w:rsid w:val="00F67192"/>
    <w:rsid w:val="00F67C87"/>
    <w:rsid w:val="00F67FBB"/>
    <w:rsid w:val="00F706FB"/>
    <w:rsid w:val="00F70A0E"/>
    <w:rsid w:val="00F71DEE"/>
    <w:rsid w:val="00F73456"/>
    <w:rsid w:val="00F742F1"/>
    <w:rsid w:val="00F758EC"/>
    <w:rsid w:val="00F75B17"/>
    <w:rsid w:val="00F75DDA"/>
    <w:rsid w:val="00F764C8"/>
    <w:rsid w:val="00F77009"/>
    <w:rsid w:val="00F7734F"/>
    <w:rsid w:val="00F804DA"/>
    <w:rsid w:val="00F807CC"/>
    <w:rsid w:val="00F818BB"/>
    <w:rsid w:val="00F82316"/>
    <w:rsid w:val="00F82698"/>
    <w:rsid w:val="00F82C8A"/>
    <w:rsid w:val="00F82ED4"/>
    <w:rsid w:val="00F8423A"/>
    <w:rsid w:val="00F84C23"/>
    <w:rsid w:val="00F85E2A"/>
    <w:rsid w:val="00F866AA"/>
    <w:rsid w:val="00F87AB9"/>
    <w:rsid w:val="00F9282E"/>
    <w:rsid w:val="00F93DD9"/>
    <w:rsid w:val="00F94CA2"/>
    <w:rsid w:val="00F94DE0"/>
    <w:rsid w:val="00F95627"/>
    <w:rsid w:val="00F95B24"/>
    <w:rsid w:val="00F95EF5"/>
    <w:rsid w:val="00F95F45"/>
    <w:rsid w:val="00F96612"/>
    <w:rsid w:val="00F96F07"/>
    <w:rsid w:val="00F977F0"/>
    <w:rsid w:val="00F9781C"/>
    <w:rsid w:val="00F97A2B"/>
    <w:rsid w:val="00FA0474"/>
    <w:rsid w:val="00FA065A"/>
    <w:rsid w:val="00FA0753"/>
    <w:rsid w:val="00FA07B2"/>
    <w:rsid w:val="00FA08DD"/>
    <w:rsid w:val="00FA1EB1"/>
    <w:rsid w:val="00FA25D9"/>
    <w:rsid w:val="00FA2A85"/>
    <w:rsid w:val="00FA32DA"/>
    <w:rsid w:val="00FA3359"/>
    <w:rsid w:val="00FA4776"/>
    <w:rsid w:val="00FA4802"/>
    <w:rsid w:val="00FA4E33"/>
    <w:rsid w:val="00FA645B"/>
    <w:rsid w:val="00FA669D"/>
    <w:rsid w:val="00FA6ABA"/>
    <w:rsid w:val="00FA6D4E"/>
    <w:rsid w:val="00FA7604"/>
    <w:rsid w:val="00FA77D9"/>
    <w:rsid w:val="00FB012C"/>
    <w:rsid w:val="00FB0D8B"/>
    <w:rsid w:val="00FB11AA"/>
    <w:rsid w:val="00FB1AFE"/>
    <w:rsid w:val="00FB23D6"/>
    <w:rsid w:val="00FB2D86"/>
    <w:rsid w:val="00FB38A5"/>
    <w:rsid w:val="00FB39F9"/>
    <w:rsid w:val="00FB40A5"/>
    <w:rsid w:val="00FB40F4"/>
    <w:rsid w:val="00FB4391"/>
    <w:rsid w:val="00FB43D2"/>
    <w:rsid w:val="00FB46CD"/>
    <w:rsid w:val="00FB4921"/>
    <w:rsid w:val="00FB4D1B"/>
    <w:rsid w:val="00FB5049"/>
    <w:rsid w:val="00FB75A1"/>
    <w:rsid w:val="00FB7833"/>
    <w:rsid w:val="00FB7C7C"/>
    <w:rsid w:val="00FC0057"/>
    <w:rsid w:val="00FC1E97"/>
    <w:rsid w:val="00FC33A8"/>
    <w:rsid w:val="00FC358B"/>
    <w:rsid w:val="00FC3B45"/>
    <w:rsid w:val="00FC4682"/>
    <w:rsid w:val="00FC4C44"/>
    <w:rsid w:val="00FC4FBC"/>
    <w:rsid w:val="00FC4FFE"/>
    <w:rsid w:val="00FD0175"/>
    <w:rsid w:val="00FD24DE"/>
    <w:rsid w:val="00FD3BAA"/>
    <w:rsid w:val="00FD3DDA"/>
    <w:rsid w:val="00FD3DE0"/>
    <w:rsid w:val="00FD3F05"/>
    <w:rsid w:val="00FD4CC2"/>
    <w:rsid w:val="00FD5260"/>
    <w:rsid w:val="00FD5515"/>
    <w:rsid w:val="00FD649E"/>
    <w:rsid w:val="00FD6520"/>
    <w:rsid w:val="00FD6C60"/>
    <w:rsid w:val="00FD6F3C"/>
    <w:rsid w:val="00FD7729"/>
    <w:rsid w:val="00FD7C22"/>
    <w:rsid w:val="00FE06AA"/>
    <w:rsid w:val="00FE1550"/>
    <w:rsid w:val="00FE1B82"/>
    <w:rsid w:val="00FE1E61"/>
    <w:rsid w:val="00FE2B13"/>
    <w:rsid w:val="00FE2FCE"/>
    <w:rsid w:val="00FE35F0"/>
    <w:rsid w:val="00FE3602"/>
    <w:rsid w:val="00FE3919"/>
    <w:rsid w:val="00FE3B21"/>
    <w:rsid w:val="00FE59FA"/>
    <w:rsid w:val="00FE76C5"/>
    <w:rsid w:val="00FE78EB"/>
    <w:rsid w:val="00FE7B5F"/>
    <w:rsid w:val="00FE7D86"/>
    <w:rsid w:val="00FF0DB0"/>
    <w:rsid w:val="00FF2F58"/>
    <w:rsid w:val="00FF34F0"/>
    <w:rsid w:val="00FF4274"/>
    <w:rsid w:val="00FF473A"/>
    <w:rsid w:val="00FF4EAB"/>
    <w:rsid w:val="00FF50AB"/>
    <w:rsid w:val="00FF52D7"/>
    <w:rsid w:val="00FF65B1"/>
    <w:rsid w:val="00FF6B2F"/>
    <w:rsid w:val="00FF79FB"/>
    <w:rsid w:val="00FF7B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autoRedefine/>
    <w:uiPriority w:val="1"/>
    <w:qFormat/>
    <w:rsid w:val="00FD0175"/>
    <w:pPr>
      <w:widowControl w:val="0"/>
      <w:autoSpaceDE w:val="0"/>
      <w:autoSpaceDN w:val="0"/>
      <w:spacing w:after="0" w:line="240" w:lineRule="auto"/>
      <w:jc w:val="left"/>
      <w:outlineLvl w:val="0"/>
    </w:pPr>
    <w:rPr>
      <w:rFonts w:ascii="Arial" w:eastAsia="Calibri Light" w:hAnsi="Arial" w:cs="Arial"/>
      <w:b/>
      <w:bCs/>
      <w:i/>
      <w:iCs/>
      <w:color w:val="000000" w:themeColor="text1"/>
      <w:kern w:val="0"/>
      <w:sz w:val="32"/>
      <w:szCs w:val="28"/>
      <w:lang w:eastAsia="en-GB" w:bidi="en-GB"/>
      <w14:ligatures w14:val="none"/>
    </w:rPr>
  </w:style>
  <w:style w:type="paragraph" w:styleId="Heading2">
    <w:name w:val="heading 2"/>
    <w:basedOn w:val="Normal"/>
    <w:next w:val="Normal"/>
    <w:link w:val="Heading2Char"/>
    <w:autoRedefine/>
    <w:uiPriority w:val="9"/>
    <w:unhideWhenUsed/>
    <w:qFormat/>
    <w:rsid w:val="00984009"/>
    <w:pPr>
      <w:keepNext/>
      <w:keepLines/>
      <w:spacing w:before="40" w:after="0"/>
      <w:outlineLvl w:val="1"/>
    </w:pPr>
    <w:rPr>
      <w:rFonts w:ascii="Arial" w:eastAsiaTheme="majorEastAsia" w:hAnsi="Arial" w:cs="Arial"/>
      <w:b/>
      <w:bCs/>
      <w:i/>
      <w:iCs/>
      <w:noProof/>
      <w:sz w:val="28"/>
      <w:szCs w:val="28"/>
    </w:rPr>
  </w:style>
  <w:style w:type="paragraph" w:styleId="Heading3">
    <w:name w:val="heading 3"/>
    <w:basedOn w:val="Normal"/>
    <w:next w:val="Normal"/>
    <w:link w:val="Heading3Char"/>
    <w:autoRedefine/>
    <w:uiPriority w:val="9"/>
    <w:unhideWhenUsed/>
    <w:qFormat/>
    <w:rsid w:val="007A3D0F"/>
    <w:pPr>
      <w:keepNext/>
      <w:keepLines/>
      <w:spacing w:before="40" w:after="0"/>
      <w:jc w:val="left"/>
      <w:outlineLvl w:val="2"/>
    </w:pPr>
    <w:rPr>
      <w:rFonts w:ascii="Arial" w:eastAsiaTheme="majorEastAsia" w:hAnsi="Arial" w:cstheme="majorBidi"/>
      <w:i/>
      <w:sz w:val="28"/>
      <w:szCs w:val="24"/>
    </w:rPr>
  </w:style>
  <w:style w:type="paragraph" w:styleId="Heading4">
    <w:name w:val="heading 4"/>
    <w:basedOn w:val="Normal"/>
    <w:next w:val="Normal"/>
    <w:link w:val="Heading4Char"/>
    <w:uiPriority w:val="9"/>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FD0175"/>
    <w:rPr>
      <w:rFonts w:ascii="Arial" w:eastAsia="Calibri Light" w:hAnsi="Arial" w:cs="Arial"/>
      <w:b/>
      <w:bCs/>
      <w:i/>
      <w:iCs/>
      <w:color w:val="000000" w:themeColor="text1"/>
      <w:kern w:val="0"/>
      <w:sz w:val="32"/>
      <w:szCs w:val="28"/>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984009"/>
    <w:rPr>
      <w:rFonts w:ascii="Arial" w:eastAsiaTheme="majorEastAsia" w:hAnsi="Arial" w:cs="Arial"/>
      <w:b/>
      <w:bCs/>
      <w:i/>
      <w:iCs/>
      <w:noProof/>
      <w:sz w:val="28"/>
      <w:szCs w:val="28"/>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rsid w:val="007A3D0F"/>
    <w:rPr>
      <w:rFonts w:ascii="Arial" w:eastAsiaTheme="majorEastAsia" w:hAnsi="Arial" w:cstheme="majorBidi"/>
      <w:i/>
      <w:sz w:val="28"/>
      <w:szCs w:val="24"/>
    </w:rPr>
  </w:style>
  <w:style w:type="paragraph" w:customStyle="1" w:styleId="stk-block-texttext">
    <w:name w:val="stk-block-text__text"/>
    <w:basedOn w:val="Normal"/>
    <w:rsid w:val="001E056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character" w:customStyle="1" w:styleId="stk-highlight">
    <w:name w:val="stk-highlight"/>
    <w:basedOn w:val="DefaultParagraphFont"/>
    <w:rsid w:val="001E0564"/>
  </w:style>
  <w:style w:type="paragraph" w:styleId="TOCHeading">
    <w:name w:val="TOC Heading"/>
    <w:basedOn w:val="Heading1"/>
    <w:next w:val="Normal"/>
    <w:uiPriority w:val="39"/>
    <w:unhideWhenUsed/>
    <w:qFormat/>
    <w:rsid w:val="00A82657"/>
    <w:pPr>
      <w:keepNext/>
      <w:keepLines/>
      <w:widowControl/>
      <w:autoSpaceDE/>
      <w:autoSpaceDN/>
      <w:spacing w:before="240" w:line="259" w:lineRule="auto"/>
      <w:outlineLvl w:val="9"/>
    </w:pPr>
    <w:rPr>
      <w:rFonts w:asciiTheme="majorHAnsi" w:eastAsiaTheme="majorEastAsia" w:hAnsiTheme="majorHAnsi" w:cstheme="majorBidi"/>
      <w:b w:val="0"/>
      <w:color w:val="2F5496" w:themeColor="accent1" w:themeShade="BF"/>
      <w:lang w:bidi="ar-SA"/>
    </w:rPr>
  </w:style>
  <w:style w:type="paragraph" w:styleId="TOC1">
    <w:name w:val="toc 1"/>
    <w:basedOn w:val="Normal"/>
    <w:next w:val="Normal"/>
    <w:autoRedefine/>
    <w:uiPriority w:val="39"/>
    <w:unhideWhenUsed/>
    <w:rsid w:val="00DA722E"/>
    <w:pPr>
      <w:tabs>
        <w:tab w:val="right" w:leader="dot" w:pos="9016"/>
      </w:tabs>
      <w:spacing w:after="100"/>
    </w:pPr>
    <w:rPr>
      <w:b/>
      <w:bCs/>
      <w:i/>
      <w:iCs/>
      <w:noProof/>
      <w:lang w:bidi="en-GB"/>
    </w:rPr>
  </w:style>
  <w:style w:type="paragraph" w:styleId="TOC2">
    <w:name w:val="toc 2"/>
    <w:basedOn w:val="Normal"/>
    <w:next w:val="Normal"/>
    <w:autoRedefine/>
    <w:uiPriority w:val="39"/>
    <w:unhideWhenUsed/>
    <w:rsid w:val="00A82657"/>
    <w:pPr>
      <w:spacing w:after="100"/>
      <w:ind w:left="220"/>
    </w:pPr>
  </w:style>
  <w:style w:type="table" w:customStyle="1" w:styleId="TableGrid1">
    <w:name w:val="Table Grid1"/>
    <w:basedOn w:val="TableNormal"/>
    <w:next w:val="TableGrid"/>
    <w:uiPriority w:val="39"/>
    <w:rsid w:val="00CF4CF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54D20"/>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B24AF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A949C6"/>
    <w:rPr>
      <w:i/>
      <w:iCs/>
    </w:rPr>
  </w:style>
  <w:style w:type="paragraph" w:styleId="TOC3">
    <w:name w:val="toc 3"/>
    <w:basedOn w:val="Normal"/>
    <w:next w:val="Normal"/>
    <w:autoRedefine/>
    <w:uiPriority w:val="39"/>
    <w:unhideWhenUsed/>
    <w:rsid w:val="005479D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92">
      <w:bodyDiv w:val="1"/>
      <w:marLeft w:val="0"/>
      <w:marRight w:val="0"/>
      <w:marTop w:val="0"/>
      <w:marBottom w:val="0"/>
      <w:divBdr>
        <w:top w:val="none" w:sz="0" w:space="0" w:color="auto"/>
        <w:left w:val="none" w:sz="0" w:space="0" w:color="auto"/>
        <w:bottom w:val="none" w:sz="0" w:space="0" w:color="auto"/>
        <w:right w:val="none" w:sz="0" w:space="0" w:color="auto"/>
      </w:divBdr>
    </w:div>
    <w:div w:id="3242572">
      <w:bodyDiv w:val="1"/>
      <w:marLeft w:val="0"/>
      <w:marRight w:val="0"/>
      <w:marTop w:val="0"/>
      <w:marBottom w:val="0"/>
      <w:divBdr>
        <w:top w:val="none" w:sz="0" w:space="0" w:color="auto"/>
        <w:left w:val="none" w:sz="0" w:space="0" w:color="auto"/>
        <w:bottom w:val="none" w:sz="0" w:space="0" w:color="auto"/>
        <w:right w:val="none" w:sz="0" w:space="0" w:color="auto"/>
      </w:divBdr>
    </w:div>
    <w:div w:id="4675247">
      <w:bodyDiv w:val="1"/>
      <w:marLeft w:val="0"/>
      <w:marRight w:val="0"/>
      <w:marTop w:val="0"/>
      <w:marBottom w:val="0"/>
      <w:divBdr>
        <w:top w:val="none" w:sz="0" w:space="0" w:color="auto"/>
        <w:left w:val="none" w:sz="0" w:space="0" w:color="auto"/>
        <w:bottom w:val="none" w:sz="0" w:space="0" w:color="auto"/>
        <w:right w:val="none" w:sz="0" w:space="0" w:color="auto"/>
      </w:divBdr>
    </w:div>
    <w:div w:id="5327846">
      <w:bodyDiv w:val="1"/>
      <w:marLeft w:val="0"/>
      <w:marRight w:val="0"/>
      <w:marTop w:val="0"/>
      <w:marBottom w:val="0"/>
      <w:divBdr>
        <w:top w:val="none" w:sz="0" w:space="0" w:color="auto"/>
        <w:left w:val="none" w:sz="0" w:space="0" w:color="auto"/>
        <w:bottom w:val="none" w:sz="0" w:space="0" w:color="auto"/>
        <w:right w:val="none" w:sz="0" w:space="0" w:color="auto"/>
      </w:divBdr>
    </w:div>
    <w:div w:id="8484459">
      <w:bodyDiv w:val="1"/>
      <w:marLeft w:val="0"/>
      <w:marRight w:val="0"/>
      <w:marTop w:val="0"/>
      <w:marBottom w:val="0"/>
      <w:divBdr>
        <w:top w:val="none" w:sz="0" w:space="0" w:color="auto"/>
        <w:left w:val="none" w:sz="0" w:space="0" w:color="auto"/>
        <w:bottom w:val="none" w:sz="0" w:space="0" w:color="auto"/>
        <w:right w:val="none" w:sz="0" w:space="0" w:color="auto"/>
      </w:divBdr>
    </w:div>
    <w:div w:id="8531499">
      <w:bodyDiv w:val="1"/>
      <w:marLeft w:val="0"/>
      <w:marRight w:val="0"/>
      <w:marTop w:val="0"/>
      <w:marBottom w:val="0"/>
      <w:divBdr>
        <w:top w:val="none" w:sz="0" w:space="0" w:color="auto"/>
        <w:left w:val="none" w:sz="0" w:space="0" w:color="auto"/>
        <w:bottom w:val="none" w:sz="0" w:space="0" w:color="auto"/>
        <w:right w:val="none" w:sz="0" w:space="0" w:color="auto"/>
      </w:divBdr>
    </w:div>
    <w:div w:id="17050874">
      <w:bodyDiv w:val="1"/>
      <w:marLeft w:val="0"/>
      <w:marRight w:val="0"/>
      <w:marTop w:val="0"/>
      <w:marBottom w:val="0"/>
      <w:divBdr>
        <w:top w:val="none" w:sz="0" w:space="0" w:color="auto"/>
        <w:left w:val="none" w:sz="0" w:space="0" w:color="auto"/>
        <w:bottom w:val="none" w:sz="0" w:space="0" w:color="auto"/>
        <w:right w:val="none" w:sz="0" w:space="0" w:color="auto"/>
      </w:divBdr>
    </w:div>
    <w:div w:id="26952724">
      <w:bodyDiv w:val="1"/>
      <w:marLeft w:val="0"/>
      <w:marRight w:val="0"/>
      <w:marTop w:val="0"/>
      <w:marBottom w:val="0"/>
      <w:divBdr>
        <w:top w:val="none" w:sz="0" w:space="0" w:color="auto"/>
        <w:left w:val="none" w:sz="0" w:space="0" w:color="auto"/>
        <w:bottom w:val="none" w:sz="0" w:space="0" w:color="auto"/>
        <w:right w:val="none" w:sz="0" w:space="0" w:color="auto"/>
      </w:divBdr>
    </w:div>
    <w:div w:id="31030699">
      <w:bodyDiv w:val="1"/>
      <w:marLeft w:val="0"/>
      <w:marRight w:val="0"/>
      <w:marTop w:val="0"/>
      <w:marBottom w:val="0"/>
      <w:divBdr>
        <w:top w:val="none" w:sz="0" w:space="0" w:color="auto"/>
        <w:left w:val="none" w:sz="0" w:space="0" w:color="auto"/>
        <w:bottom w:val="none" w:sz="0" w:space="0" w:color="auto"/>
        <w:right w:val="none" w:sz="0" w:space="0" w:color="auto"/>
      </w:divBdr>
    </w:div>
    <w:div w:id="31808202">
      <w:bodyDiv w:val="1"/>
      <w:marLeft w:val="0"/>
      <w:marRight w:val="0"/>
      <w:marTop w:val="0"/>
      <w:marBottom w:val="0"/>
      <w:divBdr>
        <w:top w:val="none" w:sz="0" w:space="0" w:color="auto"/>
        <w:left w:val="none" w:sz="0" w:space="0" w:color="auto"/>
        <w:bottom w:val="none" w:sz="0" w:space="0" w:color="auto"/>
        <w:right w:val="none" w:sz="0" w:space="0" w:color="auto"/>
      </w:divBdr>
    </w:div>
    <w:div w:id="34163950">
      <w:bodyDiv w:val="1"/>
      <w:marLeft w:val="0"/>
      <w:marRight w:val="0"/>
      <w:marTop w:val="0"/>
      <w:marBottom w:val="0"/>
      <w:divBdr>
        <w:top w:val="none" w:sz="0" w:space="0" w:color="auto"/>
        <w:left w:val="none" w:sz="0" w:space="0" w:color="auto"/>
        <w:bottom w:val="none" w:sz="0" w:space="0" w:color="auto"/>
        <w:right w:val="none" w:sz="0" w:space="0" w:color="auto"/>
      </w:divBdr>
    </w:div>
    <w:div w:id="45221959">
      <w:bodyDiv w:val="1"/>
      <w:marLeft w:val="0"/>
      <w:marRight w:val="0"/>
      <w:marTop w:val="0"/>
      <w:marBottom w:val="0"/>
      <w:divBdr>
        <w:top w:val="none" w:sz="0" w:space="0" w:color="auto"/>
        <w:left w:val="none" w:sz="0" w:space="0" w:color="auto"/>
        <w:bottom w:val="none" w:sz="0" w:space="0" w:color="auto"/>
        <w:right w:val="none" w:sz="0" w:space="0" w:color="auto"/>
      </w:divBdr>
    </w:div>
    <w:div w:id="46801437">
      <w:bodyDiv w:val="1"/>
      <w:marLeft w:val="0"/>
      <w:marRight w:val="0"/>
      <w:marTop w:val="0"/>
      <w:marBottom w:val="0"/>
      <w:divBdr>
        <w:top w:val="none" w:sz="0" w:space="0" w:color="auto"/>
        <w:left w:val="none" w:sz="0" w:space="0" w:color="auto"/>
        <w:bottom w:val="none" w:sz="0" w:space="0" w:color="auto"/>
        <w:right w:val="none" w:sz="0" w:space="0" w:color="auto"/>
      </w:divBdr>
    </w:div>
    <w:div w:id="47070185">
      <w:bodyDiv w:val="1"/>
      <w:marLeft w:val="0"/>
      <w:marRight w:val="0"/>
      <w:marTop w:val="0"/>
      <w:marBottom w:val="0"/>
      <w:divBdr>
        <w:top w:val="none" w:sz="0" w:space="0" w:color="auto"/>
        <w:left w:val="none" w:sz="0" w:space="0" w:color="auto"/>
        <w:bottom w:val="none" w:sz="0" w:space="0" w:color="auto"/>
        <w:right w:val="none" w:sz="0" w:space="0" w:color="auto"/>
      </w:divBdr>
    </w:div>
    <w:div w:id="47075233">
      <w:bodyDiv w:val="1"/>
      <w:marLeft w:val="0"/>
      <w:marRight w:val="0"/>
      <w:marTop w:val="0"/>
      <w:marBottom w:val="0"/>
      <w:divBdr>
        <w:top w:val="none" w:sz="0" w:space="0" w:color="auto"/>
        <w:left w:val="none" w:sz="0" w:space="0" w:color="auto"/>
        <w:bottom w:val="none" w:sz="0" w:space="0" w:color="auto"/>
        <w:right w:val="none" w:sz="0" w:space="0" w:color="auto"/>
      </w:divBdr>
    </w:div>
    <w:div w:id="47075657">
      <w:bodyDiv w:val="1"/>
      <w:marLeft w:val="0"/>
      <w:marRight w:val="0"/>
      <w:marTop w:val="0"/>
      <w:marBottom w:val="0"/>
      <w:divBdr>
        <w:top w:val="none" w:sz="0" w:space="0" w:color="auto"/>
        <w:left w:val="none" w:sz="0" w:space="0" w:color="auto"/>
        <w:bottom w:val="none" w:sz="0" w:space="0" w:color="auto"/>
        <w:right w:val="none" w:sz="0" w:space="0" w:color="auto"/>
      </w:divBdr>
    </w:div>
    <w:div w:id="48841762">
      <w:bodyDiv w:val="1"/>
      <w:marLeft w:val="0"/>
      <w:marRight w:val="0"/>
      <w:marTop w:val="0"/>
      <w:marBottom w:val="0"/>
      <w:divBdr>
        <w:top w:val="none" w:sz="0" w:space="0" w:color="auto"/>
        <w:left w:val="none" w:sz="0" w:space="0" w:color="auto"/>
        <w:bottom w:val="none" w:sz="0" w:space="0" w:color="auto"/>
        <w:right w:val="none" w:sz="0" w:space="0" w:color="auto"/>
      </w:divBdr>
    </w:div>
    <w:div w:id="50544722">
      <w:bodyDiv w:val="1"/>
      <w:marLeft w:val="0"/>
      <w:marRight w:val="0"/>
      <w:marTop w:val="0"/>
      <w:marBottom w:val="0"/>
      <w:divBdr>
        <w:top w:val="none" w:sz="0" w:space="0" w:color="auto"/>
        <w:left w:val="none" w:sz="0" w:space="0" w:color="auto"/>
        <w:bottom w:val="none" w:sz="0" w:space="0" w:color="auto"/>
        <w:right w:val="none" w:sz="0" w:space="0" w:color="auto"/>
      </w:divBdr>
    </w:div>
    <w:div w:id="56783936">
      <w:bodyDiv w:val="1"/>
      <w:marLeft w:val="0"/>
      <w:marRight w:val="0"/>
      <w:marTop w:val="0"/>
      <w:marBottom w:val="0"/>
      <w:divBdr>
        <w:top w:val="none" w:sz="0" w:space="0" w:color="auto"/>
        <w:left w:val="none" w:sz="0" w:space="0" w:color="auto"/>
        <w:bottom w:val="none" w:sz="0" w:space="0" w:color="auto"/>
        <w:right w:val="none" w:sz="0" w:space="0" w:color="auto"/>
      </w:divBdr>
    </w:div>
    <w:div w:id="58528440">
      <w:bodyDiv w:val="1"/>
      <w:marLeft w:val="0"/>
      <w:marRight w:val="0"/>
      <w:marTop w:val="0"/>
      <w:marBottom w:val="0"/>
      <w:divBdr>
        <w:top w:val="none" w:sz="0" w:space="0" w:color="auto"/>
        <w:left w:val="none" w:sz="0" w:space="0" w:color="auto"/>
        <w:bottom w:val="none" w:sz="0" w:space="0" w:color="auto"/>
        <w:right w:val="none" w:sz="0" w:space="0" w:color="auto"/>
      </w:divBdr>
    </w:div>
    <w:div w:id="59403715">
      <w:bodyDiv w:val="1"/>
      <w:marLeft w:val="0"/>
      <w:marRight w:val="0"/>
      <w:marTop w:val="0"/>
      <w:marBottom w:val="0"/>
      <w:divBdr>
        <w:top w:val="none" w:sz="0" w:space="0" w:color="auto"/>
        <w:left w:val="none" w:sz="0" w:space="0" w:color="auto"/>
        <w:bottom w:val="none" w:sz="0" w:space="0" w:color="auto"/>
        <w:right w:val="none" w:sz="0" w:space="0" w:color="auto"/>
      </w:divBdr>
    </w:div>
    <w:div w:id="59716873">
      <w:bodyDiv w:val="1"/>
      <w:marLeft w:val="0"/>
      <w:marRight w:val="0"/>
      <w:marTop w:val="0"/>
      <w:marBottom w:val="0"/>
      <w:divBdr>
        <w:top w:val="none" w:sz="0" w:space="0" w:color="auto"/>
        <w:left w:val="none" w:sz="0" w:space="0" w:color="auto"/>
        <w:bottom w:val="none" w:sz="0" w:space="0" w:color="auto"/>
        <w:right w:val="none" w:sz="0" w:space="0" w:color="auto"/>
      </w:divBdr>
    </w:div>
    <w:div w:id="60563927">
      <w:bodyDiv w:val="1"/>
      <w:marLeft w:val="0"/>
      <w:marRight w:val="0"/>
      <w:marTop w:val="0"/>
      <w:marBottom w:val="0"/>
      <w:divBdr>
        <w:top w:val="none" w:sz="0" w:space="0" w:color="auto"/>
        <w:left w:val="none" w:sz="0" w:space="0" w:color="auto"/>
        <w:bottom w:val="none" w:sz="0" w:space="0" w:color="auto"/>
        <w:right w:val="none" w:sz="0" w:space="0" w:color="auto"/>
      </w:divBdr>
    </w:div>
    <w:div w:id="63186481">
      <w:bodyDiv w:val="1"/>
      <w:marLeft w:val="0"/>
      <w:marRight w:val="0"/>
      <w:marTop w:val="0"/>
      <w:marBottom w:val="0"/>
      <w:divBdr>
        <w:top w:val="none" w:sz="0" w:space="0" w:color="auto"/>
        <w:left w:val="none" w:sz="0" w:space="0" w:color="auto"/>
        <w:bottom w:val="none" w:sz="0" w:space="0" w:color="auto"/>
        <w:right w:val="none" w:sz="0" w:space="0" w:color="auto"/>
      </w:divBdr>
    </w:div>
    <w:div w:id="66924241">
      <w:bodyDiv w:val="1"/>
      <w:marLeft w:val="0"/>
      <w:marRight w:val="0"/>
      <w:marTop w:val="0"/>
      <w:marBottom w:val="0"/>
      <w:divBdr>
        <w:top w:val="none" w:sz="0" w:space="0" w:color="auto"/>
        <w:left w:val="none" w:sz="0" w:space="0" w:color="auto"/>
        <w:bottom w:val="none" w:sz="0" w:space="0" w:color="auto"/>
        <w:right w:val="none" w:sz="0" w:space="0" w:color="auto"/>
      </w:divBdr>
    </w:div>
    <w:div w:id="82074868">
      <w:bodyDiv w:val="1"/>
      <w:marLeft w:val="0"/>
      <w:marRight w:val="0"/>
      <w:marTop w:val="0"/>
      <w:marBottom w:val="0"/>
      <w:divBdr>
        <w:top w:val="none" w:sz="0" w:space="0" w:color="auto"/>
        <w:left w:val="none" w:sz="0" w:space="0" w:color="auto"/>
        <w:bottom w:val="none" w:sz="0" w:space="0" w:color="auto"/>
        <w:right w:val="none" w:sz="0" w:space="0" w:color="auto"/>
      </w:divBdr>
    </w:div>
    <w:div w:id="84111599">
      <w:bodyDiv w:val="1"/>
      <w:marLeft w:val="0"/>
      <w:marRight w:val="0"/>
      <w:marTop w:val="0"/>
      <w:marBottom w:val="0"/>
      <w:divBdr>
        <w:top w:val="none" w:sz="0" w:space="0" w:color="auto"/>
        <w:left w:val="none" w:sz="0" w:space="0" w:color="auto"/>
        <w:bottom w:val="none" w:sz="0" w:space="0" w:color="auto"/>
        <w:right w:val="none" w:sz="0" w:space="0" w:color="auto"/>
      </w:divBdr>
    </w:div>
    <w:div w:id="88548643">
      <w:bodyDiv w:val="1"/>
      <w:marLeft w:val="0"/>
      <w:marRight w:val="0"/>
      <w:marTop w:val="0"/>
      <w:marBottom w:val="0"/>
      <w:divBdr>
        <w:top w:val="none" w:sz="0" w:space="0" w:color="auto"/>
        <w:left w:val="none" w:sz="0" w:space="0" w:color="auto"/>
        <w:bottom w:val="none" w:sz="0" w:space="0" w:color="auto"/>
        <w:right w:val="none" w:sz="0" w:space="0" w:color="auto"/>
      </w:divBdr>
    </w:div>
    <w:div w:id="89011358">
      <w:bodyDiv w:val="1"/>
      <w:marLeft w:val="0"/>
      <w:marRight w:val="0"/>
      <w:marTop w:val="0"/>
      <w:marBottom w:val="0"/>
      <w:divBdr>
        <w:top w:val="none" w:sz="0" w:space="0" w:color="auto"/>
        <w:left w:val="none" w:sz="0" w:space="0" w:color="auto"/>
        <w:bottom w:val="none" w:sz="0" w:space="0" w:color="auto"/>
        <w:right w:val="none" w:sz="0" w:space="0" w:color="auto"/>
      </w:divBdr>
    </w:div>
    <w:div w:id="89157447">
      <w:bodyDiv w:val="1"/>
      <w:marLeft w:val="0"/>
      <w:marRight w:val="0"/>
      <w:marTop w:val="0"/>
      <w:marBottom w:val="0"/>
      <w:divBdr>
        <w:top w:val="none" w:sz="0" w:space="0" w:color="auto"/>
        <w:left w:val="none" w:sz="0" w:space="0" w:color="auto"/>
        <w:bottom w:val="none" w:sz="0" w:space="0" w:color="auto"/>
        <w:right w:val="none" w:sz="0" w:space="0" w:color="auto"/>
      </w:divBdr>
    </w:div>
    <w:div w:id="90974894">
      <w:bodyDiv w:val="1"/>
      <w:marLeft w:val="0"/>
      <w:marRight w:val="0"/>
      <w:marTop w:val="0"/>
      <w:marBottom w:val="0"/>
      <w:divBdr>
        <w:top w:val="none" w:sz="0" w:space="0" w:color="auto"/>
        <w:left w:val="none" w:sz="0" w:space="0" w:color="auto"/>
        <w:bottom w:val="none" w:sz="0" w:space="0" w:color="auto"/>
        <w:right w:val="none" w:sz="0" w:space="0" w:color="auto"/>
      </w:divBdr>
    </w:div>
    <w:div w:id="92015200">
      <w:bodyDiv w:val="1"/>
      <w:marLeft w:val="0"/>
      <w:marRight w:val="0"/>
      <w:marTop w:val="0"/>
      <w:marBottom w:val="0"/>
      <w:divBdr>
        <w:top w:val="none" w:sz="0" w:space="0" w:color="auto"/>
        <w:left w:val="none" w:sz="0" w:space="0" w:color="auto"/>
        <w:bottom w:val="none" w:sz="0" w:space="0" w:color="auto"/>
        <w:right w:val="none" w:sz="0" w:space="0" w:color="auto"/>
      </w:divBdr>
    </w:div>
    <w:div w:id="94447396">
      <w:bodyDiv w:val="1"/>
      <w:marLeft w:val="0"/>
      <w:marRight w:val="0"/>
      <w:marTop w:val="0"/>
      <w:marBottom w:val="0"/>
      <w:divBdr>
        <w:top w:val="none" w:sz="0" w:space="0" w:color="auto"/>
        <w:left w:val="none" w:sz="0" w:space="0" w:color="auto"/>
        <w:bottom w:val="none" w:sz="0" w:space="0" w:color="auto"/>
        <w:right w:val="none" w:sz="0" w:space="0" w:color="auto"/>
      </w:divBdr>
    </w:div>
    <w:div w:id="95253428">
      <w:bodyDiv w:val="1"/>
      <w:marLeft w:val="0"/>
      <w:marRight w:val="0"/>
      <w:marTop w:val="0"/>
      <w:marBottom w:val="0"/>
      <w:divBdr>
        <w:top w:val="none" w:sz="0" w:space="0" w:color="auto"/>
        <w:left w:val="none" w:sz="0" w:space="0" w:color="auto"/>
        <w:bottom w:val="none" w:sz="0" w:space="0" w:color="auto"/>
        <w:right w:val="none" w:sz="0" w:space="0" w:color="auto"/>
      </w:divBdr>
    </w:div>
    <w:div w:id="100880228">
      <w:bodyDiv w:val="1"/>
      <w:marLeft w:val="0"/>
      <w:marRight w:val="0"/>
      <w:marTop w:val="0"/>
      <w:marBottom w:val="0"/>
      <w:divBdr>
        <w:top w:val="none" w:sz="0" w:space="0" w:color="auto"/>
        <w:left w:val="none" w:sz="0" w:space="0" w:color="auto"/>
        <w:bottom w:val="none" w:sz="0" w:space="0" w:color="auto"/>
        <w:right w:val="none" w:sz="0" w:space="0" w:color="auto"/>
      </w:divBdr>
    </w:div>
    <w:div w:id="103497186">
      <w:bodyDiv w:val="1"/>
      <w:marLeft w:val="0"/>
      <w:marRight w:val="0"/>
      <w:marTop w:val="0"/>
      <w:marBottom w:val="0"/>
      <w:divBdr>
        <w:top w:val="none" w:sz="0" w:space="0" w:color="auto"/>
        <w:left w:val="none" w:sz="0" w:space="0" w:color="auto"/>
        <w:bottom w:val="none" w:sz="0" w:space="0" w:color="auto"/>
        <w:right w:val="none" w:sz="0" w:space="0" w:color="auto"/>
      </w:divBdr>
    </w:div>
    <w:div w:id="111246941">
      <w:bodyDiv w:val="1"/>
      <w:marLeft w:val="0"/>
      <w:marRight w:val="0"/>
      <w:marTop w:val="0"/>
      <w:marBottom w:val="0"/>
      <w:divBdr>
        <w:top w:val="none" w:sz="0" w:space="0" w:color="auto"/>
        <w:left w:val="none" w:sz="0" w:space="0" w:color="auto"/>
        <w:bottom w:val="none" w:sz="0" w:space="0" w:color="auto"/>
        <w:right w:val="none" w:sz="0" w:space="0" w:color="auto"/>
      </w:divBdr>
    </w:div>
    <w:div w:id="111874267">
      <w:bodyDiv w:val="1"/>
      <w:marLeft w:val="0"/>
      <w:marRight w:val="0"/>
      <w:marTop w:val="0"/>
      <w:marBottom w:val="0"/>
      <w:divBdr>
        <w:top w:val="none" w:sz="0" w:space="0" w:color="auto"/>
        <w:left w:val="none" w:sz="0" w:space="0" w:color="auto"/>
        <w:bottom w:val="none" w:sz="0" w:space="0" w:color="auto"/>
        <w:right w:val="none" w:sz="0" w:space="0" w:color="auto"/>
      </w:divBdr>
    </w:div>
    <w:div w:id="119615243">
      <w:bodyDiv w:val="1"/>
      <w:marLeft w:val="0"/>
      <w:marRight w:val="0"/>
      <w:marTop w:val="0"/>
      <w:marBottom w:val="0"/>
      <w:divBdr>
        <w:top w:val="none" w:sz="0" w:space="0" w:color="auto"/>
        <w:left w:val="none" w:sz="0" w:space="0" w:color="auto"/>
        <w:bottom w:val="none" w:sz="0" w:space="0" w:color="auto"/>
        <w:right w:val="none" w:sz="0" w:space="0" w:color="auto"/>
      </w:divBdr>
    </w:div>
    <w:div w:id="121189733">
      <w:bodyDiv w:val="1"/>
      <w:marLeft w:val="0"/>
      <w:marRight w:val="0"/>
      <w:marTop w:val="0"/>
      <w:marBottom w:val="0"/>
      <w:divBdr>
        <w:top w:val="none" w:sz="0" w:space="0" w:color="auto"/>
        <w:left w:val="none" w:sz="0" w:space="0" w:color="auto"/>
        <w:bottom w:val="none" w:sz="0" w:space="0" w:color="auto"/>
        <w:right w:val="none" w:sz="0" w:space="0" w:color="auto"/>
      </w:divBdr>
    </w:div>
    <w:div w:id="122310451">
      <w:bodyDiv w:val="1"/>
      <w:marLeft w:val="0"/>
      <w:marRight w:val="0"/>
      <w:marTop w:val="0"/>
      <w:marBottom w:val="0"/>
      <w:divBdr>
        <w:top w:val="none" w:sz="0" w:space="0" w:color="auto"/>
        <w:left w:val="none" w:sz="0" w:space="0" w:color="auto"/>
        <w:bottom w:val="none" w:sz="0" w:space="0" w:color="auto"/>
        <w:right w:val="none" w:sz="0" w:space="0" w:color="auto"/>
      </w:divBdr>
    </w:div>
    <w:div w:id="126971581">
      <w:bodyDiv w:val="1"/>
      <w:marLeft w:val="0"/>
      <w:marRight w:val="0"/>
      <w:marTop w:val="0"/>
      <w:marBottom w:val="0"/>
      <w:divBdr>
        <w:top w:val="none" w:sz="0" w:space="0" w:color="auto"/>
        <w:left w:val="none" w:sz="0" w:space="0" w:color="auto"/>
        <w:bottom w:val="none" w:sz="0" w:space="0" w:color="auto"/>
        <w:right w:val="none" w:sz="0" w:space="0" w:color="auto"/>
      </w:divBdr>
    </w:div>
    <w:div w:id="130440763">
      <w:bodyDiv w:val="1"/>
      <w:marLeft w:val="0"/>
      <w:marRight w:val="0"/>
      <w:marTop w:val="0"/>
      <w:marBottom w:val="0"/>
      <w:divBdr>
        <w:top w:val="none" w:sz="0" w:space="0" w:color="auto"/>
        <w:left w:val="none" w:sz="0" w:space="0" w:color="auto"/>
        <w:bottom w:val="none" w:sz="0" w:space="0" w:color="auto"/>
        <w:right w:val="none" w:sz="0" w:space="0" w:color="auto"/>
      </w:divBdr>
    </w:div>
    <w:div w:id="137184750">
      <w:bodyDiv w:val="1"/>
      <w:marLeft w:val="0"/>
      <w:marRight w:val="0"/>
      <w:marTop w:val="0"/>
      <w:marBottom w:val="0"/>
      <w:divBdr>
        <w:top w:val="none" w:sz="0" w:space="0" w:color="auto"/>
        <w:left w:val="none" w:sz="0" w:space="0" w:color="auto"/>
        <w:bottom w:val="none" w:sz="0" w:space="0" w:color="auto"/>
        <w:right w:val="none" w:sz="0" w:space="0" w:color="auto"/>
      </w:divBdr>
    </w:div>
    <w:div w:id="141700146">
      <w:bodyDiv w:val="1"/>
      <w:marLeft w:val="0"/>
      <w:marRight w:val="0"/>
      <w:marTop w:val="0"/>
      <w:marBottom w:val="0"/>
      <w:divBdr>
        <w:top w:val="none" w:sz="0" w:space="0" w:color="auto"/>
        <w:left w:val="none" w:sz="0" w:space="0" w:color="auto"/>
        <w:bottom w:val="none" w:sz="0" w:space="0" w:color="auto"/>
        <w:right w:val="none" w:sz="0" w:space="0" w:color="auto"/>
      </w:divBdr>
    </w:div>
    <w:div w:id="146632165">
      <w:bodyDiv w:val="1"/>
      <w:marLeft w:val="0"/>
      <w:marRight w:val="0"/>
      <w:marTop w:val="0"/>
      <w:marBottom w:val="0"/>
      <w:divBdr>
        <w:top w:val="none" w:sz="0" w:space="0" w:color="auto"/>
        <w:left w:val="none" w:sz="0" w:space="0" w:color="auto"/>
        <w:bottom w:val="none" w:sz="0" w:space="0" w:color="auto"/>
        <w:right w:val="none" w:sz="0" w:space="0" w:color="auto"/>
      </w:divBdr>
    </w:div>
    <w:div w:id="149908935">
      <w:bodyDiv w:val="1"/>
      <w:marLeft w:val="0"/>
      <w:marRight w:val="0"/>
      <w:marTop w:val="0"/>
      <w:marBottom w:val="0"/>
      <w:divBdr>
        <w:top w:val="none" w:sz="0" w:space="0" w:color="auto"/>
        <w:left w:val="none" w:sz="0" w:space="0" w:color="auto"/>
        <w:bottom w:val="none" w:sz="0" w:space="0" w:color="auto"/>
        <w:right w:val="none" w:sz="0" w:space="0" w:color="auto"/>
      </w:divBdr>
    </w:div>
    <w:div w:id="151993006">
      <w:bodyDiv w:val="1"/>
      <w:marLeft w:val="0"/>
      <w:marRight w:val="0"/>
      <w:marTop w:val="0"/>
      <w:marBottom w:val="0"/>
      <w:divBdr>
        <w:top w:val="none" w:sz="0" w:space="0" w:color="auto"/>
        <w:left w:val="none" w:sz="0" w:space="0" w:color="auto"/>
        <w:bottom w:val="none" w:sz="0" w:space="0" w:color="auto"/>
        <w:right w:val="none" w:sz="0" w:space="0" w:color="auto"/>
      </w:divBdr>
    </w:div>
    <w:div w:id="152181067">
      <w:bodyDiv w:val="1"/>
      <w:marLeft w:val="0"/>
      <w:marRight w:val="0"/>
      <w:marTop w:val="0"/>
      <w:marBottom w:val="0"/>
      <w:divBdr>
        <w:top w:val="none" w:sz="0" w:space="0" w:color="auto"/>
        <w:left w:val="none" w:sz="0" w:space="0" w:color="auto"/>
        <w:bottom w:val="none" w:sz="0" w:space="0" w:color="auto"/>
        <w:right w:val="none" w:sz="0" w:space="0" w:color="auto"/>
      </w:divBdr>
    </w:div>
    <w:div w:id="152377428">
      <w:bodyDiv w:val="1"/>
      <w:marLeft w:val="0"/>
      <w:marRight w:val="0"/>
      <w:marTop w:val="0"/>
      <w:marBottom w:val="0"/>
      <w:divBdr>
        <w:top w:val="none" w:sz="0" w:space="0" w:color="auto"/>
        <w:left w:val="none" w:sz="0" w:space="0" w:color="auto"/>
        <w:bottom w:val="none" w:sz="0" w:space="0" w:color="auto"/>
        <w:right w:val="none" w:sz="0" w:space="0" w:color="auto"/>
      </w:divBdr>
    </w:div>
    <w:div w:id="156845323">
      <w:bodyDiv w:val="1"/>
      <w:marLeft w:val="0"/>
      <w:marRight w:val="0"/>
      <w:marTop w:val="0"/>
      <w:marBottom w:val="0"/>
      <w:divBdr>
        <w:top w:val="none" w:sz="0" w:space="0" w:color="auto"/>
        <w:left w:val="none" w:sz="0" w:space="0" w:color="auto"/>
        <w:bottom w:val="none" w:sz="0" w:space="0" w:color="auto"/>
        <w:right w:val="none" w:sz="0" w:space="0" w:color="auto"/>
      </w:divBdr>
    </w:div>
    <w:div w:id="159857303">
      <w:bodyDiv w:val="1"/>
      <w:marLeft w:val="0"/>
      <w:marRight w:val="0"/>
      <w:marTop w:val="0"/>
      <w:marBottom w:val="0"/>
      <w:divBdr>
        <w:top w:val="none" w:sz="0" w:space="0" w:color="auto"/>
        <w:left w:val="none" w:sz="0" w:space="0" w:color="auto"/>
        <w:bottom w:val="none" w:sz="0" w:space="0" w:color="auto"/>
        <w:right w:val="none" w:sz="0" w:space="0" w:color="auto"/>
      </w:divBdr>
    </w:div>
    <w:div w:id="160699633">
      <w:bodyDiv w:val="1"/>
      <w:marLeft w:val="0"/>
      <w:marRight w:val="0"/>
      <w:marTop w:val="0"/>
      <w:marBottom w:val="0"/>
      <w:divBdr>
        <w:top w:val="none" w:sz="0" w:space="0" w:color="auto"/>
        <w:left w:val="none" w:sz="0" w:space="0" w:color="auto"/>
        <w:bottom w:val="none" w:sz="0" w:space="0" w:color="auto"/>
        <w:right w:val="none" w:sz="0" w:space="0" w:color="auto"/>
      </w:divBdr>
    </w:div>
    <w:div w:id="164781465">
      <w:bodyDiv w:val="1"/>
      <w:marLeft w:val="0"/>
      <w:marRight w:val="0"/>
      <w:marTop w:val="0"/>
      <w:marBottom w:val="0"/>
      <w:divBdr>
        <w:top w:val="none" w:sz="0" w:space="0" w:color="auto"/>
        <w:left w:val="none" w:sz="0" w:space="0" w:color="auto"/>
        <w:bottom w:val="none" w:sz="0" w:space="0" w:color="auto"/>
        <w:right w:val="none" w:sz="0" w:space="0" w:color="auto"/>
      </w:divBdr>
    </w:div>
    <w:div w:id="166094581">
      <w:bodyDiv w:val="1"/>
      <w:marLeft w:val="0"/>
      <w:marRight w:val="0"/>
      <w:marTop w:val="0"/>
      <w:marBottom w:val="0"/>
      <w:divBdr>
        <w:top w:val="none" w:sz="0" w:space="0" w:color="auto"/>
        <w:left w:val="none" w:sz="0" w:space="0" w:color="auto"/>
        <w:bottom w:val="none" w:sz="0" w:space="0" w:color="auto"/>
        <w:right w:val="none" w:sz="0" w:space="0" w:color="auto"/>
      </w:divBdr>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42789">
      <w:bodyDiv w:val="1"/>
      <w:marLeft w:val="0"/>
      <w:marRight w:val="0"/>
      <w:marTop w:val="0"/>
      <w:marBottom w:val="0"/>
      <w:divBdr>
        <w:top w:val="none" w:sz="0" w:space="0" w:color="auto"/>
        <w:left w:val="none" w:sz="0" w:space="0" w:color="auto"/>
        <w:bottom w:val="none" w:sz="0" w:space="0" w:color="auto"/>
        <w:right w:val="none" w:sz="0" w:space="0" w:color="auto"/>
      </w:divBdr>
    </w:div>
    <w:div w:id="177544282">
      <w:bodyDiv w:val="1"/>
      <w:marLeft w:val="0"/>
      <w:marRight w:val="0"/>
      <w:marTop w:val="0"/>
      <w:marBottom w:val="0"/>
      <w:divBdr>
        <w:top w:val="none" w:sz="0" w:space="0" w:color="auto"/>
        <w:left w:val="none" w:sz="0" w:space="0" w:color="auto"/>
        <w:bottom w:val="none" w:sz="0" w:space="0" w:color="auto"/>
        <w:right w:val="none" w:sz="0" w:space="0" w:color="auto"/>
      </w:divBdr>
    </w:div>
    <w:div w:id="182525047">
      <w:bodyDiv w:val="1"/>
      <w:marLeft w:val="0"/>
      <w:marRight w:val="0"/>
      <w:marTop w:val="0"/>
      <w:marBottom w:val="0"/>
      <w:divBdr>
        <w:top w:val="none" w:sz="0" w:space="0" w:color="auto"/>
        <w:left w:val="none" w:sz="0" w:space="0" w:color="auto"/>
        <w:bottom w:val="none" w:sz="0" w:space="0" w:color="auto"/>
        <w:right w:val="none" w:sz="0" w:space="0" w:color="auto"/>
      </w:divBdr>
    </w:div>
    <w:div w:id="182943022">
      <w:bodyDiv w:val="1"/>
      <w:marLeft w:val="0"/>
      <w:marRight w:val="0"/>
      <w:marTop w:val="0"/>
      <w:marBottom w:val="0"/>
      <w:divBdr>
        <w:top w:val="none" w:sz="0" w:space="0" w:color="auto"/>
        <w:left w:val="none" w:sz="0" w:space="0" w:color="auto"/>
        <w:bottom w:val="none" w:sz="0" w:space="0" w:color="auto"/>
        <w:right w:val="none" w:sz="0" w:space="0" w:color="auto"/>
      </w:divBdr>
    </w:div>
    <w:div w:id="186678599">
      <w:bodyDiv w:val="1"/>
      <w:marLeft w:val="0"/>
      <w:marRight w:val="0"/>
      <w:marTop w:val="0"/>
      <w:marBottom w:val="0"/>
      <w:divBdr>
        <w:top w:val="none" w:sz="0" w:space="0" w:color="auto"/>
        <w:left w:val="none" w:sz="0" w:space="0" w:color="auto"/>
        <w:bottom w:val="none" w:sz="0" w:space="0" w:color="auto"/>
        <w:right w:val="none" w:sz="0" w:space="0" w:color="auto"/>
      </w:divBdr>
    </w:div>
    <w:div w:id="191118679">
      <w:bodyDiv w:val="1"/>
      <w:marLeft w:val="0"/>
      <w:marRight w:val="0"/>
      <w:marTop w:val="0"/>
      <w:marBottom w:val="0"/>
      <w:divBdr>
        <w:top w:val="none" w:sz="0" w:space="0" w:color="auto"/>
        <w:left w:val="none" w:sz="0" w:space="0" w:color="auto"/>
        <w:bottom w:val="none" w:sz="0" w:space="0" w:color="auto"/>
        <w:right w:val="none" w:sz="0" w:space="0" w:color="auto"/>
      </w:divBdr>
    </w:div>
    <w:div w:id="193736499">
      <w:bodyDiv w:val="1"/>
      <w:marLeft w:val="0"/>
      <w:marRight w:val="0"/>
      <w:marTop w:val="0"/>
      <w:marBottom w:val="0"/>
      <w:divBdr>
        <w:top w:val="none" w:sz="0" w:space="0" w:color="auto"/>
        <w:left w:val="none" w:sz="0" w:space="0" w:color="auto"/>
        <w:bottom w:val="none" w:sz="0" w:space="0" w:color="auto"/>
        <w:right w:val="none" w:sz="0" w:space="0" w:color="auto"/>
      </w:divBdr>
    </w:div>
    <w:div w:id="197007639">
      <w:bodyDiv w:val="1"/>
      <w:marLeft w:val="0"/>
      <w:marRight w:val="0"/>
      <w:marTop w:val="0"/>
      <w:marBottom w:val="0"/>
      <w:divBdr>
        <w:top w:val="none" w:sz="0" w:space="0" w:color="auto"/>
        <w:left w:val="none" w:sz="0" w:space="0" w:color="auto"/>
        <w:bottom w:val="none" w:sz="0" w:space="0" w:color="auto"/>
        <w:right w:val="none" w:sz="0" w:space="0" w:color="auto"/>
      </w:divBdr>
    </w:div>
    <w:div w:id="197082938">
      <w:bodyDiv w:val="1"/>
      <w:marLeft w:val="0"/>
      <w:marRight w:val="0"/>
      <w:marTop w:val="0"/>
      <w:marBottom w:val="0"/>
      <w:divBdr>
        <w:top w:val="none" w:sz="0" w:space="0" w:color="auto"/>
        <w:left w:val="none" w:sz="0" w:space="0" w:color="auto"/>
        <w:bottom w:val="none" w:sz="0" w:space="0" w:color="auto"/>
        <w:right w:val="none" w:sz="0" w:space="0" w:color="auto"/>
      </w:divBdr>
    </w:div>
    <w:div w:id="204950747">
      <w:bodyDiv w:val="1"/>
      <w:marLeft w:val="0"/>
      <w:marRight w:val="0"/>
      <w:marTop w:val="0"/>
      <w:marBottom w:val="0"/>
      <w:divBdr>
        <w:top w:val="none" w:sz="0" w:space="0" w:color="auto"/>
        <w:left w:val="none" w:sz="0" w:space="0" w:color="auto"/>
        <w:bottom w:val="none" w:sz="0" w:space="0" w:color="auto"/>
        <w:right w:val="none" w:sz="0" w:space="0" w:color="auto"/>
      </w:divBdr>
    </w:div>
    <w:div w:id="210386392">
      <w:bodyDiv w:val="1"/>
      <w:marLeft w:val="0"/>
      <w:marRight w:val="0"/>
      <w:marTop w:val="0"/>
      <w:marBottom w:val="0"/>
      <w:divBdr>
        <w:top w:val="none" w:sz="0" w:space="0" w:color="auto"/>
        <w:left w:val="none" w:sz="0" w:space="0" w:color="auto"/>
        <w:bottom w:val="none" w:sz="0" w:space="0" w:color="auto"/>
        <w:right w:val="none" w:sz="0" w:space="0" w:color="auto"/>
      </w:divBdr>
    </w:div>
    <w:div w:id="210656301">
      <w:bodyDiv w:val="1"/>
      <w:marLeft w:val="0"/>
      <w:marRight w:val="0"/>
      <w:marTop w:val="0"/>
      <w:marBottom w:val="0"/>
      <w:divBdr>
        <w:top w:val="none" w:sz="0" w:space="0" w:color="auto"/>
        <w:left w:val="none" w:sz="0" w:space="0" w:color="auto"/>
        <w:bottom w:val="none" w:sz="0" w:space="0" w:color="auto"/>
        <w:right w:val="none" w:sz="0" w:space="0" w:color="auto"/>
      </w:divBdr>
    </w:div>
    <w:div w:id="215167362">
      <w:bodyDiv w:val="1"/>
      <w:marLeft w:val="0"/>
      <w:marRight w:val="0"/>
      <w:marTop w:val="0"/>
      <w:marBottom w:val="0"/>
      <w:divBdr>
        <w:top w:val="none" w:sz="0" w:space="0" w:color="auto"/>
        <w:left w:val="none" w:sz="0" w:space="0" w:color="auto"/>
        <w:bottom w:val="none" w:sz="0" w:space="0" w:color="auto"/>
        <w:right w:val="none" w:sz="0" w:space="0" w:color="auto"/>
      </w:divBdr>
    </w:div>
    <w:div w:id="220871297">
      <w:bodyDiv w:val="1"/>
      <w:marLeft w:val="0"/>
      <w:marRight w:val="0"/>
      <w:marTop w:val="0"/>
      <w:marBottom w:val="0"/>
      <w:divBdr>
        <w:top w:val="none" w:sz="0" w:space="0" w:color="auto"/>
        <w:left w:val="none" w:sz="0" w:space="0" w:color="auto"/>
        <w:bottom w:val="none" w:sz="0" w:space="0" w:color="auto"/>
        <w:right w:val="none" w:sz="0" w:space="0" w:color="auto"/>
      </w:divBdr>
    </w:div>
    <w:div w:id="228268133">
      <w:bodyDiv w:val="1"/>
      <w:marLeft w:val="0"/>
      <w:marRight w:val="0"/>
      <w:marTop w:val="0"/>
      <w:marBottom w:val="0"/>
      <w:divBdr>
        <w:top w:val="none" w:sz="0" w:space="0" w:color="auto"/>
        <w:left w:val="none" w:sz="0" w:space="0" w:color="auto"/>
        <w:bottom w:val="none" w:sz="0" w:space="0" w:color="auto"/>
        <w:right w:val="none" w:sz="0" w:space="0" w:color="auto"/>
      </w:divBdr>
    </w:div>
    <w:div w:id="228425624">
      <w:bodyDiv w:val="1"/>
      <w:marLeft w:val="0"/>
      <w:marRight w:val="0"/>
      <w:marTop w:val="0"/>
      <w:marBottom w:val="0"/>
      <w:divBdr>
        <w:top w:val="none" w:sz="0" w:space="0" w:color="auto"/>
        <w:left w:val="none" w:sz="0" w:space="0" w:color="auto"/>
        <w:bottom w:val="none" w:sz="0" w:space="0" w:color="auto"/>
        <w:right w:val="none" w:sz="0" w:space="0" w:color="auto"/>
      </w:divBdr>
    </w:div>
    <w:div w:id="233053059">
      <w:bodyDiv w:val="1"/>
      <w:marLeft w:val="0"/>
      <w:marRight w:val="0"/>
      <w:marTop w:val="0"/>
      <w:marBottom w:val="0"/>
      <w:divBdr>
        <w:top w:val="none" w:sz="0" w:space="0" w:color="auto"/>
        <w:left w:val="none" w:sz="0" w:space="0" w:color="auto"/>
        <w:bottom w:val="none" w:sz="0" w:space="0" w:color="auto"/>
        <w:right w:val="none" w:sz="0" w:space="0" w:color="auto"/>
      </w:divBdr>
    </w:div>
    <w:div w:id="239295388">
      <w:bodyDiv w:val="1"/>
      <w:marLeft w:val="0"/>
      <w:marRight w:val="0"/>
      <w:marTop w:val="0"/>
      <w:marBottom w:val="0"/>
      <w:divBdr>
        <w:top w:val="none" w:sz="0" w:space="0" w:color="auto"/>
        <w:left w:val="none" w:sz="0" w:space="0" w:color="auto"/>
        <w:bottom w:val="none" w:sz="0" w:space="0" w:color="auto"/>
        <w:right w:val="none" w:sz="0" w:space="0" w:color="auto"/>
      </w:divBdr>
    </w:div>
    <w:div w:id="240481508">
      <w:bodyDiv w:val="1"/>
      <w:marLeft w:val="0"/>
      <w:marRight w:val="0"/>
      <w:marTop w:val="0"/>
      <w:marBottom w:val="0"/>
      <w:divBdr>
        <w:top w:val="none" w:sz="0" w:space="0" w:color="auto"/>
        <w:left w:val="none" w:sz="0" w:space="0" w:color="auto"/>
        <w:bottom w:val="none" w:sz="0" w:space="0" w:color="auto"/>
        <w:right w:val="none" w:sz="0" w:space="0" w:color="auto"/>
      </w:divBdr>
    </w:div>
    <w:div w:id="250821059">
      <w:bodyDiv w:val="1"/>
      <w:marLeft w:val="0"/>
      <w:marRight w:val="0"/>
      <w:marTop w:val="0"/>
      <w:marBottom w:val="0"/>
      <w:divBdr>
        <w:top w:val="none" w:sz="0" w:space="0" w:color="auto"/>
        <w:left w:val="none" w:sz="0" w:space="0" w:color="auto"/>
        <w:bottom w:val="none" w:sz="0" w:space="0" w:color="auto"/>
        <w:right w:val="none" w:sz="0" w:space="0" w:color="auto"/>
      </w:divBdr>
    </w:div>
    <w:div w:id="254437401">
      <w:bodyDiv w:val="1"/>
      <w:marLeft w:val="0"/>
      <w:marRight w:val="0"/>
      <w:marTop w:val="0"/>
      <w:marBottom w:val="0"/>
      <w:divBdr>
        <w:top w:val="none" w:sz="0" w:space="0" w:color="auto"/>
        <w:left w:val="none" w:sz="0" w:space="0" w:color="auto"/>
        <w:bottom w:val="none" w:sz="0" w:space="0" w:color="auto"/>
        <w:right w:val="none" w:sz="0" w:space="0" w:color="auto"/>
      </w:divBdr>
    </w:div>
    <w:div w:id="255288453">
      <w:bodyDiv w:val="1"/>
      <w:marLeft w:val="0"/>
      <w:marRight w:val="0"/>
      <w:marTop w:val="0"/>
      <w:marBottom w:val="0"/>
      <w:divBdr>
        <w:top w:val="none" w:sz="0" w:space="0" w:color="auto"/>
        <w:left w:val="none" w:sz="0" w:space="0" w:color="auto"/>
        <w:bottom w:val="none" w:sz="0" w:space="0" w:color="auto"/>
        <w:right w:val="none" w:sz="0" w:space="0" w:color="auto"/>
      </w:divBdr>
    </w:div>
    <w:div w:id="259484118">
      <w:bodyDiv w:val="1"/>
      <w:marLeft w:val="0"/>
      <w:marRight w:val="0"/>
      <w:marTop w:val="0"/>
      <w:marBottom w:val="0"/>
      <w:divBdr>
        <w:top w:val="none" w:sz="0" w:space="0" w:color="auto"/>
        <w:left w:val="none" w:sz="0" w:space="0" w:color="auto"/>
        <w:bottom w:val="none" w:sz="0" w:space="0" w:color="auto"/>
        <w:right w:val="none" w:sz="0" w:space="0" w:color="auto"/>
      </w:divBdr>
    </w:div>
    <w:div w:id="263656602">
      <w:bodyDiv w:val="1"/>
      <w:marLeft w:val="0"/>
      <w:marRight w:val="0"/>
      <w:marTop w:val="0"/>
      <w:marBottom w:val="0"/>
      <w:divBdr>
        <w:top w:val="none" w:sz="0" w:space="0" w:color="auto"/>
        <w:left w:val="none" w:sz="0" w:space="0" w:color="auto"/>
        <w:bottom w:val="none" w:sz="0" w:space="0" w:color="auto"/>
        <w:right w:val="none" w:sz="0" w:space="0" w:color="auto"/>
      </w:divBdr>
    </w:div>
    <w:div w:id="263733900">
      <w:bodyDiv w:val="1"/>
      <w:marLeft w:val="0"/>
      <w:marRight w:val="0"/>
      <w:marTop w:val="0"/>
      <w:marBottom w:val="0"/>
      <w:divBdr>
        <w:top w:val="none" w:sz="0" w:space="0" w:color="auto"/>
        <w:left w:val="none" w:sz="0" w:space="0" w:color="auto"/>
        <w:bottom w:val="none" w:sz="0" w:space="0" w:color="auto"/>
        <w:right w:val="none" w:sz="0" w:space="0" w:color="auto"/>
      </w:divBdr>
    </w:div>
    <w:div w:id="265189890">
      <w:bodyDiv w:val="1"/>
      <w:marLeft w:val="0"/>
      <w:marRight w:val="0"/>
      <w:marTop w:val="0"/>
      <w:marBottom w:val="0"/>
      <w:divBdr>
        <w:top w:val="none" w:sz="0" w:space="0" w:color="auto"/>
        <w:left w:val="none" w:sz="0" w:space="0" w:color="auto"/>
        <w:bottom w:val="none" w:sz="0" w:space="0" w:color="auto"/>
        <w:right w:val="none" w:sz="0" w:space="0" w:color="auto"/>
      </w:divBdr>
    </w:div>
    <w:div w:id="266274064">
      <w:bodyDiv w:val="1"/>
      <w:marLeft w:val="0"/>
      <w:marRight w:val="0"/>
      <w:marTop w:val="0"/>
      <w:marBottom w:val="0"/>
      <w:divBdr>
        <w:top w:val="none" w:sz="0" w:space="0" w:color="auto"/>
        <w:left w:val="none" w:sz="0" w:space="0" w:color="auto"/>
        <w:bottom w:val="none" w:sz="0" w:space="0" w:color="auto"/>
        <w:right w:val="none" w:sz="0" w:space="0" w:color="auto"/>
      </w:divBdr>
    </w:div>
    <w:div w:id="267851666">
      <w:bodyDiv w:val="1"/>
      <w:marLeft w:val="0"/>
      <w:marRight w:val="0"/>
      <w:marTop w:val="0"/>
      <w:marBottom w:val="0"/>
      <w:divBdr>
        <w:top w:val="none" w:sz="0" w:space="0" w:color="auto"/>
        <w:left w:val="none" w:sz="0" w:space="0" w:color="auto"/>
        <w:bottom w:val="none" w:sz="0" w:space="0" w:color="auto"/>
        <w:right w:val="none" w:sz="0" w:space="0" w:color="auto"/>
      </w:divBdr>
    </w:div>
    <w:div w:id="269898512">
      <w:bodyDiv w:val="1"/>
      <w:marLeft w:val="0"/>
      <w:marRight w:val="0"/>
      <w:marTop w:val="0"/>
      <w:marBottom w:val="0"/>
      <w:divBdr>
        <w:top w:val="none" w:sz="0" w:space="0" w:color="auto"/>
        <w:left w:val="none" w:sz="0" w:space="0" w:color="auto"/>
        <w:bottom w:val="none" w:sz="0" w:space="0" w:color="auto"/>
        <w:right w:val="none" w:sz="0" w:space="0" w:color="auto"/>
      </w:divBdr>
    </w:div>
    <w:div w:id="276764862">
      <w:bodyDiv w:val="1"/>
      <w:marLeft w:val="0"/>
      <w:marRight w:val="0"/>
      <w:marTop w:val="0"/>
      <w:marBottom w:val="0"/>
      <w:divBdr>
        <w:top w:val="none" w:sz="0" w:space="0" w:color="auto"/>
        <w:left w:val="none" w:sz="0" w:space="0" w:color="auto"/>
        <w:bottom w:val="none" w:sz="0" w:space="0" w:color="auto"/>
        <w:right w:val="none" w:sz="0" w:space="0" w:color="auto"/>
      </w:divBdr>
    </w:div>
    <w:div w:id="285043751">
      <w:bodyDiv w:val="1"/>
      <w:marLeft w:val="0"/>
      <w:marRight w:val="0"/>
      <w:marTop w:val="0"/>
      <w:marBottom w:val="0"/>
      <w:divBdr>
        <w:top w:val="none" w:sz="0" w:space="0" w:color="auto"/>
        <w:left w:val="none" w:sz="0" w:space="0" w:color="auto"/>
        <w:bottom w:val="none" w:sz="0" w:space="0" w:color="auto"/>
        <w:right w:val="none" w:sz="0" w:space="0" w:color="auto"/>
      </w:divBdr>
    </w:div>
    <w:div w:id="289093205">
      <w:bodyDiv w:val="1"/>
      <w:marLeft w:val="0"/>
      <w:marRight w:val="0"/>
      <w:marTop w:val="0"/>
      <w:marBottom w:val="0"/>
      <w:divBdr>
        <w:top w:val="none" w:sz="0" w:space="0" w:color="auto"/>
        <w:left w:val="none" w:sz="0" w:space="0" w:color="auto"/>
        <w:bottom w:val="none" w:sz="0" w:space="0" w:color="auto"/>
        <w:right w:val="none" w:sz="0" w:space="0" w:color="auto"/>
      </w:divBdr>
    </w:div>
    <w:div w:id="290790931">
      <w:bodyDiv w:val="1"/>
      <w:marLeft w:val="0"/>
      <w:marRight w:val="0"/>
      <w:marTop w:val="0"/>
      <w:marBottom w:val="0"/>
      <w:divBdr>
        <w:top w:val="none" w:sz="0" w:space="0" w:color="auto"/>
        <w:left w:val="none" w:sz="0" w:space="0" w:color="auto"/>
        <w:bottom w:val="none" w:sz="0" w:space="0" w:color="auto"/>
        <w:right w:val="none" w:sz="0" w:space="0" w:color="auto"/>
      </w:divBdr>
    </w:div>
    <w:div w:id="293415793">
      <w:bodyDiv w:val="1"/>
      <w:marLeft w:val="0"/>
      <w:marRight w:val="0"/>
      <w:marTop w:val="0"/>
      <w:marBottom w:val="0"/>
      <w:divBdr>
        <w:top w:val="none" w:sz="0" w:space="0" w:color="auto"/>
        <w:left w:val="none" w:sz="0" w:space="0" w:color="auto"/>
        <w:bottom w:val="none" w:sz="0" w:space="0" w:color="auto"/>
        <w:right w:val="none" w:sz="0" w:space="0" w:color="auto"/>
      </w:divBdr>
    </w:div>
    <w:div w:id="295641445">
      <w:bodyDiv w:val="1"/>
      <w:marLeft w:val="0"/>
      <w:marRight w:val="0"/>
      <w:marTop w:val="0"/>
      <w:marBottom w:val="0"/>
      <w:divBdr>
        <w:top w:val="none" w:sz="0" w:space="0" w:color="auto"/>
        <w:left w:val="none" w:sz="0" w:space="0" w:color="auto"/>
        <w:bottom w:val="none" w:sz="0" w:space="0" w:color="auto"/>
        <w:right w:val="none" w:sz="0" w:space="0" w:color="auto"/>
      </w:divBdr>
    </w:div>
    <w:div w:id="299186952">
      <w:bodyDiv w:val="1"/>
      <w:marLeft w:val="0"/>
      <w:marRight w:val="0"/>
      <w:marTop w:val="0"/>
      <w:marBottom w:val="0"/>
      <w:divBdr>
        <w:top w:val="none" w:sz="0" w:space="0" w:color="auto"/>
        <w:left w:val="none" w:sz="0" w:space="0" w:color="auto"/>
        <w:bottom w:val="none" w:sz="0" w:space="0" w:color="auto"/>
        <w:right w:val="none" w:sz="0" w:space="0" w:color="auto"/>
      </w:divBdr>
    </w:div>
    <w:div w:id="300306570">
      <w:bodyDiv w:val="1"/>
      <w:marLeft w:val="0"/>
      <w:marRight w:val="0"/>
      <w:marTop w:val="0"/>
      <w:marBottom w:val="0"/>
      <w:divBdr>
        <w:top w:val="none" w:sz="0" w:space="0" w:color="auto"/>
        <w:left w:val="none" w:sz="0" w:space="0" w:color="auto"/>
        <w:bottom w:val="none" w:sz="0" w:space="0" w:color="auto"/>
        <w:right w:val="none" w:sz="0" w:space="0" w:color="auto"/>
      </w:divBdr>
    </w:div>
    <w:div w:id="302858499">
      <w:bodyDiv w:val="1"/>
      <w:marLeft w:val="0"/>
      <w:marRight w:val="0"/>
      <w:marTop w:val="0"/>
      <w:marBottom w:val="0"/>
      <w:divBdr>
        <w:top w:val="none" w:sz="0" w:space="0" w:color="auto"/>
        <w:left w:val="none" w:sz="0" w:space="0" w:color="auto"/>
        <w:bottom w:val="none" w:sz="0" w:space="0" w:color="auto"/>
        <w:right w:val="none" w:sz="0" w:space="0" w:color="auto"/>
      </w:divBdr>
    </w:div>
    <w:div w:id="304509617">
      <w:bodyDiv w:val="1"/>
      <w:marLeft w:val="0"/>
      <w:marRight w:val="0"/>
      <w:marTop w:val="0"/>
      <w:marBottom w:val="0"/>
      <w:divBdr>
        <w:top w:val="none" w:sz="0" w:space="0" w:color="auto"/>
        <w:left w:val="none" w:sz="0" w:space="0" w:color="auto"/>
        <w:bottom w:val="none" w:sz="0" w:space="0" w:color="auto"/>
        <w:right w:val="none" w:sz="0" w:space="0" w:color="auto"/>
      </w:divBdr>
    </w:div>
    <w:div w:id="312679723">
      <w:bodyDiv w:val="1"/>
      <w:marLeft w:val="0"/>
      <w:marRight w:val="0"/>
      <w:marTop w:val="0"/>
      <w:marBottom w:val="0"/>
      <w:divBdr>
        <w:top w:val="none" w:sz="0" w:space="0" w:color="auto"/>
        <w:left w:val="none" w:sz="0" w:space="0" w:color="auto"/>
        <w:bottom w:val="none" w:sz="0" w:space="0" w:color="auto"/>
        <w:right w:val="none" w:sz="0" w:space="0" w:color="auto"/>
      </w:divBdr>
    </w:div>
    <w:div w:id="321784766">
      <w:bodyDiv w:val="1"/>
      <w:marLeft w:val="0"/>
      <w:marRight w:val="0"/>
      <w:marTop w:val="0"/>
      <w:marBottom w:val="0"/>
      <w:divBdr>
        <w:top w:val="none" w:sz="0" w:space="0" w:color="auto"/>
        <w:left w:val="none" w:sz="0" w:space="0" w:color="auto"/>
        <w:bottom w:val="none" w:sz="0" w:space="0" w:color="auto"/>
        <w:right w:val="none" w:sz="0" w:space="0" w:color="auto"/>
      </w:divBdr>
    </w:div>
    <w:div w:id="323164680">
      <w:bodyDiv w:val="1"/>
      <w:marLeft w:val="0"/>
      <w:marRight w:val="0"/>
      <w:marTop w:val="0"/>
      <w:marBottom w:val="0"/>
      <w:divBdr>
        <w:top w:val="none" w:sz="0" w:space="0" w:color="auto"/>
        <w:left w:val="none" w:sz="0" w:space="0" w:color="auto"/>
        <w:bottom w:val="none" w:sz="0" w:space="0" w:color="auto"/>
        <w:right w:val="none" w:sz="0" w:space="0" w:color="auto"/>
      </w:divBdr>
    </w:div>
    <w:div w:id="324743690">
      <w:bodyDiv w:val="1"/>
      <w:marLeft w:val="0"/>
      <w:marRight w:val="0"/>
      <w:marTop w:val="0"/>
      <w:marBottom w:val="0"/>
      <w:divBdr>
        <w:top w:val="none" w:sz="0" w:space="0" w:color="auto"/>
        <w:left w:val="none" w:sz="0" w:space="0" w:color="auto"/>
        <w:bottom w:val="none" w:sz="0" w:space="0" w:color="auto"/>
        <w:right w:val="none" w:sz="0" w:space="0" w:color="auto"/>
      </w:divBdr>
    </w:div>
    <w:div w:id="328676077">
      <w:bodyDiv w:val="1"/>
      <w:marLeft w:val="0"/>
      <w:marRight w:val="0"/>
      <w:marTop w:val="0"/>
      <w:marBottom w:val="0"/>
      <w:divBdr>
        <w:top w:val="none" w:sz="0" w:space="0" w:color="auto"/>
        <w:left w:val="none" w:sz="0" w:space="0" w:color="auto"/>
        <w:bottom w:val="none" w:sz="0" w:space="0" w:color="auto"/>
        <w:right w:val="none" w:sz="0" w:space="0" w:color="auto"/>
      </w:divBdr>
    </w:div>
    <w:div w:id="330186100">
      <w:bodyDiv w:val="1"/>
      <w:marLeft w:val="0"/>
      <w:marRight w:val="0"/>
      <w:marTop w:val="0"/>
      <w:marBottom w:val="0"/>
      <w:divBdr>
        <w:top w:val="none" w:sz="0" w:space="0" w:color="auto"/>
        <w:left w:val="none" w:sz="0" w:space="0" w:color="auto"/>
        <w:bottom w:val="none" w:sz="0" w:space="0" w:color="auto"/>
        <w:right w:val="none" w:sz="0" w:space="0" w:color="auto"/>
      </w:divBdr>
    </w:div>
    <w:div w:id="330374342">
      <w:bodyDiv w:val="1"/>
      <w:marLeft w:val="0"/>
      <w:marRight w:val="0"/>
      <w:marTop w:val="0"/>
      <w:marBottom w:val="0"/>
      <w:divBdr>
        <w:top w:val="none" w:sz="0" w:space="0" w:color="auto"/>
        <w:left w:val="none" w:sz="0" w:space="0" w:color="auto"/>
        <w:bottom w:val="none" w:sz="0" w:space="0" w:color="auto"/>
        <w:right w:val="none" w:sz="0" w:space="0" w:color="auto"/>
      </w:divBdr>
    </w:div>
    <w:div w:id="331029049">
      <w:bodyDiv w:val="1"/>
      <w:marLeft w:val="0"/>
      <w:marRight w:val="0"/>
      <w:marTop w:val="0"/>
      <w:marBottom w:val="0"/>
      <w:divBdr>
        <w:top w:val="none" w:sz="0" w:space="0" w:color="auto"/>
        <w:left w:val="none" w:sz="0" w:space="0" w:color="auto"/>
        <w:bottom w:val="none" w:sz="0" w:space="0" w:color="auto"/>
        <w:right w:val="none" w:sz="0" w:space="0" w:color="auto"/>
      </w:divBdr>
    </w:div>
    <w:div w:id="332689275">
      <w:bodyDiv w:val="1"/>
      <w:marLeft w:val="0"/>
      <w:marRight w:val="0"/>
      <w:marTop w:val="0"/>
      <w:marBottom w:val="0"/>
      <w:divBdr>
        <w:top w:val="none" w:sz="0" w:space="0" w:color="auto"/>
        <w:left w:val="none" w:sz="0" w:space="0" w:color="auto"/>
        <w:bottom w:val="none" w:sz="0" w:space="0" w:color="auto"/>
        <w:right w:val="none" w:sz="0" w:space="0" w:color="auto"/>
      </w:divBdr>
    </w:div>
    <w:div w:id="334042341">
      <w:bodyDiv w:val="1"/>
      <w:marLeft w:val="0"/>
      <w:marRight w:val="0"/>
      <w:marTop w:val="0"/>
      <w:marBottom w:val="0"/>
      <w:divBdr>
        <w:top w:val="none" w:sz="0" w:space="0" w:color="auto"/>
        <w:left w:val="none" w:sz="0" w:space="0" w:color="auto"/>
        <w:bottom w:val="none" w:sz="0" w:space="0" w:color="auto"/>
        <w:right w:val="none" w:sz="0" w:space="0" w:color="auto"/>
      </w:divBdr>
    </w:div>
    <w:div w:id="336350221">
      <w:bodyDiv w:val="1"/>
      <w:marLeft w:val="0"/>
      <w:marRight w:val="0"/>
      <w:marTop w:val="0"/>
      <w:marBottom w:val="0"/>
      <w:divBdr>
        <w:top w:val="none" w:sz="0" w:space="0" w:color="auto"/>
        <w:left w:val="none" w:sz="0" w:space="0" w:color="auto"/>
        <w:bottom w:val="none" w:sz="0" w:space="0" w:color="auto"/>
        <w:right w:val="none" w:sz="0" w:space="0" w:color="auto"/>
      </w:divBdr>
    </w:div>
    <w:div w:id="337853864">
      <w:bodyDiv w:val="1"/>
      <w:marLeft w:val="0"/>
      <w:marRight w:val="0"/>
      <w:marTop w:val="0"/>
      <w:marBottom w:val="0"/>
      <w:divBdr>
        <w:top w:val="none" w:sz="0" w:space="0" w:color="auto"/>
        <w:left w:val="none" w:sz="0" w:space="0" w:color="auto"/>
        <w:bottom w:val="none" w:sz="0" w:space="0" w:color="auto"/>
        <w:right w:val="none" w:sz="0" w:space="0" w:color="auto"/>
      </w:divBdr>
    </w:div>
    <w:div w:id="340398384">
      <w:bodyDiv w:val="1"/>
      <w:marLeft w:val="0"/>
      <w:marRight w:val="0"/>
      <w:marTop w:val="0"/>
      <w:marBottom w:val="0"/>
      <w:divBdr>
        <w:top w:val="none" w:sz="0" w:space="0" w:color="auto"/>
        <w:left w:val="none" w:sz="0" w:space="0" w:color="auto"/>
        <w:bottom w:val="none" w:sz="0" w:space="0" w:color="auto"/>
        <w:right w:val="none" w:sz="0" w:space="0" w:color="auto"/>
      </w:divBdr>
    </w:div>
    <w:div w:id="350880937">
      <w:bodyDiv w:val="1"/>
      <w:marLeft w:val="0"/>
      <w:marRight w:val="0"/>
      <w:marTop w:val="0"/>
      <w:marBottom w:val="0"/>
      <w:divBdr>
        <w:top w:val="none" w:sz="0" w:space="0" w:color="auto"/>
        <w:left w:val="none" w:sz="0" w:space="0" w:color="auto"/>
        <w:bottom w:val="none" w:sz="0" w:space="0" w:color="auto"/>
        <w:right w:val="none" w:sz="0" w:space="0" w:color="auto"/>
      </w:divBdr>
    </w:div>
    <w:div w:id="358316186">
      <w:bodyDiv w:val="1"/>
      <w:marLeft w:val="0"/>
      <w:marRight w:val="0"/>
      <w:marTop w:val="0"/>
      <w:marBottom w:val="0"/>
      <w:divBdr>
        <w:top w:val="none" w:sz="0" w:space="0" w:color="auto"/>
        <w:left w:val="none" w:sz="0" w:space="0" w:color="auto"/>
        <w:bottom w:val="none" w:sz="0" w:space="0" w:color="auto"/>
        <w:right w:val="none" w:sz="0" w:space="0" w:color="auto"/>
      </w:divBdr>
    </w:div>
    <w:div w:id="359208292">
      <w:bodyDiv w:val="1"/>
      <w:marLeft w:val="0"/>
      <w:marRight w:val="0"/>
      <w:marTop w:val="0"/>
      <w:marBottom w:val="0"/>
      <w:divBdr>
        <w:top w:val="none" w:sz="0" w:space="0" w:color="auto"/>
        <w:left w:val="none" w:sz="0" w:space="0" w:color="auto"/>
        <w:bottom w:val="none" w:sz="0" w:space="0" w:color="auto"/>
        <w:right w:val="none" w:sz="0" w:space="0" w:color="auto"/>
      </w:divBdr>
    </w:div>
    <w:div w:id="363097874">
      <w:bodyDiv w:val="1"/>
      <w:marLeft w:val="0"/>
      <w:marRight w:val="0"/>
      <w:marTop w:val="0"/>
      <w:marBottom w:val="0"/>
      <w:divBdr>
        <w:top w:val="none" w:sz="0" w:space="0" w:color="auto"/>
        <w:left w:val="none" w:sz="0" w:space="0" w:color="auto"/>
        <w:bottom w:val="none" w:sz="0" w:space="0" w:color="auto"/>
        <w:right w:val="none" w:sz="0" w:space="0" w:color="auto"/>
      </w:divBdr>
    </w:div>
    <w:div w:id="363558652">
      <w:bodyDiv w:val="1"/>
      <w:marLeft w:val="0"/>
      <w:marRight w:val="0"/>
      <w:marTop w:val="0"/>
      <w:marBottom w:val="0"/>
      <w:divBdr>
        <w:top w:val="none" w:sz="0" w:space="0" w:color="auto"/>
        <w:left w:val="none" w:sz="0" w:space="0" w:color="auto"/>
        <w:bottom w:val="none" w:sz="0" w:space="0" w:color="auto"/>
        <w:right w:val="none" w:sz="0" w:space="0" w:color="auto"/>
      </w:divBdr>
    </w:div>
    <w:div w:id="363675878">
      <w:bodyDiv w:val="1"/>
      <w:marLeft w:val="0"/>
      <w:marRight w:val="0"/>
      <w:marTop w:val="0"/>
      <w:marBottom w:val="0"/>
      <w:divBdr>
        <w:top w:val="none" w:sz="0" w:space="0" w:color="auto"/>
        <w:left w:val="none" w:sz="0" w:space="0" w:color="auto"/>
        <w:bottom w:val="none" w:sz="0" w:space="0" w:color="auto"/>
        <w:right w:val="none" w:sz="0" w:space="0" w:color="auto"/>
      </w:divBdr>
    </w:div>
    <w:div w:id="375471939">
      <w:bodyDiv w:val="1"/>
      <w:marLeft w:val="0"/>
      <w:marRight w:val="0"/>
      <w:marTop w:val="0"/>
      <w:marBottom w:val="0"/>
      <w:divBdr>
        <w:top w:val="none" w:sz="0" w:space="0" w:color="auto"/>
        <w:left w:val="none" w:sz="0" w:space="0" w:color="auto"/>
        <w:bottom w:val="none" w:sz="0" w:space="0" w:color="auto"/>
        <w:right w:val="none" w:sz="0" w:space="0" w:color="auto"/>
      </w:divBdr>
    </w:div>
    <w:div w:id="375934481">
      <w:bodyDiv w:val="1"/>
      <w:marLeft w:val="0"/>
      <w:marRight w:val="0"/>
      <w:marTop w:val="0"/>
      <w:marBottom w:val="0"/>
      <w:divBdr>
        <w:top w:val="none" w:sz="0" w:space="0" w:color="auto"/>
        <w:left w:val="none" w:sz="0" w:space="0" w:color="auto"/>
        <w:bottom w:val="none" w:sz="0" w:space="0" w:color="auto"/>
        <w:right w:val="none" w:sz="0" w:space="0" w:color="auto"/>
      </w:divBdr>
    </w:div>
    <w:div w:id="378209568">
      <w:bodyDiv w:val="1"/>
      <w:marLeft w:val="0"/>
      <w:marRight w:val="0"/>
      <w:marTop w:val="0"/>
      <w:marBottom w:val="0"/>
      <w:divBdr>
        <w:top w:val="none" w:sz="0" w:space="0" w:color="auto"/>
        <w:left w:val="none" w:sz="0" w:space="0" w:color="auto"/>
        <w:bottom w:val="none" w:sz="0" w:space="0" w:color="auto"/>
        <w:right w:val="none" w:sz="0" w:space="0" w:color="auto"/>
      </w:divBdr>
    </w:div>
    <w:div w:id="380860424">
      <w:bodyDiv w:val="1"/>
      <w:marLeft w:val="0"/>
      <w:marRight w:val="0"/>
      <w:marTop w:val="0"/>
      <w:marBottom w:val="0"/>
      <w:divBdr>
        <w:top w:val="none" w:sz="0" w:space="0" w:color="auto"/>
        <w:left w:val="none" w:sz="0" w:space="0" w:color="auto"/>
        <w:bottom w:val="none" w:sz="0" w:space="0" w:color="auto"/>
        <w:right w:val="none" w:sz="0" w:space="0" w:color="auto"/>
      </w:divBdr>
    </w:div>
    <w:div w:id="384303619">
      <w:bodyDiv w:val="1"/>
      <w:marLeft w:val="0"/>
      <w:marRight w:val="0"/>
      <w:marTop w:val="0"/>
      <w:marBottom w:val="0"/>
      <w:divBdr>
        <w:top w:val="none" w:sz="0" w:space="0" w:color="auto"/>
        <w:left w:val="none" w:sz="0" w:space="0" w:color="auto"/>
        <w:bottom w:val="none" w:sz="0" w:space="0" w:color="auto"/>
        <w:right w:val="none" w:sz="0" w:space="0" w:color="auto"/>
      </w:divBdr>
    </w:div>
    <w:div w:id="384334020">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388578567">
      <w:bodyDiv w:val="1"/>
      <w:marLeft w:val="0"/>
      <w:marRight w:val="0"/>
      <w:marTop w:val="0"/>
      <w:marBottom w:val="0"/>
      <w:divBdr>
        <w:top w:val="none" w:sz="0" w:space="0" w:color="auto"/>
        <w:left w:val="none" w:sz="0" w:space="0" w:color="auto"/>
        <w:bottom w:val="none" w:sz="0" w:space="0" w:color="auto"/>
        <w:right w:val="none" w:sz="0" w:space="0" w:color="auto"/>
      </w:divBdr>
    </w:div>
    <w:div w:id="397172040">
      <w:bodyDiv w:val="1"/>
      <w:marLeft w:val="0"/>
      <w:marRight w:val="0"/>
      <w:marTop w:val="0"/>
      <w:marBottom w:val="0"/>
      <w:divBdr>
        <w:top w:val="none" w:sz="0" w:space="0" w:color="auto"/>
        <w:left w:val="none" w:sz="0" w:space="0" w:color="auto"/>
        <w:bottom w:val="none" w:sz="0" w:space="0" w:color="auto"/>
        <w:right w:val="none" w:sz="0" w:space="0" w:color="auto"/>
      </w:divBdr>
    </w:div>
    <w:div w:id="404112059">
      <w:bodyDiv w:val="1"/>
      <w:marLeft w:val="0"/>
      <w:marRight w:val="0"/>
      <w:marTop w:val="0"/>
      <w:marBottom w:val="0"/>
      <w:divBdr>
        <w:top w:val="none" w:sz="0" w:space="0" w:color="auto"/>
        <w:left w:val="none" w:sz="0" w:space="0" w:color="auto"/>
        <w:bottom w:val="none" w:sz="0" w:space="0" w:color="auto"/>
        <w:right w:val="none" w:sz="0" w:space="0" w:color="auto"/>
      </w:divBdr>
    </w:div>
    <w:div w:id="404422947">
      <w:bodyDiv w:val="1"/>
      <w:marLeft w:val="0"/>
      <w:marRight w:val="0"/>
      <w:marTop w:val="0"/>
      <w:marBottom w:val="0"/>
      <w:divBdr>
        <w:top w:val="none" w:sz="0" w:space="0" w:color="auto"/>
        <w:left w:val="none" w:sz="0" w:space="0" w:color="auto"/>
        <w:bottom w:val="none" w:sz="0" w:space="0" w:color="auto"/>
        <w:right w:val="none" w:sz="0" w:space="0" w:color="auto"/>
      </w:divBdr>
    </w:div>
    <w:div w:id="415712011">
      <w:bodyDiv w:val="1"/>
      <w:marLeft w:val="0"/>
      <w:marRight w:val="0"/>
      <w:marTop w:val="0"/>
      <w:marBottom w:val="0"/>
      <w:divBdr>
        <w:top w:val="none" w:sz="0" w:space="0" w:color="auto"/>
        <w:left w:val="none" w:sz="0" w:space="0" w:color="auto"/>
        <w:bottom w:val="none" w:sz="0" w:space="0" w:color="auto"/>
        <w:right w:val="none" w:sz="0" w:space="0" w:color="auto"/>
      </w:divBdr>
    </w:div>
    <w:div w:id="425417918">
      <w:bodyDiv w:val="1"/>
      <w:marLeft w:val="0"/>
      <w:marRight w:val="0"/>
      <w:marTop w:val="0"/>
      <w:marBottom w:val="0"/>
      <w:divBdr>
        <w:top w:val="none" w:sz="0" w:space="0" w:color="auto"/>
        <w:left w:val="none" w:sz="0" w:space="0" w:color="auto"/>
        <w:bottom w:val="none" w:sz="0" w:space="0" w:color="auto"/>
        <w:right w:val="none" w:sz="0" w:space="0" w:color="auto"/>
      </w:divBdr>
    </w:div>
    <w:div w:id="434403967">
      <w:bodyDiv w:val="1"/>
      <w:marLeft w:val="0"/>
      <w:marRight w:val="0"/>
      <w:marTop w:val="0"/>
      <w:marBottom w:val="0"/>
      <w:divBdr>
        <w:top w:val="none" w:sz="0" w:space="0" w:color="auto"/>
        <w:left w:val="none" w:sz="0" w:space="0" w:color="auto"/>
        <w:bottom w:val="none" w:sz="0" w:space="0" w:color="auto"/>
        <w:right w:val="none" w:sz="0" w:space="0" w:color="auto"/>
      </w:divBdr>
    </w:div>
    <w:div w:id="435097878">
      <w:bodyDiv w:val="1"/>
      <w:marLeft w:val="0"/>
      <w:marRight w:val="0"/>
      <w:marTop w:val="0"/>
      <w:marBottom w:val="0"/>
      <w:divBdr>
        <w:top w:val="none" w:sz="0" w:space="0" w:color="auto"/>
        <w:left w:val="none" w:sz="0" w:space="0" w:color="auto"/>
        <w:bottom w:val="none" w:sz="0" w:space="0" w:color="auto"/>
        <w:right w:val="none" w:sz="0" w:space="0" w:color="auto"/>
      </w:divBdr>
    </w:div>
    <w:div w:id="437067086">
      <w:bodyDiv w:val="1"/>
      <w:marLeft w:val="0"/>
      <w:marRight w:val="0"/>
      <w:marTop w:val="0"/>
      <w:marBottom w:val="0"/>
      <w:divBdr>
        <w:top w:val="none" w:sz="0" w:space="0" w:color="auto"/>
        <w:left w:val="none" w:sz="0" w:space="0" w:color="auto"/>
        <w:bottom w:val="none" w:sz="0" w:space="0" w:color="auto"/>
        <w:right w:val="none" w:sz="0" w:space="0" w:color="auto"/>
      </w:divBdr>
    </w:div>
    <w:div w:id="439765532">
      <w:bodyDiv w:val="1"/>
      <w:marLeft w:val="0"/>
      <w:marRight w:val="0"/>
      <w:marTop w:val="0"/>
      <w:marBottom w:val="0"/>
      <w:divBdr>
        <w:top w:val="none" w:sz="0" w:space="0" w:color="auto"/>
        <w:left w:val="none" w:sz="0" w:space="0" w:color="auto"/>
        <w:bottom w:val="none" w:sz="0" w:space="0" w:color="auto"/>
        <w:right w:val="none" w:sz="0" w:space="0" w:color="auto"/>
      </w:divBdr>
    </w:div>
    <w:div w:id="442726628">
      <w:bodyDiv w:val="1"/>
      <w:marLeft w:val="0"/>
      <w:marRight w:val="0"/>
      <w:marTop w:val="0"/>
      <w:marBottom w:val="0"/>
      <w:divBdr>
        <w:top w:val="none" w:sz="0" w:space="0" w:color="auto"/>
        <w:left w:val="none" w:sz="0" w:space="0" w:color="auto"/>
        <w:bottom w:val="none" w:sz="0" w:space="0" w:color="auto"/>
        <w:right w:val="none" w:sz="0" w:space="0" w:color="auto"/>
      </w:divBdr>
    </w:div>
    <w:div w:id="444810993">
      <w:bodyDiv w:val="1"/>
      <w:marLeft w:val="0"/>
      <w:marRight w:val="0"/>
      <w:marTop w:val="0"/>
      <w:marBottom w:val="0"/>
      <w:divBdr>
        <w:top w:val="none" w:sz="0" w:space="0" w:color="auto"/>
        <w:left w:val="none" w:sz="0" w:space="0" w:color="auto"/>
        <w:bottom w:val="none" w:sz="0" w:space="0" w:color="auto"/>
        <w:right w:val="none" w:sz="0" w:space="0" w:color="auto"/>
      </w:divBdr>
    </w:div>
    <w:div w:id="446046814">
      <w:bodyDiv w:val="1"/>
      <w:marLeft w:val="0"/>
      <w:marRight w:val="0"/>
      <w:marTop w:val="0"/>
      <w:marBottom w:val="0"/>
      <w:divBdr>
        <w:top w:val="none" w:sz="0" w:space="0" w:color="auto"/>
        <w:left w:val="none" w:sz="0" w:space="0" w:color="auto"/>
        <w:bottom w:val="none" w:sz="0" w:space="0" w:color="auto"/>
        <w:right w:val="none" w:sz="0" w:space="0" w:color="auto"/>
      </w:divBdr>
    </w:div>
    <w:div w:id="449007291">
      <w:bodyDiv w:val="1"/>
      <w:marLeft w:val="0"/>
      <w:marRight w:val="0"/>
      <w:marTop w:val="0"/>
      <w:marBottom w:val="0"/>
      <w:divBdr>
        <w:top w:val="none" w:sz="0" w:space="0" w:color="auto"/>
        <w:left w:val="none" w:sz="0" w:space="0" w:color="auto"/>
        <w:bottom w:val="none" w:sz="0" w:space="0" w:color="auto"/>
        <w:right w:val="none" w:sz="0" w:space="0" w:color="auto"/>
      </w:divBdr>
    </w:div>
    <w:div w:id="456339411">
      <w:bodyDiv w:val="1"/>
      <w:marLeft w:val="0"/>
      <w:marRight w:val="0"/>
      <w:marTop w:val="0"/>
      <w:marBottom w:val="0"/>
      <w:divBdr>
        <w:top w:val="none" w:sz="0" w:space="0" w:color="auto"/>
        <w:left w:val="none" w:sz="0" w:space="0" w:color="auto"/>
        <w:bottom w:val="none" w:sz="0" w:space="0" w:color="auto"/>
        <w:right w:val="none" w:sz="0" w:space="0" w:color="auto"/>
      </w:divBdr>
    </w:div>
    <w:div w:id="461995155">
      <w:bodyDiv w:val="1"/>
      <w:marLeft w:val="0"/>
      <w:marRight w:val="0"/>
      <w:marTop w:val="0"/>
      <w:marBottom w:val="0"/>
      <w:divBdr>
        <w:top w:val="none" w:sz="0" w:space="0" w:color="auto"/>
        <w:left w:val="none" w:sz="0" w:space="0" w:color="auto"/>
        <w:bottom w:val="none" w:sz="0" w:space="0" w:color="auto"/>
        <w:right w:val="none" w:sz="0" w:space="0" w:color="auto"/>
      </w:divBdr>
    </w:div>
    <w:div w:id="468742603">
      <w:bodyDiv w:val="1"/>
      <w:marLeft w:val="0"/>
      <w:marRight w:val="0"/>
      <w:marTop w:val="0"/>
      <w:marBottom w:val="0"/>
      <w:divBdr>
        <w:top w:val="none" w:sz="0" w:space="0" w:color="auto"/>
        <w:left w:val="none" w:sz="0" w:space="0" w:color="auto"/>
        <w:bottom w:val="none" w:sz="0" w:space="0" w:color="auto"/>
        <w:right w:val="none" w:sz="0" w:space="0" w:color="auto"/>
      </w:divBdr>
    </w:div>
    <w:div w:id="471756396">
      <w:bodyDiv w:val="1"/>
      <w:marLeft w:val="0"/>
      <w:marRight w:val="0"/>
      <w:marTop w:val="0"/>
      <w:marBottom w:val="0"/>
      <w:divBdr>
        <w:top w:val="none" w:sz="0" w:space="0" w:color="auto"/>
        <w:left w:val="none" w:sz="0" w:space="0" w:color="auto"/>
        <w:bottom w:val="none" w:sz="0" w:space="0" w:color="auto"/>
        <w:right w:val="none" w:sz="0" w:space="0" w:color="auto"/>
      </w:divBdr>
    </w:div>
    <w:div w:id="473059229">
      <w:bodyDiv w:val="1"/>
      <w:marLeft w:val="0"/>
      <w:marRight w:val="0"/>
      <w:marTop w:val="0"/>
      <w:marBottom w:val="0"/>
      <w:divBdr>
        <w:top w:val="none" w:sz="0" w:space="0" w:color="auto"/>
        <w:left w:val="none" w:sz="0" w:space="0" w:color="auto"/>
        <w:bottom w:val="none" w:sz="0" w:space="0" w:color="auto"/>
        <w:right w:val="none" w:sz="0" w:space="0" w:color="auto"/>
      </w:divBdr>
    </w:div>
    <w:div w:id="475538605">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488864320">
      <w:bodyDiv w:val="1"/>
      <w:marLeft w:val="0"/>
      <w:marRight w:val="0"/>
      <w:marTop w:val="0"/>
      <w:marBottom w:val="0"/>
      <w:divBdr>
        <w:top w:val="none" w:sz="0" w:space="0" w:color="auto"/>
        <w:left w:val="none" w:sz="0" w:space="0" w:color="auto"/>
        <w:bottom w:val="none" w:sz="0" w:space="0" w:color="auto"/>
        <w:right w:val="none" w:sz="0" w:space="0" w:color="auto"/>
      </w:divBdr>
    </w:div>
    <w:div w:id="489948489">
      <w:bodyDiv w:val="1"/>
      <w:marLeft w:val="0"/>
      <w:marRight w:val="0"/>
      <w:marTop w:val="0"/>
      <w:marBottom w:val="0"/>
      <w:divBdr>
        <w:top w:val="none" w:sz="0" w:space="0" w:color="auto"/>
        <w:left w:val="none" w:sz="0" w:space="0" w:color="auto"/>
        <w:bottom w:val="none" w:sz="0" w:space="0" w:color="auto"/>
        <w:right w:val="none" w:sz="0" w:space="0" w:color="auto"/>
      </w:divBdr>
    </w:div>
    <w:div w:id="490366333">
      <w:bodyDiv w:val="1"/>
      <w:marLeft w:val="0"/>
      <w:marRight w:val="0"/>
      <w:marTop w:val="0"/>
      <w:marBottom w:val="0"/>
      <w:divBdr>
        <w:top w:val="none" w:sz="0" w:space="0" w:color="auto"/>
        <w:left w:val="none" w:sz="0" w:space="0" w:color="auto"/>
        <w:bottom w:val="none" w:sz="0" w:space="0" w:color="auto"/>
        <w:right w:val="none" w:sz="0" w:space="0" w:color="auto"/>
      </w:divBdr>
    </w:div>
    <w:div w:id="495192684">
      <w:bodyDiv w:val="1"/>
      <w:marLeft w:val="0"/>
      <w:marRight w:val="0"/>
      <w:marTop w:val="0"/>
      <w:marBottom w:val="0"/>
      <w:divBdr>
        <w:top w:val="none" w:sz="0" w:space="0" w:color="auto"/>
        <w:left w:val="none" w:sz="0" w:space="0" w:color="auto"/>
        <w:bottom w:val="none" w:sz="0" w:space="0" w:color="auto"/>
        <w:right w:val="none" w:sz="0" w:space="0" w:color="auto"/>
      </w:divBdr>
    </w:div>
    <w:div w:id="496267135">
      <w:bodyDiv w:val="1"/>
      <w:marLeft w:val="0"/>
      <w:marRight w:val="0"/>
      <w:marTop w:val="0"/>
      <w:marBottom w:val="0"/>
      <w:divBdr>
        <w:top w:val="none" w:sz="0" w:space="0" w:color="auto"/>
        <w:left w:val="none" w:sz="0" w:space="0" w:color="auto"/>
        <w:bottom w:val="none" w:sz="0" w:space="0" w:color="auto"/>
        <w:right w:val="none" w:sz="0" w:space="0" w:color="auto"/>
      </w:divBdr>
    </w:div>
    <w:div w:id="496575147">
      <w:bodyDiv w:val="1"/>
      <w:marLeft w:val="0"/>
      <w:marRight w:val="0"/>
      <w:marTop w:val="0"/>
      <w:marBottom w:val="0"/>
      <w:divBdr>
        <w:top w:val="none" w:sz="0" w:space="0" w:color="auto"/>
        <w:left w:val="none" w:sz="0" w:space="0" w:color="auto"/>
        <w:bottom w:val="none" w:sz="0" w:space="0" w:color="auto"/>
        <w:right w:val="none" w:sz="0" w:space="0" w:color="auto"/>
      </w:divBdr>
    </w:div>
    <w:div w:id="501435088">
      <w:bodyDiv w:val="1"/>
      <w:marLeft w:val="0"/>
      <w:marRight w:val="0"/>
      <w:marTop w:val="0"/>
      <w:marBottom w:val="0"/>
      <w:divBdr>
        <w:top w:val="none" w:sz="0" w:space="0" w:color="auto"/>
        <w:left w:val="none" w:sz="0" w:space="0" w:color="auto"/>
        <w:bottom w:val="none" w:sz="0" w:space="0" w:color="auto"/>
        <w:right w:val="none" w:sz="0" w:space="0" w:color="auto"/>
      </w:divBdr>
    </w:div>
    <w:div w:id="501552807">
      <w:bodyDiv w:val="1"/>
      <w:marLeft w:val="0"/>
      <w:marRight w:val="0"/>
      <w:marTop w:val="0"/>
      <w:marBottom w:val="0"/>
      <w:divBdr>
        <w:top w:val="none" w:sz="0" w:space="0" w:color="auto"/>
        <w:left w:val="none" w:sz="0" w:space="0" w:color="auto"/>
        <w:bottom w:val="none" w:sz="0" w:space="0" w:color="auto"/>
        <w:right w:val="none" w:sz="0" w:space="0" w:color="auto"/>
      </w:divBdr>
    </w:div>
    <w:div w:id="505364021">
      <w:bodyDiv w:val="1"/>
      <w:marLeft w:val="0"/>
      <w:marRight w:val="0"/>
      <w:marTop w:val="0"/>
      <w:marBottom w:val="0"/>
      <w:divBdr>
        <w:top w:val="none" w:sz="0" w:space="0" w:color="auto"/>
        <w:left w:val="none" w:sz="0" w:space="0" w:color="auto"/>
        <w:bottom w:val="none" w:sz="0" w:space="0" w:color="auto"/>
        <w:right w:val="none" w:sz="0" w:space="0" w:color="auto"/>
      </w:divBdr>
    </w:div>
    <w:div w:id="514804404">
      <w:bodyDiv w:val="1"/>
      <w:marLeft w:val="0"/>
      <w:marRight w:val="0"/>
      <w:marTop w:val="0"/>
      <w:marBottom w:val="0"/>
      <w:divBdr>
        <w:top w:val="none" w:sz="0" w:space="0" w:color="auto"/>
        <w:left w:val="none" w:sz="0" w:space="0" w:color="auto"/>
        <w:bottom w:val="none" w:sz="0" w:space="0" w:color="auto"/>
        <w:right w:val="none" w:sz="0" w:space="0" w:color="auto"/>
      </w:divBdr>
    </w:div>
    <w:div w:id="518852926">
      <w:bodyDiv w:val="1"/>
      <w:marLeft w:val="0"/>
      <w:marRight w:val="0"/>
      <w:marTop w:val="0"/>
      <w:marBottom w:val="0"/>
      <w:divBdr>
        <w:top w:val="none" w:sz="0" w:space="0" w:color="auto"/>
        <w:left w:val="none" w:sz="0" w:space="0" w:color="auto"/>
        <w:bottom w:val="none" w:sz="0" w:space="0" w:color="auto"/>
        <w:right w:val="none" w:sz="0" w:space="0" w:color="auto"/>
      </w:divBdr>
    </w:div>
    <w:div w:id="519196909">
      <w:bodyDiv w:val="1"/>
      <w:marLeft w:val="0"/>
      <w:marRight w:val="0"/>
      <w:marTop w:val="0"/>
      <w:marBottom w:val="0"/>
      <w:divBdr>
        <w:top w:val="none" w:sz="0" w:space="0" w:color="auto"/>
        <w:left w:val="none" w:sz="0" w:space="0" w:color="auto"/>
        <w:bottom w:val="none" w:sz="0" w:space="0" w:color="auto"/>
        <w:right w:val="none" w:sz="0" w:space="0" w:color="auto"/>
      </w:divBdr>
    </w:div>
    <w:div w:id="521214131">
      <w:bodyDiv w:val="1"/>
      <w:marLeft w:val="0"/>
      <w:marRight w:val="0"/>
      <w:marTop w:val="0"/>
      <w:marBottom w:val="0"/>
      <w:divBdr>
        <w:top w:val="none" w:sz="0" w:space="0" w:color="auto"/>
        <w:left w:val="none" w:sz="0" w:space="0" w:color="auto"/>
        <w:bottom w:val="none" w:sz="0" w:space="0" w:color="auto"/>
        <w:right w:val="none" w:sz="0" w:space="0" w:color="auto"/>
      </w:divBdr>
    </w:div>
    <w:div w:id="521481744">
      <w:bodyDiv w:val="1"/>
      <w:marLeft w:val="0"/>
      <w:marRight w:val="0"/>
      <w:marTop w:val="0"/>
      <w:marBottom w:val="0"/>
      <w:divBdr>
        <w:top w:val="none" w:sz="0" w:space="0" w:color="auto"/>
        <w:left w:val="none" w:sz="0" w:space="0" w:color="auto"/>
        <w:bottom w:val="none" w:sz="0" w:space="0" w:color="auto"/>
        <w:right w:val="none" w:sz="0" w:space="0" w:color="auto"/>
      </w:divBdr>
    </w:div>
    <w:div w:id="522324655">
      <w:bodyDiv w:val="1"/>
      <w:marLeft w:val="0"/>
      <w:marRight w:val="0"/>
      <w:marTop w:val="0"/>
      <w:marBottom w:val="0"/>
      <w:divBdr>
        <w:top w:val="none" w:sz="0" w:space="0" w:color="auto"/>
        <w:left w:val="none" w:sz="0" w:space="0" w:color="auto"/>
        <w:bottom w:val="none" w:sz="0" w:space="0" w:color="auto"/>
        <w:right w:val="none" w:sz="0" w:space="0" w:color="auto"/>
      </w:divBdr>
    </w:div>
    <w:div w:id="523255298">
      <w:bodyDiv w:val="1"/>
      <w:marLeft w:val="0"/>
      <w:marRight w:val="0"/>
      <w:marTop w:val="0"/>
      <w:marBottom w:val="0"/>
      <w:divBdr>
        <w:top w:val="none" w:sz="0" w:space="0" w:color="auto"/>
        <w:left w:val="none" w:sz="0" w:space="0" w:color="auto"/>
        <w:bottom w:val="none" w:sz="0" w:space="0" w:color="auto"/>
        <w:right w:val="none" w:sz="0" w:space="0" w:color="auto"/>
      </w:divBdr>
    </w:div>
    <w:div w:id="528026580">
      <w:bodyDiv w:val="1"/>
      <w:marLeft w:val="0"/>
      <w:marRight w:val="0"/>
      <w:marTop w:val="0"/>
      <w:marBottom w:val="0"/>
      <w:divBdr>
        <w:top w:val="none" w:sz="0" w:space="0" w:color="auto"/>
        <w:left w:val="none" w:sz="0" w:space="0" w:color="auto"/>
        <w:bottom w:val="none" w:sz="0" w:space="0" w:color="auto"/>
        <w:right w:val="none" w:sz="0" w:space="0" w:color="auto"/>
      </w:divBdr>
    </w:div>
    <w:div w:id="531306316">
      <w:bodyDiv w:val="1"/>
      <w:marLeft w:val="0"/>
      <w:marRight w:val="0"/>
      <w:marTop w:val="0"/>
      <w:marBottom w:val="0"/>
      <w:divBdr>
        <w:top w:val="none" w:sz="0" w:space="0" w:color="auto"/>
        <w:left w:val="none" w:sz="0" w:space="0" w:color="auto"/>
        <w:bottom w:val="none" w:sz="0" w:space="0" w:color="auto"/>
        <w:right w:val="none" w:sz="0" w:space="0" w:color="auto"/>
      </w:divBdr>
    </w:div>
    <w:div w:id="531529287">
      <w:bodyDiv w:val="1"/>
      <w:marLeft w:val="0"/>
      <w:marRight w:val="0"/>
      <w:marTop w:val="0"/>
      <w:marBottom w:val="0"/>
      <w:divBdr>
        <w:top w:val="none" w:sz="0" w:space="0" w:color="auto"/>
        <w:left w:val="none" w:sz="0" w:space="0" w:color="auto"/>
        <w:bottom w:val="none" w:sz="0" w:space="0" w:color="auto"/>
        <w:right w:val="none" w:sz="0" w:space="0" w:color="auto"/>
      </w:divBdr>
    </w:div>
    <w:div w:id="532881829">
      <w:bodyDiv w:val="1"/>
      <w:marLeft w:val="0"/>
      <w:marRight w:val="0"/>
      <w:marTop w:val="0"/>
      <w:marBottom w:val="0"/>
      <w:divBdr>
        <w:top w:val="none" w:sz="0" w:space="0" w:color="auto"/>
        <w:left w:val="none" w:sz="0" w:space="0" w:color="auto"/>
        <w:bottom w:val="none" w:sz="0" w:space="0" w:color="auto"/>
        <w:right w:val="none" w:sz="0" w:space="0" w:color="auto"/>
      </w:divBdr>
    </w:div>
    <w:div w:id="533081661">
      <w:bodyDiv w:val="1"/>
      <w:marLeft w:val="0"/>
      <w:marRight w:val="0"/>
      <w:marTop w:val="0"/>
      <w:marBottom w:val="0"/>
      <w:divBdr>
        <w:top w:val="none" w:sz="0" w:space="0" w:color="auto"/>
        <w:left w:val="none" w:sz="0" w:space="0" w:color="auto"/>
        <w:bottom w:val="none" w:sz="0" w:space="0" w:color="auto"/>
        <w:right w:val="none" w:sz="0" w:space="0" w:color="auto"/>
      </w:divBdr>
    </w:div>
    <w:div w:id="533347385">
      <w:bodyDiv w:val="1"/>
      <w:marLeft w:val="0"/>
      <w:marRight w:val="0"/>
      <w:marTop w:val="0"/>
      <w:marBottom w:val="0"/>
      <w:divBdr>
        <w:top w:val="none" w:sz="0" w:space="0" w:color="auto"/>
        <w:left w:val="none" w:sz="0" w:space="0" w:color="auto"/>
        <w:bottom w:val="none" w:sz="0" w:space="0" w:color="auto"/>
        <w:right w:val="none" w:sz="0" w:space="0" w:color="auto"/>
      </w:divBdr>
    </w:div>
    <w:div w:id="534853800">
      <w:bodyDiv w:val="1"/>
      <w:marLeft w:val="0"/>
      <w:marRight w:val="0"/>
      <w:marTop w:val="0"/>
      <w:marBottom w:val="0"/>
      <w:divBdr>
        <w:top w:val="none" w:sz="0" w:space="0" w:color="auto"/>
        <w:left w:val="none" w:sz="0" w:space="0" w:color="auto"/>
        <w:bottom w:val="none" w:sz="0" w:space="0" w:color="auto"/>
        <w:right w:val="none" w:sz="0" w:space="0" w:color="auto"/>
      </w:divBdr>
    </w:div>
    <w:div w:id="535700402">
      <w:bodyDiv w:val="1"/>
      <w:marLeft w:val="0"/>
      <w:marRight w:val="0"/>
      <w:marTop w:val="0"/>
      <w:marBottom w:val="0"/>
      <w:divBdr>
        <w:top w:val="none" w:sz="0" w:space="0" w:color="auto"/>
        <w:left w:val="none" w:sz="0" w:space="0" w:color="auto"/>
        <w:bottom w:val="none" w:sz="0" w:space="0" w:color="auto"/>
        <w:right w:val="none" w:sz="0" w:space="0" w:color="auto"/>
      </w:divBdr>
    </w:div>
    <w:div w:id="535890221">
      <w:bodyDiv w:val="1"/>
      <w:marLeft w:val="0"/>
      <w:marRight w:val="0"/>
      <w:marTop w:val="0"/>
      <w:marBottom w:val="0"/>
      <w:divBdr>
        <w:top w:val="none" w:sz="0" w:space="0" w:color="auto"/>
        <w:left w:val="none" w:sz="0" w:space="0" w:color="auto"/>
        <w:bottom w:val="none" w:sz="0" w:space="0" w:color="auto"/>
        <w:right w:val="none" w:sz="0" w:space="0" w:color="auto"/>
      </w:divBdr>
    </w:div>
    <w:div w:id="537278723">
      <w:bodyDiv w:val="1"/>
      <w:marLeft w:val="0"/>
      <w:marRight w:val="0"/>
      <w:marTop w:val="0"/>
      <w:marBottom w:val="0"/>
      <w:divBdr>
        <w:top w:val="none" w:sz="0" w:space="0" w:color="auto"/>
        <w:left w:val="none" w:sz="0" w:space="0" w:color="auto"/>
        <w:bottom w:val="none" w:sz="0" w:space="0" w:color="auto"/>
        <w:right w:val="none" w:sz="0" w:space="0" w:color="auto"/>
      </w:divBdr>
    </w:div>
    <w:div w:id="542786926">
      <w:bodyDiv w:val="1"/>
      <w:marLeft w:val="0"/>
      <w:marRight w:val="0"/>
      <w:marTop w:val="0"/>
      <w:marBottom w:val="0"/>
      <w:divBdr>
        <w:top w:val="none" w:sz="0" w:space="0" w:color="auto"/>
        <w:left w:val="none" w:sz="0" w:space="0" w:color="auto"/>
        <w:bottom w:val="none" w:sz="0" w:space="0" w:color="auto"/>
        <w:right w:val="none" w:sz="0" w:space="0" w:color="auto"/>
      </w:divBdr>
      <w:divsChild>
        <w:div w:id="924650115">
          <w:marLeft w:val="0"/>
          <w:marRight w:val="0"/>
          <w:marTop w:val="0"/>
          <w:marBottom w:val="0"/>
          <w:divBdr>
            <w:top w:val="none" w:sz="0" w:space="0" w:color="auto"/>
            <w:left w:val="none" w:sz="0" w:space="0" w:color="auto"/>
            <w:bottom w:val="none" w:sz="0" w:space="0" w:color="auto"/>
            <w:right w:val="none" w:sz="0" w:space="0" w:color="auto"/>
          </w:divBdr>
        </w:div>
        <w:div w:id="1024667511">
          <w:marLeft w:val="0"/>
          <w:marRight w:val="0"/>
          <w:marTop w:val="0"/>
          <w:marBottom w:val="0"/>
          <w:divBdr>
            <w:top w:val="none" w:sz="0" w:space="0" w:color="auto"/>
            <w:left w:val="none" w:sz="0" w:space="0" w:color="auto"/>
            <w:bottom w:val="none" w:sz="0" w:space="0" w:color="auto"/>
            <w:right w:val="none" w:sz="0" w:space="0" w:color="auto"/>
          </w:divBdr>
        </w:div>
        <w:div w:id="1805272344">
          <w:marLeft w:val="0"/>
          <w:marRight w:val="0"/>
          <w:marTop w:val="0"/>
          <w:marBottom w:val="0"/>
          <w:divBdr>
            <w:top w:val="none" w:sz="0" w:space="0" w:color="auto"/>
            <w:left w:val="none" w:sz="0" w:space="0" w:color="auto"/>
            <w:bottom w:val="none" w:sz="0" w:space="0" w:color="auto"/>
            <w:right w:val="none" w:sz="0" w:space="0" w:color="auto"/>
          </w:divBdr>
        </w:div>
        <w:div w:id="1148941778">
          <w:marLeft w:val="0"/>
          <w:marRight w:val="0"/>
          <w:marTop w:val="0"/>
          <w:marBottom w:val="0"/>
          <w:divBdr>
            <w:top w:val="none" w:sz="0" w:space="0" w:color="auto"/>
            <w:left w:val="none" w:sz="0" w:space="0" w:color="auto"/>
            <w:bottom w:val="none" w:sz="0" w:space="0" w:color="auto"/>
            <w:right w:val="none" w:sz="0" w:space="0" w:color="auto"/>
          </w:divBdr>
        </w:div>
      </w:divsChild>
    </w:div>
    <w:div w:id="544030442">
      <w:bodyDiv w:val="1"/>
      <w:marLeft w:val="0"/>
      <w:marRight w:val="0"/>
      <w:marTop w:val="0"/>
      <w:marBottom w:val="0"/>
      <w:divBdr>
        <w:top w:val="none" w:sz="0" w:space="0" w:color="auto"/>
        <w:left w:val="none" w:sz="0" w:space="0" w:color="auto"/>
        <w:bottom w:val="none" w:sz="0" w:space="0" w:color="auto"/>
        <w:right w:val="none" w:sz="0" w:space="0" w:color="auto"/>
      </w:divBdr>
    </w:div>
    <w:div w:id="546722829">
      <w:bodyDiv w:val="1"/>
      <w:marLeft w:val="0"/>
      <w:marRight w:val="0"/>
      <w:marTop w:val="0"/>
      <w:marBottom w:val="0"/>
      <w:divBdr>
        <w:top w:val="none" w:sz="0" w:space="0" w:color="auto"/>
        <w:left w:val="none" w:sz="0" w:space="0" w:color="auto"/>
        <w:bottom w:val="none" w:sz="0" w:space="0" w:color="auto"/>
        <w:right w:val="none" w:sz="0" w:space="0" w:color="auto"/>
      </w:divBdr>
    </w:div>
    <w:div w:id="547959410">
      <w:bodyDiv w:val="1"/>
      <w:marLeft w:val="0"/>
      <w:marRight w:val="0"/>
      <w:marTop w:val="0"/>
      <w:marBottom w:val="0"/>
      <w:divBdr>
        <w:top w:val="none" w:sz="0" w:space="0" w:color="auto"/>
        <w:left w:val="none" w:sz="0" w:space="0" w:color="auto"/>
        <w:bottom w:val="none" w:sz="0" w:space="0" w:color="auto"/>
        <w:right w:val="none" w:sz="0" w:space="0" w:color="auto"/>
      </w:divBdr>
    </w:div>
    <w:div w:id="552616843">
      <w:bodyDiv w:val="1"/>
      <w:marLeft w:val="0"/>
      <w:marRight w:val="0"/>
      <w:marTop w:val="0"/>
      <w:marBottom w:val="0"/>
      <w:divBdr>
        <w:top w:val="none" w:sz="0" w:space="0" w:color="auto"/>
        <w:left w:val="none" w:sz="0" w:space="0" w:color="auto"/>
        <w:bottom w:val="none" w:sz="0" w:space="0" w:color="auto"/>
        <w:right w:val="none" w:sz="0" w:space="0" w:color="auto"/>
      </w:divBdr>
    </w:div>
    <w:div w:id="556664553">
      <w:bodyDiv w:val="1"/>
      <w:marLeft w:val="0"/>
      <w:marRight w:val="0"/>
      <w:marTop w:val="0"/>
      <w:marBottom w:val="0"/>
      <w:divBdr>
        <w:top w:val="none" w:sz="0" w:space="0" w:color="auto"/>
        <w:left w:val="none" w:sz="0" w:space="0" w:color="auto"/>
        <w:bottom w:val="none" w:sz="0" w:space="0" w:color="auto"/>
        <w:right w:val="none" w:sz="0" w:space="0" w:color="auto"/>
      </w:divBdr>
    </w:div>
    <w:div w:id="562182682">
      <w:bodyDiv w:val="1"/>
      <w:marLeft w:val="0"/>
      <w:marRight w:val="0"/>
      <w:marTop w:val="0"/>
      <w:marBottom w:val="0"/>
      <w:divBdr>
        <w:top w:val="none" w:sz="0" w:space="0" w:color="auto"/>
        <w:left w:val="none" w:sz="0" w:space="0" w:color="auto"/>
        <w:bottom w:val="none" w:sz="0" w:space="0" w:color="auto"/>
        <w:right w:val="none" w:sz="0" w:space="0" w:color="auto"/>
      </w:divBdr>
    </w:div>
    <w:div w:id="563762093">
      <w:bodyDiv w:val="1"/>
      <w:marLeft w:val="0"/>
      <w:marRight w:val="0"/>
      <w:marTop w:val="0"/>
      <w:marBottom w:val="0"/>
      <w:divBdr>
        <w:top w:val="none" w:sz="0" w:space="0" w:color="auto"/>
        <w:left w:val="none" w:sz="0" w:space="0" w:color="auto"/>
        <w:bottom w:val="none" w:sz="0" w:space="0" w:color="auto"/>
        <w:right w:val="none" w:sz="0" w:space="0" w:color="auto"/>
      </w:divBdr>
    </w:div>
    <w:div w:id="569770198">
      <w:bodyDiv w:val="1"/>
      <w:marLeft w:val="0"/>
      <w:marRight w:val="0"/>
      <w:marTop w:val="0"/>
      <w:marBottom w:val="0"/>
      <w:divBdr>
        <w:top w:val="none" w:sz="0" w:space="0" w:color="auto"/>
        <w:left w:val="none" w:sz="0" w:space="0" w:color="auto"/>
        <w:bottom w:val="none" w:sz="0" w:space="0" w:color="auto"/>
        <w:right w:val="none" w:sz="0" w:space="0" w:color="auto"/>
      </w:divBdr>
    </w:div>
    <w:div w:id="573274670">
      <w:bodyDiv w:val="1"/>
      <w:marLeft w:val="0"/>
      <w:marRight w:val="0"/>
      <w:marTop w:val="0"/>
      <w:marBottom w:val="0"/>
      <w:divBdr>
        <w:top w:val="none" w:sz="0" w:space="0" w:color="auto"/>
        <w:left w:val="none" w:sz="0" w:space="0" w:color="auto"/>
        <w:bottom w:val="none" w:sz="0" w:space="0" w:color="auto"/>
        <w:right w:val="none" w:sz="0" w:space="0" w:color="auto"/>
      </w:divBdr>
    </w:div>
    <w:div w:id="585723195">
      <w:bodyDiv w:val="1"/>
      <w:marLeft w:val="0"/>
      <w:marRight w:val="0"/>
      <w:marTop w:val="0"/>
      <w:marBottom w:val="0"/>
      <w:divBdr>
        <w:top w:val="none" w:sz="0" w:space="0" w:color="auto"/>
        <w:left w:val="none" w:sz="0" w:space="0" w:color="auto"/>
        <w:bottom w:val="none" w:sz="0" w:space="0" w:color="auto"/>
        <w:right w:val="none" w:sz="0" w:space="0" w:color="auto"/>
      </w:divBdr>
    </w:div>
    <w:div w:id="590086666">
      <w:bodyDiv w:val="1"/>
      <w:marLeft w:val="0"/>
      <w:marRight w:val="0"/>
      <w:marTop w:val="0"/>
      <w:marBottom w:val="0"/>
      <w:divBdr>
        <w:top w:val="none" w:sz="0" w:space="0" w:color="auto"/>
        <w:left w:val="none" w:sz="0" w:space="0" w:color="auto"/>
        <w:bottom w:val="none" w:sz="0" w:space="0" w:color="auto"/>
        <w:right w:val="none" w:sz="0" w:space="0" w:color="auto"/>
      </w:divBdr>
    </w:div>
    <w:div w:id="593780609">
      <w:bodyDiv w:val="1"/>
      <w:marLeft w:val="0"/>
      <w:marRight w:val="0"/>
      <w:marTop w:val="0"/>
      <w:marBottom w:val="0"/>
      <w:divBdr>
        <w:top w:val="none" w:sz="0" w:space="0" w:color="auto"/>
        <w:left w:val="none" w:sz="0" w:space="0" w:color="auto"/>
        <w:bottom w:val="none" w:sz="0" w:space="0" w:color="auto"/>
        <w:right w:val="none" w:sz="0" w:space="0" w:color="auto"/>
      </w:divBdr>
    </w:div>
    <w:div w:id="594940926">
      <w:bodyDiv w:val="1"/>
      <w:marLeft w:val="0"/>
      <w:marRight w:val="0"/>
      <w:marTop w:val="0"/>
      <w:marBottom w:val="0"/>
      <w:divBdr>
        <w:top w:val="none" w:sz="0" w:space="0" w:color="auto"/>
        <w:left w:val="none" w:sz="0" w:space="0" w:color="auto"/>
        <w:bottom w:val="none" w:sz="0" w:space="0" w:color="auto"/>
        <w:right w:val="none" w:sz="0" w:space="0" w:color="auto"/>
      </w:divBdr>
    </w:div>
    <w:div w:id="602883396">
      <w:bodyDiv w:val="1"/>
      <w:marLeft w:val="0"/>
      <w:marRight w:val="0"/>
      <w:marTop w:val="0"/>
      <w:marBottom w:val="0"/>
      <w:divBdr>
        <w:top w:val="none" w:sz="0" w:space="0" w:color="auto"/>
        <w:left w:val="none" w:sz="0" w:space="0" w:color="auto"/>
        <w:bottom w:val="none" w:sz="0" w:space="0" w:color="auto"/>
        <w:right w:val="none" w:sz="0" w:space="0" w:color="auto"/>
      </w:divBdr>
    </w:div>
    <w:div w:id="606162020">
      <w:bodyDiv w:val="1"/>
      <w:marLeft w:val="0"/>
      <w:marRight w:val="0"/>
      <w:marTop w:val="0"/>
      <w:marBottom w:val="0"/>
      <w:divBdr>
        <w:top w:val="none" w:sz="0" w:space="0" w:color="auto"/>
        <w:left w:val="none" w:sz="0" w:space="0" w:color="auto"/>
        <w:bottom w:val="none" w:sz="0" w:space="0" w:color="auto"/>
        <w:right w:val="none" w:sz="0" w:space="0" w:color="auto"/>
      </w:divBdr>
    </w:div>
    <w:div w:id="611518889">
      <w:bodyDiv w:val="1"/>
      <w:marLeft w:val="0"/>
      <w:marRight w:val="0"/>
      <w:marTop w:val="0"/>
      <w:marBottom w:val="0"/>
      <w:divBdr>
        <w:top w:val="none" w:sz="0" w:space="0" w:color="auto"/>
        <w:left w:val="none" w:sz="0" w:space="0" w:color="auto"/>
        <w:bottom w:val="none" w:sz="0" w:space="0" w:color="auto"/>
        <w:right w:val="none" w:sz="0" w:space="0" w:color="auto"/>
      </w:divBdr>
    </w:div>
    <w:div w:id="613711603">
      <w:bodyDiv w:val="1"/>
      <w:marLeft w:val="0"/>
      <w:marRight w:val="0"/>
      <w:marTop w:val="0"/>
      <w:marBottom w:val="0"/>
      <w:divBdr>
        <w:top w:val="none" w:sz="0" w:space="0" w:color="auto"/>
        <w:left w:val="none" w:sz="0" w:space="0" w:color="auto"/>
        <w:bottom w:val="none" w:sz="0" w:space="0" w:color="auto"/>
        <w:right w:val="none" w:sz="0" w:space="0" w:color="auto"/>
      </w:divBdr>
    </w:div>
    <w:div w:id="615450457">
      <w:bodyDiv w:val="1"/>
      <w:marLeft w:val="0"/>
      <w:marRight w:val="0"/>
      <w:marTop w:val="0"/>
      <w:marBottom w:val="0"/>
      <w:divBdr>
        <w:top w:val="none" w:sz="0" w:space="0" w:color="auto"/>
        <w:left w:val="none" w:sz="0" w:space="0" w:color="auto"/>
        <w:bottom w:val="none" w:sz="0" w:space="0" w:color="auto"/>
        <w:right w:val="none" w:sz="0" w:space="0" w:color="auto"/>
      </w:divBdr>
    </w:div>
    <w:div w:id="618684290">
      <w:bodyDiv w:val="1"/>
      <w:marLeft w:val="0"/>
      <w:marRight w:val="0"/>
      <w:marTop w:val="0"/>
      <w:marBottom w:val="0"/>
      <w:divBdr>
        <w:top w:val="none" w:sz="0" w:space="0" w:color="auto"/>
        <w:left w:val="none" w:sz="0" w:space="0" w:color="auto"/>
        <w:bottom w:val="none" w:sz="0" w:space="0" w:color="auto"/>
        <w:right w:val="none" w:sz="0" w:space="0" w:color="auto"/>
      </w:divBdr>
    </w:div>
    <w:div w:id="621764535">
      <w:bodyDiv w:val="1"/>
      <w:marLeft w:val="0"/>
      <w:marRight w:val="0"/>
      <w:marTop w:val="0"/>
      <w:marBottom w:val="0"/>
      <w:divBdr>
        <w:top w:val="none" w:sz="0" w:space="0" w:color="auto"/>
        <w:left w:val="none" w:sz="0" w:space="0" w:color="auto"/>
        <w:bottom w:val="none" w:sz="0" w:space="0" w:color="auto"/>
        <w:right w:val="none" w:sz="0" w:space="0" w:color="auto"/>
      </w:divBdr>
    </w:div>
    <w:div w:id="623461341">
      <w:bodyDiv w:val="1"/>
      <w:marLeft w:val="0"/>
      <w:marRight w:val="0"/>
      <w:marTop w:val="0"/>
      <w:marBottom w:val="0"/>
      <w:divBdr>
        <w:top w:val="none" w:sz="0" w:space="0" w:color="auto"/>
        <w:left w:val="none" w:sz="0" w:space="0" w:color="auto"/>
        <w:bottom w:val="none" w:sz="0" w:space="0" w:color="auto"/>
        <w:right w:val="none" w:sz="0" w:space="0" w:color="auto"/>
      </w:divBdr>
    </w:div>
    <w:div w:id="623734716">
      <w:bodyDiv w:val="1"/>
      <w:marLeft w:val="0"/>
      <w:marRight w:val="0"/>
      <w:marTop w:val="0"/>
      <w:marBottom w:val="0"/>
      <w:divBdr>
        <w:top w:val="none" w:sz="0" w:space="0" w:color="auto"/>
        <w:left w:val="none" w:sz="0" w:space="0" w:color="auto"/>
        <w:bottom w:val="none" w:sz="0" w:space="0" w:color="auto"/>
        <w:right w:val="none" w:sz="0" w:space="0" w:color="auto"/>
      </w:divBdr>
    </w:div>
    <w:div w:id="623851171">
      <w:bodyDiv w:val="1"/>
      <w:marLeft w:val="0"/>
      <w:marRight w:val="0"/>
      <w:marTop w:val="0"/>
      <w:marBottom w:val="0"/>
      <w:divBdr>
        <w:top w:val="none" w:sz="0" w:space="0" w:color="auto"/>
        <w:left w:val="none" w:sz="0" w:space="0" w:color="auto"/>
        <w:bottom w:val="none" w:sz="0" w:space="0" w:color="auto"/>
        <w:right w:val="none" w:sz="0" w:space="0" w:color="auto"/>
      </w:divBdr>
    </w:div>
    <w:div w:id="629672639">
      <w:bodyDiv w:val="1"/>
      <w:marLeft w:val="0"/>
      <w:marRight w:val="0"/>
      <w:marTop w:val="0"/>
      <w:marBottom w:val="0"/>
      <w:divBdr>
        <w:top w:val="none" w:sz="0" w:space="0" w:color="auto"/>
        <w:left w:val="none" w:sz="0" w:space="0" w:color="auto"/>
        <w:bottom w:val="none" w:sz="0" w:space="0" w:color="auto"/>
        <w:right w:val="none" w:sz="0" w:space="0" w:color="auto"/>
      </w:divBdr>
    </w:div>
    <w:div w:id="63086138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36840807">
      <w:bodyDiv w:val="1"/>
      <w:marLeft w:val="0"/>
      <w:marRight w:val="0"/>
      <w:marTop w:val="0"/>
      <w:marBottom w:val="0"/>
      <w:divBdr>
        <w:top w:val="none" w:sz="0" w:space="0" w:color="auto"/>
        <w:left w:val="none" w:sz="0" w:space="0" w:color="auto"/>
        <w:bottom w:val="none" w:sz="0" w:space="0" w:color="auto"/>
        <w:right w:val="none" w:sz="0" w:space="0" w:color="auto"/>
      </w:divBdr>
    </w:div>
    <w:div w:id="641740976">
      <w:bodyDiv w:val="1"/>
      <w:marLeft w:val="0"/>
      <w:marRight w:val="0"/>
      <w:marTop w:val="0"/>
      <w:marBottom w:val="0"/>
      <w:divBdr>
        <w:top w:val="none" w:sz="0" w:space="0" w:color="auto"/>
        <w:left w:val="none" w:sz="0" w:space="0" w:color="auto"/>
        <w:bottom w:val="none" w:sz="0" w:space="0" w:color="auto"/>
        <w:right w:val="none" w:sz="0" w:space="0" w:color="auto"/>
      </w:divBdr>
    </w:div>
    <w:div w:id="641886324">
      <w:bodyDiv w:val="1"/>
      <w:marLeft w:val="0"/>
      <w:marRight w:val="0"/>
      <w:marTop w:val="0"/>
      <w:marBottom w:val="0"/>
      <w:divBdr>
        <w:top w:val="none" w:sz="0" w:space="0" w:color="auto"/>
        <w:left w:val="none" w:sz="0" w:space="0" w:color="auto"/>
        <w:bottom w:val="none" w:sz="0" w:space="0" w:color="auto"/>
        <w:right w:val="none" w:sz="0" w:space="0" w:color="auto"/>
      </w:divBdr>
    </w:div>
    <w:div w:id="645552766">
      <w:bodyDiv w:val="1"/>
      <w:marLeft w:val="0"/>
      <w:marRight w:val="0"/>
      <w:marTop w:val="0"/>
      <w:marBottom w:val="0"/>
      <w:divBdr>
        <w:top w:val="none" w:sz="0" w:space="0" w:color="auto"/>
        <w:left w:val="none" w:sz="0" w:space="0" w:color="auto"/>
        <w:bottom w:val="none" w:sz="0" w:space="0" w:color="auto"/>
        <w:right w:val="none" w:sz="0" w:space="0" w:color="auto"/>
      </w:divBdr>
    </w:div>
    <w:div w:id="648900339">
      <w:bodyDiv w:val="1"/>
      <w:marLeft w:val="0"/>
      <w:marRight w:val="0"/>
      <w:marTop w:val="0"/>
      <w:marBottom w:val="0"/>
      <w:divBdr>
        <w:top w:val="none" w:sz="0" w:space="0" w:color="auto"/>
        <w:left w:val="none" w:sz="0" w:space="0" w:color="auto"/>
        <w:bottom w:val="none" w:sz="0" w:space="0" w:color="auto"/>
        <w:right w:val="none" w:sz="0" w:space="0" w:color="auto"/>
      </w:divBdr>
    </w:div>
    <w:div w:id="651447294">
      <w:bodyDiv w:val="1"/>
      <w:marLeft w:val="0"/>
      <w:marRight w:val="0"/>
      <w:marTop w:val="0"/>
      <w:marBottom w:val="0"/>
      <w:divBdr>
        <w:top w:val="none" w:sz="0" w:space="0" w:color="auto"/>
        <w:left w:val="none" w:sz="0" w:space="0" w:color="auto"/>
        <w:bottom w:val="none" w:sz="0" w:space="0" w:color="auto"/>
        <w:right w:val="none" w:sz="0" w:space="0" w:color="auto"/>
      </w:divBdr>
    </w:div>
    <w:div w:id="651787527">
      <w:bodyDiv w:val="1"/>
      <w:marLeft w:val="0"/>
      <w:marRight w:val="0"/>
      <w:marTop w:val="0"/>
      <w:marBottom w:val="0"/>
      <w:divBdr>
        <w:top w:val="none" w:sz="0" w:space="0" w:color="auto"/>
        <w:left w:val="none" w:sz="0" w:space="0" w:color="auto"/>
        <w:bottom w:val="none" w:sz="0" w:space="0" w:color="auto"/>
        <w:right w:val="none" w:sz="0" w:space="0" w:color="auto"/>
      </w:divBdr>
    </w:div>
    <w:div w:id="655039398">
      <w:bodyDiv w:val="1"/>
      <w:marLeft w:val="0"/>
      <w:marRight w:val="0"/>
      <w:marTop w:val="0"/>
      <w:marBottom w:val="0"/>
      <w:divBdr>
        <w:top w:val="none" w:sz="0" w:space="0" w:color="auto"/>
        <w:left w:val="none" w:sz="0" w:space="0" w:color="auto"/>
        <w:bottom w:val="none" w:sz="0" w:space="0" w:color="auto"/>
        <w:right w:val="none" w:sz="0" w:space="0" w:color="auto"/>
      </w:divBdr>
    </w:div>
    <w:div w:id="659699743">
      <w:bodyDiv w:val="1"/>
      <w:marLeft w:val="0"/>
      <w:marRight w:val="0"/>
      <w:marTop w:val="0"/>
      <w:marBottom w:val="0"/>
      <w:divBdr>
        <w:top w:val="none" w:sz="0" w:space="0" w:color="auto"/>
        <w:left w:val="none" w:sz="0" w:space="0" w:color="auto"/>
        <w:bottom w:val="none" w:sz="0" w:space="0" w:color="auto"/>
        <w:right w:val="none" w:sz="0" w:space="0" w:color="auto"/>
      </w:divBdr>
    </w:div>
    <w:div w:id="663631373">
      <w:bodyDiv w:val="1"/>
      <w:marLeft w:val="0"/>
      <w:marRight w:val="0"/>
      <w:marTop w:val="0"/>
      <w:marBottom w:val="0"/>
      <w:divBdr>
        <w:top w:val="none" w:sz="0" w:space="0" w:color="auto"/>
        <w:left w:val="none" w:sz="0" w:space="0" w:color="auto"/>
        <w:bottom w:val="none" w:sz="0" w:space="0" w:color="auto"/>
        <w:right w:val="none" w:sz="0" w:space="0" w:color="auto"/>
      </w:divBdr>
    </w:div>
    <w:div w:id="666134228">
      <w:bodyDiv w:val="1"/>
      <w:marLeft w:val="0"/>
      <w:marRight w:val="0"/>
      <w:marTop w:val="0"/>
      <w:marBottom w:val="0"/>
      <w:divBdr>
        <w:top w:val="none" w:sz="0" w:space="0" w:color="auto"/>
        <w:left w:val="none" w:sz="0" w:space="0" w:color="auto"/>
        <w:bottom w:val="none" w:sz="0" w:space="0" w:color="auto"/>
        <w:right w:val="none" w:sz="0" w:space="0" w:color="auto"/>
      </w:divBdr>
    </w:div>
    <w:div w:id="673189574">
      <w:bodyDiv w:val="1"/>
      <w:marLeft w:val="0"/>
      <w:marRight w:val="0"/>
      <w:marTop w:val="0"/>
      <w:marBottom w:val="0"/>
      <w:divBdr>
        <w:top w:val="none" w:sz="0" w:space="0" w:color="auto"/>
        <w:left w:val="none" w:sz="0" w:space="0" w:color="auto"/>
        <w:bottom w:val="none" w:sz="0" w:space="0" w:color="auto"/>
        <w:right w:val="none" w:sz="0" w:space="0" w:color="auto"/>
      </w:divBdr>
    </w:div>
    <w:div w:id="677345087">
      <w:bodyDiv w:val="1"/>
      <w:marLeft w:val="0"/>
      <w:marRight w:val="0"/>
      <w:marTop w:val="0"/>
      <w:marBottom w:val="0"/>
      <w:divBdr>
        <w:top w:val="none" w:sz="0" w:space="0" w:color="auto"/>
        <w:left w:val="none" w:sz="0" w:space="0" w:color="auto"/>
        <w:bottom w:val="none" w:sz="0" w:space="0" w:color="auto"/>
        <w:right w:val="none" w:sz="0" w:space="0" w:color="auto"/>
      </w:divBdr>
    </w:div>
    <w:div w:id="677468545">
      <w:bodyDiv w:val="1"/>
      <w:marLeft w:val="0"/>
      <w:marRight w:val="0"/>
      <w:marTop w:val="0"/>
      <w:marBottom w:val="0"/>
      <w:divBdr>
        <w:top w:val="none" w:sz="0" w:space="0" w:color="auto"/>
        <w:left w:val="none" w:sz="0" w:space="0" w:color="auto"/>
        <w:bottom w:val="none" w:sz="0" w:space="0" w:color="auto"/>
        <w:right w:val="none" w:sz="0" w:space="0" w:color="auto"/>
      </w:divBdr>
    </w:div>
    <w:div w:id="684791981">
      <w:bodyDiv w:val="1"/>
      <w:marLeft w:val="0"/>
      <w:marRight w:val="0"/>
      <w:marTop w:val="0"/>
      <w:marBottom w:val="0"/>
      <w:divBdr>
        <w:top w:val="none" w:sz="0" w:space="0" w:color="auto"/>
        <w:left w:val="none" w:sz="0" w:space="0" w:color="auto"/>
        <w:bottom w:val="none" w:sz="0" w:space="0" w:color="auto"/>
        <w:right w:val="none" w:sz="0" w:space="0" w:color="auto"/>
      </w:divBdr>
    </w:div>
    <w:div w:id="687408339">
      <w:bodyDiv w:val="1"/>
      <w:marLeft w:val="0"/>
      <w:marRight w:val="0"/>
      <w:marTop w:val="0"/>
      <w:marBottom w:val="0"/>
      <w:divBdr>
        <w:top w:val="none" w:sz="0" w:space="0" w:color="auto"/>
        <w:left w:val="none" w:sz="0" w:space="0" w:color="auto"/>
        <w:bottom w:val="none" w:sz="0" w:space="0" w:color="auto"/>
        <w:right w:val="none" w:sz="0" w:space="0" w:color="auto"/>
      </w:divBdr>
    </w:div>
    <w:div w:id="688875504">
      <w:bodyDiv w:val="1"/>
      <w:marLeft w:val="0"/>
      <w:marRight w:val="0"/>
      <w:marTop w:val="0"/>
      <w:marBottom w:val="0"/>
      <w:divBdr>
        <w:top w:val="none" w:sz="0" w:space="0" w:color="auto"/>
        <w:left w:val="none" w:sz="0" w:space="0" w:color="auto"/>
        <w:bottom w:val="none" w:sz="0" w:space="0" w:color="auto"/>
        <w:right w:val="none" w:sz="0" w:space="0" w:color="auto"/>
      </w:divBdr>
    </w:div>
    <w:div w:id="691036291">
      <w:bodyDiv w:val="1"/>
      <w:marLeft w:val="0"/>
      <w:marRight w:val="0"/>
      <w:marTop w:val="0"/>
      <w:marBottom w:val="0"/>
      <w:divBdr>
        <w:top w:val="none" w:sz="0" w:space="0" w:color="auto"/>
        <w:left w:val="none" w:sz="0" w:space="0" w:color="auto"/>
        <w:bottom w:val="none" w:sz="0" w:space="0" w:color="auto"/>
        <w:right w:val="none" w:sz="0" w:space="0" w:color="auto"/>
      </w:divBdr>
    </w:div>
    <w:div w:id="692655427">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698429143">
      <w:bodyDiv w:val="1"/>
      <w:marLeft w:val="0"/>
      <w:marRight w:val="0"/>
      <w:marTop w:val="0"/>
      <w:marBottom w:val="0"/>
      <w:divBdr>
        <w:top w:val="none" w:sz="0" w:space="0" w:color="auto"/>
        <w:left w:val="none" w:sz="0" w:space="0" w:color="auto"/>
        <w:bottom w:val="none" w:sz="0" w:space="0" w:color="auto"/>
        <w:right w:val="none" w:sz="0" w:space="0" w:color="auto"/>
      </w:divBdr>
    </w:div>
    <w:div w:id="705369230">
      <w:bodyDiv w:val="1"/>
      <w:marLeft w:val="0"/>
      <w:marRight w:val="0"/>
      <w:marTop w:val="0"/>
      <w:marBottom w:val="0"/>
      <w:divBdr>
        <w:top w:val="none" w:sz="0" w:space="0" w:color="auto"/>
        <w:left w:val="none" w:sz="0" w:space="0" w:color="auto"/>
        <w:bottom w:val="none" w:sz="0" w:space="0" w:color="auto"/>
        <w:right w:val="none" w:sz="0" w:space="0" w:color="auto"/>
      </w:divBdr>
    </w:div>
    <w:div w:id="710958254">
      <w:bodyDiv w:val="1"/>
      <w:marLeft w:val="0"/>
      <w:marRight w:val="0"/>
      <w:marTop w:val="0"/>
      <w:marBottom w:val="0"/>
      <w:divBdr>
        <w:top w:val="none" w:sz="0" w:space="0" w:color="auto"/>
        <w:left w:val="none" w:sz="0" w:space="0" w:color="auto"/>
        <w:bottom w:val="none" w:sz="0" w:space="0" w:color="auto"/>
        <w:right w:val="none" w:sz="0" w:space="0" w:color="auto"/>
      </w:divBdr>
    </w:div>
    <w:div w:id="713388102">
      <w:bodyDiv w:val="1"/>
      <w:marLeft w:val="0"/>
      <w:marRight w:val="0"/>
      <w:marTop w:val="0"/>
      <w:marBottom w:val="0"/>
      <w:divBdr>
        <w:top w:val="none" w:sz="0" w:space="0" w:color="auto"/>
        <w:left w:val="none" w:sz="0" w:space="0" w:color="auto"/>
        <w:bottom w:val="none" w:sz="0" w:space="0" w:color="auto"/>
        <w:right w:val="none" w:sz="0" w:space="0" w:color="auto"/>
      </w:divBdr>
    </w:div>
    <w:div w:id="715809881">
      <w:bodyDiv w:val="1"/>
      <w:marLeft w:val="0"/>
      <w:marRight w:val="0"/>
      <w:marTop w:val="0"/>
      <w:marBottom w:val="0"/>
      <w:divBdr>
        <w:top w:val="none" w:sz="0" w:space="0" w:color="auto"/>
        <w:left w:val="none" w:sz="0" w:space="0" w:color="auto"/>
        <w:bottom w:val="none" w:sz="0" w:space="0" w:color="auto"/>
        <w:right w:val="none" w:sz="0" w:space="0" w:color="auto"/>
      </w:divBdr>
    </w:div>
    <w:div w:id="719981471">
      <w:bodyDiv w:val="1"/>
      <w:marLeft w:val="0"/>
      <w:marRight w:val="0"/>
      <w:marTop w:val="0"/>
      <w:marBottom w:val="0"/>
      <w:divBdr>
        <w:top w:val="none" w:sz="0" w:space="0" w:color="auto"/>
        <w:left w:val="none" w:sz="0" w:space="0" w:color="auto"/>
        <w:bottom w:val="none" w:sz="0" w:space="0" w:color="auto"/>
        <w:right w:val="none" w:sz="0" w:space="0" w:color="auto"/>
      </w:divBdr>
    </w:div>
    <w:div w:id="720859204">
      <w:bodyDiv w:val="1"/>
      <w:marLeft w:val="0"/>
      <w:marRight w:val="0"/>
      <w:marTop w:val="0"/>
      <w:marBottom w:val="0"/>
      <w:divBdr>
        <w:top w:val="none" w:sz="0" w:space="0" w:color="auto"/>
        <w:left w:val="none" w:sz="0" w:space="0" w:color="auto"/>
        <w:bottom w:val="none" w:sz="0" w:space="0" w:color="auto"/>
        <w:right w:val="none" w:sz="0" w:space="0" w:color="auto"/>
      </w:divBdr>
    </w:div>
    <w:div w:id="722797620">
      <w:bodyDiv w:val="1"/>
      <w:marLeft w:val="0"/>
      <w:marRight w:val="0"/>
      <w:marTop w:val="0"/>
      <w:marBottom w:val="0"/>
      <w:divBdr>
        <w:top w:val="none" w:sz="0" w:space="0" w:color="auto"/>
        <w:left w:val="none" w:sz="0" w:space="0" w:color="auto"/>
        <w:bottom w:val="none" w:sz="0" w:space="0" w:color="auto"/>
        <w:right w:val="none" w:sz="0" w:space="0" w:color="auto"/>
      </w:divBdr>
    </w:div>
    <w:div w:id="723869997">
      <w:bodyDiv w:val="1"/>
      <w:marLeft w:val="0"/>
      <w:marRight w:val="0"/>
      <w:marTop w:val="0"/>
      <w:marBottom w:val="0"/>
      <w:divBdr>
        <w:top w:val="none" w:sz="0" w:space="0" w:color="auto"/>
        <w:left w:val="none" w:sz="0" w:space="0" w:color="auto"/>
        <w:bottom w:val="none" w:sz="0" w:space="0" w:color="auto"/>
        <w:right w:val="none" w:sz="0" w:space="0" w:color="auto"/>
      </w:divBdr>
    </w:div>
    <w:div w:id="732392510">
      <w:bodyDiv w:val="1"/>
      <w:marLeft w:val="0"/>
      <w:marRight w:val="0"/>
      <w:marTop w:val="0"/>
      <w:marBottom w:val="0"/>
      <w:divBdr>
        <w:top w:val="none" w:sz="0" w:space="0" w:color="auto"/>
        <w:left w:val="none" w:sz="0" w:space="0" w:color="auto"/>
        <w:bottom w:val="none" w:sz="0" w:space="0" w:color="auto"/>
        <w:right w:val="none" w:sz="0" w:space="0" w:color="auto"/>
      </w:divBdr>
    </w:div>
    <w:div w:id="732393630">
      <w:bodyDiv w:val="1"/>
      <w:marLeft w:val="0"/>
      <w:marRight w:val="0"/>
      <w:marTop w:val="0"/>
      <w:marBottom w:val="0"/>
      <w:divBdr>
        <w:top w:val="none" w:sz="0" w:space="0" w:color="auto"/>
        <w:left w:val="none" w:sz="0" w:space="0" w:color="auto"/>
        <w:bottom w:val="none" w:sz="0" w:space="0" w:color="auto"/>
        <w:right w:val="none" w:sz="0" w:space="0" w:color="auto"/>
      </w:divBdr>
    </w:div>
    <w:div w:id="735319197">
      <w:bodyDiv w:val="1"/>
      <w:marLeft w:val="0"/>
      <w:marRight w:val="0"/>
      <w:marTop w:val="0"/>
      <w:marBottom w:val="0"/>
      <w:divBdr>
        <w:top w:val="none" w:sz="0" w:space="0" w:color="auto"/>
        <w:left w:val="none" w:sz="0" w:space="0" w:color="auto"/>
        <w:bottom w:val="none" w:sz="0" w:space="0" w:color="auto"/>
        <w:right w:val="none" w:sz="0" w:space="0" w:color="auto"/>
      </w:divBdr>
    </w:div>
    <w:div w:id="736979795">
      <w:bodyDiv w:val="1"/>
      <w:marLeft w:val="0"/>
      <w:marRight w:val="0"/>
      <w:marTop w:val="0"/>
      <w:marBottom w:val="0"/>
      <w:divBdr>
        <w:top w:val="none" w:sz="0" w:space="0" w:color="auto"/>
        <w:left w:val="none" w:sz="0" w:space="0" w:color="auto"/>
        <w:bottom w:val="none" w:sz="0" w:space="0" w:color="auto"/>
        <w:right w:val="none" w:sz="0" w:space="0" w:color="auto"/>
      </w:divBdr>
    </w:div>
    <w:div w:id="739181091">
      <w:bodyDiv w:val="1"/>
      <w:marLeft w:val="0"/>
      <w:marRight w:val="0"/>
      <w:marTop w:val="0"/>
      <w:marBottom w:val="0"/>
      <w:divBdr>
        <w:top w:val="none" w:sz="0" w:space="0" w:color="auto"/>
        <w:left w:val="none" w:sz="0" w:space="0" w:color="auto"/>
        <w:bottom w:val="none" w:sz="0" w:space="0" w:color="auto"/>
        <w:right w:val="none" w:sz="0" w:space="0" w:color="auto"/>
      </w:divBdr>
    </w:div>
    <w:div w:id="742872694">
      <w:bodyDiv w:val="1"/>
      <w:marLeft w:val="0"/>
      <w:marRight w:val="0"/>
      <w:marTop w:val="0"/>
      <w:marBottom w:val="0"/>
      <w:divBdr>
        <w:top w:val="none" w:sz="0" w:space="0" w:color="auto"/>
        <w:left w:val="none" w:sz="0" w:space="0" w:color="auto"/>
        <w:bottom w:val="none" w:sz="0" w:space="0" w:color="auto"/>
        <w:right w:val="none" w:sz="0" w:space="0" w:color="auto"/>
      </w:divBdr>
    </w:div>
    <w:div w:id="749733055">
      <w:bodyDiv w:val="1"/>
      <w:marLeft w:val="0"/>
      <w:marRight w:val="0"/>
      <w:marTop w:val="0"/>
      <w:marBottom w:val="0"/>
      <w:divBdr>
        <w:top w:val="none" w:sz="0" w:space="0" w:color="auto"/>
        <w:left w:val="none" w:sz="0" w:space="0" w:color="auto"/>
        <w:bottom w:val="none" w:sz="0" w:space="0" w:color="auto"/>
        <w:right w:val="none" w:sz="0" w:space="0" w:color="auto"/>
      </w:divBdr>
    </w:div>
    <w:div w:id="750347731">
      <w:bodyDiv w:val="1"/>
      <w:marLeft w:val="0"/>
      <w:marRight w:val="0"/>
      <w:marTop w:val="0"/>
      <w:marBottom w:val="0"/>
      <w:divBdr>
        <w:top w:val="none" w:sz="0" w:space="0" w:color="auto"/>
        <w:left w:val="none" w:sz="0" w:space="0" w:color="auto"/>
        <w:bottom w:val="none" w:sz="0" w:space="0" w:color="auto"/>
        <w:right w:val="none" w:sz="0" w:space="0" w:color="auto"/>
      </w:divBdr>
    </w:div>
    <w:div w:id="751463917">
      <w:bodyDiv w:val="1"/>
      <w:marLeft w:val="0"/>
      <w:marRight w:val="0"/>
      <w:marTop w:val="0"/>
      <w:marBottom w:val="0"/>
      <w:divBdr>
        <w:top w:val="none" w:sz="0" w:space="0" w:color="auto"/>
        <w:left w:val="none" w:sz="0" w:space="0" w:color="auto"/>
        <w:bottom w:val="none" w:sz="0" w:space="0" w:color="auto"/>
        <w:right w:val="none" w:sz="0" w:space="0" w:color="auto"/>
      </w:divBdr>
    </w:div>
    <w:div w:id="753402744">
      <w:bodyDiv w:val="1"/>
      <w:marLeft w:val="0"/>
      <w:marRight w:val="0"/>
      <w:marTop w:val="0"/>
      <w:marBottom w:val="0"/>
      <w:divBdr>
        <w:top w:val="none" w:sz="0" w:space="0" w:color="auto"/>
        <w:left w:val="none" w:sz="0" w:space="0" w:color="auto"/>
        <w:bottom w:val="none" w:sz="0" w:space="0" w:color="auto"/>
        <w:right w:val="none" w:sz="0" w:space="0" w:color="auto"/>
      </w:divBdr>
    </w:div>
    <w:div w:id="753630922">
      <w:bodyDiv w:val="1"/>
      <w:marLeft w:val="0"/>
      <w:marRight w:val="0"/>
      <w:marTop w:val="0"/>
      <w:marBottom w:val="0"/>
      <w:divBdr>
        <w:top w:val="none" w:sz="0" w:space="0" w:color="auto"/>
        <w:left w:val="none" w:sz="0" w:space="0" w:color="auto"/>
        <w:bottom w:val="none" w:sz="0" w:space="0" w:color="auto"/>
        <w:right w:val="none" w:sz="0" w:space="0" w:color="auto"/>
      </w:divBdr>
    </w:div>
    <w:div w:id="757287552">
      <w:bodyDiv w:val="1"/>
      <w:marLeft w:val="0"/>
      <w:marRight w:val="0"/>
      <w:marTop w:val="0"/>
      <w:marBottom w:val="0"/>
      <w:divBdr>
        <w:top w:val="none" w:sz="0" w:space="0" w:color="auto"/>
        <w:left w:val="none" w:sz="0" w:space="0" w:color="auto"/>
        <w:bottom w:val="none" w:sz="0" w:space="0" w:color="auto"/>
        <w:right w:val="none" w:sz="0" w:space="0" w:color="auto"/>
      </w:divBdr>
    </w:div>
    <w:div w:id="757364967">
      <w:bodyDiv w:val="1"/>
      <w:marLeft w:val="0"/>
      <w:marRight w:val="0"/>
      <w:marTop w:val="0"/>
      <w:marBottom w:val="0"/>
      <w:divBdr>
        <w:top w:val="none" w:sz="0" w:space="0" w:color="auto"/>
        <w:left w:val="none" w:sz="0" w:space="0" w:color="auto"/>
        <w:bottom w:val="none" w:sz="0" w:space="0" w:color="auto"/>
        <w:right w:val="none" w:sz="0" w:space="0" w:color="auto"/>
      </w:divBdr>
    </w:div>
    <w:div w:id="757824014">
      <w:bodyDiv w:val="1"/>
      <w:marLeft w:val="0"/>
      <w:marRight w:val="0"/>
      <w:marTop w:val="0"/>
      <w:marBottom w:val="0"/>
      <w:divBdr>
        <w:top w:val="none" w:sz="0" w:space="0" w:color="auto"/>
        <w:left w:val="none" w:sz="0" w:space="0" w:color="auto"/>
        <w:bottom w:val="none" w:sz="0" w:space="0" w:color="auto"/>
        <w:right w:val="none" w:sz="0" w:space="0" w:color="auto"/>
      </w:divBdr>
    </w:div>
    <w:div w:id="758251771">
      <w:bodyDiv w:val="1"/>
      <w:marLeft w:val="0"/>
      <w:marRight w:val="0"/>
      <w:marTop w:val="0"/>
      <w:marBottom w:val="0"/>
      <w:divBdr>
        <w:top w:val="none" w:sz="0" w:space="0" w:color="auto"/>
        <w:left w:val="none" w:sz="0" w:space="0" w:color="auto"/>
        <w:bottom w:val="none" w:sz="0" w:space="0" w:color="auto"/>
        <w:right w:val="none" w:sz="0" w:space="0" w:color="auto"/>
      </w:divBdr>
    </w:div>
    <w:div w:id="767116672">
      <w:bodyDiv w:val="1"/>
      <w:marLeft w:val="0"/>
      <w:marRight w:val="0"/>
      <w:marTop w:val="0"/>
      <w:marBottom w:val="0"/>
      <w:divBdr>
        <w:top w:val="none" w:sz="0" w:space="0" w:color="auto"/>
        <w:left w:val="none" w:sz="0" w:space="0" w:color="auto"/>
        <w:bottom w:val="none" w:sz="0" w:space="0" w:color="auto"/>
        <w:right w:val="none" w:sz="0" w:space="0" w:color="auto"/>
      </w:divBdr>
    </w:div>
    <w:div w:id="768621334">
      <w:bodyDiv w:val="1"/>
      <w:marLeft w:val="0"/>
      <w:marRight w:val="0"/>
      <w:marTop w:val="0"/>
      <w:marBottom w:val="0"/>
      <w:divBdr>
        <w:top w:val="none" w:sz="0" w:space="0" w:color="auto"/>
        <w:left w:val="none" w:sz="0" w:space="0" w:color="auto"/>
        <w:bottom w:val="none" w:sz="0" w:space="0" w:color="auto"/>
        <w:right w:val="none" w:sz="0" w:space="0" w:color="auto"/>
      </w:divBdr>
    </w:div>
    <w:div w:id="780760268">
      <w:bodyDiv w:val="1"/>
      <w:marLeft w:val="0"/>
      <w:marRight w:val="0"/>
      <w:marTop w:val="0"/>
      <w:marBottom w:val="0"/>
      <w:divBdr>
        <w:top w:val="none" w:sz="0" w:space="0" w:color="auto"/>
        <w:left w:val="none" w:sz="0" w:space="0" w:color="auto"/>
        <w:bottom w:val="none" w:sz="0" w:space="0" w:color="auto"/>
        <w:right w:val="none" w:sz="0" w:space="0" w:color="auto"/>
      </w:divBdr>
    </w:div>
    <w:div w:id="784738003">
      <w:bodyDiv w:val="1"/>
      <w:marLeft w:val="0"/>
      <w:marRight w:val="0"/>
      <w:marTop w:val="0"/>
      <w:marBottom w:val="0"/>
      <w:divBdr>
        <w:top w:val="none" w:sz="0" w:space="0" w:color="auto"/>
        <w:left w:val="none" w:sz="0" w:space="0" w:color="auto"/>
        <w:bottom w:val="none" w:sz="0" w:space="0" w:color="auto"/>
        <w:right w:val="none" w:sz="0" w:space="0" w:color="auto"/>
      </w:divBdr>
    </w:div>
    <w:div w:id="788933987">
      <w:bodyDiv w:val="1"/>
      <w:marLeft w:val="0"/>
      <w:marRight w:val="0"/>
      <w:marTop w:val="0"/>
      <w:marBottom w:val="0"/>
      <w:divBdr>
        <w:top w:val="none" w:sz="0" w:space="0" w:color="auto"/>
        <w:left w:val="none" w:sz="0" w:space="0" w:color="auto"/>
        <w:bottom w:val="none" w:sz="0" w:space="0" w:color="auto"/>
        <w:right w:val="none" w:sz="0" w:space="0" w:color="auto"/>
      </w:divBdr>
    </w:div>
    <w:div w:id="790127184">
      <w:bodyDiv w:val="1"/>
      <w:marLeft w:val="0"/>
      <w:marRight w:val="0"/>
      <w:marTop w:val="0"/>
      <w:marBottom w:val="0"/>
      <w:divBdr>
        <w:top w:val="none" w:sz="0" w:space="0" w:color="auto"/>
        <w:left w:val="none" w:sz="0" w:space="0" w:color="auto"/>
        <w:bottom w:val="none" w:sz="0" w:space="0" w:color="auto"/>
        <w:right w:val="none" w:sz="0" w:space="0" w:color="auto"/>
      </w:divBdr>
    </w:div>
    <w:div w:id="791484852">
      <w:bodyDiv w:val="1"/>
      <w:marLeft w:val="0"/>
      <w:marRight w:val="0"/>
      <w:marTop w:val="0"/>
      <w:marBottom w:val="0"/>
      <w:divBdr>
        <w:top w:val="none" w:sz="0" w:space="0" w:color="auto"/>
        <w:left w:val="none" w:sz="0" w:space="0" w:color="auto"/>
        <w:bottom w:val="none" w:sz="0" w:space="0" w:color="auto"/>
        <w:right w:val="none" w:sz="0" w:space="0" w:color="auto"/>
      </w:divBdr>
    </w:div>
    <w:div w:id="798840494">
      <w:bodyDiv w:val="1"/>
      <w:marLeft w:val="0"/>
      <w:marRight w:val="0"/>
      <w:marTop w:val="0"/>
      <w:marBottom w:val="0"/>
      <w:divBdr>
        <w:top w:val="none" w:sz="0" w:space="0" w:color="auto"/>
        <w:left w:val="none" w:sz="0" w:space="0" w:color="auto"/>
        <w:bottom w:val="none" w:sz="0" w:space="0" w:color="auto"/>
        <w:right w:val="none" w:sz="0" w:space="0" w:color="auto"/>
      </w:divBdr>
    </w:div>
    <w:div w:id="800608548">
      <w:bodyDiv w:val="1"/>
      <w:marLeft w:val="0"/>
      <w:marRight w:val="0"/>
      <w:marTop w:val="0"/>
      <w:marBottom w:val="0"/>
      <w:divBdr>
        <w:top w:val="none" w:sz="0" w:space="0" w:color="auto"/>
        <w:left w:val="none" w:sz="0" w:space="0" w:color="auto"/>
        <w:bottom w:val="none" w:sz="0" w:space="0" w:color="auto"/>
        <w:right w:val="none" w:sz="0" w:space="0" w:color="auto"/>
      </w:divBdr>
    </w:div>
    <w:div w:id="803809556">
      <w:bodyDiv w:val="1"/>
      <w:marLeft w:val="0"/>
      <w:marRight w:val="0"/>
      <w:marTop w:val="0"/>
      <w:marBottom w:val="0"/>
      <w:divBdr>
        <w:top w:val="none" w:sz="0" w:space="0" w:color="auto"/>
        <w:left w:val="none" w:sz="0" w:space="0" w:color="auto"/>
        <w:bottom w:val="none" w:sz="0" w:space="0" w:color="auto"/>
        <w:right w:val="none" w:sz="0" w:space="0" w:color="auto"/>
      </w:divBdr>
    </w:div>
    <w:div w:id="806355124">
      <w:bodyDiv w:val="1"/>
      <w:marLeft w:val="0"/>
      <w:marRight w:val="0"/>
      <w:marTop w:val="0"/>
      <w:marBottom w:val="0"/>
      <w:divBdr>
        <w:top w:val="none" w:sz="0" w:space="0" w:color="auto"/>
        <w:left w:val="none" w:sz="0" w:space="0" w:color="auto"/>
        <w:bottom w:val="none" w:sz="0" w:space="0" w:color="auto"/>
        <w:right w:val="none" w:sz="0" w:space="0" w:color="auto"/>
      </w:divBdr>
    </w:div>
    <w:div w:id="811096934">
      <w:bodyDiv w:val="1"/>
      <w:marLeft w:val="0"/>
      <w:marRight w:val="0"/>
      <w:marTop w:val="0"/>
      <w:marBottom w:val="0"/>
      <w:divBdr>
        <w:top w:val="none" w:sz="0" w:space="0" w:color="auto"/>
        <w:left w:val="none" w:sz="0" w:space="0" w:color="auto"/>
        <w:bottom w:val="none" w:sz="0" w:space="0" w:color="auto"/>
        <w:right w:val="none" w:sz="0" w:space="0" w:color="auto"/>
      </w:divBdr>
    </w:div>
    <w:div w:id="815874558">
      <w:bodyDiv w:val="1"/>
      <w:marLeft w:val="0"/>
      <w:marRight w:val="0"/>
      <w:marTop w:val="0"/>
      <w:marBottom w:val="0"/>
      <w:divBdr>
        <w:top w:val="none" w:sz="0" w:space="0" w:color="auto"/>
        <w:left w:val="none" w:sz="0" w:space="0" w:color="auto"/>
        <w:bottom w:val="none" w:sz="0" w:space="0" w:color="auto"/>
        <w:right w:val="none" w:sz="0" w:space="0" w:color="auto"/>
      </w:divBdr>
    </w:div>
    <w:div w:id="815995128">
      <w:bodyDiv w:val="1"/>
      <w:marLeft w:val="0"/>
      <w:marRight w:val="0"/>
      <w:marTop w:val="0"/>
      <w:marBottom w:val="0"/>
      <w:divBdr>
        <w:top w:val="none" w:sz="0" w:space="0" w:color="auto"/>
        <w:left w:val="none" w:sz="0" w:space="0" w:color="auto"/>
        <w:bottom w:val="none" w:sz="0" w:space="0" w:color="auto"/>
        <w:right w:val="none" w:sz="0" w:space="0" w:color="auto"/>
      </w:divBdr>
    </w:div>
    <w:div w:id="823594660">
      <w:bodyDiv w:val="1"/>
      <w:marLeft w:val="0"/>
      <w:marRight w:val="0"/>
      <w:marTop w:val="0"/>
      <w:marBottom w:val="0"/>
      <w:divBdr>
        <w:top w:val="none" w:sz="0" w:space="0" w:color="auto"/>
        <w:left w:val="none" w:sz="0" w:space="0" w:color="auto"/>
        <w:bottom w:val="none" w:sz="0" w:space="0" w:color="auto"/>
        <w:right w:val="none" w:sz="0" w:space="0" w:color="auto"/>
      </w:divBdr>
    </w:div>
    <w:div w:id="826551376">
      <w:bodyDiv w:val="1"/>
      <w:marLeft w:val="0"/>
      <w:marRight w:val="0"/>
      <w:marTop w:val="0"/>
      <w:marBottom w:val="0"/>
      <w:divBdr>
        <w:top w:val="none" w:sz="0" w:space="0" w:color="auto"/>
        <w:left w:val="none" w:sz="0" w:space="0" w:color="auto"/>
        <w:bottom w:val="none" w:sz="0" w:space="0" w:color="auto"/>
        <w:right w:val="none" w:sz="0" w:space="0" w:color="auto"/>
      </w:divBdr>
    </w:div>
    <w:div w:id="829179098">
      <w:bodyDiv w:val="1"/>
      <w:marLeft w:val="0"/>
      <w:marRight w:val="0"/>
      <w:marTop w:val="0"/>
      <w:marBottom w:val="0"/>
      <w:divBdr>
        <w:top w:val="none" w:sz="0" w:space="0" w:color="auto"/>
        <w:left w:val="none" w:sz="0" w:space="0" w:color="auto"/>
        <w:bottom w:val="none" w:sz="0" w:space="0" w:color="auto"/>
        <w:right w:val="none" w:sz="0" w:space="0" w:color="auto"/>
      </w:divBdr>
    </w:div>
    <w:div w:id="832331018">
      <w:bodyDiv w:val="1"/>
      <w:marLeft w:val="0"/>
      <w:marRight w:val="0"/>
      <w:marTop w:val="0"/>
      <w:marBottom w:val="0"/>
      <w:divBdr>
        <w:top w:val="none" w:sz="0" w:space="0" w:color="auto"/>
        <w:left w:val="none" w:sz="0" w:space="0" w:color="auto"/>
        <w:bottom w:val="none" w:sz="0" w:space="0" w:color="auto"/>
        <w:right w:val="none" w:sz="0" w:space="0" w:color="auto"/>
      </w:divBdr>
    </w:div>
    <w:div w:id="834494719">
      <w:bodyDiv w:val="1"/>
      <w:marLeft w:val="0"/>
      <w:marRight w:val="0"/>
      <w:marTop w:val="0"/>
      <w:marBottom w:val="0"/>
      <w:divBdr>
        <w:top w:val="none" w:sz="0" w:space="0" w:color="auto"/>
        <w:left w:val="none" w:sz="0" w:space="0" w:color="auto"/>
        <w:bottom w:val="none" w:sz="0" w:space="0" w:color="auto"/>
        <w:right w:val="none" w:sz="0" w:space="0" w:color="auto"/>
      </w:divBdr>
    </w:div>
    <w:div w:id="834608265">
      <w:bodyDiv w:val="1"/>
      <w:marLeft w:val="0"/>
      <w:marRight w:val="0"/>
      <w:marTop w:val="0"/>
      <w:marBottom w:val="0"/>
      <w:divBdr>
        <w:top w:val="none" w:sz="0" w:space="0" w:color="auto"/>
        <w:left w:val="none" w:sz="0" w:space="0" w:color="auto"/>
        <w:bottom w:val="none" w:sz="0" w:space="0" w:color="auto"/>
        <w:right w:val="none" w:sz="0" w:space="0" w:color="auto"/>
      </w:divBdr>
    </w:div>
    <w:div w:id="839462808">
      <w:bodyDiv w:val="1"/>
      <w:marLeft w:val="0"/>
      <w:marRight w:val="0"/>
      <w:marTop w:val="0"/>
      <w:marBottom w:val="0"/>
      <w:divBdr>
        <w:top w:val="none" w:sz="0" w:space="0" w:color="auto"/>
        <w:left w:val="none" w:sz="0" w:space="0" w:color="auto"/>
        <w:bottom w:val="none" w:sz="0" w:space="0" w:color="auto"/>
        <w:right w:val="none" w:sz="0" w:space="0" w:color="auto"/>
      </w:divBdr>
    </w:div>
    <w:div w:id="841747166">
      <w:bodyDiv w:val="1"/>
      <w:marLeft w:val="0"/>
      <w:marRight w:val="0"/>
      <w:marTop w:val="0"/>
      <w:marBottom w:val="0"/>
      <w:divBdr>
        <w:top w:val="none" w:sz="0" w:space="0" w:color="auto"/>
        <w:left w:val="none" w:sz="0" w:space="0" w:color="auto"/>
        <w:bottom w:val="none" w:sz="0" w:space="0" w:color="auto"/>
        <w:right w:val="none" w:sz="0" w:space="0" w:color="auto"/>
      </w:divBdr>
    </w:div>
    <w:div w:id="849492128">
      <w:bodyDiv w:val="1"/>
      <w:marLeft w:val="0"/>
      <w:marRight w:val="0"/>
      <w:marTop w:val="0"/>
      <w:marBottom w:val="0"/>
      <w:divBdr>
        <w:top w:val="none" w:sz="0" w:space="0" w:color="auto"/>
        <w:left w:val="none" w:sz="0" w:space="0" w:color="auto"/>
        <w:bottom w:val="none" w:sz="0" w:space="0" w:color="auto"/>
        <w:right w:val="none" w:sz="0" w:space="0" w:color="auto"/>
      </w:divBdr>
    </w:div>
    <w:div w:id="852963262">
      <w:bodyDiv w:val="1"/>
      <w:marLeft w:val="0"/>
      <w:marRight w:val="0"/>
      <w:marTop w:val="0"/>
      <w:marBottom w:val="0"/>
      <w:divBdr>
        <w:top w:val="none" w:sz="0" w:space="0" w:color="auto"/>
        <w:left w:val="none" w:sz="0" w:space="0" w:color="auto"/>
        <w:bottom w:val="none" w:sz="0" w:space="0" w:color="auto"/>
        <w:right w:val="none" w:sz="0" w:space="0" w:color="auto"/>
      </w:divBdr>
    </w:div>
    <w:div w:id="855919752">
      <w:bodyDiv w:val="1"/>
      <w:marLeft w:val="0"/>
      <w:marRight w:val="0"/>
      <w:marTop w:val="0"/>
      <w:marBottom w:val="0"/>
      <w:divBdr>
        <w:top w:val="none" w:sz="0" w:space="0" w:color="auto"/>
        <w:left w:val="none" w:sz="0" w:space="0" w:color="auto"/>
        <w:bottom w:val="none" w:sz="0" w:space="0" w:color="auto"/>
        <w:right w:val="none" w:sz="0" w:space="0" w:color="auto"/>
      </w:divBdr>
    </w:div>
    <w:div w:id="864175754">
      <w:bodyDiv w:val="1"/>
      <w:marLeft w:val="0"/>
      <w:marRight w:val="0"/>
      <w:marTop w:val="0"/>
      <w:marBottom w:val="0"/>
      <w:divBdr>
        <w:top w:val="none" w:sz="0" w:space="0" w:color="auto"/>
        <w:left w:val="none" w:sz="0" w:space="0" w:color="auto"/>
        <w:bottom w:val="none" w:sz="0" w:space="0" w:color="auto"/>
        <w:right w:val="none" w:sz="0" w:space="0" w:color="auto"/>
      </w:divBdr>
    </w:div>
    <w:div w:id="864246857">
      <w:bodyDiv w:val="1"/>
      <w:marLeft w:val="0"/>
      <w:marRight w:val="0"/>
      <w:marTop w:val="0"/>
      <w:marBottom w:val="0"/>
      <w:divBdr>
        <w:top w:val="none" w:sz="0" w:space="0" w:color="auto"/>
        <w:left w:val="none" w:sz="0" w:space="0" w:color="auto"/>
        <w:bottom w:val="none" w:sz="0" w:space="0" w:color="auto"/>
        <w:right w:val="none" w:sz="0" w:space="0" w:color="auto"/>
      </w:divBdr>
    </w:div>
    <w:div w:id="866482419">
      <w:bodyDiv w:val="1"/>
      <w:marLeft w:val="0"/>
      <w:marRight w:val="0"/>
      <w:marTop w:val="0"/>
      <w:marBottom w:val="0"/>
      <w:divBdr>
        <w:top w:val="none" w:sz="0" w:space="0" w:color="auto"/>
        <w:left w:val="none" w:sz="0" w:space="0" w:color="auto"/>
        <w:bottom w:val="none" w:sz="0" w:space="0" w:color="auto"/>
        <w:right w:val="none" w:sz="0" w:space="0" w:color="auto"/>
      </w:divBdr>
    </w:div>
    <w:div w:id="876698542">
      <w:bodyDiv w:val="1"/>
      <w:marLeft w:val="0"/>
      <w:marRight w:val="0"/>
      <w:marTop w:val="0"/>
      <w:marBottom w:val="0"/>
      <w:divBdr>
        <w:top w:val="none" w:sz="0" w:space="0" w:color="auto"/>
        <w:left w:val="none" w:sz="0" w:space="0" w:color="auto"/>
        <w:bottom w:val="none" w:sz="0" w:space="0" w:color="auto"/>
        <w:right w:val="none" w:sz="0" w:space="0" w:color="auto"/>
      </w:divBdr>
    </w:div>
    <w:div w:id="877665653">
      <w:bodyDiv w:val="1"/>
      <w:marLeft w:val="0"/>
      <w:marRight w:val="0"/>
      <w:marTop w:val="0"/>
      <w:marBottom w:val="0"/>
      <w:divBdr>
        <w:top w:val="none" w:sz="0" w:space="0" w:color="auto"/>
        <w:left w:val="none" w:sz="0" w:space="0" w:color="auto"/>
        <w:bottom w:val="none" w:sz="0" w:space="0" w:color="auto"/>
        <w:right w:val="none" w:sz="0" w:space="0" w:color="auto"/>
      </w:divBdr>
    </w:div>
    <w:div w:id="878516151">
      <w:bodyDiv w:val="1"/>
      <w:marLeft w:val="0"/>
      <w:marRight w:val="0"/>
      <w:marTop w:val="0"/>
      <w:marBottom w:val="0"/>
      <w:divBdr>
        <w:top w:val="none" w:sz="0" w:space="0" w:color="auto"/>
        <w:left w:val="none" w:sz="0" w:space="0" w:color="auto"/>
        <w:bottom w:val="none" w:sz="0" w:space="0" w:color="auto"/>
        <w:right w:val="none" w:sz="0" w:space="0" w:color="auto"/>
      </w:divBdr>
    </w:div>
    <w:div w:id="878781993">
      <w:bodyDiv w:val="1"/>
      <w:marLeft w:val="0"/>
      <w:marRight w:val="0"/>
      <w:marTop w:val="0"/>
      <w:marBottom w:val="0"/>
      <w:divBdr>
        <w:top w:val="none" w:sz="0" w:space="0" w:color="auto"/>
        <w:left w:val="none" w:sz="0" w:space="0" w:color="auto"/>
        <w:bottom w:val="none" w:sz="0" w:space="0" w:color="auto"/>
        <w:right w:val="none" w:sz="0" w:space="0" w:color="auto"/>
      </w:divBdr>
    </w:div>
    <w:div w:id="878786108">
      <w:bodyDiv w:val="1"/>
      <w:marLeft w:val="0"/>
      <w:marRight w:val="0"/>
      <w:marTop w:val="0"/>
      <w:marBottom w:val="0"/>
      <w:divBdr>
        <w:top w:val="none" w:sz="0" w:space="0" w:color="auto"/>
        <w:left w:val="none" w:sz="0" w:space="0" w:color="auto"/>
        <w:bottom w:val="none" w:sz="0" w:space="0" w:color="auto"/>
        <w:right w:val="none" w:sz="0" w:space="0" w:color="auto"/>
      </w:divBdr>
    </w:div>
    <w:div w:id="879821437">
      <w:bodyDiv w:val="1"/>
      <w:marLeft w:val="0"/>
      <w:marRight w:val="0"/>
      <w:marTop w:val="0"/>
      <w:marBottom w:val="0"/>
      <w:divBdr>
        <w:top w:val="none" w:sz="0" w:space="0" w:color="auto"/>
        <w:left w:val="none" w:sz="0" w:space="0" w:color="auto"/>
        <w:bottom w:val="none" w:sz="0" w:space="0" w:color="auto"/>
        <w:right w:val="none" w:sz="0" w:space="0" w:color="auto"/>
      </w:divBdr>
    </w:div>
    <w:div w:id="884369415">
      <w:bodyDiv w:val="1"/>
      <w:marLeft w:val="0"/>
      <w:marRight w:val="0"/>
      <w:marTop w:val="0"/>
      <w:marBottom w:val="0"/>
      <w:divBdr>
        <w:top w:val="none" w:sz="0" w:space="0" w:color="auto"/>
        <w:left w:val="none" w:sz="0" w:space="0" w:color="auto"/>
        <w:bottom w:val="none" w:sz="0" w:space="0" w:color="auto"/>
        <w:right w:val="none" w:sz="0" w:space="0" w:color="auto"/>
      </w:divBdr>
    </w:div>
    <w:div w:id="887256457">
      <w:bodyDiv w:val="1"/>
      <w:marLeft w:val="0"/>
      <w:marRight w:val="0"/>
      <w:marTop w:val="0"/>
      <w:marBottom w:val="0"/>
      <w:divBdr>
        <w:top w:val="none" w:sz="0" w:space="0" w:color="auto"/>
        <w:left w:val="none" w:sz="0" w:space="0" w:color="auto"/>
        <w:bottom w:val="none" w:sz="0" w:space="0" w:color="auto"/>
        <w:right w:val="none" w:sz="0" w:space="0" w:color="auto"/>
      </w:divBdr>
    </w:div>
    <w:div w:id="890535567">
      <w:bodyDiv w:val="1"/>
      <w:marLeft w:val="0"/>
      <w:marRight w:val="0"/>
      <w:marTop w:val="0"/>
      <w:marBottom w:val="0"/>
      <w:divBdr>
        <w:top w:val="none" w:sz="0" w:space="0" w:color="auto"/>
        <w:left w:val="none" w:sz="0" w:space="0" w:color="auto"/>
        <w:bottom w:val="none" w:sz="0" w:space="0" w:color="auto"/>
        <w:right w:val="none" w:sz="0" w:space="0" w:color="auto"/>
      </w:divBdr>
    </w:div>
    <w:div w:id="892692009">
      <w:bodyDiv w:val="1"/>
      <w:marLeft w:val="0"/>
      <w:marRight w:val="0"/>
      <w:marTop w:val="0"/>
      <w:marBottom w:val="0"/>
      <w:divBdr>
        <w:top w:val="none" w:sz="0" w:space="0" w:color="auto"/>
        <w:left w:val="none" w:sz="0" w:space="0" w:color="auto"/>
        <w:bottom w:val="none" w:sz="0" w:space="0" w:color="auto"/>
        <w:right w:val="none" w:sz="0" w:space="0" w:color="auto"/>
      </w:divBdr>
    </w:div>
    <w:div w:id="894968161">
      <w:bodyDiv w:val="1"/>
      <w:marLeft w:val="0"/>
      <w:marRight w:val="0"/>
      <w:marTop w:val="0"/>
      <w:marBottom w:val="0"/>
      <w:divBdr>
        <w:top w:val="none" w:sz="0" w:space="0" w:color="auto"/>
        <w:left w:val="none" w:sz="0" w:space="0" w:color="auto"/>
        <w:bottom w:val="none" w:sz="0" w:space="0" w:color="auto"/>
        <w:right w:val="none" w:sz="0" w:space="0" w:color="auto"/>
      </w:divBdr>
    </w:div>
    <w:div w:id="901257090">
      <w:bodyDiv w:val="1"/>
      <w:marLeft w:val="0"/>
      <w:marRight w:val="0"/>
      <w:marTop w:val="0"/>
      <w:marBottom w:val="0"/>
      <w:divBdr>
        <w:top w:val="none" w:sz="0" w:space="0" w:color="auto"/>
        <w:left w:val="none" w:sz="0" w:space="0" w:color="auto"/>
        <w:bottom w:val="none" w:sz="0" w:space="0" w:color="auto"/>
        <w:right w:val="none" w:sz="0" w:space="0" w:color="auto"/>
      </w:divBdr>
    </w:div>
    <w:div w:id="906454585">
      <w:bodyDiv w:val="1"/>
      <w:marLeft w:val="0"/>
      <w:marRight w:val="0"/>
      <w:marTop w:val="0"/>
      <w:marBottom w:val="0"/>
      <w:divBdr>
        <w:top w:val="none" w:sz="0" w:space="0" w:color="auto"/>
        <w:left w:val="none" w:sz="0" w:space="0" w:color="auto"/>
        <w:bottom w:val="none" w:sz="0" w:space="0" w:color="auto"/>
        <w:right w:val="none" w:sz="0" w:space="0" w:color="auto"/>
      </w:divBdr>
    </w:div>
    <w:div w:id="906456205">
      <w:bodyDiv w:val="1"/>
      <w:marLeft w:val="0"/>
      <w:marRight w:val="0"/>
      <w:marTop w:val="0"/>
      <w:marBottom w:val="0"/>
      <w:divBdr>
        <w:top w:val="none" w:sz="0" w:space="0" w:color="auto"/>
        <w:left w:val="none" w:sz="0" w:space="0" w:color="auto"/>
        <w:bottom w:val="none" w:sz="0" w:space="0" w:color="auto"/>
        <w:right w:val="none" w:sz="0" w:space="0" w:color="auto"/>
      </w:divBdr>
    </w:div>
    <w:div w:id="910889146">
      <w:bodyDiv w:val="1"/>
      <w:marLeft w:val="0"/>
      <w:marRight w:val="0"/>
      <w:marTop w:val="0"/>
      <w:marBottom w:val="0"/>
      <w:divBdr>
        <w:top w:val="none" w:sz="0" w:space="0" w:color="auto"/>
        <w:left w:val="none" w:sz="0" w:space="0" w:color="auto"/>
        <w:bottom w:val="none" w:sz="0" w:space="0" w:color="auto"/>
        <w:right w:val="none" w:sz="0" w:space="0" w:color="auto"/>
      </w:divBdr>
    </w:div>
    <w:div w:id="912009255">
      <w:bodyDiv w:val="1"/>
      <w:marLeft w:val="0"/>
      <w:marRight w:val="0"/>
      <w:marTop w:val="0"/>
      <w:marBottom w:val="0"/>
      <w:divBdr>
        <w:top w:val="none" w:sz="0" w:space="0" w:color="auto"/>
        <w:left w:val="none" w:sz="0" w:space="0" w:color="auto"/>
        <w:bottom w:val="none" w:sz="0" w:space="0" w:color="auto"/>
        <w:right w:val="none" w:sz="0" w:space="0" w:color="auto"/>
      </w:divBdr>
    </w:div>
    <w:div w:id="914320760">
      <w:bodyDiv w:val="1"/>
      <w:marLeft w:val="0"/>
      <w:marRight w:val="0"/>
      <w:marTop w:val="0"/>
      <w:marBottom w:val="0"/>
      <w:divBdr>
        <w:top w:val="none" w:sz="0" w:space="0" w:color="auto"/>
        <w:left w:val="none" w:sz="0" w:space="0" w:color="auto"/>
        <w:bottom w:val="none" w:sz="0" w:space="0" w:color="auto"/>
        <w:right w:val="none" w:sz="0" w:space="0" w:color="auto"/>
      </w:divBdr>
    </w:div>
    <w:div w:id="918052380">
      <w:bodyDiv w:val="1"/>
      <w:marLeft w:val="0"/>
      <w:marRight w:val="0"/>
      <w:marTop w:val="0"/>
      <w:marBottom w:val="0"/>
      <w:divBdr>
        <w:top w:val="none" w:sz="0" w:space="0" w:color="auto"/>
        <w:left w:val="none" w:sz="0" w:space="0" w:color="auto"/>
        <w:bottom w:val="none" w:sz="0" w:space="0" w:color="auto"/>
        <w:right w:val="none" w:sz="0" w:space="0" w:color="auto"/>
      </w:divBdr>
    </w:div>
    <w:div w:id="919102943">
      <w:bodyDiv w:val="1"/>
      <w:marLeft w:val="0"/>
      <w:marRight w:val="0"/>
      <w:marTop w:val="0"/>
      <w:marBottom w:val="0"/>
      <w:divBdr>
        <w:top w:val="none" w:sz="0" w:space="0" w:color="auto"/>
        <w:left w:val="none" w:sz="0" w:space="0" w:color="auto"/>
        <w:bottom w:val="none" w:sz="0" w:space="0" w:color="auto"/>
        <w:right w:val="none" w:sz="0" w:space="0" w:color="auto"/>
      </w:divBdr>
    </w:div>
    <w:div w:id="920721649">
      <w:bodyDiv w:val="1"/>
      <w:marLeft w:val="0"/>
      <w:marRight w:val="0"/>
      <w:marTop w:val="0"/>
      <w:marBottom w:val="0"/>
      <w:divBdr>
        <w:top w:val="none" w:sz="0" w:space="0" w:color="auto"/>
        <w:left w:val="none" w:sz="0" w:space="0" w:color="auto"/>
        <w:bottom w:val="none" w:sz="0" w:space="0" w:color="auto"/>
        <w:right w:val="none" w:sz="0" w:space="0" w:color="auto"/>
      </w:divBdr>
    </w:div>
    <w:div w:id="929849198">
      <w:bodyDiv w:val="1"/>
      <w:marLeft w:val="0"/>
      <w:marRight w:val="0"/>
      <w:marTop w:val="0"/>
      <w:marBottom w:val="0"/>
      <w:divBdr>
        <w:top w:val="none" w:sz="0" w:space="0" w:color="auto"/>
        <w:left w:val="none" w:sz="0" w:space="0" w:color="auto"/>
        <w:bottom w:val="none" w:sz="0" w:space="0" w:color="auto"/>
        <w:right w:val="none" w:sz="0" w:space="0" w:color="auto"/>
      </w:divBdr>
    </w:div>
    <w:div w:id="931233235">
      <w:bodyDiv w:val="1"/>
      <w:marLeft w:val="0"/>
      <w:marRight w:val="0"/>
      <w:marTop w:val="0"/>
      <w:marBottom w:val="0"/>
      <w:divBdr>
        <w:top w:val="none" w:sz="0" w:space="0" w:color="auto"/>
        <w:left w:val="none" w:sz="0" w:space="0" w:color="auto"/>
        <w:bottom w:val="none" w:sz="0" w:space="0" w:color="auto"/>
        <w:right w:val="none" w:sz="0" w:space="0" w:color="auto"/>
      </w:divBdr>
    </w:div>
    <w:div w:id="933905279">
      <w:bodyDiv w:val="1"/>
      <w:marLeft w:val="0"/>
      <w:marRight w:val="0"/>
      <w:marTop w:val="0"/>
      <w:marBottom w:val="0"/>
      <w:divBdr>
        <w:top w:val="none" w:sz="0" w:space="0" w:color="auto"/>
        <w:left w:val="none" w:sz="0" w:space="0" w:color="auto"/>
        <w:bottom w:val="none" w:sz="0" w:space="0" w:color="auto"/>
        <w:right w:val="none" w:sz="0" w:space="0" w:color="auto"/>
      </w:divBdr>
    </w:div>
    <w:div w:id="940530369">
      <w:bodyDiv w:val="1"/>
      <w:marLeft w:val="0"/>
      <w:marRight w:val="0"/>
      <w:marTop w:val="0"/>
      <w:marBottom w:val="0"/>
      <w:divBdr>
        <w:top w:val="none" w:sz="0" w:space="0" w:color="auto"/>
        <w:left w:val="none" w:sz="0" w:space="0" w:color="auto"/>
        <w:bottom w:val="none" w:sz="0" w:space="0" w:color="auto"/>
        <w:right w:val="none" w:sz="0" w:space="0" w:color="auto"/>
      </w:divBdr>
    </w:div>
    <w:div w:id="948973876">
      <w:bodyDiv w:val="1"/>
      <w:marLeft w:val="0"/>
      <w:marRight w:val="0"/>
      <w:marTop w:val="0"/>
      <w:marBottom w:val="0"/>
      <w:divBdr>
        <w:top w:val="none" w:sz="0" w:space="0" w:color="auto"/>
        <w:left w:val="none" w:sz="0" w:space="0" w:color="auto"/>
        <w:bottom w:val="none" w:sz="0" w:space="0" w:color="auto"/>
        <w:right w:val="none" w:sz="0" w:space="0" w:color="auto"/>
      </w:divBdr>
    </w:div>
    <w:div w:id="952439574">
      <w:bodyDiv w:val="1"/>
      <w:marLeft w:val="0"/>
      <w:marRight w:val="0"/>
      <w:marTop w:val="0"/>
      <w:marBottom w:val="0"/>
      <w:divBdr>
        <w:top w:val="none" w:sz="0" w:space="0" w:color="auto"/>
        <w:left w:val="none" w:sz="0" w:space="0" w:color="auto"/>
        <w:bottom w:val="none" w:sz="0" w:space="0" w:color="auto"/>
        <w:right w:val="none" w:sz="0" w:space="0" w:color="auto"/>
      </w:divBdr>
    </w:div>
    <w:div w:id="953055515">
      <w:bodyDiv w:val="1"/>
      <w:marLeft w:val="0"/>
      <w:marRight w:val="0"/>
      <w:marTop w:val="0"/>
      <w:marBottom w:val="0"/>
      <w:divBdr>
        <w:top w:val="none" w:sz="0" w:space="0" w:color="auto"/>
        <w:left w:val="none" w:sz="0" w:space="0" w:color="auto"/>
        <w:bottom w:val="none" w:sz="0" w:space="0" w:color="auto"/>
        <w:right w:val="none" w:sz="0" w:space="0" w:color="auto"/>
      </w:divBdr>
    </w:div>
    <w:div w:id="963122991">
      <w:bodyDiv w:val="1"/>
      <w:marLeft w:val="0"/>
      <w:marRight w:val="0"/>
      <w:marTop w:val="0"/>
      <w:marBottom w:val="0"/>
      <w:divBdr>
        <w:top w:val="none" w:sz="0" w:space="0" w:color="auto"/>
        <w:left w:val="none" w:sz="0" w:space="0" w:color="auto"/>
        <w:bottom w:val="none" w:sz="0" w:space="0" w:color="auto"/>
        <w:right w:val="none" w:sz="0" w:space="0" w:color="auto"/>
      </w:divBdr>
    </w:div>
    <w:div w:id="963971461">
      <w:bodyDiv w:val="1"/>
      <w:marLeft w:val="0"/>
      <w:marRight w:val="0"/>
      <w:marTop w:val="0"/>
      <w:marBottom w:val="0"/>
      <w:divBdr>
        <w:top w:val="none" w:sz="0" w:space="0" w:color="auto"/>
        <w:left w:val="none" w:sz="0" w:space="0" w:color="auto"/>
        <w:bottom w:val="none" w:sz="0" w:space="0" w:color="auto"/>
        <w:right w:val="none" w:sz="0" w:space="0" w:color="auto"/>
      </w:divBdr>
    </w:div>
    <w:div w:id="968629765">
      <w:bodyDiv w:val="1"/>
      <w:marLeft w:val="0"/>
      <w:marRight w:val="0"/>
      <w:marTop w:val="0"/>
      <w:marBottom w:val="0"/>
      <w:divBdr>
        <w:top w:val="none" w:sz="0" w:space="0" w:color="auto"/>
        <w:left w:val="none" w:sz="0" w:space="0" w:color="auto"/>
        <w:bottom w:val="none" w:sz="0" w:space="0" w:color="auto"/>
        <w:right w:val="none" w:sz="0" w:space="0" w:color="auto"/>
      </w:divBdr>
    </w:div>
    <w:div w:id="969212698">
      <w:bodyDiv w:val="1"/>
      <w:marLeft w:val="0"/>
      <w:marRight w:val="0"/>
      <w:marTop w:val="0"/>
      <w:marBottom w:val="0"/>
      <w:divBdr>
        <w:top w:val="none" w:sz="0" w:space="0" w:color="auto"/>
        <w:left w:val="none" w:sz="0" w:space="0" w:color="auto"/>
        <w:bottom w:val="none" w:sz="0" w:space="0" w:color="auto"/>
        <w:right w:val="none" w:sz="0" w:space="0" w:color="auto"/>
      </w:divBdr>
    </w:div>
    <w:div w:id="969868803">
      <w:bodyDiv w:val="1"/>
      <w:marLeft w:val="0"/>
      <w:marRight w:val="0"/>
      <w:marTop w:val="0"/>
      <w:marBottom w:val="0"/>
      <w:divBdr>
        <w:top w:val="none" w:sz="0" w:space="0" w:color="auto"/>
        <w:left w:val="none" w:sz="0" w:space="0" w:color="auto"/>
        <w:bottom w:val="none" w:sz="0" w:space="0" w:color="auto"/>
        <w:right w:val="none" w:sz="0" w:space="0" w:color="auto"/>
      </w:divBdr>
    </w:div>
    <w:div w:id="974603539">
      <w:bodyDiv w:val="1"/>
      <w:marLeft w:val="0"/>
      <w:marRight w:val="0"/>
      <w:marTop w:val="0"/>
      <w:marBottom w:val="0"/>
      <w:divBdr>
        <w:top w:val="none" w:sz="0" w:space="0" w:color="auto"/>
        <w:left w:val="none" w:sz="0" w:space="0" w:color="auto"/>
        <w:bottom w:val="none" w:sz="0" w:space="0" w:color="auto"/>
        <w:right w:val="none" w:sz="0" w:space="0" w:color="auto"/>
      </w:divBdr>
    </w:div>
    <w:div w:id="979117301">
      <w:bodyDiv w:val="1"/>
      <w:marLeft w:val="0"/>
      <w:marRight w:val="0"/>
      <w:marTop w:val="0"/>
      <w:marBottom w:val="0"/>
      <w:divBdr>
        <w:top w:val="none" w:sz="0" w:space="0" w:color="auto"/>
        <w:left w:val="none" w:sz="0" w:space="0" w:color="auto"/>
        <w:bottom w:val="none" w:sz="0" w:space="0" w:color="auto"/>
        <w:right w:val="none" w:sz="0" w:space="0" w:color="auto"/>
      </w:divBdr>
    </w:div>
    <w:div w:id="982731372">
      <w:bodyDiv w:val="1"/>
      <w:marLeft w:val="0"/>
      <w:marRight w:val="0"/>
      <w:marTop w:val="0"/>
      <w:marBottom w:val="0"/>
      <w:divBdr>
        <w:top w:val="none" w:sz="0" w:space="0" w:color="auto"/>
        <w:left w:val="none" w:sz="0" w:space="0" w:color="auto"/>
        <w:bottom w:val="none" w:sz="0" w:space="0" w:color="auto"/>
        <w:right w:val="none" w:sz="0" w:space="0" w:color="auto"/>
      </w:divBdr>
    </w:div>
    <w:div w:id="983317125">
      <w:bodyDiv w:val="1"/>
      <w:marLeft w:val="0"/>
      <w:marRight w:val="0"/>
      <w:marTop w:val="0"/>
      <w:marBottom w:val="0"/>
      <w:divBdr>
        <w:top w:val="none" w:sz="0" w:space="0" w:color="auto"/>
        <w:left w:val="none" w:sz="0" w:space="0" w:color="auto"/>
        <w:bottom w:val="none" w:sz="0" w:space="0" w:color="auto"/>
        <w:right w:val="none" w:sz="0" w:space="0" w:color="auto"/>
      </w:divBdr>
    </w:div>
    <w:div w:id="989673077">
      <w:bodyDiv w:val="1"/>
      <w:marLeft w:val="0"/>
      <w:marRight w:val="0"/>
      <w:marTop w:val="0"/>
      <w:marBottom w:val="0"/>
      <w:divBdr>
        <w:top w:val="none" w:sz="0" w:space="0" w:color="auto"/>
        <w:left w:val="none" w:sz="0" w:space="0" w:color="auto"/>
        <w:bottom w:val="none" w:sz="0" w:space="0" w:color="auto"/>
        <w:right w:val="none" w:sz="0" w:space="0" w:color="auto"/>
      </w:divBdr>
    </w:div>
    <w:div w:id="992829743">
      <w:bodyDiv w:val="1"/>
      <w:marLeft w:val="0"/>
      <w:marRight w:val="0"/>
      <w:marTop w:val="0"/>
      <w:marBottom w:val="0"/>
      <w:divBdr>
        <w:top w:val="none" w:sz="0" w:space="0" w:color="auto"/>
        <w:left w:val="none" w:sz="0" w:space="0" w:color="auto"/>
        <w:bottom w:val="none" w:sz="0" w:space="0" w:color="auto"/>
        <w:right w:val="none" w:sz="0" w:space="0" w:color="auto"/>
      </w:divBdr>
    </w:div>
    <w:div w:id="993995372">
      <w:bodyDiv w:val="1"/>
      <w:marLeft w:val="0"/>
      <w:marRight w:val="0"/>
      <w:marTop w:val="0"/>
      <w:marBottom w:val="0"/>
      <w:divBdr>
        <w:top w:val="none" w:sz="0" w:space="0" w:color="auto"/>
        <w:left w:val="none" w:sz="0" w:space="0" w:color="auto"/>
        <w:bottom w:val="none" w:sz="0" w:space="0" w:color="auto"/>
        <w:right w:val="none" w:sz="0" w:space="0" w:color="auto"/>
      </w:divBdr>
    </w:div>
    <w:div w:id="997614522">
      <w:bodyDiv w:val="1"/>
      <w:marLeft w:val="0"/>
      <w:marRight w:val="0"/>
      <w:marTop w:val="0"/>
      <w:marBottom w:val="0"/>
      <w:divBdr>
        <w:top w:val="none" w:sz="0" w:space="0" w:color="auto"/>
        <w:left w:val="none" w:sz="0" w:space="0" w:color="auto"/>
        <w:bottom w:val="none" w:sz="0" w:space="0" w:color="auto"/>
        <w:right w:val="none" w:sz="0" w:space="0" w:color="auto"/>
      </w:divBdr>
    </w:div>
    <w:div w:id="1006442153">
      <w:bodyDiv w:val="1"/>
      <w:marLeft w:val="0"/>
      <w:marRight w:val="0"/>
      <w:marTop w:val="0"/>
      <w:marBottom w:val="0"/>
      <w:divBdr>
        <w:top w:val="none" w:sz="0" w:space="0" w:color="auto"/>
        <w:left w:val="none" w:sz="0" w:space="0" w:color="auto"/>
        <w:bottom w:val="none" w:sz="0" w:space="0" w:color="auto"/>
        <w:right w:val="none" w:sz="0" w:space="0" w:color="auto"/>
      </w:divBdr>
    </w:div>
    <w:div w:id="1008210842">
      <w:bodyDiv w:val="1"/>
      <w:marLeft w:val="0"/>
      <w:marRight w:val="0"/>
      <w:marTop w:val="0"/>
      <w:marBottom w:val="0"/>
      <w:divBdr>
        <w:top w:val="none" w:sz="0" w:space="0" w:color="auto"/>
        <w:left w:val="none" w:sz="0" w:space="0" w:color="auto"/>
        <w:bottom w:val="none" w:sz="0" w:space="0" w:color="auto"/>
        <w:right w:val="none" w:sz="0" w:space="0" w:color="auto"/>
      </w:divBdr>
    </w:div>
    <w:div w:id="1010334491">
      <w:bodyDiv w:val="1"/>
      <w:marLeft w:val="0"/>
      <w:marRight w:val="0"/>
      <w:marTop w:val="0"/>
      <w:marBottom w:val="0"/>
      <w:divBdr>
        <w:top w:val="none" w:sz="0" w:space="0" w:color="auto"/>
        <w:left w:val="none" w:sz="0" w:space="0" w:color="auto"/>
        <w:bottom w:val="none" w:sz="0" w:space="0" w:color="auto"/>
        <w:right w:val="none" w:sz="0" w:space="0" w:color="auto"/>
      </w:divBdr>
    </w:div>
    <w:div w:id="1012609921">
      <w:bodyDiv w:val="1"/>
      <w:marLeft w:val="0"/>
      <w:marRight w:val="0"/>
      <w:marTop w:val="0"/>
      <w:marBottom w:val="0"/>
      <w:divBdr>
        <w:top w:val="none" w:sz="0" w:space="0" w:color="auto"/>
        <w:left w:val="none" w:sz="0" w:space="0" w:color="auto"/>
        <w:bottom w:val="none" w:sz="0" w:space="0" w:color="auto"/>
        <w:right w:val="none" w:sz="0" w:space="0" w:color="auto"/>
      </w:divBdr>
    </w:div>
    <w:div w:id="1015303190">
      <w:bodyDiv w:val="1"/>
      <w:marLeft w:val="0"/>
      <w:marRight w:val="0"/>
      <w:marTop w:val="0"/>
      <w:marBottom w:val="0"/>
      <w:divBdr>
        <w:top w:val="none" w:sz="0" w:space="0" w:color="auto"/>
        <w:left w:val="none" w:sz="0" w:space="0" w:color="auto"/>
        <w:bottom w:val="none" w:sz="0" w:space="0" w:color="auto"/>
        <w:right w:val="none" w:sz="0" w:space="0" w:color="auto"/>
      </w:divBdr>
    </w:div>
    <w:div w:id="1015956114">
      <w:bodyDiv w:val="1"/>
      <w:marLeft w:val="0"/>
      <w:marRight w:val="0"/>
      <w:marTop w:val="0"/>
      <w:marBottom w:val="0"/>
      <w:divBdr>
        <w:top w:val="none" w:sz="0" w:space="0" w:color="auto"/>
        <w:left w:val="none" w:sz="0" w:space="0" w:color="auto"/>
        <w:bottom w:val="none" w:sz="0" w:space="0" w:color="auto"/>
        <w:right w:val="none" w:sz="0" w:space="0" w:color="auto"/>
      </w:divBdr>
    </w:div>
    <w:div w:id="1017119746">
      <w:bodyDiv w:val="1"/>
      <w:marLeft w:val="0"/>
      <w:marRight w:val="0"/>
      <w:marTop w:val="0"/>
      <w:marBottom w:val="0"/>
      <w:divBdr>
        <w:top w:val="none" w:sz="0" w:space="0" w:color="auto"/>
        <w:left w:val="none" w:sz="0" w:space="0" w:color="auto"/>
        <w:bottom w:val="none" w:sz="0" w:space="0" w:color="auto"/>
        <w:right w:val="none" w:sz="0" w:space="0" w:color="auto"/>
      </w:divBdr>
    </w:div>
    <w:div w:id="1020159818">
      <w:bodyDiv w:val="1"/>
      <w:marLeft w:val="0"/>
      <w:marRight w:val="0"/>
      <w:marTop w:val="0"/>
      <w:marBottom w:val="0"/>
      <w:divBdr>
        <w:top w:val="none" w:sz="0" w:space="0" w:color="auto"/>
        <w:left w:val="none" w:sz="0" w:space="0" w:color="auto"/>
        <w:bottom w:val="none" w:sz="0" w:space="0" w:color="auto"/>
        <w:right w:val="none" w:sz="0" w:space="0" w:color="auto"/>
      </w:divBdr>
    </w:div>
    <w:div w:id="1020165269">
      <w:bodyDiv w:val="1"/>
      <w:marLeft w:val="0"/>
      <w:marRight w:val="0"/>
      <w:marTop w:val="0"/>
      <w:marBottom w:val="0"/>
      <w:divBdr>
        <w:top w:val="none" w:sz="0" w:space="0" w:color="auto"/>
        <w:left w:val="none" w:sz="0" w:space="0" w:color="auto"/>
        <w:bottom w:val="none" w:sz="0" w:space="0" w:color="auto"/>
        <w:right w:val="none" w:sz="0" w:space="0" w:color="auto"/>
      </w:divBdr>
    </w:div>
    <w:div w:id="1020207143">
      <w:bodyDiv w:val="1"/>
      <w:marLeft w:val="0"/>
      <w:marRight w:val="0"/>
      <w:marTop w:val="0"/>
      <w:marBottom w:val="0"/>
      <w:divBdr>
        <w:top w:val="none" w:sz="0" w:space="0" w:color="auto"/>
        <w:left w:val="none" w:sz="0" w:space="0" w:color="auto"/>
        <w:bottom w:val="none" w:sz="0" w:space="0" w:color="auto"/>
        <w:right w:val="none" w:sz="0" w:space="0" w:color="auto"/>
      </w:divBdr>
    </w:div>
    <w:div w:id="1021973677">
      <w:bodyDiv w:val="1"/>
      <w:marLeft w:val="0"/>
      <w:marRight w:val="0"/>
      <w:marTop w:val="0"/>
      <w:marBottom w:val="0"/>
      <w:divBdr>
        <w:top w:val="none" w:sz="0" w:space="0" w:color="auto"/>
        <w:left w:val="none" w:sz="0" w:space="0" w:color="auto"/>
        <w:bottom w:val="none" w:sz="0" w:space="0" w:color="auto"/>
        <w:right w:val="none" w:sz="0" w:space="0" w:color="auto"/>
      </w:divBdr>
    </w:div>
    <w:div w:id="1026638782">
      <w:bodyDiv w:val="1"/>
      <w:marLeft w:val="0"/>
      <w:marRight w:val="0"/>
      <w:marTop w:val="0"/>
      <w:marBottom w:val="0"/>
      <w:divBdr>
        <w:top w:val="none" w:sz="0" w:space="0" w:color="auto"/>
        <w:left w:val="none" w:sz="0" w:space="0" w:color="auto"/>
        <w:bottom w:val="none" w:sz="0" w:space="0" w:color="auto"/>
        <w:right w:val="none" w:sz="0" w:space="0" w:color="auto"/>
      </w:divBdr>
    </w:div>
    <w:div w:id="1027486889">
      <w:bodyDiv w:val="1"/>
      <w:marLeft w:val="0"/>
      <w:marRight w:val="0"/>
      <w:marTop w:val="0"/>
      <w:marBottom w:val="0"/>
      <w:divBdr>
        <w:top w:val="none" w:sz="0" w:space="0" w:color="auto"/>
        <w:left w:val="none" w:sz="0" w:space="0" w:color="auto"/>
        <w:bottom w:val="none" w:sz="0" w:space="0" w:color="auto"/>
        <w:right w:val="none" w:sz="0" w:space="0" w:color="auto"/>
      </w:divBdr>
    </w:div>
    <w:div w:id="1029601169">
      <w:bodyDiv w:val="1"/>
      <w:marLeft w:val="0"/>
      <w:marRight w:val="0"/>
      <w:marTop w:val="0"/>
      <w:marBottom w:val="0"/>
      <w:divBdr>
        <w:top w:val="none" w:sz="0" w:space="0" w:color="auto"/>
        <w:left w:val="none" w:sz="0" w:space="0" w:color="auto"/>
        <w:bottom w:val="none" w:sz="0" w:space="0" w:color="auto"/>
        <w:right w:val="none" w:sz="0" w:space="0" w:color="auto"/>
      </w:divBdr>
    </w:div>
    <w:div w:id="1033843544">
      <w:bodyDiv w:val="1"/>
      <w:marLeft w:val="0"/>
      <w:marRight w:val="0"/>
      <w:marTop w:val="0"/>
      <w:marBottom w:val="0"/>
      <w:divBdr>
        <w:top w:val="none" w:sz="0" w:space="0" w:color="auto"/>
        <w:left w:val="none" w:sz="0" w:space="0" w:color="auto"/>
        <w:bottom w:val="none" w:sz="0" w:space="0" w:color="auto"/>
        <w:right w:val="none" w:sz="0" w:space="0" w:color="auto"/>
      </w:divBdr>
    </w:div>
    <w:div w:id="1034185543">
      <w:bodyDiv w:val="1"/>
      <w:marLeft w:val="0"/>
      <w:marRight w:val="0"/>
      <w:marTop w:val="0"/>
      <w:marBottom w:val="0"/>
      <w:divBdr>
        <w:top w:val="none" w:sz="0" w:space="0" w:color="auto"/>
        <w:left w:val="none" w:sz="0" w:space="0" w:color="auto"/>
        <w:bottom w:val="none" w:sz="0" w:space="0" w:color="auto"/>
        <w:right w:val="none" w:sz="0" w:space="0" w:color="auto"/>
      </w:divBdr>
    </w:div>
    <w:div w:id="1036392168">
      <w:bodyDiv w:val="1"/>
      <w:marLeft w:val="0"/>
      <w:marRight w:val="0"/>
      <w:marTop w:val="0"/>
      <w:marBottom w:val="0"/>
      <w:divBdr>
        <w:top w:val="none" w:sz="0" w:space="0" w:color="auto"/>
        <w:left w:val="none" w:sz="0" w:space="0" w:color="auto"/>
        <w:bottom w:val="none" w:sz="0" w:space="0" w:color="auto"/>
        <w:right w:val="none" w:sz="0" w:space="0" w:color="auto"/>
      </w:divBdr>
    </w:div>
    <w:div w:id="1039160355">
      <w:bodyDiv w:val="1"/>
      <w:marLeft w:val="0"/>
      <w:marRight w:val="0"/>
      <w:marTop w:val="0"/>
      <w:marBottom w:val="0"/>
      <w:divBdr>
        <w:top w:val="none" w:sz="0" w:space="0" w:color="auto"/>
        <w:left w:val="none" w:sz="0" w:space="0" w:color="auto"/>
        <w:bottom w:val="none" w:sz="0" w:space="0" w:color="auto"/>
        <w:right w:val="none" w:sz="0" w:space="0" w:color="auto"/>
      </w:divBdr>
    </w:div>
    <w:div w:id="1040086329">
      <w:bodyDiv w:val="1"/>
      <w:marLeft w:val="0"/>
      <w:marRight w:val="0"/>
      <w:marTop w:val="0"/>
      <w:marBottom w:val="0"/>
      <w:divBdr>
        <w:top w:val="none" w:sz="0" w:space="0" w:color="auto"/>
        <w:left w:val="none" w:sz="0" w:space="0" w:color="auto"/>
        <w:bottom w:val="none" w:sz="0" w:space="0" w:color="auto"/>
        <w:right w:val="none" w:sz="0" w:space="0" w:color="auto"/>
      </w:divBdr>
    </w:div>
    <w:div w:id="1040856127">
      <w:bodyDiv w:val="1"/>
      <w:marLeft w:val="0"/>
      <w:marRight w:val="0"/>
      <w:marTop w:val="0"/>
      <w:marBottom w:val="0"/>
      <w:divBdr>
        <w:top w:val="none" w:sz="0" w:space="0" w:color="auto"/>
        <w:left w:val="none" w:sz="0" w:space="0" w:color="auto"/>
        <w:bottom w:val="none" w:sz="0" w:space="0" w:color="auto"/>
        <w:right w:val="none" w:sz="0" w:space="0" w:color="auto"/>
      </w:divBdr>
    </w:div>
    <w:div w:id="1044676256">
      <w:bodyDiv w:val="1"/>
      <w:marLeft w:val="0"/>
      <w:marRight w:val="0"/>
      <w:marTop w:val="0"/>
      <w:marBottom w:val="0"/>
      <w:divBdr>
        <w:top w:val="none" w:sz="0" w:space="0" w:color="auto"/>
        <w:left w:val="none" w:sz="0" w:space="0" w:color="auto"/>
        <w:bottom w:val="none" w:sz="0" w:space="0" w:color="auto"/>
        <w:right w:val="none" w:sz="0" w:space="0" w:color="auto"/>
      </w:divBdr>
    </w:div>
    <w:div w:id="1046566070">
      <w:bodyDiv w:val="1"/>
      <w:marLeft w:val="0"/>
      <w:marRight w:val="0"/>
      <w:marTop w:val="0"/>
      <w:marBottom w:val="0"/>
      <w:divBdr>
        <w:top w:val="none" w:sz="0" w:space="0" w:color="auto"/>
        <w:left w:val="none" w:sz="0" w:space="0" w:color="auto"/>
        <w:bottom w:val="none" w:sz="0" w:space="0" w:color="auto"/>
        <w:right w:val="none" w:sz="0" w:space="0" w:color="auto"/>
      </w:divBdr>
    </w:div>
    <w:div w:id="1053848066">
      <w:bodyDiv w:val="1"/>
      <w:marLeft w:val="0"/>
      <w:marRight w:val="0"/>
      <w:marTop w:val="0"/>
      <w:marBottom w:val="0"/>
      <w:divBdr>
        <w:top w:val="none" w:sz="0" w:space="0" w:color="auto"/>
        <w:left w:val="none" w:sz="0" w:space="0" w:color="auto"/>
        <w:bottom w:val="none" w:sz="0" w:space="0" w:color="auto"/>
        <w:right w:val="none" w:sz="0" w:space="0" w:color="auto"/>
      </w:divBdr>
    </w:div>
    <w:div w:id="1054281586">
      <w:bodyDiv w:val="1"/>
      <w:marLeft w:val="0"/>
      <w:marRight w:val="0"/>
      <w:marTop w:val="0"/>
      <w:marBottom w:val="0"/>
      <w:divBdr>
        <w:top w:val="none" w:sz="0" w:space="0" w:color="auto"/>
        <w:left w:val="none" w:sz="0" w:space="0" w:color="auto"/>
        <w:bottom w:val="none" w:sz="0" w:space="0" w:color="auto"/>
        <w:right w:val="none" w:sz="0" w:space="0" w:color="auto"/>
      </w:divBdr>
    </w:div>
    <w:div w:id="1057782387">
      <w:bodyDiv w:val="1"/>
      <w:marLeft w:val="0"/>
      <w:marRight w:val="0"/>
      <w:marTop w:val="0"/>
      <w:marBottom w:val="0"/>
      <w:divBdr>
        <w:top w:val="none" w:sz="0" w:space="0" w:color="auto"/>
        <w:left w:val="none" w:sz="0" w:space="0" w:color="auto"/>
        <w:bottom w:val="none" w:sz="0" w:space="0" w:color="auto"/>
        <w:right w:val="none" w:sz="0" w:space="0" w:color="auto"/>
      </w:divBdr>
    </w:div>
    <w:div w:id="1069306845">
      <w:bodyDiv w:val="1"/>
      <w:marLeft w:val="0"/>
      <w:marRight w:val="0"/>
      <w:marTop w:val="0"/>
      <w:marBottom w:val="0"/>
      <w:divBdr>
        <w:top w:val="none" w:sz="0" w:space="0" w:color="auto"/>
        <w:left w:val="none" w:sz="0" w:space="0" w:color="auto"/>
        <w:bottom w:val="none" w:sz="0" w:space="0" w:color="auto"/>
        <w:right w:val="none" w:sz="0" w:space="0" w:color="auto"/>
      </w:divBdr>
    </w:div>
    <w:div w:id="1073309302">
      <w:bodyDiv w:val="1"/>
      <w:marLeft w:val="0"/>
      <w:marRight w:val="0"/>
      <w:marTop w:val="0"/>
      <w:marBottom w:val="0"/>
      <w:divBdr>
        <w:top w:val="none" w:sz="0" w:space="0" w:color="auto"/>
        <w:left w:val="none" w:sz="0" w:space="0" w:color="auto"/>
        <w:bottom w:val="none" w:sz="0" w:space="0" w:color="auto"/>
        <w:right w:val="none" w:sz="0" w:space="0" w:color="auto"/>
      </w:divBdr>
    </w:div>
    <w:div w:id="1082677276">
      <w:bodyDiv w:val="1"/>
      <w:marLeft w:val="0"/>
      <w:marRight w:val="0"/>
      <w:marTop w:val="0"/>
      <w:marBottom w:val="0"/>
      <w:divBdr>
        <w:top w:val="none" w:sz="0" w:space="0" w:color="auto"/>
        <w:left w:val="none" w:sz="0" w:space="0" w:color="auto"/>
        <w:bottom w:val="none" w:sz="0" w:space="0" w:color="auto"/>
        <w:right w:val="none" w:sz="0" w:space="0" w:color="auto"/>
      </w:divBdr>
    </w:div>
    <w:div w:id="1082946094">
      <w:bodyDiv w:val="1"/>
      <w:marLeft w:val="0"/>
      <w:marRight w:val="0"/>
      <w:marTop w:val="0"/>
      <w:marBottom w:val="0"/>
      <w:divBdr>
        <w:top w:val="none" w:sz="0" w:space="0" w:color="auto"/>
        <w:left w:val="none" w:sz="0" w:space="0" w:color="auto"/>
        <w:bottom w:val="none" w:sz="0" w:space="0" w:color="auto"/>
        <w:right w:val="none" w:sz="0" w:space="0" w:color="auto"/>
      </w:divBdr>
    </w:div>
    <w:div w:id="1083338748">
      <w:bodyDiv w:val="1"/>
      <w:marLeft w:val="0"/>
      <w:marRight w:val="0"/>
      <w:marTop w:val="0"/>
      <w:marBottom w:val="0"/>
      <w:divBdr>
        <w:top w:val="none" w:sz="0" w:space="0" w:color="auto"/>
        <w:left w:val="none" w:sz="0" w:space="0" w:color="auto"/>
        <w:bottom w:val="none" w:sz="0" w:space="0" w:color="auto"/>
        <w:right w:val="none" w:sz="0" w:space="0" w:color="auto"/>
      </w:divBdr>
    </w:div>
    <w:div w:id="1083448414">
      <w:bodyDiv w:val="1"/>
      <w:marLeft w:val="0"/>
      <w:marRight w:val="0"/>
      <w:marTop w:val="0"/>
      <w:marBottom w:val="0"/>
      <w:divBdr>
        <w:top w:val="none" w:sz="0" w:space="0" w:color="auto"/>
        <w:left w:val="none" w:sz="0" w:space="0" w:color="auto"/>
        <w:bottom w:val="none" w:sz="0" w:space="0" w:color="auto"/>
        <w:right w:val="none" w:sz="0" w:space="0" w:color="auto"/>
      </w:divBdr>
    </w:div>
    <w:div w:id="1085146797">
      <w:bodyDiv w:val="1"/>
      <w:marLeft w:val="0"/>
      <w:marRight w:val="0"/>
      <w:marTop w:val="0"/>
      <w:marBottom w:val="0"/>
      <w:divBdr>
        <w:top w:val="none" w:sz="0" w:space="0" w:color="auto"/>
        <w:left w:val="none" w:sz="0" w:space="0" w:color="auto"/>
        <w:bottom w:val="none" w:sz="0" w:space="0" w:color="auto"/>
        <w:right w:val="none" w:sz="0" w:space="0" w:color="auto"/>
      </w:divBdr>
    </w:div>
    <w:div w:id="1095857267">
      <w:bodyDiv w:val="1"/>
      <w:marLeft w:val="0"/>
      <w:marRight w:val="0"/>
      <w:marTop w:val="0"/>
      <w:marBottom w:val="0"/>
      <w:divBdr>
        <w:top w:val="none" w:sz="0" w:space="0" w:color="auto"/>
        <w:left w:val="none" w:sz="0" w:space="0" w:color="auto"/>
        <w:bottom w:val="none" w:sz="0" w:space="0" w:color="auto"/>
        <w:right w:val="none" w:sz="0" w:space="0" w:color="auto"/>
      </w:divBdr>
    </w:div>
    <w:div w:id="1100367866">
      <w:bodyDiv w:val="1"/>
      <w:marLeft w:val="0"/>
      <w:marRight w:val="0"/>
      <w:marTop w:val="0"/>
      <w:marBottom w:val="0"/>
      <w:divBdr>
        <w:top w:val="none" w:sz="0" w:space="0" w:color="auto"/>
        <w:left w:val="none" w:sz="0" w:space="0" w:color="auto"/>
        <w:bottom w:val="none" w:sz="0" w:space="0" w:color="auto"/>
        <w:right w:val="none" w:sz="0" w:space="0" w:color="auto"/>
      </w:divBdr>
    </w:div>
    <w:div w:id="1108163082">
      <w:bodyDiv w:val="1"/>
      <w:marLeft w:val="0"/>
      <w:marRight w:val="0"/>
      <w:marTop w:val="0"/>
      <w:marBottom w:val="0"/>
      <w:divBdr>
        <w:top w:val="none" w:sz="0" w:space="0" w:color="auto"/>
        <w:left w:val="none" w:sz="0" w:space="0" w:color="auto"/>
        <w:bottom w:val="none" w:sz="0" w:space="0" w:color="auto"/>
        <w:right w:val="none" w:sz="0" w:space="0" w:color="auto"/>
      </w:divBdr>
    </w:div>
    <w:div w:id="1115103626">
      <w:bodyDiv w:val="1"/>
      <w:marLeft w:val="0"/>
      <w:marRight w:val="0"/>
      <w:marTop w:val="0"/>
      <w:marBottom w:val="0"/>
      <w:divBdr>
        <w:top w:val="none" w:sz="0" w:space="0" w:color="auto"/>
        <w:left w:val="none" w:sz="0" w:space="0" w:color="auto"/>
        <w:bottom w:val="none" w:sz="0" w:space="0" w:color="auto"/>
        <w:right w:val="none" w:sz="0" w:space="0" w:color="auto"/>
      </w:divBdr>
    </w:div>
    <w:div w:id="1120218997">
      <w:bodyDiv w:val="1"/>
      <w:marLeft w:val="0"/>
      <w:marRight w:val="0"/>
      <w:marTop w:val="0"/>
      <w:marBottom w:val="0"/>
      <w:divBdr>
        <w:top w:val="none" w:sz="0" w:space="0" w:color="auto"/>
        <w:left w:val="none" w:sz="0" w:space="0" w:color="auto"/>
        <w:bottom w:val="none" w:sz="0" w:space="0" w:color="auto"/>
        <w:right w:val="none" w:sz="0" w:space="0" w:color="auto"/>
      </w:divBdr>
    </w:div>
    <w:div w:id="1125319100">
      <w:bodyDiv w:val="1"/>
      <w:marLeft w:val="0"/>
      <w:marRight w:val="0"/>
      <w:marTop w:val="0"/>
      <w:marBottom w:val="0"/>
      <w:divBdr>
        <w:top w:val="none" w:sz="0" w:space="0" w:color="auto"/>
        <w:left w:val="none" w:sz="0" w:space="0" w:color="auto"/>
        <w:bottom w:val="none" w:sz="0" w:space="0" w:color="auto"/>
        <w:right w:val="none" w:sz="0" w:space="0" w:color="auto"/>
      </w:divBdr>
    </w:div>
    <w:div w:id="1135565373">
      <w:bodyDiv w:val="1"/>
      <w:marLeft w:val="0"/>
      <w:marRight w:val="0"/>
      <w:marTop w:val="0"/>
      <w:marBottom w:val="0"/>
      <w:divBdr>
        <w:top w:val="none" w:sz="0" w:space="0" w:color="auto"/>
        <w:left w:val="none" w:sz="0" w:space="0" w:color="auto"/>
        <w:bottom w:val="none" w:sz="0" w:space="0" w:color="auto"/>
        <w:right w:val="none" w:sz="0" w:space="0" w:color="auto"/>
      </w:divBdr>
    </w:div>
    <w:div w:id="1142039573">
      <w:bodyDiv w:val="1"/>
      <w:marLeft w:val="0"/>
      <w:marRight w:val="0"/>
      <w:marTop w:val="0"/>
      <w:marBottom w:val="0"/>
      <w:divBdr>
        <w:top w:val="none" w:sz="0" w:space="0" w:color="auto"/>
        <w:left w:val="none" w:sz="0" w:space="0" w:color="auto"/>
        <w:bottom w:val="none" w:sz="0" w:space="0" w:color="auto"/>
        <w:right w:val="none" w:sz="0" w:space="0" w:color="auto"/>
      </w:divBdr>
    </w:div>
    <w:div w:id="1149174419">
      <w:bodyDiv w:val="1"/>
      <w:marLeft w:val="0"/>
      <w:marRight w:val="0"/>
      <w:marTop w:val="0"/>
      <w:marBottom w:val="0"/>
      <w:divBdr>
        <w:top w:val="none" w:sz="0" w:space="0" w:color="auto"/>
        <w:left w:val="none" w:sz="0" w:space="0" w:color="auto"/>
        <w:bottom w:val="none" w:sz="0" w:space="0" w:color="auto"/>
        <w:right w:val="none" w:sz="0" w:space="0" w:color="auto"/>
      </w:divBdr>
    </w:div>
    <w:div w:id="1150364029">
      <w:bodyDiv w:val="1"/>
      <w:marLeft w:val="0"/>
      <w:marRight w:val="0"/>
      <w:marTop w:val="0"/>
      <w:marBottom w:val="0"/>
      <w:divBdr>
        <w:top w:val="none" w:sz="0" w:space="0" w:color="auto"/>
        <w:left w:val="none" w:sz="0" w:space="0" w:color="auto"/>
        <w:bottom w:val="none" w:sz="0" w:space="0" w:color="auto"/>
        <w:right w:val="none" w:sz="0" w:space="0" w:color="auto"/>
      </w:divBdr>
    </w:div>
    <w:div w:id="1151214707">
      <w:bodyDiv w:val="1"/>
      <w:marLeft w:val="0"/>
      <w:marRight w:val="0"/>
      <w:marTop w:val="0"/>
      <w:marBottom w:val="0"/>
      <w:divBdr>
        <w:top w:val="none" w:sz="0" w:space="0" w:color="auto"/>
        <w:left w:val="none" w:sz="0" w:space="0" w:color="auto"/>
        <w:bottom w:val="none" w:sz="0" w:space="0" w:color="auto"/>
        <w:right w:val="none" w:sz="0" w:space="0" w:color="auto"/>
      </w:divBdr>
    </w:div>
    <w:div w:id="1159467476">
      <w:bodyDiv w:val="1"/>
      <w:marLeft w:val="0"/>
      <w:marRight w:val="0"/>
      <w:marTop w:val="0"/>
      <w:marBottom w:val="0"/>
      <w:divBdr>
        <w:top w:val="none" w:sz="0" w:space="0" w:color="auto"/>
        <w:left w:val="none" w:sz="0" w:space="0" w:color="auto"/>
        <w:bottom w:val="none" w:sz="0" w:space="0" w:color="auto"/>
        <w:right w:val="none" w:sz="0" w:space="0" w:color="auto"/>
      </w:divBdr>
    </w:div>
    <w:div w:id="1162507946">
      <w:bodyDiv w:val="1"/>
      <w:marLeft w:val="0"/>
      <w:marRight w:val="0"/>
      <w:marTop w:val="0"/>
      <w:marBottom w:val="0"/>
      <w:divBdr>
        <w:top w:val="none" w:sz="0" w:space="0" w:color="auto"/>
        <w:left w:val="none" w:sz="0" w:space="0" w:color="auto"/>
        <w:bottom w:val="none" w:sz="0" w:space="0" w:color="auto"/>
        <w:right w:val="none" w:sz="0" w:space="0" w:color="auto"/>
      </w:divBdr>
    </w:div>
    <w:div w:id="1166821245">
      <w:bodyDiv w:val="1"/>
      <w:marLeft w:val="0"/>
      <w:marRight w:val="0"/>
      <w:marTop w:val="0"/>
      <w:marBottom w:val="0"/>
      <w:divBdr>
        <w:top w:val="none" w:sz="0" w:space="0" w:color="auto"/>
        <w:left w:val="none" w:sz="0" w:space="0" w:color="auto"/>
        <w:bottom w:val="none" w:sz="0" w:space="0" w:color="auto"/>
        <w:right w:val="none" w:sz="0" w:space="0" w:color="auto"/>
      </w:divBdr>
    </w:div>
    <w:div w:id="1174883072">
      <w:bodyDiv w:val="1"/>
      <w:marLeft w:val="0"/>
      <w:marRight w:val="0"/>
      <w:marTop w:val="0"/>
      <w:marBottom w:val="0"/>
      <w:divBdr>
        <w:top w:val="none" w:sz="0" w:space="0" w:color="auto"/>
        <w:left w:val="none" w:sz="0" w:space="0" w:color="auto"/>
        <w:bottom w:val="none" w:sz="0" w:space="0" w:color="auto"/>
        <w:right w:val="none" w:sz="0" w:space="0" w:color="auto"/>
      </w:divBdr>
    </w:div>
    <w:div w:id="1184320746">
      <w:bodyDiv w:val="1"/>
      <w:marLeft w:val="0"/>
      <w:marRight w:val="0"/>
      <w:marTop w:val="0"/>
      <w:marBottom w:val="0"/>
      <w:divBdr>
        <w:top w:val="none" w:sz="0" w:space="0" w:color="auto"/>
        <w:left w:val="none" w:sz="0" w:space="0" w:color="auto"/>
        <w:bottom w:val="none" w:sz="0" w:space="0" w:color="auto"/>
        <w:right w:val="none" w:sz="0" w:space="0" w:color="auto"/>
      </w:divBdr>
    </w:div>
    <w:div w:id="1192449286">
      <w:bodyDiv w:val="1"/>
      <w:marLeft w:val="0"/>
      <w:marRight w:val="0"/>
      <w:marTop w:val="0"/>
      <w:marBottom w:val="0"/>
      <w:divBdr>
        <w:top w:val="none" w:sz="0" w:space="0" w:color="auto"/>
        <w:left w:val="none" w:sz="0" w:space="0" w:color="auto"/>
        <w:bottom w:val="none" w:sz="0" w:space="0" w:color="auto"/>
        <w:right w:val="none" w:sz="0" w:space="0" w:color="auto"/>
      </w:divBdr>
    </w:div>
    <w:div w:id="1197739773">
      <w:bodyDiv w:val="1"/>
      <w:marLeft w:val="0"/>
      <w:marRight w:val="0"/>
      <w:marTop w:val="0"/>
      <w:marBottom w:val="0"/>
      <w:divBdr>
        <w:top w:val="none" w:sz="0" w:space="0" w:color="auto"/>
        <w:left w:val="none" w:sz="0" w:space="0" w:color="auto"/>
        <w:bottom w:val="none" w:sz="0" w:space="0" w:color="auto"/>
        <w:right w:val="none" w:sz="0" w:space="0" w:color="auto"/>
      </w:divBdr>
    </w:div>
    <w:div w:id="1198542515">
      <w:bodyDiv w:val="1"/>
      <w:marLeft w:val="0"/>
      <w:marRight w:val="0"/>
      <w:marTop w:val="0"/>
      <w:marBottom w:val="0"/>
      <w:divBdr>
        <w:top w:val="none" w:sz="0" w:space="0" w:color="auto"/>
        <w:left w:val="none" w:sz="0" w:space="0" w:color="auto"/>
        <w:bottom w:val="none" w:sz="0" w:space="0" w:color="auto"/>
        <w:right w:val="none" w:sz="0" w:space="0" w:color="auto"/>
      </w:divBdr>
    </w:div>
    <w:div w:id="1200513979">
      <w:bodyDiv w:val="1"/>
      <w:marLeft w:val="0"/>
      <w:marRight w:val="0"/>
      <w:marTop w:val="0"/>
      <w:marBottom w:val="0"/>
      <w:divBdr>
        <w:top w:val="none" w:sz="0" w:space="0" w:color="auto"/>
        <w:left w:val="none" w:sz="0" w:space="0" w:color="auto"/>
        <w:bottom w:val="none" w:sz="0" w:space="0" w:color="auto"/>
        <w:right w:val="none" w:sz="0" w:space="0" w:color="auto"/>
      </w:divBdr>
    </w:div>
    <w:div w:id="1205018740">
      <w:bodyDiv w:val="1"/>
      <w:marLeft w:val="0"/>
      <w:marRight w:val="0"/>
      <w:marTop w:val="0"/>
      <w:marBottom w:val="0"/>
      <w:divBdr>
        <w:top w:val="none" w:sz="0" w:space="0" w:color="auto"/>
        <w:left w:val="none" w:sz="0" w:space="0" w:color="auto"/>
        <w:bottom w:val="none" w:sz="0" w:space="0" w:color="auto"/>
        <w:right w:val="none" w:sz="0" w:space="0" w:color="auto"/>
      </w:divBdr>
    </w:div>
    <w:div w:id="1205168660">
      <w:bodyDiv w:val="1"/>
      <w:marLeft w:val="0"/>
      <w:marRight w:val="0"/>
      <w:marTop w:val="0"/>
      <w:marBottom w:val="0"/>
      <w:divBdr>
        <w:top w:val="none" w:sz="0" w:space="0" w:color="auto"/>
        <w:left w:val="none" w:sz="0" w:space="0" w:color="auto"/>
        <w:bottom w:val="none" w:sz="0" w:space="0" w:color="auto"/>
        <w:right w:val="none" w:sz="0" w:space="0" w:color="auto"/>
      </w:divBdr>
    </w:div>
    <w:div w:id="1205561004">
      <w:bodyDiv w:val="1"/>
      <w:marLeft w:val="0"/>
      <w:marRight w:val="0"/>
      <w:marTop w:val="0"/>
      <w:marBottom w:val="0"/>
      <w:divBdr>
        <w:top w:val="none" w:sz="0" w:space="0" w:color="auto"/>
        <w:left w:val="none" w:sz="0" w:space="0" w:color="auto"/>
        <w:bottom w:val="none" w:sz="0" w:space="0" w:color="auto"/>
        <w:right w:val="none" w:sz="0" w:space="0" w:color="auto"/>
      </w:divBdr>
    </w:div>
    <w:div w:id="1221283283">
      <w:bodyDiv w:val="1"/>
      <w:marLeft w:val="0"/>
      <w:marRight w:val="0"/>
      <w:marTop w:val="0"/>
      <w:marBottom w:val="0"/>
      <w:divBdr>
        <w:top w:val="none" w:sz="0" w:space="0" w:color="auto"/>
        <w:left w:val="none" w:sz="0" w:space="0" w:color="auto"/>
        <w:bottom w:val="none" w:sz="0" w:space="0" w:color="auto"/>
        <w:right w:val="none" w:sz="0" w:space="0" w:color="auto"/>
      </w:divBdr>
    </w:div>
    <w:div w:id="1224174204">
      <w:bodyDiv w:val="1"/>
      <w:marLeft w:val="0"/>
      <w:marRight w:val="0"/>
      <w:marTop w:val="0"/>
      <w:marBottom w:val="0"/>
      <w:divBdr>
        <w:top w:val="none" w:sz="0" w:space="0" w:color="auto"/>
        <w:left w:val="none" w:sz="0" w:space="0" w:color="auto"/>
        <w:bottom w:val="none" w:sz="0" w:space="0" w:color="auto"/>
        <w:right w:val="none" w:sz="0" w:space="0" w:color="auto"/>
      </w:divBdr>
    </w:div>
    <w:div w:id="1225531257">
      <w:bodyDiv w:val="1"/>
      <w:marLeft w:val="0"/>
      <w:marRight w:val="0"/>
      <w:marTop w:val="0"/>
      <w:marBottom w:val="0"/>
      <w:divBdr>
        <w:top w:val="none" w:sz="0" w:space="0" w:color="auto"/>
        <w:left w:val="none" w:sz="0" w:space="0" w:color="auto"/>
        <w:bottom w:val="none" w:sz="0" w:space="0" w:color="auto"/>
        <w:right w:val="none" w:sz="0" w:space="0" w:color="auto"/>
      </w:divBdr>
    </w:div>
    <w:div w:id="1228419190">
      <w:bodyDiv w:val="1"/>
      <w:marLeft w:val="0"/>
      <w:marRight w:val="0"/>
      <w:marTop w:val="0"/>
      <w:marBottom w:val="0"/>
      <w:divBdr>
        <w:top w:val="none" w:sz="0" w:space="0" w:color="auto"/>
        <w:left w:val="none" w:sz="0" w:space="0" w:color="auto"/>
        <w:bottom w:val="none" w:sz="0" w:space="0" w:color="auto"/>
        <w:right w:val="none" w:sz="0" w:space="0" w:color="auto"/>
      </w:divBdr>
    </w:div>
    <w:div w:id="1228953960">
      <w:bodyDiv w:val="1"/>
      <w:marLeft w:val="0"/>
      <w:marRight w:val="0"/>
      <w:marTop w:val="0"/>
      <w:marBottom w:val="0"/>
      <w:divBdr>
        <w:top w:val="none" w:sz="0" w:space="0" w:color="auto"/>
        <w:left w:val="none" w:sz="0" w:space="0" w:color="auto"/>
        <w:bottom w:val="none" w:sz="0" w:space="0" w:color="auto"/>
        <w:right w:val="none" w:sz="0" w:space="0" w:color="auto"/>
      </w:divBdr>
    </w:div>
    <w:div w:id="1228960532">
      <w:bodyDiv w:val="1"/>
      <w:marLeft w:val="0"/>
      <w:marRight w:val="0"/>
      <w:marTop w:val="0"/>
      <w:marBottom w:val="0"/>
      <w:divBdr>
        <w:top w:val="none" w:sz="0" w:space="0" w:color="auto"/>
        <w:left w:val="none" w:sz="0" w:space="0" w:color="auto"/>
        <w:bottom w:val="none" w:sz="0" w:space="0" w:color="auto"/>
        <w:right w:val="none" w:sz="0" w:space="0" w:color="auto"/>
      </w:divBdr>
    </w:div>
    <w:div w:id="1233199263">
      <w:bodyDiv w:val="1"/>
      <w:marLeft w:val="0"/>
      <w:marRight w:val="0"/>
      <w:marTop w:val="0"/>
      <w:marBottom w:val="0"/>
      <w:divBdr>
        <w:top w:val="none" w:sz="0" w:space="0" w:color="auto"/>
        <w:left w:val="none" w:sz="0" w:space="0" w:color="auto"/>
        <w:bottom w:val="none" w:sz="0" w:space="0" w:color="auto"/>
        <w:right w:val="none" w:sz="0" w:space="0" w:color="auto"/>
      </w:divBdr>
    </w:div>
    <w:div w:id="1234318330">
      <w:bodyDiv w:val="1"/>
      <w:marLeft w:val="0"/>
      <w:marRight w:val="0"/>
      <w:marTop w:val="0"/>
      <w:marBottom w:val="0"/>
      <w:divBdr>
        <w:top w:val="none" w:sz="0" w:space="0" w:color="auto"/>
        <w:left w:val="none" w:sz="0" w:space="0" w:color="auto"/>
        <w:bottom w:val="none" w:sz="0" w:space="0" w:color="auto"/>
        <w:right w:val="none" w:sz="0" w:space="0" w:color="auto"/>
      </w:divBdr>
    </w:div>
    <w:div w:id="1238174751">
      <w:bodyDiv w:val="1"/>
      <w:marLeft w:val="0"/>
      <w:marRight w:val="0"/>
      <w:marTop w:val="0"/>
      <w:marBottom w:val="0"/>
      <w:divBdr>
        <w:top w:val="none" w:sz="0" w:space="0" w:color="auto"/>
        <w:left w:val="none" w:sz="0" w:space="0" w:color="auto"/>
        <w:bottom w:val="none" w:sz="0" w:space="0" w:color="auto"/>
        <w:right w:val="none" w:sz="0" w:space="0" w:color="auto"/>
      </w:divBdr>
    </w:div>
    <w:div w:id="1239173439">
      <w:bodyDiv w:val="1"/>
      <w:marLeft w:val="0"/>
      <w:marRight w:val="0"/>
      <w:marTop w:val="0"/>
      <w:marBottom w:val="0"/>
      <w:divBdr>
        <w:top w:val="none" w:sz="0" w:space="0" w:color="auto"/>
        <w:left w:val="none" w:sz="0" w:space="0" w:color="auto"/>
        <w:bottom w:val="none" w:sz="0" w:space="0" w:color="auto"/>
        <w:right w:val="none" w:sz="0" w:space="0" w:color="auto"/>
      </w:divBdr>
    </w:div>
    <w:div w:id="1240486846">
      <w:bodyDiv w:val="1"/>
      <w:marLeft w:val="0"/>
      <w:marRight w:val="0"/>
      <w:marTop w:val="0"/>
      <w:marBottom w:val="0"/>
      <w:divBdr>
        <w:top w:val="none" w:sz="0" w:space="0" w:color="auto"/>
        <w:left w:val="none" w:sz="0" w:space="0" w:color="auto"/>
        <w:bottom w:val="none" w:sz="0" w:space="0" w:color="auto"/>
        <w:right w:val="none" w:sz="0" w:space="0" w:color="auto"/>
      </w:divBdr>
    </w:div>
    <w:div w:id="1253583359">
      <w:bodyDiv w:val="1"/>
      <w:marLeft w:val="0"/>
      <w:marRight w:val="0"/>
      <w:marTop w:val="0"/>
      <w:marBottom w:val="0"/>
      <w:divBdr>
        <w:top w:val="none" w:sz="0" w:space="0" w:color="auto"/>
        <w:left w:val="none" w:sz="0" w:space="0" w:color="auto"/>
        <w:bottom w:val="none" w:sz="0" w:space="0" w:color="auto"/>
        <w:right w:val="none" w:sz="0" w:space="0" w:color="auto"/>
      </w:divBdr>
    </w:div>
    <w:div w:id="1253661668">
      <w:bodyDiv w:val="1"/>
      <w:marLeft w:val="0"/>
      <w:marRight w:val="0"/>
      <w:marTop w:val="0"/>
      <w:marBottom w:val="0"/>
      <w:divBdr>
        <w:top w:val="none" w:sz="0" w:space="0" w:color="auto"/>
        <w:left w:val="none" w:sz="0" w:space="0" w:color="auto"/>
        <w:bottom w:val="none" w:sz="0" w:space="0" w:color="auto"/>
        <w:right w:val="none" w:sz="0" w:space="0" w:color="auto"/>
      </w:divBdr>
    </w:div>
    <w:div w:id="1256859151">
      <w:bodyDiv w:val="1"/>
      <w:marLeft w:val="0"/>
      <w:marRight w:val="0"/>
      <w:marTop w:val="0"/>
      <w:marBottom w:val="0"/>
      <w:divBdr>
        <w:top w:val="none" w:sz="0" w:space="0" w:color="auto"/>
        <w:left w:val="none" w:sz="0" w:space="0" w:color="auto"/>
        <w:bottom w:val="none" w:sz="0" w:space="0" w:color="auto"/>
        <w:right w:val="none" w:sz="0" w:space="0" w:color="auto"/>
      </w:divBdr>
    </w:div>
    <w:div w:id="1263418828">
      <w:bodyDiv w:val="1"/>
      <w:marLeft w:val="0"/>
      <w:marRight w:val="0"/>
      <w:marTop w:val="0"/>
      <w:marBottom w:val="0"/>
      <w:divBdr>
        <w:top w:val="none" w:sz="0" w:space="0" w:color="auto"/>
        <w:left w:val="none" w:sz="0" w:space="0" w:color="auto"/>
        <w:bottom w:val="none" w:sz="0" w:space="0" w:color="auto"/>
        <w:right w:val="none" w:sz="0" w:space="0" w:color="auto"/>
      </w:divBdr>
    </w:div>
    <w:div w:id="1269506032">
      <w:bodyDiv w:val="1"/>
      <w:marLeft w:val="0"/>
      <w:marRight w:val="0"/>
      <w:marTop w:val="0"/>
      <w:marBottom w:val="0"/>
      <w:divBdr>
        <w:top w:val="none" w:sz="0" w:space="0" w:color="auto"/>
        <w:left w:val="none" w:sz="0" w:space="0" w:color="auto"/>
        <w:bottom w:val="none" w:sz="0" w:space="0" w:color="auto"/>
        <w:right w:val="none" w:sz="0" w:space="0" w:color="auto"/>
      </w:divBdr>
    </w:div>
    <w:div w:id="1271670473">
      <w:bodyDiv w:val="1"/>
      <w:marLeft w:val="0"/>
      <w:marRight w:val="0"/>
      <w:marTop w:val="0"/>
      <w:marBottom w:val="0"/>
      <w:divBdr>
        <w:top w:val="none" w:sz="0" w:space="0" w:color="auto"/>
        <w:left w:val="none" w:sz="0" w:space="0" w:color="auto"/>
        <w:bottom w:val="none" w:sz="0" w:space="0" w:color="auto"/>
        <w:right w:val="none" w:sz="0" w:space="0" w:color="auto"/>
      </w:divBdr>
    </w:div>
    <w:div w:id="1284925309">
      <w:bodyDiv w:val="1"/>
      <w:marLeft w:val="0"/>
      <w:marRight w:val="0"/>
      <w:marTop w:val="0"/>
      <w:marBottom w:val="0"/>
      <w:divBdr>
        <w:top w:val="none" w:sz="0" w:space="0" w:color="auto"/>
        <w:left w:val="none" w:sz="0" w:space="0" w:color="auto"/>
        <w:bottom w:val="none" w:sz="0" w:space="0" w:color="auto"/>
        <w:right w:val="none" w:sz="0" w:space="0" w:color="auto"/>
      </w:divBdr>
    </w:div>
    <w:div w:id="1285959319">
      <w:bodyDiv w:val="1"/>
      <w:marLeft w:val="0"/>
      <w:marRight w:val="0"/>
      <w:marTop w:val="0"/>
      <w:marBottom w:val="0"/>
      <w:divBdr>
        <w:top w:val="none" w:sz="0" w:space="0" w:color="auto"/>
        <w:left w:val="none" w:sz="0" w:space="0" w:color="auto"/>
        <w:bottom w:val="none" w:sz="0" w:space="0" w:color="auto"/>
        <w:right w:val="none" w:sz="0" w:space="0" w:color="auto"/>
      </w:divBdr>
    </w:div>
    <w:div w:id="1286543734">
      <w:bodyDiv w:val="1"/>
      <w:marLeft w:val="0"/>
      <w:marRight w:val="0"/>
      <w:marTop w:val="0"/>
      <w:marBottom w:val="0"/>
      <w:divBdr>
        <w:top w:val="none" w:sz="0" w:space="0" w:color="auto"/>
        <w:left w:val="none" w:sz="0" w:space="0" w:color="auto"/>
        <w:bottom w:val="none" w:sz="0" w:space="0" w:color="auto"/>
        <w:right w:val="none" w:sz="0" w:space="0" w:color="auto"/>
      </w:divBdr>
    </w:div>
    <w:div w:id="1293168353">
      <w:bodyDiv w:val="1"/>
      <w:marLeft w:val="0"/>
      <w:marRight w:val="0"/>
      <w:marTop w:val="0"/>
      <w:marBottom w:val="0"/>
      <w:divBdr>
        <w:top w:val="none" w:sz="0" w:space="0" w:color="auto"/>
        <w:left w:val="none" w:sz="0" w:space="0" w:color="auto"/>
        <w:bottom w:val="none" w:sz="0" w:space="0" w:color="auto"/>
        <w:right w:val="none" w:sz="0" w:space="0" w:color="auto"/>
      </w:divBdr>
    </w:div>
    <w:div w:id="1293637695">
      <w:bodyDiv w:val="1"/>
      <w:marLeft w:val="0"/>
      <w:marRight w:val="0"/>
      <w:marTop w:val="0"/>
      <w:marBottom w:val="0"/>
      <w:divBdr>
        <w:top w:val="none" w:sz="0" w:space="0" w:color="auto"/>
        <w:left w:val="none" w:sz="0" w:space="0" w:color="auto"/>
        <w:bottom w:val="none" w:sz="0" w:space="0" w:color="auto"/>
        <w:right w:val="none" w:sz="0" w:space="0" w:color="auto"/>
      </w:divBdr>
    </w:div>
    <w:div w:id="1293829553">
      <w:bodyDiv w:val="1"/>
      <w:marLeft w:val="0"/>
      <w:marRight w:val="0"/>
      <w:marTop w:val="0"/>
      <w:marBottom w:val="0"/>
      <w:divBdr>
        <w:top w:val="none" w:sz="0" w:space="0" w:color="auto"/>
        <w:left w:val="none" w:sz="0" w:space="0" w:color="auto"/>
        <w:bottom w:val="none" w:sz="0" w:space="0" w:color="auto"/>
        <w:right w:val="none" w:sz="0" w:space="0" w:color="auto"/>
      </w:divBdr>
    </w:div>
    <w:div w:id="1294367804">
      <w:bodyDiv w:val="1"/>
      <w:marLeft w:val="0"/>
      <w:marRight w:val="0"/>
      <w:marTop w:val="0"/>
      <w:marBottom w:val="0"/>
      <w:divBdr>
        <w:top w:val="none" w:sz="0" w:space="0" w:color="auto"/>
        <w:left w:val="none" w:sz="0" w:space="0" w:color="auto"/>
        <w:bottom w:val="none" w:sz="0" w:space="0" w:color="auto"/>
        <w:right w:val="none" w:sz="0" w:space="0" w:color="auto"/>
      </w:divBdr>
    </w:div>
    <w:div w:id="1300304613">
      <w:bodyDiv w:val="1"/>
      <w:marLeft w:val="0"/>
      <w:marRight w:val="0"/>
      <w:marTop w:val="0"/>
      <w:marBottom w:val="0"/>
      <w:divBdr>
        <w:top w:val="none" w:sz="0" w:space="0" w:color="auto"/>
        <w:left w:val="none" w:sz="0" w:space="0" w:color="auto"/>
        <w:bottom w:val="none" w:sz="0" w:space="0" w:color="auto"/>
        <w:right w:val="none" w:sz="0" w:space="0" w:color="auto"/>
      </w:divBdr>
    </w:div>
    <w:div w:id="1303733981">
      <w:bodyDiv w:val="1"/>
      <w:marLeft w:val="0"/>
      <w:marRight w:val="0"/>
      <w:marTop w:val="0"/>
      <w:marBottom w:val="0"/>
      <w:divBdr>
        <w:top w:val="none" w:sz="0" w:space="0" w:color="auto"/>
        <w:left w:val="none" w:sz="0" w:space="0" w:color="auto"/>
        <w:bottom w:val="none" w:sz="0" w:space="0" w:color="auto"/>
        <w:right w:val="none" w:sz="0" w:space="0" w:color="auto"/>
      </w:divBdr>
    </w:div>
    <w:div w:id="1304194293">
      <w:bodyDiv w:val="1"/>
      <w:marLeft w:val="0"/>
      <w:marRight w:val="0"/>
      <w:marTop w:val="0"/>
      <w:marBottom w:val="0"/>
      <w:divBdr>
        <w:top w:val="none" w:sz="0" w:space="0" w:color="auto"/>
        <w:left w:val="none" w:sz="0" w:space="0" w:color="auto"/>
        <w:bottom w:val="none" w:sz="0" w:space="0" w:color="auto"/>
        <w:right w:val="none" w:sz="0" w:space="0" w:color="auto"/>
      </w:divBdr>
    </w:div>
    <w:div w:id="1304239145">
      <w:bodyDiv w:val="1"/>
      <w:marLeft w:val="0"/>
      <w:marRight w:val="0"/>
      <w:marTop w:val="0"/>
      <w:marBottom w:val="0"/>
      <w:divBdr>
        <w:top w:val="none" w:sz="0" w:space="0" w:color="auto"/>
        <w:left w:val="none" w:sz="0" w:space="0" w:color="auto"/>
        <w:bottom w:val="none" w:sz="0" w:space="0" w:color="auto"/>
        <w:right w:val="none" w:sz="0" w:space="0" w:color="auto"/>
      </w:divBdr>
    </w:div>
    <w:div w:id="1307589565">
      <w:bodyDiv w:val="1"/>
      <w:marLeft w:val="0"/>
      <w:marRight w:val="0"/>
      <w:marTop w:val="0"/>
      <w:marBottom w:val="0"/>
      <w:divBdr>
        <w:top w:val="none" w:sz="0" w:space="0" w:color="auto"/>
        <w:left w:val="none" w:sz="0" w:space="0" w:color="auto"/>
        <w:bottom w:val="none" w:sz="0" w:space="0" w:color="auto"/>
        <w:right w:val="none" w:sz="0" w:space="0" w:color="auto"/>
      </w:divBdr>
    </w:div>
    <w:div w:id="1308974226">
      <w:bodyDiv w:val="1"/>
      <w:marLeft w:val="0"/>
      <w:marRight w:val="0"/>
      <w:marTop w:val="0"/>
      <w:marBottom w:val="0"/>
      <w:divBdr>
        <w:top w:val="none" w:sz="0" w:space="0" w:color="auto"/>
        <w:left w:val="none" w:sz="0" w:space="0" w:color="auto"/>
        <w:bottom w:val="none" w:sz="0" w:space="0" w:color="auto"/>
        <w:right w:val="none" w:sz="0" w:space="0" w:color="auto"/>
      </w:divBdr>
    </w:div>
    <w:div w:id="1316184060">
      <w:bodyDiv w:val="1"/>
      <w:marLeft w:val="0"/>
      <w:marRight w:val="0"/>
      <w:marTop w:val="0"/>
      <w:marBottom w:val="0"/>
      <w:divBdr>
        <w:top w:val="none" w:sz="0" w:space="0" w:color="auto"/>
        <w:left w:val="none" w:sz="0" w:space="0" w:color="auto"/>
        <w:bottom w:val="none" w:sz="0" w:space="0" w:color="auto"/>
        <w:right w:val="none" w:sz="0" w:space="0" w:color="auto"/>
      </w:divBdr>
    </w:div>
    <w:div w:id="1322201532">
      <w:bodyDiv w:val="1"/>
      <w:marLeft w:val="0"/>
      <w:marRight w:val="0"/>
      <w:marTop w:val="0"/>
      <w:marBottom w:val="0"/>
      <w:divBdr>
        <w:top w:val="none" w:sz="0" w:space="0" w:color="auto"/>
        <w:left w:val="none" w:sz="0" w:space="0" w:color="auto"/>
        <w:bottom w:val="none" w:sz="0" w:space="0" w:color="auto"/>
        <w:right w:val="none" w:sz="0" w:space="0" w:color="auto"/>
      </w:divBdr>
    </w:div>
    <w:div w:id="1322393776">
      <w:bodyDiv w:val="1"/>
      <w:marLeft w:val="0"/>
      <w:marRight w:val="0"/>
      <w:marTop w:val="0"/>
      <w:marBottom w:val="0"/>
      <w:divBdr>
        <w:top w:val="none" w:sz="0" w:space="0" w:color="auto"/>
        <w:left w:val="none" w:sz="0" w:space="0" w:color="auto"/>
        <w:bottom w:val="none" w:sz="0" w:space="0" w:color="auto"/>
        <w:right w:val="none" w:sz="0" w:space="0" w:color="auto"/>
      </w:divBdr>
    </w:div>
    <w:div w:id="1322810641">
      <w:bodyDiv w:val="1"/>
      <w:marLeft w:val="0"/>
      <w:marRight w:val="0"/>
      <w:marTop w:val="0"/>
      <w:marBottom w:val="0"/>
      <w:divBdr>
        <w:top w:val="none" w:sz="0" w:space="0" w:color="auto"/>
        <w:left w:val="none" w:sz="0" w:space="0" w:color="auto"/>
        <w:bottom w:val="none" w:sz="0" w:space="0" w:color="auto"/>
        <w:right w:val="none" w:sz="0" w:space="0" w:color="auto"/>
      </w:divBdr>
    </w:div>
    <w:div w:id="1330254518">
      <w:bodyDiv w:val="1"/>
      <w:marLeft w:val="0"/>
      <w:marRight w:val="0"/>
      <w:marTop w:val="0"/>
      <w:marBottom w:val="0"/>
      <w:divBdr>
        <w:top w:val="none" w:sz="0" w:space="0" w:color="auto"/>
        <w:left w:val="none" w:sz="0" w:space="0" w:color="auto"/>
        <w:bottom w:val="none" w:sz="0" w:space="0" w:color="auto"/>
        <w:right w:val="none" w:sz="0" w:space="0" w:color="auto"/>
      </w:divBdr>
    </w:div>
    <w:div w:id="1330401938">
      <w:bodyDiv w:val="1"/>
      <w:marLeft w:val="0"/>
      <w:marRight w:val="0"/>
      <w:marTop w:val="0"/>
      <w:marBottom w:val="0"/>
      <w:divBdr>
        <w:top w:val="none" w:sz="0" w:space="0" w:color="auto"/>
        <w:left w:val="none" w:sz="0" w:space="0" w:color="auto"/>
        <w:bottom w:val="none" w:sz="0" w:space="0" w:color="auto"/>
        <w:right w:val="none" w:sz="0" w:space="0" w:color="auto"/>
      </w:divBdr>
    </w:div>
    <w:div w:id="1330912209">
      <w:bodyDiv w:val="1"/>
      <w:marLeft w:val="0"/>
      <w:marRight w:val="0"/>
      <w:marTop w:val="0"/>
      <w:marBottom w:val="0"/>
      <w:divBdr>
        <w:top w:val="none" w:sz="0" w:space="0" w:color="auto"/>
        <w:left w:val="none" w:sz="0" w:space="0" w:color="auto"/>
        <w:bottom w:val="none" w:sz="0" w:space="0" w:color="auto"/>
        <w:right w:val="none" w:sz="0" w:space="0" w:color="auto"/>
      </w:divBdr>
    </w:div>
    <w:div w:id="1331759821">
      <w:bodyDiv w:val="1"/>
      <w:marLeft w:val="0"/>
      <w:marRight w:val="0"/>
      <w:marTop w:val="0"/>
      <w:marBottom w:val="0"/>
      <w:divBdr>
        <w:top w:val="none" w:sz="0" w:space="0" w:color="auto"/>
        <w:left w:val="none" w:sz="0" w:space="0" w:color="auto"/>
        <w:bottom w:val="none" w:sz="0" w:space="0" w:color="auto"/>
        <w:right w:val="none" w:sz="0" w:space="0" w:color="auto"/>
      </w:divBdr>
    </w:div>
    <w:div w:id="1332492246">
      <w:bodyDiv w:val="1"/>
      <w:marLeft w:val="0"/>
      <w:marRight w:val="0"/>
      <w:marTop w:val="0"/>
      <w:marBottom w:val="0"/>
      <w:divBdr>
        <w:top w:val="none" w:sz="0" w:space="0" w:color="auto"/>
        <w:left w:val="none" w:sz="0" w:space="0" w:color="auto"/>
        <w:bottom w:val="none" w:sz="0" w:space="0" w:color="auto"/>
        <w:right w:val="none" w:sz="0" w:space="0" w:color="auto"/>
      </w:divBdr>
    </w:div>
    <w:div w:id="1333992165">
      <w:bodyDiv w:val="1"/>
      <w:marLeft w:val="0"/>
      <w:marRight w:val="0"/>
      <w:marTop w:val="0"/>
      <w:marBottom w:val="0"/>
      <w:divBdr>
        <w:top w:val="none" w:sz="0" w:space="0" w:color="auto"/>
        <w:left w:val="none" w:sz="0" w:space="0" w:color="auto"/>
        <w:bottom w:val="none" w:sz="0" w:space="0" w:color="auto"/>
        <w:right w:val="none" w:sz="0" w:space="0" w:color="auto"/>
      </w:divBdr>
    </w:div>
    <w:div w:id="1339842768">
      <w:bodyDiv w:val="1"/>
      <w:marLeft w:val="0"/>
      <w:marRight w:val="0"/>
      <w:marTop w:val="0"/>
      <w:marBottom w:val="0"/>
      <w:divBdr>
        <w:top w:val="none" w:sz="0" w:space="0" w:color="auto"/>
        <w:left w:val="none" w:sz="0" w:space="0" w:color="auto"/>
        <w:bottom w:val="none" w:sz="0" w:space="0" w:color="auto"/>
        <w:right w:val="none" w:sz="0" w:space="0" w:color="auto"/>
      </w:divBdr>
    </w:div>
    <w:div w:id="1341741679">
      <w:bodyDiv w:val="1"/>
      <w:marLeft w:val="0"/>
      <w:marRight w:val="0"/>
      <w:marTop w:val="0"/>
      <w:marBottom w:val="0"/>
      <w:divBdr>
        <w:top w:val="none" w:sz="0" w:space="0" w:color="auto"/>
        <w:left w:val="none" w:sz="0" w:space="0" w:color="auto"/>
        <w:bottom w:val="none" w:sz="0" w:space="0" w:color="auto"/>
        <w:right w:val="none" w:sz="0" w:space="0" w:color="auto"/>
      </w:divBdr>
    </w:div>
    <w:div w:id="1342779821">
      <w:bodyDiv w:val="1"/>
      <w:marLeft w:val="0"/>
      <w:marRight w:val="0"/>
      <w:marTop w:val="0"/>
      <w:marBottom w:val="0"/>
      <w:divBdr>
        <w:top w:val="none" w:sz="0" w:space="0" w:color="auto"/>
        <w:left w:val="none" w:sz="0" w:space="0" w:color="auto"/>
        <w:bottom w:val="none" w:sz="0" w:space="0" w:color="auto"/>
        <w:right w:val="none" w:sz="0" w:space="0" w:color="auto"/>
      </w:divBdr>
    </w:div>
    <w:div w:id="1347903298">
      <w:bodyDiv w:val="1"/>
      <w:marLeft w:val="0"/>
      <w:marRight w:val="0"/>
      <w:marTop w:val="0"/>
      <w:marBottom w:val="0"/>
      <w:divBdr>
        <w:top w:val="none" w:sz="0" w:space="0" w:color="auto"/>
        <w:left w:val="none" w:sz="0" w:space="0" w:color="auto"/>
        <w:bottom w:val="none" w:sz="0" w:space="0" w:color="auto"/>
        <w:right w:val="none" w:sz="0" w:space="0" w:color="auto"/>
      </w:divBdr>
    </w:div>
    <w:div w:id="1351030954">
      <w:bodyDiv w:val="1"/>
      <w:marLeft w:val="0"/>
      <w:marRight w:val="0"/>
      <w:marTop w:val="0"/>
      <w:marBottom w:val="0"/>
      <w:divBdr>
        <w:top w:val="none" w:sz="0" w:space="0" w:color="auto"/>
        <w:left w:val="none" w:sz="0" w:space="0" w:color="auto"/>
        <w:bottom w:val="none" w:sz="0" w:space="0" w:color="auto"/>
        <w:right w:val="none" w:sz="0" w:space="0" w:color="auto"/>
      </w:divBdr>
    </w:div>
    <w:div w:id="1354184419">
      <w:bodyDiv w:val="1"/>
      <w:marLeft w:val="0"/>
      <w:marRight w:val="0"/>
      <w:marTop w:val="0"/>
      <w:marBottom w:val="0"/>
      <w:divBdr>
        <w:top w:val="none" w:sz="0" w:space="0" w:color="auto"/>
        <w:left w:val="none" w:sz="0" w:space="0" w:color="auto"/>
        <w:bottom w:val="none" w:sz="0" w:space="0" w:color="auto"/>
        <w:right w:val="none" w:sz="0" w:space="0" w:color="auto"/>
      </w:divBdr>
    </w:div>
    <w:div w:id="1360935382">
      <w:bodyDiv w:val="1"/>
      <w:marLeft w:val="0"/>
      <w:marRight w:val="0"/>
      <w:marTop w:val="0"/>
      <w:marBottom w:val="0"/>
      <w:divBdr>
        <w:top w:val="none" w:sz="0" w:space="0" w:color="auto"/>
        <w:left w:val="none" w:sz="0" w:space="0" w:color="auto"/>
        <w:bottom w:val="none" w:sz="0" w:space="0" w:color="auto"/>
        <w:right w:val="none" w:sz="0" w:space="0" w:color="auto"/>
      </w:divBdr>
    </w:div>
    <w:div w:id="1366056165">
      <w:bodyDiv w:val="1"/>
      <w:marLeft w:val="0"/>
      <w:marRight w:val="0"/>
      <w:marTop w:val="0"/>
      <w:marBottom w:val="0"/>
      <w:divBdr>
        <w:top w:val="none" w:sz="0" w:space="0" w:color="auto"/>
        <w:left w:val="none" w:sz="0" w:space="0" w:color="auto"/>
        <w:bottom w:val="none" w:sz="0" w:space="0" w:color="auto"/>
        <w:right w:val="none" w:sz="0" w:space="0" w:color="auto"/>
      </w:divBdr>
    </w:div>
    <w:div w:id="1370570682">
      <w:bodyDiv w:val="1"/>
      <w:marLeft w:val="0"/>
      <w:marRight w:val="0"/>
      <w:marTop w:val="0"/>
      <w:marBottom w:val="0"/>
      <w:divBdr>
        <w:top w:val="none" w:sz="0" w:space="0" w:color="auto"/>
        <w:left w:val="none" w:sz="0" w:space="0" w:color="auto"/>
        <w:bottom w:val="none" w:sz="0" w:space="0" w:color="auto"/>
        <w:right w:val="none" w:sz="0" w:space="0" w:color="auto"/>
      </w:divBdr>
    </w:div>
    <w:div w:id="1371804697">
      <w:bodyDiv w:val="1"/>
      <w:marLeft w:val="0"/>
      <w:marRight w:val="0"/>
      <w:marTop w:val="0"/>
      <w:marBottom w:val="0"/>
      <w:divBdr>
        <w:top w:val="none" w:sz="0" w:space="0" w:color="auto"/>
        <w:left w:val="none" w:sz="0" w:space="0" w:color="auto"/>
        <w:bottom w:val="none" w:sz="0" w:space="0" w:color="auto"/>
        <w:right w:val="none" w:sz="0" w:space="0" w:color="auto"/>
      </w:divBdr>
    </w:div>
    <w:div w:id="1376661891">
      <w:bodyDiv w:val="1"/>
      <w:marLeft w:val="0"/>
      <w:marRight w:val="0"/>
      <w:marTop w:val="0"/>
      <w:marBottom w:val="0"/>
      <w:divBdr>
        <w:top w:val="none" w:sz="0" w:space="0" w:color="auto"/>
        <w:left w:val="none" w:sz="0" w:space="0" w:color="auto"/>
        <w:bottom w:val="none" w:sz="0" w:space="0" w:color="auto"/>
        <w:right w:val="none" w:sz="0" w:space="0" w:color="auto"/>
      </w:divBdr>
    </w:div>
    <w:div w:id="1378316142">
      <w:bodyDiv w:val="1"/>
      <w:marLeft w:val="0"/>
      <w:marRight w:val="0"/>
      <w:marTop w:val="0"/>
      <w:marBottom w:val="0"/>
      <w:divBdr>
        <w:top w:val="none" w:sz="0" w:space="0" w:color="auto"/>
        <w:left w:val="none" w:sz="0" w:space="0" w:color="auto"/>
        <w:bottom w:val="none" w:sz="0" w:space="0" w:color="auto"/>
        <w:right w:val="none" w:sz="0" w:space="0" w:color="auto"/>
      </w:divBdr>
    </w:div>
    <w:div w:id="1381637239">
      <w:bodyDiv w:val="1"/>
      <w:marLeft w:val="0"/>
      <w:marRight w:val="0"/>
      <w:marTop w:val="0"/>
      <w:marBottom w:val="0"/>
      <w:divBdr>
        <w:top w:val="none" w:sz="0" w:space="0" w:color="auto"/>
        <w:left w:val="none" w:sz="0" w:space="0" w:color="auto"/>
        <w:bottom w:val="none" w:sz="0" w:space="0" w:color="auto"/>
        <w:right w:val="none" w:sz="0" w:space="0" w:color="auto"/>
      </w:divBdr>
    </w:div>
    <w:div w:id="1382630035">
      <w:bodyDiv w:val="1"/>
      <w:marLeft w:val="0"/>
      <w:marRight w:val="0"/>
      <w:marTop w:val="0"/>
      <w:marBottom w:val="0"/>
      <w:divBdr>
        <w:top w:val="none" w:sz="0" w:space="0" w:color="auto"/>
        <w:left w:val="none" w:sz="0" w:space="0" w:color="auto"/>
        <w:bottom w:val="none" w:sz="0" w:space="0" w:color="auto"/>
        <w:right w:val="none" w:sz="0" w:space="0" w:color="auto"/>
      </w:divBdr>
    </w:div>
    <w:div w:id="1384987716">
      <w:bodyDiv w:val="1"/>
      <w:marLeft w:val="0"/>
      <w:marRight w:val="0"/>
      <w:marTop w:val="0"/>
      <w:marBottom w:val="0"/>
      <w:divBdr>
        <w:top w:val="none" w:sz="0" w:space="0" w:color="auto"/>
        <w:left w:val="none" w:sz="0" w:space="0" w:color="auto"/>
        <w:bottom w:val="none" w:sz="0" w:space="0" w:color="auto"/>
        <w:right w:val="none" w:sz="0" w:space="0" w:color="auto"/>
      </w:divBdr>
    </w:div>
    <w:div w:id="1385181207">
      <w:bodyDiv w:val="1"/>
      <w:marLeft w:val="0"/>
      <w:marRight w:val="0"/>
      <w:marTop w:val="0"/>
      <w:marBottom w:val="0"/>
      <w:divBdr>
        <w:top w:val="none" w:sz="0" w:space="0" w:color="auto"/>
        <w:left w:val="none" w:sz="0" w:space="0" w:color="auto"/>
        <w:bottom w:val="none" w:sz="0" w:space="0" w:color="auto"/>
        <w:right w:val="none" w:sz="0" w:space="0" w:color="auto"/>
      </w:divBdr>
    </w:div>
    <w:div w:id="1388917713">
      <w:bodyDiv w:val="1"/>
      <w:marLeft w:val="0"/>
      <w:marRight w:val="0"/>
      <w:marTop w:val="0"/>
      <w:marBottom w:val="0"/>
      <w:divBdr>
        <w:top w:val="none" w:sz="0" w:space="0" w:color="auto"/>
        <w:left w:val="none" w:sz="0" w:space="0" w:color="auto"/>
        <w:bottom w:val="none" w:sz="0" w:space="0" w:color="auto"/>
        <w:right w:val="none" w:sz="0" w:space="0" w:color="auto"/>
      </w:divBdr>
    </w:div>
    <w:div w:id="1390686609">
      <w:bodyDiv w:val="1"/>
      <w:marLeft w:val="0"/>
      <w:marRight w:val="0"/>
      <w:marTop w:val="0"/>
      <w:marBottom w:val="0"/>
      <w:divBdr>
        <w:top w:val="none" w:sz="0" w:space="0" w:color="auto"/>
        <w:left w:val="none" w:sz="0" w:space="0" w:color="auto"/>
        <w:bottom w:val="none" w:sz="0" w:space="0" w:color="auto"/>
        <w:right w:val="none" w:sz="0" w:space="0" w:color="auto"/>
      </w:divBdr>
    </w:div>
    <w:div w:id="1393845232">
      <w:bodyDiv w:val="1"/>
      <w:marLeft w:val="0"/>
      <w:marRight w:val="0"/>
      <w:marTop w:val="0"/>
      <w:marBottom w:val="0"/>
      <w:divBdr>
        <w:top w:val="none" w:sz="0" w:space="0" w:color="auto"/>
        <w:left w:val="none" w:sz="0" w:space="0" w:color="auto"/>
        <w:bottom w:val="none" w:sz="0" w:space="0" w:color="auto"/>
        <w:right w:val="none" w:sz="0" w:space="0" w:color="auto"/>
      </w:divBdr>
    </w:div>
    <w:div w:id="1395617905">
      <w:bodyDiv w:val="1"/>
      <w:marLeft w:val="0"/>
      <w:marRight w:val="0"/>
      <w:marTop w:val="0"/>
      <w:marBottom w:val="0"/>
      <w:divBdr>
        <w:top w:val="none" w:sz="0" w:space="0" w:color="auto"/>
        <w:left w:val="none" w:sz="0" w:space="0" w:color="auto"/>
        <w:bottom w:val="none" w:sz="0" w:space="0" w:color="auto"/>
        <w:right w:val="none" w:sz="0" w:space="0" w:color="auto"/>
      </w:divBdr>
    </w:div>
    <w:div w:id="1396781819">
      <w:bodyDiv w:val="1"/>
      <w:marLeft w:val="0"/>
      <w:marRight w:val="0"/>
      <w:marTop w:val="0"/>
      <w:marBottom w:val="0"/>
      <w:divBdr>
        <w:top w:val="none" w:sz="0" w:space="0" w:color="auto"/>
        <w:left w:val="none" w:sz="0" w:space="0" w:color="auto"/>
        <w:bottom w:val="none" w:sz="0" w:space="0" w:color="auto"/>
        <w:right w:val="none" w:sz="0" w:space="0" w:color="auto"/>
      </w:divBdr>
    </w:div>
    <w:div w:id="1405685896">
      <w:bodyDiv w:val="1"/>
      <w:marLeft w:val="0"/>
      <w:marRight w:val="0"/>
      <w:marTop w:val="0"/>
      <w:marBottom w:val="0"/>
      <w:divBdr>
        <w:top w:val="none" w:sz="0" w:space="0" w:color="auto"/>
        <w:left w:val="none" w:sz="0" w:space="0" w:color="auto"/>
        <w:bottom w:val="none" w:sz="0" w:space="0" w:color="auto"/>
        <w:right w:val="none" w:sz="0" w:space="0" w:color="auto"/>
      </w:divBdr>
    </w:div>
    <w:div w:id="1406683562">
      <w:bodyDiv w:val="1"/>
      <w:marLeft w:val="0"/>
      <w:marRight w:val="0"/>
      <w:marTop w:val="0"/>
      <w:marBottom w:val="0"/>
      <w:divBdr>
        <w:top w:val="none" w:sz="0" w:space="0" w:color="auto"/>
        <w:left w:val="none" w:sz="0" w:space="0" w:color="auto"/>
        <w:bottom w:val="none" w:sz="0" w:space="0" w:color="auto"/>
        <w:right w:val="none" w:sz="0" w:space="0" w:color="auto"/>
      </w:divBdr>
    </w:div>
    <w:div w:id="1410810433">
      <w:bodyDiv w:val="1"/>
      <w:marLeft w:val="0"/>
      <w:marRight w:val="0"/>
      <w:marTop w:val="0"/>
      <w:marBottom w:val="0"/>
      <w:divBdr>
        <w:top w:val="none" w:sz="0" w:space="0" w:color="auto"/>
        <w:left w:val="none" w:sz="0" w:space="0" w:color="auto"/>
        <w:bottom w:val="none" w:sz="0" w:space="0" w:color="auto"/>
        <w:right w:val="none" w:sz="0" w:space="0" w:color="auto"/>
      </w:divBdr>
    </w:div>
    <w:div w:id="1417051420">
      <w:bodyDiv w:val="1"/>
      <w:marLeft w:val="0"/>
      <w:marRight w:val="0"/>
      <w:marTop w:val="0"/>
      <w:marBottom w:val="0"/>
      <w:divBdr>
        <w:top w:val="none" w:sz="0" w:space="0" w:color="auto"/>
        <w:left w:val="none" w:sz="0" w:space="0" w:color="auto"/>
        <w:bottom w:val="none" w:sz="0" w:space="0" w:color="auto"/>
        <w:right w:val="none" w:sz="0" w:space="0" w:color="auto"/>
      </w:divBdr>
    </w:div>
    <w:div w:id="1418207653">
      <w:bodyDiv w:val="1"/>
      <w:marLeft w:val="0"/>
      <w:marRight w:val="0"/>
      <w:marTop w:val="0"/>
      <w:marBottom w:val="0"/>
      <w:divBdr>
        <w:top w:val="none" w:sz="0" w:space="0" w:color="auto"/>
        <w:left w:val="none" w:sz="0" w:space="0" w:color="auto"/>
        <w:bottom w:val="none" w:sz="0" w:space="0" w:color="auto"/>
        <w:right w:val="none" w:sz="0" w:space="0" w:color="auto"/>
      </w:divBdr>
    </w:div>
    <w:div w:id="1422722265">
      <w:bodyDiv w:val="1"/>
      <w:marLeft w:val="0"/>
      <w:marRight w:val="0"/>
      <w:marTop w:val="0"/>
      <w:marBottom w:val="0"/>
      <w:divBdr>
        <w:top w:val="none" w:sz="0" w:space="0" w:color="auto"/>
        <w:left w:val="none" w:sz="0" w:space="0" w:color="auto"/>
        <w:bottom w:val="none" w:sz="0" w:space="0" w:color="auto"/>
        <w:right w:val="none" w:sz="0" w:space="0" w:color="auto"/>
      </w:divBdr>
    </w:div>
    <w:div w:id="1437099635">
      <w:bodyDiv w:val="1"/>
      <w:marLeft w:val="0"/>
      <w:marRight w:val="0"/>
      <w:marTop w:val="0"/>
      <w:marBottom w:val="0"/>
      <w:divBdr>
        <w:top w:val="none" w:sz="0" w:space="0" w:color="auto"/>
        <w:left w:val="none" w:sz="0" w:space="0" w:color="auto"/>
        <w:bottom w:val="none" w:sz="0" w:space="0" w:color="auto"/>
        <w:right w:val="none" w:sz="0" w:space="0" w:color="auto"/>
      </w:divBdr>
    </w:div>
    <w:div w:id="1439326046">
      <w:bodyDiv w:val="1"/>
      <w:marLeft w:val="0"/>
      <w:marRight w:val="0"/>
      <w:marTop w:val="0"/>
      <w:marBottom w:val="0"/>
      <w:divBdr>
        <w:top w:val="none" w:sz="0" w:space="0" w:color="auto"/>
        <w:left w:val="none" w:sz="0" w:space="0" w:color="auto"/>
        <w:bottom w:val="none" w:sz="0" w:space="0" w:color="auto"/>
        <w:right w:val="none" w:sz="0" w:space="0" w:color="auto"/>
      </w:divBdr>
    </w:div>
    <w:div w:id="1446805062">
      <w:bodyDiv w:val="1"/>
      <w:marLeft w:val="0"/>
      <w:marRight w:val="0"/>
      <w:marTop w:val="0"/>
      <w:marBottom w:val="0"/>
      <w:divBdr>
        <w:top w:val="none" w:sz="0" w:space="0" w:color="auto"/>
        <w:left w:val="none" w:sz="0" w:space="0" w:color="auto"/>
        <w:bottom w:val="none" w:sz="0" w:space="0" w:color="auto"/>
        <w:right w:val="none" w:sz="0" w:space="0" w:color="auto"/>
      </w:divBdr>
    </w:div>
    <w:div w:id="1446998844">
      <w:bodyDiv w:val="1"/>
      <w:marLeft w:val="0"/>
      <w:marRight w:val="0"/>
      <w:marTop w:val="0"/>
      <w:marBottom w:val="0"/>
      <w:divBdr>
        <w:top w:val="none" w:sz="0" w:space="0" w:color="auto"/>
        <w:left w:val="none" w:sz="0" w:space="0" w:color="auto"/>
        <w:bottom w:val="none" w:sz="0" w:space="0" w:color="auto"/>
        <w:right w:val="none" w:sz="0" w:space="0" w:color="auto"/>
      </w:divBdr>
    </w:div>
    <w:div w:id="1447114977">
      <w:bodyDiv w:val="1"/>
      <w:marLeft w:val="0"/>
      <w:marRight w:val="0"/>
      <w:marTop w:val="0"/>
      <w:marBottom w:val="0"/>
      <w:divBdr>
        <w:top w:val="none" w:sz="0" w:space="0" w:color="auto"/>
        <w:left w:val="none" w:sz="0" w:space="0" w:color="auto"/>
        <w:bottom w:val="none" w:sz="0" w:space="0" w:color="auto"/>
        <w:right w:val="none" w:sz="0" w:space="0" w:color="auto"/>
      </w:divBdr>
    </w:div>
    <w:div w:id="1453287977">
      <w:bodyDiv w:val="1"/>
      <w:marLeft w:val="0"/>
      <w:marRight w:val="0"/>
      <w:marTop w:val="0"/>
      <w:marBottom w:val="0"/>
      <w:divBdr>
        <w:top w:val="none" w:sz="0" w:space="0" w:color="auto"/>
        <w:left w:val="none" w:sz="0" w:space="0" w:color="auto"/>
        <w:bottom w:val="none" w:sz="0" w:space="0" w:color="auto"/>
        <w:right w:val="none" w:sz="0" w:space="0" w:color="auto"/>
      </w:divBdr>
    </w:div>
    <w:div w:id="1457604119">
      <w:bodyDiv w:val="1"/>
      <w:marLeft w:val="0"/>
      <w:marRight w:val="0"/>
      <w:marTop w:val="0"/>
      <w:marBottom w:val="0"/>
      <w:divBdr>
        <w:top w:val="none" w:sz="0" w:space="0" w:color="auto"/>
        <w:left w:val="none" w:sz="0" w:space="0" w:color="auto"/>
        <w:bottom w:val="none" w:sz="0" w:space="0" w:color="auto"/>
        <w:right w:val="none" w:sz="0" w:space="0" w:color="auto"/>
      </w:divBdr>
    </w:div>
    <w:div w:id="1458256513">
      <w:bodyDiv w:val="1"/>
      <w:marLeft w:val="0"/>
      <w:marRight w:val="0"/>
      <w:marTop w:val="0"/>
      <w:marBottom w:val="0"/>
      <w:divBdr>
        <w:top w:val="none" w:sz="0" w:space="0" w:color="auto"/>
        <w:left w:val="none" w:sz="0" w:space="0" w:color="auto"/>
        <w:bottom w:val="none" w:sz="0" w:space="0" w:color="auto"/>
        <w:right w:val="none" w:sz="0" w:space="0" w:color="auto"/>
      </w:divBdr>
    </w:div>
    <w:div w:id="1460680489">
      <w:bodyDiv w:val="1"/>
      <w:marLeft w:val="0"/>
      <w:marRight w:val="0"/>
      <w:marTop w:val="0"/>
      <w:marBottom w:val="0"/>
      <w:divBdr>
        <w:top w:val="none" w:sz="0" w:space="0" w:color="auto"/>
        <w:left w:val="none" w:sz="0" w:space="0" w:color="auto"/>
        <w:bottom w:val="none" w:sz="0" w:space="0" w:color="auto"/>
        <w:right w:val="none" w:sz="0" w:space="0" w:color="auto"/>
      </w:divBdr>
    </w:div>
    <w:div w:id="1461918035">
      <w:bodyDiv w:val="1"/>
      <w:marLeft w:val="0"/>
      <w:marRight w:val="0"/>
      <w:marTop w:val="0"/>
      <w:marBottom w:val="0"/>
      <w:divBdr>
        <w:top w:val="none" w:sz="0" w:space="0" w:color="auto"/>
        <w:left w:val="none" w:sz="0" w:space="0" w:color="auto"/>
        <w:bottom w:val="none" w:sz="0" w:space="0" w:color="auto"/>
        <w:right w:val="none" w:sz="0" w:space="0" w:color="auto"/>
      </w:divBdr>
    </w:div>
    <w:div w:id="1472091714">
      <w:bodyDiv w:val="1"/>
      <w:marLeft w:val="0"/>
      <w:marRight w:val="0"/>
      <w:marTop w:val="0"/>
      <w:marBottom w:val="0"/>
      <w:divBdr>
        <w:top w:val="none" w:sz="0" w:space="0" w:color="auto"/>
        <w:left w:val="none" w:sz="0" w:space="0" w:color="auto"/>
        <w:bottom w:val="none" w:sz="0" w:space="0" w:color="auto"/>
        <w:right w:val="none" w:sz="0" w:space="0" w:color="auto"/>
      </w:divBdr>
    </w:div>
    <w:div w:id="1479764783">
      <w:bodyDiv w:val="1"/>
      <w:marLeft w:val="0"/>
      <w:marRight w:val="0"/>
      <w:marTop w:val="0"/>
      <w:marBottom w:val="0"/>
      <w:divBdr>
        <w:top w:val="none" w:sz="0" w:space="0" w:color="auto"/>
        <w:left w:val="none" w:sz="0" w:space="0" w:color="auto"/>
        <w:bottom w:val="none" w:sz="0" w:space="0" w:color="auto"/>
        <w:right w:val="none" w:sz="0" w:space="0" w:color="auto"/>
      </w:divBdr>
    </w:div>
    <w:div w:id="1485003671">
      <w:bodyDiv w:val="1"/>
      <w:marLeft w:val="0"/>
      <w:marRight w:val="0"/>
      <w:marTop w:val="0"/>
      <w:marBottom w:val="0"/>
      <w:divBdr>
        <w:top w:val="none" w:sz="0" w:space="0" w:color="auto"/>
        <w:left w:val="none" w:sz="0" w:space="0" w:color="auto"/>
        <w:bottom w:val="none" w:sz="0" w:space="0" w:color="auto"/>
        <w:right w:val="none" w:sz="0" w:space="0" w:color="auto"/>
      </w:divBdr>
    </w:div>
    <w:div w:id="1485245929">
      <w:bodyDiv w:val="1"/>
      <w:marLeft w:val="0"/>
      <w:marRight w:val="0"/>
      <w:marTop w:val="0"/>
      <w:marBottom w:val="0"/>
      <w:divBdr>
        <w:top w:val="none" w:sz="0" w:space="0" w:color="auto"/>
        <w:left w:val="none" w:sz="0" w:space="0" w:color="auto"/>
        <w:bottom w:val="none" w:sz="0" w:space="0" w:color="auto"/>
        <w:right w:val="none" w:sz="0" w:space="0" w:color="auto"/>
      </w:divBdr>
    </w:div>
    <w:div w:id="1485658105">
      <w:bodyDiv w:val="1"/>
      <w:marLeft w:val="0"/>
      <w:marRight w:val="0"/>
      <w:marTop w:val="0"/>
      <w:marBottom w:val="0"/>
      <w:divBdr>
        <w:top w:val="none" w:sz="0" w:space="0" w:color="auto"/>
        <w:left w:val="none" w:sz="0" w:space="0" w:color="auto"/>
        <w:bottom w:val="none" w:sz="0" w:space="0" w:color="auto"/>
        <w:right w:val="none" w:sz="0" w:space="0" w:color="auto"/>
      </w:divBdr>
    </w:div>
    <w:div w:id="1486165438">
      <w:bodyDiv w:val="1"/>
      <w:marLeft w:val="0"/>
      <w:marRight w:val="0"/>
      <w:marTop w:val="0"/>
      <w:marBottom w:val="0"/>
      <w:divBdr>
        <w:top w:val="none" w:sz="0" w:space="0" w:color="auto"/>
        <w:left w:val="none" w:sz="0" w:space="0" w:color="auto"/>
        <w:bottom w:val="none" w:sz="0" w:space="0" w:color="auto"/>
        <w:right w:val="none" w:sz="0" w:space="0" w:color="auto"/>
      </w:divBdr>
    </w:div>
    <w:div w:id="1489403885">
      <w:bodyDiv w:val="1"/>
      <w:marLeft w:val="0"/>
      <w:marRight w:val="0"/>
      <w:marTop w:val="0"/>
      <w:marBottom w:val="0"/>
      <w:divBdr>
        <w:top w:val="none" w:sz="0" w:space="0" w:color="auto"/>
        <w:left w:val="none" w:sz="0" w:space="0" w:color="auto"/>
        <w:bottom w:val="none" w:sz="0" w:space="0" w:color="auto"/>
        <w:right w:val="none" w:sz="0" w:space="0" w:color="auto"/>
      </w:divBdr>
    </w:div>
    <w:div w:id="1492872851">
      <w:bodyDiv w:val="1"/>
      <w:marLeft w:val="0"/>
      <w:marRight w:val="0"/>
      <w:marTop w:val="0"/>
      <w:marBottom w:val="0"/>
      <w:divBdr>
        <w:top w:val="none" w:sz="0" w:space="0" w:color="auto"/>
        <w:left w:val="none" w:sz="0" w:space="0" w:color="auto"/>
        <w:bottom w:val="none" w:sz="0" w:space="0" w:color="auto"/>
        <w:right w:val="none" w:sz="0" w:space="0" w:color="auto"/>
      </w:divBdr>
    </w:div>
    <w:div w:id="1494493808">
      <w:bodyDiv w:val="1"/>
      <w:marLeft w:val="0"/>
      <w:marRight w:val="0"/>
      <w:marTop w:val="0"/>
      <w:marBottom w:val="0"/>
      <w:divBdr>
        <w:top w:val="none" w:sz="0" w:space="0" w:color="auto"/>
        <w:left w:val="none" w:sz="0" w:space="0" w:color="auto"/>
        <w:bottom w:val="none" w:sz="0" w:space="0" w:color="auto"/>
        <w:right w:val="none" w:sz="0" w:space="0" w:color="auto"/>
      </w:divBdr>
    </w:div>
    <w:div w:id="1495418383">
      <w:bodyDiv w:val="1"/>
      <w:marLeft w:val="0"/>
      <w:marRight w:val="0"/>
      <w:marTop w:val="0"/>
      <w:marBottom w:val="0"/>
      <w:divBdr>
        <w:top w:val="none" w:sz="0" w:space="0" w:color="auto"/>
        <w:left w:val="none" w:sz="0" w:space="0" w:color="auto"/>
        <w:bottom w:val="none" w:sz="0" w:space="0" w:color="auto"/>
        <w:right w:val="none" w:sz="0" w:space="0" w:color="auto"/>
      </w:divBdr>
    </w:div>
    <w:div w:id="1495879267">
      <w:bodyDiv w:val="1"/>
      <w:marLeft w:val="0"/>
      <w:marRight w:val="0"/>
      <w:marTop w:val="0"/>
      <w:marBottom w:val="0"/>
      <w:divBdr>
        <w:top w:val="none" w:sz="0" w:space="0" w:color="auto"/>
        <w:left w:val="none" w:sz="0" w:space="0" w:color="auto"/>
        <w:bottom w:val="none" w:sz="0" w:space="0" w:color="auto"/>
        <w:right w:val="none" w:sz="0" w:space="0" w:color="auto"/>
      </w:divBdr>
    </w:div>
    <w:div w:id="1496410137">
      <w:bodyDiv w:val="1"/>
      <w:marLeft w:val="0"/>
      <w:marRight w:val="0"/>
      <w:marTop w:val="0"/>
      <w:marBottom w:val="0"/>
      <w:divBdr>
        <w:top w:val="none" w:sz="0" w:space="0" w:color="auto"/>
        <w:left w:val="none" w:sz="0" w:space="0" w:color="auto"/>
        <w:bottom w:val="none" w:sz="0" w:space="0" w:color="auto"/>
        <w:right w:val="none" w:sz="0" w:space="0" w:color="auto"/>
      </w:divBdr>
    </w:div>
    <w:div w:id="1499618857">
      <w:bodyDiv w:val="1"/>
      <w:marLeft w:val="0"/>
      <w:marRight w:val="0"/>
      <w:marTop w:val="0"/>
      <w:marBottom w:val="0"/>
      <w:divBdr>
        <w:top w:val="none" w:sz="0" w:space="0" w:color="auto"/>
        <w:left w:val="none" w:sz="0" w:space="0" w:color="auto"/>
        <w:bottom w:val="none" w:sz="0" w:space="0" w:color="auto"/>
        <w:right w:val="none" w:sz="0" w:space="0" w:color="auto"/>
      </w:divBdr>
    </w:div>
    <w:div w:id="1505512849">
      <w:bodyDiv w:val="1"/>
      <w:marLeft w:val="0"/>
      <w:marRight w:val="0"/>
      <w:marTop w:val="0"/>
      <w:marBottom w:val="0"/>
      <w:divBdr>
        <w:top w:val="none" w:sz="0" w:space="0" w:color="auto"/>
        <w:left w:val="none" w:sz="0" w:space="0" w:color="auto"/>
        <w:bottom w:val="none" w:sz="0" w:space="0" w:color="auto"/>
        <w:right w:val="none" w:sz="0" w:space="0" w:color="auto"/>
      </w:divBdr>
    </w:div>
    <w:div w:id="1506627283">
      <w:bodyDiv w:val="1"/>
      <w:marLeft w:val="0"/>
      <w:marRight w:val="0"/>
      <w:marTop w:val="0"/>
      <w:marBottom w:val="0"/>
      <w:divBdr>
        <w:top w:val="none" w:sz="0" w:space="0" w:color="auto"/>
        <w:left w:val="none" w:sz="0" w:space="0" w:color="auto"/>
        <w:bottom w:val="none" w:sz="0" w:space="0" w:color="auto"/>
        <w:right w:val="none" w:sz="0" w:space="0" w:color="auto"/>
      </w:divBdr>
    </w:div>
    <w:div w:id="1511065767">
      <w:bodyDiv w:val="1"/>
      <w:marLeft w:val="0"/>
      <w:marRight w:val="0"/>
      <w:marTop w:val="0"/>
      <w:marBottom w:val="0"/>
      <w:divBdr>
        <w:top w:val="none" w:sz="0" w:space="0" w:color="auto"/>
        <w:left w:val="none" w:sz="0" w:space="0" w:color="auto"/>
        <w:bottom w:val="none" w:sz="0" w:space="0" w:color="auto"/>
        <w:right w:val="none" w:sz="0" w:space="0" w:color="auto"/>
      </w:divBdr>
    </w:div>
    <w:div w:id="1513566381">
      <w:bodyDiv w:val="1"/>
      <w:marLeft w:val="0"/>
      <w:marRight w:val="0"/>
      <w:marTop w:val="0"/>
      <w:marBottom w:val="0"/>
      <w:divBdr>
        <w:top w:val="none" w:sz="0" w:space="0" w:color="auto"/>
        <w:left w:val="none" w:sz="0" w:space="0" w:color="auto"/>
        <w:bottom w:val="none" w:sz="0" w:space="0" w:color="auto"/>
        <w:right w:val="none" w:sz="0" w:space="0" w:color="auto"/>
      </w:divBdr>
    </w:div>
    <w:div w:id="1514807632">
      <w:bodyDiv w:val="1"/>
      <w:marLeft w:val="0"/>
      <w:marRight w:val="0"/>
      <w:marTop w:val="0"/>
      <w:marBottom w:val="0"/>
      <w:divBdr>
        <w:top w:val="none" w:sz="0" w:space="0" w:color="auto"/>
        <w:left w:val="none" w:sz="0" w:space="0" w:color="auto"/>
        <w:bottom w:val="none" w:sz="0" w:space="0" w:color="auto"/>
        <w:right w:val="none" w:sz="0" w:space="0" w:color="auto"/>
      </w:divBdr>
    </w:div>
    <w:div w:id="1514883373">
      <w:bodyDiv w:val="1"/>
      <w:marLeft w:val="0"/>
      <w:marRight w:val="0"/>
      <w:marTop w:val="0"/>
      <w:marBottom w:val="0"/>
      <w:divBdr>
        <w:top w:val="none" w:sz="0" w:space="0" w:color="auto"/>
        <w:left w:val="none" w:sz="0" w:space="0" w:color="auto"/>
        <w:bottom w:val="none" w:sz="0" w:space="0" w:color="auto"/>
        <w:right w:val="none" w:sz="0" w:space="0" w:color="auto"/>
      </w:divBdr>
    </w:div>
    <w:div w:id="1527281893">
      <w:bodyDiv w:val="1"/>
      <w:marLeft w:val="0"/>
      <w:marRight w:val="0"/>
      <w:marTop w:val="0"/>
      <w:marBottom w:val="0"/>
      <w:divBdr>
        <w:top w:val="none" w:sz="0" w:space="0" w:color="auto"/>
        <w:left w:val="none" w:sz="0" w:space="0" w:color="auto"/>
        <w:bottom w:val="none" w:sz="0" w:space="0" w:color="auto"/>
        <w:right w:val="none" w:sz="0" w:space="0" w:color="auto"/>
      </w:divBdr>
    </w:div>
    <w:div w:id="1531608819">
      <w:bodyDiv w:val="1"/>
      <w:marLeft w:val="0"/>
      <w:marRight w:val="0"/>
      <w:marTop w:val="0"/>
      <w:marBottom w:val="0"/>
      <w:divBdr>
        <w:top w:val="none" w:sz="0" w:space="0" w:color="auto"/>
        <w:left w:val="none" w:sz="0" w:space="0" w:color="auto"/>
        <w:bottom w:val="none" w:sz="0" w:space="0" w:color="auto"/>
        <w:right w:val="none" w:sz="0" w:space="0" w:color="auto"/>
      </w:divBdr>
    </w:div>
    <w:div w:id="1534154373">
      <w:bodyDiv w:val="1"/>
      <w:marLeft w:val="0"/>
      <w:marRight w:val="0"/>
      <w:marTop w:val="0"/>
      <w:marBottom w:val="0"/>
      <w:divBdr>
        <w:top w:val="none" w:sz="0" w:space="0" w:color="auto"/>
        <w:left w:val="none" w:sz="0" w:space="0" w:color="auto"/>
        <w:bottom w:val="none" w:sz="0" w:space="0" w:color="auto"/>
        <w:right w:val="none" w:sz="0" w:space="0" w:color="auto"/>
      </w:divBdr>
    </w:div>
    <w:div w:id="1534687429">
      <w:bodyDiv w:val="1"/>
      <w:marLeft w:val="0"/>
      <w:marRight w:val="0"/>
      <w:marTop w:val="0"/>
      <w:marBottom w:val="0"/>
      <w:divBdr>
        <w:top w:val="none" w:sz="0" w:space="0" w:color="auto"/>
        <w:left w:val="none" w:sz="0" w:space="0" w:color="auto"/>
        <w:bottom w:val="none" w:sz="0" w:space="0" w:color="auto"/>
        <w:right w:val="none" w:sz="0" w:space="0" w:color="auto"/>
      </w:divBdr>
    </w:div>
    <w:div w:id="1544295363">
      <w:bodyDiv w:val="1"/>
      <w:marLeft w:val="0"/>
      <w:marRight w:val="0"/>
      <w:marTop w:val="0"/>
      <w:marBottom w:val="0"/>
      <w:divBdr>
        <w:top w:val="none" w:sz="0" w:space="0" w:color="auto"/>
        <w:left w:val="none" w:sz="0" w:space="0" w:color="auto"/>
        <w:bottom w:val="none" w:sz="0" w:space="0" w:color="auto"/>
        <w:right w:val="none" w:sz="0" w:space="0" w:color="auto"/>
      </w:divBdr>
    </w:div>
    <w:div w:id="1545212940">
      <w:bodyDiv w:val="1"/>
      <w:marLeft w:val="0"/>
      <w:marRight w:val="0"/>
      <w:marTop w:val="0"/>
      <w:marBottom w:val="0"/>
      <w:divBdr>
        <w:top w:val="none" w:sz="0" w:space="0" w:color="auto"/>
        <w:left w:val="none" w:sz="0" w:space="0" w:color="auto"/>
        <w:bottom w:val="none" w:sz="0" w:space="0" w:color="auto"/>
        <w:right w:val="none" w:sz="0" w:space="0" w:color="auto"/>
      </w:divBdr>
    </w:div>
    <w:div w:id="1554581127">
      <w:bodyDiv w:val="1"/>
      <w:marLeft w:val="0"/>
      <w:marRight w:val="0"/>
      <w:marTop w:val="0"/>
      <w:marBottom w:val="0"/>
      <w:divBdr>
        <w:top w:val="none" w:sz="0" w:space="0" w:color="auto"/>
        <w:left w:val="none" w:sz="0" w:space="0" w:color="auto"/>
        <w:bottom w:val="none" w:sz="0" w:space="0" w:color="auto"/>
        <w:right w:val="none" w:sz="0" w:space="0" w:color="auto"/>
      </w:divBdr>
    </w:div>
    <w:div w:id="1563977631">
      <w:bodyDiv w:val="1"/>
      <w:marLeft w:val="0"/>
      <w:marRight w:val="0"/>
      <w:marTop w:val="0"/>
      <w:marBottom w:val="0"/>
      <w:divBdr>
        <w:top w:val="none" w:sz="0" w:space="0" w:color="auto"/>
        <w:left w:val="none" w:sz="0" w:space="0" w:color="auto"/>
        <w:bottom w:val="none" w:sz="0" w:space="0" w:color="auto"/>
        <w:right w:val="none" w:sz="0" w:space="0" w:color="auto"/>
      </w:divBdr>
    </w:div>
    <w:div w:id="1573737299">
      <w:bodyDiv w:val="1"/>
      <w:marLeft w:val="0"/>
      <w:marRight w:val="0"/>
      <w:marTop w:val="0"/>
      <w:marBottom w:val="0"/>
      <w:divBdr>
        <w:top w:val="none" w:sz="0" w:space="0" w:color="auto"/>
        <w:left w:val="none" w:sz="0" w:space="0" w:color="auto"/>
        <w:bottom w:val="none" w:sz="0" w:space="0" w:color="auto"/>
        <w:right w:val="none" w:sz="0" w:space="0" w:color="auto"/>
      </w:divBdr>
    </w:div>
    <w:div w:id="1577127911">
      <w:bodyDiv w:val="1"/>
      <w:marLeft w:val="0"/>
      <w:marRight w:val="0"/>
      <w:marTop w:val="0"/>
      <w:marBottom w:val="0"/>
      <w:divBdr>
        <w:top w:val="none" w:sz="0" w:space="0" w:color="auto"/>
        <w:left w:val="none" w:sz="0" w:space="0" w:color="auto"/>
        <w:bottom w:val="none" w:sz="0" w:space="0" w:color="auto"/>
        <w:right w:val="none" w:sz="0" w:space="0" w:color="auto"/>
      </w:divBdr>
    </w:div>
    <w:div w:id="1579173303">
      <w:bodyDiv w:val="1"/>
      <w:marLeft w:val="0"/>
      <w:marRight w:val="0"/>
      <w:marTop w:val="0"/>
      <w:marBottom w:val="0"/>
      <w:divBdr>
        <w:top w:val="none" w:sz="0" w:space="0" w:color="auto"/>
        <w:left w:val="none" w:sz="0" w:space="0" w:color="auto"/>
        <w:bottom w:val="none" w:sz="0" w:space="0" w:color="auto"/>
        <w:right w:val="none" w:sz="0" w:space="0" w:color="auto"/>
      </w:divBdr>
    </w:div>
    <w:div w:id="1579362142">
      <w:bodyDiv w:val="1"/>
      <w:marLeft w:val="0"/>
      <w:marRight w:val="0"/>
      <w:marTop w:val="0"/>
      <w:marBottom w:val="0"/>
      <w:divBdr>
        <w:top w:val="none" w:sz="0" w:space="0" w:color="auto"/>
        <w:left w:val="none" w:sz="0" w:space="0" w:color="auto"/>
        <w:bottom w:val="none" w:sz="0" w:space="0" w:color="auto"/>
        <w:right w:val="none" w:sz="0" w:space="0" w:color="auto"/>
      </w:divBdr>
    </w:div>
    <w:div w:id="1580015186">
      <w:bodyDiv w:val="1"/>
      <w:marLeft w:val="0"/>
      <w:marRight w:val="0"/>
      <w:marTop w:val="0"/>
      <w:marBottom w:val="0"/>
      <w:divBdr>
        <w:top w:val="none" w:sz="0" w:space="0" w:color="auto"/>
        <w:left w:val="none" w:sz="0" w:space="0" w:color="auto"/>
        <w:bottom w:val="none" w:sz="0" w:space="0" w:color="auto"/>
        <w:right w:val="none" w:sz="0" w:space="0" w:color="auto"/>
      </w:divBdr>
    </w:div>
    <w:div w:id="1580754666">
      <w:bodyDiv w:val="1"/>
      <w:marLeft w:val="0"/>
      <w:marRight w:val="0"/>
      <w:marTop w:val="0"/>
      <w:marBottom w:val="0"/>
      <w:divBdr>
        <w:top w:val="none" w:sz="0" w:space="0" w:color="auto"/>
        <w:left w:val="none" w:sz="0" w:space="0" w:color="auto"/>
        <w:bottom w:val="none" w:sz="0" w:space="0" w:color="auto"/>
        <w:right w:val="none" w:sz="0" w:space="0" w:color="auto"/>
      </w:divBdr>
    </w:div>
    <w:div w:id="1581255040">
      <w:bodyDiv w:val="1"/>
      <w:marLeft w:val="0"/>
      <w:marRight w:val="0"/>
      <w:marTop w:val="0"/>
      <w:marBottom w:val="0"/>
      <w:divBdr>
        <w:top w:val="none" w:sz="0" w:space="0" w:color="auto"/>
        <w:left w:val="none" w:sz="0" w:space="0" w:color="auto"/>
        <w:bottom w:val="none" w:sz="0" w:space="0" w:color="auto"/>
        <w:right w:val="none" w:sz="0" w:space="0" w:color="auto"/>
      </w:divBdr>
    </w:div>
    <w:div w:id="1584337665">
      <w:bodyDiv w:val="1"/>
      <w:marLeft w:val="0"/>
      <w:marRight w:val="0"/>
      <w:marTop w:val="0"/>
      <w:marBottom w:val="0"/>
      <w:divBdr>
        <w:top w:val="none" w:sz="0" w:space="0" w:color="auto"/>
        <w:left w:val="none" w:sz="0" w:space="0" w:color="auto"/>
        <w:bottom w:val="none" w:sz="0" w:space="0" w:color="auto"/>
        <w:right w:val="none" w:sz="0" w:space="0" w:color="auto"/>
      </w:divBdr>
    </w:div>
    <w:div w:id="1585916474">
      <w:bodyDiv w:val="1"/>
      <w:marLeft w:val="0"/>
      <w:marRight w:val="0"/>
      <w:marTop w:val="0"/>
      <w:marBottom w:val="0"/>
      <w:divBdr>
        <w:top w:val="none" w:sz="0" w:space="0" w:color="auto"/>
        <w:left w:val="none" w:sz="0" w:space="0" w:color="auto"/>
        <w:bottom w:val="none" w:sz="0" w:space="0" w:color="auto"/>
        <w:right w:val="none" w:sz="0" w:space="0" w:color="auto"/>
      </w:divBdr>
    </w:div>
    <w:div w:id="1586959072">
      <w:bodyDiv w:val="1"/>
      <w:marLeft w:val="0"/>
      <w:marRight w:val="0"/>
      <w:marTop w:val="0"/>
      <w:marBottom w:val="0"/>
      <w:divBdr>
        <w:top w:val="none" w:sz="0" w:space="0" w:color="auto"/>
        <w:left w:val="none" w:sz="0" w:space="0" w:color="auto"/>
        <w:bottom w:val="none" w:sz="0" w:space="0" w:color="auto"/>
        <w:right w:val="none" w:sz="0" w:space="0" w:color="auto"/>
      </w:divBdr>
    </w:div>
    <w:div w:id="1587226785">
      <w:bodyDiv w:val="1"/>
      <w:marLeft w:val="0"/>
      <w:marRight w:val="0"/>
      <w:marTop w:val="0"/>
      <w:marBottom w:val="0"/>
      <w:divBdr>
        <w:top w:val="none" w:sz="0" w:space="0" w:color="auto"/>
        <w:left w:val="none" w:sz="0" w:space="0" w:color="auto"/>
        <w:bottom w:val="none" w:sz="0" w:space="0" w:color="auto"/>
        <w:right w:val="none" w:sz="0" w:space="0" w:color="auto"/>
      </w:divBdr>
    </w:div>
    <w:div w:id="1591623317">
      <w:bodyDiv w:val="1"/>
      <w:marLeft w:val="0"/>
      <w:marRight w:val="0"/>
      <w:marTop w:val="0"/>
      <w:marBottom w:val="0"/>
      <w:divBdr>
        <w:top w:val="none" w:sz="0" w:space="0" w:color="auto"/>
        <w:left w:val="none" w:sz="0" w:space="0" w:color="auto"/>
        <w:bottom w:val="none" w:sz="0" w:space="0" w:color="auto"/>
        <w:right w:val="none" w:sz="0" w:space="0" w:color="auto"/>
      </w:divBdr>
    </w:div>
    <w:div w:id="1593313511">
      <w:bodyDiv w:val="1"/>
      <w:marLeft w:val="0"/>
      <w:marRight w:val="0"/>
      <w:marTop w:val="0"/>
      <w:marBottom w:val="0"/>
      <w:divBdr>
        <w:top w:val="none" w:sz="0" w:space="0" w:color="auto"/>
        <w:left w:val="none" w:sz="0" w:space="0" w:color="auto"/>
        <w:bottom w:val="none" w:sz="0" w:space="0" w:color="auto"/>
        <w:right w:val="none" w:sz="0" w:space="0" w:color="auto"/>
      </w:divBdr>
    </w:div>
    <w:div w:id="1595429715">
      <w:bodyDiv w:val="1"/>
      <w:marLeft w:val="0"/>
      <w:marRight w:val="0"/>
      <w:marTop w:val="0"/>
      <w:marBottom w:val="0"/>
      <w:divBdr>
        <w:top w:val="none" w:sz="0" w:space="0" w:color="auto"/>
        <w:left w:val="none" w:sz="0" w:space="0" w:color="auto"/>
        <w:bottom w:val="none" w:sz="0" w:space="0" w:color="auto"/>
        <w:right w:val="none" w:sz="0" w:space="0" w:color="auto"/>
      </w:divBdr>
    </w:div>
    <w:div w:id="1596329934">
      <w:bodyDiv w:val="1"/>
      <w:marLeft w:val="0"/>
      <w:marRight w:val="0"/>
      <w:marTop w:val="0"/>
      <w:marBottom w:val="0"/>
      <w:divBdr>
        <w:top w:val="none" w:sz="0" w:space="0" w:color="auto"/>
        <w:left w:val="none" w:sz="0" w:space="0" w:color="auto"/>
        <w:bottom w:val="none" w:sz="0" w:space="0" w:color="auto"/>
        <w:right w:val="none" w:sz="0" w:space="0" w:color="auto"/>
      </w:divBdr>
    </w:div>
    <w:div w:id="1610697398">
      <w:bodyDiv w:val="1"/>
      <w:marLeft w:val="0"/>
      <w:marRight w:val="0"/>
      <w:marTop w:val="0"/>
      <w:marBottom w:val="0"/>
      <w:divBdr>
        <w:top w:val="none" w:sz="0" w:space="0" w:color="auto"/>
        <w:left w:val="none" w:sz="0" w:space="0" w:color="auto"/>
        <w:bottom w:val="none" w:sz="0" w:space="0" w:color="auto"/>
        <w:right w:val="none" w:sz="0" w:space="0" w:color="auto"/>
      </w:divBdr>
    </w:div>
    <w:div w:id="1611742508">
      <w:bodyDiv w:val="1"/>
      <w:marLeft w:val="0"/>
      <w:marRight w:val="0"/>
      <w:marTop w:val="0"/>
      <w:marBottom w:val="0"/>
      <w:divBdr>
        <w:top w:val="none" w:sz="0" w:space="0" w:color="auto"/>
        <w:left w:val="none" w:sz="0" w:space="0" w:color="auto"/>
        <w:bottom w:val="none" w:sz="0" w:space="0" w:color="auto"/>
        <w:right w:val="none" w:sz="0" w:space="0" w:color="auto"/>
      </w:divBdr>
    </w:div>
    <w:div w:id="1617329261">
      <w:bodyDiv w:val="1"/>
      <w:marLeft w:val="0"/>
      <w:marRight w:val="0"/>
      <w:marTop w:val="0"/>
      <w:marBottom w:val="0"/>
      <w:divBdr>
        <w:top w:val="none" w:sz="0" w:space="0" w:color="auto"/>
        <w:left w:val="none" w:sz="0" w:space="0" w:color="auto"/>
        <w:bottom w:val="none" w:sz="0" w:space="0" w:color="auto"/>
        <w:right w:val="none" w:sz="0" w:space="0" w:color="auto"/>
      </w:divBdr>
    </w:div>
    <w:div w:id="1617980954">
      <w:bodyDiv w:val="1"/>
      <w:marLeft w:val="0"/>
      <w:marRight w:val="0"/>
      <w:marTop w:val="0"/>
      <w:marBottom w:val="0"/>
      <w:divBdr>
        <w:top w:val="none" w:sz="0" w:space="0" w:color="auto"/>
        <w:left w:val="none" w:sz="0" w:space="0" w:color="auto"/>
        <w:bottom w:val="none" w:sz="0" w:space="0" w:color="auto"/>
        <w:right w:val="none" w:sz="0" w:space="0" w:color="auto"/>
      </w:divBdr>
    </w:div>
    <w:div w:id="1626931716">
      <w:bodyDiv w:val="1"/>
      <w:marLeft w:val="0"/>
      <w:marRight w:val="0"/>
      <w:marTop w:val="0"/>
      <w:marBottom w:val="0"/>
      <w:divBdr>
        <w:top w:val="none" w:sz="0" w:space="0" w:color="auto"/>
        <w:left w:val="none" w:sz="0" w:space="0" w:color="auto"/>
        <w:bottom w:val="none" w:sz="0" w:space="0" w:color="auto"/>
        <w:right w:val="none" w:sz="0" w:space="0" w:color="auto"/>
      </w:divBdr>
    </w:div>
    <w:div w:id="1628505750">
      <w:bodyDiv w:val="1"/>
      <w:marLeft w:val="0"/>
      <w:marRight w:val="0"/>
      <w:marTop w:val="0"/>
      <w:marBottom w:val="0"/>
      <w:divBdr>
        <w:top w:val="none" w:sz="0" w:space="0" w:color="auto"/>
        <w:left w:val="none" w:sz="0" w:space="0" w:color="auto"/>
        <w:bottom w:val="none" w:sz="0" w:space="0" w:color="auto"/>
        <w:right w:val="none" w:sz="0" w:space="0" w:color="auto"/>
      </w:divBdr>
    </w:div>
    <w:div w:id="1636566328">
      <w:bodyDiv w:val="1"/>
      <w:marLeft w:val="0"/>
      <w:marRight w:val="0"/>
      <w:marTop w:val="0"/>
      <w:marBottom w:val="0"/>
      <w:divBdr>
        <w:top w:val="none" w:sz="0" w:space="0" w:color="auto"/>
        <w:left w:val="none" w:sz="0" w:space="0" w:color="auto"/>
        <w:bottom w:val="none" w:sz="0" w:space="0" w:color="auto"/>
        <w:right w:val="none" w:sz="0" w:space="0" w:color="auto"/>
      </w:divBdr>
    </w:div>
    <w:div w:id="1638411833">
      <w:bodyDiv w:val="1"/>
      <w:marLeft w:val="0"/>
      <w:marRight w:val="0"/>
      <w:marTop w:val="0"/>
      <w:marBottom w:val="0"/>
      <w:divBdr>
        <w:top w:val="none" w:sz="0" w:space="0" w:color="auto"/>
        <w:left w:val="none" w:sz="0" w:space="0" w:color="auto"/>
        <w:bottom w:val="none" w:sz="0" w:space="0" w:color="auto"/>
        <w:right w:val="none" w:sz="0" w:space="0" w:color="auto"/>
      </w:divBdr>
    </w:div>
    <w:div w:id="1641959107">
      <w:bodyDiv w:val="1"/>
      <w:marLeft w:val="0"/>
      <w:marRight w:val="0"/>
      <w:marTop w:val="0"/>
      <w:marBottom w:val="0"/>
      <w:divBdr>
        <w:top w:val="none" w:sz="0" w:space="0" w:color="auto"/>
        <w:left w:val="none" w:sz="0" w:space="0" w:color="auto"/>
        <w:bottom w:val="none" w:sz="0" w:space="0" w:color="auto"/>
        <w:right w:val="none" w:sz="0" w:space="0" w:color="auto"/>
      </w:divBdr>
    </w:div>
    <w:div w:id="1645619847">
      <w:bodyDiv w:val="1"/>
      <w:marLeft w:val="0"/>
      <w:marRight w:val="0"/>
      <w:marTop w:val="0"/>
      <w:marBottom w:val="0"/>
      <w:divBdr>
        <w:top w:val="none" w:sz="0" w:space="0" w:color="auto"/>
        <w:left w:val="none" w:sz="0" w:space="0" w:color="auto"/>
        <w:bottom w:val="none" w:sz="0" w:space="0" w:color="auto"/>
        <w:right w:val="none" w:sz="0" w:space="0" w:color="auto"/>
      </w:divBdr>
    </w:div>
    <w:div w:id="1649243271">
      <w:bodyDiv w:val="1"/>
      <w:marLeft w:val="0"/>
      <w:marRight w:val="0"/>
      <w:marTop w:val="0"/>
      <w:marBottom w:val="0"/>
      <w:divBdr>
        <w:top w:val="none" w:sz="0" w:space="0" w:color="auto"/>
        <w:left w:val="none" w:sz="0" w:space="0" w:color="auto"/>
        <w:bottom w:val="none" w:sz="0" w:space="0" w:color="auto"/>
        <w:right w:val="none" w:sz="0" w:space="0" w:color="auto"/>
      </w:divBdr>
    </w:div>
    <w:div w:id="1654063321">
      <w:bodyDiv w:val="1"/>
      <w:marLeft w:val="0"/>
      <w:marRight w:val="0"/>
      <w:marTop w:val="0"/>
      <w:marBottom w:val="0"/>
      <w:divBdr>
        <w:top w:val="none" w:sz="0" w:space="0" w:color="auto"/>
        <w:left w:val="none" w:sz="0" w:space="0" w:color="auto"/>
        <w:bottom w:val="none" w:sz="0" w:space="0" w:color="auto"/>
        <w:right w:val="none" w:sz="0" w:space="0" w:color="auto"/>
      </w:divBdr>
    </w:div>
    <w:div w:id="1655143717">
      <w:bodyDiv w:val="1"/>
      <w:marLeft w:val="0"/>
      <w:marRight w:val="0"/>
      <w:marTop w:val="0"/>
      <w:marBottom w:val="0"/>
      <w:divBdr>
        <w:top w:val="none" w:sz="0" w:space="0" w:color="auto"/>
        <w:left w:val="none" w:sz="0" w:space="0" w:color="auto"/>
        <w:bottom w:val="none" w:sz="0" w:space="0" w:color="auto"/>
        <w:right w:val="none" w:sz="0" w:space="0" w:color="auto"/>
      </w:divBdr>
    </w:div>
    <w:div w:id="1660185376">
      <w:bodyDiv w:val="1"/>
      <w:marLeft w:val="0"/>
      <w:marRight w:val="0"/>
      <w:marTop w:val="0"/>
      <w:marBottom w:val="0"/>
      <w:divBdr>
        <w:top w:val="none" w:sz="0" w:space="0" w:color="auto"/>
        <w:left w:val="none" w:sz="0" w:space="0" w:color="auto"/>
        <w:bottom w:val="none" w:sz="0" w:space="0" w:color="auto"/>
        <w:right w:val="none" w:sz="0" w:space="0" w:color="auto"/>
      </w:divBdr>
    </w:div>
    <w:div w:id="1663387754">
      <w:bodyDiv w:val="1"/>
      <w:marLeft w:val="0"/>
      <w:marRight w:val="0"/>
      <w:marTop w:val="0"/>
      <w:marBottom w:val="0"/>
      <w:divBdr>
        <w:top w:val="none" w:sz="0" w:space="0" w:color="auto"/>
        <w:left w:val="none" w:sz="0" w:space="0" w:color="auto"/>
        <w:bottom w:val="none" w:sz="0" w:space="0" w:color="auto"/>
        <w:right w:val="none" w:sz="0" w:space="0" w:color="auto"/>
      </w:divBdr>
    </w:div>
    <w:div w:id="1664242214">
      <w:bodyDiv w:val="1"/>
      <w:marLeft w:val="0"/>
      <w:marRight w:val="0"/>
      <w:marTop w:val="0"/>
      <w:marBottom w:val="0"/>
      <w:divBdr>
        <w:top w:val="none" w:sz="0" w:space="0" w:color="auto"/>
        <w:left w:val="none" w:sz="0" w:space="0" w:color="auto"/>
        <w:bottom w:val="none" w:sz="0" w:space="0" w:color="auto"/>
        <w:right w:val="none" w:sz="0" w:space="0" w:color="auto"/>
      </w:divBdr>
    </w:div>
    <w:div w:id="1665162724">
      <w:bodyDiv w:val="1"/>
      <w:marLeft w:val="0"/>
      <w:marRight w:val="0"/>
      <w:marTop w:val="0"/>
      <w:marBottom w:val="0"/>
      <w:divBdr>
        <w:top w:val="none" w:sz="0" w:space="0" w:color="auto"/>
        <w:left w:val="none" w:sz="0" w:space="0" w:color="auto"/>
        <w:bottom w:val="none" w:sz="0" w:space="0" w:color="auto"/>
        <w:right w:val="none" w:sz="0" w:space="0" w:color="auto"/>
      </w:divBdr>
    </w:div>
    <w:div w:id="1667781971">
      <w:bodyDiv w:val="1"/>
      <w:marLeft w:val="0"/>
      <w:marRight w:val="0"/>
      <w:marTop w:val="0"/>
      <w:marBottom w:val="0"/>
      <w:divBdr>
        <w:top w:val="none" w:sz="0" w:space="0" w:color="auto"/>
        <w:left w:val="none" w:sz="0" w:space="0" w:color="auto"/>
        <w:bottom w:val="none" w:sz="0" w:space="0" w:color="auto"/>
        <w:right w:val="none" w:sz="0" w:space="0" w:color="auto"/>
      </w:divBdr>
    </w:div>
    <w:div w:id="1668678092">
      <w:bodyDiv w:val="1"/>
      <w:marLeft w:val="0"/>
      <w:marRight w:val="0"/>
      <w:marTop w:val="0"/>
      <w:marBottom w:val="0"/>
      <w:divBdr>
        <w:top w:val="none" w:sz="0" w:space="0" w:color="auto"/>
        <w:left w:val="none" w:sz="0" w:space="0" w:color="auto"/>
        <w:bottom w:val="none" w:sz="0" w:space="0" w:color="auto"/>
        <w:right w:val="none" w:sz="0" w:space="0" w:color="auto"/>
      </w:divBdr>
    </w:div>
    <w:div w:id="1675524955">
      <w:bodyDiv w:val="1"/>
      <w:marLeft w:val="0"/>
      <w:marRight w:val="0"/>
      <w:marTop w:val="0"/>
      <w:marBottom w:val="0"/>
      <w:divBdr>
        <w:top w:val="none" w:sz="0" w:space="0" w:color="auto"/>
        <w:left w:val="none" w:sz="0" w:space="0" w:color="auto"/>
        <w:bottom w:val="none" w:sz="0" w:space="0" w:color="auto"/>
        <w:right w:val="none" w:sz="0" w:space="0" w:color="auto"/>
      </w:divBdr>
    </w:div>
    <w:div w:id="1676573637">
      <w:bodyDiv w:val="1"/>
      <w:marLeft w:val="0"/>
      <w:marRight w:val="0"/>
      <w:marTop w:val="0"/>
      <w:marBottom w:val="0"/>
      <w:divBdr>
        <w:top w:val="none" w:sz="0" w:space="0" w:color="auto"/>
        <w:left w:val="none" w:sz="0" w:space="0" w:color="auto"/>
        <w:bottom w:val="none" w:sz="0" w:space="0" w:color="auto"/>
        <w:right w:val="none" w:sz="0" w:space="0" w:color="auto"/>
      </w:divBdr>
    </w:div>
    <w:div w:id="1677877569">
      <w:bodyDiv w:val="1"/>
      <w:marLeft w:val="0"/>
      <w:marRight w:val="0"/>
      <w:marTop w:val="0"/>
      <w:marBottom w:val="0"/>
      <w:divBdr>
        <w:top w:val="none" w:sz="0" w:space="0" w:color="auto"/>
        <w:left w:val="none" w:sz="0" w:space="0" w:color="auto"/>
        <w:bottom w:val="none" w:sz="0" w:space="0" w:color="auto"/>
        <w:right w:val="none" w:sz="0" w:space="0" w:color="auto"/>
      </w:divBdr>
    </w:div>
    <w:div w:id="1682389777">
      <w:bodyDiv w:val="1"/>
      <w:marLeft w:val="0"/>
      <w:marRight w:val="0"/>
      <w:marTop w:val="0"/>
      <w:marBottom w:val="0"/>
      <w:divBdr>
        <w:top w:val="none" w:sz="0" w:space="0" w:color="auto"/>
        <w:left w:val="none" w:sz="0" w:space="0" w:color="auto"/>
        <w:bottom w:val="none" w:sz="0" w:space="0" w:color="auto"/>
        <w:right w:val="none" w:sz="0" w:space="0" w:color="auto"/>
      </w:divBdr>
    </w:div>
    <w:div w:id="1685552341">
      <w:bodyDiv w:val="1"/>
      <w:marLeft w:val="0"/>
      <w:marRight w:val="0"/>
      <w:marTop w:val="0"/>
      <w:marBottom w:val="0"/>
      <w:divBdr>
        <w:top w:val="none" w:sz="0" w:space="0" w:color="auto"/>
        <w:left w:val="none" w:sz="0" w:space="0" w:color="auto"/>
        <w:bottom w:val="none" w:sz="0" w:space="0" w:color="auto"/>
        <w:right w:val="none" w:sz="0" w:space="0" w:color="auto"/>
      </w:divBdr>
    </w:div>
    <w:div w:id="1688676098">
      <w:bodyDiv w:val="1"/>
      <w:marLeft w:val="0"/>
      <w:marRight w:val="0"/>
      <w:marTop w:val="0"/>
      <w:marBottom w:val="0"/>
      <w:divBdr>
        <w:top w:val="none" w:sz="0" w:space="0" w:color="auto"/>
        <w:left w:val="none" w:sz="0" w:space="0" w:color="auto"/>
        <w:bottom w:val="none" w:sz="0" w:space="0" w:color="auto"/>
        <w:right w:val="none" w:sz="0" w:space="0" w:color="auto"/>
      </w:divBdr>
    </w:div>
    <w:div w:id="1691567869">
      <w:bodyDiv w:val="1"/>
      <w:marLeft w:val="0"/>
      <w:marRight w:val="0"/>
      <w:marTop w:val="0"/>
      <w:marBottom w:val="0"/>
      <w:divBdr>
        <w:top w:val="none" w:sz="0" w:space="0" w:color="auto"/>
        <w:left w:val="none" w:sz="0" w:space="0" w:color="auto"/>
        <w:bottom w:val="none" w:sz="0" w:space="0" w:color="auto"/>
        <w:right w:val="none" w:sz="0" w:space="0" w:color="auto"/>
      </w:divBdr>
    </w:div>
    <w:div w:id="1698655299">
      <w:bodyDiv w:val="1"/>
      <w:marLeft w:val="0"/>
      <w:marRight w:val="0"/>
      <w:marTop w:val="0"/>
      <w:marBottom w:val="0"/>
      <w:divBdr>
        <w:top w:val="none" w:sz="0" w:space="0" w:color="auto"/>
        <w:left w:val="none" w:sz="0" w:space="0" w:color="auto"/>
        <w:bottom w:val="none" w:sz="0" w:space="0" w:color="auto"/>
        <w:right w:val="none" w:sz="0" w:space="0" w:color="auto"/>
      </w:divBdr>
    </w:div>
    <w:div w:id="1699358119">
      <w:bodyDiv w:val="1"/>
      <w:marLeft w:val="0"/>
      <w:marRight w:val="0"/>
      <w:marTop w:val="0"/>
      <w:marBottom w:val="0"/>
      <w:divBdr>
        <w:top w:val="none" w:sz="0" w:space="0" w:color="auto"/>
        <w:left w:val="none" w:sz="0" w:space="0" w:color="auto"/>
        <w:bottom w:val="none" w:sz="0" w:space="0" w:color="auto"/>
        <w:right w:val="none" w:sz="0" w:space="0" w:color="auto"/>
      </w:divBdr>
    </w:div>
    <w:div w:id="1699505310">
      <w:bodyDiv w:val="1"/>
      <w:marLeft w:val="0"/>
      <w:marRight w:val="0"/>
      <w:marTop w:val="0"/>
      <w:marBottom w:val="0"/>
      <w:divBdr>
        <w:top w:val="none" w:sz="0" w:space="0" w:color="auto"/>
        <w:left w:val="none" w:sz="0" w:space="0" w:color="auto"/>
        <w:bottom w:val="none" w:sz="0" w:space="0" w:color="auto"/>
        <w:right w:val="none" w:sz="0" w:space="0" w:color="auto"/>
      </w:divBdr>
    </w:div>
    <w:div w:id="1701321902">
      <w:bodyDiv w:val="1"/>
      <w:marLeft w:val="0"/>
      <w:marRight w:val="0"/>
      <w:marTop w:val="0"/>
      <w:marBottom w:val="0"/>
      <w:divBdr>
        <w:top w:val="none" w:sz="0" w:space="0" w:color="auto"/>
        <w:left w:val="none" w:sz="0" w:space="0" w:color="auto"/>
        <w:bottom w:val="none" w:sz="0" w:space="0" w:color="auto"/>
        <w:right w:val="none" w:sz="0" w:space="0" w:color="auto"/>
      </w:divBdr>
    </w:div>
    <w:div w:id="1719429511">
      <w:bodyDiv w:val="1"/>
      <w:marLeft w:val="0"/>
      <w:marRight w:val="0"/>
      <w:marTop w:val="0"/>
      <w:marBottom w:val="0"/>
      <w:divBdr>
        <w:top w:val="none" w:sz="0" w:space="0" w:color="auto"/>
        <w:left w:val="none" w:sz="0" w:space="0" w:color="auto"/>
        <w:bottom w:val="none" w:sz="0" w:space="0" w:color="auto"/>
        <w:right w:val="none" w:sz="0" w:space="0" w:color="auto"/>
      </w:divBdr>
    </w:div>
    <w:div w:id="1719938821">
      <w:bodyDiv w:val="1"/>
      <w:marLeft w:val="0"/>
      <w:marRight w:val="0"/>
      <w:marTop w:val="0"/>
      <w:marBottom w:val="0"/>
      <w:divBdr>
        <w:top w:val="none" w:sz="0" w:space="0" w:color="auto"/>
        <w:left w:val="none" w:sz="0" w:space="0" w:color="auto"/>
        <w:bottom w:val="none" w:sz="0" w:space="0" w:color="auto"/>
        <w:right w:val="none" w:sz="0" w:space="0" w:color="auto"/>
      </w:divBdr>
    </w:div>
    <w:div w:id="1722702694">
      <w:bodyDiv w:val="1"/>
      <w:marLeft w:val="0"/>
      <w:marRight w:val="0"/>
      <w:marTop w:val="0"/>
      <w:marBottom w:val="0"/>
      <w:divBdr>
        <w:top w:val="none" w:sz="0" w:space="0" w:color="auto"/>
        <w:left w:val="none" w:sz="0" w:space="0" w:color="auto"/>
        <w:bottom w:val="none" w:sz="0" w:space="0" w:color="auto"/>
        <w:right w:val="none" w:sz="0" w:space="0" w:color="auto"/>
      </w:divBdr>
    </w:div>
    <w:div w:id="1723601881">
      <w:bodyDiv w:val="1"/>
      <w:marLeft w:val="0"/>
      <w:marRight w:val="0"/>
      <w:marTop w:val="0"/>
      <w:marBottom w:val="0"/>
      <w:divBdr>
        <w:top w:val="none" w:sz="0" w:space="0" w:color="auto"/>
        <w:left w:val="none" w:sz="0" w:space="0" w:color="auto"/>
        <w:bottom w:val="none" w:sz="0" w:space="0" w:color="auto"/>
        <w:right w:val="none" w:sz="0" w:space="0" w:color="auto"/>
      </w:divBdr>
    </w:div>
    <w:div w:id="1724407274">
      <w:bodyDiv w:val="1"/>
      <w:marLeft w:val="0"/>
      <w:marRight w:val="0"/>
      <w:marTop w:val="0"/>
      <w:marBottom w:val="0"/>
      <w:divBdr>
        <w:top w:val="none" w:sz="0" w:space="0" w:color="auto"/>
        <w:left w:val="none" w:sz="0" w:space="0" w:color="auto"/>
        <w:bottom w:val="none" w:sz="0" w:space="0" w:color="auto"/>
        <w:right w:val="none" w:sz="0" w:space="0" w:color="auto"/>
      </w:divBdr>
    </w:div>
    <w:div w:id="1724407481">
      <w:bodyDiv w:val="1"/>
      <w:marLeft w:val="0"/>
      <w:marRight w:val="0"/>
      <w:marTop w:val="0"/>
      <w:marBottom w:val="0"/>
      <w:divBdr>
        <w:top w:val="none" w:sz="0" w:space="0" w:color="auto"/>
        <w:left w:val="none" w:sz="0" w:space="0" w:color="auto"/>
        <w:bottom w:val="none" w:sz="0" w:space="0" w:color="auto"/>
        <w:right w:val="none" w:sz="0" w:space="0" w:color="auto"/>
      </w:divBdr>
    </w:div>
    <w:div w:id="1725790083">
      <w:bodyDiv w:val="1"/>
      <w:marLeft w:val="0"/>
      <w:marRight w:val="0"/>
      <w:marTop w:val="0"/>
      <w:marBottom w:val="0"/>
      <w:divBdr>
        <w:top w:val="none" w:sz="0" w:space="0" w:color="auto"/>
        <w:left w:val="none" w:sz="0" w:space="0" w:color="auto"/>
        <w:bottom w:val="none" w:sz="0" w:space="0" w:color="auto"/>
        <w:right w:val="none" w:sz="0" w:space="0" w:color="auto"/>
      </w:divBdr>
    </w:div>
    <w:div w:id="1726298490">
      <w:bodyDiv w:val="1"/>
      <w:marLeft w:val="0"/>
      <w:marRight w:val="0"/>
      <w:marTop w:val="0"/>
      <w:marBottom w:val="0"/>
      <w:divBdr>
        <w:top w:val="none" w:sz="0" w:space="0" w:color="auto"/>
        <w:left w:val="none" w:sz="0" w:space="0" w:color="auto"/>
        <w:bottom w:val="none" w:sz="0" w:space="0" w:color="auto"/>
        <w:right w:val="none" w:sz="0" w:space="0" w:color="auto"/>
      </w:divBdr>
    </w:div>
    <w:div w:id="1730807426">
      <w:bodyDiv w:val="1"/>
      <w:marLeft w:val="0"/>
      <w:marRight w:val="0"/>
      <w:marTop w:val="0"/>
      <w:marBottom w:val="0"/>
      <w:divBdr>
        <w:top w:val="none" w:sz="0" w:space="0" w:color="auto"/>
        <w:left w:val="none" w:sz="0" w:space="0" w:color="auto"/>
        <w:bottom w:val="none" w:sz="0" w:space="0" w:color="auto"/>
        <w:right w:val="none" w:sz="0" w:space="0" w:color="auto"/>
      </w:divBdr>
    </w:div>
    <w:div w:id="1732999935">
      <w:bodyDiv w:val="1"/>
      <w:marLeft w:val="0"/>
      <w:marRight w:val="0"/>
      <w:marTop w:val="0"/>
      <w:marBottom w:val="0"/>
      <w:divBdr>
        <w:top w:val="none" w:sz="0" w:space="0" w:color="auto"/>
        <w:left w:val="none" w:sz="0" w:space="0" w:color="auto"/>
        <w:bottom w:val="none" w:sz="0" w:space="0" w:color="auto"/>
        <w:right w:val="none" w:sz="0" w:space="0" w:color="auto"/>
      </w:divBdr>
    </w:div>
    <w:div w:id="1733579709">
      <w:bodyDiv w:val="1"/>
      <w:marLeft w:val="0"/>
      <w:marRight w:val="0"/>
      <w:marTop w:val="0"/>
      <w:marBottom w:val="0"/>
      <w:divBdr>
        <w:top w:val="none" w:sz="0" w:space="0" w:color="auto"/>
        <w:left w:val="none" w:sz="0" w:space="0" w:color="auto"/>
        <w:bottom w:val="none" w:sz="0" w:space="0" w:color="auto"/>
        <w:right w:val="none" w:sz="0" w:space="0" w:color="auto"/>
      </w:divBdr>
    </w:div>
    <w:div w:id="1735154475">
      <w:bodyDiv w:val="1"/>
      <w:marLeft w:val="0"/>
      <w:marRight w:val="0"/>
      <w:marTop w:val="0"/>
      <w:marBottom w:val="0"/>
      <w:divBdr>
        <w:top w:val="none" w:sz="0" w:space="0" w:color="auto"/>
        <w:left w:val="none" w:sz="0" w:space="0" w:color="auto"/>
        <w:bottom w:val="none" w:sz="0" w:space="0" w:color="auto"/>
        <w:right w:val="none" w:sz="0" w:space="0" w:color="auto"/>
      </w:divBdr>
    </w:div>
    <w:div w:id="1738891852">
      <w:bodyDiv w:val="1"/>
      <w:marLeft w:val="0"/>
      <w:marRight w:val="0"/>
      <w:marTop w:val="0"/>
      <w:marBottom w:val="0"/>
      <w:divBdr>
        <w:top w:val="none" w:sz="0" w:space="0" w:color="auto"/>
        <w:left w:val="none" w:sz="0" w:space="0" w:color="auto"/>
        <w:bottom w:val="none" w:sz="0" w:space="0" w:color="auto"/>
        <w:right w:val="none" w:sz="0" w:space="0" w:color="auto"/>
      </w:divBdr>
    </w:div>
    <w:div w:id="1745911653">
      <w:bodyDiv w:val="1"/>
      <w:marLeft w:val="0"/>
      <w:marRight w:val="0"/>
      <w:marTop w:val="0"/>
      <w:marBottom w:val="0"/>
      <w:divBdr>
        <w:top w:val="none" w:sz="0" w:space="0" w:color="auto"/>
        <w:left w:val="none" w:sz="0" w:space="0" w:color="auto"/>
        <w:bottom w:val="none" w:sz="0" w:space="0" w:color="auto"/>
        <w:right w:val="none" w:sz="0" w:space="0" w:color="auto"/>
      </w:divBdr>
    </w:div>
    <w:div w:id="1746150395">
      <w:bodyDiv w:val="1"/>
      <w:marLeft w:val="0"/>
      <w:marRight w:val="0"/>
      <w:marTop w:val="0"/>
      <w:marBottom w:val="0"/>
      <w:divBdr>
        <w:top w:val="none" w:sz="0" w:space="0" w:color="auto"/>
        <w:left w:val="none" w:sz="0" w:space="0" w:color="auto"/>
        <w:bottom w:val="none" w:sz="0" w:space="0" w:color="auto"/>
        <w:right w:val="none" w:sz="0" w:space="0" w:color="auto"/>
      </w:divBdr>
    </w:div>
    <w:div w:id="1751803579">
      <w:bodyDiv w:val="1"/>
      <w:marLeft w:val="0"/>
      <w:marRight w:val="0"/>
      <w:marTop w:val="0"/>
      <w:marBottom w:val="0"/>
      <w:divBdr>
        <w:top w:val="none" w:sz="0" w:space="0" w:color="auto"/>
        <w:left w:val="none" w:sz="0" w:space="0" w:color="auto"/>
        <w:bottom w:val="none" w:sz="0" w:space="0" w:color="auto"/>
        <w:right w:val="none" w:sz="0" w:space="0" w:color="auto"/>
      </w:divBdr>
    </w:div>
    <w:div w:id="1752657071">
      <w:bodyDiv w:val="1"/>
      <w:marLeft w:val="0"/>
      <w:marRight w:val="0"/>
      <w:marTop w:val="0"/>
      <w:marBottom w:val="0"/>
      <w:divBdr>
        <w:top w:val="none" w:sz="0" w:space="0" w:color="auto"/>
        <w:left w:val="none" w:sz="0" w:space="0" w:color="auto"/>
        <w:bottom w:val="none" w:sz="0" w:space="0" w:color="auto"/>
        <w:right w:val="none" w:sz="0" w:space="0" w:color="auto"/>
      </w:divBdr>
    </w:div>
    <w:div w:id="1758206657">
      <w:bodyDiv w:val="1"/>
      <w:marLeft w:val="0"/>
      <w:marRight w:val="0"/>
      <w:marTop w:val="0"/>
      <w:marBottom w:val="0"/>
      <w:divBdr>
        <w:top w:val="none" w:sz="0" w:space="0" w:color="auto"/>
        <w:left w:val="none" w:sz="0" w:space="0" w:color="auto"/>
        <w:bottom w:val="none" w:sz="0" w:space="0" w:color="auto"/>
        <w:right w:val="none" w:sz="0" w:space="0" w:color="auto"/>
      </w:divBdr>
    </w:div>
    <w:div w:id="1760910401">
      <w:bodyDiv w:val="1"/>
      <w:marLeft w:val="0"/>
      <w:marRight w:val="0"/>
      <w:marTop w:val="0"/>
      <w:marBottom w:val="0"/>
      <w:divBdr>
        <w:top w:val="none" w:sz="0" w:space="0" w:color="auto"/>
        <w:left w:val="none" w:sz="0" w:space="0" w:color="auto"/>
        <w:bottom w:val="none" w:sz="0" w:space="0" w:color="auto"/>
        <w:right w:val="none" w:sz="0" w:space="0" w:color="auto"/>
      </w:divBdr>
    </w:div>
    <w:div w:id="1763600373">
      <w:bodyDiv w:val="1"/>
      <w:marLeft w:val="0"/>
      <w:marRight w:val="0"/>
      <w:marTop w:val="0"/>
      <w:marBottom w:val="0"/>
      <w:divBdr>
        <w:top w:val="none" w:sz="0" w:space="0" w:color="auto"/>
        <w:left w:val="none" w:sz="0" w:space="0" w:color="auto"/>
        <w:bottom w:val="none" w:sz="0" w:space="0" w:color="auto"/>
        <w:right w:val="none" w:sz="0" w:space="0" w:color="auto"/>
      </w:divBdr>
    </w:div>
    <w:div w:id="1764447687">
      <w:bodyDiv w:val="1"/>
      <w:marLeft w:val="0"/>
      <w:marRight w:val="0"/>
      <w:marTop w:val="0"/>
      <w:marBottom w:val="0"/>
      <w:divBdr>
        <w:top w:val="none" w:sz="0" w:space="0" w:color="auto"/>
        <w:left w:val="none" w:sz="0" w:space="0" w:color="auto"/>
        <w:bottom w:val="none" w:sz="0" w:space="0" w:color="auto"/>
        <w:right w:val="none" w:sz="0" w:space="0" w:color="auto"/>
      </w:divBdr>
    </w:div>
    <w:div w:id="1765833038">
      <w:bodyDiv w:val="1"/>
      <w:marLeft w:val="0"/>
      <w:marRight w:val="0"/>
      <w:marTop w:val="0"/>
      <w:marBottom w:val="0"/>
      <w:divBdr>
        <w:top w:val="none" w:sz="0" w:space="0" w:color="auto"/>
        <w:left w:val="none" w:sz="0" w:space="0" w:color="auto"/>
        <w:bottom w:val="none" w:sz="0" w:space="0" w:color="auto"/>
        <w:right w:val="none" w:sz="0" w:space="0" w:color="auto"/>
      </w:divBdr>
    </w:div>
    <w:div w:id="1766223461">
      <w:bodyDiv w:val="1"/>
      <w:marLeft w:val="0"/>
      <w:marRight w:val="0"/>
      <w:marTop w:val="0"/>
      <w:marBottom w:val="0"/>
      <w:divBdr>
        <w:top w:val="none" w:sz="0" w:space="0" w:color="auto"/>
        <w:left w:val="none" w:sz="0" w:space="0" w:color="auto"/>
        <w:bottom w:val="none" w:sz="0" w:space="0" w:color="auto"/>
        <w:right w:val="none" w:sz="0" w:space="0" w:color="auto"/>
      </w:divBdr>
    </w:div>
    <w:div w:id="1778210592">
      <w:bodyDiv w:val="1"/>
      <w:marLeft w:val="0"/>
      <w:marRight w:val="0"/>
      <w:marTop w:val="0"/>
      <w:marBottom w:val="0"/>
      <w:divBdr>
        <w:top w:val="none" w:sz="0" w:space="0" w:color="auto"/>
        <w:left w:val="none" w:sz="0" w:space="0" w:color="auto"/>
        <w:bottom w:val="none" w:sz="0" w:space="0" w:color="auto"/>
        <w:right w:val="none" w:sz="0" w:space="0" w:color="auto"/>
      </w:divBdr>
    </w:div>
    <w:div w:id="1778331688">
      <w:bodyDiv w:val="1"/>
      <w:marLeft w:val="0"/>
      <w:marRight w:val="0"/>
      <w:marTop w:val="0"/>
      <w:marBottom w:val="0"/>
      <w:divBdr>
        <w:top w:val="none" w:sz="0" w:space="0" w:color="auto"/>
        <w:left w:val="none" w:sz="0" w:space="0" w:color="auto"/>
        <w:bottom w:val="none" w:sz="0" w:space="0" w:color="auto"/>
        <w:right w:val="none" w:sz="0" w:space="0" w:color="auto"/>
      </w:divBdr>
    </w:div>
    <w:div w:id="1794596387">
      <w:bodyDiv w:val="1"/>
      <w:marLeft w:val="0"/>
      <w:marRight w:val="0"/>
      <w:marTop w:val="0"/>
      <w:marBottom w:val="0"/>
      <w:divBdr>
        <w:top w:val="none" w:sz="0" w:space="0" w:color="auto"/>
        <w:left w:val="none" w:sz="0" w:space="0" w:color="auto"/>
        <w:bottom w:val="none" w:sz="0" w:space="0" w:color="auto"/>
        <w:right w:val="none" w:sz="0" w:space="0" w:color="auto"/>
      </w:divBdr>
    </w:div>
    <w:div w:id="1795706304">
      <w:bodyDiv w:val="1"/>
      <w:marLeft w:val="0"/>
      <w:marRight w:val="0"/>
      <w:marTop w:val="0"/>
      <w:marBottom w:val="0"/>
      <w:divBdr>
        <w:top w:val="none" w:sz="0" w:space="0" w:color="auto"/>
        <w:left w:val="none" w:sz="0" w:space="0" w:color="auto"/>
        <w:bottom w:val="none" w:sz="0" w:space="0" w:color="auto"/>
        <w:right w:val="none" w:sz="0" w:space="0" w:color="auto"/>
      </w:divBdr>
    </w:div>
    <w:div w:id="1797528921">
      <w:bodyDiv w:val="1"/>
      <w:marLeft w:val="0"/>
      <w:marRight w:val="0"/>
      <w:marTop w:val="0"/>
      <w:marBottom w:val="0"/>
      <w:divBdr>
        <w:top w:val="none" w:sz="0" w:space="0" w:color="auto"/>
        <w:left w:val="none" w:sz="0" w:space="0" w:color="auto"/>
        <w:bottom w:val="none" w:sz="0" w:space="0" w:color="auto"/>
        <w:right w:val="none" w:sz="0" w:space="0" w:color="auto"/>
      </w:divBdr>
    </w:div>
    <w:div w:id="1799568491">
      <w:bodyDiv w:val="1"/>
      <w:marLeft w:val="0"/>
      <w:marRight w:val="0"/>
      <w:marTop w:val="0"/>
      <w:marBottom w:val="0"/>
      <w:divBdr>
        <w:top w:val="none" w:sz="0" w:space="0" w:color="auto"/>
        <w:left w:val="none" w:sz="0" w:space="0" w:color="auto"/>
        <w:bottom w:val="none" w:sz="0" w:space="0" w:color="auto"/>
        <w:right w:val="none" w:sz="0" w:space="0" w:color="auto"/>
      </w:divBdr>
    </w:div>
    <w:div w:id="1800150354">
      <w:bodyDiv w:val="1"/>
      <w:marLeft w:val="0"/>
      <w:marRight w:val="0"/>
      <w:marTop w:val="0"/>
      <w:marBottom w:val="0"/>
      <w:divBdr>
        <w:top w:val="none" w:sz="0" w:space="0" w:color="auto"/>
        <w:left w:val="none" w:sz="0" w:space="0" w:color="auto"/>
        <w:bottom w:val="none" w:sz="0" w:space="0" w:color="auto"/>
        <w:right w:val="none" w:sz="0" w:space="0" w:color="auto"/>
      </w:divBdr>
    </w:div>
    <w:div w:id="1800220909">
      <w:bodyDiv w:val="1"/>
      <w:marLeft w:val="0"/>
      <w:marRight w:val="0"/>
      <w:marTop w:val="0"/>
      <w:marBottom w:val="0"/>
      <w:divBdr>
        <w:top w:val="none" w:sz="0" w:space="0" w:color="auto"/>
        <w:left w:val="none" w:sz="0" w:space="0" w:color="auto"/>
        <w:bottom w:val="none" w:sz="0" w:space="0" w:color="auto"/>
        <w:right w:val="none" w:sz="0" w:space="0" w:color="auto"/>
      </w:divBdr>
    </w:div>
    <w:div w:id="1803838228">
      <w:bodyDiv w:val="1"/>
      <w:marLeft w:val="0"/>
      <w:marRight w:val="0"/>
      <w:marTop w:val="0"/>
      <w:marBottom w:val="0"/>
      <w:divBdr>
        <w:top w:val="none" w:sz="0" w:space="0" w:color="auto"/>
        <w:left w:val="none" w:sz="0" w:space="0" w:color="auto"/>
        <w:bottom w:val="none" w:sz="0" w:space="0" w:color="auto"/>
        <w:right w:val="none" w:sz="0" w:space="0" w:color="auto"/>
      </w:divBdr>
    </w:div>
    <w:div w:id="1805074046">
      <w:bodyDiv w:val="1"/>
      <w:marLeft w:val="0"/>
      <w:marRight w:val="0"/>
      <w:marTop w:val="0"/>
      <w:marBottom w:val="0"/>
      <w:divBdr>
        <w:top w:val="none" w:sz="0" w:space="0" w:color="auto"/>
        <w:left w:val="none" w:sz="0" w:space="0" w:color="auto"/>
        <w:bottom w:val="none" w:sz="0" w:space="0" w:color="auto"/>
        <w:right w:val="none" w:sz="0" w:space="0" w:color="auto"/>
      </w:divBdr>
    </w:div>
    <w:div w:id="1805392571">
      <w:bodyDiv w:val="1"/>
      <w:marLeft w:val="0"/>
      <w:marRight w:val="0"/>
      <w:marTop w:val="0"/>
      <w:marBottom w:val="0"/>
      <w:divBdr>
        <w:top w:val="none" w:sz="0" w:space="0" w:color="auto"/>
        <w:left w:val="none" w:sz="0" w:space="0" w:color="auto"/>
        <w:bottom w:val="none" w:sz="0" w:space="0" w:color="auto"/>
        <w:right w:val="none" w:sz="0" w:space="0" w:color="auto"/>
      </w:divBdr>
    </w:div>
    <w:div w:id="1807576565">
      <w:bodyDiv w:val="1"/>
      <w:marLeft w:val="0"/>
      <w:marRight w:val="0"/>
      <w:marTop w:val="0"/>
      <w:marBottom w:val="0"/>
      <w:divBdr>
        <w:top w:val="none" w:sz="0" w:space="0" w:color="auto"/>
        <w:left w:val="none" w:sz="0" w:space="0" w:color="auto"/>
        <w:bottom w:val="none" w:sz="0" w:space="0" w:color="auto"/>
        <w:right w:val="none" w:sz="0" w:space="0" w:color="auto"/>
      </w:divBdr>
    </w:div>
    <w:div w:id="1808278774">
      <w:bodyDiv w:val="1"/>
      <w:marLeft w:val="0"/>
      <w:marRight w:val="0"/>
      <w:marTop w:val="0"/>
      <w:marBottom w:val="0"/>
      <w:divBdr>
        <w:top w:val="none" w:sz="0" w:space="0" w:color="auto"/>
        <w:left w:val="none" w:sz="0" w:space="0" w:color="auto"/>
        <w:bottom w:val="none" w:sz="0" w:space="0" w:color="auto"/>
        <w:right w:val="none" w:sz="0" w:space="0" w:color="auto"/>
      </w:divBdr>
    </w:div>
    <w:div w:id="1809395246">
      <w:bodyDiv w:val="1"/>
      <w:marLeft w:val="0"/>
      <w:marRight w:val="0"/>
      <w:marTop w:val="0"/>
      <w:marBottom w:val="0"/>
      <w:divBdr>
        <w:top w:val="none" w:sz="0" w:space="0" w:color="auto"/>
        <w:left w:val="none" w:sz="0" w:space="0" w:color="auto"/>
        <w:bottom w:val="none" w:sz="0" w:space="0" w:color="auto"/>
        <w:right w:val="none" w:sz="0" w:space="0" w:color="auto"/>
      </w:divBdr>
    </w:div>
    <w:div w:id="1816413176">
      <w:bodyDiv w:val="1"/>
      <w:marLeft w:val="0"/>
      <w:marRight w:val="0"/>
      <w:marTop w:val="0"/>
      <w:marBottom w:val="0"/>
      <w:divBdr>
        <w:top w:val="none" w:sz="0" w:space="0" w:color="auto"/>
        <w:left w:val="none" w:sz="0" w:space="0" w:color="auto"/>
        <w:bottom w:val="none" w:sz="0" w:space="0" w:color="auto"/>
        <w:right w:val="none" w:sz="0" w:space="0" w:color="auto"/>
      </w:divBdr>
    </w:div>
    <w:div w:id="1825703408">
      <w:bodyDiv w:val="1"/>
      <w:marLeft w:val="0"/>
      <w:marRight w:val="0"/>
      <w:marTop w:val="0"/>
      <w:marBottom w:val="0"/>
      <w:divBdr>
        <w:top w:val="none" w:sz="0" w:space="0" w:color="auto"/>
        <w:left w:val="none" w:sz="0" w:space="0" w:color="auto"/>
        <w:bottom w:val="none" w:sz="0" w:space="0" w:color="auto"/>
        <w:right w:val="none" w:sz="0" w:space="0" w:color="auto"/>
      </w:divBdr>
    </w:div>
    <w:div w:id="1826389437">
      <w:bodyDiv w:val="1"/>
      <w:marLeft w:val="0"/>
      <w:marRight w:val="0"/>
      <w:marTop w:val="0"/>
      <w:marBottom w:val="0"/>
      <w:divBdr>
        <w:top w:val="none" w:sz="0" w:space="0" w:color="auto"/>
        <w:left w:val="none" w:sz="0" w:space="0" w:color="auto"/>
        <w:bottom w:val="none" w:sz="0" w:space="0" w:color="auto"/>
        <w:right w:val="none" w:sz="0" w:space="0" w:color="auto"/>
      </w:divBdr>
    </w:div>
    <w:div w:id="1829975305">
      <w:bodyDiv w:val="1"/>
      <w:marLeft w:val="0"/>
      <w:marRight w:val="0"/>
      <w:marTop w:val="0"/>
      <w:marBottom w:val="0"/>
      <w:divBdr>
        <w:top w:val="none" w:sz="0" w:space="0" w:color="auto"/>
        <w:left w:val="none" w:sz="0" w:space="0" w:color="auto"/>
        <w:bottom w:val="none" w:sz="0" w:space="0" w:color="auto"/>
        <w:right w:val="none" w:sz="0" w:space="0" w:color="auto"/>
      </w:divBdr>
    </w:div>
    <w:div w:id="1831558226">
      <w:bodyDiv w:val="1"/>
      <w:marLeft w:val="0"/>
      <w:marRight w:val="0"/>
      <w:marTop w:val="0"/>
      <w:marBottom w:val="0"/>
      <w:divBdr>
        <w:top w:val="none" w:sz="0" w:space="0" w:color="auto"/>
        <w:left w:val="none" w:sz="0" w:space="0" w:color="auto"/>
        <w:bottom w:val="none" w:sz="0" w:space="0" w:color="auto"/>
        <w:right w:val="none" w:sz="0" w:space="0" w:color="auto"/>
      </w:divBdr>
    </w:div>
    <w:div w:id="1842160887">
      <w:bodyDiv w:val="1"/>
      <w:marLeft w:val="0"/>
      <w:marRight w:val="0"/>
      <w:marTop w:val="0"/>
      <w:marBottom w:val="0"/>
      <w:divBdr>
        <w:top w:val="none" w:sz="0" w:space="0" w:color="auto"/>
        <w:left w:val="none" w:sz="0" w:space="0" w:color="auto"/>
        <w:bottom w:val="none" w:sz="0" w:space="0" w:color="auto"/>
        <w:right w:val="none" w:sz="0" w:space="0" w:color="auto"/>
      </w:divBdr>
    </w:div>
    <w:div w:id="1845899566">
      <w:bodyDiv w:val="1"/>
      <w:marLeft w:val="0"/>
      <w:marRight w:val="0"/>
      <w:marTop w:val="0"/>
      <w:marBottom w:val="0"/>
      <w:divBdr>
        <w:top w:val="none" w:sz="0" w:space="0" w:color="auto"/>
        <w:left w:val="none" w:sz="0" w:space="0" w:color="auto"/>
        <w:bottom w:val="none" w:sz="0" w:space="0" w:color="auto"/>
        <w:right w:val="none" w:sz="0" w:space="0" w:color="auto"/>
      </w:divBdr>
    </w:div>
    <w:div w:id="1846243192">
      <w:bodyDiv w:val="1"/>
      <w:marLeft w:val="0"/>
      <w:marRight w:val="0"/>
      <w:marTop w:val="0"/>
      <w:marBottom w:val="0"/>
      <w:divBdr>
        <w:top w:val="none" w:sz="0" w:space="0" w:color="auto"/>
        <w:left w:val="none" w:sz="0" w:space="0" w:color="auto"/>
        <w:bottom w:val="none" w:sz="0" w:space="0" w:color="auto"/>
        <w:right w:val="none" w:sz="0" w:space="0" w:color="auto"/>
      </w:divBdr>
    </w:div>
    <w:div w:id="1849370014">
      <w:bodyDiv w:val="1"/>
      <w:marLeft w:val="0"/>
      <w:marRight w:val="0"/>
      <w:marTop w:val="0"/>
      <w:marBottom w:val="0"/>
      <w:divBdr>
        <w:top w:val="none" w:sz="0" w:space="0" w:color="auto"/>
        <w:left w:val="none" w:sz="0" w:space="0" w:color="auto"/>
        <w:bottom w:val="none" w:sz="0" w:space="0" w:color="auto"/>
        <w:right w:val="none" w:sz="0" w:space="0" w:color="auto"/>
      </w:divBdr>
    </w:div>
    <w:div w:id="1850561502">
      <w:bodyDiv w:val="1"/>
      <w:marLeft w:val="0"/>
      <w:marRight w:val="0"/>
      <w:marTop w:val="0"/>
      <w:marBottom w:val="0"/>
      <w:divBdr>
        <w:top w:val="none" w:sz="0" w:space="0" w:color="auto"/>
        <w:left w:val="none" w:sz="0" w:space="0" w:color="auto"/>
        <w:bottom w:val="none" w:sz="0" w:space="0" w:color="auto"/>
        <w:right w:val="none" w:sz="0" w:space="0" w:color="auto"/>
      </w:divBdr>
    </w:div>
    <w:div w:id="1852986181">
      <w:bodyDiv w:val="1"/>
      <w:marLeft w:val="0"/>
      <w:marRight w:val="0"/>
      <w:marTop w:val="0"/>
      <w:marBottom w:val="0"/>
      <w:divBdr>
        <w:top w:val="none" w:sz="0" w:space="0" w:color="auto"/>
        <w:left w:val="none" w:sz="0" w:space="0" w:color="auto"/>
        <w:bottom w:val="none" w:sz="0" w:space="0" w:color="auto"/>
        <w:right w:val="none" w:sz="0" w:space="0" w:color="auto"/>
      </w:divBdr>
    </w:div>
    <w:div w:id="1853108927">
      <w:bodyDiv w:val="1"/>
      <w:marLeft w:val="0"/>
      <w:marRight w:val="0"/>
      <w:marTop w:val="0"/>
      <w:marBottom w:val="0"/>
      <w:divBdr>
        <w:top w:val="none" w:sz="0" w:space="0" w:color="auto"/>
        <w:left w:val="none" w:sz="0" w:space="0" w:color="auto"/>
        <w:bottom w:val="none" w:sz="0" w:space="0" w:color="auto"/>
        <w:right w:val="none" w:sz="0" w:space="0" w:color="auto"/>
      </w:divBdr>
    </w:div>
    <w:div w:id="1856267803">
      <w:bodyDiv w:val="1"/>
      <w:marLeft w:val="0"/>
      <w:marRight w:val="0"/>
      <w:marTop w:val="0"/>
      <w:marBottom w:val="0"/>
      <w:divBdr>
        <w:top w:val="none" w:sz="0" w:space="0" w:color="auto"/>
        <w:left w:val="none" w:sz="0" w:space="0" w:color="auto"/>
        <w:bottom w:val="none" w:sz="0" w:space="0" w:color="auto"/>
        <w:right w:val="none" w:sz="0" w:space="0" w:color="auto"/>
      </w:divBdr>
    </w:div>
    <w:div w:id="1859656015">
      <w:bodyDiv w:val="1"/>
      <w:marLeft w:val="0"/>
      <w:marRight w:val="0"/>
      <w:marTop w:val="0"/>
      <w:marBottom w:val="0"/>
      <w:divBdr>
        <w:top w:val="none" w:sz="0" w:space="0" w:color="auto"/>
        <w:left w:val="none" w:sz="0" w:space="0" w:color="auto"/>
        <w:bottom w:val="none" w:sz="0" w:space="0" w:color="auto"/>
        <w:right w:val="none" w:sz="0" w:space="0" w:color="auto"/>
      </w:divBdr>
    </w:div>
    <w:div w:id="1859661112">
      <w:bodyDiv w:val="1"/>
      <w:marLeft w:val="0"/>
      <w:marRight w:val="0"/>
      <w:marTop w:val="0"/>
      <w:marBottom w:val="0"/>
      <w:divBdr>
        <w:top w:val="none" w:sz="0" w:space="0" w:color="auto"/>
        <w:left w:val="none" w:sz="0" w:space="0" w:color="auto"/>
        <w:bottom w:val="none" w:sz="0" w:space="0" w:color="auto"/>
        <w:right w:val="none" w:sz="0" w:space="0" w:color="auto"/>
      </w:divBdr>
    </w:div>
    <w:div w:id="1860466517">
      <w:bodyDiv w:val="1"/>
      <w:marLeft w:val="0"/>
      <w:marRight w:val="0"/>
      <w:marTop w:val="0"/>
      <w:marBottom w:val="0"/>
      <w:divBdr>
        <w:top w:val="none" w:sz="0" w:space="0" w:color="auto"/>
        <w:left w:val="none" w:sz="0" w:space="0" w:color="auto"/>
        <w:bottom w:val="none" w:sz="0" w:space="0" w:color="auto"/>
        <w:right w:val="none" w:sz="0" w:space="0" w:color="auto"/>
      </w:divBdr>
    </w:div>
    <w:div w:id="1865052899">
      <w:bodyDiv w:val="1"/>
      <w:marLeft w:val="0"/>
      <w:marRight w:val="0"/>
      <w:marTop w:val="0"/>
      <w:marBottom w:val="0"/>
      <w:divBdr>
        <w:top w:val="none" w:sz="0" w:space="0" w:color="auto"/>
        <w:left w:val="none" w:sz="0" w:space="0" w:color="auto"/>
        <w:bottom w:val="none" w:sz="0" w:space="0" w:color="auto"/>
        <w:right w:val="none" w:sz="0" w:space="0" w:color="auto"/>
      </w:divBdr>
    </w:div>
    <w:div w:id="1867252896">
      <w:bodyDiv w:val="1"/>
      <w:marLeft w:val="0"/>
      <w:marRight w:val="0"/>
      <w:marTop w:val="0"/>
      <w:marBottom w:val="0"/>
      <w:divBdr>
        <w:top w:val="none" w:sz="0" w:space="0" w:color="auto"/>
        <w:left w:val="none" w:sz="0" w:space="0" w:color="auto"/>
        <w:bottom w:val="none" w:sz="0" w:space="0" w:color="auto"/>
        <w:right w:val="none" w:sz="0" w:space="0" w:color="auto"/>
      </w:divBdr>
    </w:div>
    <w:div w:id="1870336433">
      <w:bodyDiv w:val="1"/>
      <w:marLeft w:val="0"/>
      <w:marRight w:val="0"/>
      <w:marTop w:val="0"/>
      <w:marBottom w:val="0"/>
      <w:divBdr>
        <w:top w:val="none" w:sz="0" w:space="0" w:color="auto"/>
        <w:left w:val="none" w:sz="0" w:space="0" w:color="auto"/>
        <w:bottom w:val="none" w:sz="0" w:space="0" w:color="auto"/>
        <w:right w:val="none" w:sz="0" w:space="0" w:color="auto"/>
      </w:divBdr>
      <w:divsChild>
        <w:div w:id="1048457469">
          <w:marLeft w:val="0"/>
          <w:marRight w:val="0"/>
          <w:marTop w:val="0"/>
          <w:marBottom w:val="0"/>
          <w:divBdr>
            <w:top w:val="none" w:sz="0" w:space="0" w:color="auto"/>
            <w:left w:val="none" w:sz="0" w:space="0" w:color="auto"/>
            <w:bottom w:val="none" w:sz="0" w:space="0" w:color="auto"/>
            <w:right w:val="none" w:sz="0" w:space="0" w:color="auto"/>
          </w:divBdr>
        </w:div>
        <w:div w:id="2103640613">
          <w:marLeft w:val="0"/>
          <w:marRight w:val="0"/>
          <w:marTop w:val="0"/>
          <w:marBottom w:val="0"/>
          <w:divBdr>
            <w:top w:val="none" w:sz="0" w:space="0" w:color="auto"/>
            <w:left w:val="none" w:sz="0" w:space="0" w:color="auto"/>
            <w:bottom w:val="none" w:sz="0" w:space="0" w:color="auto"/>
            <w:right w:val="none" w:sz="0" w:space="0" w:color="auto"/>
          </w:divBdr>
        </w:div>
        <w:div w:id="1352075134">
          <w:marLeft w:val="0"/>
          <w:marRight w:val="0"/>
          <w:marTop w:val="0"/>
          <w:marBottom w:val="0"/>
          <w:divBdr>
            <w:top w:val="none" w:sz="0" w:space="0" w:color="auto"/>
            <w:left w:val="none" w:sz="0" w:space="0" w:color="auto"/>
            <w:bottom w:val="none" w:sz="0" w:space="0" w:color="auto"/>
            <w:right w:val="none" w:sz="0" w:space="0" w:color="auto"/>
          </w:divBdr>
        </w:div>
        <w:div w:id="104887811">
          <w:marLeft w:val="0"/>
          <w:marRight w:val="0"/>
          <w:marTop w:val="0"/>
          <w:marBottom w:val="0"/>
          <w:divBdr>
            <w:top w:val="none" w:sz="0" w:space="0" w:color="auto"/>
            <w:left w:val="none" w:sz="0" w:space="0" w:color="auto"/>
            <w:bottom w:val="none" w:sz="0" w:space="0" w:color="auto"/>
            <w:right w:val="none" w:sz="0" w:space="0" w:color="auto"/>
          </w:divBdr>
        </w:div>
      </w:divsChild>
    </w:div>
    <w:div w:id="1875463134">
      <w:bodyDiv w:val="1"/>
      <w:marLeft w:val="0"/>
      <w:marRight w:val="0"/>
      <w:marTop w:val="0"/>
      <w:marBottom w:val="0"/>
      <w:divBdr>
        <w:top w:val="none" w:sz="0" w:space="0" w:color="auto"/>
        <w:left w:val="none" w:sz="0" w:space="0" w:color="auto"/>
        <w:bottom w:val="none" w:sz="0" w:space="0" w:color="auto"/>
        <w:right w:val="none" w:sz="0" w:space="0" w:color="auto"/>
      </w:divBdr>
    </w:div>
    <w:div w:id="1877505317">
      <w:bodyDiv w:val="1"/>
      <w:marLeft w:val="0"/>
      <w:marRight w:val="0"/>
      <w:marTop w:val="0"/>
      <w:marBottom w:val="0"/>
      <w:divBdr>
        <w:top w:val="none" w:sz="0" w:space="0" w:color="auto"/>
        <w:left w:val="none" w:sz="0" w:space="0" w:color="auto"/>
        <w:bottom w:val="none" w:sz="0" w:space="0" w:color="auto"/>
        <w:right w:val="none" w:sz="0" w:space="0" w:color="auto"/>
      </w:divBdr>
    </w:div>
    <w:div w:id="1881476179">
      <w:bodyDiv w:val="1"/>
      <w:marLeft w:val="0"/>
      <w:marRight w:val="0"/>
      <w:marTop w:val="0"/>
      <w:marBottom w:val="0"/>
      <w:divBdr>
        <w:top w:val="none" w:sz="0" w:space="0" w:color="auto"/>
        <w:left w:val="none" w:sz="0" w:space="0" w:color="auto"/>
        <w:bottom w:val="none" w:sz="0" w:space="0" w:color="auto"/>
        <w:right w:val="none" w:sz="0" w:space="0" w:color="auto"/>
      </w:divBdr>
    </w:div>
    <w:div w:id="1885364604">
      <w:bodyDiv w:val="1"/>
      <w:marLeft w:val="0"/>
      <w:marRight w:val="0"/>
      <w:marTop w:val="0"/>
      <w:marBottom w:val="0"/>
      <w:divBdr>
        <w:top w:val="none" w:sz="0" w:space="0" w:color="auto"/>
        <w:left w:val="none" w:sz="0" w:space="0" w:color="auto"/>
        <w:bottom w:val="none" w:sz="0" w:space="0" w:color="auto"/>
        <w:right w:val="none" w:sz="0" w:space="0" w:color="auto"/>
      </w:divBdr>
    </w:div>
    <w:div w:id="1888564516">
      <w:bodyDiv w:val="1"/>
      <w:marLeft w:val="0"/>
      <w:marRight w:val="0"/>
      <w:marTop w:val="0"/>
      <w:marBottom w:val="0"/>
      <w:divBdr>
        <w:top w:val="none" w:sz="0" w:space="0" w:color="auto"/>
        <w:left w:val="none" w:sz="0" w:space="0" w:color="auto"/>
        <w:bottom w:val="none" w:sz="0" w:space="0" w:color="auto"/>
        <w:right w:val="none" w:sz="0" w:space="0" w:color="auto"/>
      </w:divBdr>
    </w:div>
    <w:div w:id="1892376115">
      <w:bodyDiv w:val="1"/>
      <w:marLeft w:val="0"/>
      <w:marRight w:val="0"/>
      <w:marTop w:val="0"/>
      <w:marBottom w:val="0"/>
      <w:divBdr>
        <w:top w:val="none" w:sz="0" w:space="0" w:color="auto"/>
        <w:left w:val="none" w:sz="0" w:space="0" w:color="auto"/>
        <w:bottom w:val="none" w:sz="0" w:space="0" w:color="auto"/>
        <w:right w:val="none" w:sz="0" w:space="0" w:color="auto"/>
      </w:divBdr>
    </w:div>
    <w:div w:id="1896814069">
      <w:bodyDiv w:val="1"/>
      <w:marLeft w:val="0"/>
      <w:marRight w:val="0"/>
      <w:marTop w:val="0"/>
      <w:marBottom w:val="0"/>
      <w:divBdr>
        <w:top w:val="none" w:sz="0" w:space="0" w:color="auto"/>
        <w:left w:val="none" w:sz="0" w:space="0" w:color="auto"/>
        <w:bottom w:val="none" w:sz="0" w:space="0" w:color="auto"/>
        <w:right w:val="none" w:sz="0" w:space="0" w:color="auto"/>
      </w:divBdr>
    </w:div>
    <w:div w:id="1897816076">
      <w:bodyDiv w:val="1"/>
      <w:marLeft w:val="0"/>
      <w:marRight w:val="0"/>
      <w:marTop w:val="0"/>
      <w:marBottom w:val="0"/>
      <w:divBdr>
        <w:top w:val="none" w:sz="0" w:space="0" w:color="auto"/>
        <w:left w:val="none" w:sz="0" w:space="0" w:color="auto"/>
        <w:bottom w:val="none" w:sz="0" w:space="0" w:color="auto"/>
        <w:right w:val="none" w:sz="0" w:space="0" w:color="auto"/>
      </w:divBdr>
    </w:div>
    <w:div w:id="1898936418">
      <w:bodyDiv w:val="1"/>
      <w:marLeft w:val="0"/>
      <w:marRight w:val="0"/>
      <w:marTop w:val="0"/>
      <w:marBottom w:val="0"/>
      <w:divBdr>
        <w:top w:val="none" w:sz="0" w:space="0" w:color="auto"/>
        <w:left w:val="none" w:sz="0" w:space="0" w:color="auto"/>
        <w:bottom w:val="none" w:sz="0" w:space="0" w:color="auto"/>
        <w:right w:val="none" w:sz="0" w:space="0" w:color="auto"/>
      </w:divBdr>
    </w:div>
    <w:div w:id="1903370528">
      <w:bodyDiv w:val="1"/>
      <w:marLeft w:val="0"/>
      <w:marRight w:val="0"/>
      <w:marTop w:val="0"/>
      <w:marBottom w:val="0"/>
      <w:divBdr>
        <w:top w:val="none" w:sz="0" w:space="0" w:color="auto"/>
        <w:left w:val="none" w:sz="0" w:space="0" w:color="auto"/>
        <w:bottom w:val="none" w:sz="0" w:space="0" w:color="auto"/>
        <w:right w:val="none" w:sz="0" w:space="0" w:color="auto"/>
      </w:divBdr>
    </w:div>
    <w:div w:id="1904100279">
      <w:bodyDiv w:val="1"/>
      <w:marLeft w:val="0"/>
      <w:marRight w:val="0"/>
      <w:marTop w:val="0"/>
      <w:marBottom w:val="0"/>
      <w:divBdr>
        <w:top w:val="none" w:sz="0" w:space="0" w:color="auto"/>
        <w:left w:val="none" w:sz="0" w:space="0" w:color="auto"/>
        <w:bottom w:val="none" w:sz="0" w:space="0" w:color="auto"/>
        <w:right w:val="none" w:sz="0" w:space="0" w:color="auto"/>
      </w:divBdr>
    </w:div>
    <w:div w:id="1909874709">
      <w:bodyDiv w:val="1"/>
      <w:marLeft w:val="0"/>
      <w:marRight w:val="0"/>
      <w:marTop w:val="0"/>
      <w:marBottom w:val="0"/>
      <w:divBdr>
        <w:top w:val="none" w:sz="0" w:space="0" w:color="auto"/>
        <w:left w:val="none" w:sz="0" w:space="0" w:color="auto"/>
        <w:bottom w:val="none" w:sz="0" w:space="0" w:color="auto"/>
        <w:right w:val="none" w:sz="0" w:space="0" w:color="auto"/>
      </w:divBdr>
    </w:div>
    <w:div w:id="1915968905">
      <w:bodyDiv w:val="1"/>
      <w:marLeft w:val="0"/>
      <w:marRight w:val="0"/>
      <w:marTop w:val="0"/>
      <w:marBottom w:val="0"/>
      <w:divBdr>
        <w:top w:val="none" w:sz="0" w:space="0" w:color="auto"/>
        <w:left w:val="none" w:sz="0" w:space="0" w:color="auto"/>
        <w:bottom w:val="none" w:sz="0" w:space="0" w:color="auto"/>
        <w:right w:val="none" w:sz="0" w:space="0" w:color="auto"/>
      </w:divBdr>
    </w:div>
    <w:div w:id="1923102494">
      <w:bodyDiv w:val="1"/>
      <w:marLeft w:val="0"/>
      <w:marRight w:val="0"/>
      <w:marTop w:val="0"/>
      <w:marBottom w:val="0"/>
      <w:divBdr>
        <w:top w:val="none" w:sz="0" w:space="0" w:color="auto"/>
        <w:left w:val="none" w:sz="0" w:space="0" w:color="auto"/>
        <w:bottom w:val="none" w:sz="0" w:space="0" w:color="auto"/>
        <w:right w:val="none" w:sz="0" w:space="0" w:color="auto"/>
      </w:divBdr>
    </w:div>
    <w:div w:id="1923448288">
      <w:bodyDiv w:val="1"/>
      <w:marLeft w:val="0"/>
      <w:marRight w:val="0"/>
      <w:marTop w:val="0"/>
      <w:marBottom w:val="0"/>
      <w:divBdr>
        <w:top w:val="none" w:sz="0" w:space="0" w:color="auto"/>
        <w:left w:val="none" w:sz="0" w:space="0" w:color="auto"/>
        <w:bottom w:val="none" w:sz="0" w:space="0" w:color="auto"/>
        <w:right w:val="none" w:sz="0" w:space="0" w:color="auto"/>
      </w:divBdr>
    </w:div>
    <w:div w:id="1925336986">
      <w:bodyDiv w:val="1"/>
      <w:marLeft w:val="0"/>
      <w:marRight w:val="0"/>
      <w:marTop w:val="0"/>
      <w:marBottom w:val="0"/>
      <w:divBdr>
        <w:top w:val="none" w:sz="0" w:space="0" w:color="auto"/>
        <w:left w:val="none" w:sz="0" w:space="0" w:color="auto"/>
        <w:bottom w:val="none" w:sz="0" w:space="0" w:color="auto"/>
        <w:right w:val="none" w:sz="0" w:space="0" w:color="auto"/>
      </w:divBdr>
    </w:div>
    <w:div w:id="1926525683">
      <w:bodyDiv w:val="1"/>
      <w:marLeft w:val="0"/>
      <w:marRight w:val="0"/>
      <w:marTop w:val="0"/>
      <w:marBottom w:val="0"/>
      <w:divBdr>
        <w:top w:val="none" w:sz="0" w:space="0" w:color="auto"/>
        <w:left w:val="none" w:sz="0" w:space="0" w:color="auto"/>
        <w:bottom w:val="none" w:sz="0" w:space="0" w:color="auto"/>
        <w:right w:val="none" w:sz="0" w:space="0" w:color="auto"/>
      </w:divBdr>
    </w:div>
    <w:div w:id="1933776589">
      <w:bodyDiv w:val="1"/>
      <w:marLeft w:val="0"/>
      <w:marRight w:val="0"/>
      <w:marTop w:val="0"/>
      <w:marBottom w:val="0"/>
      <w:divBdr>
        <w:top w:val="none" w:sz="0" w:space="0" w:color="auto"/>
        <w:left w:val="none" w:sz="0" w:space="0" w:color="auto"/>
        <w:bottom w:val="none" w:sz="0" w:space="0" w:color="auto"/>
        <w:right w:val="none" w:sz="0" w:space="0" w:color="auto"/>
      </w:divBdr>
    </w:div>
    <w:div w:id="1934128157">
      <w:bodyDiv w:val="1"/>
      <w:marLeft w:val="0"/>
      <w:marRight w:val="0"/>
      <w:marTop w:val="0"/>
      <w:marBottom w:val="0"/>
      <w:divBdr>
        <w:top w:val="none" w:sz="0" w:space="0" w:color="auto"/>
        <w:left w:val="none" w:sz="0" w:space="0" w:color="auto"/>
        <w:bottom w:val="none" w:sz="0" w:space="0" w:color="auto"/>
        <w:right w:val="none" w:sz="0" w:space="0" w:color="auto"/>
      </w:divBdr>
    </w:div>
    <w:div w:id="1939367495">
      <w:bodyDiv w:val="1"/>
      <w:marLeft w:val="0"/>
      <w:marRight w:val="0"/>
      <w:marTop w:val="0"/>
      <w:marBottom w:val="0"/>
      <w:divBdr>
        <w:top w:val="none" w:sz="0" w:space="0" w:color="auto"/>
        <w:left w:val="none" w:sz="0" w:space="0" w:color="auto"/>
        <w:bottom w:val="none" w:sz="0" w:space="0" w:color="auto"/>
        <w:right w:val="none" w:sz="0" w:space="0" w:color="auto"/>
      </w:divBdr>
    </w:div>
    <w:div w:id="1943567326">
      <w:bodyDiv w:val="1"/>
      <w:marLeft w:val="0"/>
      <w:marRight w:val="0"/>
      <w:marTop w:val="0"/>
      <w:marBottom w:val="0"/>
      <w:divBdr>
        <w:top w:val="none" w:sz="0" w:space="0" w:color="auto"/>
        <w:left w:val="none" w:sz="0" w:space="0" w:color="auto"/>
        <w:bottom w:val="none" w:sz="0" w:space="0" w:color="auto"/>
        <w:right w:val="none" w:sz="0" w:space="0" w:color="auto"/>
      </w:divBdr>
    </w:div>
    <w:div w:id="1948271276">
      <w:bodyDiv w:val="1"/>
      <w:marLeft w:val="0"/>
      <w:marRight w:val="0"/>
      <w:marTop w:val="0"/>
      <w:marBottom w:val="0"/>
      <w:divBdr>
        <w:top w:val="none" w:sz="0" w:space="0" w:color="auto"/>
        <w:left w:val="none" w:sz="0" w:space="0" w:color="auto"/>
        <w:bottom w:val="none" w:sz="0" w:space="0" w:color="auto"/>
        <w:right w:val="none" w:sz="0" w:space="0" w:color="auto"/>
      </w:divBdr>
    </w:div>
    <w:div w:id="1952129851">
      <w:bodyDiv w:val="1"/>
      <w:marLeft w:val="0"/>
      <w:marRight w:val="0"/>
      <w:marTop w:val="0"/>
      <w:marBottom w:val="0"/>
      <w:divBdr>
        <w:top w:val="none" w:sz="0" w:space="0" w:color="auto"/>
        <w:left w:val="none" w:sz="0" w:space="0" w:color="auto"/>
        <w:bottom w:val="none" w:sz="0" w:space="0" w:color="auto"/>
        <w:right w:val="none" w:sz="0" w:space="0" w:color="auto"/>
      </w:divBdr>
    </w:div>
    <w:div w:id="1953895855">
      <w:bodyDiv w:val="1"/>
      <w:marLeft w:val="0"/>
      <w:marRight w:val="0"/>
      <w:marTop w:val="0"/>
      <w:marBottom w:val="0"/>
      <w:divBdr>
        <w:top w:val="none" w:sz="0" w:space="0" w:color="auto"/>
        <w:left w:val="none" w:sz="0" w:space="0" w:color="auto"/>
        <w:bottom w:val="none" w:sz="0" w:space="0" w:color="auto"/>
        <w:right w:val="none" w:sz="0" w:space="0" w:color="auto"/>
      </w:divBdr>
    </w:div>
    <w:div w:id="1954750502">
      <w:bodyDiv w:val="1"/>
      <w:marLeft w:val="0"/>
      <w:marRight w:val="0"/>
      <w:marTop w:val="0"/>
      <w:marBottom w:val="0"/>
      <w:divBdr>
        <w:top w:val="none" w:sz="0" w:space="0" w:color="auto"/>
        <w:left w:val="none" w:sz="0" w:space="0" w:color="auto"/>
        <w:bottom w:val="none" w:sz="0" w:space="0" w:color="auto"/>
        <w:right w:val="none" w:sz="0" w:space="0" w:color="auto"/>
      </w:divBdr>
    </w:div>
    <w:div w:id="1956862816">
      <w:bodyDiv w:val="1"/>
      <w:marLeft w:val="0"/>
      <w:marRight w:val="0"/>
      <w:marTop w:val="0"/>
      <w:marBottom w:val="0"/>
      <w:divBdr>
        <w:top w:val="none" w:sz="0" w:space="0" w:color="auto"/>
        <w:left w:val="none" w:sz="0" w:space="0" w:color="auto"/>
        <w:bottom w:val="none" w:sz="0" w:space="0" w:color="auto"/>
        <w:right w:val="none" w:sz="0" w:space="0" w:color="auto"/>
      </w:divBdr>
    </w:div>
    <w:div w:id="1958103167">
      <w:bodyDiv w:val="1"/>
      <w:marLeft w:val="0"/>
      <w:marRight w:val="0"/>
      <w:marTop w:val="0"/>
      <w:marBottom w:val="0"/>
      <w:divBdr>
        <w:top w:val="none" w:sz="0" w:space="0" w:color="auto"/>
        <w:left w:val="none" w:sz="0" w:space="0" w:color="auto"/>
        <w:bottom w:val="none" w:sz="0" w:space="0" w:color="auto"/>
        <w:right w:val="none" w:sz="0" w:space="0" w:color="auto"/>
      </w:divBdr>
    </w:div>
    <w:div w:id="1959483625">
      <w:bodyDiv w:val="1"/>
      <w:marLeft w:val="0"/>
      <w:marRight w:val="0"/>
      <w:marTop w:val="0"/>
      <w:marBottom w:val="0"/>
      <w:divBdr>
        <w:top w:val="none" w:sz="0" w:space="0" w:color="auto"/>
        <w:left w:val="none" w:sz="0" w:space="0" w:color="auto"/>
        <w:bottom w:val="none" w:sz="0" w:space="0" w:color="auto"/>
        <w:right w:val="none" w:sz="0" w:space="0" w:color="auto"/>
      </w:divBdr>
    </w:div>
    <w:div w:id="1959872033">
      <w:bodyDiv w:val="1"/>
      <w:marLeft w:val="0"/>
      <w:marRight w:val="0"/>
      <w:marTop w:val="0"/>
      <w:marBottom w:val="0"/>
      <w:divBdr>
        <w:top w:val="none" w:sz="0" w:space="0" w:color="auto"/>
        <w:left w:val="none" w:sz="0" w:space="0" w:color="auto"/>
        <w:bottom w:val="none" w:sz="0" w:space="0" w:color="auto"/>
        <w:right w:val="none" w:sz="0" w:space="0" w:color="auto"/>
      </w:divBdr>
    </w:div>
    <w:div w:id="1960451373">
      <w:bodyDiv w:val="1"/>
      <w:marLeft w:val="0"/>
      <w:marRight w:val="0"/>
      <w:marTop w:val="0"/>
      <w:marBottom w:val="0"/>
      <w:divBdr>
        <w:top w:val="none" w:sz="0" w:space="0" w:color="auto"/>
        <w:left w:val="none" w:sz="0" w:space="0" w:color="auto"/>
        <w:bottom w:val="none" w:sz="0" w:space="0" w:color="auto"/>
        <w:right w:val="none" w:sz="0" w:space="0" w:color="auto"/>
      </w:divBdr>
    </w:div>
    <w:div w:id="1962422048">
      <w:bodyDiv w:val="1"/>
      <w:marLeft w:val="0"/>
      <w:marRight w:val="0"/>
      <w:marTop w:val="0"/>
      <w:marBottom w:val="0"/>
      <w:divBdr>
        <w:top w:val="none" w:sz="0" w:space="0" w:color="auto"/>
        <w:left w:val="none" w:sz="0" w:space="0" w:color="auto"/>
        <w:bottom w:val="none" w:sz="0" w:space="0" w:color="auto"/>
        <w:right w:val="none" w:sz="0" w:space="0" w:color="auto"/>
      </w:divBdr>
    </w:div>
    <w:div w:id="1965576821">
      <w:bodyDiv w:val="1"/>
      <w:marLeft w:val="0"/>
      <w:marRight w:val="0"/>
      <w:marTop w:val="0"/>
      <w:marBottom w:val="0"/>
      <w:divBdr>
        <w:top w:val="none" w:sz="0" w:space="0" w:color="auto"/>
        <w:left w:val="none" w:sz="0" w:space="0" w:color="auto"/>
        <w:bottom w:val="none" w:sz="0" w:space="0" w:color="auto"/>
        <w:right w:val="none" w:sz="0" w:space="0" w:color="auto"/>
      </w:divBdr>
    </w:div>
    <w:div w:id="1966570835">
      <w:bodyDiv w:val="1"/>
      <w:marLeft w:val="0"/>
      <w:marRight w:val="0"/>
      <w:marTop w:val="0"/>
      <w:marBottom w:val="0"/>
      <w:divBdr>
        <w:top w:val="none" w:sz="0" w:space="0" w:color="auto"/>
        <w:left w:val="none" w:sz="0" w:space="0" w:color="auto"/>
        <w:bottom w:val="none" w:sz="0" w:space="0" w:color="auto"/>
        <w:right w:val="none" w:sz="0" w:space="0" w:color="auto"/>
      </w:divBdr>
    </w:div>
    <w:div w:id="1968002623">
      <w:bodyDiv w:val="1"/>
      <w:marLeft w:val="0"/>
      <w:marRight w:val="0"/>
      <w:marTop w:val="0"/>
      <w:marBottom w:val="0"/>
      <w:divBdr>
        <w:top w:val="none" w:sz="0" w:space="0" w:color="auto"/>
        <w:left w:val="none" w:sz="0" w:space="0" w:color="auto"/>
        <w:bottom w:val="none" w:sz="0" w:space="0" w:color="auto"/>
        <w:right w:val="none" w:sz="0" w:space="0" w:color="auto"/>
      </w:divBdr>
    </w:div>
    <w:div w:id="1971283051">
      <w:bodyDiv w:val="1"/>
      <w:marLeft w:val="0"/>
      <w:marRight w:val="0"/>
      <w:marTop w:val="0"/>
      <w:marBottom w:val="0"/>
      <w:divBdr>
        <w:top w:val="none" w:sz="0" w:space="0" w:color="auto"/>
        <w:left w:val="none" w:sz="0" w:space="0" w:color="auto"/>
        <w:bottom w:val="none" w:sz="0" w:space="0" w:color="auto"/>
        <w:right w:val="none" w:sz="0" w:space="0" w:color="auto"/>
      </w:divBdr>
    </w:div>
    <w:div w:id="1976107698">
      <w:bodyDiv w:val="1"/>
      <w:marLeft w:val="0"/>
      <w:marRight w:val="0"/>
      <w:marTop w:val="0"/>
      <w:marBottom w:val="0"/>
      <w:divBdr>
        <w:top w:val="none" w:sz="0" w:space="0" w:color="auto"/>
        <w:left w:val="none" w:sz="0" w:space="0" w:color="auto"/>
        <w:bottom w:val="none" w:sz="0" w:space="0" w:color="auto"/>
        <w:right w:val="none" w:sz="0" w:space="0" w:color="auto"/>
      </w:divBdr>
    </w:div>
    <w:div w:id="1976176873">
      <w:bodyDiv w:val="1"/>
      <w:marLeft w:val="0"/>
      <w:marRight w:val="0"/>
      <w:marTop w:val="0"/>
      <w:marBottom w:val="0"/>
      <w:divBdr>
        <w:top w:val="none" w:sz="0" w:space="0" w:color="auto"/>
        <w:left w:val="none" w:sz="0" w:space="0" w:color="auto"/>
        <w:bottom w:val="none" w:sz="0" w:space="0" w:color="auto"/>
        <w:right w:val="none" w:sz="0" w:space="0" w:color="auto"/>
      </w:divBdr>
    </w:div>
    <w:div w:id="1977251841">
      <w:bodyDiv w:val="1"/>
      <w:marLeft w:val="0"/>
      <w:marRight w:val="0"/>
      <w:marTop w:val="0"/>
      <w:marBottom w:val="0"/>
      <w:divBdr>
        <w:top w:val="none" w:sz="0" w:space="0" w:color="auto"/>
        <w:left w:val="none" w:sz="0" w:space="0" w:color="auto"/>
        <w:bottom w:val="none" w:sz="0" w:space="0" w:color="auto"/>
        <w:right w:val="none" w:sz="0" w:space="0" w:color="auto"/>
      </w:divBdr>
    </w:div>
    <w:div w:id="1982416125">
      <w:bodyDiv w:val="1"/>
      <w:marLeft w:val="0"/>
      <w:marRight w:val="0"/>
      <w:marTop w:val="0"/>
      <w:marBottom w:val="0"/>
      <w:divBdr>
        <w:top w:val="none" w:sz="0" w:space="0" w:color="auto"/>
        <w:left w:val="none" w:sz="0" w:space="0" w:color="auto"/>
        <w:bottom w:val="none" w:sz="0" w:space="0" w:color="auto"/>
        <w:right w:val="none" w:sz="0" w:space="0" w:color="auto"/>
      </w:divBdr>
    </w:div>
    <w:div w:id="1982613569">
      <w:bodyDiv w:val="1"/>
      <w:marLeft w:val="0"/>
      <w:marRight w:val="0"/>
      <w:marTop w:val="0"/>
      <w:marBottom w:val="0"/>
      <w:divBdr>
        <w:top w:val="none" w:sz="0" w:space="0" w:color="auto"/>
        <w:left w:val="none" w:sz="0" w:space="0" w:color="auto"/>
        <w:bottom w:val="none" w:sz="0" w:space="0" w:color="auto"/>
        <w:right w:val="none" w:sz="0" w:space="0" w:color="auto"/>
      </w:divBdr>
    </w:div>
    <w:div w:id="1986274800">
      <w:bodyDiv w:val="1"/>
      <w:marLeft w:val="0"/>
      <w:marRight w:val="0"/>
      <w:marTop w:val="0"/>
      <w:marBottom w:val="0"/>
      <w:divBdr>
        <w:top w:val="none" w:sz="0" w:space="0" w:color="auto"/>
        <w:left w:val="none" w:sz="0" w:space="0" w:color="auto"/>
        <w:bottom w:val="none" w:sz="0" w:space="0" w:color="auto"/>
        <w:right w:val="none" w:sz="0" w:space="0" w:color="auto"/>
      </w:divBdr>
    </w:div>
    <w:div w:id="1987706886">
      <w:bodyDiv w:val="1"/>
      <w:marLeft w:val="0"/>
      <w:marRight w:val="0"/>
      <w:marTop w:val="0"/>
      <w:marBottom w:val="0"/>
      <w:divBdr>
        <w:top w:val="none" w:sz="0" w:space="0" w:color="auto"/>
        <w:left w:val="none" w:sz="0" w:space="0" w:color="auto"/>
        <w:bottom w:val="none" w:sz="0" w:space="0" w:color="auto"/>
        <w:right w:val="none" w:sz="0" w:space="0" w:color="auto"/>
      </w:divBdr>
    </w:div>
    <w:div w:id="1989742479">
      <w:bodyDiv w:val="1"/>
      <w:marLeft w:val="0"/>
      <w:marRight w:val="0"/>
      <w:marTop w:val="0"/>
      <w:marBottom w:val="0"/>
      <w:divBdr>
        <w:top w:val="none" w:sz="0" w:space="0" w:color="auto"/>
        <w:left w:val="none" w:sz="0" w:space="0" w:color="auto"/>
        <w:bottom w:val="none" w:sz="0" w:space="0" w:color="auto"/>
        <w:right w:val="none" w:sz="0" w:space="0" w:color="auto"/>
      </w:divBdr>
    </w:div>
    <w:div w:id="1994673333">
      <w:bodyDiv w:val="1"/>
      <w:marLeft w:val="0"/>
      <w:marRight w:val="0"/>
      <w:marTop w:val="0"/>
      <w:marBottom w:val="0"/>
      <w:divBdr>
        <w:top w:val="none" w:sz="0" w:space="0" w:color="auto"/>
        <w:left w:val="none" w:sz="0" w:space="0" w:color="auto"/>
        <w:bottom w:val="none" w:sz="0" w:space="0" w:color="auto"/>
        <w:right w:val="none" w:sz="0" w:space="0" w:color="auto"/>
      </w:divBdr>
    </w:div>
    <w:div w:id="1994674876">
      <w:bodyDiv w:val="1"/>
      <w:marLeft w:val="0"/>
      <w:marRight w:val="0"/>
      <w:marTop w:val="0"/>
      <w:marBottom w:val="0"/>
      <w:divBdr>
        <w:top w:val="none" w:sz="0" w:space="0" w:color="auto"/>
        <w:left w:val="none" w:sz="0" w:space="0" w:color="auto"/>
        <w:bottom w:val="none" w:sz="0" w:space="0" w:color="auto"/>
        <w:right w:val="none" w:sz="0" w:space="0" w:color="auto"/>
      </w:divBdr>
    </w:div>
    <w:div w:id="1997755538">
      <w:bodyDiv w:val="1"/>
      <w:marLeft w:val="0"/>
      <w:marRight w:val="0"/>
      <w:marTop w:val="0"/>
      <w:marBottom w:val="0"/>
      <w:divBdr>
        <w:top w:val="none" w:sz="0" w:space="0" w:color="auto"/>
        <w:left w:val="none" w:sz="0" w:space="0" w:color="auto"/>
        <w:bottom w:val="none" w:sz="0" w:space="0" w:color="auto"/>
        <w:right w:val="none" w:sz="0" w:space="0" w:color="auto"/>
      </w:divBdr>
    </w:div>
    <w:div w:id="1999379851">
      <w:bodyDiv w:val="1"/>
      <w:marLeft w:val="0"/>
      <w:marRight w:val="0"/>
      <w:marTop w:val="0"/>
      <w:marBottom w:val="0"/>
      <w:divBdr>
        <w:top w:val="none" w:sz="0" w:space="0" w:color="auto"/>
        <w:left w:val="none" w:sz="0" w:space="0" w:color="auto"/>
        <w:bottom w:val="none" w:sz="0" w:space="0" w:color="auto"/>
        <w:right w:val="none" w:sz="0" w:space="0" w:color="auto"/>
      </w:divBdr>
    </w:div>
    <w:div w:id="2000380912">
      <w:bodyDiv w:val="1"/>
      <w:marLeft w:val="0"/>
      <w:marRight w:val="0"/>
      <w:marTop w:val="0"/>
      <w:marBottom w:val="0"/>
      <w:divBdr>
        <w:top w:val="none" w:sz="0" w:space="0" w:color="auto"/>
        <w:left w:val="none" w:sz="0" w:space="0" w:color="auto"/>
        <w:bottom w:val="none" w:sz="0" w:space="0" w:color="auto"/>
        <w:right w:val="none" w:sz="0" w:space="0" w:color="auto"/>
      </w:divBdr>
    </w:div>
    <w:div w:id="2001233515">
      <w:bodyDiv w:val="1"/>
      <w:marLeft w:val="0"/>
      <w:marRight w:val="0"/>
      <w:marTop w:val="0"/>
      <w:marBottom w:val="0"/>
      <w:divBdr>
        <w:top w:val="none" w:sz="0" w:space="0" w:color="auto"/>
        <w:left w:val="none" w:sz="0" w:space="0" w:color="auto"/>
        <w:bottom w:val="none" w:sz="0" w:space="0" w:color="auto"/>
        <w:right w:val="none" w:sz="0" w:space="0" w:color="auto"/>
      </w:divBdr>
    </w:div>
    <w:div w:id="2001960180">
      <w:bodyDiv w:val="1"/>
      <w:marLeft w:val="0"/>
      <w:marRight w:val="0"/>
      <w:marTop w:val="0"/>
      <w:marBottom w:val="0"/>
      <w:divBdr>
        <w:top w:val="none" w:sz="0" w:space="0" w:color="auto"/>
        <w:left w:val="none" w:sz="0" w:space="0" w:color="auto"/>
        <w:bottom w:val="none" w:sz="0" w:space="0" w:color="auto"/>
        <w:right w:val="none" w:sz="0" w:space="0" w:color="auto"/>
      </w:divBdr>
    </w:div>
    <w:div w:id="2006855203">
      <w:bodyDiv w:val="1"/>
      <w:marLeft w:val="0"/>
      <w:marRight w:val="0"/>
      <w:marTop w:val="0"/>
      <w:marBottom w:val="0"/>
      <w:divBdr>
        <w:top w:val="none" w:sz="0" w:space="0" w:color="auto"/>
        <w:left w:val="none" w:sz="0" w:space="0" w:color="auto"/>
        <w:bottom w:val="none" w:sz="0" w:space="0" w:color="auto"/>
        <w:right w:val="none" w:sz="0" w:space="0" w:color="auto"/>
      </w:divBdr>
      <w:divsChild>
        <w:div w:id="1173497071">
          <w:marLeft w:val="0"/>
          <w:marRight w:val="0"/>
          <w:marTop w:val="0"/>
          <w:marBottom w:val="0"/>
          <w:divBdr>
            <w:top w:val="none" w:sz="0" w:space="0" w:color="auto"/>
            <w:left w:val="none" w:sz="0" w:space="0" w:color="auto"/>
            <w:bottom w:val="none" w:sz="0" w:space="0" w:color="auto"/>
            <w:right w:val="none" w:sz="0" w:space="0" w:color="auto"/>
          </w:divBdr>
        </w:div>
      </w:divsChild>
    </w:div>
    <w:div w:id="2007585669">
      <w:bodyDiv w:val="1"/>
      <w:marLeft w:val="0"/>
      <w:marRight w:val="0"/>
      <w:marTop w:val="0"/>
      <w:marBottom w:val="0"/>
      <w:divBdr>
        <w:top w:val="none" w:sz="0" w:space="0" w:color="auto"/>
        <w:left w:val="none" w:sz="0" w:space="0" w:color="auto"/>
        <w:bottom w:val="none" w:sz="0" w:space="0" w:color="auto"/>
        <w:right w:val="none" w:sz="0" w:space="0" w:color="auto"/>
      </w:divBdr>
    </w:div>
    <w:div w:id="2009090514">
      <w:bodyDiv w:val="1"/>
      <w:marLeft w:val="0"/>
      <w:marRight w:val="0"/>
      <w:marTop w:val="0"/>
      <w:marBottom w:val="0"/>
      <w:divBdr>
        <w:top w:val="none" w:sz="0" w:space="0" w:color="auto"/>
        <w:left w:val="none" w:sz="0" w:space="0" w:color="auto"/>
        <w:bottom w:val="none" w:sz="0" w:space="0" w:color="auto"/>
        <w:right w:val="none" w:sz="0" w:space="0" w:color="auto"/>
      </w:divBdr>
    </w:div>
    <w:div w:id="2014335803">
      <w:bodyDiv w:val="1"/>
      <w:marLeft w:val="0"/>
      <w:marRight w:val="0"/>
      <w:marTop w:val="0"/>
      <w:marBottom w:val="0"/>
      <w:divBdr>
        <w:top w:val="none" w:sz="0" w:space="0" w:color="auto"/>
        <w:left w:val="none" w:sz="0" w:space="0" w:color="auto"/>
        <w:bottom w:val="none" w:sz="0" w:space="0" w:color="auto"/>
        <w:right w:val="none" w:sz="0" w:space="0" w:color="auto"/>
      </w:divBdr>
    </w:div>
    <w:div w:id="2017346702">
      <w:bodyDiv w:val="1"/>
      <w:marLeft w:val="0"/>
      <w:marRight w:val="0"/>
      <w:marTop w:val="0"/>
      <w:marBottom w:val="0"/>
      <w:divBdr>
        <w:top w:val="none" w:sz="0" w:space="0" w:color="auto"/>
        <w:left w:val="none" w:sz="0" w:space="0" w:color="auto"/>
        <w:bottom w:val="none" w:sz="0" w:space="0" w:color="auto"/>
        <w:right w:val="none" w:sz="0" w:space="0" w:color="auto"/>
      </w:divBdr>
    </w:div>
    <w:div w:id="2020545383">
      <w:bodyDiv w:val="1"/>
      <w:marLeft w:val="0"/>
      <w:marRight w:val="0"/>
      <w:marTop w:val="0"/>
      <w:marBottom w:val="0"/>
      <w:divBdr>
        <w:top w:val="none" w:sz="0" w:space="0" w:color="auto"/>
        <w:left w:val="none" w:sz="0" w:space="0" w:color="auto"/>
        <w:bottom w:val="none" w:sz="0" w:space="0" w:color="auto"/>
        <w:right w:val="none" w:sz="0" w:space="0" w:color="auto"/>
      </w:divBdr>
    </w:div>
    <w:div w:id="2034383081">
      <w:bodyDiv w:val="1"/>
      <w:marLeft w:val="0"/>
      <w:marRight w:val="0"/>
      <w:marTop w:val="0"/>
      <w:marBottom w:val="0"/>
      <w:divBdr>
        <w:top w:val="none" w:sz="0" w:space="0" w:color="auto"/>
        <w:left w:val="none" w:sz="0" w:space="0" w:color="auto"/>
        <w:bottom w:val="none" w:sz="0" w:space="0" w:color="auto"/>
        <w:right w:val="none" w:sz="0" w:space="0" w:color="auto"/>
      </w:divBdr>
    </w:div>
    <w:div w:id="2036928067">
      <w:bodyDiv w:val="1"/>
      <w:marLeft w:val="0"/>
      <w:marRight w:val="0"/>
      <w:marTop w:val="0"/>
      <w:marBottom w:val="0"/>
      <w:divBdr>
        <w:top w:val="none" w:sz="0" w:space="0" w:color="auto"/>
        <w:left w:val="none" w:sz="0" w:space="0" w:color="auto"/>
        <w:bottom w:val="none" w:sz="0" w:space="0" w:color="auto"/>
        <w:right w:val="none" w:sz="0" w:space="0" w:color="auto"/>
      </w:divBdr>
    </w:div>
    <w:div w:id="2038045010">
      <w:bodyDiv w:val="1"/>
      <w:marLeft w:val="0"/>
      <w:marRight w:val="0"/>
      <w:marTop w:val="0"/>
      <w:marBottom w:val="0"/>
      <w:divBdr>
        <w:top w:val="none" w:sz="0" w:space="0" w:color="auto"/>
        <w:left w:val="none" w:sz="0" w:space="0" w:color="auto"/>
        <w:bottom w:val="none" w:sz="0" w:space="0" w:color="auto"/>
        <w:right w:val="none" w:sz="0" w:space="0" w:color="auto"/>
      </w:divBdr>
    </w:div>
    <w:div w:id="2038581181">
      <w:bodyDiv w:val="1"/>
      <w:marLeft w:val="0"/>
      <w:marRight w:val="0"/>
      <w:marTop w:val="0"/>
      <w:marBottom w:val="0"/>
      <w:divBdr>
        <w:top w:val="none" w:sz="0" w:space="0" w:color="auto"/>
        <w:left w:val="none" w:sz="0" w:space="0" w:color="auto"/>
        <w:bottom w:val="none" w:sz="0" w:space="0" w:color="auto"/>
        <w:right w:val="none" w:sz="0" w:space="0" w:color="auto"/>
      </w:divBdr>
    </w:div>
    <w:div w:id="2044553048">
      <w:bodyDiv w:val="1"/>
      <w:marLeft w:val="0"/>
      <w:marRight w:val="0"/>
      <w:marTop w:val="0"/>
      <w:marBottom w:val="0"/>
      <w:divBdr>
        <w:top w:val="none" w:sz="0" w:space="0" w:color="auto"/>
        <w:left w:val="none" w:sz="0" w:space="0" w:color="auto"/>
        <w:bottom w:val="none" w:sz="0" w:space="0" w:color="auto"/>
        <w:right w:val="none" w:sz="0" w:space="0" w:color="auto"/>
      </w:divBdr>
    </w:div>
    <w:div w:id="2057122346">
      <w:bodyDiv w:val="1"/>
      <w:marLeft w:val="0"/>
      <w:marRight w:val="0"/>
      <w:marTop w:val="0"/>
      <w:marBottom w:val="0"/>
      <w:divBdr>
        <w:top w:val="none" w:sz="0" w:space="0" w:color="auto"/>
        <w:left w:val="none" w:sz="0" w:space="0" w:color="auto"/>
        <w:bottom w:val="none" w:sz="0" w:space="0" w:color="auto"/>
        <w:right w:val="none" w:sz="0" w:space="0" w:color="auto"/>
      </w:divBdr>
    </w:div>
    <w:div w:id="2059281745">
      <w:bodyDiv w:val="1"/>
      <w:marLeft w:val="0"/>
      <w:marRight w:val="0"/>
      <w:marTop w:val="0"/>
      <w:marBottom w:val="0"/>
      <w:divBdr>
        <w:top w:val="none" w:sz="0" w:space="0" w:color="auto"/>
        <w:left w:val="none" w:sz="0" w:space="0" w:color="auto"/>
        <w:bottom w:val="none" w:sz="0" w:space="0" w:color="auto"/>
        <w:right w:val="none" w:sz="0" w:space="0" w:color="auto"/>
      </w:divBdr>
    </w:div>
    <w:div w:id="2073191636">
      <w:bodyDiv w:val="1"/>
      <w:marLeft w:val="0"/>
      <w:marRight w:val="0"/>
      <w:marTop w:val="0"/>
      <w:marBottom w:val="0"/>
      <w:divBdr>
        <w:top w:val="none" w:sz="0" w:space="0" w:color="auto"/>
        <w:left w:val="none" w:sz="0" w:space="0" w:color="auto"/>
        <w:bottom w:val="none" w:sz="0" w:space="0" w:color="auto"/>
        <w:right w:val="none" w:sz="0" w:space="0" w:color="auto"/>
      </w:divBdr>
    </w:div>
    <w:div w:id="2074038414">
      <w:bodyDiv w:val="1"/>
      <w:marLeft w:val="0"/>
      <w:marRight w:val="0"/>
      <w:marTop w:val="0"/>
      <w:marBottom w:val="0"/>
      <w:divBdr>
        <w:top w:val="none" w:sz="0" w:space="0" w:color="auto"/>
        <w:left w:val="none" w:sz="0" w:space="0" w:color="auto"/>
        <w:bottom w:val="none" w:sz="0" w:space="0" w:color="auto"/>
        <w:right w:val="none" w:sz="0" w:space="0" w:color="auto"/>
      </w:divBdr>
    </w:div>
    <w:div w:id="2076389949">
      <w:bodyDiv w:val="1"/>
      <w:marLeft w:val="0"/>
      <w:marRight w:val="0"/>
      <w:marTop w:val="0"/>
      <w:marBottom w:val="0"/>
      <w:divBdr>
        <w:top w:val="none" w:sz="0" w:space="0" w:color="auto"/>
        <w:left w:val="none" w:sz="0" w:space="0" w:color="auto"/>
        <w:bottom w:val="none" w:sz="0" w:space="0" w:color="auto"/>
        <w:right w:val="none" w:sz="0" w:space="0" w:color="auto"/>
      </w:divBdr>
    </w:div>
    <w:div w:id="2076926546">
      <w:bodyDiv w:val="1"/>
      <w:marLeft w:val="0"/>
      <w:marRight w:val="0"/>
      <w:marTop w:val="0"/>
      <w:marBottom w:val="0"/>
      <w:divBdr>
        <w:top w:val="none" w:sz="0" w:space="0" w:color="auto"/>
        <w:left w:val="none" w:sz="0" w:space="0" w:color="auto"/>
        <w:bottom w:val="none" w:sz="0" w:space="0" w:color="auto"/>
        <w:right w:val="none" w:sz="0" w:space="0" w:color="auto"/>
      </w:divBdr>
    </w:div>
    <w:div w:id="2077049603">
      <w:bodyDiv w:val="1"/>
      <w:marLeft w:val="0"/>
      <w:marRight w:val="0"/>
      <w:marTop w:val="0"/>
      <w:marBottom w:val="0"/>
      <w:divBdr>
        <w:top w:val="none" w:sz="0" w:space="0" w:color="auto"/>
        <w:left w:val="none" w:sz="0" w:space="0" w:color="auto"/>
        <w:bottom w:val="none" w:sz="0" w:space="0" w:color="auto"/>
        <w:right w:val="none" w:sz="0" w:space="0" w:color="auto"/>
      </w:divBdr>
    </w:div>
    <w:div w:id="2084524495">
      <w:bodyDiv w:val="1"/>
      <w:marLeft w:val="0"/>
      <w:marRight w:val="0"/>
      <w:marTop w:val="0"/>
      <w:marBottom w:val="0"/>
      <w:divBdr>
        <w:top w:val="none" w:sz="0" w:space="0" w:color="auto"/>
        <w:left w:val="none" w:sz="0" w:space="0" w:color="auto"/>
        <w:bottom w:val="none" w:sz="0" w:space="0" w:color="auto"/>
        <w:right w:val="none" w:sz="0" w:space="0" w:color="auto"/>
      </w:divBdr>
    </w:div>
    <w:div w:id="2091076880">
      <w:bodyDiv w:val="1"/>
      <w:marLeft w:val="0"/>
      <w:marRight w:val="0"/>
      <w:marTop w:val="0"/>
      <w:marBottom w:val="0"/>
      <w:divBdr>
        <w:top w:val="none" w:sz="0" w:space="0" w:color="auto"/>
        <w:left w:val="none" w:sz="0" w:space="0" w:color="auto"/>
        <w:bottom w:val="none" w:sz="0" w:space="0" w:color="auto"/>
        <w:right w:val="none" w:sz="0" w:space="0" w:color="auto"/>
      </w:divBdr>
    </w:div>
    <w:div w:id="2094156319">
      <w:bodyDiv w:val="1"/>
      <w:marLeft w:val="0"/>
      <w:marRight w:val="0"/>
      <w:marTop w:val="0"/>
      <w:marBottom w:val="0"/>
      <w:divBdr>
        <w:top w:val="none" w:sz="0" w:space="0" w:color="auto"/>
        <w:left w:val="none" w:sz="0" w:space="0" w:color="auto"/>
        <w:bottom w:val="none" w:sz="0" w:space="0" w:color="auto"/>
        <w:right w:val="none" w:sz="0" w:space="0" w:color="auto"/>
      </w:divBdr>
    </w:div>
    <w:div w:id="2095205546">
      <w:bodyDiv w:val="1"/>
      <w:marLeft w:val="0"/>
      <w:marRight w:val="0"/>
      <w:marTop w:val="0"/>
      <w:marBottom w:val="0"/>
      <w:divBdr>
        <w:top w:val="none" w:sz="0" w:space="0" w:color="auto"/>
        <w:left w:val="none" w:sz="0" w:space="0" w:color="auto"/>
        <w:bottom w:val="none" w:sz="0" w:space="0" w:color="auto"/>
        <w:right w:val="none" w:sz="0" w:space="0" w:color="auto"/>
      </w:divBdr>
    </w:div>
    <w:div w:id="2118257133">
      <w:bodyDiv w:val="1"/>
      <w:marLeft w:val="0"/>
      <w:marRight w:val="0"/>
      <w:marTop w:val="0"/>
      <w:marBottom w:val="0"/>
      <w:divBdr>
        <w:top w:val="none" w:sz="0" w:space="0" w:color="auto"/>
        <w:left w:val="none" w:sz="0" w:space="0" w:color="auto"/>
        <w:bottom w:val="none" w:sz="0" w:space="0" w:color="auto"/>
        <w:right w:val="none" w:sz="0" w:space="0" w:color="auto"/>
      </w:divBdr>
    </w:div>
    <w:div w:id="2124494237">
      <w:bodyDiv w:val="1"/>
      <w:marLeft w:val="0"/>
      <w:marRight w:val="0"/>
      <w:marTop w:val="0"/>
      <w:marBottom w:val="0"/>
      <w:divBdr>
        <w:top w:val="none" w:sz="0" w:space="0" w:color="auto"/>
        <w:left w:val="none" w:sz="0" w:space="0" w:color="auto"/>
        <w:bottom w:val="none" w:sz="0" w:space="0" w:color="auto"/>
        <w:right w:val="none" w:sz="0" w:space="0" w:color="auto"/>
      </w:divBdr>
    </w:div>
    <w:div w:id="2127264797">
      <w:bodyDiv w:val="1"/>
      <w:marLeft w:val="0"/>
      <w:marRight w:val="0"/>
      <w:marTop w:val="0"/>
      <w:marBottom w:val="0"/>
      <w:divBdr>
        <w:top w:val="none" w:sz="0" w:space="0" w:color="auto"/>
        <w:left w:val="none" w:sz="0" w:space="0" w:color="auto"/>
        <w:bottom w:val="none" w:sz="0" w:space="0" w:color="auto"/>
        <w:right w:val="none" w:sz="0" w:space="0" w:color="auto"/>
      </w:divBdr>
    </w:div>
    <w:div w:id="2128501280">
      <w:bodyDiv w:val="1"/>
      <w:marLeft w:val="0"/>
      <w:marRight w:val="0"/>
      <w:marTop w:val="0"/>
      <w:marBottom w:val="0"/>
      <w:divBdr>
        <w:top w:val="none" w:sz="0" w:space="0" w:color="auto"/>
        <w:left w:val="none" w:sz="0" w:space="0" w:color="auto"/>
        <w:bottom w:val="none" w:sz="0" w:space="0" w:color="auto"/>
        <w:right w:val="none" w:sz="0" w:space="0" w:color="auto"/>
      </w:divBdr>
    </w:div>
    <w:div w:id="2129270986">
      <w:bodyDiv w:val="1"/>
      <w:marLeft w:val="0"/>
      <w:marRight w:val="0"/>
      <w:marTop w:val="0"/>
      <w:marBottom w:val="0"/>
      <w:divBdr>
        <w:top w:val="none" w:sz="0" w:space="0" w:color="auto"/>
        <w:left w:val="none" w:sz="0" w:space="0" w:color="auto"/>
        <w:bottom w:val="none" w:sz="0" w:space="0" w:color="auto"/>
        <w:right w:val="none" w:sz="0" w:space="0" w:color="auto"/>
      </w:divBdr>
    </w:div>
    <w:div w:id="2133014300">
      <w:bodyDiv w:val="1"/>
      <w:marLeft w:val="0"/>
      <w:marRight w:val="0"/>
      <w:marTop w:val="0"/>
      <w:marBottom w:val="0"/>
      <w:divBdr>
        <w:top w:val="none" w:sz="0" w:space="0" w:color="auto"/>
        <w:left w:val="none" w:sz="0" w:space="0" w:color="auto"/>
        <w:bottom w:val="none" w:sz="0" w:space="0" w:color="auto"/>
        <w:right w:val="none" w:sz="0" w:space="0" w:color="auto"/>
      </w:divBdr>
    </w:div>
    <w:div w:id="2134787440">
      <w:bodyDiv w:val="1"/>
      <w:marLeft w:val="0"/>
      <w:marRight w:val="0"/>
      <w:marTop w:val="0"/>
      <w:marBottom w:val="0"/>
      <w:divBdr>
        <w:top w:val="none" w:sz="0" w:space="0" w:color="auto"/>
        <w:left w:val="none" w:sz="0" w:space="0" w:color="auto"/>
        <w:bottom w:val="none" w:sz="0" w:space="0" w:color="auto"/>
        <w:right w:val="none" w:sz="0" w:space="0" w:color="auto"/>
      </w:divBdr>
    </w:div>
    <w:div w:id="2137601262">
      <w:bodyDiv w:val="1"/>
      <w:marLeft w:val="0"/>
      <w:marRight w:val="0"/>
      <w:marTop w:val="0"/>
      <w:marBottom w:val="0"/>
      <w:divBdr>
        <w:top w:val="none" w:sz="0" w:space="0" w:color="auto"/>
        <w:left w:val="none" w:sz="0" w:space="0" w:color="auto"/>
        <w:bottom w:val="none" w:sz="0" w:space="0" w:color="auto"/>
        <w:right w:val="none" w:sz="0" w:space="0" w:color="auto"/>
      </w:divBdr>
    </w:div>
    <w:div w:id="2139909245">
      <w:bodyDiv w:val="1"/>
      <w:marLeft w:val="0"/>
      <w:marRight w:val="0"/>
      <w:marTop w:val="0"/>
      <w:marBottom w:val="0"/>
      <w:divBdr>
        <w:top w:val="none" w:sz="0" w:space="0" w:color="auto"/>
        <w:left w:val="none" w:sz="0" w:space="0" w:color="auto"/>
        <w:bottom w:val="none" w:sz="0" w:space="0" w:color="auto"/>
        <w:right w:val="none" w:sz="0" w:space="0" w:color="auto"/>
      </w:divBdr>
    </w:div>
    <w:div w:id="2142266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093/schbul/sbae043" TargetMode="External"/><Relationship Id="rId21" Type="http://schemas.openxmlformats.org/officeDocument/2006/relationships/hyperlink" Target="https://www.psychiatry.org/psychiatrists/practice/clinical-practice-guidelines" TargetMode="External"/><Relationship Id="rId42" Type="http://schemas.openxmlformats.org/officeDocument/2006/relationships/hyperlink" Target="https://jdc.jefferson.edu/mphcapstone_presentation/448/" TargetMode="External"/><Relationship Id="rId63" Type="http://schemas.openxmlformats.org/officeDocument/2006/relationships/hyperlink" Target="https://doi.org/10.3390/jcm11154530" TargetMode="External"/><Relationship Id="rId84" Type="http://schemas.openxmlformats.org/officeDocument/2006/relationships/hyperlink" Target="https://doi.org/10.1186/s12916-018-1201-9" TargetMode="External"/><Relationship Id="rId138" Type="http://schemas.openxmlformats.org/officeDocument/2006/relationships/hyperlink" Target="https://doi.org/10.1521/ijct_2016_09_04" TargetMode="External"/><Relationship Id="rId159" Type="http://schemas.openxmlformats.org/officeDocument/2006/relationships/hyperlink" Target="https://doi.org/10.2105/ajph.2020.305657" TargetMode="External"/><Relationship Id="rId170" Type="http://schemas.openxmlformats.org/officeDocument/2006/relationships/hyperlink" Target="https://doi.org/10.1093/schbul/sbr072" TargetMode="External"/><Relationship Id="rId191" Type="http://schemas.openxmlformats.org/officeDocument/2006/relationships/hyperlink" Target="https://doi.org/10.1136/bmjopen-2016-012611" TargetMode="External"/><Relationship Id="rId205" Type="http://schemas.openxmlformats.org/officeDocument/2006/relationships/hyperlink" Target="https://doi.org/10.1016/j.schres.2016.05.001" TargetMode="External"/><Relationship Id="rId107" Type="http://schemas.openxmlformats.org/officeDocument/2006/relationships/hyperlink" Target="https://doi.org/10.1093/schbul/sbad120" TargetMode="External"/><Relationship Id="rId11" Type="http://schemas.openxmlformats.org/officeDocument/2006/relationships/hyperlink" Target="http://GOV.UK" TargetMode="External"/><Relationship Id="rId32" Type="http://schemas.openxmlformats.org/officeDocument/2006/relationships/hyperlink" Target="https://doi.org/10.1016/j.eclinm.2023.102392" TargetMode="External"/><Relationship Id="rId53" Type="http://schemas.openxmlformats.org/officeDocument/2006/relationships/hyperlink" Target="https://doi.org/10.1186/s12916-018-1035-5" TargetMode="External"/><Relationship Id="rId74" Type="http://schemas.openxmlformats.org/officeDocument/2006/relationships/hyperlink" Target="https://www.gov.uk/guidance/equality-act-2010-guidance" TargetMode="External"/><Relationship Id="rId128" Type="http://schemas.openxmlformats.org/officeDocument/2006/relationships/hyperlink" Target="https://doi.org/10.1017/s0033291721001768" TargetMode="External"/><Relationship Id="rId149" Type="http://schemas.openxmlformats.org/officeDocument/2006/relationships/hyperlink" Target="https://www.geh.nhs.uk/about-us/improving-access-healthcare" TargetMode="External"/><Relationship Id="rId5" Type="http://schemas.openxmlformats.org/officeDocument/2006/relationships/webSettings" Target="webSettings.xml"/><Relationship Id="rId95" Type="http://schemas.openxmlformats.org/officeDocument/2006/relationships/hyperlink" Target="https://doi.org/10.31887/dcns.2010.12.3/ajablensky" TargetMode="External"/><Relationship Id="rId160" Type="http://schemas.openxmlformats.org/officeDocument/2006/relationships/hyperlink" Target="https://ueaeprints.uea.ac.uk/id/eprint/77639/" TargetMode="External"/><Relationship Id="rId181" Type="http://schemas.openxmlformats.org/officeDocument/2006/relationships/hyperlink" Target="https://doi.org/10.1093/schbul/sby017.783" TargetMode="External"/><Relationship Id="rId216" Type="http://schemas.openxmlformats.org/officeDocument/2006/relationships/image" Target="media/image10.png"/><Relationship Id="rId22" Type="http://schemas.openxmlformats.org/officeDocument/2006/relationships/hyperlink" Target="https://doi.org/10.1111/j.1748-0361.2000.tb00452.x" TargetMode="External"/><Relationship Id="rId43" Type="http://schemas.openxmlformats.org/officeDocument/2006/relationships/hyperlink" Target="https://doi.org/10.1016/s0140-6736(23)02081-0" TargetMode="External"/><Relationship Id="rId64" Type="http://schemas.openxmlformats.org/officeDocument/2006/relationships/hyperlink" Target="https://doi.org/10.22377/ajp.v12i02.2319" TargetMode="External"/><Relationship Id="rId118" Type="http://schemas.openxmlformats.org/officeDocument/2006/relationships/hyperlink" Target="https://bmchealthservres.biomedcentral.com/articles/10.1186/s12913-023-10030-8" TargetMode="External"/><Relationship Id="rId139" Type="http://schemas.openxmlformats.org/officeDocument/2006/relationships/hyperlink" Target="https://doi.org/10.1177/16094069231205789" TargetMode="External"/><Relationship Id="rId85" Type="http://schemas.openxmlformats.org/officeDocument/2006/relationships/hyperlink" Target="https://doi.org/10.1007/s00127-019-01758-y" TargetMode="External"/><Relationship Id="rId150" Type="http://schemas.openxmlformats.org/officeDocument/2006/relationships/hyperlink" Target="https://www.hra.nhs.uk/planning-and-improving-research/policies-standards-legislation/mental-capacity-act/" TargetMode="External"/><Relationship Id="rId171" Type="http://schemas.openxmlformats.org/officeDocument/2006/relationships/hyperlink" Target="https://doi.org/10.1192/bjo.2024.801" TargetMode="External"/><Relationship Id="rId192" Type="http://schemas.openxmlformats.org/officeDocument/2006/relationships/hyperlink" Target="https://doi.org/10.1097/00131746-200401000-00002" TargetMode="External"/><Relationship Id="rId206" Type="http://schemas.openxmlformats.org/officeDocument/2006/relationships/hyperlink" Target="https://www.who.int/news-room/fact-sheets/detail/schizophrenia" TargetMode="External"/><Relationship Id="rId12" Type="http://schemas.openxmlformats.org/officeDocument/2006/relationships/hyperlink" Target="http://GOV.UK" TargetMode="External"/><Relationship Id="rId33" Type="http://schemas.openxmlformats.org/officeDocument/2006/relationships/hyperlink" Target="https://doi.org/10.1017/s0033291700009740" TargetMode="External"/><Relationship Id="rId108" Type="http://schemas.openxmlformats.org/officeDocument/2006/relationships/hyperlink" Target="https://doi.org/10.1001/jamapsychiatry.2016.1976" TargetMode="External"/><Relationship Id="rId129" Type="http://schemas.openxmlformats.org/officeDocument/2006/relationships/hyperlink" Target="https://doi.org/10.1001/jamapsychiatry.2019.3360" TargetMode="External"/><Relationship Id="rId54" Type="http://schemas.openxmlformats.org/officeDocument/2006/relationships/hyperlink" Target="https://libguides.bcu.ac.uk/critical-evaluation/checklist-approach" TargetMode="External"/><Relationship Id="rId75" Type="http://schemas.openxmlformats.org/officeDocument/2006/relationships/hyperlink" Target="https://www.legislation.gov.uk/ukpga/1983/20/contents?utm" TargetMode="External"/><Relationship Id="rId96" Type="http://schemas.openxmlformats.org/officeDocument/2006/relationships/hyperlink" Target="https://doi.org/10.31887/dcns.2010.12.3" TargetMode="External"/><Relationship Id="rId140" Type="http://schemas.openxmlformats.org/officeDocument/2006/relationships/hyperlink" Target="https://www.nimh.nih.gov/health/topics/schizophrenia" TargetMode="External"/><Relationship Id="rId161" Type="http://schemas.openxmlformats.org/officeDocument/2006/relationships/hyperlink" Target="https://doi.org/10.1186/s40900-023-00433-6" TargetMode="External"/><Relationship Id="rId182" Type="http://schemas.openxmlformats.org/officeDocument/2006/relationships/hyperlink" Target="https://doi.org/10.1017/9781911623793.008" TargetMode="External"/><Relationship Id="rId217" Type="http://schemas.openxmlformats.org/officeDocument/2006/relationships/image" Target="media/image11.png"/><Relationship Id="rId6" Type="http://schemas.openxmlformats.org/officeDocument/2006/relationships/footnotes" Target="footnotes.xml"/><Relationship Id="rId23" Type="http://schemas.openxmlformats.org/officeDocument/2006/relationships/hyperlink" Target="https://doi.org/10.1176/appi.focus.20240033" TargetMode="External"/><Relationship Id="rId119" Type="http://schemas.openxmlformats.org/officeDocument/2006/relationships/hyperlink" Target="https://doi.org/10.1177/10398562211037333" TargetMode="External"/><Relationship Id="rId44" Type="http://schemas.openxmlformats.org/officeDocument/2006/relationships/hyperlink" Target="https://doi.org/10.1007/s11920-019-1017-0" TargetMode="External"/><Relationship Id="rId65" Type="http://schemas.openxmlformats.org/officeDocument/2006/relationships/hyperlink" Target="https://doi.org/10.1111/hex.12963" TargetMode="External"/><Relationship Id="rId86" Type="http://schemas.openxmlformats.org/officeDocument/2006/relationships/hyperlink" Target="https://www.ncbi.nlm.nih.gov/books/NBK539864/" TargetMode="External"/><Relationship Id="rId130" Type="http://schemas.openxmlformats.org/officeDocument/2006/relationships/hyperlink" Target="https://doi.org/10.1159/000078973" TargetMode="External"/><Relationship Id="rId151" Type="http://schemas.openxmlformats.org/officeDocument/2006/relationships/hyperlink" Target="https://www.nice.org.uk/guidance/cg178/resources/surveillance-report-2017-psychosis-and-schizophrenia-in-adults-prevention-and-management-2014-nice-guideline-cg178-4661271325/chapter/Commentary-on-selected-evidence" TargetMode="External"/><Relationship Id="rId172" Type="http://schemas.openxmlformats.org/officeDocument/2006/relationships/hyperlink" Target="https://www.rcpsych.ac.uk/news-and-features/blogs/detail/presidents-blog/2024/05/31/an-urgent-call-for-change--tackling-the-discrimination-faced-by-people-with-severe-mental-illness?utm" TargetMode="External"/><Relationship Id="rId193" Type="http://schemas.openxmlformats.org/officeDocument/2006/relationships/hyperlink" Target="https://guides.library.illinois.edu/c.php?g=563215&amp;p=3877584" TargetMode="External"/><Relationship Id="rId207" Type="http://schemas.openxmlformats.org/officeDocument/2006/relationships/hyperlink" Target="https://doi.org/10.4103/0019-5545.94660" TargetMode="External"/><Relationship Id="rId13" Type="http://schemas.openxmlformats.org/officeDocument/2006/relationships/hyperlink" Target="http://GOV.UK" TargetMode="External"/><Relationship Id="rId109" Type="http://schemas.openxmlformats.org/officeDocument/2006/relationships/hyperlink" Target="https://doi.org/10.1002/wps.20940" TargetMode="External"/><Relationship Id="rId34" Type="http://schemas.openxmlformats.org/officeDocument/2006/relationships/hyperlink" Target="https://doi.org/10.1348/147608308x329540" TargetMode="External"/><Relationship Id="rId55" Type="http://schemas.openxmlformats.org/officeDocument/2006/relationships/hyperlink" Target="https://assets.publishing.service.gov.uk/media/5f6cc6138fa8f541f6763295/Mental-capacity-act-code-of-practice.pdf" TargetMode="External"/><Relationship Id="rId76" Type="http://schemas.openxmlformats.org/officeDocument/2006/relationships/hyperlink" Target="Https://Www.Indiacode.Nic.In/Bitstream/123456789/2249/1/A2017-10.Pdf" TargetMode="External"/><Relationship Id="rId97" Type="http://schemas.openxmlformats.org/officeDocument/2006/relationships/hyperlink" Target="https://doi.org/10.1093/schbul/sbm151" TargetMode="External"/><Relationship Id="rId120" Type="http://schemas.openxmlformats.org/officeDocument/2006/relationships/hyperlink" Target="https://doi.org/10.4103/ijsp.ijsp_141_20" TargetMode="External"/><Relationship Id="rId141" Type="http://schemas.openxmlformats.org/officeDocument/2006/relationships/hyperlink" Target="https://doi.org/10.3399/bjgp17x692069" TargetMode="External"/><Relationship Id="rId7" Type="http://schemas.openxmlformats.org/officeDocument/2006/relationships/endnotes" Target="endnotes.xml"/><Relationship Id="rId162" Type="http://schemas.openxmlformats.org/officeDocument/2006/relationships/hyperlink" Target="https://doi.org/10.1111/j.1600-0047.2004.00386.x" TargetMode="External"/><Relationship Id="rId183" Type="http://schemas.openxmlformats.org/officeDocument/2006/relationships/hyperlink" Target="https://doi.org/10.3390/molecules23082087" TargetMode="External"/><Relationship Id="rId218" Type="http://schemas.openxmlformats.org/officeDocument/2006/relationships/fontTable" Target="fontTable.xml"/><Relationship Id="rId24" Type="http://schemas.openxmlformats.org/officeDocument/2006/relationships/hyperlink" Target="https://doi.org/10.1007/s42979-023-01696-2" TargetMode="External"/><Relationship Id="rId45" Type="http://schemas.openxmlformats.org/officeDocument/2006/relationships/hyperlink" Target="https://doi.org/10.1186/s12888-019-2052-4" TargetMode="External"/><Relationship Id="rId66" Type="http://schemas.openxmlformats.org/officeDocument/2006/relationships/hyperlink" Target="https://doi.org/10.1159/000110052" TargetMode="External"/><Relationship Id="rId87" Type="http://schemas.openxmlformats.org/officeDocument/2006/relationships/hyperlink" Target="https://doi.org/10.1371/journal.pone.0082365" TargetMode="External"/><Relationship Id="rId110" Type="http://schemas.openxmlformats.org/officeDocument/2006/relationships/hyperlink" Target="https://doi.org/10.1371/journal.pone.0031660" TargetMode="External"/><Relationship Id="rId131" Type="http://schemas.openxmlformats.org/officeDocument/2006/relationships/hyperlink" Target="https://doi.org/10.1111/1475-6773.12171" TargetMode="External"/><Relationship Id="rId152" Type="http://schemas.openxmlformats.org/officeDocument/2006/relationships/hyperlink" Target="https://www.nice.org.uk/about/what-we-do/our-programmes/nice-guidance/nice-guidelines" TargetMode="External"/><Relationship Id="rId173" Type="http://schemas.openxmlformats.org/officeDocument/2006/relationships/hyperlink" Target="https://www.rcpsych.ac.uk/news-and-features/blogs/detail/presidents-blog/2024/05/31/an-urgent-call-for-change--tackling-the-discrimination-faced-by-people-with-severe-mental-illness?utm" TargetMode="External"/><Relationship Id="rId194" Type="http://schemas.openxmlformats.org/officeDocument/2006/relationships/hyperlink" Target="file:///C:/Users/Student/Downloads/REICoP-July-2022%20(3).pdf" TargetMode="External"/><Relationship Id="rId208" Type="http://schemas.openxmlformats.org/officeDocument/2006/relationships/footer" Target="footer2.xml"/><Relationship Id="rId14" Type="http://schemas.openxmlformats.org/officeDocument/2006/relationships/footer" Target="footer1.xml"/><Relationship Id="rId30" Type="http://schemas.openxmlformats.org/officeDocument/2006/relationships/hyperlink" Target="https://www.thelancet.com/journals/lanpsy/article/PIIS2215-0366(19)30027-6/fulltext" TargetMode="External"/><Relationship Id="rId35" Type="http://schemas.openxmlformats.org/officeDocument/2006/relationships/hyperlink" Target="https://doi.org/10.1017/s0033291723002660" TargetMode="External"/><Relationship Id="rId56" Type="http://schemas.openxmlformats.org/officeDocument/2006/relationships/hyperlink" Target="https://assets.publishing.service.gov.uk/media/5a80a774e5274a2e87dbb0f0/MHA_Code_ofPractice.PDF" TargetMode="External"/><Relationship Id="rId77" Type="http://schemas.openxmlformats.org/officeDocument/2006/relationships/hyperlink" Target="https://doi.org/10.1186/s13063-015-0967-8" TargetMode="External"/><Relationship Id="rId100" Type="http://schemas.openxmlformats.org/officeDocument/2006/relationships/hyperlink" Target="https://doi.org/10.3390/ijms18102174" TargetMode="External"/><Relationship Id="rId105" Type="http://schemas.openxmlformats.org/officeDocument/2006/relationships/hyperlink" Target="https://guides.lib.uchicago.edu/c.php?g=1241077&amp;p=9082343" TargetMode="External"/><Relationship Id="rId126" Type="http://schemas.openxmlformats.org/officeDocument/2006/relationships/hyperlink" Target="https://doi.org/10.1016/j.psychres.2022.114970" TargetMode="External"/><Relationship Id="rId147" Type="http://schemas.openxmlformats.org/officeDocument/2006/relationships/hyperlink" Target="https://www.england.nhs.uk/mental-health/adults/nhs-talking-therapies/" TargetMode="External"/><Relationship Id="rId168" Type="http://schemas.openxmlformats.org/officeDocument/2006/relationships/hyperlink" Target="https://www.rethink.org/news-and-stories/media-centre/2025/02/new-analysis-of-nhs-data-on-mental-health-waiting-times/?utm" TargetMode="External"/><Relationship Id="rId8" Type="http://schemas.openxmlformats.org/officeDocument/2006/relationships/image" Target="media/image1.png"/><Relationship Id="rId51" Type="http://schemas.openxmlformats.org/officeDocument/2006/relationships/hyperlink" Target="https://doi.org/10.1186/s12939-021-01416-3" TargetMode="External"/><Relationship Id="rId72" Type="http://schemas.openxmlformats.org/officeDocument/2006/relationships/hyperlink" Target="https://www.researchgate.net/publication/255716547_Deinstitutionalisation_The_move_tocommunity_based_care" TargetMode="External"/><Relationship Id="rId93" Type="http://schemas.openxmlformats.org/officeDocument/2006/relationships/hyperlink" Target="https://doi.org/10.1111/papt.12084" TargetMode="External"/><Relationship Id="rId98" Type="http://schemas.openxmlformats.org/officeDocument/2006/relationships/hyperlink" Target="https://doi.org/10.1186/s13033-023-00594-7" TargetMode="External"/><Relationship Id="rId121" Type="http://schemas.openxmlformats.org/officeDocument/2006/relationships/hyperlink" Target="https://doi.org/10.1016/j.jpsychires.2022.02.010" TargetMode="External"/><Relationship Id="rId142" Type="http://schemas.openxmlformats.org/officeDocument/2006/relationships/hyperlink" Target="https://pubmed.ncbi.nlm.nih.gov/27663801/" TargetMode="External"/><Relationship Id="rId163" Type="http://schemas.openxmlformats.org/officeDocument/2006/relationships/hyperlink" Target="https://doi.org/10.1159/000430991" TargetMode="External"/><Relationship Id="rId184" Type="http://schemas.openxmlformats.org/officeDocument/2006/relationships/hyperlink" Target="https://doi.org/10.4324/9780203995501-25" TargetMode="External"/><Relationship Id="rId189" Type="http://schemas.openxmlformats.org/officeDocument/2006/relationships/hyperlink" Target="https://doi.org/10.1192/bjp.2019.46" TargetMode="External"/><Relationship Id="rId219" Type="http://schemas.openxmlformats.org/officeDocument/2006/relationships/theme" Target="theme/theme1.xml"/><Relationship Id="rId3" Type="http://schemas.openxmlformats.org/officeDocument/2006/relationships/styles" Target="styles.xml"/><Relationship Id="rId214" Type="http://schemas.openxmlformats.org/officeDocument/2006/relationships/image" Target="media/image8.png"/><Relationship Id="rId25" Type="http://schemas.openxmlformats.org/officeDocument/2006/relationships/hyperlink" Target="https://doi.org/10.1186/s12888-017-1516-7" TargetMode="External"/><Relationship Id="rId46" Type="http://schemas.openxmlformats.org/officeDocument/2006/relationships/hyperlink" Target="https://doi.org/10.1080/17439760.2016.1262613" TargetMode="External"/><Relationship Id="rId67" Type="http://schemas.openxmlformats.org/officeDocument/2006/relationships/hyperlink" Target="https://www.federalregister.gov/documents/2023/08/03/2023-15945/requirements-related-to-the-mental-health-parity-and-addiction-equity-act" TargetMode="External"/><Relationship Id="rId116" Type="http://schemas.openxmlformats.org/officeDocument/2006/relationships/hyperlink" Target="https://doi.org/10.46743/2160-3715/2021.5008" TargetMode="External"/><Relationship Id="rId137" Type="http://schemas.openxmlformats.org/officeDocument/2006/relationships/hyperlink" Target="https://doi.org/10.1016/s2215-0366(18)30184-6" TargetMode="External"/><Relationship Id="rId158" Type="http://schemas.openxmlformats.org/officeDocument/2006/relationships/hyperlink" Target="https://doi.org/10.1016/j.euroneuro.2014.01.014" TargetMode="External"/><Relationship Id="rId20" Type="http://schemas.openxmlformats.org/officeDocument/2006/relationships/hyperlink" Target="https://doi.org/10.1016/j.amsu.2022.104666" TargetMode="External"/><Relationship Id="rId41" Type="http://schemas.openxmlformats.org/officeDocument/2006/relationships/hyperlink" Target="https://doi.org/10.1111/ap.12172" TargetMode="External"/><Relationship Id="rId62" Type="http://schemas.openxmlformats.org/officeDocument/2006/relationships/hyperlink" Target="https://doi.org/10.1186/s12913-021-06258-x" TargetMode="External"/><Relationship Id="rId83" Type="http://schemas.openxmlformats.org/officeDocument/2006/relationships/hyperlink" Target="https://doi.org/10.3109/09638237.2013.869571" TargetMode="External"/><Relationship Id="rId88" Type="http://schemas.openxmlformats.org/officeDocument/2006/relationships/hyperlink" Target="https://doi.org/10.4088/jcp.ic20018br2c" TargetMode="External"/><Relationship Id="rId111" Type="http://schemas.openxmlformats.org/officeDocument/2006/relationships/hyperlink" Target="https://doi.org/10.1017/S109285291900124X" TargetMode="External"/><Relationship Id="rId132" Type="http://schemas.openxmlformats.org/officeDocument/2006/relationships/hyperlink" Target="https://www.legislation.gov.uk/ukpga/2007/12/contents" TargetMode="External"/><Relationship Id="rId153" Type="http://schemas.openxmlformats.org/officeDocument/2006/relationships/hyperlink" Target="https://www.nice.org.uk/guidance/qs80/chapter/quality-statement-3-family-intervention?utm" TargetMode="External"/><Relationship Id="rId174" Type="http://schemas.openxmlformats.org/officeDocument/2006/relationships/hyperlink" Target="https://doi.org/10.12928/jehcp.v10i3.20525" TargetMode="External"/><Relationship Id="rId179" Type="http://schemas.openxmlformats.org/officeDocument/2006/relationships/hyperlink" Target="https://new-economicsf.files.svdcdn.com/production/files/ca0975b7cd88125c3e_ywm6bp3l1.pdf" TargetMode="External"/><Relationship Id="rId195" Type="http://schemas.openxmlformats.org/officeDocument/2006/relationships/hyperlink" Target="https://doi.org/10.1016/j.psychres.2020.113068" TargetMode="External"/><Relationship Id="rId209" Type="http://schemas.openxmlformats.org/officeDocument/2006/relationships/image" Target="media/image3.png"/><Relationship Id="rId190" Type="http://schemas.openxmlformats.org/officeDocument/2006/relationships/hyperlink" Target="https://doi.org/10.4103/ijpsym.ijpsym_314_19" TargetMode="External"/><Relationship Id="rId204" Type="http://schemas.openxmlformats.org/officeDocument/2006/relationships/hyperlink" Target="https://doi.org/10.1192/bjb.2022.29" TargetMode="External"/><Relationship Id="rId15" Type="http://schemas.openxmlformats.org/officeDocument/2006/relationships/hyperlink" Target="http://GOV.UK" TargetMode="External"/><Relationship Id="rId36" Type="http://schemas.openxmlformats.org/officeDocument/2006/relationships/hyperlink" Target="https://www.google.co.uk/books/edition/Systematic_Approaches_to_a_Successful_Li/A1lvCAAAQBAJ?hl=en" TargetMode="External"/><Relationship Id="rId57" Type="http://schemas.openxmlformats.org/officeDocument/2006/relationships/hyperlink" Target="https://www.gov.uk/government/publications/how-the-nhs-charges-overseas-visitors-for-nhs-hospital-care/how-the-nhs-charges-overseas-visitors-for-nhs-hospital-care" TargetMode="External"/><Relationship Id="rId106" Type="http://schemas.openxmlformats.org/officeDocument/2006/relationships/hyperlink" Target="https://doi.org/10.1080/14656566.2021.1939677" TargetMode="External"/><Relationship Id="rId127" Type="http://schemas.openxmlformats.org/officeDocument/2006/relationships/hyperlink" Target="https://marksmanhealthcare.com/2024/01/16/date-range-restriction-in-systematic-reviews-navigating-the-why-how-and-when" TargetMode="External"/><Relationship Id="rId10" Type="http://schemas.openxmlformats.org/officeDocument/2006/relationships/hyperlink" Target="http://GOV.UK" TargetMode="External"/><Relationship Id="rId31" Type="http://schemas.openxmlformats.org/officeDocument/2006/relationships/hyperlink" Target="https://doi.org/10.31887/dcns.2001.3.2" TargetMode="External"/><Relationship Id="rId52" Type="http://schemas.openxmlformats.org/officeDocument/2006/relationships/hyperlink" Target="https://doi.org/10.1080/09593985.2020.1765440" TargetMode="External"/><Relationship Id="rId73" Type="http://schemas.openxmlformats.org/officeDocument/2006/relationships/hyperlink" Target="https://www.gov.uk/guidance/equality-act-2010-guidance" TargetMode="External"/><Relationship Id="rId78" Type="http://schemas.openxmlformats.org/officeDocument/2006/relationships/hyperlink" Target="https://doi.org/10.1016/s2215-0366(21)00214&#8211;5" TargetMode="External"/><Relationship Id="rId94" Type="http://schemas.openxmlformats.org/officeDocument/2006/relationships/hyperlink" Target="https://eric.ed.gov/?id=ED345393" TargetMode="External"/><Relationship Id="rId99" Type="http://schemas.openxmlformats.org/officeDocument/2006/relationships/hyperlink" Target="https://doi.org/10.1108/13619322200500008" TargetMode="External"/><Relationship Id="rId101" Type="http://schemas.openxmlformats.org/officeDocument/2006/relationships/hyperlink" Target="https://doi.org/10.1192/bjp.139.3.195" TargetMode="External"/><Relationship Id="rId122" Type="http://schemas.openxmlformats.org/officeDocument/2006/relationships/hyperlink" Target="https://doi.org/10.1177/0957154x14546606" TargetMode="External"/><Relationship Id="rId143" Type="http://schemas.openxmlformats.org/officeDocument/2006/relationships/hyperlink" Target="https://www.england.nhs.uk/mental-health/adults/cmhs/" TargetMode="External"/><Relationship Id="rId148" Type="http://schemas.openxmlformats.org/officeDocument/2006/relationships/hyperlink" Target="https://www.england.nhs.uk/long-read/implementation-guidance-2024-psychological-therapies-for-severe-mental-health-problems/" TargetMode="External"/><Relationship Id="rId164" Type="http://schemas.openxmlformats.org/officeDocument/2006/relationships/hyperlink" Target="https://doi.org/10.1186/s12888-014-0256-1" TargetMode="External"/><Relationship Id="rId169" Type="http://schemas.openxmlformats.org/officeDocument/2006/relationships/hyperlink" Target="https://www.rethink.org/news-and-stories/media-centre/2024/06/new-survey-reveals-stark-impact-of-nhs-mental-health-treatment-waiting-times/?utm" TargetMode="External"/><Relationship Id="rId185" Type="http://schemas.openxmlformats.org/officeDocument/2006/relationships/hyperlink" Target="https://doi.org/10.1192/j.eurpsy.2024.1585" TargetMode="External"/><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hyperlink" Target="Https://Repositorio.Unicamp.Br/Busca/Download?Codigoarquivo=507573" TargetMode="External"/><Relationship Id="rId210" Type="http://schemas.openxmlformats.org/officeDocument/2006/relationships/image" Target="media/image4.png"/><Relationship Id="rId215" Type="http://schemas.openxmlformats.org/officeDocument/2006/relationships/image" Target="media/image9.png"/><Relationship Id="rId26" Type="http://schemas.openxmlformats.org/officeDocument/2006/relationships/hyperlink" Target="https://www.google.co.uk/books/edition/Ebook_Doing_a_Literature_Review_in_Healt/65W1EAAAQBAJ?hl=en&amp;gbpv=1&amp;dq=Aveyard" TargetMode="External"/><Relationship Id="rId47" Type="http://schemas.openxmlformats.org/officeDocument/2006/relationships/hyperlink" Target="https://doi.org/10.3389/fpsyt.2022.930188" TargetMode="External"/><Relationship Id="rId68" Type="http://schemas.openxmlformats.org/officeDocument/2006/relationships/hyperlink" Target="https://doi.org/10.1177/1468017318757160" TargetMode="External"/><Relationship Id="rId89" Type="http://schemas.openxmlformats.org/officeDocument/2006/relationships/hyperlink" Target="https://doi.org/10.1177/13591045231201195" TargetMode="External"/><Relationship Id="rId112" Type="http://schemas.openxmlformats.org/officeDocument/2006/relationships/hyperlink" Target="https://pdfs.semanticscholar.org/9157/2a1ca67383a045f0c1ecce3bd428580b86d7.pdf" TargetMode="External"/><Relationship Id="rId133" Type="http://schemas.openxmlformats.org/officeDocument/2006/relationships/hyperlink" Target="https://doi.org/10.1007/978-1-4419-1005-9_1095" TargetMode="External"/><Relationship Id="rId154" Type="http://schemas.openxmlformats.org/officeDocument/2006/relationships/hyperlink" Target="https://doi.org/10.1177/1609406917733847" TargetMode="External"/><Relationship Id="rId175" Type="http://schemas.openxmlformats.org/officeDocument/2006/relationships/hyperlink" Target="https://doi.org/10.1177/1355819615600001" TargetMode="External"/><Relationship Id="rId196" Type="http://schemas.openxmlformats.org/officeDocument/2006/relationships/hyperlink" Target="https://doi.org/10.1017/s0033291714001147" TargetMode="External"/><Relationship Id="rId200" Type="http://schemas.openxmlformats.org/officeDocument/2006/relationships/hyperlink" Target="https://doi.org/10.1176/appi.ps.201400248" TargetMode="External"/><Relationship Id="rId16" Type="http://schemas.openxmlformats.org/officeDocument/2006/relationships/hyperlink" Target="https://chatgpt.com/c/686bbc2c-5e54-8011-91c2-c25275a29179" TargetMode="External"/><Relationship Id="rId37" Type="http://schemas.openxmlformats.org/officeDocument/2006/relationships/hyperlink" Target="https://doi.org/10.1177/1757913919835858" TargetMode="External"/><Relationship Id="rId58" Type="http://schemas.openxmlformats.org/officeDocument/2006/relationships/hyperlink" Target="https://www.gov.uk/government/consultations/reforming-the-mental-health-act/reforming-the-mental-health-act" TargetMode="External"/><Relationship Id="rId79" Type="http://schemas.openxmlformats.org/officeDocument/2006/relationships/hyperlink" Target="https://doi.org/10.4103/0019-5049.190618" TargetMode="External"/><Relationship Id="rId102" Type="http://schemas.openxmlformats.org/officeDocument/2006/relationships/hyperlink" Target="https://doi.org/10.1136/bjsports-2016-097362" TargetMode="External"/><Relationship Id="rId123" Type="http://schemas.openxmlformats.org/officeDocument/2006/relationships/hyperlink" Target="https://doi.org/10.1016/j.lansea.2023.100300" TargetMode="External"/><Relationship Id="rId144" Type="http://schemas.openxmlformats.org/officeDocument/2006/relationships/hyperlink" Target="https://digital.nhs.uk/data-and-information/publications/statistical/mental-health-act-statistics-annual-figures/2021-22-annual-figures" TargetMode="External"/><Relationship Id="rId90" Type="http://schemas.openxmlformats.org/officeDocument/2006/relationships/hyperlink" Target="https://doi.org/10.1007/s11326-010-0117-6" TargetMode="External"/><Relationship Id="rId165" Type="http://schemas.openxmlformats.org/officeDocument/2006/relationships/hyperlink" Target="https://doi.org/10.1016/s0277-9536(00)00457-3" TargetMode="External"/><Relationship Id="rId186" Type="http://schemas.openxmlformats.org/officeDocument/2006/relationships/hyperlink" Target="https://www.csg.org/2023/03/08/mental-health-among-top-policy-priorities-for-the-states/" TargetMode="External"/><Relationship Id="rId211" Type="http://schemas.openxmlformats.org/officeDocument/2006/relationships/image" Target="media/image5.png"/><Relationship Id="rId27" Type="http://schemas.openxmlformats.org/officeDocument/2006/relationships/hyperlink" Target="https://pubmed.ncbi.nlm.nih.gov/19300578/" TargetMode="External"/><Relationship Id="rId48" Type="http://schemas.openxmlformats.org/officeDocument/2006/relationships/hyperlink" Target="https://publications.parliament.uk/pa/cm5803/cmselect/cmpubacc/1000/report.html" TargetMode="External"/><Relationship Id="rId69" Type="http://schemas.openxmlformats.org/officeDocument/2006/relationships/hyperlink" Target="https://doi.org/10.1111/pcn.12322" TargetMode="External"/><Relationship Id="rId113" Type="http://schemas.openxmlformats.org/officeDocument/2006/relationships/hyperlink" Target="https://www.sciencedirect.com/topics/social-sciences/biopsychosocial-model" TargetMode="External"/><Relationship Id="rId134" Type="http://schemas.openxmlformats.org/officeDocument/2006/relationships/hyperlink" Target="https://www.mind.org.uk/media/9201/schizophrenia-2020-pdf-version-updated-mid-cycle.pdf" TargetMode="External"/><Relationship Id="rId80" Type="http://schemas.openxmlformats.org/officeDocument/2006/relationships/hyperlink" Target="https://doi.org/10.1159/000490574" TargetMode="External"/><Relationship Id="rId155" Type="http://schemas.openxmlformats.org/officeDocument/2006/relationships/hyperlink" Target="https://doi.org/10.1080/13557858.2021.1947471" TargetMode="External"/><Relationship Id="rId176" Type="http://schemas.openxmlformats.org/officeDocument/2006/relationships/hyperlink" Target="https://doi.org/10.1016/j.psychres.2023.115529" TargetMode="External"/><Relationship Id="rId197" Type="http://schemas.openxmlformats.org/officeDocument/2006/relationships/hyperlink" Target="https://doi.org/10.1177/0020764020934827" TargetMode="External"/><Relationship Id="rId201" Type="http://schemas.openxmlformats.org/officeDocument/2006/relationships/hyperlink" Target="https://uk.sagepub.com/sites/default/files/upm-binaries/74769_Wallace_Critical_Reading_and_Writing_for_Postgraduates.pdf" TargetMode="External"/><Relationship Id="rId17" Type="http://schemas.openxmlformats.org/officeDocument/2006/relationships/hyperlink" Target="https://doi.org/10.1192/bjp.162.4.533" TargetMode="External"/><Relationship Id="rId38" Type="http://schemas.openxmlformats.org/officeDocument/2006/relationships/hyperlink" Target="https://doi.org/10.1191/1478088706qp063oa" TargetMode="External"/><Relationship Id="rId59" Type="http://schemas.openxmlformats.org/officeDocument/2006/relationships/hyperlink" Target="https://www.ncbi.nlm.nih.gov/books/NBK223456/" TargetMode="External"/><Relationship Id="rId103" Type="http://schemas.openxmlformats.org/officeDocument/2006/relationships/hyperlink" Target="https://doi.org/10.4088/jcp.22m14458" TargetMode="External"/><Relationship Id="rId124" Type="http://schemas.openxmlformats.org/officeDocument/2006/relationships/hyperlink" Target="https://doi.org/10.1016/j.schres.2018.09.024" TargetMode="External"/><Relationship Id="rId70" Type="http://schemas.openxmlformats.org/officeDocument/2006/relationships/hyperlink" Target="https://doi.org/10.1192/bjp.187.3.248" TargetMode="External"/><Relationship Id="rId91" Type="http://schemas.openxmlformats.org/officeDocument/2006/relationships/hyperlink" Target="https://doi.org/10.1016/s0140-6736(19)31135-3" TargetMode="External"/><Relationship Id="rId145" Type="http://schemas.openxmlformats.org/officeDocument/2006/relationships/hyperlink" Target="https://www.nhs.uk/mental-health/conditions/schizophrenia/overview/" TargetMode="External"/><Relationship Id="rId166" Type="http://schemas.openxmlformats.org/officeDocument/2006/relationships/hyperlink" Target="https://doi.org/10.1038/s41537-024-00446-4" TargetMode="External"/><Relationship Id="rId187" Type="http://schemas.openxmlformats.org/officeDocument/2006/relationships/hyperlink" Target="https://www.kingsfund.org.uk/insight-and-analysis/long-reads/mental-health-360-access?utm" TargetMode="External"/><Relationship Id="rId1" Type="http://schemas.openxmlformats.org/officeDocument/2006/relationships/customXml" Target="../customXml/item1.xml"/><Relationship Id="rId212" Type="http://schemas.openxmlformats.org/officeDocument/2006/relationships/image" Target="media/image6.png"/><Relationship Id="rId28" Type="http://schemas.openxmlformats.org/officeDocument/2006/relationships/hyperlink" Target="https://doi.org/10.1371/journal.pmed.1004139" TargetMode="External"/><Relationship Id="rId49" Type="http://schemas.openxmlformats.org/officeDocument/2006/relationships/hyperlink" Target="https://doi.org/10.1177/1529100614531398" TargetMode="External"/><Relationship Id="rId114" Type="http://schemas.openxmlformats.org/officeDocument/2006/relationships/hyperlink" Target="https://doi.org/10.1176/appi.ajp.2019.19080865" TargetMode="External"/><Relationship Id="rId60" Type="http://schemas.openxmlformats.org/officeDocument/2006/relationships/hyperlink" Target="https://doi.org/10.1177/002580246900900305" TargetMode="External"/><Relationship Id="rId81" Type="http://schemas.openxmlformats.org/officeDocument/2006/relationships/hyperlink" Target="https://www.commonwealthfund.org/international-health-policy-center/countries/india" TargetMode="External"/><Relationship Id="rId135" Type="http://schemas.openxmlformats.org/officeDocument/2006/relationships/hyperlink" Target="https://doi.org/10.1016/j.eurpsy.2018.06.007" TargetMode="External"/><Relationship Id="rId156" Type="http://schemas.openxmlformats.org/officeDocument/2006/relationships/hyperlink" Target="https://doi.org/10.1186/s12913-014-0491-7" TargetMode="External"/><Relationship Id="rId177" Type="http://schemas.openxmlformats.org/officeDocument/2006/relationships/hyperlink" Target="https://www.instituteforgovernment.org.uk/explainer/devolution-and-nhs" TargetMode="External"/><Relationship Id="rId198" Type="http://schemas.openxmlformats.org/officeDocument/2006/relationships/hyperlink" Target="https://doi.org/10.1017/S0033291722001878" TargetMode="External"/><Relationship Id="rId202" Type="http://schemas.openxmlformats.org/officeDocument/2006/relationships/hyperlink" Target="https://www.proquest.com/docview/2714869631?pq-origsite=gscholar&amp;fromopenview=true&amp;sourcetype=Dissertations%20&amp;%20Theses" TargetMode="External"/><Relationship Id="rId18" Type="http://schemas.openxmlformats.org/officeDocument/2006/relationships/hyperlink" Target="https://www.acas.org.uk/discrimination-and-the-law" TargetMode="External"/><Relationship Id="rId39" Type="http://schemas.openxmlformats.org/officeDocument/2006/relationships/hyperlink" Target="https://doi.org/10.1186/1744-859x-10-18" TargetMode="External"/><Relationship Id="rId50" Type="http://schemas.openxmlformats.org/officeDocument/2006/relationships/hyperlink" Target="https://doi.org/10.1080/21582041.2023.2197877" TargetMode="External"/><Relationship Id="rId104" Type="http://schemas.openxmlformats.org/officeDocument/2006/relationships/hyperlink" Target="https://doi.org/10.1097/yco.0000000000000492" TargetMode="External"/><Relationship Id="rId125" Type="http://schemas.openxmlformats.org/officeDocument/2006/relationships/hyperlink" Target="https://doi.org/10.4103/jehp.jehp_1667_23" TargetMode="External"/><Relationship Id="rId146" Type="http://schemas.openxmlformats.org/officeDocument/2006/relationships/hyperlink" Target="https://www.longtermplan.nhs.uk/publication/nhs-long-term-plan/" TargetMode="External"/><Relationship Id="rId167" Type="http://schemas.openxmlformats.org/officeDocument/2006/relationships/hyperlink" Target="https://www.rethink.org/search-results?q=Schizophrenia%20i" TargetMode="External"/><Relationship Id="rId188" Type="http://schemas.openxmlformats.org/officeDocument/2006/relationships/hyperlink" Target="https://doi.org/10.1176/appi.ps.56.11.1416" TargetMode="External"/><Relationship Id="rId71" Type="http://schemas.openxmlformats.org/officeDocument/2006/relationships/hyperlink" Target="https://doi.org/10.1093/obo/9780199756797-0193" TargetMode="External"/><Relationship Id="rId92" Type="http://schemas.openxmlformats.org/officeDocument/2006/relationships/hyperlink" Target="https://impact.bham.ac.uk/our-projects/networks/recovery-based-approaches-to-mental-health/" TargetMode="External"/><Relationship Id="rId213" Type="http://schemas.openxmlformats.org/officeDocument/2006/relationships/image" Target="media/image7.png"/><Relationship Id="rId2" Type="http://schemas.openxmlformats.org/officeDocument/2006/relationships/numbering" Target="numbering.xml"/><Relationship Id="rId29" Type="http://schemas.openxmlformats.org/officeDocument/2006/relationships/hyperlink" Target="https://doi.org/10.1177/0269881119889296" TargetMode="External"/><Relationship Id="rId40" Type="http://schemas.openxmlformats.org/officeDocument/2006/relationships/hyperlink" Target="https://doi.org/10.1192/bjp.173.2.139" TargetMode="External"/><Relationship Id="rId115" Type="http://schemas.openxmlformats.org/officeDocument/2006/relationships/hyperlink" Target="https://doi.org/10.1016/j.neubiorev.2021.11.032" TargetMode="External"/><Relationship Id="rId136" Type="http://schemas.openxmlformats.org/officeDocument/2006/relationships/hyperlink" Target="https://doi.org/10.1002/wps.20655" TargetMode="External"/><Relationship Id="rId157" Type="http://schemas.openxmlformats.org/officeDocument/2006/relationships/hyperlink" Target="https://pubmed.ncbi.nlm.nih.gov/28686557/" TargetMode="External"/><Relationship Id="rId178" Type="http://schemas.openxmlformats.org/officeDocument/2006/relationships/hyperlink" Target="https://doi.org/10.1136/bmjoq-2017-000190" TargetMode="External"/><Relationship Id="rId61" Type="http://schemas.openxmlformats.org/officeDocument/2006/relationships/hyperlink" Target="https://doi.org/10.1177/002580246900900305" TargetMode="External"/><Relationship Id="rId82" Type="http://schemas.openxmlformats.org/officeDocument/2006/relationships/hyperlink" Target="https://doi.org/10.1177/02537176211048335" TargetMode="External"/><Relationship Id="rId199" Type="http://schemas.openxmlformats.org/officeDocument/2006/relationships/hyperlink" Target="https://doi.org/10.1177/0269215517709890" TargetMode="External"/><Relationship Id="rId203" Type="http://schemas.openxmlformats.org/officeDocument/2006/relationships/hyperlink" Target="https://doi.org/10.1177/0020764020942797" TargetMode="External"/><Relationship Id="rId19" Type="http://schemas.openxmlformats.org/officeDocument/2006/relationships/hyperlink" Target="https://commonslibrary.parliament.uk/research-briefings/cdp-2016-0075/?u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902</TotalTime>
  <Pages>71</Pages>
  <Words>18118</Words>
  <Characters>125925</Characters>
  <Application>Microsoft Office Word</Application>
  <DocSecurity>0</DocSecurity>
  <Lines>2209</Lines>
  <Paragraphs>648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Vilma Ibe (2216362)</cp:lastModifiedBy>
  <cp:revision>486</cp:revision>
  <dcterms:created xsi:type="dcterms:W3CDTF">2025-07-31T21:49:00Z</dcterms:created>
  <dcterms:modified xsi:type="dcterms:W3CDTF">2025-08-01T21:57:00Z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a75303cf71f473e4edcf1079f5b013db921fcbf04acf8b512c6cd9fdad3e09fd</vt:lpwstr>
  </property>
</Properties>
</file>