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p w:rsidR="00FD4670" w:rsidRPr="00AF5172" w:rsidRDefault="00FD4670"/>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80"/>
        <w:gridCol w:w="7380"/>
      </w:tblGrid>
      <w:tr w:rsidR="00FD4670" w:rsidRPr="00AF5172" w:rsidTr="00697ECC">
        <w:tc>
          <w:tcPr>
            <w:tcW w:w="19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Student Name</w:t>
            </w:r>
          </w:p>
        </w:tc>
        <w:tc>
          <w:tcPr>
            <w:tcW w:w="7380" w:type="dxa"/>
            <w:tcMar>
              <w:top w:w="100" w:type="dxa"/>
              <w:left w:w="100" w:type="dxa"/>
              <w:bottom w:w="100" w:type="dxa"/>
              <w:right w:w="100" w:type="dxa"/>
            </w:tcMar>
          </w:tcPr>
          <w:p w:rsidR="00FD4670" w:rsidRPr="00AF5172" w:rsidRDefault="00FD4670" w:rsidP="00697ECC">
            <w:pPr>
              <w:widowControl w:val="0"/>
              <w:pBdr>
                <w:top w:val="nil"/>
                <w:left w:val="nil"/>
                <w:bottom w:val="nil"/>
                <w:right w:val="nil"/>
                <w:between w:val="nil"/>
              </w:pBdr>
              <w:spacing w:line="360" w:lineRule="auto"/>
              <w:jc w:val="both"/>
              <w:rPr>
                <w:rFonts w:eastAsia="Times New Roman"/>
                <w:b/>
                <w:sz w:val="24"/>
                <w:szCs w:val="24"/>
              </w:rPr>
            </w:pPr>
            <w:proofErr w:type="spellStart"/>
            <w:r w:rsidRPr="00AF5172">
              <w:rPr>
                <w:rFonts w:eastAsia="Times New Roman"/>
                <w:b/>
                <w:sz w:val="24"/>
                <w:szCs w:val="24"/>
              </w:rPr>
              <w:t>Aayushkumar</w:t>
            </w:r>
            <w:proofErr w:type="spellEnd"/>
            <w:r w:rsidRPr="00AF5172">
              <w:rPr>
                <w:rFonts w:eastAsia="Times New Roman"/>
                <w:b/>
                <w:sz w:val="24"/>
                <w:szCs w:val="24"/>
              </w:rPr>
              <w:t xml:space="preserve"> </w:t>
            </w:r>
            <w:proofErr w:type="spellStart"/>
            <w:r w:rsidRPr="00AF5172">
              <w:rPr>
                <w:rFonts w:eastAsia="Times New Roman"/>
                <w:b/>
                <w:sz w:val="24"/>
                <w:szCs w:val="24"/>
              </w:rPr>
              <w:t>Harishbhai</w:t>
            </w:r>
            <w:proofErr w:type="spellEnd"/>
            <w:r w:rsidRPr="00AF5172">
              <w:rPr>
                <w:rFonts w:eastAsia="Times New Roman"/>
                <w:b/>
                <w:sz w:val="24"/>
                <w:szCs w:val="24"/>
              </w:rPr>
              <w:t xml:space="preserve"> </w:t>
            </w:r>
            <w:proofErr w:type="spellStart"/>
            <w:r w:rsidRPr="00AF5172">
              <w:rPr>
                <w:rFonts w:eastAsia="Times New Roman"/>
                <w:b/>
                <w:sz w:val="24"/>
                <w:szCs w:val="24"/>
              </w:rPr>
              <w:t>Parmar</w:t>
            </w:r>
            <w:proofErr w:type="spellEnd"/>
          </w:p>
        </w:tc>
      </w:tr>
      <w:tr w:rsidR="00FD4670" w:rsidRPr="00AF5172" w:rsidTr="00697ECC">
        <w:tc>
          <w:tcPr>
            <w:tcW w:w="19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Student ID</w:t>
            </w:r>
          </w:p>
        </w:tc>
        <w:tc>
          <w:tcPr>
            <w:tcW w:w="7380" w:type="dxa"/>
            <w:tcMar>
              <w:top w:w="100" w:type="dxa"/>
              <w:left w:w="100" w:type="dxa"/>
              <w:bottom w:w="100" w:type="dxa"/>
              <w:right w:w="100" w:type="dxa"/>
            </w:tcMar>
          </w:tcPr>
          <w:p w:rsidR="00FD4670" w:rsidRPr="00AF5172" w:rsidRDefault="00FD4670" w:rsidP="00697ECC">
            <w:pPr>
              <w:widowControl w:val="0"/>
              <w:pBdr>
                <w:top w:val="nil"/>
                <w:left w:val="nil"/>
                <w:bottom w:val="nil"/>
                <w:right w:val="nil"/>
                <w:between w:val="nil"/>
              </w:pBdr>
              <w:spacing w:line="360" w:lineRule="auto"/>
              <w:jc w:val="both"/>
              <w:rPr>
                <w:rFonts w:eastAsia="Times New Roman"/>
                <w:b/>
                <w:sz w:val="24"/>
                <w:szCs w:val="24"/>
              </w:rPr>
            </w:pPr>
            <w:r w:rsidRPr="00AF5172">
              <w:rPr>
                <w:rFonts w:eastAsia="Times New Roman"/>
                <w:b/>
                <w:sz w:val="24"/>
                <w:szCs w:val="24"/>
              </w:rPr>
              <w:t>2517971</w:t>
            </w:r>
          </w:p>
        </w:tc>
      </w:tr>
      <w:tr w:rsidR="00FD4670" w:rsidRPr="00AF5172" w:rsidTr="00697ECC">
        <w:tc>
          <w:tcPr>
            <w:tcW w:w="19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Module Code</w:t>
            </w:r>
          </w:p>
        </w:tc>
        <w:tc>
          <w:tcPr>
            <w:tcW w:w="73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LCHS7002</w:t>
            </w:r>
          </w:p>
        </w:tc>
      </w:tr>
      <w:tr w:rsidR="00FD4670" w:rsidRPr="00AF5172" w:rsidTr="00697ECC">
        <w:tc>
          <w:tcPr>
            <w:tcW w:w="19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Module Title</w:t>
            </w:r>
          </w:p>
        </w:tc>
        <w:tc>
          <w:tcPr>
            <w:tcW w:w="73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Health Care System Organisation and Leadership</w:t>
            </w:r>
          </w:p>
        </w:tc>
      </w:tr>
      <w:tr w:rsidR="00FD4670" w:rsidRPr="00AF5172" w:rsidTr="00697ECC">
        <w:tc>
          <w:tcPr>
            <w:tcW w:w="19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Lecturer’s Name</w:t>
            </w:r>
          </w:p>
        </w:tc>
        <w:tc>
          <w:tcPr>
            <w:tcW w:w="7380" w:type="dxa"/>
            <w:tcMar>
              <w:top w:w="100" w:type="dxa"/>
              <w:left w:w="100" w:type="dxa"/>
              <w:bottom w:w="100" w:type="dxa"/>
              <w:right w:w="100" w:type="dxa"/>
            </w:tcMar>
          </w:tcPr>
          <w:p w:rsidR="00FD4670" w:rsidRPr="00AF5172" w:rsidRDefault="00FD4670" w:rsidP="00697ECC">
            <w:pPr>
              <w:spacing w:line="360" w:lineRule="auto"/>
              <w:jc w:val="both"/>
              <w:rPr>
                <w:rFonts w:eastAsia="Times New Roman"/>
                <w:sz w:val="24"/>
                <w:szCs w:val="24"/>
              </w:rPr>
            </w:pPr>
            <w:r w:rsidRPr="00AF5172">
              <w:rPr>
                <w:rFonts w:eastAsia="Times New Roman"/>
                <w:b/>
                <w:bCs/>
                <w:sz w:val="24"/>
                <w:szCs w:val="24"/>
              </w:rPr>
              <w:t xml:space="preserve">Tonia </w:t>
            </w:r>
            <w:proofErr w:type="spellStart"/>
            <w:r w:rsidRPr="00AF5172">
              <w:rPr>
                <w:rFonts w:eastAsia="Times New Roman"/>
                <w:b/>
                <w:bCs/>
                <w:sz w:val="24"/>
                <w:szCs w:val="24"/>
              </w:rPr>
              <w:t>Babalola</w:t>
            </w:r>
            <w:proofErr w:type="spellEnd"/>
          </w:p>
        </w:tc>
      </w:tr>
      <w:tr w:rsidR="00FD4670" w:rsidRPr="00AF5172" w:rsidTr="00697ECC">
        <w:tc>
          <w:tcPr>
            <w:tcW w:w="1980" w:type="dxa"/>
            <w:tcMar>
              <w:top w:w="100" w:type="dxa"/>
              <w:left w:w="100" w:type="dxa"/>
              <w:bottom w:w="100" w:type="dxa"/>
              <w:right w:w="100" w:type="dxa"/>
            </w:tcMar>
          </w:tcPr>
          <w:p w:rsidR="00FD4670" w:rsidRPr="00AF5172" w:rsidRDefault="00FD4670" w:rsidP="00697ECC">
            <w:pPr>
              <w:spacing w:line="360" w:lineRule="auto"/>
              <w:jc w:val="both"/>
              <w:rPr>
                <w:rFonts w:eastAsia="Times New Roman"/>
                <w:b/>
                <w:bCs/>
                <w:sz w:val="24"/>
                <w:szCs w:val="24"/>
              </w:rPr>
            </w:pPr>
            <w:r w:rsidRPr="00AF5172">
              <w:rPr>
                <w:rFonts w:eastAsia="Times New Roman"/>
                <w:b/>
                <w:bCs/>
                <w:sz w:val="24"/>
                <w:szCs w:val="24"/>
              </w:rPr>
              <w:t>Assignment Title</w:t>
            </w:r>
          </w:p>
        </w:tc>
        <w:tc>
          <w:tcPr>
            <w:tcW w:w="7380" w:type="dxa"/>
            <w:tcMar>
              <w:top w:w="100" w:type="dxa"/>
              <w:left w:w="100" w:type="dxa"/>
              <w:bottom w:w="100" w:type="dxa"/>
              <w:right w:w="100" w:type="dxa"/>
            </w:tcMar>
          </w:tcPr>
          <w:p w:rsidR="00FD4670" w:rsidRPr="00AF5172" w:rsidRDefault="00FD4670" w:rsidP="00FD4670">
            <w:pPr>
              <w:spacing w:line="360" w:lineRule="auto"/>
              <w:jc w:val="both"/>
              <w:rPr>
                <w:rFonts w:eastAsia="Times New Roman"/>
                <w:b/>
                <w:bCs/>
                <w:sz w:val="24"/>
                <w:szCs w:val="24"/>
              </w:rPr>
            </w:pPr>
            <w:r w:rsidRPr="00AF5172">
              <w:rPr>
                <w:rFonts w:eastAsia="Times New Roman"/>
                <w:b/>
                <w:bCs/>
                <w:sz w:val="24"/>
                <w:szCs w:val="24"/>
              </w:rPr>
              <w:t>Case Study Analysis Report</w:t>
            </w:r>
          </w:p>
          <w:p w:rsidR="00FD4670" w:rsidRPr="00AF5172" w:rsidRDefault="00FD4670" w:rsidP="00FD4670">
            <w:pPr>
              <w:spacing w:line="360" w:lineRule="auto"/>
              <w:jc w:val="both"/>
              <w:rPr>
                <w:rFonts w:eastAsia="Times New Roman"/>
                <w:b/>
                <w:bCs/>
                <w:sz w:val="24"/>
                <w:szCs w:val="24"/>
              </w:rPr>
            </w:pPr>
            <w:r w:rsidRPr="00AF5172">
              <w:rPr>
                <w:rFonts w:eastAsia="Times New Roman"/>
                <w:b/>
                <w:bCs/>
                <w:sz w:val="24"/>
                <w:szCs w:val="24"/>
              </w:rPr>
              <w:t>Infant Morphine Overdose: A Critical Analysis of Patient Safety, Leadership and Governance Failures within NHS North East and Yorkshire</w:t>
            </w:r>
          </w:p>
        </w:tc>
      </w:tr>
    </w:tbl>
    <w:p w:rsidR="007D1E48" w:rsidRPr="00AF5172" w:rsidRDefault="0012084A">
      <w:r w:rsidRPr="00AF5172">
        <w:br w:type="page"/>
      </w:r>
    </w:p>
    <w:p w:rsidR="007D1E48" w:rsidRPr="00AF5172" w:rsidRDefault="0012084A" w:rsidP="00FD4670">
      <w:pPr>
        <w:rPr>
          <w:b/>
          <w:sz w:val="28"/>
          <w:szCs w:val="28"/>
        </w:rPr>
      </w:pPr>
      <w:r w:rsidRPr="00AF5172">
        <w:rPr>
          <w:b/>
          <w:sz w:val="28"/>
          <w:szCs w:val="28"/>
        </w:rPr>
        <w:lastRenderedPageBreak/>
        <w:t>1. Introducti</w:t>
      </w:r>
      <w:r w:rsidRPr="00AF5172">
        <w:rPr>
          <w:b/>
          <w:sz w:val="28"/>
          <w:szCs w:val="28"/>
        </w:rPr>
        <w:t>on</w:t>
      </w:r>
    </w:p>
    <w:p w:rsidR="007D1E48" w:rsidRPr="00AF5172" w:rsidRDefault="0012084A">
      <w:pPr>
        <w:spacing w:before="80" w:after="80" w:line="360" w:lineRule="auto"/>
        <w:jc w:val="both"/>
      </w:pPr>
      <w:r w:rsidRPr="00AF5172">
        <w:t xml:space="preserve">This report critically analyses a serious patient safety incident that occurred in the North East and Yorkshire region of England, in which a four-week-old infant received a morphine </w:t>
      </w:r>
      <w:proofErr w:type="spellStart"/>
      <w:r w:rsidRPr="00AF5172">
        <w:t>sulphate</w:t>
      </w:r>
      <w:proofErr w:type="spellEnd"/>
      <w:r w:rsidRPr="00AF5172">
        <w:t xml:space="preserve"> oral solution dose twenty times higher than intended. The par</w:t>
      </w:r>
      <w:r w:rsidRPr="00AF5172">
        <w:t>ents were mistakenly supplied with a 10 mg/5 ml oral solution instead of the prescribed 100 micrograms/ml solution upon hospital discharge. The 100 micrograms/ml formulation is classified as a 'RED drug' on most regional NHS formularies, meaning prescribin</w:t>
      </w:r>
      <w:r w:rsidRPr="00AF5172">
        <w:t>g and dispensing must be retained exclusively within secondary care (NHS England North East and Yorkshire, 2023). The baby survived following emergency treatment with naloxone; however, a review of national incident data revealed this was the fif</w:t>
      </w:r>
      <w:bookmarkStart w:id="0" w:name="_GoBack"/>
      <w:bookmarkEnd w:id="0"/>
      <w:r w:rsidRPr="00AF5172">
        <w:t>th such in</w:t>
      </w:r>
      <w:r w:rsidRPr="00AF5172">
        <w:t>cident since 2018, one of which resulted in the death of an infant. This recurrence renders the case not merely a single adverse event, but a systemic failure requiring rigorous leadership, governance, and systems analysis.</w:t>
      </w:r>
    </w:p>
    <w:p w:rsidR="007D1E48" w:rsidRPr="00AF5172" w:rsidRDefault="0012084A">
      <w:pPr>
        <w:spacing w:before="80" w:after="80" w:line="360" w:lineRule="auto"/>
        <w:jc w:val="both"/>
      </w:pPr>
      <w:r w:rsidRPr="00AF5172">
        <w:t xml:space="preserve">Leadership in health and social </w:t>
      </w:r>
      <w:r w:rsidRPr="00AF5172">
        <w:t>care is commonly defined as the process of influencing others to achieve shared goals and positive outcomes for patients, staff, and communities (West et al., 2015). In the NHS context, effective leadership is central to embedding safety cultures, ensuring</w:t>
      </w:r>
      <w:r w:rsidRPr="00AF5172">
        <w:t xml:space="preserve"> policy compliance, and driving quality improvement across complex, multi-layered </w:t>
      </w:r>
      <w:proofErr w:type="spellStart"/>
      <w:r w:rsidRPr="00AF5172">
        <w:t>organisations</w:t>
      </w:r>
      <w:proofErr w:type="spellEnd"/>
      <w:r w:rsidRPr="00AF5172">
        <w:t xml:space="preserve">. The NHS Leadership Competency Framework (NHS England, 2024a) identifies six core domains: driving high-quality outcomes, setting strategy, promoting equality, </w:t>
      </w:r>
      <w:r w:rsidRPr="00AF5172">
        <w:t>ensuring robust governance, creating a positive culture, and building trusted relationships. Each domain is directly relevant to understanding what went wrong in this case.</w:t>
      </w:r>
    </w:p>
    <w:p w:rsidR="007D1E48" w:rsidRPr="00AF5172" w:rsidRDefault="0012084A">
      <w:pPr>
        <w:spacing w:before="80" w:after="80" w:line="360" w:lineRule="auto"/>
        <w:jc w:val="both"/>
      </w:pPr>
      <w:r w:rsidRPr="00AF5172">
        <w:t xml:space="preserve">Health systems are broadly structured along a spectrum from </w:t>
      </w:r>
      <w:proofErr w:type="spellStart"/>
      <w:r w:rsidRPr="00AF5172">
        <w:t>centralisation</w:t>
      </w:r>
      <w:proofErr w:type="spellEnd"/>
      <w:r w:rsidRPr="00AF5172">
        <w:t>—where de</w:t>
      </w:r>
      <w:r w:rsidRPr="00AF5172">
        <w:t xml:space="preserve">cision-making authority is concentrated at a national or </w:t>
      </w:r>
      <w:proofErr w:type="spellStart"/>
      <w:r w:rsidRPr="00AF5172">
        <w:t>organisational</w:t>
      </w:r>
      <w:proofErr w:type="spellEnd"/>
      <w:r w:rsidRPr="00AF5172">
        <w:t xml:space="preserve"> apex—to </w:t>
      </w:r>
      <w:proofErr w:type="spellStart"/>
      <w:r w:rsidRPr="00AF5172">
        <w:t>decentralisation</w:t>
      </w:r>
      <w:proofErr w:type="spellEnd"/>
      <w:r w:rsidRPr="00AF5172">
        <w:t>, where authority is distributed to local teams and frontline practitioners (World Health Organization, 2007). The NHS exemplifies a hybrid structure, particula</w:t>
      </w:r>
      <w:r w:rsidRPr="00AF5172">
        <w:t>rly following the establishment of Integrated Care Boards (ICBs) under the Health and Care Act 2022, which introduced greater devolved responsibility at system level (NHS England, 2022a). Understanding this tension is critical to assessing accountability i</w:t>
      </w:r>
      <w:r w:rsidRPr="00AF5172">
        <w:t>n the morphine overdose case.</w:t>
      </w:r>
    </w:p>
    <w:p w:rsidR="007D1E48" w:rsidRPr="00AF5172" w:rsidRDefault="0012084A">
      <w:pPr>
        <w:spacing w:before="80" w:after="80" w:line="360" w:lineRule="auto"/>
        <w:jc w:val="both"/>
      </w:pPr>
      <w:r w:rsidRPr="00AF5172">
        <w:t>Leadership theories applicable to this case include transformational leadership, which motivates teams through vision and values (Burns, 1978); transactional leadership, which ensures compliance through defined rules and overs</w:t>
      </w:r>
      <w:r w:rsidRPr="00AF5172">
        <w:t>ight (Bass, 1985); situational leadership, which adapts style to the readiness of the team (Hersey and Blanchard, 1969); and distributed leadership, which shares responsibility across all levels (Spillane, 2006). The appropriate selection and application o</w:t>
      </w:r>
      <w:r w:rsidRPr="00AF5172">
        <w:t>f these styles is fundamental to preventing patient harm, particularly in high-risk medication management.</w:t>
      </w:r>
    </w:p>
    <w:p w:rsidR="007D1E48" w:rsidRPr="00AF5172" w:rsidRDefault="0012084A">
      <w:pPr>
        <w:spacing w:before="80" w:after="80" w:line="360" w:lineRule="auto"/>
        <w:jc w:val="both"/>
      </w:pPr>
      <w:r w:rsidRPr="00AF5172">
        <w:lastRenderedPageBreak/>
        <w:t>This report addresses four interconnected themes: (a) a systems-thinking analysis of the incident using Rich Picture methodology; (b) an evaluation o</w:t>
      </w:r>
      <w:r w:rsidRPr="00AF5172">
        <w:t xml:space="preserve">f </w:t>
      </w:r>
      <w:proofErr w:type="spellStart"/>
      <w:r w:rsidRPr="00AF5172">
        <w:t>centralisation</w:t>
      </w:r>
      <w:proofErr w:type="spellEnd"/>
      <w:r w:rsidRPr="00AF5172">
        <w:t xml:space="preserve"> versus </w:t>
      </w:r>
      <w:proofErr w:type="spellStart"/>
      <w:r w:rsidRPr="00AF5172">
        <w:t>decentralisation</w:t>
      </w:r>
      <w:proofErr w:type="spellEnd"/>
      <w:r w:rsidRPr="00AF5172">
        <w:t xml:space="preserve"> within the NHS medicines governance architecture; (c) a critical application of leadership theories to the case; and (d) evidence-based recommendations for sustainable improvement. Throughout, UK-specific data from </w:t>
      </w:r>
      <w:r w:rsidRPr="00AF5172">
        <w:t xml:space="preserve">NHS England, the Care Quality Commission (CQC), and academic sources are used to </w:t>
      </w:r>
      <w:proofErr w:type="spellStart"/>
      <w:r w:rsidRPr="00AF5172">
        <w:t>contextualise</w:t>
      </w:r>
      <w:proofErr w:type="spellEnd"/>
      <w:r w:rsidRPr="00AF5172">
        <w:t xml:space="preserve"> and substantiate the analysis.</w:t>
      </w:r>
    </w:p>
    <w:p w:rsidR="007D1E48" w:rsidRPr="00AF5172" w:rsidRDefault="007D1E48"/>
    <w:p w:rsidR="007D1E48" w:rsidRPr="00AF5172" w:rsidRDefault="0012084A">
      <w:r w:rsidRPr="00AF5172">
        <w:br w:type="page"/>
      </w:r>
    </w:p>
    <w:p w:rsidR="007D1E48" w:rsidRPr="00AF5172" w:rsidRDefault="0012084A" w:rsidP="00FD4670">
      <w:pPr>
        <w:rPr>
          <w:b/>
          <w:sz w:val="28"/>
          <w:szCs w:val="28"/>
        </w:rPr>
      </w:pPr>
      <w:r w:rsidRPr="00AF5172">
        <w:rPr>
          <w:b/>
          <w:sz w:val="28"/>
          <w:szCs w:val="28"/>
        </w:rPr>
        <w:lastRenderedPageBreak/>
        <w:t>2. Main Body and Analysis</w:t>
      </w:r>
    </w:p>
    <w:p w:rsidR="00FD4670" w:rsidRPr="00AF5172" w:rsidRDefault="00FD4670" w:rsidP="00FD4670">
      <w:pPr>
        <w:rPr>
          <w:b/>
          <w:sz w:val="28"/>
          <w:szCs w:val="28"/>
        </w:rPr>
      </w:pPr>
    </w:p>
    <w:p w:rsidR="007D1E48" w:rsidRPr="00AF5172" w:rsidRDefault="0012084A" w:rsidP="00FD4670">
      <w:pPr>
        <w:rPr>
          <w:b/>
        </w:rPr>
      </w:pPr>
      <w:r w:rsidRPr="00AF5172">
        <w:rPr>
          <w:b/>
        </w:rPr>
        <w:t>2a. Identifying the Problem and Setting the System Context: Applying Systems Thinking and the Rich Pi</w:t>
      </w:r>
      <w:r w:rsidRPr="00AF5172">
        <w:rPr>
          <w:b/>
        </w:rPr>
        <w:t>cture</w:t>
      </w:r>
    </w:p>
    <w:p w:rsidR="007D1E48" w:rsidRPr="00AF5172" w:rsidRDefault="0012084A">
      <w:pPr>
        <w:spacing w:before="80" w:after="80" w:line="360" w:lineRule="auto"/>
        <w:jc w:val="both"/>
      </w:pPr>
      <w:r w:rsidRPr="00AF5172">
        <w:t xml:space="preserve">The central problem in this case is the failure of the NHS medicines management system to prevent the dispensing and supply of a high-risk specialist medication—morphine </w:t>
      </w:r>
      <w:proofErr w:type="spellStart"/>
      <w:r w:rsidRPr="00AF5172">
        <w:t>sulphate</w:t>
      </w:r>
      <w:proofErr w:type="spellEnd"/>
      <w:r w:rsidRPr="00AF5172">
        <w:t xml:space="preserve"> oral solution 100 micrograms/ml—to the parents of a four-week-old infant in a</w:t>
      </w:r>
      <w:r w:rsidRPr="00AF5172">
        <w:t xml:space="preserve"> primary care or community pharmacy setting. The consequences were severe: the infant received a dose approximately twenty times greater than intended and required emergency naloxone treatment (NHS England North East and Yorkshire, 2023). This was not an i</w:t>
      </w:r>
      <w:r w:rsidRPr="00AF5172">
        <w:t xml:space="preserve">solated clinical </w:t>
      </w:r>
      <w:proofErr w:type="spellStart"/>
      <w:r w:rsidRPr="00AF5172">
        <w:t>misjudgement</w:t>
      </w:r>
      <w:proofErr w:type="spellEnd"/>
      <w:r w:rsidRPr="00AF5172">
        <w:t xml:space="preserve"> but a failure spanning multiple governance layers, including prescribing, dispensing, labelling, and discharge communication.</w:t>
      </w:r>
    </w:p>
    <w:p w:rsidR="007D1E48" w:rsidRPr="00AF5172" w:rsidRDefault="0012084A">
      <w:pPr>
        <w:spacing w:before="80" w:after="80" w:line="360" w:lineRule="auto"/>
        <w:jc w:val="both"/>
      </w:pPr>
      <w:r w:rsidRPr="00AF5172">
        <w:t xml:space="preserve">At the global level, the World Health Organization (2019) identifies medication errors as a leading </w:t>
      </w:r>
      <w:r w:rsidRPr="00AF5172">
        <w:t>cause of harm in health systems worldwide, estimating that unsafe medication practices cause approximately 1.3 million injuries and 125,000 deaths annually in high-income countries. The WHO's third Global Patient Safety Challenge, 'Medication Without Harm'</w:t>
      </w:r>
      <w:r w:rsidRPr="00AF5172">
        <w:t xml:space="preserve">, launched in 2017, set a target to reduce severe avoidable medication harm by 50% within five years, underscoring the international recognition of this problem. Opioid-related harm in </w:t>
      </w:r>
      <w:proofErr w:type="spellStart"/>
      <w:r w:rsidRPr="00AF5172">
        <w:t>paediatric</w:t>
      </w:r>
      <w:proofErr w:type="spellEnd"/>
      <w:r w:rsidRPr="00AF5172">
        <w:t xml:space="preserve"> populations has been specifically highlighted as a priority </w:t>
      </w:r>
      <w:r w:rsidRPr="00AF5172">
        <w:t>area requiring system-level intervention (WHO, 2019).</w:t>
      </w:r>
    </w:p>
    <w:p w:rsidR="007D1E48" w:rsidRPr="00AF5172" w:rsidRDefault="0012084A">
      <w:pPr>
        <w:spacing w:before="80" w:after="80" w:line="360" w:lineRule="auto"/>
        <w:jc w:val="both"/>
      </w:pPr>
      <w:r w:rsidRPr="00AF5172">
        <w:t>At the national level, data from the University of Sheffield commissioned by the UK Department of Health and Social Care estimates that 237 million medication errors occur annually across the NHS in Eng</w:t>
      </w:r>
      <w:r w:rsidRPr="00AF5172">
        <w:t>land, of which 66 million are potentially clinically significant (Elliott et al., 2020). Avoidable adverse drug events are estimated to cost the NHS at least £98.5 million per year and contribute to approximately 1,708 deaths annually (Elliott et al., 2020</w:t>
      </w:r>
      <w:r w:rsidRPr="00AF5172">
        <w:t>). Opioid drugs, specifically, were identified by the National Reporting and Learning System (NRLS) as responsible for 9.98% of all 'low harm' medication incidents and represent a disproportionate share of severe incidents (</w:t>
      </w:r>
      <w:proofErr w:type="spellStart"/>
      <w:r w:rsidRPr="00AF5172">
        <w:t>Alhawassi</w:t>
      </w:r>
      <w:proofErr w:type="spellEnd"/>
      <w:r w:rsidRPr="00AF5172">
        <w:t xml:space="preserve"> et al., 2025). The Car</w:t>
      </w:r>
      <w:r w:rsidRPr="00AF5172">
        <w:t>e Quality Commission (2023) specifically noted that infant morphine overdoses involving the wrong formulation represent a recurring and serious pattern of harm in NHS settings.</w:t>
      </w:r>
    </w:p>
    <w:p w:rsidR="007D1E48" w:rsidRPr="00AF5172" w:rsidRDefault="0012084A">
      <w:pPr>
        <w:spacing w:before="80" w:after="80" w:line="360" w:lineRule="auto"/>
        <w:jc w:val="both"/>
      </w:pPr>
      <w:r w:rsidRPr="00AF5172">
        <w:t>The Institute for Healthcare Improvement (IHI) has long advocated the use of sy</w:t>
      </w:r>
      <w:r w:rsidRPr="00AF5172">
        <w:t>stems thinking to understand how medication errors arise from interacting systemic weaknesses rather than individual failures (IHI, 2023). In this case, the systemic weaknesses are multifactorial. Elliott et al. (2020) found that over 54% of medication err</w:t>
      </w:r>
      <w:r w:rsidRPr="00AF5172">
        <w:t xml:space="preserve">ors in the NHS occur at the point of administration, and approximately 21% during prescribing—both stages were implicated in the infant morphine incident. Moreover, research published in BMJ Quality and Safety (2024) </w:t>
      </w:r>
      <w:r w:rsidRPr="00AF5172">
        <w:lastRenderedPageBreak/>
        <w:t>estimates that implementing interoperab</w:t>
      </w:r>
      <w:r w:rsidRPr="00AF5172">
        <w:t>le digital prescribing records across the NHS could prevent approximately one million medication errors annually and save more than twenty lives per year, directly addressing the kind of information transfer failures seen in this case.</w:t>
      </w:r>
    </w:p>
    <w:p w:rsidR="006D3F69" w:rsidRPr="00AF5172" w:rsidRDefault="0012084A">
      <w:pPr>
        <w:spacing w:before="80" w:after="80" w:line="360" w:lineRule="auto"/>
        <w:jc w:val="both"/>
      </w:pPr>
      <w:r w:rsidRPr="00AF5172">
        <w:t>A Rich Picture of th</w:t>
      </w:r>
      <w:r w:rsidRPr="00AF5172">
        <w:t xml:space="preserve">is incident reveals a web of interconnected actors, processes, and system pressures. </w:t>
      </w:r>
      <w:r w:rsidR="006D3F69" w:rsidRPr="00AF5172">
        <w:t>The Rich Picture below visually represents the complex interactions, communication gaps, and systemic f</w:t>
      </w:r>
      <w:r w:rsidR="006D3F69" w:rsidRPr="00AF5172">
        <w:t xml:space="preserve">ailures that contributed to the </w:t>
      </w:r>
      <w:r w:rsidR="006D3F69" w:rsidRPr="00AF5172">
        <w:t>incident.”</w:t>
      </w:r>
      <w:r w:rsidR="006D3F69" w:rsidRPr="00AF5172">
        <w:t xml:space="preserve">  </w:t>
      </w:r>
    </w:p>
    <w:p w:rsidR="006D3F69" w:rsidRPr="00AF5172" w:rsidRDefault="006D3F69">
      <w:pPr>
        <w:spacing w:before="80" w:after="80" w:line="360" w:lineRule="auto"/>
        <w:jc w:val="both"/>
        <w:rPr>
          <w:u w:val="single"/>
        </w:rPr>
      </w:pPr>
      <w:r w:rsidRPr="00AF5172">
        <w:rPr>
          <w:noProof/>
        </w:rPr>
        <w:drawing>
          <wp:inline distT="0" distB="0" distL="0" distR="0">
            <wp:extent cx="5845810" cy="389699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Apr 20, 2026, 01_40_10 A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45810" cy="3896995"/>
                    </a:xfrm>
                    <a:prstGeom prst="rect">
                      <a:avLst/>
                    </a:prstGeom>
                  </pic:spPr>
                </pic:pic>
              </a:graphicData>
            </a:graphic>
          </wp:inline>
        </w:drawing>
      </w:r>
      <w:r w:rsidRPr="00AF5172">
        <w:t xml:space="preserve">                             </w:t>
      </w:r>
      <w:r w:rsidRPr="00AF5172">
        <w:rPr>
          <w:u w:val="single"/>
        </w:rPr>
        <w:t>Rich Picture of Infant Morphine Overdose System Failure</w:t>
      </w:r>
    </w:p>
    <w:p w:rsidR="007D1E48" w:rsidRPr="00AF5172" w:rsidRDefault="0012084A">
      <w:pPr>
        <w:spacing w:before="80" w:after="80" w:line="360" w:lineRule="auto"/>
        <w:jc w:val="both"/>
      </w:pPr>
      <w:r w:rsidRPr="00AF5172">
        <w:t xml:space="preserve">At the </w:t>
      </w:r>
      <w:proofErr w:type="spellStart"/>
      <w:r w:rsidRPr="00AF5172">
        <w:t>centre</w:t>
      </w:r>
      <w:proofErr w:type="spellEnd"/>
      <w:r w:rsidRPr="00AF5172">
        <w:t xml:space="preserve"> is the infant and family, who received no meaningful information about the critical difference between two morphine formulations at discharge. Surrounding th</w:t>
      </w:r>
      <w:r w:rsidRPr="00AF5172">
        <w:t>em are the prescribing clinician (who may have lacked awareness of community supply restrictions for the 100 micrograms/ml 'SPECIALS' product), the hospital pharmacy (responsible for ensuring dispensed medication complied with RED drug policies), the commu</w:t>
      </w:r>
      <w:r w:rsidRPr="00AF5172">
        <w:t>nity pharmacy or discharge supply route (which received or issued the wrong concentration), and the ward nursing staff who coordinated discharge without a structured handover protocol for high-alert medications. Feedback loops in this system were absent or</w:t>
      </w:r>
      <w:r w:rsidRPr="00AF5172">
        <w:t xml:space="preserve"> inadequate: there was no barcode verification against formulary classification, no mandatory pharmacist discharge counselling for high-alert drugs, and no digital alert triggered when a RED drug prescription entered a community supply pathway.</w:t>
      </w:r>
    </w:p>
    <w:p w:rsidR="007D1E48" w:rsidRPr="00AF5172" w:rsidRDefault="0012084A">
      <w:pPr>
        <w:spacing w:before="80" w:after="80" w:line="360" w:lineRule="auto"/>
        <w:jc w:val="both"/>
      </w:pPr>
      <w:r w:rsidRPr="00AF5172">
        <w:lastRenderedPageBreak/>
        <w:t>The governa</w:t>
      </w:r>
      <w:r w:rsidRPr="00AF5172">
        <w:t>nce level most directly implicated is the regional/local level—specifically the NHS North East and Yorkshire Integrated Care Board—which is responsible for ensuring compliance with formulary restrictions across both primary and secondary care settings with</w:t>
      </w:r>
      <w:r w:rsidRPr="00AF5172">
        <w:t xml:space="preserve">in its population boundary (NHS England, 2022a). However, the national level shares accountability: NHS England's failure to mandate a system-wide RED drug classification alert within electronic prescribing systems, combined with the absence of a national </w:t>
      </w:r>
      <w:proofErr w:type="spellStart"/>
      <w:r w:rsidRPr="00AF5172">
        <w:t>standardised</w:t>
      </w:r>
      <w:proofErr w:type="spellEnd"/>
      <w:r w:rsidRPr="00AF5172">
        <w:t xml:space="preserve"> concentration of morphine oral solutions for neonatal use, created the structural conditions for repeated harm. The NPPG (2025) subsequently noted that the 2023 incident prompted calls for national </w:t>
      </w:r>
      <w:proofErr w:type="spellStart"/>
      <w:r w:rsidRPr="00AF5172">
        <w:t>standardisation</w:t>
      </w:r>
      <w:proofErr w:type="spellEnd"/>
      <w:r w:rsidRPr="00AF5172">
        <w:t xml:space="preserve"> of </w:t>
      </w:r>
      <w:proofErr w:type="spellStart"/>
      <w:r w:rsidRPr="00AF5172">
        <w:t>paediatric</w:t>
      </w:r>
      <w:proofErr w:type="spellEnd"/>
      <w:r w:rsidRPr="00AF5172">
        <w:t xml:space="preserve"> liquid morphine</w:t>
      </w:r>
      <w:r w:rsidRPr="00AF5172">
        <w:t xml:space="preserve"> concentrations, a recommendation that had existed in clinical guidance but lacked enforcement.</w:t>
      </w:r>
    </w:p>
    <w:p w:rsidR="007D1E48" w:rsidRPr="00AF5172" w:rsidRDefault="0012084A">
      <w:pPr>
        <w:spacing w:before="80" w:after="80" w:line="360" w:lineRule="auto"/>
        <w:jc w:val="both"/>
      </w:pPr>
      <w:r w:rsidRPr="00AF5172">
        <w:t>The Rich Picture also exposes communication gaps between secondary and primary care at the point of discharge—a systemic vulnerability identified in NHS researc</w:t>
      </w:r>
      <w:r w:rsidRPr="00AF5172">
        <w:t>h as responsible for a substantial proportion of medication transfer errors (BMJ Quality and Safety, 2024). Dependencies between the hospital specialist pharmacy, ward-based prescribers, and community dispensing were uncoordinated. There was no single acco</w:t>
      </w:r>
      <w:r w:rsidRPr="00AF5172">
        <w:t>untable lead at the point of medication transition, and the parents—as non-clinical lay persons—were left to navigate a complex and potentially lethal prescription without adequate support or safety-netting information.</w:t>
      </w:r>
    </w:p>
    <w:p w:rsidR="007D1E48" w:rsidRPr="00AF5172" w:rsidRDefault="0012084A">
      <w:pPr>
        <w:spacing w:before="80" w:after="80" w:line="360" w:lineRule="auto"/>
        <w:jc w:val="both"/>
      </w:pPr>
      <w:r w:rsidRPr="00AF5172">
        <w:t xml:space="preserve">Underlying challenges amplify these </w:t>
      </w:r>
      <w:r w:rsidRPr="00AF5172">
        <w:t xml:space="preserve">structural weaknesses. NHS England (2023) data indicate ongoing workforce pressures, with pharmacy staffing shortages affecting discharge processes. Staff shortages in </w:t>
      </w:r>
      <w:proofErr w:type="spellStart"/>
      <w:r w:rsidRPr="00AF5172">
        <w:t>paediatric</w:t>
      </w:r>
      <w:proofErr w:type="spellEnd"/>
      <w:r w:rsidRPr="00AF5172">
        <w:t xml:space="preserve"> and neonatal settings in North East and Yorkshire specifically have been docu</w:t>
      </w:r>
      <w:r w:rsidRPr="00AF5172">
        <w:t>mented in NHS regional workforce reports. The use of an unlicensed 'SPECIALS' product—produced outside the standard pharmaceutical supply chain—adds further risk, as such products may appear on community dispensing systems without automatic RED drug classi</w:t>
      </w:r>
      <w:r w:rsidRPr="00AF5172">
        <w:t>fication warnings.</w:t>
      </w:r>
    </w:p>
    <w:p w:rsidR="007D1E48" w:rsidRPr="00AF5172" w:rsidRDefault="007D1E48"/>
    <w:p w:rsidR="007D1E48" w:rsidRPr="00AF5172" w:rsidRDefault="0012084A" w:rsidP="00FD4670">
      <w:pPr>
        <w:rPr>
          <w:b/>
        </w:rPr>
      </w:pPr>
      <w:r w:rsidRPr="00AF5172">
        <w:rPr>
          <w:b/>
        </w:rPr>
        <w:t xml:space="preserve">2b. </w:t>
      </w:r>
      <w:proofErr w:type="spellStart"/>
      <w:r w:rsidRPr="00AF5172">
        <w:rPr>
          <w:b/>
        </w:rPr>
        <w:t>Centralisation</w:t>
      </w:r>
      <w:proofErr w:type="spellEnd"/>
      <w:r w:rsidRPr="00AF5172">
        <w:rPr>
          <w:b/>
        </w:rPr>
        <w:t xml:space="preserve"> or </w:t>
      </w:r>
      <w:proofErr w:type="spellStart"/>
      <w:r w:rsidRPr="00AF5172">
        <w:rPr>
          <w:b/>
        </w:rPr>
        <w:t>Decentralisation</w:t>
      </w:r>
      <w:proofErr w:type="spellEnd"/>
      <w:r w:rsidRPr="00AF5172">
        <w:rPr>
          <w:b/>
        </w:rPr>
        <w:t xml:space="preserve"> within the Case Study</w:t>
      </w:r>
    </w:p>
    <w:p w:rsidR="007D1E48" w:rsidRPr="00AF5172" w:rsidRDefault="0012084A">
      <w:pPr>
        <w:spacing w:before="80" w:after="80" w:line="360" w:lineRule="auto"/>
        <w:jc w:val="both"/>
      </w:pPr>
      <w:r w:rsidRPr="00AF5172">
        <w:t xml:space="preserve">The NHS in England operates within a complex, hybrid governance architecture that blends elements of both </w:t>
      </w:r>
      <w:proofErr w:type="spellStart"/>
      <w:r w:rsidRPr="00AF5172">
        <w:t>centralisation</w:t>
      </w:r>
      <w:proofErr w:type="spellEnd"/>
      <w:r w:rsidRPr="00AF5172">
        <w:t xml:space="preserve"> and </w:t>
      </w:r>
      <w:proofErr w:type="spellStart"/>
      <w:r w:rsidRPr="00AF5172">
        <w:t>decentralisation</w:t>
      </w:r>
      <w:proofErr w:type="spellEnd"/>
      <w:r w:rsidRPr="00AF5172">
        <w:t xml:space="preserve">. Understanding this structure is </w:t>
      </w:r>
      <w:r w:rsidRPr="00AF5172">
        <w:t>essential to evaluating how the morphine overdose incident both arose from and exposed tensions within the system. The Health and Care Act 2022 transferred significant commissioning and performance oversight functions from NHS England to forty-two newly fo</w:t>
      </w:r>
      <w:r w:rsidRPr="00AF5172">
        <w:t xml:space="preserve">rmed Integrated Care Boards (ICBs), representing a deliberate move towards greater </w:t>
      </w:r>
      <w:proofErr w:type="spellStart"/>
      <w:r w:rsidRPr="00AF5172">
        <w:t>decentralisation</w:t>
      </w:r>
      <w:proofErr w:type="spellEnd"/>
      <w:r w:rsidRPr="00AF5172">
        <w:t xml:space="preserve"> (NHS England, 2022a). However, national bodies including NHS England, the Medicines and Healthcare products Regulatory Agency (MHRA), and the National Insti</w:t>
      </w:r>
      <w:r w:rsidRPr="00AF5172">
        <w:t xml:space="preserve">tute for Health and Care Excellence </w:t>
      </w:r>
      <w:r w:rsidRPr="00AF5172">
        <w:lastRenderedPageBreak/>
        <w:t xml:space="preserve">(NICE) retain </w:t>
      </w:r>
      <w:proofErr w:type="spellStart"/>
      <w:r w:rsidRPr="00AF5172">
        <w:t>centralised</w:t>
      </w:r>
      <w:proofErr w:type="spellEnd"/>
      <w:r w:rsidRPr="00AF5172">
        <w:t xml:space="preserve"> authority over medicines policy, formulary guidance, and patient safety frameworks.</w:t>
      </w:r>
    </w:p>
    <w:p w:rsidR="007D1E48" w:rsidRPr="00AF5172" w:rsidRDefault="0012084A">
      <w:pPr>
        <w:spacing w:before="80" w:after="80" w:line="360" w:lineRule="auto"/>
        <w:jc w:val="both"/>
      </w:pPr>
      <w:r w:rsidRPr="00AF5172">
        <w:t xml:space="preserve">Within this hybrid structure, the morphine overdose case reveals how a </w:t>
      </w:r>
      <w:proofErr w:type="spellStart"/>
      <w:r w:rsidRPr="00AF5172">
        <w:t>centralised</w:t>
      </w:r>
      <w:proofErr w:type="spellEnd"/>
      <w:r w:rsidRPr="00AF5172">
        <w:t xml:space="preserve"> policy (the RED drug classification) failed to translate into locally enforced practice at the point of discharge. The RED drug framework is a nationally </w:t>
      </w:r>
      <w:proofErr w:type="spellStart"/>
      <w:r w:rsidRPr="00AF5172">
        <w:t>recognised</w:t>
      </w:r>
      <w:proofErr w:type="spellEnd"/>
      <w:r w:rsidRPr="00AF5172">
        <w:t xml:space="preserve"> governan</w:t>
      </w:r>
      <w:r w:rsidRPr="00AF5172">
        <w:t xml:space="preserve">ce tool, yet its implementation is delegated to regional formulary committees and individual NHS Trusts. This creates a classic </w:t>
      </w:r>
      <w:proofErr w:type="spellStart"/>
      <w:r w:rsidRPr="00AF5172">
        <w:t>decentralisation</w:t>
      </w:r>
      <w:proofErr w:type="spellEnd"/>
      <w:r w:rsidRPr="00AF5172">
        <w:t xml:space="preserve"> risk: variation in implementation, inconsistent staff education, and gaps in accountability when clinical decis</w:t>
      </w:r>
      <w:r w:rsidRPr="00AF5172">
        <w:t xml:space="preserve">ions cross </w:t>
      </w:r>
      <w:proofErr w:type="spellStart"/>
      <w:r w:rsidRPr="00AF5172">
        <w:t>organisational</w:t>
      </w:r>
      <w:proofErr w:type="spellEnd"/>
      <w:r w:rsidRPr="00AF5172">
        <w:t xml:space="preserve"> boundaries (World Health Organization, 2007).</w:t>
      </w:r>
    </w:p>
    <w:p w:rsidR="007D1E48" w:rsidRPr="00AF5172" w:rsidRDefault="0012084A">
      <w:pPr>
        <w:spacing w:before="80" w:after="80" w:line="360" w:lineRule="auto"/>
        <w:jc w:val="both"/>
      </w:pPr>
      <w:proofErr w:type="spellStart"/>
      <w:r w:rsidRPr="00AF5172">
        <w:t>Centralised</w:t>
      </w:r>
      <w:proofErr w:type="spellEnd"/>
      <w:r w:rsidRPr="00AF5172">
        <w:t xml:space="preserve"> systems in healthcare offer significant advantages in terms of </w:t>
      </w:r>
      <w:proofErr w:type="spellStart"/>
      <w:r w:rsidRPr="00AF5172">
        <w:t>standardisation</w:t>
      </w:r>
      <w:proofErr w:type="spellEnd"/>
      <w:r w:rsidRPr="00AF5172">
        <w:t xml:space="preserve"> and quality control. When applied consistently, national policies such as the MHRA's licensin</w:t>
      </w:r>
      <w:r w:rsidRPr="00AF5172">
        <w:t xml:space="preserve">g framework and NHS England's Never Events policy ensure that certain preventable harms are subject to mandatory oversight and reporting. The Never Events framework (NHS England, 2023b) functions as a </w:t>
      </w:r>
      <w:proofErr w:type="spellStart"/>
      <w:r w:rsidRPr="00AF5172">
        <w:t>centralised</w:t>
      </w:r>
      <w:proofErr w:type="spellEnd"/>
      <w:r w:rsidRPr="00AF5172">
        <w:t xml:space="preserve"> accountability mechanism: between April 202</w:t>
      </w:r>
      <w:r w:rsidRPr="00AF5172">
        <w:t xml:space="preserve">3 and March 2024, a total of 370 Never Events were reported across 136 NHS Trusts in England, including twenty instances of medication administered via the wrong route (NHS England, 2024b; </w:t>
      </w:r>
      <w:proofErr w:type="spellStart"/>
      <w:r w:rsidRPr="00AF5172">
        <w:t>Morrish</w:t>
      </w:r>
      <w:proofErr w:type="spellEnd"/>
      <w:r w:rsidRPr="00AF5172">
        <w:t xml:space="preserve"> Solicitors, 2025). A </w:t>
      </w:r>
      <w:proofErr w:type="spellStart"/>
      <w:r w:rsidRPr="00AF5172">
        <w:t>centralised</w:t>
      </w:r>
      <w:proofErr w:type="spellEnd"/>
      <w:r w:rsidRPr="00AF5172">
        <w:t xml:space="preserve"> reporting infrastructure t</w:t>
      </w:r>
      <w:r w:rsidRPr="00AF5172">
        <w:t xml:space="preserve">herefore exists; what was lacking in the morphine overdose case was </w:t>
      </w:r>
      <w:proofErr w:type="spellStart"/>
      <w:r w:rsidRPr="00AF5172">
        <w:t>centralised</w:t>
      </w:r>
      <w:proofErr w:type="spellEnd"/>
      <w:r w:rsidRPr="00AF5172">
        <w:t xml:space="preserve"> enforcement of the supply restrictions for the 100 micrograms/ml formulation.</w:t>
      </w:r>
    </w:p>
    <w:p w:rsidR="007D1E48" w:rsidRPr="00AF5172" w:rsidRDefault="0012084A">
      <w:pPr>
        <w:spacing w:before="80" w:after="80" w:line="360" w:lineRule="auto"/>
        <w:jc w:val="both"/>
      </w:pPr>
      <w:r w:rsidRPr="00AF5172">
        <w:t xml:space="preserve">The advantages of </w:t>
      </w:r>
      <w:proofErr w:type="spellStart"/>
      <w:r w:rsidRPr="00AF5172">
        <w:t>centralisation</w:t>
      </w:r>
      <w:proofErr w:type="spellEnd"/>
      <w:r w:rsidRPr="00AF5172">
        <w:t xml:space="preserve"> in this context include the potential for national formulary syst</w:t>
      </w:r>
      <w:r w:rsidRPr="00AF5172">
        <w:t>ems to automatically flag RED drug prescriptions and prevent community dispensing. A centrally mandated digital alert within NHS prescribing software—such as the Electronic Prescription Service (EPS)—would represent a structural safeguard rather than relyi</w:t>
      </w:r>
      <w:r w:rsidRPr="00AF5172">
        <w:t xml:space="preserve">ng on human vigilance. NHS England's (2023c) Long Term Plan commitment to digital prescribing interoperability, if implemented robustly, would address this gap. However, the disadvantage of </w:t>
      </w:r>
      <w:proofErr w:type="spellStart"/>
      <w:r w:rsidRPr="00AF5172">
        <w:t>centralised</w:t>
      </w:r>
      <w:proofErr w:type="spellEnd"/>
      <w:r w:rsidRPr="00AF5172">
        <w:t xml:space="preserve"> governance in the NHS context is the considerable lag </w:t>
      </w:r>
      <w:r w:rsidRPr="00AF5172">
        <w:t>between policy formulation and frontline implementation. Despite the fifth similar incident occurring in 2023, the national formulary and prescribing IT infrastructure had not been updated to prevent automated transmission of RED drug prescriptions to comm</w:t>
      </w:r>
      <w:r w:rsidRPr="00AF5172">
        <w:t>unity pharmacies.</w:t>
      </w:r>
    </w:p>
    <w:p w:rsidR="007D1E48" w:rsidRPr="00AF5172" w:rsidRDefault="0012084A">
      <w:pPr>
        <w:spacing w:before="80" w:after="80" w:line="360" w:lineRule="auto"/>
        <w:jc w:val="both"/>
      </w:pPr>
      <w:proofErr w:type="spellStart"/>
      <w:r w:rsidRPr="00AF5172">
        <w:t>Decentralised</w:t>
      </w:r>
      <w:proofErr w:type="spellEnd"/>
      <w:r w:rsidRPr="00AF5172">
        <w:t xml:space="preserve"> systems, by contrast, offer the advantage of local responsiveness and professional autonomy. Within NHS Trusts, Medication Safety Officers (MSOs) and Pharmacy Clinical Governance Leads are locally empowered to design safety </w:t>
      </w:r>
      <w:r w:rsidRPr="00AF5172">
        <w:t xml:space="preserve">protocols, conduct audit cycles, and respond to incident learning. The Shrewsbury, Telford and </w:t>
      </w:r>
      <w:proofErr w:type="spellStart"/>
      <w:r w:rsidRPr="00AF5172">
        <w:t>Wrekin</w:t>
      </w:r>
      <w:proofErr w:type="spellEnd"/>
      <w:r w:rsidRPr="00AF5172">
        <w:t xml:space="preserve"> ICS Medicines Safety Group (2023) exemplifies how local teams can develop safety communications and post-</w:t>
      </w:r>
      <w:r w:rsidRPr="00AF5172">
        <w:lastRenderedPageBreak/>
        <w:t>incident reviews that supplement national guidanc</w:t>
      </w:r>
      <w:r w:rsidRPr="00AF5172">
        <w:t xml:space="preserve">e. Following the 2023 infant morphine overdose, the North East and Yorkshire ICB acted with relative speed to issue a regional case study and patient safety alert (NHS England North East and Yorkshire, 2023), which represents a positive dimension of </w:t>
      </w:r>
      <w:proofErr w:type="spellStart"/>
      <w:r w:rsidRPr="00AF5172">
        <w:t>decent</w:t>
      </w:r>
      <w:r w:rsidRPr="00AF5172">
        <w:t>ralised</w:t>
      </w:r>
      <w:proofErr w:type="spellEnd"/>
      <w:r w:rsidRPr="00AF5172">
        <w:t xml:space="preserve"> learning cultures.</w:t>
      </w:r>
    </w:p>
    <w:p w:rsidR="007D1E48" w:rsidRPr="00AF5172" w:rsidRDefault="0012084A">
      <w:pPr>
        <w:spacing w:before="80" w:after="80" w:line="360" w:lineRule="auto"/>
        <w:jc w:val="both"/>
      </w:pPr>
      <w:r w:rsidRPr="00AF5172">
        <w:t xml:space="preserve">However, the critical limitation of </w:t>
      </w:r>
      <w:proofErr w:type="spellStart"/>
      <w:r w:rsidRPr="00AF5172">
        <w:t>decentralisation</w:t>
      </w:r>
      <w:proofErr w:type="spellEnd"/>
      <w:r w:rsidRPr="00AF5172">
        <w:t xml:space="preserve"> in this case is the fragmentation of accountability at the secondary-to-primary care interface. When a patient is discharged from a hospital, the governance responsibility for </w:t>
      </w:r>
      <w:r w:rsidRPr="00AF5172">
        <w:t xml:space="preserve">their ongoing medication management is effectively transferred—often with inadequate handover—to primary care practitioners, community pharmacists, and ultimately patients and families (BMJ Quality and Safety, 2024). In the infant morphine case, no single </w:t>
      </w:r>
      <w:proofErr w:type="spellStart"/>
      <w:r w:rsidRPr="00AF5172">
        <w:t>organisation</w:t>
      </w:r>
      <w:proofErr w:type="spellEnd"/>
      <w:r w:rsidRPr="00AF5172">
        <w:t xml:space="preserve"> or professional claimed clear accountability for ensuring the correct formulation reached the family. This governance gap reflects the danger of </w:t>
      </w:r>
      <w:proofErr w:type="spellStart"/>
      <w:r w:rsidRPr="00AF5172">
        <w:t>decentralisation</w:t>
      </w:r>
      <w:proofErr w:type="spellEnd"/>
      <w:r w:rsidRPr="00AF5172">
        <w:t xml:space="preserve"> without corresponding integration mechanisms.</w:t>
      </w:r>
    </w:p>
    <w:p w:rsidR="007D1E48" w:rsidRPr="00AF5172" w:rsidRDefault="0012084A">
      <w:pPr>
        <w:spacing w:before="80" w:after="80" w:line="360" w:lineRule="auto"/>
        <w:jc w:val="both"/>
      </w:pPr>
      <w:r w:rsidRPr="00AF5172">
        <w:t>Numerically, the scale of the chall</w:t>
      </w:r>
      <w:r w:rsidRPr="00AF5172">
        <w:t>enge is significant. NHS data indicate that medication-related incidents at points of care transfer account for a disproportionate share of avoidable adverse events (Elliott et al., 2020). Research by BMJ Quality and Safety (2024) estimated that nearly one</w:t>
      </w:r>
      <w:r w:rsidRPr="00AF5172">
        <w:t xml:space="preserve"> million medication errors annually in England are associated with inadequate information transfer between NHS settings, with an estimated 16,000 patient harms and over 20 deaths per year potentially preventable through interoperable digital prescribing re</w:t>
      </w:r>
      <w:r w:rsidRPr="00AF5172">
        <w:t xml:space="preserve">cords. The morphine overdose incident is thus representative of a wider structural vulnerability at the interface between </w:t>
      </w:r>
      <w:proofErr w:type="spellStart"/>
      <w:r w:rsidRPr="00AF5172">
        <w:t>centralised</w:t>
      </w:r>
      <w:proofErr w:type="spellEnd"/>
      <w:r w:rsidRPr="00AF5172">
        <w:t xml:space="preserve"> policy and </w:t>
      </w:r>
      <w:proofErr w:type="spellStart"/>
      <w:r w:rsidRPr="00AF5172">
        <w:t>decentralised</w:t>
      </w:r>
      <w:proofErr w:type="spellEnd"/>
      <w:r w:rsidRPr="00AF5172">
        <w:t xml:space="preserve"> delivery.</w:t>
      </w:r>
    </w:p>
    <w:p w:rsidR="007D1E48" w:rsidRPr="00AF5172" w:rsidRDefault="0012084A">
      <w:pPr>
        <w:spacing w:before="80" w:after="80" w:line="360" w:lineRule="auto"/>
        <w:jc w:val="both"/>
      </w:pPr>
      <w:r w:rsidRPr="00AF5172">
        <w:t>A balanced evaluation suggests that the NHS requires a hybrid model in which national m</w:t>
      </w:r>
      <w:r w:rsidRPr="00AF5172">
        <w:t>andates for high-alert medication governance are implemented through locally enforced and digitally supported systems. The ICB governance layer created by the Health and Care Act 2022 offers a mechanism for bridging this gap, but only if ICBs are resourced</w:t>
      </w:r>
      <w:r w:rsidRPr="00AF5172">
        <w:t xml:space="preserve"> and empowered to mandate compliance with RED drug protocols across all providers within their geography, including primary care and community pharmacy contractors.</w:t>
      </w:r>
    </w:p>
    <w:p w:rsidR="007D1E48" w:rsidRPr="00AF5172" w:rsidRDefault="007D1E48"/>
    <w:p w:rsidR="007D1E48" w:rsidRPr="00AF5172" w:rsidRDefault="0012084A" w:rsidP="00FD4670">
      <w:pPr>
        <w:rPr>
          <w:b/>
        </w:rPr>
      </w:pPr>
      <w:r w:rsidRPr="00AF5172">
        <w:rPr>
          <w:b/>
        </w:rPr>
        <w:t>2c. Leadership Theories and Application to the Case Study</w:t>
      </w:r>
    </w:p>
    <w:p w:rsidR="007D1E48" w:rsidRPr="00AF5172" w:rsidRDefault="0012084A">
      <w:pPr>
        <w:spacing w:before="80" w:after="80" w:line="360" w:lineRule="auto"/>
        <w:jc w:val="both"/>
      </w:pPr>
      <w:r w:rsidRPr="00AF5172">
        <w:t>A critical examination of the in</w:t>
      </w:r>
      <w:r w:rsidRPr="00AF5172">
        <w:t xml:space="preserve">fant morphine overdose case through leadership theory reveals how deficits in leadership culture, style, and practice at multiple </w:t>
      </w:r>
      <w:proofErr w:type="spellStart"/>
      <w:r w:rsidRPr="00AF5172">
        <w:t>organisational</w:t>
      </w:r>
      <w:proofErr w:type="spellEnd"/>
      <w:r w:rsidRPr="00AF5172">
        <w:t xml:space="preserve"> levels contributed to the failure, and how alternative leadership approaches could have prevented it. Three pri</w:t>
      </w:r>
      <w:r w:rsidRPr="00AF5172">
        <w:t>ncipal theories are applied here: transformational leadership, situational leadership, and distributed leadership.</w:t>
      </w:r>
    </w:p>
    <w:p w:rsidR="007D1E48" w:rsidRPr="00AF5172" w:rsidRDefault="0012084A">
      <w:pPr>
        <w:spacing w:before="80" w:after="80" w:line="360" w:lineRule="auto"/>
        <w:jc w:val="both"/>
      </w:pPr>
      <w:r w:rsidRPr="00AF5172">
        <w:t xml:space="preserve">Transformational leadership, first </w:t>
      </w:r>
      <w:proofErr w:type="spellStart"/>
      <w:r w:rsidRPr="00AF5172">
        <w:t>conceptualised</w:t>
      </w:r>
      <w:proofErr w:type="spellEnd"/>
      <w:r w:rsidRPr="00AF5172">
        <w:t xml:space="preserve"> by Burns (1978) and further developed by Bass (1985), describes leaders who inspire and mot</w:t>
      </w:r>
      <w:r w:rsidRPr="00AF5172">
        <w:t>ivate followers to transcend individual self-</w:t>
      </w:r>
      <w:r w:rsidRPr="00AF5172">
        <w:lastRenderedPageBreak/>
        <w:t>interest in service of a shared vision. In health care, transformational leadership has been consistently associated with improved patient safety cultures, reduced adverse events, and enhanced staff engagement (</w:t>
      </w:r>
      <w:proofErr w:type="spellStart"/>
      <w:r w:rsidRPr="00AF5172">
        <w:t>Ystaas</w:t>
      </w:r>
      <w:proofErr w:type="spellEnd"/>
      <w:r w:rsidRPr="00AF5172">
        <w:t xml:space="preserve"> et al., 2023). A 2024 scoping review published in the journal Hospitals found that transformational leadership positively influenced care delivery and human resource management across 26 healthcare studies internationally (</w:t>
      </w:r>
      <w:proofErr w:type="spellStart"/>
      <w:r w:rsidRPr="00AF5172">
        <w:t>Iliopoulou</w:t>
      </w:r>
      <w:proofErr w:type="spellEnd"/>
      <w:r w:rsidRPr="00AF5172">
        <w:t xml:space="preserve"> et al., 2024). </w:t>
      </w:r>
      <w:r w:rsidRPr="00AF5172">
        <w:t xml:space="preserve">In the NHS context, NHS England's Own Leadership Competency Framework (NHS England, 2024a) explicitly positions transformational </w:t>
      </w:r>
      <w:proofErr w:type="spellStart"/>
      <w:r w:rsidRPr="00AF5172">
        <w:t>behaviours</w:t>
      </w:r>
      <w:proofErr w:type="spellEnd"/>
      <w:r w:rsidRPr="00AF5172">
        <w:t>—vision, inspiration, and empowerment—as foundational to board-level leadership, with these competencies mandated for</w:t>
      </w:r>
      <w:r w:rsidRPr="00AF5172">
        <w:t xml:space="preserve"> all NHS board member recruitment from April 2024.</w:t>
      </w:r>
    </w:p>
    <w:p w:rsidR="007D1E48" w:rsidRPr="00AF5172" w:rsidRDefault="0012084A">
      <w:pPr>
        <w:spacing w:before="80" w:after="80" w:line="360" w:lineRule="auto"/>
        <w:jc w:val="both"/>
      </w:pPr>
      <w:r w:rsidRPr="00AF5172">
        <w:t>In the morphine overdose case, transformational leadership was notably absent at several levels. At the national level, NHS England leadership had not demonstrated the visionary commitment required to enfo</w:t>
      </w:r>
      <w:r w:rsidRPr="00AF5172">
        <w:t xml:space="preserve">rce the RED drug classification through digital prescribing infrastructure, despite five incidents since 2018. A transformational leader would have treated each recurrence as a burning platform for system redesign, </w:t>
      </w:r>
      <w:proofErr w:type="spellStart"/>
      <w:r w:rsidRPr="00AF5172">
        <w:t>mobilising</w:t>
      </w:r>
      <w:proofErr w:type="spellEnd"/>
      <w:r w:rsidRPr="00AF5172">
        <w:t xml:space="preserve"> cross-</w:t>
      </w:r>
      <w:proofErr w:type="spellStart"/>
      <w:r w:rsidRPr="00AF5172">
        <w:t>organisational</w:t>
      </w:r>
      <w:proofErr w:type="spellEnd"/>
      <w:r w:rsidRPr="00AF5172">
        <w:t xml:space="preserve"> stakehold</w:t>
      </w:r>
      <w:r w:rsidRPr="00AF5172">
        <w:t>ers—pharmacists, prescribers, IT system developers, and ICBs—to co-design a reliable barrier to community supply. At the trust level, transformational clinical leaders responsible for pharmacy governance and discharge processes had not created the safety c</w:t>
      </w:r>
      <w:r w:rsidRPr="00AF5172">
        <w:t xml:space="preserve">ulture and structural conditions necessary to prevent the error. The CQC (2023) noted that </w:t>
      </w:r>
      <w:proofErr w:type="spellStart"/>
      <w:r w:rsidRPr="00AF5172">
        <w:t>organisations</w:t>
      </w:r>
      <w:proofErr w:type="spellEnd"/>
      <w:r w:rsidRPr="00AF5172">
        <w:t xml:space="preserve"> responding well to the infant morphine risk were those where clinical leaders had proactively shared safety alerts and embedded RED drug protocols into</w:t>
      </w:r>
      <w:r w:rsidRPr="00AF5172">
        <w:t xml:space="preserve"> their standard operating procedures—a transformational </w:t>
      </w:r>
      <w:proofErr w:type="spellStart"/>
      <w:r w:rsidRPr="00AF5172">
        <w:t>behaviour</w:t>
      </w:r>
      <w:proofErr w:type="spellEnd"/>
      <w:r w:rsidRPr="00AF5172">
        <w:t xml:space="preserve"> </w:t>
      </w:r>
      <w:proofErr w:type="spellStart"/>
      <w:r w:rsidRPr="00AF5172">
        <w:t>characterised</w:t>
      </w:r>
      <w:proofErr w:type="spellEnd"/>
      <w:r w:rsidRPr="00AF5172">
        <w:t xml:space="preserve"> by proactive, purpose-driven action rather than reactive compliance.</w:t>
      </w:r>
    </w:p>
    <w:p w:rsidR="007D1E48" w:rsidRPr="00AF5172" w:rsidRDefault="0012084A">
      <w:pPr>
        <w:spacing w:before="80" w:after="80" w:line="360" w:lineRule="auto"/>
        <w:jc w:val="both"/>
      </w:pPr>
      <w:r w:rsidRPr="00AF5172">
        <w:t>Situational leadership theory (Hersey and Blanchard, 1969) argues that effective leaders adapt their style—</w:t>
      </w:r>
      <w:r w:rsidRPr="00AF5172">
        <w:t xml:space="preserve">from directive to </w:t>
      </w:r>
      <w:proofErr w:type="spellStart"/>
      <w:r w:rsidRPr="00AF5172">
        <w:t>delegative</w:t>
      </w:r>
      <w:proofErr w:type="spellEnd"/>
      <w:r w:rsidRPr="00AF5172">
        <w:t>—based on the competence and commitment of their followers in a given situation. Applied to this case, the situation at the point of discharge was one of high risk and potentially low competence: a non-clinical family responsibl</w:t>
      </w:r>
      <w:r w:rsidRPr="00AF5172">
        <w:t xml:space="preserve">e for administering a specialist </w:t>
      </w:r>
      <w:proofErr w:type="spellStart"/>
      <w:r w:rsidRPr="00AF5172">
        <w:t>paediatric</w:t>
      </w:r>
      <w:proofErr w:type="spellEnd"/>
      <w:r w:rsidRPr="00AF5172">
        <w:t xml:space="preserve"> opioid at home. A situationally aware clinical leader—whether the discharging clinician, pharmacist, or nurse—would have </w:t>
      </w:r>
      <w:proofErr w:type="spellStart"/>
      <w:r w:rsidRPr="00AF5172">
        <w:t>recognised</w:t>
      </w:r>
      <w:proofErr w:type="spellEnd"/>
      <w:r w:rsidRPr="00AF5172">
        <w:t xml:space="preserve"> this as requiring a directive and highly supportive intervention: not merely lab</w:t>
      </w:r>
      <w:r w:rsidRPr="00AF5172">
        <w:t>elling the bottle and handing it over, but conducting structured counselling, demonstrating the measuring technique, providing written information with emergency contact details, and arranging a community follow-up check.</w:t>
      </w:r>
    </w:p>
    <w:p w:rsidR="007D1E48" w:rsidRPr="00AF5172" w:rsidRDefault="0012084A">
      <w:pPr>
        <w:spacing w:before="80" w:after="80" w:line="360" w:lineRule="auto"/>
        <w:jc w:val="both"/>
      </w:pPr>
      <w:r w:rsidRPr="00AF5172">
        <w:t>The evidence strongly supports the</w:t>
      </w:r>
      <w:r w:rsidRPr="00AF5172">
        <w:t xml:space="preserve"> effectiveness of structured discharge counselling for high-alert medications. The British Journal of Clinical Pharmacology has published multiple studies </w:t>
      </w:r>
      <w:r w:rsidRPr="00AF5172">
        <w:lastRenderedPageBreak/>
        <w:t>demonstrating that verbal and written counselling significantly reduces home administration errors fo</w:t>
      </w:r>
      <w:r w:rsidRPr="00AF5172">
        <w:t xml:space="preserve">r liquid opioids, particularly in </w:t>
      </w:r>
      <w:proofErr w:type="spellStart"/>
      <w:r w:rsidRPr="00AF5172">
        <w:t>paediatric</w:t>
      </w:r>
      <w:proofErr w:type="spellEnd"/>
      <w:r w:rsidRPr="00AF5172">
        <w:t xml:space="preserve"> settings (NPPG, 2025). The absence of such counselling in this case suggests a situational leadership failure: the clinical team defaulted to a task-completion orientation (transactional leadership) rather than </w:t>
      </w:r>
      <w:r w:rsidRPr="00AF5172">
        <w:t>adapting to the vulnerability of the situation. Transactional leadership—</w:t>
      </w:r>
      <w:proofErr w:type="spellStart"/>
      <w:r w:rsidRPr="00AF5172">
        <w:t>characterised</w:t>
      </w:r>
      <w:proofErr w:type="spellEnd"/>
      <w:r w:rsidRPr="00AF5172">
        <w:t xml:space="preserve"> by adherence to rules and procedures for reward avoidance—is not inherently inappropriate, but it is insufficient when the established rules are themselves inadequate to</w:t>
      </w:r>
      <w:r w:rsidRPr="00AF5172">
        <w:t xml:space="preserve"> address the risk.</w:t>
      </w:r>
    </w:p>
    <w:p w:rsidR="007D1E48" w:rsidRPr="00AF5172" w:rsidRDefault="0012084A">
      <w:pPr>
        <w:spacing w:before="80" w:after="80" w:line="360" w:lineRule="auto"/>
        <w:jc w:val="both"/>
      </w:pPr>
      <w:r w:rsidRPr="00AF5172">
        <w:t>Distributed leadership theory (Spillane, 2006) holds that leadership is most effective when it is shared across multiple actors rather than vested in a single authority. In the context of patient safety, distributed leadership empowers a</w:t>
      </w:r>
      <w:r w:rsidRPr="00AF5172">
        <w:t>ll clinical staff—not just senior managers—to identify and raise concerns, challenge unsafe practices, and contribute to quality improvement (West et al., 2015). The Kings Fund (2023) has consistently advocated distributed and compassionate leadership as t</w:t>
      </w:r>
      <w:r w:rsidRPr="00AF5172">
        <w:t xml:space="preserve">he model most suited to the complexity of NHS systems. NHS England (2024a) similarly highlights the importance of developing leadership at all levels of </w:t>
      </w:r>
      <w:proofErr w:type="spellStart"/>
      <w:r w:rsidRPr="00AF5172">
        <w:t>organisations</w:t>
      </w:r>
      <w:proofErr w:type="spellEnd"/>
      <w:r w:rsidRPr="00AF5172">
        <w:t>.</w:t>
      </w:r>
    </w:p>
    <w:p w:rsidR="007D1E48" w:rsidRPr="00AF5172" w:rsidRDefault="0012084A">
      <w:pPr>
        <w:spacing w:before="80" w:after="80" w:line="360" w:lineRule="auto"/>
        <w:jc w:val="both"/>
      </w:pPr>
      <w:r w:rsidRPr="00AF5172">
        <w:t>In the morphine overdose case, distributed leadership was undermined by a culture of hie</w:t>
      </w:r>
      <w:r w:rsidRPr="00AF5172">
        <w:t>rarchical deference and narrow role definition. The ward nurse who prepared the discharge, the junior doctor who wrote the prescription, and the pharmacy technician who dispensed the medication each operated within silos, without a shared accountability fo</w:t>
      </w:r>
      <w:r w:rsidRPr="00AF5172">
        <w:t xml:space="preserve">r the safe medication transfer. A distributed leadership culture would have embedded the expectation that any team member who noticed a discrepancy in the formulation or labelling was not only permitted but professionally obligated to raise it—a principle </w:t>
      </w:r>
      <w:r w:rsidRPr="00AF5172">
        <w:t xml:space="preserve">enshrined in the NHS duty of </w:t>
      </w:r>
      <w:proofErr w:type="spellStart"/>
      <w:r w:rsidRPr="00AF5172">
        <w:t>candour</w:t>
      </w:r>
      <w:proofErr w:type="spellEnd"/>
      <w:r w:rsidRPr="00AF5172">
        <w:t xml:space="preserve"> (NHS England, 2022b) but not consistently </w:t>
      </w:r>
      <w:proofErr w:type="spellStart"/>
      <w:r w:rsidRPr="00AF5172">
        <w:t>operationalised</w:t>
      </w:r>
      <w:proofErr w:type="spellEnd"/>
      <w:r w:rsidRPr="00AF5172">
        <w:t xml:space="preserve">. NHS Staff Survey data (NHS England, 2023d) indicate that approximately 27% of NHS staff did not always feel safe to report concerns, and that only 64% reported </w:t>
      </w:r>
      <w:r w:rsidRPr="00AF5172">
        <w:t xml:space="preserve">confidence that their </w:t>
      </w:r>
      <w:proofErr w:type="spellStart"/>
      <w:r w:rsidRPr="00AF5172">
        <w:t>organisation</w:t>
      </w:r>
      <w:proofErr w:type="spellEnd"/>
      <w:r w:rsidRPr="00AF5172">
        <w:t xml:space="preserve"> would take action on reported safety issues—figures that reflect the systemic challenge of building genuinely distributed safety leadership.</w:t>
      </w:r>
    </w:p>
    <w:p w:rsidR="007D1E48" w:rsidRPr="00AF5172" w:rsidRDefault="0012084A">
      <w:pPr>
        <w:spacing w:before="80" w:after="80" w:line="360" w:lineRule="auto"/>
        <w:jc w:val="both"/>
      </w:pPr>
      <w:r w:rsidRPr="00AF5172">
        <w:t xml:space="preserve">The data on leadership effectiveness in this case are sobering. National NRLS data showed that reports of opioid-related incidents had a quality of learning rated as 'poor' in 67.28% of cases—the second worst of all medication categories </w:t>
      </w:r>
      <w:proofErr w:type="spellStart"/>
      <w:r w:rsidRPr="00AF5172">
        <w:t>analysed</w:t>
      </w:r>
      <w:proofErr w:type="spellEnd"/>
      <w:r w:rsidRPr="00AF5172">
        <w:t xml:space="preserve"> (</w:t>
      </w:r>
      <w:proofErr w:type="spellStart"/>
      <w:r w:rsidRPr="00AF5172">
        <w:t>Alhawass</w:t>
      </w:r>
      <w:r w:rsidRPr="00AF5172">
        <w:t>i</w:t>
      </w:r>
      <w:proofErr w:type="spellEnd"/>
      <w:r w:rsidRPr="00AF5172">
        <w:t xml:space="preserve"> et al., 2025). This suggests that even where incidents were reported, the leadership culture for learning from opioid errors was inadequate. A proactive, emotionally intelligent, and distributed leadership approach would have converted each of the four p</w:t>
      </w:r>
      <w:r w:rsidRPr="00AF5172">
        <w:t>receding incidents since 2018 into system-wide learning and structural change, preventing the fifth occurrence in 2023.</w:t>
      </w:r>
      <w:r w:rsidR="00C358F5" w:rsidRPr="00AF5172">
        <w:t xml:space="preserve"> </w:t>
      </w:r>
      <w:r w:rsidR="00C358F5" w:rsidRPr="00AF5172">
        <w:t xml:space="preserve">This suggests that leadership within </w:t>
      </w:r>
      <w:r w:rsidR="00C358F5" w:rsidRPr="00AF5172">
        <w:lastRenderedPageBreak/>
        <w:t>the system was predominantly reactive rather than proactive, failing to anticipate risk despite available evidence from previous incidents.</w:t>
      </w:r>
    </w:p>
    <w:p w:rsidR="007D1E48" w:rsidRPr="00AF5172" w:rsidRDefault="007D1E48"/>
    <w:p w:rsidR="007D1E48" w:rsidRPr="00AF5172" w:rsidRDefault="0012084A" w:rsidP="00FD4670">
      <w:pPr>
        <w:rPr>
          <w:b/>
          <w:sz w:val="24"/>
          <w:szCs w:val="24"/>
        </w:rPr>
      </w:pPr>
      <w:r w:rsidRPr="00AF5172">
        <w:rPr>
          <w:b/>
          <w:sz w:val="24"/>
          <w:szCs w:val="24"/>
        </w:rPr>
        <w:t>2d. Improvement and Lessons Learned</w:t>
      </w:r>
    </w:p>
    <w:p w:rsidR="007D1E48" w:rsidRPr="00AF5172" w:rsidRDefault="0012084A">
      <w:pPr>
        <w:spacing w:before="80" w:after="80" w:line="360" w:lineRule="auto"/>
        <w:jc w:val="both"/>
      </w:pPr>
      <w:r w:rsidRPr="00AF5172">
        <w:t xml:space="preserve">The infant morphine overdose case presents multiple missed opportunities at clinical, </w:t>
      </w:r>
      <w:proofErr w:type="spellStart"/>
      <w:r w:rsidRPr="00AF5172">
        <w:t>organisationa</w:t>
      </w:r>
      <w:r w:rsidRPr="00AF5172">
        <w:t>l</w:t>
      </w:r>
      <w:proofErr w:type="spellEnd"/>
      <w:r w:rsidRPr="00AF5172">
        <w:t>, and system levels. A critical evaluation of these failures alongside the evidence base for improvement reveals a coherent set of lessons and solutions that, if implemented, would significantly reduce the risk of recurrence.</w:t>
      </w:r>
    </w:p>
    <w:p w:rsidR="007D1E48" w:rsidRPr="00AF5172" w:rsidRDefault="0012084A">
      <w:pPr>
        <w:spacing w:before="80" w:after="80" w:line="360" w:lineRule="auto"/>
        <w:jc w:val="both"/>
      </w:pPr>
      <w:r w:rsidRPr="00AF5172">
        <w:t>The most fundamental missed o</w:t>
      </w:r>
      <w:r w:rsidRPr="00AF5172">
        <w:t>pportunity was the failure to enforce the RED drug classification at the point of prescription and dispensing. The clinical governance infrastructure for RED drugs existed in principle—the formulary classification system clearly prohibited primary care pre</w:t>
      </w:r>
      <w:r w:rsidRPr="00AF5172">
        <w:t xml:space="preserve">scribing and community dispensing of morphine </w:t>
      </w:r>
      <w:proofErr w:type="spellStart"/>
      <w:r w:rsidRPr="00AF5172">
        <w:t>sulphate</w:t>
      </w:r>
      <w:proofErr w:type="spellEnd"/>
      <w:r w:rsidRPr="00AF5172">
        <w:t xml:space="preserve"> 100 micrograms/ml—yet this governance mechanism lacked the digital and operational teeth to prevent the wrong formulation from reaching a community setting. An NHS England audit of formulary compliance</w:t>
      </w:r>
      <w:r w:rsidRPr="00AF5172">
        <w:t xml:space="preserve"> published prior to 2023 had identified inconsistencies in how RED drug restrictions were enforced across different NHS Trust discharge processes (CQC, 2023). Had this intelligence been acted upon with the urgency it warranted, the digital interoperability</w:t>
      </w:r>
      <w:r w:rsidRPr="00AF5172">
        <w:t xml:space="preserve"> gap that enabled this incident could have been closed.</w:t>
      </w:r>
    </w:p>
    <w:p w:rsidR="007D1E48" w:rsidRPr="00AF5172" w:rsidRDefault="0012084A">
      <w:pPr>
        <w:spacing w:before="80" w:after="80" w:line="360" w:lineRule="auto"/>
        <w:jc w:val="both"/>
      </w:pPr>
      <w:r w:rsidRPr="00AF5172">
        <w:t>Problem: Absence of digital safeguards for HIGH-ALERT medications at the secondary-primary care interface. Data: Research by BMJ Quality and Safety (2024) estimates that approximately one million medi</w:t>
      </w:r>
      <w:r w:rsidRPr="00AF5172">
        <w:t>cation errors annually in England arise from inadequate prescription information transfer between NHS settings, contributing to 16,000 harms and over 20 deaths per year. Improvement: NHS England should mandate the inclusion of RED drug classification flags</w:t>
      </w:r>
      <w:r w:rsidRPr="00AF5172">
        <w:t xml:space="preserve"> within the Electronic Prescription Service (EPS) and Summary Care Record (SCR), such that any prescription for a formulary-classified RED drug automatically generates an alert and requires pharmacist override confirmation before community dispensing is pe</w:t>
      </w:r>
      <w:r w:rsidRPr="00AF5172">
        <w:t>rmitted.</w:t>
      </w:r>
    </w:p>
    <w:p w:rsidR="007D1E48" w:rsidRPr="00AF5172" w:rsidRDefault="0012084A">
      <w:pPr>
        <w:spacing w:before="80" w:after="80" w:line="360" w:lineRule="auto"/>
        <w:jc w:val="both"/>
      </w:pPr>
      <w:r w:rsidRPr="00AF5172">
        <w:t xml:space="preserve">Problem: Inadequate discharge communication for high-alert </w:t>
      </w:r>
      <w:proofErr w:type="spellStart"/>
      <w:r w:rsidRPr="00AF5172">
        <w:t>paediatric</w:t>
      </w:r>
      <w:proofErr w:type="spellEnd"/>
      <w:r w:rsidRPr="00AF5172">
        <w:t xml:space="preserve"> medications. Data: The NPPG (2025) identified that confusion between licensed and unlicensed morphine oral solution concentrations in </w:t>
      </w:r>
      <w:proofErr w:type="spellStart"/>
      <w:r w:rsidRPr="00AF5172">
        <w:t>paediatric</w:t>
      </w:r>
      <w:proofErr w:type="spellEnd"/>
      <w:r w:rsidRPr="00AF5172">
        <w:t xml:space="preserve"> patients was a recurring cause o</w:t>
      </w:r>
      <w:r w:rsidRPr="00AF5172">
        <w:t xml:space="preserve">f harm, exacerbated by the absence of </w:t>
      </w:r>
      <w:proofErr w:type="spellStart"/>
      <w:r w:rsidRPr="00AF5172">
        <w:t>standardised</w:t>
      </w:r>
      <w:proofErr w:type="spellEnd"/>
      <w:r w:rsidRPr="00AF5172">
        <w:t xml:space="preserve"> formulations and labelling. Improvement: All NHS Trusts should implement a structured medication reconciliation and discharge counselling protocol for high-alert medications, in line with the NHS Patient S</w:t>
      </w:r>
      <w:r w:rsidRPr="00AF5172">
        <w:t>afety Strategy (NHS England, 2019) recommendation for proactive safety communication. This should include face-to-face counselling, pictorial dose administration guides, and a 24-hour community nursing or pharmacist follow-up call within 48 hours of discha</w:t>
      </w:r>
      <w:r w:rsidRPr="00AF5172">
        <w:t>rge.</w:t>
      </w:r>
    </w:p>
    <w:p w:rsidR="007D1E48" w:rsidRPr="00AF5172" w:rsidRDefault="0012084A">
      <w:pPr>
        <w:spacing w:before="80" w:after="80" w:line="360" w:lineRule="auto"/>
        <w:jc w:val="both"/>
      </w:pPr>
      <w:r w:rsidRPr="00AF5172">
        <w:lastRenderedPageBreak/>
        <w:t xml:space="preserve">Problem: Absence of national </w:t>
      </w:r>
      <w:proofErr w:type="spellStart"/>
      <w:r w:rsidRPr="00AF5172">
        <w:t>standardisation</w:t>
      </w:r>
      <w:proofErr w:type="spellEnd"/>
      <w:r w:rsidRPr="00AF5172">
        <w:t xml:space="preserve"> of </w:t>
      </w:r>
      <w:proofErr w:type="spellStart"/>
      <w:r w:rsidRPr="00AF5172">
        <w:t>paediatric</w:t>
      </w:r>
      <w:proofErr w:type="spellEnd"/>
      <w:r w:rsidRPr="00AF5172">
        <w:t xml:space="preserve"> liquid morphine concentrations. Data: The NPPG (2025) position statement noted that every year, harm occurs in children because the concentration of their liquid medication changed without the</w:t>
      </w:r>
      <w:r w:rsidRPr="00AF5172">
        <w:t xml:space="preserve"> administrator being aware. Improvement: NHS England and the MHRA should adopt the NPPG recommendation to </w:t>
      </w:r>
      <w:proofErr w:type="spellStart"/>
      <w:r w:rsidRPr="00AF5172">
        <w:t>standardise</w:t>
      </w:r>
      <w:proofErr w:type="spellEnd"/>
      <w:r w:rsidRPr="00AF5172">
        <w:t xml:space="preserve"> the concentration of morphine oral solution used in neonatal and </w:t>
      </w:r>
      <w:proofErr w:type="spellStart"/>
      <w:r w:rsidRPr="00AF5172">
        <w:t>paediatric</w:t>
      </w:r>
      <w:proofErr w:type="spellEnd"/>
      <w:r w:rsidRPr="00AF5172">
        <w:t xml:space="preserve"> settings to the licensed 2 mg/ml product for most clinical ind</w:t>
      </w:r>
      <w:r w:rsidRPr="00AF5172">
        <w:t>ications, reserving the unlicensed 100 micrograms/ml product for doses below 200 micrograms with mandatory secondary care dispensing only. This would eliminate the greatest source of concentration confusion.</w:t>
      </w:r>
    </w:p>
    <w:p w:rsidR="007D1E48" w:rsidRPr="00AF5172" w:rsidRDefault="0012084A">
      <w:pPr>
        <w:spacing w:before="80" w:after="80" w:line="360" w:lineRule="auto"/>
        <w:jc w:val="both"/>
      </w:pPr>
      <w:r w:rsidRPr="00AF5172">
        <w:t>Problem: Delayed and incomplete learning from pr</w:t>
      </w:r>
      <w:r w:rsidRPr="00AF5172">
        <w:t>ior incidents. Data: Review of national incident data by the time of the 2023 case revealed this was the fifth recurrence since 2018 (NHS England North East and Yorkshire, 2023). Yet no nationally mandated structural safeguard had been implemented in the i</w:t>
      </w:r>
      <w:r w:rsidRPr="00AF5172">
        <w:t>ntervening five years. The NRLS quality of learning rating for opioid incidents was poor in 67.28% of cases (</w:t>
      </w:r>
      <w:proofErr w:type="spellStart"/>
      <w:r w:rsidRPr="00AF5172">
        <w:t>Alhawassi</w:t>
      </w:r>
      <w:proofErr w:type="spellEnd"/>
      <w:r w:rsidRPr="00AF5172">
        <w:t xml:space="preserve"> et al., 2025). Improvement: NHS England should implement mandatory cross-</w:t>
      </w:r>
      <w:proofErr w:type="spellStart"/>
      <w:r w:rsidRPr="00AF5172">
        <w:t>organisational</w:t>
      </w:r>
      <w:proofErr w:type="spellEnd"/>
      <w:r w:rsidRPr="00AF5172">
        <w:t xml:space="preserve"> learning reviews following any serious incident i</w:t>
      </w:r>
      <w:r w:rsidRPr="00AF5172">
        <w:t xml:space="preserve">nvolving high-alert </w:t>
      </w:r>
      <w:proofErr w:type="spellStart"/>
      <w:r w:rsidRPr="00AF5172">
        <w:t>paediatric</w:t>
      </w:r>
      <w:proofErr w:type="spellEnd"/>
      <w:r w:rsidRPr="00AF5172">
        <w:t xml:space="preserve"> medications, with a national follow-up audit at six and twelve months to confirm implementation of recommended actions. The Patient Safety Incident Response Framework (PSIRF), introduced from </w:t>
      </w:r>
      <w:proofErr w:type="gramStart"/>
      <w:r w:rsidRPr="00AF5172">
        <w:t>Autumn</w:t>
      </w:r>
      <w:proofErr w:type="gramEnd"/>
      <w:r w:rsidRPr="00AF5172">
        <w:t xml:space="preserve"> 2023, provides the governa</w:t>
      </w:r>
      <w:r w:rsidRPr="00AF5172">
        <w:t>nce architecture for this approach (NHS England, 2023a).</w:t>
      </w:r>
    </w:p>
    <w:p w:rsidR="007D1E48" w:rsidRPr="00AF5172" w:rsidRDefault="0012084A">
      <w:pPr>
        <w:spacing w:before="80" w:after="80" w:line="360" w:lineRule="auto"/>
        <w:jc w:val="both"/>
      </w:pPr>
      <w:r w:rsidRPr="00AF5172">
        <w:t xml:space="preserve">The interaction between system structure, leadership style, and feedback is central to understanding both the failure and the pathway to improvement. The hybrid </w:t>
      </w:r>
      <w:proofErr w:type="spellStart"/>
      <w:r w:rsidRPr="00AF5172">
        <w:t>centralised-decentralised</w:t>
      </w:r>
      <w:proofErr w:type="spellEnd"/>
      <w:r w:rsidRPr="00AF5172">
        <w:t xml:space="preserve"> structure of</w:t>
      </w:r>
      <w:r w:rsidRPr="00AF5172">
        <w:t xml:space="preserve"> the NHS created a policy gap between national RED drug governance and local dispensing practice. Transactional leadership at the operational level—compliance-focused without critical safety challenge—was insufficient to prevent the error. The absence of m</w:t>
      </w:r>
      <w:r w:rsidRPr="00AF5172">
        <w:t>eaningful feedback loops, in the form of real-time prescribing alerts or post-incident learning dissemination, meant that the system could not self-correct.</w:t>
      </w:r>
    </w:p>
    <w:p w:rsidR="007D1E48" w:rsidRPr="00AF5172" w:rsidRDefault="0012084A">
      <w:pPr>
        <w:spacing w:before="80" w:after="80" w:line="360" w:lineRule="auto"/>
        <w:jc w:val="both"/>
      </w:pPr>
      <w:r w:rsidRPr="00AF5172">
        <w:t xml:space="preserve">The key lesson for other health </w:t>
      </w:r>
      <w:proofErr w:type="spellStart"/>
      <w:r w:rsidRPr="00AF5172">
        <w:t>organisations</w:t>
      </w:r>
      <w:proofErr w:type="spellEnd"/>
      <w:r w:rsidRPr="00AF5172">
        <w:t xml:space="preserve"> is that patient safety governance must be structurall</w:t>
      </w:r>
      <w:r w:rsidRPr="00AF5172">
        <w:t xml:space="preserve">y embedded rather than dependent on individual vigilance. The NHS Patient Safety Strategy (NHS England, 2019) is explicit that safety improvement requires three components acting in concert: a safety culture, safety systems, and safety science. The infant </w:t>
      </w:r>
      <w:r w:rsidRPr="00AF5172">
        <w:t xml:space="preserve">morphine case exposes a deficit across all three: the culture did not consistently </w:t>
      </w:r>
      <w:proofErr w:type="spellStart"/>
      <w:r w:rsidRPr="00AF5172">
        <w:t>prioritise</w:t>
      </w:r>
      <w:proofErr w:type="spellEnd"/>
      <w:r w:rsidRPr="00AF5172">
        <w:t xml:space="preserve"> safety at the discharge interface; the system lacked digital safeguards and </w:t>
      </w:r>
      <w:proofErr w:type="spellStart"/>
      <w:r w:rsidRPr="00AF5172">
        <w:t>standardised</w:t>
      </w:r>
      <w:proofErr w:type="spellEnd"/>
      <w:r w:rsidRPr="00AF5172">
        <w:t xml:space="preserve"> protocols; and the science—the accumulated evidence about the risks of co</w:t>
      </w:r>
      <w:r w:rsidRPr="00AF5172">
        <w:t xml:space="preserve">ncentration confusion for </w:t>
      </w:r>
      <w:proofErr w:type="spellStart"/>
      <w:r w:rsidRPr="00AF5172">
        <w:t>paediatric</w:t>
      </w:r>
      <w:proofErr w:type="spellEnd"/>
      <w:r w:rsidRPr="00AF5172">
        <w:t xml:space="preserve"> opioids—was not systematically translated into operational change.</w:t>
      </w:r>
    </w:p>
    <w:p w:rsidR="00C358F5" w:rsidRPr="00AF5172" w:rsidRDefault="0012084A">
      <w:pPr>
        <w:spacing w:before="80" w:after="80" w:line="360" w:lineRule="auto"/>
        <w:jc w:val="both"/>
      </w:pPr>
      <w:r w:rsidRPr="00AF5172">
        <w:lastRenderedPageBreak/>
        <w:t>Continuous improvement and accountability require ongoing data use. NHS England's (2024b) introduction of the Learn from Patient Safety Events (LFPSE) s</w:t>
      </w:r>
      <w:r w:rsidRPr="00AF5172">
        <w:t>ervice to replace the NRLS from June 2024 represents a significant structural improvement, offering richer incident reporting data, real-time intelligence, and a more supportive learning culture. However, as the 2023 morphine incident demonstrates, data co</w:t>
      </w:r>
      <w:r w:rsidRPr="00AF5172">
        <w:t>llection alone is insufficient without leadership commitment to act on findings within defined timeframes and with measurable safety outcomes.</w:t>
      </w:r>
      <w:r w:rsidR="006D3F69" w:rsidRPr="00AF5172">
        <w:t xml:space="preserve"> </w:t>
      </w:r>
      <w:r w:rsidR="006D3F69" w:rsidRPr="00AF5172">
        <w:br/>
      </w:r>
      <w:r w:rsidR="00C358F5" w:rsidRPr="00AF5172">
        <w:t xml:space="preserve">A critical issue in this case is not only the occurrence of the error but the system’s repeated failure to learn from prior incidents. Despite at least five similar cases being reported since 2018 (NHS England North East and Yorkshire, 2023), there was no effective national-level intervention to eliminate the risk. This suggests a deeper </w:t>
      </w:r>
      <w:proofErr w:type="spellStart"/>
      <w:r w:rsidR="00C358F5" w:rsidRPr="00AF5172">
        <w:t>organisational</w:t>
      </w:r>
      <w:proofErr w:type="spellEnd"/>
      <w:r w:rsidR="00C358F5" w:rsidRPr="00AF5172">
        <w:t xml:space="preserve"> learning failure, where incident reporting mechanisms such as the National Reporting and Learning System (NRLS) did not translate into actionable system redesign. According to Reason’s Swiss Cheese Model (Reason, 2000), harm occurs when multiple system </w:t>
      </w:r>
      <w:proofErr w:type="spellStart"/>
      <w:r w:rsidR="00C358F5" w:rsidRPr="00AF5172">
        <w:t>defences</w:t>
      </w:r>
      <w:proofErr w:type="spellEnd"/>
      <w:r w:rsidR="00C358F5" w:rsidRPr="00AF5172">
        <w:t xml:space="preserve"> fail simultaneously; however, in this case, those same failures persisted over time, indicating weak feedback loops and limited </w:t>
      </w:r>
      <w:proofErr w:type="spellStart"/>
      <w:r w:rsidR="00C358F5" w:rsidRPr="00AF5172">
        <w:t>organisational</w:t>
      </w:r>
      <w:proofErr w:type="spellEnd"/>
      <w:r w:rsidR="00C358F5" w:rsidRPr="00AF5172">
        <w:t xml:space="preserve"> memory. This raises concerns about the effectiveness of NHS patient safety governance structures in converting data into preventative action (Vincent and </w:t>
      </w:r>
      <w:proofErr w:type="spellStart"/>
      <w:r w:rsidR="00C358F5" w:rsidRPr="00AF5172">
        <w:t>Amalberti</w:t>
      </w:r>
      <w:proofErr w:type="spellEnd"/>
      <w:r w:rsidR="00C358F5" w:rsidRPr="00AF5172">
        <w:t>, 2016).</w:t>
      </w:r>
    </w:p>
    <w:p w:rsidR="007D1E48" w:rsidRPr="00AF5172" w:rsidRDefault="007D1E48"/>
    <w:p w:rsidR="007D1E48" w:rsidRPr="00AF5172" w:rsidRDefault="0012084A" w:rsidP="00FD4670">
      <w:pPr>
        <w:rPr>
          <w:b/>
          <w:sz w:val="28"/>
          <w:szCs w:val="28"/>
        </w:rPr>
      </w:pPr>
      <w:r w:rsidRPr="00AF5172">
        <w:rPr>
          <w:b/>
          <w:sz w:val="28"/>
          <w:szCs w:val="28"/>
        </w:rPr>
        <w:t>3. Recommendations</w:t>
      </w:r>
    </w:p>
    <w:p w:rsidR="007D1E48" w:rsidRPr="00AF5172" w:rsidRDefault="0012084A">
      <w:pPr>
        <w:spacing w:before="80" w:after="80" w:line="360" w:lineRule="auto"/>
        <w:jc w:val="both"/>
      </w:pPr>
      <w:r w:rsidRPr="00AF5172">
        <w:t xml:space="preserve">The following evidence-based recommendations are proposed for NHS North East and Yorkshire </w:t>
      </w:r>
      <w:r w:rsidRPr="00AF5172">
        <w:t>and, where appropriate, for NHS England nationally, to sustain improvement and prevent recurrence.</w:t>
      </w:r>
    </w:p>
    <w:p w:rsidR="007D1E48" w:rsidRPr="00AF5172" w:rsidRDefault="0012084A">
      <w:pPr>
        <w:spacing w:before="80" w:after="80" w:line="360" w:lineRule="auto"/>
        <w:jc w:val="both"/>
      </w:pPr>
      <w:r w:rsidRPr="00AF5172">
        <w:rPr>
          <w:b/>
          <w:bCs/>
        </w:rPr>
        <w:t>Recommendation 1: Implement mandatory digital RED drug safeguards within the Electronic Prescription Service.</w:t>
      </w:r>
    </w:p>
    <w:p w:rsidR="007D1E48" w:rsidRPr="00AF5172" w:rsidRDefault="0012084A">
      <w:pPr>
        <w:spacing w:before="80" w:after="80" w:line="360" w:lineRule="auto"/>
        <w:jc w:val="both"/>
      </w:pPr>
      <w:r w:rsidRPr="00AF5172">
        <w:t>NHS England should mandate that all RED drug cl</w:t>
      </w:r>
      <w:r w:rsidRPr="00AF5172">
        <w:t>assifications within regional formularies are embedded as system-level decision support alerts within the Electronic Prescription Service (EPS) and Electronic Patient Record (EPR) systems. Any prescription for a RED drug that is flagged for community dispe</w:t>
      </w:r>
      <w:r w:rsidRPr="00AF5172">
        <w:t>nsing should generate an automatic block requiring pharmacist clinical override with documented rationale. This recommendation aligns with NHS England's NHS Long Term Plan commitment to digital interoperability (NHS England, 2019) and is supported by evide</w:t>
      </w:r>
      <w:r w:rsidRPr="00AF5172">
        <w:t>nce that digital prescribing safeguards reduce high-alert medication errors (BMJ Quality and Safety, 2024). This intervention addresses allocative efficiency by targeting preventable harms that carry the highest systemic costs.</w:t>
      </w:r>
    </w:p>
    <w:p w:rsidR="007D1E48" w:rsidRPr="00AF5172" w:rsidRDefault="0012084A">
      <w:pPr>
        <w:spacing w:before="80" w:after="80" w:line="360" w:lineRule="auto"/>
        <w:jc w:val="both"/>
      </w:pPr>
      <w:r w:rsidRPr="00AF5172">
        <w:rPr>
          <w:b/>
          <w:bCs/>
        </w:rPr>
        <w:t xml:space="preserve">Recommendation 2: </w:t>
      </w:r>
      <w:proofErr w:type="spellStart"/>
      <w:r w:rsidRPr="00AF5172">
        <w:rPr>
          <w:b/>
          <w:bCs/>
        </w:rPr>
        <w:t>Standardis</w:t>
      </w:r>
      <w:r w:rsidRPr="00AF5172">
        <w:rPr>
          <w:b/>
          <w:bCs/>
        </w:rPr>
        <w:t>e</w:t>
      </w:r>
      <w:proofErr w:type="spellEnd"/>
      <w:r w:rsidRPr="00AF5172">
        <w:rPr>
          <w:b/>
          <w:bCs/>
        </w:rPr>
        <w:t xml:space="preserve"> </w:t>
      </w:r>
      <w:proofErr w:type="spellStart"/>
      <w:r w:rsidRPr="00AF5172">
        <w:rPr>
          <w:b/>
          <w:bCs/>
        </w:rPr>
        <w:t>paediatric</w:t>
      </w:r>
      <w:proofErr w:type="spellEnd"/>
      <w:r w:rsidRPr="00AF5172">
        <w:rPr>
          <w:b/>
          <w:bCs/>
        </w:rPr>
        <w:t xml:space="preserve"> liquid morphine concentrations nationally.</w:t>
      </w:r>
    </w:p>
    <w:p w:rsidR="007D1E48" w:rsidRPr="00AF5172" w:rsidRDefault="0012084A">
      <w:pPr>
        <w:spacing w:before="80" w:after="80" w:line="360" w:lineRule="auto"/>
        <w:jc w:val="both"/>
      </w:pPr>
      <w:r w:rsidRPr="00AF5172">
        <w:lastRenderedPageBreak/>
        <w:t xml:space="preserve">In line with the NPPG (2025) position statement, NHS England and the MHRA should mandate the use of the licensed morphine </w:t>
      </w:r>
      <w:proofErr w:type="spellStart"/>
      <w:r w:rsidRPr="00AF5172">
        <w:t>sulphate</w:t>
      </w:r>
      <w:proofErr w:type="spellEnd"/>
      <w:r w:rsidRPr="00AF5172">
        <w:t xml:space="preserve"> 2 mg/ml oral solution as the standard formulation for neonatal and </w:t>
      </w:r>
      <w:proofErr w:type="spellStart"/>
      <w:r w:rsidRPr="00AF5172">
        <w:t>pa</w:t>
      </w:r>
      <w:r w:rsidRPr="00AF5172">
        <w:t>ediatric</w:t>
      </w:r>
      <w:proofErr w:type="spellEnd"/>
      <w:r w:rsidRPr="00AF5172">
        <w:t xml:space="preserve"> pain management in all NHS settings, with the unlicensed 100 micrograms/ml product restricted to specific clinical indications in secondary care with mandatory specialist dispensing. This reduces the risk of concentration confusion and strengthens</w:t>
      </w:r>
      <w:r w:rsidRPr="00AF5172">
        <w:t xml:space="preserve"> technical efficiency by reducing avoidable emergency admissions, ICU stays, and treatment with naloxone.</w:t>
      </w:r>
    </w:p>
    <w:p w:rsidR="007D1E48" w:rsidRPr="00AF5172" w:rsidRDefault="0012084A">
      <w:pPr>
        <w:spacing w:before="80" w:after="80" w:line="360" w:lineRule="auto"/>
        <w:jc w:val="both"/>
      </w:pPr>
      <w:r w:rsidRPr="00AF5172">
        <w:rPr>
          <w:b/>
          <w:bCs/>
        </w:rPr>
        <w:t>Recommendation 3: Adopt transformational and distributed leadership at the clinical governance level.</w:t>
      </w:r>
    </w:p>
    <w:p w:rsidR="007D1E48" w:rsidRPr="00AF5172" w:rsidRDefault="0012084A">
      <w:pPr>
        <w:spacing w:before="80" w:after="80" w:line="360" w:lineRule="auto"/>
        <w:jc w:val="both"/>
      </w:pPr>
      <w:r w:rsidRPr="00AF5172">
        <w:t>NHS Trusts should invest in transformational lea</w:t>
      </w:r>
      <w:r w:rsidRPr="00AF5172">
        <w:t xml:space="preserve">dership development for pharmacy, nursing, and clinical governance leads, specifically focused on embedding proactive safety cultures at the secondary-primary care interface. This should include structured leadership </w:t>
      </w:r>
      <w:proofErr w:type="spellStart"/>
      <w:r w:rsidRPr="00AF5172">
        <w:t>programmes</w:t>
      </w:r>
      <w:proofErr w:type="spellEnd"/>
      <w:r w:rsidRPr="00AF5172">
        <w:t xml:space="preserve"> aligned with the NHS Leaders</w:t>
      </w:r>
      <w:r w:rsidRPr="00AF5172">
        <w:t xml:space="preserve">hip Competency Framework (NHS England, 2024a), with particular emphasis on the domains of 'ensuring robust governance' and 'creating a positive culture'. Distributed leadership should be </w:t>
      </w:r>
      <w:proofErr w:type="spellStart"/>
      <w:r w:rsidRPr="00AF5172">
        <w:t>operationalised</w:t>
      </w:r>
      <w:proofErr w:type="spellEnd"/>
      <w:r w:rsidRPr="00AF5172">
        <w:t xml:space="preserve"> through multi-disciplinary discharge safety huddles f</w:t>
      </w:r>
      <w:r w:rsidRPr="00AF5172">
        <w:t>or high-alert medications, in which every team member—prescriber, pharmacist, nurse—has a defined and shared accountability role.</w:t>
      </w:r>
    </w:p>
    <w:p w:rsidR="007D1E48" w:rsidRPr="00AF5172" w:rsidRDefault="0012084A">
      <w:pPr>
        <w:spacing w:before="80" w:after="80" w:line="360" w:lineRule="auto"/>
        <w:jc w:val="both"/>
      </w:pPr>
      <w:r w:rsidRPr="00AF5172">
        <w:rPr>
          <w:b/>
          <w:bCs/>
        </w:rPr>
        <w:t xml:space="preserve">Recommendation 4: Implement structured discharge counselling and safety-netting for high-alert </w:t>
      </w:r>
      <w:proofErr w:type="spellStart"/>
      <w:r w:rsidRPr="00AF5172">
        <w:rPr>
          <w:b/>
          <w:bCs/>
        </w:rPr>
        <w:t>paediatric</w:t>
      </w:r>
      <w:proofErr w:type="spellEnd"/>
      <w:r w:rsidRPr="00AF5172">
        <w:rPr>
          <w:b/>
          <w:bCs/>
        </w:rPr>
        <w:t xml:space="preserve"> medications.</w:t>
      </w:r>
    </w:p>
    <w:p w:rsidR="007D1E48" w:rsidRPr="00AF5172" w:rsidRDefault="0012084A">
      <w:pPr>
        <w:spacing w:before="80" w:after="80" w:line="360" w:lineRule="auto"/>
        <w:jc w:val="both"/>
      </w:pPr>
      <w:r w:rsidRPr="00AF5172">
        <w:t xml:space="preserve">All NHS Trusts should implement a mandatory structured discharge medication reconciliation protocol for patients receiving high-alert medications—particularly </w:t>
      </w:r>
      <w:proofErr w:type="spellStart"/>
      <w:r w:rsidRPr="00AF5172">
        <w:t>paediatric</w:t>
      </w:r>
      <w:proofErr w:type="spellEnd"/>
      <w:r w:rsidRPr="00AF5172">
        <w:t xml:space="preserve"> opioids—incorporating written information in accessible formats, verbal counselling, a</w:t>
      </w:r>
      <w:r w:rsidRPr="00AF5172">
        <w:t>nd a community pharmacist or nursing follow-up check within 48 hours. Co-production with patient and family groups, in line with the NHS Patient Safety Strategy (NHS England, 2019), should inform the design of these materials. This addresses both the immed</w:t>
      </w:r>
      <w:r w:rsidRPr="00AF5172">
        <w:t xml:space="preserve">iate clinical risk and the broader equity goal of ensuring vulnerable patients—including non-clinical </w:t>
      </w:r>
      <w:proofErr w:type="spellStart"/>
      <w:r w:rsidRPr="00AF5172">
        <w:t>carers</w:t>
      </w:r>
      <w:proofErr w:type="spellEnd"/>
      <w:r w:rsidRPr="00AF5172">
        <w:t xml:space="preserve"> of neonates—receive equitable safety-netting.</w:t>
      </w:r>
    </w:p>
    <w:p w:rsidR="007D1E48" w:rsidRPr="00AF5172" w:rsidRDefault="0012084A">
      <w:pPr>
        <w:spacing w:before="80" w:after="80" w:line="360" w:lineRule="auto"/>
        <w:jc w:val="both"/>
      </w:pPr>
      <w:r w:rsidRPr="00AF5172">
        <w:rPr>
          <w:b/>
          <w:bCs/>
        </w:rPr>
        <w:t>Recommendation 5: Leverage PSIRF for systematic learning and accountability.</w:t>
      </w:r>
    </w:p>
    <w:p w:rsidR="007D1E48" w:rsidRPr="00AF5172" w:rsidRDefault="0012084A">
      <w:pPr>
        <w:spacing w:before="80" w:after="80" w:line="360" w:lineRule="auto"/>
        <w:jc w:val="both"/>
      </w:pPr>
      <w:r w:rsidRPr="00AF5172">
        <w:t>All serious incidents in</w:t>
      </w:r>
      <w:r w:rsidRPr="00AF5172">
        <w:t xml:space="preserve">volving high-alert </w:t>
      </w:r>
      <w:proofErr w:type="spellStart"/>
      <w:r w:rsidRPr="00AF5172">
        <w:t>paediatric</w:t>
      </w:r>
      <w:proofErr w:type="spellEnd"/>
      <w:r w:rsidRPr="00AF5172">
        <w:t xml:space="preserve"> medications should be reviewed under the Patient Safety Incident Response Framework (PSIRF) (NHS England, 2023a), with findings reported to the relevant ICB and to NHS England nationally within defined timeframes. Continuous i</w:t>
      </w:r>
      <w:r w:rsidRPr="00AF5172">
        <w:t>mprovement should be monitored through regular safety metrics dashboards shared with clinical governance committees, including rates of RED drug community dispensing incidents, medication-related Never Events, and discharge counselling compliance. Stakehol</w:t>
      </w:r>
      <w:r w:rsidRPr="00AF5172">
        <w:t xml:space="preserve">der </w:t>
      </w:r>
      <w:r w:rsidRPr="00AF5172">
        <w:lastRenderedPageBreak/>
        <w:t xml:space="preserve">engagement, including patient and </w:t>
      </w:r>
      <w:proofErr w:type="spellStart"/>
      <w:r w:rsidRPr="00AF5172">
        <w:t>carer</w:t>
      </w:r>
      <w:proofErr w:type="spellEnd"/>
      <w:r w:rsidRPr="00AF5172">
        <w:t xml:space="preserve"> involvement, should be embedded in all PSIRF learning reviews to ensure that system improvements reflect lived experience.</w:t>
      </w:r>
    </w:p>
    <w:p w:rsidR="00C358F5" w:rsidRPr="00AF5172" w:rsidRDefault="0012084A" w:rsidP="00C358F5">
      <w:pPr>
        <w:pStyle w:val="NormalWeb"/>
        <w:rPr>
          <w:rStyle w:val="Strong"/>
          <w:rFonts w:ascii="Arial" w:hAnsi="Arial" w:cs="Arial"/>
        </w:rPr>
      </w:pPr>
      <w:r w:rsidRPr="00AF5172">
        <w:rPr>
          <w:rFonts w:ascii="Arial" w:eastAsia="Arial" w:hAnsi="Arial" w:cs="Arial"/>
          <w:sz w:val="22"/>
          <w:szCs w:val="22"/>
        </w:rPr>
        <w:t>Together, these recommendations constitute a coherent, multi-level safety improvement str</w:t>
      </w:r>
      <w:r w:rsidRPr="00AF5172">
        <w:rPr>
          <w:rFonts w:ascii="Arial" w:eastAsia="Arial" w:hAnsi="Arial" w:cs="Arial"/>
          <w:sz w:val="22"/>
          <w:szCs w:val="22"/>
        </w:rPr>
        <w:t xml:space="preserve">ategy that addresses the governance, leadership, and systems failures identified in this case. They are grounded in the NHS Patient Safety Strategy (2019), the Health and Care Act 2022, and the most current evidence on medication safety and </w:t>
      </w:r>
      <w:proofErr w:type="spellStart"/>
      <w:r w:rsidRPr="00AF5172">
        <w:rPr>
          <w:rFonts w:ascii="Arial" w:eastAsia="Arial" w:hAnsi="Arial" w:cs="Arial"/>
          <w:sz w:val="22"/>
          <w:szCs w:val="22"/>
        </w:rPr>
        <w:t>paediatric</w:t>
      </w:r>
      <w:proofErr w:type="spellEnd"/>
      <w:r w:rsidRPr="00AF5172">
        <w:rPr>
          <w:rFonts w:ascii="Arial" w:eastAsia="Arial" w:hAnsi="Arial" w:cs="Arial"/>
          <w:sz w:val="22"/>
          <w:szCs w:val="22"/>
        </w:rPr>
        <w:t xml:space="preserve"> phar</w:t>
      </w:r>
      <w:r w:rsidRPr="00AF5172">
        <w:rPr>
          <w:rFonts w:ascii="Arial" w:eastAsia="Arial" w:hAnsi="Arial" w:cs="Arial"/>
          <w:sz w:val="22"/>
          <w:szCs w:val="22"/>
        </w:rPr>
        <w:t>macology.</w:t>
      </w:r>
      <w:r w:rsidR="00C358F5" w:rsidRPr="00AF5172">
        <w:rPr>
          <w:rFonts w:ascii="Arial" w:hAnsi="Arial" w:cs="Arial"/>
        </w:rPr>
        <w:br/>
      </w:r>
      <w:r w:rsidR="00C358F5" w:rsidRPr="00AF5172">
        <w:rPr>
          <w:rFonts w:ascii="Arial" w:hAnsi="Arial" w:cs="Arial"/>
        </w:rPr>
        <w:br/>
      </w:r>
      <w:r w:rsidR="00C358F5" w:rsidRPr="00AF5172">
        <w:rPr>
          <w:rStyle w:val="Strong"/>
          <w:rFonts w:ascii="Arial" w:hAnsi="Arial" w:cs="Arial"/>
        </w:rPr>
        <w:t>Implementation Challenges and Evaluation</w:t>
      </w:r>
      <w:r w:rsidR="00C358F5" w:rsidRPr="00AF5172">
        <w:rPr>
          <w:rStyle w:val="Strong"/>
          <w:rFonts w:ascii="Arial" w:hAnsi="Arial" w:cs="Arial"/>
        </w:rPr>
        <w:t xml:space="preserve"> </w:t>
      </w:r>
    </w:p>
    <w:p w:rsidR="00C358F5" w:rsidRPr="00AF5172" w:rsidRDefault="00C358F5" w:rsidP="00C358F5">
      <w:pPr>
        <w:pStyle w:val="NormalWeb"/>
        <w:rPr>
          <w:rFonts w:ascii="Arial" w:hAnsi="Arial" w:cs="Arial"/>
          <w:i/>
          <w:sz w:val="22"/>
          <w:szCs w:val="22"/>
        </w:rPr>
      </w:pPr>
      <w:r w:rsidRPr="00AF5172">
        <w:rPr>
          <w:rStyle w:val="Emphasis"/>
          <w:rFonts w:ascii="Arial" w:hAnsi="Arial" w:cs="Arial"/>
          <w:i w:val="0"/>
          <w:sz w:val="22"/>
          <w:szCs w:val="22"/>
        </w:rPr>
        <w:t xml:space="preserve">While the above recommendations are evidence-based, their implementation within the NHS context presents several practical challenges. Workforce shortages, financial constraints, and variability in digital infrastructure across NHS Trusts may limit the rapid adoption of digital prescribing safeguards and </w:t>
      </w:r>
      <w:proofErr w:type="spellStart"/>
      <w:r w:rsidRPr="00AF5172">
        <w:rPr>
          <w:rStyle w:val="Emphasis"/>
          <w:rFonts w:ascii="Arial" w:hAnsi="Arial" w:cs="Arial"/>
          <w:i w:val="0"/>
          <w:sz w:val="22"/>
          <w:szCs w:val="22"/>
        </w:rPr>
        <w:t>standardised</w:t>
      </w:r>
      <w:proofErr w:type="spellEnd"/>
      <w:r w:rsidRPr="00AF5172">
        <w:rPr>
          <w:rStyle w:val="Emphasis"/>
          <w:rFonts w:ascii="Arial" w:hAnsi="Arial" w:cs="Arial"/>
          <w:i w:val="0"/>
          <w:sz w:val="22"/>
          <w:szCs w:val="22"/>
        </w:rPr>
        <w:t xml:space="preserve"> protocols (NHS England, 2023). Resistance to change among clinical staff and the complexity of integrating new systems into existing workflows may also affect implementation success (</w:t>
      </w:r>
      <w:proofErr w:type="spellStart"/>
      <w:r w:rsidRPr="00AF5172">
        <w:rPr>
          <w:rStyle w:val="Emphasis"/>
          <w:rFonts w:ascii="Arial" w:hAnsi="Arial" w:cs="Arial"/>
          <w:i w:val="0"/>
          <w:sz w:val="22"/>
          <w:szCs w:val="22"/>
        </w:rPr>
        <w:t>Greenhalgh</w:t>
      </w:r>
      <w:proofErr w:type="spellEnd"/>
      <w:r w:rsidRPr="00AF5172">
        <w:rPr>
          <w:rStyle w:val="Emphasis"/>
          <w:rFonts w:ascii="Arial" w:hAnsi="Arial" w:cs="Arial"/>
          <w:i w:val="0"/>
          <w:sz w:val="22"/>
          <w:szCs w:val="22"/>
        </w:rPr>
        <w:t xml:space="preserve"> et al., 2017).</w:t>
      </w:r>
    </w:p>
    <w:p w:rsidR="00C358F5" w:rsidRPr="00AF5172" w:rsidRDefault="00C358F5" w:rsidP="00C358F5">
      <w:pPr>
        <w:pStyle w:val="NormalWeb"/>
        <w:rPr>
          <w:rFonts w:ascii="Arial" w:hAnsi="Arial" w:cs="Arial"/>
          <w:i/>
          <w:sz w:val="22"/>
          <w:szCs w:val="22"/>
        </w:rPr>
      </w:pPr>
      <w:r w:rsidRPr="00AF5172">
        <w:rPr>
          <w:rStyle w:val="Emphasis"/>
          <w:rFonts w:ascii="Arial" w:hAnsi="Arial" w:cs="Arial"/>
          <w:i w:val="0"/>
          <w:sz w:val="22"/>
          <w:szCs w:val="22"/>
        </w:rPr>
        <w:t>To ensure effectiveness, these interventions should be evaluated using measurable patient safety indicators, such as reductions in medication-related incidents, improved compliance with RED drug prescribing protocols, and enhanced discharge communication scores. The use of continuous monitoring frameworks, such as the Patient Safety Incident Response Framework (PSIRF), alongside audit cycles and real-time data from the Learn from Patient Safety Events (LFPSE) system, would support ongoing evaluation and accountability (NHS England, 2023a). This would ensure that improvements are not only implemented but sustained over time.</w:t>
      </w:r>
    </w:p>
    <w:p w:rsidR="00C358F5" w:rsidRPr="00AF5172" w:rsidRDefault="00C358F5" w:rsidP="00C358F5">
      <w:pPr>
        <w:pStyle w:val="NormalWeb"/>
        <w:rPr>
          <w:rFonts w:ascii="Arial" w:hAnsi="Arial" w:cs="Arial"/>
        </w:rPr>
      </w:pPr>
    </w:p>
    <w:p w:rsidR="007D1E48" w:rsidRPr="00AF5172" w:rsidRDefault="007D1E48">
      <w:pPr>
        <w:spacing w:before="80" w:after="80" w:line="360" w:lineRule="auto"/>
        <w:jc w:val="both"/>
      </w:pPr>
    </w:p>
    <w:p w:rsidR="007D1E48" w:rsidRPr="00AF5172" w:rsidRDefault="007D1E48"/>
    <w:p w:rsidR="007D1E48" w:rsidRPr="00AF5172" w:rsidRDefault="0012084A" w:rsidP="00FD4670">
      <w:pPr>
        <w:rPr>
          <w:b/>
          <w:sz w:val="28"/>
          <w:szCs w:val="28"/>
        </w:rPr>
      </w:pPr>
      <w:r w:rsidRPr="00AF5172">
        <w:rPr>
          <w:b/>
          <w:sz w:val="28"/>
          <w:szCs w:val="28"/>
        </w:rPr>
        <w:t>4. Conclusion</w:t>
      </w:r>
    </w:p>
    <w:p w:rsidR="007D1E48" w:rsidRPr="00AF5172" w:rsidRDefault="0012084A">
      <w:pPr>
        <w:spacing w:before="80" w:after="80" w:line="360" w:lineRule="auto"/>
        <w:jc w:val="both"/>
      </w:pPr>
      <w:r w:rsidRPr="00AF5172">
        <w:t>This report has examined the 2023 infant morphine overdose incident in NHS North East and Yorkshire through the complementary lenses of systems thinking, governance analysis, and leadership theory. The central finding is that this was not an isolated clini</w:t>
      </w:r>
      <w:r w:rsidRPr="00AF5172">
        <w:t>cal error but a systems failure: one that reflected structural gaps in the interface between secondary and primary care medicines governance, inadequate digital safeguards for high-alert medications, a leadership culture that was insufficiently transformat</w:t>
      </w:r>
      <w:r w:rsidRPr="00AF5172">
        <w:t xml:space="preserve">ional and distributed to convert prior incidents into lasting systemic change, and a recurrent failure to </w:t>
      </w:r>
      <w:proofErr w:type="spellStart"/>
      <w:r w:rsidRPr="00AF5172">
        <w:t>standardise</w:t>
      </w:r>
      <w:proofErr w:type="spellEnd"/>
      <w:r w:rsidRPr="00AF5172">
        <w:t xml:space="preserve"> </w:t>
      </w:r>
      <w:proofErr w:type="spellStart"/>
      <w:r w:rsidRPr="00AF5172">
        <w:t>paediatric</w:t>
      </w:r>
      <w:proofErr w:type="spellEnd"/>
      <w:r w:rsidRPr="00AF5172">
        <w:t xml:space="preserve"> opioid formulations despite accumulating evidence of harm.</w:t>
      </w:r>
    </w:p>
    <w:p w:rsidR="007D1E48" w:rsidRPr="00AF5172" w:rsidRDefault="0012084A">
      <w:pPr>
        <w:spacing w:before="80" w:after="80" w:line="360" w:lineRule="auto"/>
        <w:jc w:val="both"/>
      </w:pPr>
      <w:r w:rsidRPr="00AF5172">
        <w:t>The application of a Rich Picture methodology revealed the complexit</w:t>
      </w:r>
      <w:r w:rsidRPr="00AF5172">
        <w:t xml:space="preserve">y of the interactions between prescribers, pharmacists, ward staff, discharge systems, and families, highlighting multiple communication gaps and absent feedback loops. The analysis of </w:t>
      </w:r>
      <w:proofErr w:type="spellStart"/>
      <w:r w:rsidRPr="00AF5172">
        <w:t>centralisation</w:t>
      </w:r>
      <w:proofErr w:type="spellEnd"/>
      <w:r w:rsidRPr="00AF5172">
        <w:t xml:space="preserve"> and </w:t>
      </w:r>
      <w:proofErr w:type="spellStart"/>
      <w:r w:rsidRPr="00AF5172">
        <w:t>decentralisation</w:t>
      </w:r>
      <w:proofErr w:type="spellEnd"/>
      <w:r w:rsidRPr="00AF5172">
        <w:t xml:space="preserve"> demonstrated that while national po</w:t>
      </w:r>
      <w:r w:rsidRPr="00AF5172">
        <w:t xml:space="preserve">licy frameworks existed in principle—the </w:t>
      </w:r>
      <w:r w:rsidRPr="00AF5172">
        <w:lastRenderedPageBreak/>
        <w:t xml:space="preserve">RED drug classification system—the hybrid NHS governance architecture did not ensure their consistent </w:t>
      </w:r>
      <w:proofErr w:type="spellStart"/>
      <w:r w:rsidRPr="00AF5172">
        <w:t>operationalisation</w:t>
      </w:r>
      <w:proofErr w:type="spellEnd"/>
      <w:r w:rsidRPr="00AF5172">
        <w:t xml:space="preserve"> at the local level. Leadership theory analysis showed that transformational, situational, and </w:t>
      </w:r>
      <w:r w:rsidRPr="00AF5172">
        <w:t>distributed approaches were all absent or insufficient at the points of critical decision-making, and that the dominant transactional culture was inadequate to manage a high-risk situation with non-clinical caregivers.</w:t>
      </w:r>
    </w:p>
    <w:p w:rsidR="007D1E48" w:rsidRPr="00AF5172" w:rsidRDefault="0012084A">
      <w:pPr>
        <w:spacing w:before="80" w:after="80" w:line="360" w:lineRule="auto"/>
        <w:jc w:val="both"/>
      </w:pPr>
      <w:r w:rsidRPr="00AF5172">
        <w:t>The lessons from this case have impli</w:t>
      </w:r>
      <w:r w:rsidRPr="00AF5172">
        <w:t xml:space="preserve">cations far beyond morphine management. They speak to the fundamental challenge facing NHS leaders: how to translate national policy commitments into frontline safety </w:t>
      </w:r>
      <w:proofErr w:type="spellStart"/>
      <w:r w:rsidRPr="00AF5172">
        <w:t>behaviours</w:t>
      </w:r>
      <w:proofErr w:type="spellEnd"/>
      <w:r w:rsidRPr="00AF5172">
        <w:t xml:space="preserve"> through governance systems that are digitally enabled, culturally embedded, an</w:t>
      </w:r>
      <w:r w:rsidRPr="00AF5172">
        <w:t>d continuously learning. As the NHS transitions to the LFPSE incident reporting system and implements PSIRF, there is a genuine opportunity to build the kind of safety system that would prevent future recurrences. This will require visionary, transformatio</w:t>
      </w:r>
      <w:r w:rsidRPr="00AF5172">
        <w:t>nal leadership at every level—national, regional, and clinical—supported by robust governance, rigorous data use, and genuine co-production with patients and families. The infant who survived this incident in 2023 deserves nothing less.</w:t>
      </w:r>
    </w:p>
    <w:p w:rsidR="007D1E48" w:rsidRPr="00AF5172" w:rsidRDefault="007D1E48"/>
    <w:p w:rsidR="007D1E48" w:rsidRPr="00AF5172" w:rsidRDefault="0012084A">
      <w:r w:rsidRPr="00AF5172">
        <w:br w:type="page"/>
      </w:r>
    </w:p>
    <w:p w:rsidR="007D1E48" w:rsidRPr="00AF5172" w:rsidRDefault="0012084A" w:rsidP="00FD4670">
      <w:pPr>
        <w:rPr>
          <w:b/>
          <w:sz w:val="28"/>
          <w:szCs w:val="28"/>
        </w:rPr>
      </w:pPr>
      <w:r w:rsidRPr="00AF5172">
        <w:rPr>
          <w:b/>
          <w:sz w:val="28"/>
          <w:szCs w:val="28"/>
        </w:rPr>
        <w:lastRenderedPageBreak/>
        <w:t>Reference List</w:t>
      </w:r>
    </w:p>
    <w:p w:rsidR="007D1E48" w:rsidRPr="00AF5172" w:rsidRDefault="0012084A">
      <w:pPr>
        <w:spacing w:before="80" w:after="80" w:line="360" w:lineRule="auto"/>
        <w:jc w:val="both"/>
      </w:pPr>
      <w:proofErr w:type="spellStart"/>
      <w:r w:rsidRPr="00AF5172">
        <w:t>A</w:t>
      </w:r>
      <w:r w:rsidRPr="00AF5172">
        <w:t>lhawassi</w:t>
      </w:r>
      <w:proofErr w:type="spellEnd"/>
      <w:r w:rsidRPr="00AF5172">
        <w:t xml:space="preserve">, T.M., </w:t>
      </w:r>
      <w:proofErr w:type="spellStart"/>
      <w:r w:rsidRPr="00AF5172">
        <w:t>Alwhaibi</w:t>
      </w:r>
      <w:proofErr w:type="spellEnd"/>
      <w:r w:rsidRPr="00AF5172">
        <w:t xml:space="preserve">, M., </w:t>
      </w:r>
      <w:proofErr w:type="spellStart"/>
      <w:r w:rsidRPr="00AF5172">
        <w:t>Alatawi</w:t>
      </w:r>
      <w:proofErr w:type="spellEnd"/>
      <w:r w:rsidRPr="00AF5172">
        <w:t xml:space="preserve">, T., </w:t>
      </w:r>
      <w:proofErr w:type="spellStart"/>
      <w:r w:rsidRPr="00AF5172">
        <w:t>Almutairi</w:t>
      </w:r>
      <w:proofErr w:type="spellEnd"/>
      <w:r w:rsidRPr="00AF5172">
        <w:t xml:space="preserve">, L., </w:t>
      </w:r>
      <w:proofErr w:type="spellStart"/>
      <w:r w:rsidRPr="00AF5172">
        <w:t>Almohammed</w:t>
      </w:r>
      <w:proofErr w:type="spellEnd"/>
      <w:r w:rsidRPr="00AF5172">
        <w:t xml:space="preserve">, O.A., </w:t>
      </w:r>
      <w:proofErr w:type="spellStart"/>
      <w:r w:rsidRPr="00AF5172">
        <w:t>Almetwazi</w:t>
      </w:r>
      <w:proofErr w:type="spellEnd"/>
      <w:r w:rsidRPr="00AF5172">
        <w:t xml:space="preserve">, M., Sultana, K., </w:t>
      </w:r>
      <w:proofErr w:type="spellStart"/>
      <w:r w:rsidRPr="00AF5172">
        <w:t>Balkhi</w:t>
      </w:r>
      <w:proofErr w:type="spellEnd"/>
      <w:r w:rsidRPr="00AF5172">
        <w:t xml:space="preserve">, B. and </w:t>
      </w:r>
      <w:proofErr w:type="spellStart"/>
      <w:r w:rsidRPr="00AF5172">
        <w:t>Aljadhey</w:t>
      </w:r>
      <w:proofErr w:type="spellEnd"/>
      <w:r w:rsidRPr="00AF5172">
        <w:t>, H. (2025) 'High-risk medication errors: Insight from the UK National Reporting and Learning System', Research in Social and Adm</w:t>
      </w:r>
      <w:r w:rsidRPr="00AF5172">
        <w:t xml:space="preserve">inistrative Pharmacy, 21(3), pp. 1-9. </w:t>
      </w:r>
      <w:proofErr w:type="spellStart"/>
      <w:proofErr w:type="gramStart"/>
      <w:r w:rsidRPr="00AF5172">
        <w:t>doi</w:t>
      </w:r>
      <w:proofErr w:type="spellEnd"/>
      <w:proofErr w:type="gramEnd"/>
      <w:r w:rsidRPr="00AF5172">
        <w:t>: 10.1016/j.sapharm.2025.</w:t>
      </w:r>
    </w:p>
    <w:p w:rsidR="007D1E48" w:rsidRPr="00AF5172" w:rsidRDefault="0012084A">
      <w:pPr>
        <w:spacing w:before="80" w:after="80" w:line="360" w:lineRule="auto"/>
        <w:jc w:val="both"/>
      </w:pPr>
      <w:r w:rsidRPr="00AF5172">
        <w:t xml:space="preserve">Bass, B.M. (1985) Leadership and Performance </w:t>
      </w:r>
      <w:proofErr w:type="gramStart"/>
      <w:r w:rsidRPr="00AF5172">
        <w:t>Beyond</w:t>
      </w:r>
      <w:proofErr w:type="gramEnd"/>
      <w:r w:rsidRPr="00AF5172">
        <w:t xml:space="preserve"> Expectations. New York: Free Press.</w:t>
      </w:r>
    </w:p>
    <w:p w:rsidR="007D1E48" w:rsidRPr="00AF5172" w:rsidRDefault="0012084A">
      <w:pPr>
        <w:spacing w:before="80" w:after="80" w:line="360" w:lineRule="auto"/>
        <w:jc w:val="both"/>
      </w:pPr>
      <w:r w:rsidRPr="00AF5172">
        <w:t>BMJ Quality and Safety (2024) 'Estimating the impact on patient safety of enabling the digital transf</w:t>
      </w:r>
      <w:r w:rsidRPr="00AF5172">
        <w:t xml:space="preserve">er of patients' prescription information in the English NHS', BMJ Quality and Safety, 33(11), e016675. </w:t>
      </w:r>
      <w:proofErr w:type="spellStart"/>
      <w:proofErr w:type="gramStart"/>
      <w:r w:rsidRPr="00AF5172">
        <w:t>doi</w:t>
      </w:r>
      <w:proofErr w:type="spellEnd"/>
      <w:proofErr w:type="gramEnd"/>
      <w:r w:rsidRPr="00AF5172">
        <w:t>: 10.1136/bmjqs-2023-016675.</w:t>
      </w:r>
    </w:p>
    <w:p w:rsidR="007D1E48" w:rsidRPr="00AF5172" w:rsidRDefault="0012084A">
      <w:pPr>
        <w:spacing w:before="80" w:after="80" w:line="360" w:lineRule="auto"/>
        <w:jc w:val="both"/>
      </w:pPr>
      <w:r w:rsidRPr="00AF5172">
        <w:t>Burns, J.M. (1978) Leadership. New York: Harper &amp; Row.</w:t>
      </w:r>
    </w:p>
    <w:p w:rsidR="007D1E48" w:rsidRPr="00AF5172" w:rsidRDefault="0012084A">
      <w:pPr>
        <w:spacing w:before="80" w:after="80" w:line="360" w:lineRule="auto"/>
        <w:jc w:val="both"/>
      </w:pPr>
      <w:r w:rsidRPr="00AF5172">
        <w:t xml:space="preserve">Care Quality Commission (CQC) (2023) Controlled Drugs: Key Issues </w:t>
      </w:r>
      <w:r w:rsidRPr="00AF5172">
        <w:t>2023. London: CQC. Available at: https://www.cqc.org.uk/publications/controlled-drugs/2023/issues (Accessed: 10 March 2026).</w:t>
      </w:r>
    </w:p>
    <w:p w:rsidR="007D1E48" w:rsidRPr="00AF5172" w:rsidRDefault="0012084A">
      <w:pPr>
        <w:spacing w:before="80" w:after="80" w:line="360" w:lineRule="auto"/>
        <w:jc w:val="both"/>
      </w:pPr>
      <w:r w:rsidRPr="00AF5172">
        <w:t xml:space="preserve">Elliott, R.A., Camacho, E., Campbell, F., </w:t>
      </w:r>
      <w:proofErr w:type="spellStart"/>
      <w:r w:rsidRPr="00AF5172">
        <w:t>Jankovic</w:t>
      </w:r>
      <w:proofErr w:type="spellEnd"/>
      <w:r w:rsidRPr="00AF5172">
        <w:t xml:space="preserve">, D., Martyn-St James, M., </w:t>
      </w:r>
      <w:proofErr w:type="spellStart"/>
      <w:r w:rsidRPr="00AF5172">
        <w:t>Kaltenthaler</w:t>
      </w:r>
      <w:proofErr w:type="spellEnd"/>
      <w:r w:rsidRPr="00AF5172">
        <w:t xml:space="preserve">, E., Wong, R., </w:t>
      </w:r>
      <w:proofErr w:type="spellStart"/>
      <w:r w:rsidRPr="00AF5172">
        <w:t>Sculpher</w:t>
      </w:r>
      <w:proofErr w:type="spellEnd"/>
      <w:r w:rsidRPr="00AF5172">
        <w:t xml:space="preserve">, M. and </w:t>
      </w:r>
      <w:proofErr w:type="spellStart"/>
      <w:r w:rsidRPr="00AF5172">
        <w:t>Faria</w:t>
      </w:r>
      <w:proofErr w:type="spellEnd"/>
      <w:r w:rsidRPr="00AF5172">
        <w:t>, R.</w:t>
      </w:r>
      <w:r w:rsidRPr="00AF5172">
        <w:t xml:space="preserve"> (2020) 'Economic analysis of the prevalence and clinical and economic burden of medication error in England', BMJ Quality and Safety, 30(2), pp. 96-105. </w:t>
      </w:r>
      <w:proofErr w:type="spellStart"/>
      <w:proofErr w:type="gramStart"/>
      <w:r w:rsidRPr="00AF5172">
        <w:t>doi</w:t>
      </w:r>
      <w:proofErr w:type="spellEnd"/>
      <w:proofErr w:type="gramEnd"/>
      <w:r w:rsidRPr="00AF5172">
        <w:t>: 10.1136/bmjqs-2019-010206.</w:t>
      </w:r>
    </w:p>
    <w:p w:rsidR="007D1E48" w:rsidRPr="00AF5172" w:rsidRDefault="0012084A">
      <w:pPr>
        <w:spacing w:before="80" w:after="80" w:line="360" w:lineRule="auto"/>
        <w:jc w:val="both"/>
      </w:pPr>
      <w:r w:rsidRPr="00AF5172">
        <w:t>Health and Care Act 2022 (c.31). London: HMSO. Available at: https://w</w:t>
      </w:r>
      <w:r w:rsidRPr="00AF5172">
        <w:t>ww.legislation.gov.uk/ukpga/2022/31/contents/enacted (Accessed: 10 March 2026).</w:t>
      </w:r>
    </w:p>
    <w:p w:rsidR="007D1E48" w:rsidRPr="00AF5172" w:rsidRDefault="0012084A">
      <w:pPr>
        <w:spacing w:before="80" w:after="80" w:line="360" w:lineRule="auto"/>
        <w:jc w:val="both"/>
      </w:pPr>
      <w:r w:rsidRPr="00AF5172">
        <w:t>Hersey, P. and Blanchard, K.H. (1969) 'Life cycle theory of leadership', Training and Development Journal, 23(5), pp. 26-34.</w:t>
      </w:r>
    </w:p>
    <w:p w:rsidR="007D1E48" w:rsidRPr="00AF5172" w:rsidRDefault="0012084A">
      <w:pPr>
        <w:spacing w:before="80" w:after="80" w:line="360" w:lineRule="auto"/>
        <w:jc w:val="both"/>
      </w:pPr>
      <w:proofErr w:type="spellStart"/>
      <w:r w:rsidRPr="00AF5172">
        <w:t>Iliopoulou</w:t>
      </w:r>
      <w:proofErr w:type="spellEnd"/>
      <w:r w:rsidRPr="00AF5172">
        <w:t xml:space="preserve">, K., </w:t>
      </w:r>
      <w:proofErr w:type="spellStart"/>
      <w:r w:rsidRPr="00AF5172">
        <w:t>Moisoglou</w:t>
      </w:r>
      <w:proofErr w:type="spellEnd"/>
      <w:r w:rsidRPr="00AF5172">
        <w:t xml:space="preserve">, I., </w:t>
      </w:r>
      <w:proofErr w:type="spellStart"/>
      <w:r w:rsidRPr="00AF5172">
        <w:t>Galanis</w:t>
      </w:r>
      <w:proofErr w:type="spellEnd"/>
      <w:r w:rsidRPr="00AF5172">
        <w:t xml:space="preserve">, P. and </w:t>
      </w:r>
      <w:proofErr w:type="spellStart"/>
      <w:r w:rsidRPr="00AF5172">
        <w:t>Fran</w:t>
      </w:r>
      <w:r w:rsidRPr="00AF5172">
        <w:t>tzeskaki</w:t>
      </w:r>
      <w:proofErr w:type="spellEnd"/>
      <w:r w:rsidRPr="00AF5172">
        <w:t xml:space="preserve">, F. (2024) 'Transformational Leadership - Quality Achievements and Benefits for the Healthcare Organizations: A Scoping Review', Hospitals, 1(1), pp. 87-103. </w:t>
      </w:r>
      <w:proofErr w:type="spellStart"/>
      <w:proofErr w:type="gramStart"/>
      <w:r w:rsidRPr="00AF5172">
        <w:t>doi</w:t>
      </w:r>
      <w:proofErr w:type="spellEnd"/>
      <w:proofErr w:type="gramEnd"/>
      <w:r w:rsidRPr="00AF5172">
        <w:t>: 10.3390/hospitals1010008.</w:t>
      </w:r>
    </w:p>
    <w:p w:rsidR="007D1E48" w:rsidRPr="00AF5172" w:rsidRDefault="0012084A">
      <w:pPr>
        <w:spacing w:before="80" w:after="80" w:line="360" w:lineRule="auto"/>
        <w:jc w:val="both"/>
      </w:pPr>
      <w:r w:rsidRPr="00AF5172">
        <w:t xml:space="preserve">Institute for Healthcare Improvement (IHI) (2023) Systems </w:t>
      </w:r>
      <w:r w:rsidRPr="00AF5172">
        <w:t>Thinking in Healthcare. Boston: IHI. Available at: https://www.ihi.org (Accessed: 10 March 2026).</w:t>
      </w:r>
    </w:p>
    <w:p w:rsidR="007D1E48" w:rsidRPr="00AF5172" w:rsidRDefault="0012084A">
      <w:pPr>
        <w:spacing w:before="80" w:after="80" w:line="360" w:lineRule="auto"/>
        <w:jc w:val="both"/>
      </w:pPr>
      <w:r w:rsidRPr="00AF5172">
        <w:t>The King's Fund (2023) Leadership in the NHS. London: The King's Fund. Available at: https://www.kingsfund.org.uk/publications/leadership-nhs (Accessed: 10 Ma</w:t>
      </w:r>
      <w:r w:rsidRPr="00AF5172">
        <w:t>rch 2026).</w:t>
      </w:r>
    </w:p>
    <w:p w:rsidR="007D1E48" w:rsidRPr="00AF5172" w:rsidRDefault="0012084A">
      <w:pPr>
        <w:spacing w:before="80" w:after="80" w:line="360" w:lineRule="auto"/>
        <w:jc w:val="both"/>
      </w:pPr>
      <w:r w:rsidRPr="00AF5172">
        <w:t>Medicines and Healthcare products Regulatory Agency (MHRA) (2023) Guidance on Unlicensed Medicines (Special Products). London: MHRA. Available at: https://www.gov.uk/guidance/unlicensed-medicines (Accessed: 10 March 2026).</w:t>
      </w:r>
    </w:p>
    <w:p w:rsidR="007D1E48" w:rsidRPr="00AF5172" w:rsidRDefault="0012084A">
      <w:pPr>
        <w:spacing w:before="80" w:after="80" w:line="360" w:lineRule="auto"/>
        <w:jc w:val="both"/>
      </w:pPr>
      <w:proofErr w:type="spellStart"/>
      <w:r w:rsidRPr="00AF5172">
        <w:lastRenderedPageBreak/>
        <w:t>Morrish</w:t>
      </w:r>
      <w:proofErr w:type="spellEnd"/>
      <w:r w:rsidRPr="00AF5172">
        <w:t xml:space="preserve"> Solicitors (20</w:t>
      </w:r>
      <w:r w:rsidRPr="00AF5172">
        <w:t>25) Provisional Summary of Never Events April 2023 - March 2024. Available at: https://www.morrishsolicitors.com/provisional-summary-of-never-events-april-2023-march-2024/ (Accessed: 10 March 2026).</w:t>
      </w:r>
    </w:p>
    <w:p w:rsidR="007D1E48" w:rsidRPr="00AF5172" w:rsidRDefault="0012084A">
      <w:pPr>
        <w:spacing w:before="80" w:after="80" w:line="360" w:lineRule="auto"/>
        <w:jc w:val="both"/>
      </w:pPr>
      <w:r w:rsidRPr="00AF5172">
        <w:t>National Health Service (NHS) (2019) The NHS Long Term Pl</w:t>
      </w:r>
      <w:r w:rsidRPr="00AF5172">
        <w:t>an. London: NHS England. Available at: https://www.longtermplan.nhs.uk (Accessed: 10 March 2026).</w:t>
      </w:r>
    </w:p>
    <w:p w:rsidR="007D1E48" w:rsidRPr="00AF5172" w:rsidRDefault="0012084A">
      <w:pPr>
        <w:spacing w:before="80" w:after="80" w:line="360" w:lineRule="auto"/>
        <w:jc w:val="both"/>
      </w:pPr>
      <w:r w:rsidRPr="00AF5172">
        <w:t xml:space="preserve">NHS England (2019) </w:t>
      </w:r>
      <w:proofErr w:type="gramStart"/>
      <w:r w:rsidRPr="00AF5172">
        <w:t>The</w:t>
      </w:r>
      <w:proofErr w:type="gramEnd"/>
      <w:r w:rsidRPr="00AF5172">
        <w:t xml:space="preserve"> NHS Patient Safety Strategy: Safer Culture, Safer Systems, Safer Patients. Leeds: NHS England. Available at: https://www.england.nhs.uk</w:t>
      </w:r>
      <w:r w:rsidRPr="00AF5172">
        <w:t>/patient-safety/the-nhs-patient-safety-strategy/ (Accessed: 10 March 2026).</w:t>
      </w:r>
    </w:p>
    <w:p w:rsidR="007D1E48" w:rsidRPr="00AF5172" w:rsidRDefault="0012084A">
      <w:pPr>
        <w:spacing w:before="80" w:after="80" w:line="360" w:lineRule="auto"/>
        <w:jc w:val="both"/>
      </w:pPr>
      <w:r w:rsidRPr="00AF5172">
        <w:t>NHS England (2022a) Integrated Care Boards: Guidance and Accountability. Leeds: NHS England. Available at: https://www.england.nhs.uk/integrated-care (Accessed: 10 March 2026).</w:t>
      </w:r>
    </w:p>
    <w:p w:rsidR="007D1E48" w:rsidRPr="00AF5172" w:rsidRDefault="0012084A">
      <w:pPr>
        <w:spacing w:before="80" w:after="80" w:line="360" w:lineRule="auto"/>
        <w:jc w:val="both"/>
      </w:pPr>
      <w:r w:rsidRPr="00AF5172">
        <w:t>NHS</w:t>
      </w:r>
      <w:r w:rsidRPr="00AF5172">
        <w:t xml:space="preserve"> England (2022b) The Duty of </w:t>
      </w:r>
      <w:proofErr w:type="spellStart"/>
      <w:r w:rsidRPr="00AF5172">
        <w:t>Candour</w:t>
      </w:r>
      <w:proofErr w:type="spellEnd"/>
      <w:r w:rsidRPr="00AF5172">
        <w:t>: Information for all NHS Providers. Leeds: NHS England. Available at: https://www.england.nhs.uk/patient-safety/duty-of-candour/ (Accessed: 10 March 2026).</w:t>
      </w:r>
    </w:p>
    <w:p w:rsidR="007D1E48" w:rsidRPr="00AF5172" w:rsidRDefault="0012084A">
      <w:pPr>
        <w:spacing w:before="80" w:after="80" w:line="360" w:lineRule="auto"/>
        <w:jc w:val="both"/>
      </w:pPr>
      <w:r w:rsidRPr="00AF5172">
        <w:t xml:space="preserve">NHS England (2023a) Patient Safety Incident Response Framework </w:t>
      </w:r>
      <w:r w:rsidRPr="00AF5172">
        <w:t>(PSIRF). Leeds: NHS England. Available at: https://www.england.nhs.uk/patient-safety/patient-safety-incident-response-framework/ (Accessed: 10 March 2026).</w:t>
      </w:r>
    </w:p>
    <w:p w:rsidR="007D1E48" w:rsidRPr="00AF5172" w:rsidRDefault="0012084A">
      <w:pPr>
        <w:spacing w:before="80" w:after="80" w:line="360" w:lineRule="auto"/>
        <w:jc w:val="both"/>
      </w:pPr>
      <w:r w:rsidRPr="00AF5172">
        <w:t>NHS England (2023b) Never Events Policy and Framework. Leeds: NHS England. Available at: https://www.england.nhs.uk/patient-safety/patient-safety-insight/revised-never-events-policy-and-framework/ (Accessed: 10 March 2026).</w:t>
      </w:r>
    </w:p>
    <w:p w:rsidR="007D1E48" w:rsidRPr="00AF5172" w:rsidRDefault="0012084A">
      <w:pPr>
        <w:spacing w:before="80" w:after="80" w:line="360" w:lineRule="auto"/>
        <w:jc w:val="both"/>
      </w:pPr>
      <w:r w:rsidRPr="00AF5172">
        <w:t>NHS England (2023c) Primary Care</w:t>
      </w:r>
      <w:r w:rsidRPr="00AF5172">
        <w:t xml:space="preserve"> Patient Safety Strategy. Leeds: NHS England. Available at: https://www.england.nhs.uk/patient-safety/the-nhs-patient-safety-strategy/ (Accessed: 10 March 2026).</w:t>
      </w:r>
    </w:p>
    <w:p w:rsidR="007D1E48" w:rsidRPr="00AF5172" w:rsidRDefault="0012084A">
      <w:pPr>
        <w:spacing w:before="80" w:after="80" w:line="360" w:lineRule="auto"/>
        <w:jc w:val="both"/>
      </w:pPr>
      <w:r w:rsidRPr="00AF5172">
        <w:t>NHS England (2023d) NHS Staff Survey 2023: National Results Briefing. Leeds: NHS England. Avai</w:t>
      </w:r>
      <w:r w:rsidRPr="00AF5172">
        <w:t>lable at: https://www.nhsstaffsurveys.com (Accessed: 10 March 2026).</w:t>
      </w:r>
    </w:p>
    <w:p w:rsidR="007D1E48" w:rsidRPr="00AF5172" w:rsidRDefault="0012084A">
      <w:pPr>
        <w:spacing w:before="80" w:after="80" w:line="360" w:lineRule="auto"/>
        <w:jc w:val="both"/>
      </w:pPr>
      <w:r w:rsidRPr="00AF5172">
        <w:t>NHS England (2024a) NHS Leadership Competency Framework for Board Members. Leeds: NHS England. Available at: https://www.england.nhs.uk/leadingchange (Accessed: 10 March 2026).</w:t>
      </w:r>
    </w:p>
    <w:p w:rsidR="007D1E48" w:rsidRPr="00AF5172" w:rsidRDefault="0012084A">
      <w:pPr>
        <w:spacing w:before="80" w:after="80" w:line="360" w:lineRule="auto"/>
        <w:jc w:val="both"/>
      </w:pPr>
      <w:r w:rsidRPr="00AF5172">
        <w:t>NHS Englan</w:t>
      </w:r>
      <w:r w:rsidRPr="00AF5172">
        <w:t>d (2024b) Provisional Publication of Never Events: April 2023 - March 2024. Leeds: NHS England. Available at: https://www.england.nhs.uk/statistics/statistical-work-areas/patient-safety-data/ (Accessed: 10 March 2026).</w:t>
      </w:r>
    </w:p>
    <w:p w:rsidR="007D1E48" w:rsidRPr="00AF5172" w:rsidRDefault="0012084A">
      <w:pPr>
        <w:spacing w:before="80" w:after="80" w:line="360" w:lineRule="auto"/>
        <w:jc w:val="both"/>
      </w:pPr>
      <w:r w:rsidRPr="00AF5172">
        <w:t xml:space="preserve">NHS England North East and Yorkshire </w:t>
      </w:r>
      <w:r w:rsidRPr="00AF5172">
        <w:t xml:space="preserve">(2023) Serious Incident Case Study: Infant Morphine Overdose Investigation Summary and Learning. July 2023. Leeds: NHS England. Available at: </w:t>
      </w:r>
      <w:r w:rsidRPr="00AF5172">
        <w:lastRenderedPageBreak/>
        <w:t>https://northyorkshireccg.nhs.uk/wp-content/uploads/2023/09/11.07.23-NHS-NEYINFANT-MORPHINE-OVERDOSE-CASE-STUDY.pd</w:t>
      </w:r>
      <w:r w:rsidRPr="00AF5172">
        <w:t>f (Accessed: 10 March 2026).</w:t>
      </w:r>
    </w:p>
    <w:p w:rsidR="007D1E48" w:rsidRPr="00AF5172" w:rsidRDefault="0012084A">
      <w:pPr>
        <w:spacing w:before="80" w:after="80" w:line="360" w:lineRule="auto"/>
        <w:jc w:val="both"/>
      </w:pPr>
      <w:r w:rsidRPr="00AF5172">
        <w:t xml:space="preserve">National </w:t>
      </w:r>
      <w:proofErr w:type="spellStart"/>
      <w:r w:rsidRPr="00AF5172">
        <w:t>Paediatric</w:t>
      </w:r>
      <w:proofErr w:type="spellEnd"/>
      <w:r w:rsidRPr="00AF5172">
        <w:t xml:space="preserve"> Pharmacists Group (NPPG) (2025) Using </w:t>
      </w:r>
      <w:proofErr w:type="spellStart"/>
      <w:r w:rsidRPr="00AF5172">
        <w:t>Standardised</w:t>
      </w:r>
      <w:proofErr w:type="spellEnd"/>
      <w:r w:rsidRPr="00AF5172">
        <w:t xml:space="preserve"> Concentrations of Liquid Medicines in Children. Position Statement Version 1.1. Available at: https://nppg.org.uk/wp-content/uploads/2025/05/NPPG-Position-S</w:t>
      </w:r>
      <w:r w:rsidRPr="00AF5172">
        <w:t>tatement-Standardised-Oral-Liquid-Concentrations-V11.pdf (Accessed: 15 March 2026).</w:t>
      </w:r>
    </w:p>
    <w:p w:rsidR="007D1E48" w:rsidRPr="00AF5172" w:rsidRDefault="0012084A">
      <w:pPr>
        <w:spacing w:before="80" w:after="80" w:line="360" w:lineRule="auto"/>
        <w:jc w:val="both"/>
      </w:pPr>
      <w:proofErr w:type="spellStart"/>
      <w:r w:rsidRPr="00AF5172">
        <w:t>Reshef</w:t>
      </w:r>
      <w:proofErr w:type="spellEnd"/>
      <w:r w:rsidRPr="00AF5172">
        <w:t xml:space="preserve">, A. and Davies, L. (2024) 'Redefining Leadership within the NHS' Complex Adaptive System', Future Healthcare Journal, 11(1), 100015. </w:t>
      </w:r>
      <w:proofErr w:type="spellStart"/>
      <w:proofErr w:type="gramStart"/>
      <w:r w:rsidRPr="00AF5172">
        <w:t>doi</w:t>
      </w:r>
      <w:proofErr w:type="spellEnd"/>
      <w:proofErr w:type="gramEnd"/>
      <w:r w:rsidRPr="00AF5172">
        <w:t>: 10.1016/j.fhj.2024.100015.</w:t>
      </w:r>
    </w:p>
    <w:p w:rsidR="007D1E48" w:rsidRPr="00AF5172" w:rsidRDefault="0012084A">
      <w:pPr>
        <w:spacing w:before="80" w:after="80" w:line="360" w:lineRule="auto"/>
        <w:jc w:val="both"/>
      </w:pPr>
      <w:proofErr w:type="spellStart"/>
      <w:r w:rsidRPr="00AF5172">
        <w:t>Shropshire</w:t>
      </w:r>
      <w:proofErr w:type="spellEnd"/>
      <w:r w:rsidRPr="00AF5172">
        <w:t xml:space="preserve">, Telford and </w:t>
      </w:r>
      <w:proofErr w:type="spellStart"/>
      <w:r w:rsidRPr="00AF5172">
        <w:t>Wrekin</w:t>
      </w:r>
      <w:proofErr w:type="spellEnd"/>
      <w:r w:rsidRPr="00AF5172">
        <w:t xml:space="preserve"> ICS Medicines Safety Group (2023) Annual Medication Safety Report: June 2023. Available at: https://www.sath.nhs.uk/wp-content/uploads/2023/05/065.23-Annual-Medication-Safety-Report.pdf (Accessed: 10 March 2026).</w:t>
      </w:r>
    </w:p>
    <w:p w:rsidR="007D1E48" w:rsidRPr="00AF5172" w:rsidRDefault="0012084A">
      <w:pPr>
        <w:spacing w:before="80" w:after="80" w:line="360" w:lineRule="auto"/>
        <w:jc w:val="both"/>
      </w:pPr>
      <w:r w:rsidRPr="00AF5172">
        <w:t>Spillane, J.</w:t>
      </w:r>
      <w:r w:rsidRPr="00AF5172">
        <w:t xml:space="preserve">P. (2006) Distributed Leadership. San Francisco: </w:t>
      </w:r>
      <w:proofErr w:type="spellStart"/>
      <w:r w:rsidRPr="00AF5172">
        <w:t>Jossey</w:t>
      </w:r>
      <w:proofErr w:type="spellEnd"/>
      <w:r w:rsidRPr="00AF5172">
        <w:t>-Bass.</w:t>
      </w:r>
    </w:p>
    <w:p w:rsidR="007D1E48" w:rsidRPr="00AF5172" w:rsidRDefault="0012084A">
      <w:pPr>
        <w:spacing w:before="80" w:after="80" w:line="360" w:lineRule="auto"/>
        <w:jc w:val="both"/>
      </w:pPr>
      <w:r w:rsidRPr="00AF5172">
        <w:t xml:space="preserve">West, M., Eckert, R., Stewart, K. and </w:t>
      </w:r>
      <w:proofErr w:type="spellStart"/>
      <w:r w:rsidRPr="00AF5172">
        <w:t>Pasmore</w:t>
      </w:r>
      <w:proofErr w:type="spellEnd"/>
      <w:r w:rsidRPr="00AF5172">
        <w:t>, B. (2015) Developing Collective Leadership for Health Care. London: The King's Fund. Available at: https://www.kingsfund.org.uk/sites/default/files</w:t>
      </w:r>
      <w:r w:rsidRPr="00AF5172">
        <w:t>/field/field_publication_file/developing-collective-leadership-kingsfund-may15.pdf (Accessed: 10 March 2026).</w:t>
      </w:r>
    </w:p>
    <w:p w:rsidR="007D1E48" w:rsidRPr="00AF5172" w:rsidRDefault="0012084A">
      <w:pPr>
        <w:spacing w:before="80" w:after="80" w:line="360" w:lineRule="auto"/>
        <w:jc w:val="both"/>
      </w:pPr>
      <w:r w:rsidRPr="00AF5172">
        <w:t>World Health Organization (WHO) (2007) Everybody's Business: Strengthening Health Systems to Improve Health Outcomes. Geneva: WHO. Available at: https://www.who.int/healthsystems/strategy/everybodys_business.pdf (Accessed: 10 March 2026).</w:t>
      </w:r>
    </w:p>
    <w:p w:rsidR="007D1E48" w:rsidRPr="00AF5172" w:rsidRDefault="0012084A">
      <w:pPr>
        <w:spacing w:before="80" w:after="80" w:line="360" w:lineRule="auto"/>
        <w:jc w:val="both"/>
      </w:pPr>
      <w:r w:rsidRPr="00AF5172">
        <w:t>World Health Orga</w:t>
      </w:r>
      <w:r w:rsidRPr="00AF5172">
        <w:t xml:space="preserve">nization (WHO) (2019) Medication </w:t>
      </w:r>
      <w:proofErr w:type="gramStart"/>
      <w:r w:rsidRPr="00AF5172">
        <w:t>Without</w:t>
      </w:r>
      <w:proofErr w:type="gramEnd"/>
      <w:r w:rsidRPr="00AF5172">
        <w:t xml:space="preserve"> Harm: WHO Global Patient Safety Challenge. Geneva: WHO. Available at: https://www.who.int/initiatives/medication-without-harm (Accessed: 10 March 2026).</w:t>
      </w:r>
    </w:p>
    <w:p w:rsidR="007D1E48" w:rsidRPr="00AF5172" w:rsidRDefault="0012084A">
      <w:pPr>
        <w:spacing w:before="80" w:after="80" w:line="360" w:lineRule="auto"/>
        <w:jc w:val="both"/>
      </w:pPr>
      <w:proofErr w:type="spellStart"/>
      <w:r w:rsidRPr="00AF5172">
        <w:t>Ystaas</w:t>
      </w:r>
      <w:proofErr w:type="spellEnd"/>
      <w:r w:rsidRPr="00AF5172">
        <w:t xml:space="preserve">, L.M.K., </w:t>
      </w:r>
      <w:proofErr w:type="spellStart"/>
      <w:r w:rsidRPr="00AF5172">
        <w:t>Nikitara</w:t>
      </w:r>
      <w:proofErr w:type="spellEnd"/>
      <w:r w:rsidRPr="00AF5172">
        <w:t xml:space="preserve">, M., </w:t>
      </w:r>
      <w:proofErr w:type="spellStart"/>
      <w:r w:rsidRPr="00AF5172">
        <w:t>Ghobrial</w:t>
      </w:r>
      <w:proofErr w:type="spellEnd"/>
      <w:r w:rsidRPr="00AF5172">
        <w:t xml:space="preserve">, S., </w:t>
      </w:r>
      <w:proofErr w:type="spellStart"/>
      <w:r w:rsidRPr="00AF5172">
        <w:t>Latzourakis</w:t>
      </w:r>
      <w:proofErr w:type="spellEnd"/>
      <w:r w:rsidRPr="00AF5172">
        <w:t xml:space="preserve">, E., </w:t>
      </w:r>
      <w:proofErr w:type="spellStart"/>
      <w:r w:rsidRPr="00AF5172">
        <w:t>P</w:t>
      </w:r>
      <w:r w:rsidRPr="00AF5172">
        <w:t>olychronis</w:t>
      </w:r>
      <w:proofErr w:type="spellEnd"/>
      <w:r w:rsidRPr="00AF5172">
        <w:t xml:space="preserve">, G. and </w:t>
      </w:r>
      <w:proofErr w:type="spellStart"/>
      <w:r w:rsidRPr="00AF5172">
        <w:t>Constantinou</w:t>
      </w:r>
      <w:proofErr w:type="spellEnd"/>
      <w:r w:rsidRPr="00AF5172">
        <w:t xml:space="preserve">, C.S. (2023) 'The Impact of Transformational Leadership in the Nursing Work Environment and Patients' Outcomes: A Systematic Review', Nursing Reports, 13(3), pp. 1271-1290. </w:t>
      </w:r>
      <w:proofErr w:type="spellStart"/>
      <w:proofErr w:type="gramStart"/>
      <w:r w:rsidRPr="00AF5172">
        <w:t>doi</w:t>
      </w:r>
      <w:proofErr w:type="spellEnd"/>
      <w:proofErr w:type="gramEnd"/>
      <w:r w:rsidRPr="00AF5172">
        <w:t>: 10.3390/nursrep13030108.</w:t>
      </w:r>
    </w:p>
    <w:p w:rsidR="00C358F5" w:rsidRPr="00AF5172" w:rsidRDefault="00C358F5" w:rsidP="00C358F5">
      <w:pPr>
        <w:pStyle w:val="NormalWeb"/>
        <w:rPr>
          <w:rFonts w:ascii="Arial" w:hAnsi="Arial" w:cs="Arial"/>
          <w:sz w:val="22"/>
          <w:szCs w:val="22"/>
        </w:rPr>
      </w:pPr>
      <w:r w:rsidRPr="00AF5172">
        <w:rPr>
          <w:rStyle w:val="Strong"/>
          <w:rFonts w:ascii="Arial" w:hAnsi="Arial" w:cs="Arial"/>
          <w:b w:val="0"/>
          <w:sz w:val="22"/>
          <w:szCs w:val="22"/>
        </w:rPr>
        <w:t>Reason, J. (2000</w:t>
      </w:r>
      <w:proofErr w:type="gramStart"/>
      <w:r w:rsidRPr="00AF5172">
        <w:rPr>
          <w:rStyle w:val="Strong"/>
          <w:rFonts w:ascii="Arial" w:hAnsi="Arial" w:cs="Arial"/>
          <w:b w:val="0"/>
          <w:sz w:val="22"/>
          <w:szCs w:val="22"/>
        </w:rPr>
        <w:t>)</w:t>
      </w:r>
      <w:proofErr w:type="gramEnd"/>
      <w:r w:rsidRPr="00AF5172">
        <w:rPr>
          <w:rFonts w:ascii="Arial" w:hAnsi="Arial" w:cs="Arial"/>
          <w:sz w:val="22"/>
          <w:szCs w:val="22"/>
        </w:rPr>
        <w:br/>
        <w:t xml:space="preserve">Reason, J. (2000) ‘Human error: models and management’, </w:t>
      </w:r>
      <w:r w:rsidRPr="00AF5172">
        <w:rPr>
          <w:rStyle w:val="Emphasis"/>
          <w:rFonts w:ascii="Arial" w:hAnsi="Arial" w:cs="Arial"/>
          <w:sz w:val="22"/>
          <w:szCs w:val="22"/>
        </w:rPr>
        <w:t>BMJ</w:t>
      </w:r>
      <w:r w:rsidRPr="00AF5172">
        <w:rPr>
          <w:rFonts w:ascii="Arial" w:hAnsi="Arial" w:cs="Arial"/>
          <w:sz w:val="22"/>
          <w:szCs w:val="22"/>
        </w:rPr>
        <w:t>, 320(7237), pp. 768–770.</w:t>
      </w:r>
    </w:p>
    <w:p w:rsidR="00C358F5" w:rsidRPr="00AF5172" w:rsidRDefault="00C358F5" w:rsidP="00C358F5">
      <w:pPr>
        <w:pStyle w:val="NormalWeb"/>
        <w:rPr>
          <w:rFonts w:ascii="Arial" w:hAnsi="Arial" w:cs="Arial"/>
          <w:sz w:val="22"/>
          <w:szCs w:val="22"/>
        </w:rPr>
      </w:pPr>
      <w:r w:rsidRPr="00AF5172">
        <w:rPr>
          <w:rStyle w:val="Strong"/>
          <w:rFonts w:ascii="Arial" w:hAnsi="Arial" w:cs="Arial"/>
          <w:b w:val="0"/>
          <w:sz w:val="22"/>
          <w:szCs w:val="22"/>
        </w:rPr>
        <w:t xml:space="preserve">Vincent &amp; </w:t>
      </w:r>
      <w:proofErr w:type="spellStart"/>
      <w:r w:rsidRPr="00AF5172">
        <w:rPr>
          <w:rStyle w:val="Strong"/>
          <w:rFonts w:ascii="Arial" w:hAnsi="Arial" w:cs="Arial"/>
          <w:b w:val="0"/>
          <w:sz w:val="22"/>
          <w:szCs w:val="22"/>
        </w:rPr>
        <w:t>Amalberti</w:t>
      </w:r>
      <w:proofErr w:type="spellEnd"/>
      <w:r w:rsidRPr="00AF5172">
        <w:rPr>
          <w:rStyle w:val="Strong"/>
          <w:rFonts w:ascii="Arial" w:hAnsi="Arial" w:cs="Arial"/>
          <w:b w:val="0"/>
          <w:sz w:val="22"/>
          <w:szCs w:val="22"/>
        </w:rPr>
        <w:t xml:space="preserve"> (2016</w:t>
      </w:r>
      <w:proofErr w:type="gramStart"/>
      <w:r w:rsidRPr="00AF5172">
        <w:rPr>
          <w:rStyle w:val="Strong"/>
          <w:rFonts w:ascii="Arial" w:hAnsi="Arial" w:cs="Arial"/>
          <w:b w:val="0"/>
          <w:sz w:val="22"/>
          <w:szCs w:val="22"/>
        </w:rPr>
        <w:t>)</w:t>
      </w:r>
      <w:proofErr w:type="gramEnd"/>
      <w:r w:rsidRPr="00AF5172">
        <w:rPr>
          <w:rFonts w:ascii="Arial" w:hAnsi="Arial" w:cs="Arial"/>
          <w:b/>
          <w:sz w:val="22"/>
          <w:szCs w:val="22"/>
        </w:rPr>
        <w:br/>
      </w:r>
      <w:r w:rsidRPr="00AF5172">
        <w:rPr>
          <w:rFonts w:ascii="Arial" w:hAnsi="Arial" w:cs="Arial"/>
          <w:sz w:val="22"/>
          <w:szCs w:val="22"/>
        </w:rPr>
        <w:t xml:space="preserve">Vincent, C. and </w:t>
      </w:r>
      <w:proofErr w:type="spellStart"/>
      <w:r w:rsidRPr="00AF5172">
        <w:rPr>
          <w:rFonts w:ascii="Arial" w:hAnsi="Arial" w:cs="Arial"/>
          <w:sz w:val="22"/>
          <w:szCs w:val="22"/>
        </w:rPr>
        <w:t>Amalberti</w:t>
      </w:r>
      <w:proofErr w:type="spellEnd"/>
      <w:r w:rsidRPr="00AF5172">
        <w:rPr>
          <w:rFonts w:ascii="Arial" w:hAnsi="Arial" w:cs="Arial"/>
          <w:sz w:val="22"/>
          <w:szCs w:val="22"/>
        </w:rPr>
        <w:t xml:space="preserve">, R. (2016) </w:t>
      </w:r>
      <w:r w:rsidRPr="00AF5172">
        <w:rPr>
          <w:rStyle w:val="Emphasis"/>
          <w:rFonts w:ascii="Arial" w:hAnsi="Arial" w:cs="Arial"/>
          <w:sz w:val="22"/>
          <w:szCs w:val="22"/>
        </w:rPr>
        <w:t>Safer Healthcare: Strategies for the Real World</w:t>
      </w:r>
      <w:r w:rsidRPr="00AF5172">
        <w:rPr>
          <w:rFonts w:ascii="Arial" w:hAnsi="Arial" w:cs="Arial"/>
          <w:sz w:val="22"/>
          <w:szCs w:val="22"/>
        </w:rPr>
        <w:t>. Springer.</w:t>
      </w:r>
    </w:p>
    <w:p w:rsidR="00C358F5" w:rsidRPr="00AF5172" w:rsidRDefault="00C358F5" w:rsidP="00C358F5">
      <w:pPr>
        <w:pStyle w:val="NormalWeb"/>
        <w:rPr>
          <w:rFonts w:ascii="Arial" w:hAnsi="Arial" w:cs="Arial"/>
          <w:sz w:val="22"/>
          <w:szCs w:val="22"/>
        </w:rPr>
      </w:pPr>
      <w:proofErr w:type="spellStart"/>
      <w:r w:rsidRPr="00AF5172">
        <w:rPr>
          <w:rStyle w:val="Strong"/>
          <w:rFonts w:ascii="Arial" w:hAnsi="Arial" w:cs="Arial"/>
          <w:b w:val="0"/>
          <w:sz w:val="22"/>
          <w:szCs w:val="22"/>
        </w:rPr>
        <w:lastRenderedPageBreak/>
        <w:t>Greenhalgh</w:t>
      </w:r>
      <w:proofErr w:type="spellEnd"/>
      <w:r w:rsidRPr="00AF5172">
        <w:rPr>
          <w:rStyle w:val="Strong"/>
          <w:rFonts w:ascii="Arial" w:hAnsi="Arial" w:cs="Arial"/>
          <w:b w:val="0"/>
          <w:sz w:val="22"/>
          <w:szCs w:val="22"/>
        </w:rPr>
        <w:t xml:space="preserve"> et al. (2017</w:t>
      </w:r>
      <w:proofErr w:type="gramStart"/>
      <w:r w:rsidRPr="00AF5172">
        <w:rPr>
          <w:rStyle w:val="Strong"/>
          <w:rFonts w:ascii="Arial" w:hAnsi="Arial" w:cs="Arial"/>
          <w:b w:val="0"/>
          <w:sz w:val="22"/>
          <w:szCs w:val="22"/>
        </w:rPr>
        <w:t>)</w:t>
      </w:r>
      <w:proofErr w:type="gramEnd"/>
      <w:r w:rsidRPr="00AF5172">
        <w:rPr>
          <w:rFonts w:ascii="Arial" w:hAnsi="Arial" w:cs="Arial"/>
          <w:sz w:val="22"/>
          <w:szCs w:val="22"/>
        </w:rPr>
        <w:br/>
      </w:r>
      <w:proofErr w:type="spellStart"/>
      <w:r w:rsidRPr="00AF5172">
        <w:rPr>
          <w:rFonts w:ascii="Arial" w:hAnsi="Arial" w:cs="Arial"/>
          <w:sz w:val="22"/>
          <w:szCs w:val="22"/>
        </w:rPr>
        <w:t>Greenhalgh</w:t>
      </w:r>
      <w:proofErr w:type="spellEnd"/>
      <w:r w:rsidRPr="00AF5172">
        <w:rPr>
          <w:rFonts w:ascii="Arial" w:hAnsi="Arial" w:cs="Arial"/>
          <w:sz w:val="22"/>
          <w:szCs w:val="22"/>
        </w:rPr>
        <w:t xml:space="preserve">, T., </w:t>
      </w:r>
      <w:proofErr w:type="spellStart"/>
      <w:r w:rsidRPr="00AF5172">
        <w:rPr>
          <w:rFonts w:ascii="Arial" w:hAnsi="Arial" w:cs="Arial"/>
          <w:sz w:val="22"/>
          <w:szCs w:val="22"/>
        </w:rPr>
        <w:t>Wherton</w:t>
      </w:r>
      <w:proofErr w:type="spellEnd"/>
      <w:r w:rsidRPr="00AF5172">
        <w:rPr>
          <w:rFonts w:ascii="Arial" w:hAnsi="Arial" w:cs="Arial"/>
          <w:sz w:val="22"/>
          <w:szCs w:val="22"/>
        </w:rPr>
        <w:t xml:space="preserve">, J., </w:t>
      </w:r>
      <w:proofErr w:type="spellStart"/>
      <w:r w:rsidRPr="00AF5172">
        <w:rPr>
          <w:rFonts w:ascii="Arial" w:hAnsi="Arial" w:cs="Arial"/>
          <w:sz w:val="22"/>
          <w:szCs w:val="22"/>
        </w:rPr>
        <w:t>Papoutsi</w:t>
      </w:r>
      <w:proofErr w:type="spellEnd"/>
      <w:r w:rsidRPr="00AF5172">
        <w:rPr>
          <w:rFonts w:ascii="Arial" w:hAnsi="Arial" w:cs="Arial"/>
          <w:sz w:val="22"/>
          <w:szCs w:val="22"/>
        </w:rPr>
        <w:t xml:space="preserve">, C. et al. (2017) ‘Beyond adoption: a new framework for </w:t>
      </w:r>
      <w:proofErr w:type="spellStart"/>
      <w:r w:rsidRPr="00AF5172">
        <w:rPr>
          <w:rFonts w:ascii="Arial" w:hAnsi="Arial" w:cs="Arial"/>
          <w:sz w:val="22"/>
          <w:szCs w:val="22"/>
        </w:rPr>
        <w:t>theorising</w:t>
      </w:r>
      <w:proofErr w:type="spellEnd"/>
      <w:r w:rsidRPr="00AF5172">
        <w:rPr>
          <w:rFonts w:ascii="Arial" w:hAnsi="Arial" w:cs="Arial"/>
          <w:sz w:val="22"/>
          <w:szCs w:val="22"/>
        </w:rPr>
        <w:t xml:space="preserve"> and evaluating non-adoption, abandonment and challenges to the scale-up of health technologies’, </w:t>
      </w:r>
      <w:r w:rsidRPr="00AF5172">
        <w:rPr>
          <w:rStyle w:val="Emphasis"/>
          <w:rFonts w:ascii="Arial" w:hAnsi="Arial" w:cs="Arial"/>
          <w:sz w:val="22"/>
          <w:szCs w:val="22"/>
        </w:rPr>
        <w:t>Journal of Medical Internet Research</w:t>
      </w:r>
      <w:r w:rsidRPr="00AF5172">
        <w:rPr>
          <w:rFonts w:ascii="Arial" w:hAnsi="Arial" w:cs="Arial"/>
          <w:sz w:val="22"/>
          <w:szCs w:val="22"/>
        </w:rPr>
        <w:t>, 19(11), e367.</w:t>
      </w:r>
    </w:p>
    <w:p w:rsidR="00C358F5" w:rsidRPr="00AF5172" w:rsidRDefault="00C358F5" w:rsidP="00C358F5"/>
    <w:p w:rsidR="00C358F5" w:rsidRPr="00AF5172" w:rsidRDefault="00C358F5">
      <w:pPr>
        <w:spacing w:before="80" w:after="80" w:line="360" w:lineRule="auto"/>
        <w:jc w:val="both"/>
      </w:pPr>
    </w:p>
    <w:p w:rsidR="007D1E48" w:rsidRPr="00AF5172" w:rsidRDefault="007D1E48"/>
    <w:sectPr w:rsidR="007D1E48" w:rsidRPr="00AF5172">
      <w:headerReference w:type="default" r:id="rId9"/>
      <w:pgSz w:w="11906" w:h="16838"/>
      <w:pgMar w:top="1440" w:right="126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084A" w:rsidRDefault="0012084A" w:rsidP="00FD4670">
      <w:r>
        <w:separator/>
      </w:r>
    </w:p>
  </w:endnote>
  <w:endnote w:type="continuationSeparator" w:id="0">
    <w:p w:rsidR="0012084A" w:rsidRDefault="0012084A" w:rsidP="00FD46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084A" w:rsidRDefault="0012084A" w:rsidP="00FD4670">
      <w:r>
        <w:separator/>
      </w:r>
    </w:p>
  </w:footnote>
  <w:footnote w:type="continuationSeparator" w:id="0">
    <w:p w:rsidR="0012084A" w:rsidRDefault="0012084A" w:rsidP="00FD46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4670" w:rsidRDefault="00FD4670">
    <w:pPr>
      <w:pStyle w:val="Header"/>
    </w:pPr>
    <w:r>
      <w:rPr>
        <w:noProof/>
      </w:rPr>
      <w:drawing>
        <wp:inline distT="0" distB="0" distL="0" distR="0" wp14:anchorId="2A3A4C4A" wp14:editId="198D8CB9">
          <wp:extent cx="675720" cy="666750"/>
          <wp:effectExtent l="0" t="0" r="0" b="0"/>
          <wp:docPr id="6" name="Picture 6" descr="University of Wales Trinity Saint David, South East Asia  (@studyintheUKatUWTSD)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studyintheUKatUWTSD) • Facebook"/>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00402" cy="691104"/>
                  </a:xfrm>
                  <a:prstGeom prst="rect">
                    <a:avLst/>
                  </a:prstGeom>
                  <a:noFill/>
                  <a:ln>
                    <a:noFill/>
                  </a:ln>
                </pic:spPr>
              </pic:pic>
            </a:graphicData>
          </a:graphic>
        </wp:inline>
      </w:drawing>
    </w:r>
  </w:p>
  <w:p w:rsidR="00FD4670" w:rsidRDefault="00FD46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705136"/>
    <w:multiLevelType w:val="hybridMultilevel"/>
    <w:tmpl w:val="705E5104"/>
    <w:lvl w:ilvl="0" w:tplc="7E7AA0EA">
      <w:start w:val="1"/>
      <w:numFmt w:val="bullet"/>
      <w:lvlText w:val="●"/>
      <w:lvlJc w:val="left"/>
      <w:pPr>
        <w:ind w:left="720" w:hanging="360"/>
      </w:pPr>
    </w:lvl>
    <w:lvl w:ilvl="1" w:tplc="A71092E8">
      <w:start w:val="1"/>
      <w:numFmt w:val="bullet"/>
      <w:lvlText w:val="○"/>
      <w:lvlJc w:val="left"/>
      <w:pPr>
        <w:ind w:left="1440" w:hanging="360"/>
      </w:pPr>
    </w:lvl>
    <w:lvl w:ilvl="2" w:tplc="49DCF97A">
      <w:start w:val="1"/>
      <w:numFmt w:val="bullet"/>
      <w:lvlText w:val="■"/>
      <w:lvlJc w:val="left"/>
      <w:pPr>
        <w:ind w:left="2160" w:hanging="360"/>
      </w:pPr>
    </w:lvl>
    <w:lvl w:ilvl="3" w:tplc="669C0DF0">
      <w:start w:val="1"/>
      <w:numFmt w:val="bullet"/>
      <w:lvlText w:val="●"/>
      <w:lvlJc w:val="left"/>
      <w:pPr>
        <w:ind w:left="2880" w:hanging="360"/>
      </w:pPr>
    </w:lvl>
    <w:lvl w:ilvl="4" w:tplc="19E01C1A">
      <w:start w:val="1"/>
      <w:numFmt w:val="bullet"/>
      <w:lvlText w:val="○"/>
      <w:lvlJc w:val="left"/>
      <w:pPr>
        <w:ind w:left="3600" w:hanging="360"/>
      </w:pPr>
    </w:lvl>
    <w:lvl w:ilvl="5" w:tplc="98D2354E">
      <w:start w:val="1"/>
      <w:numFmt w:val="bullet"/>
      <w:lvlText w:val="■"/>
      <w:lvlJc w:val="left"/>
      <w:pPr>
        <w:ind w:left="4320" w:hanging="360"/>
      </w:pPr>
    </w:lvl>
    <w:lvl w:ilvl="6" w:tplc="5BDC6F42">
      <w:start w:val="1"/>
      <w:numFmt w:val="bullet"/>
      <w:lvlText w:val="●"/>
      <w:lvlJc w:val="left"/>
      <w:pPr>
        <w:ind w:left="5040" w:hanging="360"/>
      </w:pPr>
    </w:lvl>
    <w:lvl w:ilvl="7" w:tplc="C788633E">
      <w:start w:val="1"/>
      <w:numFmt w:val="bullet"/>
      <w:lvlText w:val="●"/>
      <w:lvlJc w:val="left"/>
      <w:pPr>
        <w:ind w:left="5760" w:hanging="360"/>
      </w:pPr>
    </w:lvl>
    <w:lvl w:ilvl="8" w:tplc="C5BAEC18">
      <w:start w:val="1"/>
      <w:numFmt w:val="bullet"/>
      <w:lvlText w:val="●"/>
      <w:lvlJc w:val="left"/>
      <w:pPr>
        <w:ind w:left="6480" w:hanging="360"/>
      </w:pPr>
    </w:lvl>
  </w:abstractNum>
  <w:abstractNum w:abstractNumId="1" w15:restartNumberingAfterBreak="0">
    <w:nsid w:val="0E534343"/>
    <w:multiLevelType w:val="hybridMultilevel"/>
    <w:tmpl w:val="4790B322"/>
    <w:lvl w:ilvl="0" w:tplc="AC54A662">
      <w:start w:val="1"/>
      <w:numFmt w:val="bullet"/>
      <w:lvlText w:val="•"/>
      <w:lvlJc w:val="left"/>
      <w:pPr>
        <w:ind w:left="720" w:hanging="360"/>
      </w:pPr>
    </w:lvl>
    <w:lvl w:ilvl="1" w:tplc="983E01EA">
      <w:numFmt w:val="decimal"/>
      <w:lvlText w:val=""/>
      <w:lvlJc w:val="left"/>
    </w:lvl>
    <w:lvl w:ilvl="2" w:tplc="DE0E680C">
      <w:numFmt w:val="decimal"/>
      <w:lvlText w:val=""/>
      <w:lvlJc w:val="left"/>
    </w:lvl>
    <w:lvl w:ilvl="3" w:tplc="FFE806B2">
      <w:numFmt w:val="decimal"/>
      <w:lvlText w:val=""/>
      <w:lvlJc w:val="left"/>
    </w:lvl>
    <w:lvl w:ilvl="4" w:tplc="340AD560">
      <w:numFmt w:val="decimal"/>
      <w:lvlText w:val=""/>
      <w:lvlJc w:val="left"/>
    </w:lvl>
    <w:lvl w:ilvl="5" w:tplc="3F32DECC">
      <w:numFmt w:val="decimal"/>
      <w:lvlText w:val=""/>
      <w:lvlJc w:val="left"/>
    </w:lvl>
    <w:lvl w:ilvl="6" w:tplc="B5F2BA6E">
      <w:numFmt w:val="decimal"/>
      <w:lvlText w:val=""/>
      <w:lvlJc w:val="left"/>
    </w:lvl>
    <w:lvl w:ilvl="7" w:tplc="C33EA3E4">
      <w:numFmt w:val="decimal"/>
      <w:lvlText w:val=""/>
      <w:lvlJc w:val="left"/>
    </w:lvl>
    <w:lvl w:ilvl="8" w:tplc="0E683100">
      <w:numFmt w:val="decimal"/>
      <w:lvlText w:val=""/>
      <w:lvlJc w:val="left"/>
    </w:lvl>
  </w:abstractNum>
  <w:num w:numId="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E48"/>
    <w:rsid w:val="0012084A"/>
    <w:rsid w:val="006D3F69"/>
    <w:rsid w:val="007D1E48"/>
    <w:rsid w:val="00AF5172"/>
    <w:rsid w:val="00C358F5"/>
    <w:rsid w:val="00FD46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F7FCC"/>
  <w15:docId w15:val="{D632D368-6283-4DBB-A1BA-1E29E3418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pPr>
      <w:spacing w:before="300" w:after="120"/>
      <w:outlineLvl w:val="0"/>
    </w:pPr>
    <w:rPr>
      <w:b/>
      <w:bCs/>
      <w:color w:val="1F3864"/>
      <w:sz w:val="28"/>
      <w:szCs w:val="28"/>
    </w:rPr>
  </w:style>
  <w:style w:type="paragraph" w:styleId="Heading2">
    <w:name w:val="heading 2"/>
    <w:qFormat/>
    <w:pPr>
      <w:spacing w:before="240" w:after="100"/>
      <w:outlineLvl w:val="1"/>
    </w:pPr>
    <w:rPr>
      <w:b/>
      <w:bCs/>
      <w:color w:val="2E4F8C"/>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NormalWeb">
    <w:name w:val="Normal (Web)"/>
    <w:basedOn w:val="Normal"/>
    <w:uiPriority w:val="99"/>
    <w:unhideWhenUsed/>
    <w:rsid w:val="00C358F5"/>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C358F5"/>
    <w:rPr>
      <w:b/>
      <w:bCs/>
    </w:rPr>
  </w:style>
  <w:style w:type="character" w:styleId="Emphasis">
    <w:name w:val="Emphasis"/>
    <w:basedOn w:val="DefaultParagraphFont"/>
    <w:uiPriority w:val="20"/>
    <w:qFormat/>
    <w:rsid w:val="00C358F5"/>
    <w:rPr>
      <w:i/>
      <w:iCs/>
    </w:rPr>
  </w:style>
  <w:style w:type="paragraph" w:styleId="Header">
    <w:name w:val="header"/>
    <w:basedOn w:val="Normal"/>
    <w:link w:val="HeaderChar"/>
    <w:uiPriority w:val="99"/>
    <w:unhideWhenUsed/>
    <w:rsid w:val="00FD4670"/>
    <w:pPr>
      <w:tabs>
        <w:tab w:val="center" w:pos="4680"/>
        <w:tab w:val="right" w:pos="9360"/>
      </w:tabs>
    </w:pPr>
  </w:style>
  <w:style w:type="character" w:customStyle="1" w:styleId="HeaderChar">
    <w:name w:val="Header Char"/>
    <w:basedOn w:val="DefaultParagraphFont"/>
    <w:link w:val="Header"/>
    <w:uiPriority w:val="99"/>
    <w:rsid w:val="00FD4670"/>
  </w:style>
  <w:style w:type="paragraph" w:styleId="Footer">
    <w:name w:val="footer"/>
    <w:basedOn w:val="Normal"/>
    <w:link w:val="FooterChar"/>
    <w:uiPriority w:val="99"/>
    <w:unhideWhenUsed/>
    <w:rsid w:val="00FD4670"/>
    <w:pPr>
      <w:tabs>
        <w:tab w:val="center" w:pos="4680"/>
        <w:tab w:val="right" w:pos="9360"/>
      </w:tabs>
    </w:pPr>
  </w:style>
  <w:style w:type="character" w:customStyle="1" w:styleId="FooterChar">
    <w:name w:val="Footer Char"/>
    <w:basedOn w:val="DefaultParagraphFont"/>
    <w:link w:val="Footer"/>
    <w:uiPriority w:val="99"/>
    <w:rsid w:val="00FD4670"/>
  </w:style>
  <w:style w:type="table" w:customStyle="1" w:styleId="a">
    <w:name w:val="a"/>
    <w:basedOn w:val="TableNormal"/>
    <w:rsid w:val="00FD4670"/>
    <w:pPr>
      <w:spacing w:line="276" w:lineRule="auto"/>
    </w:pPr>
    <w:rPr>
      <w:lang w:val="en-GB" w:eastAsia="en-IN"/>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739576">
      <w:bodyDiv w:val="1"/>
      <w:marLeft w:val="0"/>
      <w:marRight w:val="0"/>
      <w:marTop w:val="0"/>
      <w:marBottom w:val="0"/>
      <w:divBdr>
        <w:top w:val="none" w:sz="0" w:space="0" w:color="auto"/>
        <w:left w:val="none" w:sz="0" w:space="0" w:color="auto"/>
        <w:bottom w:val="none" w:sz="0" w:space="0" w:color="auto"/>
        <w:right w:val="none" w:sz="0" w:space="0" w:color="auto"/>
      </w:divBdr>
    </w:div>
    <w:div w:id="678123008">
      <w:bodyDiv w:val="1"/>
      <w:marLeft w:val="0"/>
      <w:marRight w:val="0"/>
      <w:marTop w:val="0"/>
      <w:marBottom w:val="0"/>
      <w:divBdr>
        <w:top w:val="none" w:sz="0" w:space="0" w:color="auto"/>
        <w:left w:val="none" w:sz="0" w:space="0" w:color="auto"/>
        <w:bottom w:val="none" w:sz="0" w:space="0" w:color="auto"/>
        <w:right w:val="none" w:sz="0" w:space="0" w:color="auto"/>
      </w:divBdr>
      <w:divsChild>
        <w:div w:id="528840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77820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50C82F-B7FF-4ABE-91B3-48E752DA4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20</Pages>
  <Words>6753</Words>
  <Characters>38497</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Administrator</cp:lastModifiedBy>
  <cp:revision>2</cp:revision>
  <dcterms:created xsi:type="dcterms:W3CDTF">2026-03-30T13:45:00Z</dcterms:created>
  <dcterms:modified xsi:type="dcterms:W3CDTF">2026-04-20T01:17:00Z</dcterms:modified>
</cp:coreProperties>
</file>