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36E4A" w:rsidRDefault="00A36E4A">
      <w:pPr>
        <w:spacing w:line="360" w:lineRule="auto"/>
        <w:jc w:val="center"/>
        <w:rPr>
          <w:sz w:val="32"/>
          <w:szCs w:val="32"/>
        </w:rPr>
      </w:pPr>
    </w:p>
    <w:p w14:paraId="00000002" w14:textId="77777777" w:rsidR="00A36E4A" w:rsidRDefault="00A36E4A">
      <w:pPr>
        <w:spacing w:line="360" w:lineRule="auto"/>
        <w:jc w:val="center"/>
        <w:rPr>
          <w:sz w:val="32"/>
          <w:szCs w:val="32"/>
        </w:rPr>
      </w:pPr>
    </w:p>
    <w:p w14:paraId="00000003" w14:textId="77777777" w:rsidR="00A36E4A" w:rsidRDefault="00A36E4A">
      <w:pPr>
        <w:spacing w:line="360" w:lineRule="auto"/>
        <w:jc w:val="center"/>
        <w:rPr>
          <w:sz w:val="32"/>
          <w:szCs w:val="32"/>
        </w:rPr>
      </w:pPr>
    </w:p>
    <w:p w14:paraId="00000004" w14:textId="77777777" w:rsidR="00A36E4A" w:rsidRDefault="00A36E4A">
      <w:pPr>
        <w:spacing w:line="360" w:lineRule="auto"/>
        <w:jc w:val="center"/>
        <w:rPr>
          <w:sz w:val="32"/>
          <w:szCs w:val="32"/>
        </w:rPr>
      </w:pPr>
    </w:p>
    <w:p w14:paraId="00000005" w14:textId="77777777" w:rsidR="00A36E4A" w:rsidRDefault="00000000">
      <w:pPr>
        <w:spacing w:line="360" w:lineRule="auto"/>
        <w:jc w:val="center"/>
        <w:rPr>
          <w:sz w:val="32"/>
          <w:szCs w:val="32"/>
        </w:rPr>
      </w:pPr>
      <w:r>
        <w:rPr>
          <w:sz w:val="32"/>
          <w:szCs w:val="32"/>
        </w:rPr>
        <w:t xml:space="preserve">LEVEL 4 ASSESSMENT </w:t>
      </w:r>
    </w:p>
    <w:p w14:paraId="00000006" w14:textId="77777777" w:rsidR="00A36E4A" w:rsidRDefault="00A36E4A">
      <w:pPr>
        <w:spacing w:line="360" w:lineRule="auto"/>
        <w:jc w:val="center"/>
        <w:rPr>
          <w:sz w:val="32"/>
          <w:szCs w:val="32"/>
        </w:rPr>
      </w:pPr>
    </w:p>
    <w:p w14:paraId="00000007" w14:textId="77777777" w:rsidR="00A36E4A" w:rsidRDefault="00A36E4A">
      <w:pPr>
        <w:spacing w:line="360" w:lineRule="auto"/>
        <w:jc w:val="center"/>
        <w:rPr>
          <w:sz w:val="32"/>
          <w:szCs w:val="32"/>
        </w:rPr>
      </w:pPr>
    </w:p>
    <w:p w14:paraId="00000008" w14:textId="77777777" w:rsidR="00A36E4A" w:rsidRDefault="00000000">
      <w:pPr>
        <w:spacing w:line="360" w:lineRule="auto"/>
        <w:jc w:val="center"/>
        <w:rPr>
          <w:sz w:val="32"/>
          <w:szCs w:val="32"/>
        </w:rPr>
      </w:pPr>
      <w:r>
        <w:rPr>
          <w:sz w:val="32"/>
          <w:szCs w:val="32"/>
        </w:rPr>
        <w:t>PROGRAMME: CERTIFICATE OF HIGHER EDUCATION SKILLS FOR THE WORKPLACE (HEALTH &amp; SOCIAL CARE)</w:t>
      </w:r>
    </w:p>
    <w:p w14:paraId="00000009" w14:textId="77777777" w:rsidR="00A36E4A" w:rsidRDefault="00A36E4A">
      <w:pPr>
        <w:spacing w:line="360" w:lineRule="auto"/>
        <w:jc w:val="center"/>
        <w:rPr>
          <w:sz w:val="32"/>
          <w:szCs w:val="32"/>
        </w:rPr>
      </w:pPr>
    </w:p>
    <w:p w14:paraId="0000000A" w14:textId="77777777" w:rsidR="00A36E4A" w:rsidRDefault="00000000">
      <w:pPr>
        <w:spacing w:line="360" w:lineRule="auto"/>
        <w:jc w:val="center"/>
        <w:rPr>
          <w:sz w:val="32"/>
          <w:szCs w:val="32"/>
        </w:rPr>
      </w:pPr>
      <w:r>
        <w:rPr>
          <w:sz w:val="32"/>
          <w:szCs w:val="32"/>
        </w:rPr>
        <w:t>MODULE: INTRODUCTION TO HEALTH AND SOCIAL CARE</w:t>
      </w:r>
    </w:p>
    <w:p w14:paraId="0000000B" w14:textId="77777777" w:rsidR="00A36E4A" w:rsidRDefault="00000000">
      <w:pPr>
        <w:spacing w:line="360" w:lineRule="auto"/>
        <w:jc w:val="center"/>
        <w:rPr>
          <w:sz w:val="32"/>
          <w:szCs w:val="32"/>
        </w:rPr>
      </w:pPr>
      <w:r>
        <w:rPr>
          <w:sz w:val="32"/>
          <w:szCs w:val="32"/>
        </w:rPr>
        <w:t>MODULE CODE: LCHS4003 CONTRIBUTION TO</w:t>
      </w:r>
    </w:p>
    <w:p w14:paraId="0000000C" w14:textId="77777777" w:rsidR="00A36E4A" w:rsidRDefault="00000000">
      <w:pPr>
        <w:spacing w:line="360" w:lineRule="auto"/>
        <w:jc w:val="center"/>
        <w:rPr>
          <w:sz w:val="32"/>
          <w:szCs w:val="32"/>
        </w:rPr>
      </w:pPr>
      <w:r>
        <w:rPr>
          <w:sz w:val="32"/>
          <w:szCs w:val="32"/>
        </w:rPr>
        <w:t>LECTURERS: MUHAMMAD ALIYU INTERNAL VERIFIER: JOLLY NWANKWO</w:t>
      </w:r>
    </w:p>
    <w:p w14:paraId="0000000D" w14:textId="77777777" w:rsidR="00A36E4A" w:rsidRDefault="00A36E4A">
      <w:pPr>
        <w:spacing w:line="360" w:lineRule="auto"/>
        <w:jc w:val="center"/>
        <w:rPr>
          <w:sz w:val="32"/>
          <w:szCs w:val="32"/>
        </w:rPr>
      </w:pPr>
    </w:p>
    <w:p w14:paraId="0000000E" w14:textId="77777777" w:rsidR="00A36E4A" w:rsidRDefault="00000000">
      <w:pPr>
        <w:spacing w:line="360" w:lineRule="auto"/>
        <w:jc w:val="center"/>
        <w:rPr>
          <w:sz w:val="32"/>
          <w:szCs w:val="32"/>
        </w:rPr>
      </w:pPr>
      <w:r>
        <w:rPr>
          <w:sz w:val="32"/>
          <w:szCs w:val="32"/>
        </w:rPr>
        <w:t>STUDENT NAME:</w:t>
      </w:r>
    </w:p>
    <w:p w14:paraId="0000000F" w14:textId="77777777" w:rsidR="00A36E4A" w:rsidRDefault="00000000">
      <w:pPr>
        <w:spacing w:line="360" w:lineRule="auto"/>
        <w:jc w:val="center"/>
        <w:rPr>
          <w:sz w:val="32"/>
          <w:szCs w:val="32"/>
        </w:rPr>
      </w:pPr>
      <w:r>
        <w:rPr>
          <w:sz w:val="32"/>
          <w:szCs w:val="32"/>
        </w:rPr>
        <w:t>STUDENT ID:</w:t>
      </w:r>
    </w:p>
    <w:p w14:paraId="00000010" w14:textId="77777777" w:rsidR="00A36E4A" w:rsidRDefault="00000000">
      <w:pPr>
        <w:spacing w:line="360" w:lineRule="auto"/>
        <w:jc w:val="center"/>
        <w:rPr>
          <w:sz w:val="32"/>
          <w:szCs w:val="32"/>
        </w:rPr>
      </w:pPr>
      <w:r>
        <w:rPr>
          <w:sz w:val="32"/>
          <w:szCs w:val="32"/>
        </w:rPr>
        <w:t>DATE OF SUBMISSION:</w:t>
      </w:r>
    </w:p>
    <w:p w14:paraId="00000011" w14:textId="77777777" w:rsidR="00A36E4A" w:rsidRDefault="00000000">
      <w:pPr>
        <w:spacing w:line="360" w:lineRule="auto"/>
        <w:rPr>
          <w:sz w:val="32"/>
          <w:szCs w:val="32"/>
        </w:rPr>
      </w:pPr>
      <w:r>
        <w:br w:type="page"/>
      </w:r>
    </w:p>
    <w:p w14:paraId="00000012" w14:textId="77777777" w:rsidR="00A36E4A" w:rsidRDefault="00A36E4A">
      <w:pPr>
        <w:spacing w:line="360" w:lineRule="auto"/>
        <w:jc w:val="center"/>
        <w:rPr>
          <w:b/>
          <w:bCs/>
          <w:sz w:val="28"/>
          <w:szCs w:val="28"/>
        </w:rPr>
      </w:pPr>
    </w:p>
    <w:p w14:paraId="00000013" w14:textId="77777777" w:rsidR="00A36E4A" w:rsidRDefault="00A36E4A">
      <w:pPr>
        <w:spacing w:line="360" w:lineRule="auto"/>
        <w:jc w:val="center"/>
        <w:rPr>
          <w:b/>
          <w:bCs/>
          <w:sz w:val="28"/>
          <w:szCs w:val="28"/>
        </w:rPr>
      </w:pPr>
    </w:p>
    <w:p w14:paraId="00000014" w14:textId="77777777" w:rsidR="00A36E4A" w:rsidRDefault="00A36E4A">
      <w:pPr>
        <w:spacing w:line="360" w:lineRule="auto"/>
        <w:jc w:val="center"/>
        <w:rPr>
          <w:b/>
          <w:bCs/>
          <w:sz w:val="28"/>
          <w:szCs w:val="28"/>
        </w:rPr>
      </w:pPr>
    </w:p>
    <w:p w14:paraId="6A0B4E7E" w14:textId="77777777" w:rsidR="00D3470F" w:rsidRDefault="00D3470F">
      <w:pPr>
        <w:spacing w:line="360" w:lineRule="auto"/>
        <w:jc w:val="center"/>
        <w:rPr>
          <w:b/>
          <w:bCs/>
          <w:sz w:val="28"/>
          <w:szCs w:val="28"/>
        </w:rPr>
      </w:pPr>
    </w:p>
    <w:p w14:paraId="7EDFA0C6" w14:textId="77777777" w:rsidR="00D3470F" w:rsidRDefault="00D3470F">
      <w:pPr>
        <w:spacing w:line="360" w:lineRule="auto"/>
        <w:jc w:val="center"/>
        <w:rPr>
          <w:b/>
          <w:bCs/>
          <w:sz w:val="28"/>
          <w:szCs w:val="28"/>
        </w:rPr>
      </w:pPr>
    </w:p>
    <w:p w14:paraId="644537E4" w14:textId="77777777" w:rsidR="00D3470F" w:rsidRDefault="00D3470F">
      <w:pPr>
        <w:spacing w:line="360" w:lineRule="auto"/>
        <w:jc w:val="center"/>
        <w:rPr>
          <w:b/>
          <w:bCs/>
          <w:sz w:val="28"/>
          <w:szCs w:val="28"/>
        </w:rPr>
      </w:pPr>
    </w:p>
    <w:p w14:paraId="00000015" w14:textId="77777777" w:rsidR="00A36E4A" w:rsidRDefault="00000000">
      <w:pPr>
        <w:spacing w:line="360" w:lineRule="auto"/>
        <w:jc w:val="center"/>
        <w:rPr>
          <w:b/>
          <w:bCs/>
          <w:sz w:val="28"/>
          <w:szCs w:val="28"/>
        </w:rPr>
      </w:pPr>
      <w:r>
        <w:rPr>
          <w:b/>
          <w:bCs/>
          <w:sz w:val="28"/>
          <w:szCs w:val="28"/>
        </w:rPr>
        <w:t>TABLE OF CONTENTS</w:t>
      </w:r>
    </w:p>
    <w:p w14:paraId="00000016" w14:textId="77777777" w:rsidR="00A36E4A" w:rsidRDefault="00A36E4A">
      <w:pPr>
        <w:spacing w:line="360" w:lineRule="auto"/>
        <w:rPr>
          <w:sz w:val="24"/>
          <w:szCs w:val="24"/>
        </w:rPr>
      </w:pPr>
    </w:p>
    <w:sdt>
      <w:sdtPr>
        <w:id w:val="-1588468534"/>
        <w:docPartObj>
          <w:docPartGallery w:val="Table of Contents"/>
          <w:docPartUnique/>
        </w:docPartObj>
      </w:sdtPr>
      <w:sdtContent>
        <w:p w14:paraId="00000017" w14:textId="77777777" w:rsidR="00A36E4A" w:rsidRDefault="00000000">
          <w:pPr>
            <w:widowControl w:val="0"/>
            <w:tabs>
              <w:tab w:val="right" w:leader="dot" w:pos="9360"/>
            </w:tabs>
            <w:spacing w:before="60" w:line="360" w:lineRule="auto"/>
            <w:rPr>
              <w:color w:val="000000"/>
              <w:sz w:val="24"/>
              <w:szCs w:val="24"/>
            </w:rPr>
          </w:pPr>
          <w:r>
            <w:fldChar w:fldCharType="begin"/>
          </w:r>
          <w:r>
            <w:instrText xml:space="preserve"> TOC \h \u \z \t "Heading 1,1,Heading 2,2,Heading 3,3,Heading 4,4,Heading 5,5,Heading 6,6,"</w:instrText>
          </w:r>
          <w:r>
            <w:fldChar w:fldCharType="separate"/>
          </w:r>
          <w:hyperlink w:anchor="_9j5ho36eabe">
            <w:r>
              <w:rPr>
                <w:color w:val="000000"/>
                <w:sz w:val="24"/>
                <w:szCs w:val="24"/>
              </w:rPr>
              <w:t>Introduction</w:t>
            </w:r>
            <w:r>
              <w:rPr>
                <w:color w:val="000000"/>
                <w:sz w:val="24"/>
                <w:szCs w:val="24"/>
              </w:rPr>
              <w:tab/>
            </w:r>
          </w:hyperlink>
          <w:r>
            <w:fldChar w:fldCharType="begin"/>
          </w:r>
          <w:r>
            <w:instrText xml:space="preserve"> PAGEREF _9j5ho36eabe \h </w:instrText>
          </w:r>
          <w:r>
            <w:fldChar w:fldCharType="separate"/>
          </w:r>
          <w:r>
            <w:rPr>
              <w:sz w:val="24"/>
              <w:szCs w:val="24"/>
            </w:rPr>
            <w:t>3</w:t>
          </w:r>
          <w:r>
            <w:fldChar w:fldCharType="end"/>
          </w:r>
        </w:p>
        <w:p w14:paraId="00000018" w14:textId="77777777" w:rsidR="00A36E4A" w:rsidRDefault="00000000">
          <w:pPr>
            <w:widowControl w:val="0"/>
            <w:tabs>
              <w:tab w:val="right" w:leader="dot" w:pos="9360"/>
            </w:tabs>
            <w:spacing w:before="60" w:line="360" w:lineRule="auto"/>
            <w:rPr>
              <w:color w:val="000000"/>
              <w:sz w:val="24"/>
              <w:szCs w:val="24"/>
            </w:rPr>
          </w:pPr>
          <w:hyperlink w:anchor="_mp1zkkln7u0i">
            <w:r>
              <w:rPr>
                <w:color w:val="000000"/>
                <w:sz w:val="24"/>
                <w:szCs w:val="24"/>
              </w:rPr>
              <w:t>Importance of Effective Communication</w:t>
            </w:r>
            <w:r>
              <w:rPr>
                <w:color w:val="000000"/>
                <w:sz w:val="24"/>
                <w:szCs w:val="24"/>
              </w:rPr>
              <w:tab/>
            </w:r>
          </w:hyperlink>
          <w:r>
            <w:fldChar w:fldCharType="begin"/>
          </w:r>
          <w:r>
            <w:instrText xml:space="preserve"> PAGEREF _mp1zkkln7u0i \h </w:instrText>
          </w:r>
          <w:r>
            <w:fldChar w:fldCharType="separate"/>
          </w:r>
          <w:r>
            <w:rPr>
              <w:sz w:val="24"/>
              <w:szCs w:val="24"/>
            </w:rPr>
            <w:t>3</w:t>
          </w:r>
          <w:r>
            <w:fldChar w:fldCharType="end"/>
          </w:r>
        </w:p>
        <w:p w14:paraId="00000019" w14:textId="77777777" w:rsidR="00A36E4A" w:rsidRDefault="00000000">
          <w:pPr>
            <w:widowControl w:val="0"/>
            <w:tabs>
              <w:tab w:val="right" w:leader="dot" w:pos="9360"/>
            </w:tabs>
            <w:spacing w:before="60" w:line="360" w:lineRule="auto"/>
            <w:rPr>
              <w:color w:val="000000"/>
              <w:sz w:val="24"/>
              <w:szCs w:val="24"/>
            </w:rPr>
          </w:pPr>
          <w:hyperlink w:anchor="_n8crlnqjs3d6">
            <w:r>
              <w:rPr>
                <w:color w:val="000000"/>
                <w:sz w:val="24"/>
                <w:szCs w:val="24"/>
              </w:rPr>
              <w:t>Importance of Administrative Skills and Record Keeping</w:t>
            </w:r>
            <w:r>
              <w:rPr>
                <w:color w:val="000000"/>
                <w:sz w:val="24"/>
                <w:szCs w:val="24"/>
              </w:rPr>
              <w:tab/>
            </w:r>
          </w:hyperlink>
          <w:r>
            <w:fldChar w:fldCharType="begin"/>
          </w:r>
          <w:r>
            <w:instrText xml:space="preserve"> PAGEREF _n8crlnqjs3d6 \h </w:instrText>
          </w:r>
          <w:r>
            <w:fldChar w:fldCharType="separate"/>
          </w:r>
          <w:r>
            <w:rPr>
              <w:sz w:val="24"/>
              <w:szCs w:val="24"/>
            </w:rPr>
            <w:t>4</w:t>
          </w:r>
          <w:r>
            <w:fldChar w:fldCharType="end"/>
          </w:r>
        </w:p>
        <w:p w14:paraId="0000001A" w14:textId="77777777" w:rsidR="00A36E4A" w:rsidRDefault="00000000">
          <w:pPr>
            <w:widowControl w:val="0"/>
            <w:tabs>
              <w:tab w:val="right" w:leader="dot" w:pos="9360"/>
            </w:tabs>
            <w:spacing w:before="60" w:line="360" w:lineRule="auto"/>
            <w:rPr>
              <w:color w:val="000000"/>
              <w:sz w:val="24"/>
              <w:szCs w:val="24"/>
            </w:rPr>
          </w:pPr>
          <w:hyperlink w:anchor="_cf497x3d73kq">
            <w:r>
              <w:rPr>
                <w:color w:val="000000"/>
                <w:sz w:val="24"/>
                <w:szCs w:val="24"/>
              </w:rPr>
              <w:t>Importance of Collaborative Working</w:t>
            </w:r>
            <w:r>
              <w:rPr>
                <w:color w:val="000000"/>
                <w:sz w:val="24"/>
                <w:szCs w:val="24"/>
              </w:rPr>
              <w:tab/>
            </w:r>
          </w:hyperlink>
          <w:r>
            <w:fldChar w:fldCharType="begin"/>
          </w:r>
          <w:r>
            <w:instrText xml:space="preserve"> PAGEREF _cf497x3d73kq \h </w:instrText>
          </w:r>
          <w:r>
            <w:fldChar w:fldCharType="separate"/>
          </w:r>
          <w:r>
            <w:rPr>
              <w:sz w:val="24"/>
              <w:szCs w:val="24"/>
            </w:rPr>
            <w:t>5</w:t>
          </w:r>
          <w:r>
            <w:fldChar w:fldCharType="end"/>
          </w:r>
        </w:p>
        <w:p w14:paraId="0000001B" w14:textId="77777777" w:rsidR="00A36E4A" w:rsidRDefault="00000000">
          <w:pPr>
            <w:widowControl w:val="0"/>
            <w:tabs>
              <w:tab w:val="right" w:leader="dot" w:pos="9360"/>
            </w:tabs>
            <w:spacing w:before="60" w:line="360" w:lineRule="auto"/>
            <w:rPr>
              <w:color w:val="000000"/>
              <w:sz w:val="24"/>
              <w:szCs w:val="24"/>
            </w:rPr>
          </w:pPr>
          <w:hyperlink w:anchor="_wbewxpwbwjpu">
            <w:r>
              <w:rPr>
                <w:color w:val="000000"/>
                <w:sz w:val="24"/>
                <w:szCs w:val="24"/>
              </w:rPr>
              <w:t>Reference List</w:t>
            </w:r>
            <w:r>
              <w:rPr>
                <w:color w:val="000000"/>
                <w:sz w:val="24"/>
                <w:szCs w:val="24"/>
              </w:rPr>
              <w:tab/>
            </w:r>
          </w:hyperlink>
          <w:r>
            <w:fldChar w:fldCharType="begin"/>
          </w:r>
          <w:r>
            <w:instrText xml:space="preserve"> PAGEREF _wbewxpwbwjpu \h </w:instrText>
          </w:r>
          <w:r>
            <w:fldChar w:fldCharType="separate"/>
          </w:r>
          <w:r>
            <w:rPr>
              <w:sz w:val="24"/>
              <w:szCs w:val="24"/>
            </w:rPr>
            <w:t>7</w:t>
          </w:r>
          <w:r>
            <w:fldChar w:fldCharType="end"/>
          </w:r>
          <w:r>
            <w:fldChar w:fldCharType="end"/>
          </w:r>
        </w:p>
      </w:sdtContent>
    </w:sdt>
    <w:p w14:paraId="0000001C" w14:textId="77777777" w:rsidR="00A36E4A" w:rsidRDefault="00A36E4A">
      <w:pPr>
        <w:spacing w:line="360" w:lineRule="auto"/>
        <w:rPr>
          <w:sz w:val="24"/>
          <w:szCs w:val="24"/>
        </w:rPr>
      </w:pPr>
    </w:p>
    <w:p w14:paraId="0000001D" w14:textId="77777777" w:rsidR="00A36E4A" w:rsidRDefault="00A36E4A">
      <w:pPr>
        <w:spacing w:line="360" w:lineRule="auto"/>
        <w:rPr>
          <w:b/>
          <w:bCs/>
          <w:sz w:val="28"/>
          <w:szCs w:val="28"/>
        </w:rPr>
      </w:pPr>
    </w:p>
    <w:p w14:paraId="0000001E" w14:textId="77777777" w:rsidR="00A36E4A" w:rsidRDefault="00000000">
      <w:pPr>
        <w:spacing w:line="360" w:lineRule="auto"/>
        <w:rPr>
          <w:b/>
          <w:bCs/>
          <w:sz w:val="28"/>
          <w:szCs w:val="28"/>
        </w:rPr>
      </w:pPr>
      <w:r>
        <w:br w:type="page"/>
      </w:r>
    </w:p>
    <w:p w14:paraId="0000001F" w14:textId="77777777" w:rsidR="00A36E4A" w:rsidRDefault="00A36E4A">
      <w:pPr>
        <w:spacing w:line="360" w:lineRule="auto"/>
        <w:rPr>
          <w:b/>
          <w:bCs/>
          <w:sz w:val="28"/>
          <w:szCs w:val="28"/>
        </w:rPr>
      </w:pPr>
    </w:p>
    <w:p w14:paraId="00000020" w14:textId="77777777" w:rsidR="00A36E4A" w:rsidRDefault="00000000">
      <w:pPr>
        <w:pStyle w:val="Heading1"/>
        <w:spacing w:line="360" w:lineRule="auto"/>
        <w:rPr>
          <w:rFonts w:ascii="Arial" w:eastAsia="Arial" w:hAnsi="Arial" w:cs="Arial"/>
        </w:rPr>
      </w:pPr>
      <w:bookmarkStart w:id="0" w:name="_9j5ho36eabe" w:colFirst="0" w:colLast="0"/>
      <w:bookmarkEnd w:id="0"/>
      <w:r>
        <w:rPr>
          <w:rFonts w:ascii="Arial" w:eastAsia="Arial" w:hAnsi="Arial" w:cs="Arial"/>
        </w:rPr>
        <w:t xml:space="preserve">Introduction </w:t>
      </w:r>
    </w:p>
    <w:p w14:paraId="00000021" w14:textId="77777777" w:rsidR="00A36E4A" w:rsidRDefault="00000000">
      <w:pPr>
        <w:spacing w:line="360" w:lineRule="auto"/>
        <w:jc w:val="both"/>
        <w:rPr>
          <w:sz w:val="24"/>
          <w:szCs w:val="24"/>
        </w:rPr>
      </w:pPr>
      <w:r>
        <w:rPr>
          <w:sz w:val="24"/>
          <w:szCs w:val="24"/>
        </w:rPr>
        <w:t>Health and social care practice requires effective communication, strong administrative skills, and collaborative working to ensure high-quality, person-</w:t>
      </w:r>
      <w:proofErr w:type="spellStart"/>
      <w:r>
        <w:rPr>
          <w:sz w:val="24"/>
          <w:szCs w:val="24"/>
        </w:rPr>
        <w:t>centred</w:t>
      </w:r>
      <w:proofErr w:type="spellEnd"/>
      <w:r>
        <w:rPr>
          <w:sz w:val="24"/>
          <w:szCs w:val="24"/>
        </w:rPr>
        <w:t xml:space="preserve"> care. These factors are especially relevant to helping such individuals with complex needs as </w:t>
      </w:r>
      <w:proofErr w:type="spellStart"/>
      <w:r>
        <w:rPr>
          <w:sz w:val="24"/>
          <w:szCs w:val="24"/>
        </w:rPr>
        <w:t>Mr</w:t>
      </w:r>
      <w:proofErr w:type="spellEnd"/>
      <w:r>
        <w:rPr>
          <w:sz w:val="24"/>
          <w:szCs w:val="24"/>
        </w:rPr>
        <w:t xml:space="preserve"> Ahmed, a 68-year-old stroke patient who is given multidisciplinary care at home. His case illustrates existing issues, such as language barriers, reliance on various professionals, and risks related to the failure to deliver services, such as failure to attend care visits. The case of three fundamental areas of professional practice will be explored concerning the case of </w:t>
      </w:r>
      <w:proofErr w:type="spellStart"/>
      <w:r>
        <w:rPr>
          <w:sz w:val="24"/>
          <w:szCs w:val="24"/>
        </w:rPr>
        <w:t>Mr</w:t>
      </w:r>
      <w:proofErr w:type="spellEnd"/>
      <w:r>
        <w:rPr>
          <w:sz w:val="24"/>
          <w:szCs w:val="24"/>
        </w:rPr>
        <w:t xml:space="preserve"> Ahmed in this report. First, it will address the significance of efficient communication, the use of the Equality Act 2010 and an established communication model. Second, it will delve into administrative roles, especially record-keeping and adherence to the Data Protection Act 2018. Finally, it will evaluate the importance of collaborative working among healthcare professionals and strategies to overcome challenges in multi-agency settings.</w:t>
      </w:r>
    </w:p>
    <w:p w14:paraId="00000022" w14:textId="77777777" w:rsidR="00A36E4A" w:rsidRDefault="00000000">
      <w:pPr>
        <w:pStyle w:val="Heading1"/>
        <w:spacing w:line="360" w:lineRule="auto"/>
        <w:rPr>
          <w:rFonts w:ascii="Arial" w:eastAsia="Arial" w:hAnsi="Arial" w:cs="Arial"/>
        </w:rPr>
      </w:pPr>
      <w:bookmarkStart w:id="1" w:name="_mp1zkkln7u0i" w:colFirst="0" w:colLast="0"/>
      <w:bookmarkEnd w:id="1"/>
      <w:r>
        <w:rPr>
          <w:rFonts w:ascii="Arial" w:eastAsia="Arial" w:hAnsi="Arial" w:cs="Arial"/>
        </w:rPr>
        <w:t xml:space="preserve">Importance of Effective Communication </w:t>
      </w:r>
    </w:p>
    <w:p w14:paraId="00000023" w14:textId="77777777" w:rsidR="00A36E4A" w:rsidRDefault="00000000">
      <w:pPr>
        <w:spacing w:line="360" w:lineRule="auto"/>
        <w:jc w:val="both"/>
        <w:rPr>
          <w:sz w:val="24"/>
          <w:szCs w:val="24"/>
        </w:rPr>
      </w:pPr>
      <w:r>
        <w:rPr>
          <w:sz w:val="24"/>
          <w:szCs w:val="24"/>
        </w:rPr>
        <w:t>Communication plays a cornerstone in providing safe and person-</w:t>
      </w:r>
      <w:proofErr w:type="spellStart"/>
      <w:r>
        <w:rPr>
          <w:sz w:val="24"/>
          <w:szCs w:val="24"/>
        </w:rPr>
        <w:t>centred</w:t>
      </w:r>
      <w:proofErr w:type="spellEnd"/>
      <w:r>
        <w:rPr>
          <w:sz w:val="24"/>
          <w:szCs w:val="24"/>
        </w:rPr>
        <w:t xml:space="preserve"> care, especially to patients such as </w:t>
      </w:r>
      <w:proofErr w:type="spellStart"/>
      <w:r>
        <w:rPr>
          <w:sz w:val="24"/>
          <w:szCs w:val="24"/>
        </w:rPr>
        <w:t>Mr</w:t>
      </w:r>
      <w:proofErr w:type="spellEnd"/>
      <w:r>
        <w:rPr>
          <w:sz w:val="24"/>
          <w:szCs w:val="24"/>
        </w:rPr>
        <w:t xml:space="preserve"> Ahmed who experience language and health-related barriers to communication after a stroke. The faulty communication will result in misunderstanding, medication mistakes, and a low level of patient satisfaction, as is the case with the missed care visit incident (</w:t>
      </w:r>
      <w:proofErr w:type="spellStart"/>
      <w:r>
        <w:rPr>
          <w:sz w:val="24"/>
          <w:szCs w:val="24"/>
        </w:rPr>
        <w:t>Sharkiya</w:t>
      </w:r>
      <w:proofErr w:type="spellEnd"/>
      <w:r>
        <w:rPr>
          <w:sz w:val="24"/>
          <w:szCs w:val="24"/>
        </w:rPr>
        <w:t xml:space="preserve">, 2023). In the situation of </w:t>
      </w:r>
      <w:proofErr w:type="spellStart"/>
      <w:r>
        <w:rPr>
          <w:sz w:val="24"/>
          <w:szCs w:val="24"/>
        </w:rPr>
        <w:t>Mr</w:t>
      </w:r>
      <w:proofErr w:type="spellEnd"/>
      <w:r>
        <w:rPr>
          <w:sz w:val="24"/>
          <w:szCs w:val="24"/>
        </w:rPr>
        <w:t xml:space="preserve"> Ahmed, communication should be accommodated according to his linguistic and cognitive requirements. As it is his native tongue, the care providers should take into account the </w:t>
      </w:r>
      <w:proofErr w:type="spellStart"/>
      <w:r>
        <w:rPr>
          <w:sz w:val="24"/>
          <w:szCs w:val="24"/>
        </w:rPr>
        <w:t>utilisation</w:t>
      </w:r>
      <w:proofErr w:type="spellEnd"/>
      <w:r>
        <w:rPr>
          <w:sz w:val="24"/>
          <w:szCs w:val="24"/>
        </w:rPr>
        <w:t xml:space="preserve"> of the interpreter, the translated resources, or the graphical goodies to aid comprehension (Snow et al., 2025). Although his wife agrees with communication, the family members alone may destroy accuracy and confidentiality. Thus, the key to decision-making should also be to make sure that </w:t>
      </w:r>
      <w:proofErr w:type="spellStart"/>
      <w:r>
        <w:rPr>
          <w:sz w:val="24"/>
          <w:szCs w:val="24"/>
        </w:rPr>
        <w:t>Mr</w:t>
      </w:r>
      <w:proofErr w:type="spellEnd"/>
      <w:r>
        <w:rPr>
          <w:sz w:val="24"/>
          <w:szCs w:val="24"/>
        </w:rPr>
        <w:t xml:space="preserve"> Ahmed takes a central place in decision-making. The guidelines of the Equality Act 2010 are very pertinent (Verdin, 2024). The Act encourages equality, diversity and inclusion, and necessitates healthcare providers to make reasonable adjustments to support the patients who have difficulty communicating or who speak different languages. In this context, providing language support and adapting </w:t>
      </w:r>
      <w:r>
        <w:rPr>
          <w:sz w:val="24"/>
          <w:szCs w:val="24"/>
        </w:rPr>
        <w:lastRenderedPageBreak/>
        <w:t xml:space="preserve">communication methods ensures </w:t>
      </w:r>
      <w:proofErr w:type="spellStart"/>
      <w:r>
        <w:rPr>
          <w:sz w:val="24"/>
          <w:szCs w:val="24"/>
        </w:rPr>
        <w:t>Mr</w:t>
      </w:r>
      <w:proofErr w:type="spellEnd"/>
      <w:r>
        <w:rPr>
          <w:sz w:val="24"/>
          <w:szCs w:val="24"/>
        </w:rPr>
        <w:t xml:space="preserve"> Ahmed is not disadvantaged due to his ethnicity or disability. The Shannon-Weaver Communication Model is one of these useful models, as it notes the stages of message transmission, receipt, and decoding and identifies the possible noise that can disrupt the communication (Weaver, 1963; Afolayan and </w:t>
      </w:r>
      <w:proofErr w:type="spellStart"/>
      <w:r>
        <w:rPr>
          <w:sz w:val="24"/>
          <w:szCs w:val="24"/>
        </w:rPr>
        <w:t>Olowolaju</w:t>
      </w:r>
      <w:proofErr w:type="spellEnd"/>
      <w:r>
        <w:rPr>
          <w:sz w:val="24"/>
          <w:szCs w:val="24"/>
        </w:rPr>
        <w:t xml:space="preserve">, 2024). Amongst the factors that could be defined as noise in the case of </w:t>
      </w:r>
      <w:proofErr w:type="spellStart"/>
      <w:r>
        <w:rPr>
          <w:sz w:val="24"/>
          <w:szCs w:val="24"/>
        </w:rPr>
        <w:t>Mr</w:t>
      </w:r>
      <w:proofErr w:type="spellEnd"/>
      <w:r>
        <w:rPr>
          <w:sz w:val="24"/>
          <w:szCs w:val="24"/>
        </w:rPr>
        <w:t xml:space="preserve"> Ahmed, there are language differences, the cognitive impairment of stroke, and emotional stress. The healthcare provider should reduce such barriers through the use of simple and straightforward language, confirmation of understanding, and soliciting a response (Beesley, Harlow and Watts, 2023). Also, non-verbal communication is important. Eye contact, gestures, and watching the body language of </w:t>
      </w:r>
      <w:proofErr w:type="spellStart"/>
      <w:r>
        <w:rPr>
          <w:sz w:val="24"/>
          <w:szCs w:val="24"/>
        </w:rPr>
        <w:t>Mr</w:t>
      </w:r>
      <w:proofErr w:type="spellEnd"/>
      <w:r>
        <w:rPr>
          <w:sz w:val="24"/>
          <w:szCs w:val="24"/>
        </w:rPr>
        <w:t xml:space="preserve"> Ahmed may aid the professionals to determine the understanding and comfort. As well as active listening is important, and </w:t>
      </w:r>
      <w:proofErr w:type="spellStart"/>
      <w:r>
        <w:rPr>
          <w:sz w:val="24"/>
          <w:szCs w:val="24"/>
        </w:rPr>
        <w:t>Mr</w:t>
      </w:r>
      <w:proofErr w:type="spellEnd"/>
      <w:r>
        <w:rPr>
          <w:sz w:val="24"/>
          <w:szCs w:val="24"/>
        </w:rPr>
        <w:t xml:space="preserve"> Ahmed feels respected and included in his care. Efficient communication is also limited to interactions with the family. The wife is a kind of informal carer and advocate of </w:t>
      </w:r>
      <w:proofErr w:type="spellStart"/>
      <w:r>
        <w:rPr>
          <w:sz w:val="24"/>
          <w:szCs w:val="24"/>
        </w:rPr>
        <w:t>Mr</w:t>
      </w:r>
      <w:proofErr w:type="spellEnd"/>
      <w:r>
        <w:rPr>
          <w:sz w:val="24"/>
          <w:szCs w:val="24"/>
        </w:rPr>
        <w:t xml:space="preserve"> Ahmed, and thus professionals should have professional interactions with her with consideration of patient confidentiality and consent (</w:t>
      </w:r>
      <w:proofErr w:type="spellStart"/>
      <w:r>
        <w:rPr>
          <w:sz w:val="24"/>
          <w:szCs w:val="24"/>
        </w:rPr>
        <w:t>Alzu'Bi</w:t>
      </w:r>
      <w:proofErr w:type="spellEnd"/>
      <w:r>
        <w:rPr>
          <w:sz w:val="24"/>
          <w:szCs w:val="24"/>
        </w:rPr>
        <w:t xml:space="preserve"> et al., 2024). Openness in communication with the family will promote trust and continuity of care. Finally, communication can promote the outcomes in health, reduce risks, and promote dignity and respect. In the case of </w:t>
      </w:r>
      <w:proofErr w:type="spellStart"/>
      <w:r>
        <w:rPr>
          <w:sz w:val="24"/>
          <w:szCs w:val="24"/>
        </w:rPr>
        <w:t>Mr</w:t>
      </w:r>
      <w:proofErr w:type="spellEnd"/>
      <w:r>
        <w:rPr>
          <w:sz w:val="24"/>
          <w:szCs w:val="24"/>
        </w:rPr>
        <w:t xml:space="preserve"> Ahmed, it plays the vital role in matters relating to medication safety, knowledge about the therapy courses, and preserving his independence as independently as possible (</w:t>
      </w:r>
      <w:proofErr w:type="spellStart"/>
      <w:r>
        <w:rPr>
          <w:sz w:val="24"/>
          <w:szCs w:val="24"/>
        </w:rPr>
        <w:t>Hardianti</w:t>
      </w:r>
      <w:proofErr w:type="spellEnd"/>
      <w:r>
        <w:rPr>
          <w:sz w:val="24"/>
          <w:szCs w:val="24"/>
        </w:rPr>
        <w:t xml:space="preserve">, </w:t>
      </w:r>
      <w:proofErr w:type="spellStart"/>
      <w:r>
        <w:rPr>
          <w:sz w:val="24"/>
          <w:szCs w:val="24"/>
        </w:rPr>
        <w:t>Handayani</w:t>
      </w:r>
      <w:proofErr w:type="spellEnd"/>
      <w:r>
        <w:rPr>
          <w:sz w:val="24"/>
          <w:szCs w:val="24"/>
        </w:rPr>
        <w:t xml:space="preserve"> and Wibowo, 2024).</w:t>
      </w:r>
    </w:p>
    <w:p w14:paraId="00000024" w14:textId="77777777" w:rsidR="00A36E4A" w:rsidRDefault="00000000">
      <w:pPr>
        <w:pStyle w:val="Heading1"/>
        <w:spacing w:line="360" w:lineRule="auto"/>
        <w:rPr>
          <w:rFonts w:ascii="Arial" w:eastAsia="Arial" w:hAnsi="Arial" w:cs="Arial"/>
        </w:rPr>
      </w:pPr>
      <w:bookmarkStart w:id="2" w:name="_n8crlnqjs3d6" w:colFirst="0" w:colLast="0"/>
      <w:bookmarkEnd w:id="2"/>
      <w:r>
        <w:rPr>
          <w:rFonts w:ascii="Arial" w:eastAsia="Arial" w:hAnsi="Arial" w:cs="Arial"/>
        </w:rPr>
        <w:t>Importance of Administrative Skills and Record Keeping</w:t>
      </w:r>
    </w:p>
    <w:p w14:paraId="00000025" w14:textId="77777777" w:rsidR="00A36E4A" w:rsidRDefault="00000000">
      <w:pPr>
        <w:spacing w:line="360" w:lineRule="auto"/>
        <w:jc w:val="both"/>
        <w:rPr>
          <w:sz w:val="24"/>
          <w:szCs w:val="24"/>
        </w:rPr>
      </w:pPr>
      <w:r>
        <w:rPr>
          <w:sz w:val="24"/>
          <w:szCs w:val="24"/>
        </w:rPr>
        <w:t xml:space="preserve">The quality of professional practice in health and social care includes administrative skills. Effective, safe, and accountable care delivery is achieved by proper record keeping, </w:t>
      </w:r>
      <w:proofErr w:type="spellStart"/>
      <w:r>
        <w:rPr>
          <w:sz w:val="24"/>
          <w:szCs w:val="24"/>
        </w:rPr>
        <w:t>organisation</w:t>
      </w:r>
      <w:proofErr w:type="spellEnd"/>
      <w:r>
        <w:rPr>
          <w:sz w:val="24"/>
          <w:szCs w:val="24"/>
        </w:rPr>
        <w:t xml:space="preserve"> and legal compliance. In the case of </w:t>
      </w:r>
      <w:proofErr w:type="spellStart"/>
      <w:r>
        <w:rPr>
          <w:sz w:val="24"/>
          <w:szCs w:val="24"/>
        </w:rPr>
        <w:t>Mr</w:t>
      </w:r>
      <w:proofErr w:type="spellEnd"/>
      <w:r>
        <w:rPr>
          <w:sz w:val="24"/>
          <w:szCs w:val="24"/>
        </w:rPr>
        <w:t xml:space="preserve"> Ahmed, the lack of his domiciliary care visit indicates how bad the administration processes can be (Adeniyi et al., 2024). Record keeping refers to the process of recording all elements of care, such as medication administration, visits to care, health observations and interprofessional communication. The documentation offers a clear history of care, facilitating continuity and making reasonable decisions (Adam et al., 2024). In the case of </w:t>
      </w:r>
      <w:proofErr w:type="spellStart"/>
      <w:r>
        <w:rPr>
          <w:sz w:val="24"/>
          <w:szCs w:val="24"/>
        </w:rPr>
        <w:t>Mr</w:t>
      </w:r>
      <w:proofErr w:type="spellEnd"/>
      <w:r>
        <w:rPr>
          <w:sz w:val="24"/>
          <w:szCs w:val="24"/>
        </w:rPr>
        <w:t xml:space="preserve"> Ahmed, correct documentation would need to be in place to ensure that he is safe after the stroke, blood pressure levels are monitored, and that he adheres to the medication given to him. The </w:t>
      </w:r>
      <w:r>
        <w:rPr>
          <w:sz w:val="24"/>
          <w:szCs w:val="24"/>
        </w:rPr>
        <w:lastRenderedPageBreak/>
        <w:t xml:space="preserve">Data Protection Act 2018 regulates the use of personal data in the collection, storage, and sharing (Verdin, 2024). The healthcare personnel should see to it that the information of </w:t>
      </w:r>
      <w:proofErr w:type="spellStart"/>
      <w:r>
        <w:rPr>
          <w:sz w:val="24"/>
          <w:szCs w:val="24"/>
        </w:rPr>
        <w:t>Mr</w:t>
      </w:r>
      <w:proofErr w:type="spellEnd"/>
      <w:r>
        <w:rPr>
          <w:sz w:val="24"/>
          <w:szCs w:val="24"/>
        </w:rPr>
        <w:t xml:space="preserve"> Ahmed is handled within the law, stored securely, and any disclosure to other relevant parties that are involved in the handling of </w:t>
      </w:r>
      <w:proofErr w:type="spellStart"/>
      <w:r>
        <w:rPr>
          <w:sz w:val="24"/>
          <w:szCs w:val="24"/>
        </w:rPr>
        <w:t>Mr</w:t>
      </w:r>
      <w:proofErr w:type="spellEnd"/>
      <w:r>
        <w:rPr>
          <w:sz w:val="24"/>
          <w:szCs w:val="24"/>
        </w:rPr>
        <w:t xml:space="preserve"> Ahmed. This is especially critical since there are several professionals involved, such as the GP, district nurse, and speech therapist. Confidentiality, accuracy and accountability are some of the essential data security principles. Records made by professionals should be factual and should be updated (Smallwood, 2019). Poorly documented or missing information may have severe repercussions, including medication errors or improper choice of care decisions. Moreover, other policies like the Caldicott Principles underline the significance of confidentiality of patient information as well as the sharing of information that is relevant to care (Folkman, Tveit and Sverdrup, 2019). In the case of </w:t>
      </w:r>
      <w:proofErr w:type="spellStart"/>
      <w:r>
        <w:rPr>
          <w:sz w:val="24"/>
          <w:szCs w:val="24"/>
        </w:rPr>
        <w:t>Mr</w:t>
      </w:r>
      <w:proofErr w:type="spellEnd"/>
      <w:r>
        <w:rPr>
          <w:sz w:val="24"/>
          <w:szCs w:val="24"/>
        </w:rPr>
        <w:t xml:space="preserve"> Ahmed, the multidisciplinary team should share different information, but only on a need-to-know basis, in order to communicate across different disciplines to coordinate care. Audit trails and incident reporting systems are also important, as evidenced by the missed care visit incident. Similar to this, proper documentation enables </w:t>
      </w:r>
      <w:proofErr w:type="spellStart"/>
      <w:r>
        <w:rPr>
          <w:sz w:val="24"/>
          <w:szCs w:val="24"/>
        </w:rPr>
        <w:t>organisations</w:t>
      </w:r>
      <w:proofErr w:type="spellEnd"/>
      <w:r>
        <w:rPr>
          <w:sz w:val="24"/>
          <w:szCs w:val="24"/>
        </w:rPr>
        <w:t xml:space="preserve"> to probe into errors, determine the root causes, and ensure that some improvements are made so that they are not repeated (Smallwood, 2019). This promotes a spirit of responsibility and lifelong learning. Time management and scheduling are also part of administrative skills. In order to make sure that care visits are well planned and monitored to eliminate gaps in care. Electronic records (digital) can improve cross-team accuracy and communication. Altogether, effective administration practices secure patient safety and protect legal compliance and facilitate service provision (Afolayan and </w:t>
      </w:r>
      <w:proofErr w:type="spellStart"/>
      <w:r>
        <w:rPr>
          <w:sz w:val="24"/>
          <w:szCs w:val="24"/>
        </w:rPr>
        <w:t>Olowolaju</w:t>
      </w:r>
      <w:proofErr w:type="spellEnd"/>
      <w:r>
        <w:rPr>
          <w:sz w:val="24"/>
          <w:szCs w:val="24"/>
        </w:rPr>
        <w:t xml:space="preserve">, 2024). In the situation of </w:t>
      </w:r>
      <w:proofErr w:type="spellStart"/>
      <w:r>
        <w:rPr>
          <w:sz w:val="24"/>
          <w:szCs w:val="24"/>
        </w:rPr>
        <w:t>Mr</w:t>
      </w:r>
      <w:proofErr w:type="spellEnd"/>
      <w:r>
        <w:rPr>
          <w:sz w:val="24"/>
          <w:szCs w:val="24"/>
        </w:rPr>
        <w:t xml:space="preserve"> Ahmed, good record keeping and following data protection laws are essential to the establishment and management of trust and high-quality care, responsibility and lifelong learning. Time management and scheduling are also part of administrative skills. In order to make sure that care visits are well planned and monitored to eliminate gaps in care. Electronic records (digital) can improve cross-team accuracy and communication (Beesley, Harlow and Watts, 2023). Altogether, effective administration practices secure patient safety and protect legal compliance and facilitate service provision. In the situation of </w:t>
      </w:r>
      <w:proofErr w:type="spellStart"/>
      <w:r>
        <w:rPr>
          <w:sz w:val="24"/>
          <w:szCs w:val="24"/>
        </w:rPr>
        <w:t>Mr</w:t>
      </w:r>
      <w:proofErr w:type="spellEnd"/>
      <w:r>
        <w:rPr>
          <w:sz w:val="24"/>
          <w:szCs w:val="24"/>
        </w:rPr>
        <w:t xml:space="preserve"> Ahmed, good record keeping and following data </w:t>
      </w:r>
      <w:r>
        <w:rPr>
          <w:sz w:val="24"/>
          <w:szCs w:val="24"/>
        </w:rPr>
        <w:lastRenderedPageBreak/>
        <w:t>protection laws are essential to the establishment and management of trust and high-quality care.</w:t>
      </w:r>
    </w:p>
    <w:p w14:paraId="00000026" w14:textId="77777777" w:rsidR="00A36E4A" w:rsidRDefault="00000000">
      <w:pPr>
        <w:pStyle w:val="Heading1"/>
        <w:spacing w:line="360" w:lineRule="auto"/>
        <w:rPr>
          <w:rFonts w:ascii="Arial" w:eastAsia="Arial" w:hAnsi="Arial" w:cs="Arial"/>
        </w:rPr>
      </w:pPr>
      <w:bookmarkStart w:id="3" w:name="_cf497x3d73kq" w:colFirst="0" w:colLast="0"/>
      <w:bookmarkEnd w:id="3"/>
      <w:r>
        <w:rPr>
          <w:rFonts w:ascii="Arial" w:eastAsia="Arial" w:hAnsi="Arial" w:cs="Arial"/>
        </w:rPr>
        <w:t xml:space="preserve">Importance of Collaborative Working </w:t>
      </w:r>
    </w:p>
    <w:p w14:paraId="00000027" w14:textId="77777777" w:rsidR="00A36E4A" w:rsidRDefault="00000000">
      <w:pPr>
        <w:spacing w:line="360" w:lineRule="auto"/>
        <w:jc w:val="both"/>
        <w:rPr>
          <w:sz w:val="24"/>
          <w:szCs w:val="24"/>
        </w:rPr>
      </w:pPr>
      <w:r>
        <w:rPr>
          <w:sz w:val="24"/>
          <w:szCs w:val="24"/>
        </w:rPr>
        <w:t xml:space="preserve">The health care and social care work involves collaborative work, especially dealing with those with complex needs, as in the case of </w:t>
      </w:r>
      <w:proofErr w:type="spellStart"/>
      <w:r>
        <w:rPr>
          <w:sz w:val="24"/>
          <w:szCs w:val="24"/>
        </w:rPr>
        <w:t>Mr</w:t>
      </w:r>
      <w:proofErr w:type="spellEnd"/>
      <w:r>
        <w:rPr>
          <w:sz w:val="24"/>
          <w:szCs w:val="24"/>
        </w:rPr>
        <w:t xml:space="preserve"> Ahmed. His management includes several professionals, such as a doctor (GP), a district nurse, domiciliary care workers, and a speech and language therapist (Nursing and Midwifery Council, 2018). Close coordination of care leads to holistic care that is coordinated and integrative of all aspects of his health and well-being. Among the strategies that can be effective in building collaboration, effective communication between professionals should be mentioned (Health and Care Professions Council, 2012). Frequent meetings, spatial care plans and good </w:t>
      </w:r>
      <w:proofErr w:type="spellStart"/>
      <w:r>
        <w:rPr>
          <w:sz w:val="24"/>
          <w:szCs w:val="24"/>
        </w:rPr>
        <w:t>utilisation</w:t>
      </w:r>
      <w:proofErr w:type="spellEnd"/>
      <w:r>
        <w:rPr>
          <w:sz w:val="24"/>
          <w:szCs w:val="24"/>
        </w:rPr>
        <w:t xml:space="preserve"> of digital documentation ensure the entire team is updated on the situation of </w:t>
      </w:r>
      <w:proofErr w:type="spellStart"/>
      <w:r>
        <w:rPr>
          <w:sz w:val="24"/>
          <w:szCs w:val="24"/>
        </w:rPr>
        <w:t>Mr</w:t>
      </w:r>
      <w:proofErr w:type="spellEnd"/>
      <w:r>
        <w:rPr>
          <w:sz w:val="24"/>
          <w:szCs w:val="24"/>
        </w:rPr>
        <w:t xml:space="preserve"> Ahmed and his progress. This will </w:t>
      </w:r>
      <w:proofErr w:type="spellStart"/>
      <w:r>
        <w:rPr>
          <w:sz w:val="24"/>
          <w:szCs w:val="24"/>
        </w:rPr>
        <w:t>minimise</w:t>
      </w:r>
      <w:proofErr w:type="spellEnd"/>
      <w:r>
        <w:rPr>
          <w:sz w:val="24"/>
          <w:szCs w:val="24"/>
        </w:rPr>
        <w:t xml:space="preserve"> work duplication and errors (Tuckman, 2001). The other significant strategy is role clarity. Every professional should be aware of his/her roles to prevent confusion and care. The district nurse, domiciliary carers- as an example, checks on the medical conditions, and the domiciliary carers assist in the daily activities. Having clear boundaries enhances effectiveness and responsibility. Collaborative working revolves around person-</w:t>
      </w:r>
      <w:proofErr w:type="spellStart"/>
      <w:r>
        <w:rPr>
          <w:sz w:val="24"/>
          <w:szCs w:val="24"/>
        </w:rPr>
        <w:t>centred</w:t>
      </w:r>
      <w:proofErr w:type="spellEnd"/>
      <w:r>
        <w:rPr>
          <w:sz w:val="24"/>
          <w:szCs w:val="24"/>
        </w:rPr>
        <w:t xml:space="preserve"> care, as well. All the professionals ought to engage </w:t>
      </w:r>
      <w:proofErr w:type="spellStart"/>
      <w:r>
        <w:rPr>
          <w:sz w:val="24"/>
          <w:szCs w:val="24"/>
        </w:rPr>
        <w:t>Mr</w:t>
      </w:r>
      <w:proofErr w:type="spellEnd"/>
      <w:r>
        <w:rPr>
          <w:sz w:val="24"/>
          <w:szCs w:val="24"/>
        </w:rPr>
        <w:t xml:space="preserve"> Ahmed and his wife in the decision-making process and make sure that the care plans are made as per his preferences, cultures, and requirements (Verdin, 2024). Nonetheless, the working of multi-agencies can be challenging, including the breakdown of communication, such as professional priorities, and </w:t>
      </w:r>
      <w:proofErr w:type="spellStart"/>
      <w:r>
        <w:rPr>
          <w:sz w:val="24"/>
          <w:szCs w:val="24"/>
        </w:rPr>
        <w:t>organisational</w:t>
      </w:r>
      <w:proofErr w:type="spellEnd"/>
      <w:r>
        <w:rPr>
          <w:sz w:val="24"/>
          <w:szCs w:val="24"/>
        </w:rPr>
        <w:t xml:space="preserve"> obstacles (Beesley, Harlow and Watts, 2023). The missed care visit exemplifies how a lack of coordination can have adverse effects on patient outcomes. Regular interdisciplinary meetings, use of common documentation systems and conflict-solving mechanisms are some of the key strategies that can help to overcome these challenges (Smallwood, 2019). Collaboration can also be achieved by training on teamwork and communication skills. Finally, proper collaboration will lead to patient safety, higher quality of service, and ensure people such as </w:t>
      </w:r>
      <w:proofErr w:type="spellStart"/>
      <w:r>
        <w:rPr>
          <w:sz w:val="24"/>
          <w:szCs w:val="24"/>
        </w:rPr>
        <w:t>Mr</w:t>
      </w:r>
      <w:proofErr w:type="spellEnd"/>
      <w:r>
        <w:rPr>
          <w:sz w:val="24"/>
          <w:szCs w:val="24"/>
        </w:rPr>
        <w:t xml:space="preserve"> Ahmed will have full and regular service (Folkman, Tveit and Sverdrup, 2019).</w:t>
      </w:r>
    </w:p>
    <w:p w14:paraId="00000028" w14:textId="77777777" w:rsidR="00A36E4A" w:rsidRDefault="00000000">
      <w:pPr>
        <w:spacing w:line="360" w:lineRule="auto"/>
        <w:jc w:val="both"/>
        <w:rPr>
          <w:b/>
          <w:bCs/>
          <w:sz w:val="24"/>
          <w:szCs w:val="24"/>
        </w:rPr>
      </w:pPr>
      <w:r>
        <w:rPr>
          <w:b/>
          <w:bCs/>
          <w:sz w:val="24"/>
          <w:szCs w:val="24"/>
        </w:rPr>
        <w:t xml:space="preserve">Conclusion </w:t>
      </w:r>
    </w:p>
    <w:p w14:paraId="00000029" w14:textId="77777777" w:rsidR="00A36E4A" w:rsidRDefault="00000000">
      <w:pPr>
        <w:spacing w:line="360" w:lineRule="auto"/>
        <w:jc w:val="both"/>
        <w:rPr>
          <w:sz w:val="24"/>
          <w:szCs w:val="24"/>
        </w:rPr>
      </w:pPr>
      <w:r>
        <w:rPr>
          <w:sz w:val="24"/>
          <w:szCs w:val="24"/>
        </w:rPr>
        <w:lastRenderedPageBreak/>
        <w:t>To sum up, safe and person-</w:t>
      </w:r>
      <w:proofErr w:type="spellStart"/>
      <w:r>
        <w:rPr>
          <w:sz w:val="24"/>
          <w:szCs w:val="24"/>
        </w:rPr>
        <w:t>centred</w:t>
      </w:r>
      <w:proofErr w:type="spellEnd"/>
      <w:r>
        <w:rPr>
          <w:sz w:val="24"/>
          <w:szCs w:val="24"/>
        </w:rPr>
        <w:t xml:space="preserve"> care delivery are built and supported by effective communication, administrative competence, and collaboration in a health and social care environment. The case of </w:t>
      </w:r>
      <w:proofErr w:type="spellStart"/>
      <w:r>
        <w:rPr>
          <w:sz w:val="24"/>
          <w:szCs w:val="24"/>
        </w:rPr>
        <w:t>Mr</w:t>
      </w:r>
      <w:proofErr w:type="spellEnd"/>
      <w:r>
        <w:rPr>
          <w:sz w:val="24"/>
          <w:szCs w:val="24"/>
        </w:rPr>
        <w:t xml:space="preserve"> Ahmed shows the importance of communication barriers when not handled, which can affect the development of the understanding and outcomes of care. The application of the laws, such as the Equality Act 2010, will provide an inclusive and fair communication practice. Likewise, strong administrative practices, such as proper record management and adherence to the Data Protection Act 2018, are critical towards patient safety and responsibilities. The missed care visit portrays the dangers of having inefficient administrative systems. Lastly, the multidisciplinary team-based working among different professionals is a guarantee of coordinated and holistic care. Problems in multi-agency working can be resolved by following effective communication strategies, clear role definitions as well as planning the common care. A combination of these factors leads to better outcomes, safety and quality of life among people such as </w:t>
      </w:r>
      <w:proofErr w:type="spellStart"/>
      <w:r>
        <w:rPr>
          <w:sz w:val="24"/>
          <w:szCs w:val="24"/>
        </w:rPr>
        <w:t>Mr</w:t>
      </w:r>
      <w:proofErr w:type="spellEnd"/>
      <w:r>
        <w:rPr>
          <w:sz w:val="24"/>
          <w:szCs w:val="24"/>
        </w:rPr>
        <w:t xml:space="preserve"> Ahmed.</w:t>
      </w:r>
    </w:p>
    <w:p w14:paraId="0000002A" w14:textId="77777777" w:rsidR="00A36E4A" w:rsidRDefault="00A36E4A">
      <w:pPr>
        <w:spacing w:line="360" w:lineRule="auto"/>
        <w:jc w:val="both"/>
        <w:rPr>
          <w:sz w:val="24"/>
          <w:szCs w:val="24"/>
        </w:rPr>
      </w:pPr>
    </w:p>
    <w:p w14:paraId="0000002B" w14:textId="77777777" w:rsidR="00A36E4A" w:rsidRDefault="00000000">
      <w:pPr>
        <w:spacing w:line="360" w:lineRule="auto"/>
        <w:jc w:val="both"/>
        <w:rPr>
          <w:sz w:val="24"/>
          <w:szCs w:val="24"/>
        </w:rPr>
      </w:pPr>
      <w:r>
        <w:br w:type="page"/>
      </w:r>
    </w:p>
    <w:p w14:paraId="0000002C" w14:textId="77777777" w:rsidR="00A36E4A" w:rsidRDefault="00A36E4A">
      <w:pPr>
        <w:spacing w:line="360" w:lineRule="auto"/>
        <w:jc w:val="both"/>
        <w:rPr>
          <w:sz w:val="24"/>
          <w:szCs w:val="24"/>
        </w:rPr>
      </w:pPr>
    </w:p>
    <w:p w14:paraId="0000002D" w14:textId="77777777" w:rsidR="00A36E4A" w:rsidRDefault="00000000">
      <w:pPr>
        <w:pStyle w:val="Heading1"/>
        <w:spacing w:line="360" w:lineRule="auto"/>
        <w:rPr>
          <w:rFonts w:ascii="Arial" w:eastAsia="Arial" w:hAnsi="Arial" w:cs="Arial"/>
        </w:rPr>
      </w:pPr>
      <w:bookmarkStart w:id="4" w:name="_wbewxpwbwjpu" w:colFirst="0" w:colLast="0"/>
      <w:bookmarkEnd w:id="4"/>
      <w:r>
        <w:rPr>
          <w:rFonts w:ascii="Arial" w:eastAsia="Arial" w:hAnsi="Arial" w:cs="Arial"/>
        </w:rPr>
        <w:t>Reference List</w:t>
      </w:r>
    </w:p>
    <w:p w14:paraId="0000002E" w14:textId="77777777" w:rsidR="00A36E4A" w:rsidRDefault="00000000">
      <w:pPr>
        <w:spacing w:line="360" w:lineRule="auto"/>
        <w:jc w:val="both"/>
        <w:rPr>
          <w:sz w:val="24"/>
          <w:szCs w:val="24"/>
        </w:rPr>
      </w:pPr>
      <w:proofErr w:type="spellStart"/>
      <w:r>
        <w:rPr>
          <w:sz w:val="24"/>
          <w:szCs w:val="24"/>
        </w:rPr>
        <w:t>Sharkiya</w:t>
      </w:r>
      <w:proofErr w:type="spellEnd"/>
      <w:r>
        <w:rPr>
          <w:sz w:val="24"/>
          <w:szCs w:val="24"/>
        </w:rPr>
        <w:t>, S.H., 2023. Quality communication can improve patient-</w:t>
      </w:r>
      <w:proofErr w:type="spellStart"/>
      <w:r>
        <w:rPr>
          <w:sz w:val="24"/>
          <w:szCs w:val="24"/>
        </w:rPr>
        <w:t>centred</w:t>
      </w:r>
      <w:proofErr w:type="spellEnd"/>
      <w:r>
        <w:rPr>
          <w:sz w:val="24"/>
          <w:szCs w:val="24"/>
        </w:rPr>
        <w:t xml:space="preserve"> health outcomes among older patients: a rapid review. BMC health services research, 23(1), p.886.</w:t>
      </w:r>
    </w:p>
    <w:p w14:paraId="0000002F" w14:textId="77777777" w:rsidR="00A36E4A" w:rsidRDefault="00000000">
      <w:pPr>
        <w:spacing w:line="360" w:lineRule="auto"/>
        <w:jc w:val="both"/>
        <w:rPr>
          <w:sz w:val="24"/>
          <w:szCs w:val="24"/>
        </w:rPr>
      </w:pPr>
      <w:r>
        <w:rPr>
          <w:sz w:val="24"/>
          <w:szCs w:val="24"/>
        </w:rPr>
        <w:t xml:space="preserve">Snow, M., Silva-Ribeiro, W., Baginsky, M., Di Giorgio, S., Farrelly, N., Larkins, C., Poole, K., </w:t>
      </w:r>
      <w:proofErr w:type="spellStart"/>
      <w:r>
        <w:rPr>
          <w:sz w:val="24"/>
          <w:szCs w:val="24"/>
        </w:rPr>
        <w:t>Steils</w:t>
      </w:r>
      <w:proofErr w:type="spellEnd"/>
      <w:r>
        <w:rPr>
          <w:sz w:val="24"/>
          <w:szCs w:val="24"/>
        </w:rPr>
        <w:t>, N., Westwood, J. and Malley, J., 2025. Best practices for implementing electronic care records in adult social care: rapid scoping review. JMIR aging, 8, p.e60107.</w:t>
      </w:r>
    </w:p>
    <w:p w14:paraId="00000030" w14:textId="77777777" w:rsidR="00A36E4A" w:rsidRDefault="00000000">
      <w:pPr>
        <w:spacing w:line="360" w:lineRule="auto"/>
        <w:jc w:val="both"/>
        <w:rPr>
          <w:sz w:val="24"/>
          <w:szCs w:val="24"/>
        </w:rPr>
      </w:pPr>
      <w:r>
        <w:rPr>
          <w:sz w:val="24"/>
          <w:szCs w:val="24"/>
        </w:rPr>
        <w:t xml:space="preserve">Adeniyi, A.O., </w:t>
      </w:r>
      <w:proofErr w:type="spellStart"/>
      <w:r>
        <w:rPr>
          <w:sz w:val="24"/>
          <w:szCs w:val="24"/>
        </w:rPr>
        <w:t>Arowoogun</w:t>
      </w:r>
      <w:proofErr w:type="spellEnd"/>
      <w:r>
        <w:rPr>
          <w:sz w:val="24"/>
          <w:szCs w:val="24"/>
        </w:rPr>
        <w:t xml:space="preserve">, J.O., Chidi, R., Okolo, C.A. and </w:t>
      </w:r>
      <w:proofErr w:type="spellStart"/>
      <w:r>
        <w:rPr>
          <w:sz w:val="24"/>
          <w:szCs w:val="24"/>
        </w:rPr>
        <w:t>Babawarun</w:t>
      </w:r>
      <w:proofErr w:type="spellEnd"/>
      <w:r>
        <w:rPr>
          <w:sz w:val="24"/>
          <w:szCs w:val="24"/>
        </w:rPr>
        <w:t>, O., 2024. The impact of electronic health records on patient care and outcomes: A comprehensive review. World Journal of Advanced Research and Reviews, 21(2), pp.1446-1455.</w:t>
      </w:r>
    </w:p>
    <w:p w14:paraId="00000031" w14:textId="77777777" w:rsidR="00A36E4A" w:rsidRPr="00D3470F" w:rsidRDefault="00000000">
      <w:pPr>
        <w:spacing w:line="360" w:lineRule="auto"/>
        <w:jc w:val="both"/>
        <w:rPr>
          <w:sz w:val="24"/>
          <w:szCs w:val="24"/>
          <w:lang w:val="de-DE"/>
        </w:rPr>
      </w:pPr>
      <w:proofErr w:type="spellStart"/>
      <w:r>
        <w:rPr>
          <w:sz w:val="24"/>
          <w:szCs w:val="24"/>
        </w:rPr>
        <w:t>Hardianti</w:t>
      </w:r>
      <w:proofErr w:type="spellEnd"/>
      <w:r>
        <w:rPr>
          <w:sz w:val="24"/>
          <w:szCs w:val="24"/>
        </w:rPr>
        <w:t xml:space="preserve">, F., Handayani, B. and Wibowo, A.A., 2024. Tracking global health communication publication trends. </w:t>
      </w:r>
      <w:r w:rsidRPr="00D3470F">
        <w:rPr>
          <w:sz w:val="24"/>
          <w:szCs w:val="24"/>
          <w:lang w:val="de-DE"/>
        </w:rPr>
        <w:t>Jurnal Studi Komunikasi, 8(2), pp.250-264.</w:t>
      </w:r>
    </w:p>
    <w:p w14:paraId="00000032" w14:textId="77777777" w:rsidR="00A36E4A" w:rsidRDefault="00000000">
      <w:pPr>
        <w:spacing w:line="360" w:lineRule="auto"/>
        <w:jc w:val="both"/>
        <w:rPr>
          <w:sz w:val="24"/>
          <w:szCs w:val="24"/>
        </w:rPr>
      </w:pPr>
      <w:r w:rsidRPr="00D3470F">
        <w:rPr>
          <w:sz w:val="24"/>
          <w:szCs w:val="24"/>
          <w:lang w:val="de-DE"/>
        </w:rPr>
        <w:t xml:space="preserve">Adam, M., Gates, J., Mbewu, N. and Bärnighausen, T., 2024. </w:t>
      </w:r>
      <w:r>
        <w:rPr>
          <w:sz w:val="24"/>
          <w:szCs w:val="24"/>
        </w:rPr>
        <w:t>Foundations and future directions of global health communication. In Transforming Global Health Partnerships: Critical Reflections and Visions of Equity at the Research-Practice Interface (pp. 83-97). Cham: Springer Nature Switzerland.</w:t>
      </w:r>
    </w:p>
    <w:p w14:paraId="00000033" w14:textId="77777777" w:rsidR="00A36E4A" w:rsidRDefault="00000000">
      <w:pPr>
        <w:spacing w:line="360" w:lineRule="auto"/>
        <w:jc w:val="both"/>
        <w:rPr>
          <w:sz w:val="24"/>
          <w:szCs w:val="24"/>
        </w:rPr>
      </w:pPr>
      <w:proofErr w:type="spellStart"/>
      <w:r>
        <w:rPr>
          <w:sz w:val="24"/>
          <w:szCs w:val="24"/>
        </w:rPr>
        <w:t>Alzu'Bi</w:t>
      </w:r>
      <w:proofErr w:type="spellEnd"/>
      <w:r>
        <w:rPr>
          <w:sz w:val="24"/>
          <w:szCs w:val="24"/>
        </w:rPr>
        <w:t xml:space="preserve">, A., Alomar, A.A., </w:t>
      </w:r>
      <w:proofErr w:type="spellStart"/>
      <w:r>
        <w:rPr>
          <w:sz w:val="24"/>
          <w:szCs w:val="24"/>
        </w:rPr>
        <w:t>Alkhaza'Leh</w:t>
      </w:r>
      <w:proofErr w:type="spellEnd"/>
      <w:r>
        <w:rPr>
          <w:sz w:val="24"/>
          <w:szCs w:val="24"/>
        </w:rPr>
        <w:t>, S., Abuarqoub, A. and Hammoudeh, M., 2024. A review of privacy and security of edge computing in smart healthcare systems: issues, challenges, and research directions. Tsinghua Science and Technology, 29(4), pp.1152-1180.</w:t>
      </w:r>
    </w:p>
    <w:p w14:paraId="00000034" w14:textId="77777777" w:rsidR="00A36E4A" w:rsidRDefault="00000000">
      <w:pPr>
        <w:spacing w:line="360" w:lineRule="auto"/>
        <w:jc w:val="both"/>
        <w:rPr>
          <w:sz w:val="24"/>
          <w:szCs w:val="24"/>
        </w:rPr>
      </w:pPr>
      <w:r>
        <w:rPr>
          <w:sz w:val="24"/>
          <w:szCs w:val="24"/>
        </w:rPr>
        <w:t>Folkman, A.K., Tveit, B. and Sverdrup, S., 2019. Leadership in interprofessional collaboration in health care. Journal of Multidisciplinary Healthcare, pp.97-107.</w:t>
      </w:r>
    </w:p>
    <w:p w14:paraId="00000035" w14:textId="77777777" w:rsidR="00A36E4A" w:rsidRDefault="00000000">
      <w:pPr>
        <w:spacing w:line="360" w:lineRule="auto"/>
        <w:jc w:val="both"/>
        <w:rPr>
          <w:sz w:val="24"/>
          <w:szCs w:val="24"/>
        </w:rPr>
      </w:pPr>
      <w:r>
        <w:rPr>
          <w:sz w:val="24"/>
          <w:szCs w:val="24"/>
        </w:rPr>
        <w:t>Smallwood, R.F., 2019. Information governance: Concepts, strategies and best practices. John Wiley &amp; Sons.</w:t>
      </w:r>
    </w:p>
    <w:p w14:paraId="00000036" w14:textId="77777777" w:rsidR="00A36E4A" w:rsidRDefault="00000000">
      <w:pPr>
        <w:spacing w:line="360" w:lineRule="auto"/>
        <w:jc w:val="both"/>
        <w:rPr>
          <w:sz w:val="24"/>
          <w:szCs w:val="24"/>
        </w:rPr>
      </w:pPr>
      <w:r>
        <w:rPr>
          <w:sz w:val="24"/>
          <w:szCs w:val="24"/>
        </w:rPr>
        <w:t>Verdin, R., 2024. Regulating Equal Pay in Britain: The Equality Act 2010 and Beyond. In Architectures of Inequality (pp. 41-62). Bristol University Press.</w:t>
      </w:r>
    </w:p>
    <w:p w14:paraId="00000037" w14:textId="77777777" w:rsidR="00A36E4A" w:rsidRDefault="00000000">
      <w:pPr>
        <w:spacing w:line="360" w:lineRule="auto"/>
        <w:jc w:val="both"/>
        <w:rPr>
          <w:sz w:val="24"/>
          <w:szCs w:val="24"/>
        </w:rPr>
      </w:pPr>
      <w:r>
        <w:rPr>
          <w:sz w:val="24"/>
          <w:szCs w:val="24"/>
        </w:rPr>
        <w:t xml:space="preserve">Afolayan, S.O. and </w:t>
      </w:r>
      <w:proofErr w:type="spellStart"/>
      <w:r>
        <w:rPr>
          <w:sz w:val="24"/>
          <w:szCs w:val="24"/>
        </w:rPr>
        <w:t>Olowolaju</w:t>
      </w:r>
      <w:proofErr w:type="spellEnd"/>
      <w:r>
        <w:rPr>
          <w:sz w:val="24"/>
          <w:szCs w:val="24"/>
        </w:rPr>
        <w:t>, I., 2024. Legal and Societal Perspectives on Record Keeping in the Health Care Sector: A Comparative Appraisal of Nigeria and the United Kingdom. Tanzanian Journal of Multidisciplinary Studies, 1(1).</w:t>
      </w:r>
    </w:p>
    <w:p w14:paraId="00000038" w14:textId="77777777" w:rsidR="00A36E4A" w:rsidRDefault="00000000">
      <w:pPr>
        <w:spacing w:line="360" w:lineRule="auto"/>
        <w:jc w:val="both"/>
        <w:rPr>
          <w:sz w:val="24"/>
          <w:szCs w:val="24"/>
        </w:rPr>
      </w:pPr>
      <w:r>
        <w:rPr>
          <w:sz w:val="24"/>
          <w:szCs w:val="24"/>
        </w:rPr>
        <w:lastRenderedPageBreak/>
        <w:t>Beesley, P., Harlow, S. and Watts, M., 2023. Developing your communication skills in social work.</w:t>
      </w:r>
    </w:p>
    <w:p w14:paraId="00000039" w14:textId="77777777" w:rsidR="00A36E4A" w:rsidRDefault="00000000">
      <w:pPr>
        <w:spacing w:line="360" w:lineRule="auto"/>
        <w:jc w:val="both"/>
        <w:rPr>
          <w:sz w:val="24"/>
          <w:szCs w:val="24"/>
        </w:rPr>
      </w:pPr>
      <w:r>
        <w:rPr>
          <w:sz w:val="24"/>
          <w:szCs w:val="24"/>
        </w:rPr>
        <w:t>Weaver, W., 1963. The mathematical theory of communication. University of Illinois press.</w:t>
      </w:r>
    </w:p>
    <w:p w14:paraId="0000003A" w14:textId="77777777" w:rsidR="00A36E4A" w:rsidRDefault="00000000">
      <w:pPr>
        <w:spacing w:line="360" w:lineRule="auto"/>
        <w:jc w:val="both"/>
        <w:rPr>
          <w:sz w:val="24"/>
          <w:szCs w:val="24"/>
        </w:rPr>
      </w:pPr>
      <w:r>
        <w:rPr>
          <w:sz w:val="24"/>
          <w:szCs w:val="24"/>
        </w:rPr>
        <w:t>Tuckman, B.W., 2001. Developmental sequence in small groups. Group Facilitation, (3), p.66.</w:t>
      </w:r>
    </w:p>
    <w:p w14:paraId="0000003B" w14:textId="77777777" w:rsidR="00A36E4A" w:rsidRDefault="00000000">
      <w:pPr>
        <w:spacing w:line="360" w:lineRule="auto"/>
        <w:jc w:val="both"/>
        <w:rPr>
          <w:sz w:val="24"/>
          <w:szCs w:val="24"/>
        </w:rPr>
      </w:pPr>
      <w:r>
        <w:rPr>
          <w:sz w:val="24"/>
          <w:szCs w:val="24"/>
        </w:rPr>
        <w:t>Health &amp; Care Professions Council, 2012. Standards of conduct, performance and ethics. Health &amp; Care Professions Council.</w:t>
      </w:r>
    </w:p>
    <w:p w14:paraId="0000003C" w14:textId="77777777" w:rsidR="00A36E4A" w:rsidRDefault="00000000">
      <w:pPr>
        <w:spacing w:line="360" w:lineRule="auto"/>
        <w:jc w:val="both"/>
        <w:rPr>
          <w:sz w:val="24"/>
          <w:szCs w:val="24"/>
        </w:rPr>
      </w:pPr>
      <w:r>
        <w:rPr>
          <w:sz w:val="24"/>
          <w:szCs w:val="24"/>
        </w:rPr>
        <w:t xml:space="preserve">Nursing and Midwifery Council (Great Britain), 2018. The code: professional standards of practice and </w:t>
      </w:r>
      <w:proofErr w:type="spellStart"/>
      <w:r>
        <w:rPr>
          <w:sz w:val="24"/>
          <w:szCs w:val="24"/>
        </w:rPr>
        <w:t>behaviour</w:t>
      </w:r>
      <w:proofErr w:type="spellEnd"/>
      <w:r>
        <w:rPr>
          <w:sz w:val="24"/>
          <w:szCs w:val="24"/>
        </w:rPr>
        <w:t xml:space="preserve"> for nurses, midwives and nursing associates. NMC.</w:t>
      </w:r>
    </w:p>
    <w:sectPr w:rsidR="00A36E4A" w:rsidSect="00D3470F">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30669" w14:textId="77777777" w:rsidR="008E045D" w:rsidRDefault="008E045D">
      <w:pPr>
        <w:spacing w:line="240" w:lineRule="auto"/>
      </w:pPr>
      <w:r>
        <w:separator/>
      </w:r>
    </w:p>
  </w:endnote>
  <w:endnote w:type="continuationSeparator" w:id="0">
    <w:p w14:paraId="7BA93B97" w14:textId="77777777" w:rsidR="008E045D" w:rsidRDefault="008E04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90B382E-9D73-4F37-B1A1-8A7D232ED5C4}"/>
    <w:embedBold r:id="rId2" w:fontKey="{68EEF5F9-1A25-42F1-B3DC-0CF7CA3C6561}"/>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1FE6EEF0-649B-40DD-9266-058D7CEBF8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D" w14:textId="57697C63" w:rsidR="00A36E4A" w:rsidRDefault="00000000">
    <w:pPr>
      <w:jc w:val="right"/>
    </w:pPr>
    <w:r>
      <w:t>Page no.</w:t>
    </w:r>
    <w:r>
      <w:fldChar w:fldCharType="begin"/>
    </w:r>
    <w:r>
      <w:instrText>PAGE</w:instrText>
    </w:r>
    <w:r>
      <w:fldChar w:fldCharType="separate"/>
    </w:r>
    <w:r w:rsidR="00D3470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FE24D" w14:textId="77777777" w:rsidR="008E045D" w:rsidRDefault="008E045D">
      <w:pPr>
        <w:spacing w:line="240" w:lineRule="auto"/>
      </w:pPr>
      <w:r>
        <w:separator/>
      </w:r>
    </w:p>
  </w:footnote>
  <w:footnote w:type="continuationSeparator" w:id="0">
    <w:p w14:paraId="1F5A2A01" w14:textId="77777777" w:rsidR="008E045D" w:rsidRDefault="008E045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E4A"/>
    <w:rsid w:val="003002DC"/>
    <w:rsid w:val="008E045D"/>
    <w:rsid w:val="00A36E4A"/>
    <w:rsid w:val="00D347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75971"/>
  <w15:docId w15:val="{F7AE6292-81F1-4484-AA7A-30E0A9897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Calibri" w:eastAsia="Calibri" w:hAnsi="Calibri" w:cs="Calibri"/>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2216</Words>
  <Characters>12635</Characters>
  <Application>Microsoft Office Word</Application>
  <DocSecurity>0</DocSecurity>
  <Lines>105</Lines>
  <Paragraphs>29</Paragraphs>
  <ScaleCrop>false</ScaleCrop>
  <Company/>
  <LinksUpToDate>false</LinksUpToDate>
  <CharactersWithSpaces>14822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2026-04-19T10:45:00Z</dcterms:created>
  <dcterms:modified xsi:type="dcterms:W3CDTF">2026-04-19T10:45:00Z</dcterms:modified>
</cp:coreProperties>
</file>