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08856140"/>
        <w:docPartObj>
          <w:docPartGallery w:val="Table of Contents"/>
          <w:docPartUnique/>
        </w:docPartObj>
      </w:sdtPr>
      <w:sdtEndPr>
        <w:rPr>
          <w:rFonts w:ascii="Times New Roman" w:hAnsi="Times New Roman" w:cs="Times New Roman"/>
          <w:b/>
          <w:bCs/>
          <w:noProof/>
          <w:sz w:val="24"/>
          <w:szCs w:val="24"/>
        </w:rPr>
      </w:sdtEndPr>
      <w:sdtContent>
        <w:p w14:paraId="03382FBA" w14:textId="77777777" w:rsidR="008C7343" w:rsidRPr="00F04593" w:rsidRDefault="008C7343" w:rsidP="008C7343">
          <w:pPr>
            <w:rPr>
              <w:rFonts w:ascii="Times New Roman" w:hAnsi="Times New Roman" w:cs="Times New Roman"/>
              <w:bCs/>
              <w:sz w:val="24"/>
              <w:szCs w:val="24"/>
            </w:rPr>
          </w:pPr>
          <w:r w:rsidRPr="00A34E92">
            <w:rPr>
              <w:rFonts w:ascii="Times New Roman" w:hAnsi="Times New Roman" w:cs="Times New Roman"/>
              <w:b/>
              <w:sz w:val="24"/>
              <w:szCs w:val="24"/>
            </w:rPr>
            <w:t>Student Name</w:t>
          </w:r>
          <w:r>
            <w:rPr>
              <w:rFonts w:ascii="Times New Roman" w:hAnsi="Times New Roman" w:cs="Times New Roman"/>
              <w:b/>
              <w:sz w:val="24"/>
              <w:szCs w:val="24"/>
            </w:rPr>
            <w:t xml:space="preserve">: </w:t>
          </w:r>
          <w:r>
            <w:rPr>
              <w:rFonts w:ascii="Times New Roman" w:hAnsi="Times New Roman" w:cs="Times New Roman"/>
              <w:bCs/>
              <w:sz w:val="24"/>
              <w:szCs w:val="24"/>
            </w:rPr>
            <w:t xml:space="preserve">Archi </w:t>
          </w:r>
          <w:proofErr w:type="spellStart"/>
          <w:r>
            <w:rPr>
              <w:rFonts w:ascii="Times New Roman" w:hAnsi="Times New Roman" w:cs="Times New Roman"/>
              <w:bCs/>
              <w:sz w:val="24"/>
              <w:szCs w:val="24"/>
            </w:rPr>
            <w:t>Jasoliya</w:t>
          </w:r>
          <w:proofErr w:type="spellEnd"/>
          <w:r>
            <w:rPr>
              <w:rFonts w:ascii="Times New Roman" w:hAnsi="Times New Roman" w:cs="Times New Roman"/>
              <w:bCs/>
              <w:sz w:val="24"/>
              <w:szCs w:val="24"/>
            </w:rPr>
            <w:t xml:space="preserve"> </w:t>
          </w:r>
        </w:p>
        <w:p w14:paraId="1D8B9258" w14:textId="77777777" w:rsidR="008C7343" w:rsidRPr="00164804" w:rsidRDefault="008C7343" w:rsidP="008C7343">
          <w:pPr>
            <w:rPr>
              <w:rFonts w:ascii="Times New Roman" w:hAnsi="Times New Roman" w:cs="Times New Roman"/>
              <w:bCs/>
              <w:sz w:val="24"/>
              <w:szCs w:val="24"/>
            </w:rPr>
          </w:pPr>
          <w:r w:rsidRPr="00A34E92">
            <w:rPr>
              <w:rFonts w:ascii="Times New Roman" w:hAnsi="Times New Roman" w:cs="Times New Roman"/>
              <w:b/>
              <w:sz w:val="24"/>
              <w:szCs w:val="24"/>
            </w:rPr>
            <w:t>Student ID:</w:t>
          </w:r>
          <w:r>
            <w:rPr>
              <w:rFonts w:ascii="Times New Roman" w:hAnsi="Times New Roman" w:cs="Times New Roman"/>
              <w:b/>
              <w:sz w:val="24"/>
              <w:szCs w:val="24"/>
            </w:rPr>
            <w:t xml:space="preserve"> </w:t>
          </w:r>
          <w:r>
            <w:rPr>
              <w:rFonts w:ascii="Times New Roman" w:hAnsi="Times New Roman" w:cs="Times New Roman"/>
              <w:bCs/>
              <w:sz w:val="24"/>
              <w:szCs w:val="24"/>
            </w:rPr>
            <w:t>2335398</w:t>
          </w:r>
        </w:p>
        <w:p w14:paraId="204EF93D" w14:textId="2E35C642" w:rsidR="006E05EE" w:rsidRPr="00A34E92" w:rsidRDefault="008C7343" w:rsidP="008C7343">
          <w:pPr>
            <w:rPr>
              <w:rFonts w:ascii="Times New Roman" w:hAnsi="Times New Roman" w:cs="Times New Roman"/>
              <w:sz w:val="24"/>
              <w:szCs w:val="24"/>
            </w:rPr>
          </w:pPr>
          <w:r w:rsidRPr="00A34E92">
            <w:rPr>
              <w:rFonts w:ascii="Times New Roman" w:hAnsi="Times New Roman" w:cs="Times New Roman"/>
              <w:b/>
              <w:sz w:val="24"/>
              <w:szCs w:val="24"/>
            </w:rPr>
            <w:t>Module Code:</w:t>
          </w:r>
          <w:r w:rsidRPr="00A34E92">
            <w:rPr>
              <w:rFonts w:ascii="Times New Roman" w:hAnsi="Times New Roman" w:cs="Times New Roman"/>
              <w:sz w:val="24"/>
              <w:szCs w:val="24"/>
            </w:rPr>
            <w:t xml:space="preserve"> LCMB7</w:t>
          </w:r>
          <w:r w:rsidR="00134D4B">
            <w:rPr>
              <w:rFonts w:ascii="Times New Roman" w:hAnsi="Times New Roman" w:cs="Times New Roman"/>
              <w:sz w:val="24"/>
              <w:szCs w:val="24"/>
            </w:rPr>
            <w:t>002</w:t>
          </w:r>
        </w:p>
        <w:p w14:paraId="76AE160D" w14:textId="73E7198E" w:rsidR="008C7343" w:rsidRPr="00A34E92" w:rsidRDefault="008C7343" w:rsidP="008C7343">
          <w:pPr>
            <w:rPr>
              <w:rFonts w:ascii="Times New Roman" w:hAnsi="Times New Roman" w:cs="Times New Roman"/>
              <w:sz w:val="24"/>
              <w:szCs w:val="24"/>
            </w:rPr>
          </w:pPr>
          <w:r w:rsidRPr="00A34E92">
            <w:rPr>
              <w:rFonts w:ascii="Times New Roman" w:hAnsi="Times New Roman" w:cs="Times New Roman"/>
              <w:b/>
              <w:sz w:val="24"/>
              <w:szCs w:val="24"/>
            </w:rPr>
            <w:t>Module:</w:t>
          </w:r>
          <w:r w:rsidRPr="00A34E92">
            <w:rPr>
              <w:rFonts w:ascii="Times New Roman" w:hAnsi="Times New Roman" w:cs="Times New Roman"/>
              <w:sz w:val="24"/>
              <w:szCs w:val="24"/>
            </w:rPr>
            <w:t xml:space="preserve"> </w:t>
          </w:r>
          <w:r w:rsidR="00DE3FFD">
            <w:rPr>
              <w:rFonts w:ascii="Times New Roman" w:hAnsi="Times New Roman" w:cs="Times New Roman"/>
              <w:sz w:val="24"/>
              <w:szCs w:val="24"/>
            </w:rPr>
            <w:t>Financial</w:t>
          </w:r>
          <w:r w:rsidRPr="00A34E92">
            <w:rPr>
              <w:rFonts w:ascii="Times New Roman" w:hAnsi="Times New Roman" w:cs="Times New Roman"/>
              <w:sz w:val="24"/>
              <w:szCs w:val="24"/>
            </w:rPr>
            <w:t xml:space="preserve"> Management</w:t>
          </w:r>
          <w:r>
            <w:rPr>
              <w:rFonts w:ascii="Times New Roman" w:hAnsi="Times New Roman" w:cs="Times New Roman"/>
              <w:sz w:val="24"/>
              <w:szCs w:val="24"/>
            </w:rPr>
            <w:t xml:space="preserve"> </w:t>
          </w:r>
        </w:p>
        <w:p w14:paraId="0F90ECCF" w14:textId="57E8FCB4" w:rsidR="008C7343" w:rsidRPr="00A34E92" w:rsidRDefault="008C7343" w:rsidP="008C7343">
          <w:pPr>
            <w:rPr>
              <w:rFonts w:ascii="Times New Roman" w:hAnsi="Times New Roman" w:cs="Times New Roman"/>
              <w:sz w:val="24"/>
              <w:szCs w:val="24"/>
            </w:rPr>
          </w:pPr>
          <w:r w:rsidRPr="00A34E92">
            <w:rPr>
              <w:rFonts w:ascii="Times New Roman" w:hAnsi="Times New Roman" w:cs="Times New Roman"/>
              <w:b/>
              <w:sz w:val="24"/>
              <w:szCs w:val="24"/>
            </w:rPr>
            <w:t>Lecturer:</w:t>
          </w:r>
          <w:r w:rsidRPr="00A34E92">
            <w:rPr>
              <w:rFonts w:ascii="Times New Roman" w:hAnsi="Times New Roman" w:cs="Times New Roman"/>
              <w:sz w:val="24"/>
              <w:szCs w:val="24"/>
            </w:rPr>
            <w:t xml:space="preserve"> </w:t>
          </w:r>
          <w:r w:rsidR="001C638D">
            <w:rPr>
              <w:rFonts w:ascii="Times New Roman" w:hAnsi="Times New Roman" w:cs="Times New Roman"/>
              <w:sz w:val="24"/>
              <w:szCs w:val="24"/>
            </w:rPr>
            <w:t xml:space="preserve">Mr. </w:t>
          </w:r>
          <w:r w:rsidR="00DE3FFD">
            <w:rPr>
              <w:rFonts w:ascii="Times New Roman" w:hAnsi="Times New Roman" w:cs="Times New Roman"/>
              <w:sz w:val="24"/>
              <w:szCs w:val="24"/>
            </w:rPr>
            <w:t>Kalam</w:t>
          </w:r>
        </w:p>
        <w:p w14:paraId="45D96CE2" w14:textId="21521A61" w:rsidR="008C7343" w:rsidRPr="006F703E" w:rsidRDefault="008C7343" w:rsidP="008C7343">
          <w:pPr>
            <w:rPr>
              <w:rFonts w:ascii="Times New Roman" w:hAnsi="Times New Roman" w:cs="Times New Roman"/>
              <w:bCs/>
              <w:sz w:val="24"/>
              <w:szCs w:val="24"/>
            </w:rPr>
          </w:pPr>
          <w:r w:rsidRPr="00A34E92">
            <w:rPr>
              <w:rFonts w:ascii="Times New Roman" w:hAnsi="Times New Roman" w:cs="Times New Roman"/>
              <w:b/>
              <w:sz w:val="24"/>
              <w:szCs w:val="24"/>
            </w:rPr>
            <w:t xml:space="preserve">Submitted on: </w:t>
          </w:r>
          <w:r w:rsidR="00DE3FFD">
            <w:rPr>
              <w:rFonts w:ascii="Times New Roman" w:hAnsi="Times New Roman" w:cs="Times New Roman"/>
              <w:bCs/>
              <w:sz w:val="24"/>
              <w:szCs w:val="24"/>
            </w:rPr>
            <w:t>21/8/2024</w:t>
          </w:r>
        </w:p>
        <w:p w14:paraId="4F3151C1" w14:textId="4132EFF8" w:rsidR="007874AF" w:rsidRDefault="007874AF" w:rsidP="00236E5A">
          <w:pPr>
            <w:pStyle w:val="TOCHeading"/>
            <w:spacing w:line="360" w:lineRule="auto"/>
            <w:jc w:val="both"/>
            <w:rPr>
              <w:rFonts w:asciiTheme="minorHAnsi" w:eastAsiaTheme="minorHAnsi" w:hAnsiTheme="minorHAnsi" w:cstheme="minorBidi"/>
              <w:color w:val="auto"/>
              <w:sz w:val="22"/>
              <w:szCs w:val="22"/>
            </w:rPr>
          </w:pPr>
        </w:p>
        <w:p w14:paraId="0C5E6669" w14:textId="094EFC7E" w:rsidR="00A44B3B" w:rsidRPr="00C02D4C" w:rsidRDefault="00A44B3B" w:rsidP="00F44736">
          <w:pPr>
            <w:pStyle w:val="TOCHeading"/>
            <w:spacing w:line="360" w:lineRule="auto"/>
            <w:jc w:val="center"/>
            <w:rPr>
              <w:rFonts w:ascii="Times New Roman" w:eastAsiaTheme="minorHAnsi" w:hAnsi="Times New Roman" w:cs="Times New Roman"/>
              <w:color w:val="auto"/>
              <w:sz w:val="24"/>
              <w:szCs w:val="24"/>
            </w:rPr>
          </w:pPr>
          <w:r w:rsidRPr="00C02D4C">
            <w:rPr>
              <w:rFonts w:ascii="Times New Roman" w:hAnsi="Times New Roman" w:cs="Times New Roman"/>
              <w:sz w:val="24"/>
              <w:szCs w:val="24"/>
            </w:rPr>
            <w:t>Table of Contents</w:t>
          </w:r>
        </w:p>
        <w:p w14:paraId="0C5E666A"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Introduction……………………………………………………………………</w:t>
          </w:r>
          <w:r w:rsidR="00C02D4C">
            <w:rPr>
              <w:rFonts w:ascii="Times New Roman" w:hAnsi="Times New Roman" w:cs="Times New Roman"/>
              <w:sz w:val="24"/>
              <w:szCs w:val="24"/>
            </w:rPr>
            <w:t>1-2</w:t>
          </w:r>
        </w:p>
        <w:p w14:paraId="0C5E666B" w14:textId="77777777" w:rsidR="00A44B3B" w:rsidRPr="00C02D4C" w:rsidRDefault="00A44B3B" w:rsidP="00236E5A">
          <w:pPr>
            <w:pStyle w:val="ListParagraph"/>
            <w:numPr>
              <w:ilvl w:val="0"/>
              <w:numId w:val="4"/>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 xml:space="preserve">Company Chosen: Unilever </w:t>
          </w:r>
          <w:r w:rsidR="00C02D4C" w:rsidRPr="00C02D4C">
            <w:rPr>
              <w:rFonts w:ascii="Times New Roman" w:hAnsi="Times New Roman" w:cs="Times New Roman"/>
              <w:sz w:val="24"/>
              <w:szCs w:val="24"/>
            </w:rPr>
            <w:t>Plc.</w:t>
          </w:r>
        </w:p>
        <w:p w14:paraId="0C5E666C" w14:textId="77777777" w:rsidR="00A44B3B" w:rsidRPr="00C02D4C" w:rsidRDefault="00A44B3B" w:rsidP="00236E5A">
          <w:pPr>
            <w:pStyle w:val="ListParagraph"/>
            <w:numPr>
              <w:ilvl w:val="0"/>
              <w:numId w:val="4"/>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 xml:space="preserve">Brief History of Unilever </w:t>
          </w:r>
          <w:r w:rsidR="00C02D4C" w:rsidRPr="00C02D4C">
            <w:rPr>
              <w:rFonts w:ascii="Times New Roman" w:hAnsi="Times New Roman" w:cs="Times New Roman"/>
              <w:sz w:val="24"/>
              <w:szCs w:val="24"/>
            </w:rPr>
            <w:t>Plc.</w:t>
          </w:r>
        </w:p>
        <w:p w14:paraId="0C5E666D"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Business Model……………………………………………………………</w:t>
          </w:r>
          <w:r w:rsidR="00C02D4C">
            <w:rPr>
              <w:rFonts w:ascii="Times New Roman" w:hAnsi="Times New Roman" w:cs="Times New Roman"/>
              <w:sz w:val="24"/>
              <w:szCs w:val="24"/>
            </w:rPr>
            <w:t>........2</w:t>
          </w:r>
        </w:p>
        <w:p w14:paraId="0C5E666E"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Market Place…………………………………………………………………</w:t>
          </w:r>
          <w:r w:rsidR="00C02D4C">
            <w:rPr>
              <w:rFonts w:ascii="Times New Roman" w:hAnsi="Times New Roman" w:cs="Times New Roman"/>
              <w:sz w:val="24"/>
              <w:szCs w:val="24"/>
            </w:rPr>
            <w:t>......2</w:t>
          </w:r>
        </w:p>
        <w:p w14:paraId="0C5E666F"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Major Competitor(s)……………………………………………………………</w:t>
          </w:r>
          <w:r w:rsidR="00C02D4C">
            <w:rPr>
              <w:rFonts w:ascii="Times New Roman" w:hAnsi="Times New Roman" w:cs="Times New Roman"/>
              <w:sz w:val="24"/>
              <w:szCs w:val="24"/>
            </w:rPr>
            <w:t>..2</w:t>
          </w:r>
        </w:p>
        <w:p w14:paraId="0C5E6670"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Major Recent Events (2018-2023)……………………………………………</w:t>
          </w:r>
          <w:r w:rsidR="00C02D4C">
            <w:rPr>
              <w:rFonts w:ascii="Times New Roman" w:hAnsi="Times New Roman" w:cs="Times New Roman"/>
              <w:sz w:val="24"/>
              <w:szCs w:val="24"/>
            </w:rPr>
            <w:t>…3</w:t>
          </w:r>
        </w:p>
        <w:p w14:paraId="0C5E6671" w14:textId="77777777" w:rsidR="00A44B3B" w:rsidRPr="00C02D4C" w:rsidRDefault="00A44B3B" w:rsidP="00236E5A">
          <w:pPr>
            <w:pStyle w:val="ListParagraph"/>
            <w:numPr>
              <w:ilvl w:val="0"/>
              <w:numId w:val="3"/>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Change of Directors</w:t>
          </w:r>
        </w:p>
        <w:p w14:paraId="0C5E6672" w14:textId="77777777" w:rsidR="00A44B3B" w:rsidRPr="00C02D4C" w:rsidRDefault="00A44B3B" w:rsidP="00236E5A">
          <w:pPr>
            <w:pStyle w:val="ListParagraph"/>
            <w:numPr>
              <w:ilvl w:val="0"/>
              <w:numId w:val="3"/>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Sustainable Living Plan</w:t>
          </w:r>
        </w:p>
        <w:p w14:paraId="0C5E6673" w14:textId="77777777" w:rsidR="00A44B3B" w:rsidRPr="00C02D4C" w:rsidRDefault="00A44B3B" w:rsidP="00236E5A">
          <w:pPr>
            <w:pStyle w:val="ListParagraph"/>
            <w:numPr>
              <w:ilvl w:val="0"/>
              <w:numId w:val="3"/>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Acquisitions and Divestitures</w:t>
          </w:r>
        </w:p>
        <w:p w14:paraId="0C5E6674" w14:textId="77777777" w:rsidR="00A44B3B" w:rsidRPr="00C02D4C" w:rsidRDefault="00A44B3B" w:rsidP="00236E5A">
          <w:pPr>
            <w:pStyle w:val="ListParagraph"/>
            <w:numPr>
              <w:ilvl w:val="0"/>
              <w:numId w:val="3"/>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Profit Warnings</w:t>
          </w:r>
        </w:p>
        <w:p w14:paraId="0C5E6675" w14:textId="77777777" w:rsidR="00A44B3B" w:rsidRPr="00C02D4C" w:rsidRDefault="00A44B3B" w:rsidP="00236E5A">
          <w:pPr>
            <w:pStyle w:val="ListParagraph"/>
            <w:numPr>
              <w:ilvl w:val="0"/>
              <w:numId w:val="3"/>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Legal Issues</w:t>
          </w:r>
        </w:p>
        <w:p w14:paraId="0C5E6676" w14:textId="77777777" w:rsidR="00A44B3B" w:rsidRPr="00C02D4C" w:rsidRDefault="00A44B3B" w:rsidP="00236E5A">
          <w:pPr>
            <w:pStyle w:val="ListParagraph"/>
            <w:numPr>
              <w:ilvl w:val="0"/>
              <w:numId w:val="3"/>
            </w:num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Strategic Changes</w:t>
          </w:r>
        </w:p>
        <w:p w14:paraId="0C5E6677"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Material Impacts on Performance……………………………………………………</w:t>
          </w:r>
          <w:r w:rsidR="00C02D4C">
            <w:rPr>
              <w:rFonts w:ascii="Times New Roman" w:hAnsi="Times New Roman" w:cs="Times New Roman"/>
              <w:sz w:val="24"/>
              <w:szCs w:val="24"/>
            </w:rPr>
            <w:t>3</w:t>
          </w:r>
        </w:p>
        <w:p w14:paraId="0C5E6678" w14:textId="77777777" w:rsidR="00A44B3B" w:rsidRPr="00C02D4C" w:rsidRDefault="00A44B3B"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References…………………………………………………………………………</w:t>
          </w:r>
          <w:r w:rsidR="00C02D4C">
            <w:rPr>
              <w:rFonts w:ascii="Times New Roman" w:hAnsi="Times New Roman" w:cs="Times New Roman"/>
              <w:sz w:val="24"/>
              <w:szCs w:val="24"/>
            </w:rPr>
            <w:t>…3-4</w:t>
          </w:r>
        </w:p>
        <w:p w14:paraId="0C5E6679" w14:textId="77777777" w:rsidR="00A44B3B" w:rsidRPr="00C02D4C" w:rsidRDefault="00000000" w:rsidP="00236E5A">
          <w:pPr>
            <w:spacing w:line="360" w:lineRule="auto"/>
            <w:jc w:val="both"/>
            <w:rPr>
              <w:rFonts w:ascii="Times New Roman" w:hAnsi="Times New Roman" w:cs="Times New Roman"/>
              <w:sz w:val="24"/>
              <w:szCs w:val="24"/>
            </w:rPr>
          </w:pPr>
        </w:p>
      </w:sdtContent>
    </w:sdt>
    <w:p w14:paraId="676B2362" w14:textId="77777777" w:rsidR="009E225B" w:rsidRDefault="009E225B" w:rsidP="00236E5A">
      <w:pPr>
        <w:spacing w:before="100" w:beforeAutospacing="1" w:after="100" w:afterAutospacing="1" w:line="360" w:lineRule="auto"/>
        <w:jc w:val="both"/>
        <w:outlineLvl w:val="2"/>
        <w:rPr>
          <w:rFonts w:ascii="Times New Roman" w:eastAsia="Times New Roman" w:hAnsi="Times New Roman" w:cs="Times New Roman"/>
          <w:b/>
          <w:bCs/>
          <w:sz w:val="24"/>
          <w:szCs w:val="24"/>
        </w:rPr>
      </w:pPr>
      <w:bookmarkStart w:id="0" w:name="_Toc174380737"/>
    </w:p>
    <w:p w14:paraId="0C5E667C" w14:textId="0C65D863" w:rsidR="0043676F" w:rsidRPr="00DE4BE8" w:rsidRDefault="0043676F" w:rsidP="00DE4BE8">
      <w:pPr>
        <w:spacing w:before="100" w:beforeAutospacing="1" w:after="100" w:afterAutospacing="1" w:line="360" w:lineRule="auto"/>
        <w:jc w:val="both"/>
        <w:outlineLvl w:val="2"/>
        <w:rPr>
          <w:rFonts w:ascii="Times New Roman" w:eastAsia="Times New Roman" w:hAnsi="Times New Roman" w:cs="Times New Roman"/>
          <w:b/>
          <w:bCs/>
          <w:sz w:val="24"/>
          <w:szCs w:val="24"/>
          <w:u w:val="single"/>
        </w:rPr>
      </w:pPr>
      <w:r w:rsidRPr="00893992">
        <w:rPr>
          <w:rFonts w:ascii="Times New Roman" w:eastAsia="Times New Roman" w:hAnsi="Times New Roman" w:cs="Times New Roman"/>
          <w:b/>
          <w:bCs/>
          <w:sz w:val="24"/>
          <w:szCs w:val="24"/>
          <w:u w:val="single"/>
        </w:rPr>
        <w:lastRenderedPageBreak/>
        <w:t>Part A: Introduction</w:t>
      </w:r>
      <w:bookmarkEnd w:id="0"/>
    </w:p>
    <w:p w14:paraId="0C5E667D" w14:textId="77777777" w:rsidR="004B4A72" w:rsidRPr="00236768" w:rsidRDefault="0043676F" w:rsidP="00236E5A">
      <w:pPr>
        <w:spacing w:line="360" w:lineRule="auto"/>
        <w:jc w:val="both"/>
        <w:rPr>
          <w:rFonts w:ascii="Times New Roman" w:hAnsi="Times New Roman" w:cs="Times New Roman"/>
          <w:sz w:val="24"/>
          <w:szCs w:val="24"/>
          <w:u w:val="single"/>
        </w:rPr>
      </w:pPr>
      <w:r w:rsidRPr="00236768">
        <w:rPr>
          <w:rFonts w:ascii="Times New Roman" w:hAnsi="Times New Roman" w:cs="Times New Roman"/>
          <w:b/>
          <w:sz w:val="24"/>
          <w:szCs w:val="24"/>
          <w:u w:val="single"/>
        </w:rPr>
        <w:t>Company Chosen:</w:t>
      </w:r>
      <w:r w:rsidRPr="00236768">
        <w:rPr>
          <w:rFonts w:ascii="Times New Roman" w:hAnsi="Times New Roman" w:cs="Times New Roman"/>
          <w:sz w:val="24"/>
          <w:szCs w:val="24"/>
          <w:u w:val="single"/>
        </w:rPr>
        <w:t xml:space="preserve"> Unilever </w:t>
      </w:r>
      <w:r w:rsidR="00C02D4C" w:rsidRPr="00236768">
        <w:rPr>
          <w:rFonts w:ascii="Times New Roman" w:hAnsi="Times New Roman" w:cs="Times New Roman"/>
          <w:sz w:val="24"/>
          <w:szCs w:val="24"/>
          <w:u w:val="single"/>
        </w:rPr>
        <w:t>Plc.</w:t>
      </w:r>
    </w:p>
    <w:p w14:paraId="0C5E667E" w14:textId="77777777" w:rsidR="0043676F" w:rsidRPr="00236768" w:rsidRDefault="0043676F" w:rsidP="00236E5A">
      <w:pPr>
        <w:spacing w:line="360" w:lineRule="auto"/>
        <w:jc w:val="both"/>
        <w:rPr>
          <w:rFonts w:ascii="Times New Roman" w:hAnsi="Times New Roman" w:cs="Times New Roman"/>
          <w:b/>
          <w:sz w:val="24"/>
          <w:szCs w:val="24"/>
          <w:u w:val="single"/>
        </w:rPr>
      </w:pPr>
      <w:r w:rsidRPr="00236768">
        <w:rPr>
          <w:rFonts w:ascii="Times New Roman" w:hAnsi="Times New Roman" w:cs="Times New Roman"/>
          <w:b/>
          <w:sz w:val="24"/>
          <w:szCs w:val="24"/>
          <w:u w:val="single"/>
        </w:rPr>
        <w:t>Brief History of Unilever Plc</w:t>
      </w:r>
    </w:p>
    <w:p w14:paraId="0C5E667F" w14:textId="77777777" w:rsidR="00C02D4C"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It can be described as a British multinational company in the consumer goods sector with its primary official headquarters in London, UK and secondary official headquarters in Rotterdam, Netherlands. Some of the products that falls under Unilever are foods and beverages, home and personal care products such as soaps, rinses, and cleaners. It is one of the oldest multinational companies that distribute their products to roughly 190 countries. Unilever was established on the 2nd of September in 1929 as a result of a merger between the British firm Lever Brothers which was into the production of soap and Margarine Unie which was a Dutch firm dealing in margarine.</w:t>
      </w:r>
      <w:r w:rsidR="00A44B3B" w:rsidRPr="00C02D4C">
        <w:rPr>
          <w:rFonts w:ascii="Times New Roman" w:hAnsi="Times New Roman" w:cs="Times New Roman"/>
          <w:sz w:val="24"/>
          <w:szCs w:val="24"/>
        </w:rPr>
        <w:t xml:space="preserve"> (Jones, 2005).</w:t>
      </w:r>
    </w:p>
    <w:p w14:paraId="0C5E6680" w14:textId="77777777" w:rsidR="0043676F" w:rsidRPr="00236768" w:rsidRDefault="0043676F" w:rsidP="00236E5A">
      <w:pPr>
        <w:spacing w:line="360" w:lineRule="auto"/>
        <w:jc w:val="both"/>
        <w:rPr>
          <w:rFonts w:ascii="Times New Roman" w:hAnsi="Times New Roman" w:cs="Times New Roman"/>
          <w:sz w:val="24"/>
          <w:szCs w:val="24"/>
          <w:u w:val="single"/>
        </w:rPr>
      </w:pPr>
      <w:r w:rsidRPr="00236768">
        <w:rPr>
          <w:rFonts w:ascii="Times New Roman" w:hAnsi="Times New Roman" w:cs="Times New Roman"/>
          <w:b/>
          <w:sz w:val="24"/>
          <w:szCs w:val="24"/>
          <w:u w:val="single"/>
        </w:rPr>
        <w:t>Business Model</w:t>
      </w:r>
    </w:p>
    <w:p w14:paraId="0C5E6681" w14:textId="7CA7E782" w:rsidR="0043676F" w:rsidRPr="00C02D4C"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 xml:space="preserve">Thus, the fundamental business concept of the company is in manufacturing and marketing of </w:t>
      </w:r>
      <w:r w:rsidR="002C0E10" w:rsidRPr="00C02D4C">
        <w:rPr>
          <w:rFonts w:ascii="Times New Roman" w:hAnsi="Times New Roman" w:cs="Times New Roman"/>
          <w:sz w:val="24"/>
          <w:szCs w:val="24"/>
        </w:rPr>
        <w:t>fast-moving</w:t>
      </w:r>
      <w:r w:rsidRPr="00C02D4C">
        <w:rPr>
          <w:rFonts w:ascii="Times New Roman" w:hAnsi="Times New Roman" w:cs="Times New Roman"/>
          <w:sz w:val="24"/>
          <w:szCs w:val="24"/>
        </w:rPr>
        <w:t xml:space="preserve"> consumer goods. It operates through three main segments:</w:t>
      </w:r>
    </w:p>
    <w:p w14:paraId="0C5E6682" w14:textId="77777777" w:rsidR="0043676F" w:rsidRPr="00C02D4C" w:rsidRDefault="0043676F" w:rsidP="00236E5A">
      <w:pPr>
        <w:pStyle w:val="ListParagraph"/>
        <w:numPr>
          <w:ilvl w:val="0"/>
          <w:numId w:val="2"/>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Beauty &amp; Personal Care</w:t>
      </w:r>
    </w:p>
    <w:p w14:paraId="0C5E6683" w14:textId="77777777" w:rsidR="0043676F" w:rsidRPr="00C02D4C" w:rsidRDefault="0043676F" w:rsidP="00236E5A">
      <w:pPr>
        <w:pStyle w:val="ListParagraph"/>
        <w:numPr>
          <w:ilvl w:val="0"/>
          <w:numId w:val="2"/>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Foods &amp; Refreshment</w:t>
      </w:r>
    </w:p>
    <w:p w14:paraId="0C5E6684" w14:textId="77777777" w:rsidR="0043676F" w:rsidRPr="00C02D4C" w:rsidRDefault="0043676F" w:rsidP="00236E5A">
      <w:pPr>
        <w:pStyle w:val="ListParagraph"/>
        <w:numPr>
          <w:ilvl w:val="0"/>
          <w:numId w:val="2"/>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Home Care</w:t>
      </w:r>
    </w:p>
    <w:p w14:paraId="0C5E6685" w14:textId="77777777" w:rsidR="0043676F" w:rsidRPr="00C02D4C"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The firm relies on an excellent supply chain, and the dissemination of its products in global markets is well taken care of. In turn, the latter’s key strategies are underlined as focusing on the development of sustainable sources of growth, as well as the improvement of the company’s brand portfolio.</w:t>
      </w:r>
      <w:r w:rsidR="00A44B3B" w:rsidRPr="00C02D4C">
        <w:rPr>
          <w:rFonts w:ascii="Times New Roman" w:hAnsi="Times New Roman" w:cs="Times New Roman"/>
          <w:sz w:val="24"/>
          <w:szCs w:val="24"/>
        </w:rPr>
        <w:t xml:space="preserve"> (Smith &amp; Johnson, 2019).</w:t>
      </w:r>
    </w:p>
    <w:p w14:paraId="0C5E6686" w14:textId="77777777" w:rsidR="0043676F" w:rsidRPr="00236768" w:rsidRDefault="0043676F" w:rsidP="00236E5A">
      <w:pPr>
        <w:spacing w:line="360" w:lineRule="auto"/>
        <w:jc w:val="both"/>
        <w:rPr>
          <w:rFonts w:ascii="Times New Roman" w:hAnsi="Times New Roman" w:cs="Times New Roman"/>
          <w:b/>
          <w:sz w:val="24"/>
          <w:szCs w:val="24"/>
          <w:u w:val="single"/>
        </w:rPr>
      </w:pPr>
      <w:r w:rsidRPr="00236768">
        <w:rPr>
          <w:rFonts w:ascii="Times New Roman" w:hAnsi="Times New Roman" w:cs="Times New Roman"/>
          <w:b/>
          <w:sz w:val="24"/>
          <w:szCs w:val="24"/>
          <w:u w:val="single"/>
        </w:rPr>
        <w:t>Market Place</w:t>
      </w:r>
    </w:p>
    <w:p w14:paraId="0C5E6687" w14:textId="77777777" w:rsidR="0043676F" w:rsidRPr="00C02D4C"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This is one of the most competitive industries where Unilever faces many competitors of global and local categories. It controls a large stake of the market in consumer goods segment. Major clients are within Europe, and the Americas, Asia and Africa, and EMEIA markets with EMEIA accounting for a higher proportion of revenue.</w:t>
      </w:r>
      <w:r w:rsidR="00A44B3B" w:rsidRPr="00C02D4C">
        <w:rPr>
          <w:rFonts w:ascii="Times New Roman" w:hAnsi="Times New Roman" w:cs="Times New Roman"/>
          <w:sz w:val="24"/>
          <w:szCs w:val="24"/>
        </w:rPr>
        <w:t xml:space="preserve"> (Unilever, 2023).</w:t>
      </w:r>
    </w:p>
    <w:p w14:paraId="1F111BA8" w14:textId="77777777" w:rsidR="00DE4BE8" w:rsidRDefault="00DE4BE8" w:rsidP="00236E5A">
      <w:pPr>
        <w:spacing w:line="360" w:lineRule="auto"/>
        <w:jc w:val="both"/>
        <w:rPr>
          <w:rFonts w:ascii="Times New Roman" w:hAnsi="Times New Roman" w:cs="Times New Roman"/>
          <w:b/>
          <w:sz w:val="24"/>
          <w:szCs w:val="24"/>
          <w:u w:val="single"/>
        </w:rPr>
      </w:pPr>
    </w:p>
    <w:p w14:paraId="0C5E6688" w14:textId="3A2B02A4" w:rsidR="0043676F" w:rsidRPr="00DC3686" w:rsidRDefault="0043676F" w:rsidP="00236E5A">
      <w:pPr>
        <w:spacing w:line="360" w:lineRule="auto"/>
        <w:jc w:val="both"/>
        <w:rPr>
          <w:rFonts w:ascii="Times New Roman" w:hAnsi="Times New Roman" w:cs="Times New Roman"/>
          <w:b/>
          <w:sz w:val="24"/>
          <w:szCs w:val="24"/>
          <w:u w:val="single"/>
        </w:rPr>
      </w:pPr>
      <w:r w:rsidRPr="00DC3686">
        <w:rPr>
          <w:rFonts w:ascii="Times New Roman" w:hAnsi="Times New Roman" w:cs="Times New Roman"/>
          <w:b/>
          <w:sz w:val="24"/>
          <w:szCs w:val="24"/>
          <w:u w:val="single"/>
        </w:rPr>
        <w:lastRenderedPageBreak/>
        <w:t>Major Competitor(s)</w:t>
      </w:r>
    </w:p>
    <w:p w14:paraId="0C5E6689" w14:textId="77777777" w:rsidR="0043676F" w:rsidRPr="00C02D4C"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Unilever’s major competitors include:</w:t>
      </w:r>
    </w:p>
    <w:p w14:paraId="0C5E668A" w14:textId="77777777" w:rsidR="0043676F" w:rsidRPr="00C02D4C" w:rsidRDefault="0043676F" w:rsidP="00236E5A">
      <w:pPr>
        <w:pStyle w:val="ListParagraph"/>
        <w:numPr>
          <w:ilvl w:val="0"/>
          <w:numId w:val="1"/>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Procter &amp; Gamble (P&amp;G)</w:t>
      </w:r>
    </w:p>
    <w:p w14:paraId="0C5E668B" w14:textId="77777777" w:rsidR="0043676F" w:rsidRPr="00C02D4C" w:rsidRDefault="0043676F" w:rsidP="00236E5A">
      <w:pPr>
        <w:pStyle w:val="ListParagraph"/>
        <w:numPr>
          <w:ilvl w:val="0"/>
          <w:numId w:val="1"/>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Nestlé</w:t>
      </w:r>
    </w:p>
    <w:p w14:paraId="0C5E668C" w14:textId="77777777" w:rsidR="0043676F" w:rsidRPr="00C02D4C" w:rsidRDefault="0043676F" w:rsidP="00236E5A">
      <w:pPr>
        <w:pStyle w:val="ListParagraph"/>
        <w:numPr>
          <w:ilvl w:val="0"/>
          <w:numId w:val="1"/>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The Coca-Cola Company</w:t>
      </w:r>
    </w:p>
    <w:p w14:paraId="0C5E668D" w14:textId="77777777" w:rsidR="0043676F" w:rsidRPr="00C02D4C" w:rsidRDefault="0043676F" w:rsidP="00236E5A">
      <w:pPr>
        <w:pStyle w:val="ListParagraph"/>
        <w:numPr>
          <w:ilvl w:val="0"/>
          <w:numId w:val="1"/>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Colgate-Palmolive</w:t>
      </w:r>
    </w:p>
    <w:p w14:paraId="0C5E668E" w14:textId="77777777" w:rsidR="0043676F" w:rsidRPr="00C02D4C" w:rsidRDefault="00C02D4C" w:rsidP="00236E5A">
      <w:pPr>
        <w:pStyle w:val="ListParagraph"/>
        <w:numPr>
          <w:ilvl w:val="0"/>
          <w:numId w:val="1"/>
        </w:numPr>
        <w:spacing w:line="360" w:lineRule="auto"/>
        <w:ind w:left="0"/>
        <w:jc w:val="both"/>
        <w:rPr>
          <w:rFonts w:ascii="Times New Roman" w:hAnsi="Times New Roman" w:cs="Times New Roman"/>
          <w:sz w:val="24"/>
          <w:szCs w:val="24"/>
        </w:rPr>
      </w:pPr>
      <w:r w:rsidRPr="00C02D4C">
        <w:rPr>
          <w:rFonts w:ascii="Times New Roman" w:hAnsi="Times New Roman" w:cs="Times New Roman"/>
          <w:sz w:val="24"/>
          <w:szCs w:val="24"/>
        </w:rPr>
        <w:t>L’Oreal (Unilever, 2023).</w:t>
      </w:r>
    </w:p>
    <w:p w14:paraId="0C5E668F" w14:textId="77777777" w:rsidR="0043676F" w:rsidRPr="00DC3686" w:rsidRDefault="0043676F" w:rsidP="00236E5A">
      <w:pPr>
        <w:spacing w:line="360" w:lineRule="auto"/>
        <w:jc w:val="both"/>
        <w:rPr>
          <w:rFonts w:ascii="Times New Roman" w:hAnsi="Times New Roman" w:cs="Times New Roman"/>
          <w:b/>
          <w:sz w:val="24"/>
          <w:szCs w:val="24"/>
          <w:u w:val="single"/>
        </w:rPr>
      </w:pPr>
      <w:r w:rsidRPr="00DC3686">
        <w:rPr>
          <w:rFonts w:ascii="Times New Roman" w:hAnsi="Times New Roman" w:cs="Times New Roman"/>
          <w:b/>
          <w:sz w:val="24"/>
          <w:szCs w:val="24"/>
          <w:u w:val="single"/>
        </w:rPr>
        <w:t>Major Recent Events (2018-2023)</w:t>
      </w:r>
    </w:p>
    <w:p w14:paraId="0C5E6690" w14:textId="77777777" w:rsidR="0043676F" w:rsidRPr="00C02D4C" w:rsidRDefault="0043676F" w:rsidP="00236E5A">
      <w:pPr>
        <w:spacing w:line="360" w:lineRule="auto"/>
        <w:jc w:val="both"/>
        <w:rPr>
          <w:rFonts w:ascii="Times New Roman" w:hAnsi="Times New Roman" w:cs="Times New Roman"/>
          <w:sz w:val="24"/>
          <w:szCs w:val="24"/>
        </w:rPr>
      </w:pPr>
      <w:r w:rsidRPr="00236768">
        <w:rPr>
          <w:rFonts w:ascii="Times New Roman" w:hAnsi="Times New Roman" w:cs="Times New Roman"/>
          <w:b/>
          <w:sz w:val="24"/>
          <w:szCs w:val="24"/>
          <w:u w:val="single"/>
        </w:rPr>
        <w:t>Change of Directors</w:t>
      </w:r>
      <w:r w:rsidRPr="00C02D4C">
        <w:rPr>
          <w:rFonts w:ascii="Times New Roman" w:hAnsi="Times New Roman" w:cs="Times New Roman"/>
          <w:b/>
          <w:sz w:val="24"/>
          <w:szCs w:val="24"/>
        </w:rPr>
        <w:t>:</w:t>
      </w:r>
      <w:r w:rsidRPr="00C02D4C">
        <w:rPr>
          <w:rFonts w:ascii="Times New Roman" w:hAnsi="Times New Roman" w:cs="Times New Roman"/>
          <w:sz w:val="24"/>
          <w:szCs w:val="24"/>
        </w:rPr>
        <w:t xml:space="preserve"> The Unilever’s CEO who took over from Paul Polman in 2019 was Alan Jope.</w:t>
      </w:r>
      <w:r w:rsidR="00C02D4C" w:rsidRPr="00C02D4C">
        <w:rPr>
          <w:rFonts w:ascii="Times New Roman" w:hAnsi="Times New Roman" w:cs="Times New Roman"/>
          <w:sz w:val="24"/>
          <w:szCs w:val="24"/>
        </w:rPr>
        <w:t xml:space="preserve"> (Unilever, 2023).</w:t>
      </w:r>
    </w:p>
    <w:p w14:paraId="0C5E6691" w14:textId="77777777" w:rsidR="0043676F" w:rsidRPr="00C02D4C" w:rsidRDefault="0043676F" w:rsidP="00236E5A">
      <w:pPr>
        <w:spacing w:line="360" w:lineRule="auto"/>
        <w:jc w:val="both"/>
        <w:rPr>
          <w:rFonts w:ascii="Times New Roman" w:hAnsi="Times New Roman" w:cs="Times New Roman"/>
          <w:sz w:val="24"/>
          <w:szCs w:val="24"/>
        </w:rPr>
      </w:pPr>
      <w:r w:rsidRPr="00236768">
        <w:rPr>
          <w:rFonts w:ascii="Times New Roman" w:hAnsi="Times New Roman" w:cs="Times New Roman"/>
          <w:b/>
          <w:sz w:val="24"/>
          <w:szCs w:val="24"/>
          <w:u w:val="single"/>
        </w:rPr>
        <w:t>Sustainable Living Plan:</w:t>
      </w:r>
      <w:r w:rsidRPr="00C02D4C">
        <w:rPr>
          <w:rFonts w:ascii="Times New Roman" w:hAnsi="Times New Roman" w:cs="Times New Roman"/>
          <w:sz w:val="24"/>
          <w:szCs w:val="24"/>
        </w:rPr>
        <w:t xml:space="preserve"> In its sustainability plan, Unilever has come a long way with the vision of reducing by half the environmental impact of the products by the year 2030.</w:t>
      </w:r>
      <w:r w:rsidR="00C02D4C" w:rsidRPr="00C02D4C">
        <w:rPr>
          <w:rFonts w:ascii="Times New Roman" w:hAnsi="Times New Roman" w:cs="Times New Roman"/>
          <w:sz w:val="24"/>
          <w:szCs w:val="24"/>
        </w:rPr>
        <w:t xml:space="preserve"> (Unilever, 2023).</w:t>
      </w:r>
    </w:p>
    <w:p w14:paraId="0C5E6692" w14:textId="77777777" w:rsidR="0043676F" w:rsidRPr="00C02D4C" w:rsidRDefault="0043676F" w:rsidP="00236E5A">
      <w:pPr>
        <w:spacing w:line="360" w:lineRule="auto"/>
        <w:jc w:val="both"/>
        <w:rPr>
          <w:rFonts w:ascii="Times New Roman" w:hAnsi="Times New Roman" w:cs="Times New Roman"/>
          <w:sz w:val="24"/>
          <w:szCs w:val="24"/>
        </w:rPr>
      </w:pPr>
      <w:r w:rsidRPr="00236768">
        <w:rPr>
          <w:rFonts w:ascii="Times New Roman" w:hAnsi="Times New Roman" w:cs="Times New Roman"/>
          <w:b/>
          <w:sz w:val="24"/>
          <w:szCs w:val="24"/>
          <w:u w:val="single"/>
        </w:rPr>
        <w:t>Acquisitions and Divestitures:</w:t>
      </w:r>
      <w:r w:rsidRPr="00236768">
        <w:rPr>
          <w:rFonts w:ascii="Times New Roman" w:hAnsi="Times New Roman" w:cs="Times New Roman"/>
          <w:sz w:val="24"/>
          <w:szCs w:val="24"/>
          <w:u w:val="single"/>
        </w:rPr>
        <w:t xml:space="preserve"> </w:t>
      </w:r>
      <w:r w:rsidRPr="00C02D4C">
        <w:rPr>
          <w:rFonts w:ascii="Times New Roman" w:hAnsi="Times New Roman" w:cs="Times New Roman"/>
          <w:sz w:val="24"/>
          <w:szCs w:val="24"/>
        </w:rPr>
        <w:t>Another business level strategy that Unilever has employed is the acquisition strategy that they have undertaken to strengthen its portfolio for instance; the Horlicks’ from the GlaxoSmithKline in 2018. Thus, it has also divested from some of the non-core businesses like the sale of its spreads business to KKR in 2018.</w:t>
      </w:r>
      <w:r w:rsidR="00C02D4C" w:rsidRPr="00C02D4C">
        <w:rPr>
          <w:rFonts w:ascii="Times New Roman" w:hAnsi="Times New Roman" w:cs="Times New Roman"/>
          <w:sz w:val="24"/>
          <w:szCs w:val="24"/>
        </w:rPr>
        <w:t xml:space="preserve"> (Unilever, 2023).</w:t>
      </w:r>
    </w:p>
    <w:p w14:paraId="0C5E6693" w14:textId="77777777" w:rsidR="0043676F" w:rsidRPr="00C02D4C" w:rsidRDefault="0043676F" w:rsidP="00236E5A">
      <w:pPr>
        <w:spacing w:line="360" w:lineRule="auto"/>
        <w:jc w:val="both"/>
        <w:rPr>
          <w:rFonts w:ascii="Times New Roman" w:hAnsi="Times New Roman" w:cs="Times New Roman"/>
          <w:sz w:val="24"/>
          <w:szCs w:val="24"/>
        </w:rPr>
      </w:pPr>
      <w:r w:rsidRPr="00236768">
        <w:rPr>
          <w:rFonts w:ascii="Times New Roman" w:hAnsi="Times New Roman" w:cs="Times New Roman"/>
          <w:b/>
          <w:sz w:val="24"/>
          <w:szCs w:val="24"/>
          <w:u w:val="single"/>
        </w:rPr>
        <w:t>Profit Warnings</w:t>
      </w:r>
      <w:r w:rsidRPr="00C02D4C">
        <w:rPr>
          <w:rFonts w:ascii="Times New Roman" w:hAnsi="Times New Roman" w:cs="Times New Roman"/>
          <w:b/>
          <w:sz w:val="24"/>
          <w:szCs w:val="24"/>
        </w:rPr>
        <w:t>:</w:t>
      </w:r>
      <w:r w:rsidRPr="00C02D4C">
        <w:rPr>
          <w:rFonts w:ascii="Times New Roman" w:hAnsi="Times New Roman" w:cs="Times New Roman"/>
          <w:sz w:val="24"/>
          <w:szCs w:val="24"/>
        </w:rPr>
        <w:t xml:space="preserve"> During the year 2020, Unilever had to alert the public of lower revenues made in the recent past through a profit warning since many of the company’s operations and sales were affected by the COVID-19 pandemic.</w:t>
      </w:r>
      <w:r w:rsidR="00C02D4C" w:rsidRPr="00C02D4C">
        <w:rPr>
          <w:rFonts w:ascii="Times New Roman" w:hAnsi="Times New Roman" w:cs="Times New Roman"/>
          <w:sz w:val="24"/>
          <w:szCs w:val="24"/>
        </w:rPr>
        <w:t xml:space="preserve"> (The Guardian, 2020).</w:t>
      </w:r>
    </w:p>
    <w:p w14:paraId="0C5E6694" w14:textId="77777777" w:rsidR="0043676F" w:rsidRPr="00C02D4C" w:rsidRDefault="0043676F" w:rsidP="00236E5A">
      <w:pPr>
        <w:spacing w:line="360" w:lineRule="auto"/>
        <w:jc w:val="both"/>
        <w:rPr>
          <w:rFonts w:ascii="Times New Roman" w:hAnsi="Times New Roman" w:cs="Times New Roman"/>
          <w:sz w:val="24"/>
          <w:szCs w:val="24"/>
        </w:rPr>
      </w:pPr>
      <w:r w:rsidRPr="00236768">
        <w:rPr>
          <w:rFonts w:ascii="Times New Roman" w:hAnsi="Times New Roman" w:cs="Times New Roman"/>
          <w:b/>
          <w:sz w:val="24"/>
          <w:szCs w:val="24"/>
          <w:u w:val="single"/>
        </w:rPr>
        <w:t>Legal Issues</w:t>
      </w:r>
      <w:r w:rsidRPr="00C02D4C">
        <w:rPr>
          <w:rFonts w:ascii="Times New Roman" w:hAnsi="Times New Roman" w:cs="Times New Roman"/>
          <w:b/>
          <w:sz w:val="24"/>
          <w:szCs w:val="24"/>
        </w:rPr>
        <w:t>:</w:t>
      </w:r>
      <w:r w:rsidRPr="00C02D4C">
        <w:rPr>
          <w:rFonts w:ascii="Times New Roman" w:hAnsi="Times New Roman" w:cs="Times New Roman"/>
          <w:sz w:val="24"/>
          <w:szCs w:val="24"/>
        </w:rPr>
        <w:t xml:space="preserve"> Regarding the legal aspect, in 2020, Unilever received fines from the regulators concerning the environment and the safety of the products it produces and sales, which augmented compliance costs.</w:t>
      </w:r>
      <w:r w:rsidR="00C02D4C" w:rsidRPr="00C02D4C">
        <w:rPr>
          <w:rFonts w:ascii="Times New Roman" w:hAnsi="Times New Roman" w:cs="Times New Roman"/>
          <w:sz w:val="24"/>
          <w:szCs w:val="24"/>
        </w:rPr>
        <w:t xml:space="preserve"> (Financial Times, 2020). (Unilever, 2023).</w:t>
      </w:r>
    </w:p>
    <w:p w14:paraId="0C5E6695" w14:textId="77777777" w:rsidR="0043676F" w:rsidRPr="00C02D4C" w:rsidRDefault="0043676F" w:rsidP="00236E5A">
      <w:pPr>
        <w:spacing w:line="360" w:lineRule="auto"/>
        <w:jc w:val="both"/>
        <w:rPr>
          <w:rFonts w:ascii="Times New Roman" w:hAnsi="Times New Roman" w:cs="Times New Roman"/>
          <w:sz w:val="24"/>
          <w:szCs w:val="24"/>
        </w:rPr>
      </w:pPr>
      <w:r w:rsidRPr="00236768">
        <w:rPr>
          <w:rFonts w:ascii="Times New Roman" w:hAnsi="Times New Roman" w:cs="Times New Roman"/>
          <w:b/>
          <w:sz w:val="24"/>
          <w:szCs w:val="24"/>
          <w:u w:val="single"/>
        </w:rPr>
        <w:t>Strategic Changes</w:t>
      </w:r>
      <w:r w:rsidRPr="00C02D4C">
        <w:rPr>
          <w:rFonts w:ascii="Times New Roman" w:hAnsi="Times New Roman" w:cs="Times New Roman"/>
          <w:b/>
          <w:sz w:val="24"/>
          <w:szCs w:val="24"/>
        </w:rPr>
        <w:t>:</w:t>
      </w:r>
      <w:r w:rsidRPr="00C02D4C">
        <w:rPr>
          <w:rFonts w:ascii="Times New Roman" w:hAnsi="Times New Roman" w:cs="Times New Roman"/>
          <w:sz w:val="24"/>
          <w:szCs w:val="24"/>
        </w:rPr>
        <w:t xml:space="preserve"> </w:t>
      </w:r>
      <w:r w:rsidR="00C02D4C" w:rsidRPr="00C02D4C">
        <w:rPr>
          <w:rFonts w:ascii="Times New Roman" w:hAnsi="Times New Roman" w:cs="Times New Roman"/>
          <w:sz w:val="24"/>
          <w:szCs w:val="24"/>
        </w:rPr>
        <w:t>the Unilever Company</w:t>
      </w:r>
      <w:r w:rsidRPr="00C02D4C">
        <w:rPr>
          <w:rFonts w:ascii="Times New Roman" w:hAnsi="Times New Roman" w:cs="Times New Roman"/>
          <w:sz w:val="24"/>
          <w:szCs w:val="24"/>
        </w:rPr>
        <w:t xml:space="preserve"> also restructured in 2020, unifying the legitimation management, which previously had two heads located in London and Rotterdam.</w:t>
      </w:r>
    </w:p>
    <w:p w14:paraId="748973CA" w14:textId="77777777" w:rsidR="009E225B" w:rsidRDefault="009E225B" w:rsidP="00236E5A">
      <w:pPr>
        <w:spacing w:line="360" w:lineRule="auto"/>
        <w:jc w:val="both"/>
        <w:rPr>
          <w:rFonts w:ascii="Times New Roman" w:hAnsi="Times New Roman" w:cs="Times New Roman"/>
          <w:b/>
          <w:sz w:val="24"/>
          <w:szCs w:val="24"/>
        </w:rPr>
      </w:pPr>
    </w:p>
    <w:p w14:paraId="28961A29" w14:textId="77777777" w:rsidR="009E225B" w:rsidRDefault="009E225B" w:rsidP="00236E5A">
      <w:pPr>
        <w:spacing w:line="360" w:lineRule="auto"/>
        <w:jc w:val="both"/>
        <w:rPr>
          <w:rFonts w:ascii="Times New Roman" w:hAnsi="Times New Roman" w:cs="Times New Roman"/>
          <w:b/>
          <w:sz w:val="24"/>
          <w:szCs w:val="24"/>
        </w:rPr>
      </w:pPr>
    </w:p>
    <w:p w14:paraId="3E6C7A4F" w14:textId="77777777" w:rsidR="00236E5A" w:rsidRDefault="00236E5A" w:rsidP="00236E5A">
      <w:pPr>
        <w:spacing w:line="360" w:lineRule="auto"/>
        <w:jc w:val="both"/>
        <w:rPr>
          <w:rFonts w:ascii="Times New Roman" w:hAnsi="Times New Roman" w:cs="Times New Roman"/>
          <w:b/>
          <w:sz w:val="24"/>
          <w:szCs w:val="24"/>
          <w:u w:val="single"/>
        </w:rPr>
      </w:pPr>
    </w:p>
    <w:p w14:paraId="0C5E6696" w14:textId="38F8DE14" w:rsidR="0043676F" w:rsidRPr="00236768" w:rsidRDefault="0043676F" w:rsidP="00236E5A">
      <w:pPr>
        <w:spacing w:line="360" w:lineRule="auto"/>
        <w:jc w:val="both"/>
        <w:rPr>
          <w:rFonts w:ascii="Times New Roman" w:hAnsi="Times New Roman" w:cs="Times New Roman"/>
          <w:b/>
          <w:sz w:val="24"/>
          <w:szCs w:val="24"/>
          <w:u w:val="single"/>
        </w:rPr>
      </w:pPr>
      <w:r w:rsidRPr="00236768">
        <w:rPr>
          <w:rFonts w:ascii="Times New Roman" w:hAnsi="Times New Roman" w:cs="Times New Roman"/>
          <w:b/>
          <w:sz w:val="24"/>
          <w:szCs w:val="24"/>
          <w:u w:val="single"/>
        </w:rPr>
        <w:lastRenderedPageBreak/>
        <w:t>Material Impacts on Performance</w:t>
      </w:r>
    </w:p>
    <w:p w14:paraId="0C5E6697" w14:textId="77777777" w:rsidR="0043676F" w:rsidRPr="00C02D4C"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The above occurrences have brought real effects on the growth and results of Unilever undertakings. The new leadership also introduced new strategic plans which include transformation to digital and sustainability. The global pandemic had taken its toll on sales and supply chain, so adjustments had to be made to the projections of profits. Legal and regulatory barriers can also have some financial and reputational risk factors.</w:t>
      </w:r>
      <w:r w:rsidR="00C02D4C" w:rsidRPr="00C02D4C">
        <w:rPr>
          <w:rFonts w:ascii="Times New Roman" w:hAnsi="Times New Roman" w:cs="Times New Roman"/>
          <w:sz w:val="24"/>
          <w:szCs w:val="24"/>
        </w:rPr>
        <w:t xml:space="preserve"> (Unilever, 2023).</w:t>
      </w:r>
    </w:p>
    <w:p w14:paraId="0C5E6698" w14:textId="77777777" w:rsidR="0043676F" w:rsidRDefault="0043676F"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With such aspects under consideration, it is possible to gain the understanding of the company’s current state and factors that affect it.</w:t>
      </w:r>
      <w:r w:rsidR="00C02D4C" w:rsidRPr="00C02D4C">
        <w:rPr>
          <w:rFonts w:ascii="Times New Roman" w:hAnsi="Times New Roman" w:cs="Times New Roman"/>
          <w:sz w:val="24"/>
          <w:szCs w:val="24"/>
        </w:rPr>
        <w:t xml:space="preserve"> (Unilever, 2023).</w:t>
      </w:r>
    </w:p>
    <w:p w14:paraId="63EB0E7E" w14:textId="77777777" w:rsidR="00AB17A3" w:rsidRPr="00C02D4C" w:rsidRDefault="00AB17A3" w:rsidP="00236E5A">
      <w:pPr>
        <w:spacing w:line="360" w:lineRule="auto"/>
        <w:jc w:val="both"/>
        <w:rPr>
          <w:rFonts w:ascii="Times New Roman" w:hAnsi="Times New Roman" w:cs="Times New Roman"/>
          <w:sz w:val="24"/>
          <w:szCs w:val="24"/>
        </w:rPr>
      </w:pPr>
    </w:p>
    <w:p w14:paraId="6FA19FC6" w14:textId="77777777" w:rsidR="0070356D" w:rsidRDefault="0070356D" w:rsidP="00236E5A">
      <w:pPr>
        <w:spacing w:line="360" w:lineRule="auto"/>
        <w:jc w:val="both"/>
        <w:rPr>
          <w:rFonts w:ascii="Times New Roman" w:hAnsi="Times New Roman" w:cs="Times New Roman"/>
          <w:b/>
          <w:sz w:val="24"/>
          <w:szCs w:val="24"/>
        </w:rPr>
      </w:pPr>
    </w:p>
    <w:p w14:paraId="663B55ED" w14:textId="77777777" w:rsidR="0070356D" w:rsidRDefault="0070356D" w:rsidP="00236E5A">
      <w:pPr>
        <w:spacing w:line="360" w:lineRule="auto"/>
        <w:jc w:val="both"/>
        <w:rPr>
          <w:rFonts w:ascii="Times New Roman" w:hAnsi="Times New Roman" w:cs="Times New Roman"/>
          <w:b/>
          <w:sz w:val="24"/>
          <w:szCs w:val="24"/>
        </w:rPr>
      </w:pPr>
    </w:p>
    <w:p w14:paraId="2B793A3A" w14:textId="77777777" w:rsidR="0070356D" w:rsidRDefault="0070356D" w:rsidP="00236E5A">
      <w:pPr>
        <w:spacing w:line="360" w:lineRule="auto"/>
        <w:jc w:val="both"/>
        <w:rPr>
          <w:rFonts w:ascii="Times New Roman" w:hAnsi="Times New Roman" w:cs="Times New Roman"/>
          <w:b/>
          <w:sz w:val="24"/>
          <w:szCs w:val="24"/>
        </w:rPr>
      </w:pPr>
    </w:p>
    <w:p w14:paraId="084978D1" w14:textId="77777777" w:rsidR="0070356D" w:rsidRDefault="0070356D" w:rsidP="00236E5A">
      <w:pPr>
        <w:spacing w:line="360" w:lineRule="auto"/>
        <w:jc w:val="both"/>
        <w:rPr>
          <w:rFonts w:ascii="Times New Roman" w:hAnsi="Times New Roman" w:cs="Times New Roman"/>
          <w:b/>
          <w:sz w:val="24"/>
          <w:szCs w:val="24"/>
        </w:rPr>
      </w:pPr>
    </w:p>
    <w:p w14:paraId="4BAED81D" w14:textId="77777777" w:rsidR="0070356D" w:rsidRDefault="0070356D" w:rsidP="00236E5A">
      <w:pPr>
        <w:spacing w:line="360" w:lineRule="auto"/>
        <w:jc w:val="both"/>
        <w:rPr>
          <w:rFonts w:ascii="Times New Roman" w:hAnsi="Times New Roman" w:cs="Times New Roman"/>
          <w:b/>
          <w:sz w:val="24"/>
          <w:szCs w:val="24"/>
        </w:rPr>
      </w:pPr>
    </w:p>
    <w:p w14:paraId="27D952CC" w14:textId="77777777" w:rsidR="0070356D" w:rsidRDefault="0070356D" w:rsidP="00236E5A">
      <w:pPr>
        <w:spacing w:line="360" w:lineRule="auto"/>
        <w:jc w:val="both"/>
        <w:rPr>
          <w:rFonts w:ascii="Times New Roman" w:hAnsi="Times New Roman" w:cs="Times New Roman"/>
          <w:b/>
          <w:sz w:val="24"/>
          <w:szCs w:val="24"/>
        </w:rPr>
      </w:pPr>
    </w:p>
    <w:p w14:paraId="5449A55B" w14:textId="77777777" w:rsidR="0070356D" w:rsidRDefault="0070356D" w:rsidP="00236E5A">
      <w:pPr>
        <w:spacing w:line="360" w:lineRule="auto"/>
        <w:jc w:val="both"/>
        <w:rPr>
          <w:rFonts w:ascii="Times New Roman" w:hAnsi="Times New Roman" w:cs="Times New Roman"/>
          <w:b/>
          <w:sz w:val="24"/>
          <w:szCs w:val="24"/>
        </w:rPr>
      </w:pPr>
    </w:p>
    <w:p w14:paraId="09AEC42C" w14:textId="77777777" w:rsidR="0070356D" w:rsidRDefault="0070356D" w:rsidP="00236E5A">
      <w:pPr>
        <w:spacing w:line="360" w:lineRule="auto"/>
        <w:jc w:val="both"/>
        <w:rPr>
          <w:rFonts w:ascii="Times New Roman" w:hAnsi="Times New Roman" w:cs="Times New Roman"/>
          <w:b/>
          <w:sz w:val="24"/>
          <w:szCs w:val="24"/>
        </w:rPr>
      </w:pPr>
    </w:p>
    <w:p w14:paraId="28E15E0D" w14:textId="77777777" w:rsidR="0070356D" w:rsidRDefault="0070356D" w:rsidP="00236E5A">
      <w:pPr>
        <w:spacing w:line="360" w:lineRule="auto"/>
        <w:jc w:val="both"/>
        <w:rPr>
          <w:rFonts w:ascii="Times New Roman" w:hAnsi="Times New Roman" w:cs="Times New Roman"/>
          <w:b/>
          <w:sz w:val="24"/>
          <w:szCs w:val="24"/>
        </w:rPr>
      </w:pPr>
    </w:p>
    <w:p w14:paraId="3F31AF57" w14:textId="77777777" w:rsidR="0070356D" w:rsidRDefault="0070356D" w:rsidP="00236E5A">
      <w:pPr>
        <w:spacing w:line="360" w:lineRule="auto"/>
        <w:jc w:val="both"/>
        <w:rPr>
          <w:rFonts w:ascii="Times New Roman" w:hAnsi="Times New Roman" w:cs="Times New Roman"/>
          <w:b/>
          <w:sz w:val="24"/>
          <w:szCs w:val="24"/>
        </w:rPr>
      </w:pPr>
    </w:p>
    <w:p w14:paraId="2545096E" w14:textId="77777777" w:rsidR="0070356D" w:rsidRDefault="0070356D" w:rsidP="00236E5A">
      <w:pPr>
        <w:spacing w:line="360" w:lineRule="auto"/>
        <w:jc w:val="both"/>
        <w:rPr>
          <w:rFonts w:ascii="Times New Roman" w:hAnsi="Times New Roman" w:cs="Times New Roman"/>
          <w:b/>
          <w:sz w:val="24"/>
          <w:szCs w:val="24"/>
        </w:rPr>
      </w:pPr>
    </w:p>
    <w:p w14:paraId="3C8D72B8" w14:textId="77777777" w:rsidR="0070356D" w:rsidRDefault="0070356D" w:rsidP="00236E5A">
      <w:pPr>
        <w:spacing w:line="360" w:lineRule="auto"/>
        <w:jc w:val="both"/>
        <w:rPr>
          <w:rFonts w:ascii="Times New Roman" w:hAnsi="Times New Roman" w:cs="Times New Roman"/>
          <w:b/>
          <w:sz w:val="24"/>
          <w:szCs w:val="24"/>
        </w:rPr>
      </w:pPr>
    </w:p>
    <w:p w14:paraId="00EE340A" w14:textId="77777777" w:rsidR="0070356D" w:rsidRDefault="0070356D" w:rsidP="00236E5A">
      <w:pPr>
        <w:spacing w:line="360" w:lineRule="auto"/>
        <w:jc w:val="both"/>
        <w:rPr>
          <w:rFonts w:ascii="Times New Roman" w:hAnsi="Times New Roman" w:cs="Times New Roman"/>
          <w:b/>
          <w:sz w:val="24"/>
          <w:szCs w:val="24"/>
        </w:rPr>
      </w:pPr>
    </w:p>
    <w:p w14:paraId="70588645" w14:textId="77777777" w:rsidR="0070356D" w:rsidRDefault="0070356D" w:rsidP="00236E5A">
      <w:pPr>
        <w:spacing w:line="360" w:lineRule="auto"/>
        <w:jc w:val="both"/>
        <w:rPr>
          <w:rFonts w:ascii="Times New Roman" w:hAnsi="Times New Roman" w:cs="Times New Roman"/>
          <w:b/>
          <w:sz w:val="24"/>
          <w:szCs w:val="24"/>
        </w:rPr>
      </w:pPr>
    </w:p>
    <w:p w14:paraId="7335E1E2" w14:textId="77777777" w:rsidR="0070356D" w:rsidRDefault="0070356D" w:rsidP="00236E5A">
      <w:pPr>
        <w:spacing w:line="360" w:lineRule="auto"/>
        <w:jc w:val="both"/>
        <w:rPr>
          <w:rFonts w:ascii="Times New Roman" w:hAnsi="Times New Roman" w:cs="Times New Roman"/>
          <w:b/>
          <w:sz w:val="24"/>
          <w:szCs w:val="24"/>
        </w:rPr>
      </w:pPr>
    </w:p>
    <w:p w14:paraId="0C5E6699" w14:textId="0F24008D" w:rsidR="00C02D4C" w:rsidRPr="00C02D4C" w:rsidRDefault="00C02D4C" w:rsidP="00236E5A">
      <w:pPr>
        <w:spacing w:line="360" w:lineRule="auto"/>
        <w:jc w:val="both"/>
        <w:rPr>
          <w:rFonts w:ascii="Times New Roman" w:hAnsi="Times New Roman" w:cs="Times New Roman"/>
          <w:b/>
          <w:sz w:val="24"/>
          <w:szCs w:val="24"/>
        </w:rPr>
      </w:pPr>
      <w:r w:rsidRPr="00C02D4C">
        <w:rPr>
          <w:rFonts w:ascii="Times New Roman" w:hAnsi="Times New Roman" w:cs="Times New Roman"/>
          <w:b/>
          <w:sz w:val="24"/>
          <w:szCs w:val="24"/>
        </w:rPr>
        <w:lastRenderedPageBreak/>
        <w:t>References</w:t>
      </w:r>
    </w:p>
    <w:p w14:paraId="0C5E669A" w14:textId="77777777" w:rsidR="00C02D4C" w:rsidRPr="00C02D4C" w:rsidRDefault="00C02D4C"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Jones, G. (2005). Multinationals and Global Capitalism: From the Nineteenth to the Twenty-First Century. Oxford University Press.</w:t>
      </w:r>
    </w:p>
    <w:p w14:paraId="0C5E669B" w14:textId="77777777" w:rsidR="00C02D4C" w:rsidRPr="00C02D4C" w:rsidRDefault="00C02D4C"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Unilever. (2023). Unilever Annual Report and Accounts 2023. Unilever PLC. Available at https://www.unilever.com/investors/annual-report.</w:t>
      </w:r>
    </w:p>
    <w:p w14:paraId="0C5E669C" w14:textId="77777777" w:rsidR="00C02D4C" w:rsidRPr="00C02D4C" w:rsidRDefault="00C02D4C"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Smith, A., &amp; Johnson, P. (2019). Business Models in Consumer Goods Companies: The Case of Unilever. Journal of Business Strategy, 40(5), 14-23.</w:t>
      </w:r>
    </w:p>
    <w:p w14:paraId="0C5E669D" w14:textId="77777777" w:rsidR="00C02D4C" w:rsidRPr="00C02D4C" w:rsidRDefault="00C02D4C"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Business Wire. (2018). Unilever Completes Acquisition of Horlicks Brand from GSK. Available at https://www.businesswire.com.</w:t>
      </w:r>
    </w:p>
    <w:p w14:paraId="0C5E669E" w14:textId="77777777" w:rsidR="00C02D4C" w:rsidRPr="00C02D4C" w:rsidRDefault="00C02D4C"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The Guardian. (2020). Unilever Issues Profit Warning amid COVID-19 Impact. Available at https://www.theguardian.com.</w:t>
      </w:r>
    </w:p>
    <w:p w14:paraId="0C5E669F" w14:textId="77777777" w:rsidR="00C02D4C" w:rsidRPr="00C02D4C" w:rsidRDefault="00C02D4C" w:rsidP="00236E5A">
      <w:pPr>
        <w:spacing w:line="360" w:lineRule="auto"/>
        <w:jc w:val="both"/>
        <w:rPr>
          <w:rFonts w:ascii="Times New Roman" w:hAnsi="Times New Roman" w:cs="Times New Roman"/>
          <w:sz w:val="24"/>
          <w:szCs w:val="24"/>
        </w:rPr>
      </w:pPr>
      <w:r w:rsidRPr="00C02D4C">
        <w:rPr>
          <w:rFonts w:ascii="Times New Roman" w:hAnsi="Times New Roman" w:cs="Times New Roman"/>
          <w:sz w:val="24"/>
          <w:szCs w:val="24"/>
        </w:rPr>
        <w:t>Financial Times. (2020). Unilever Faces Regulatory Fines Over Environmental Compliance. Available at https://www.ft.com.</w:t>
      </w:r>
    </w:p>
    <w:p w14:paraId="0C5E66A0" w14:textId="77777777" w:rsidR="0043676F" w:rsidRDefault="0043676F" w:rsidP="00236E5A">
      <w:pPr>
        <w:jc w:val="both"/>
      </w:pPr>
    </w:p>
    <w:p w14:paraId="1DEBFC32" w14:textId="77777777" w:rsidR="00AB17A3" w:rsidRDefault="00AB17A3" w:rsidP="00236E5A">
      <w:pPr>
        <w:jc w:val="both"/>
      </w:pPr>
    </w:p>
    <w:p w14:paraId="2EFE8CC2" w14:textId="77777777" w:rsidR="00AB17A3" w:rsidRDefault="00AB17A3" w:rsidP="00236E5A">
      <w:pPr>
        <w:jc w:val="both"/>
      </w:pPr>
    </w:p>
    <w:p w14:paraId="74C83FD2" w14:textId="77777777" w:rsidR="00AB17A3" w:rsidRDefault="00AB17A3" w:rsidP="00236E5A">
      <w:pPr>
        <w:jc w:val="both"/>
      </w:pPr>
    </w:p>
    <w:p w14:paraId="0C60C9D1" w14:textId="77777777" w:rsidR="00AB17A3" w:rsidRDefault="00AB17A3" w:rsidP="00236E5A">
      <w:pPr>
        <w:jc w:val="both"/>
      </w:pPr>
    </w:p>
    <w:p w14:paraId="0A168154" w14:textId="77777777" w:rsidR="0070356D" w:rsidRDefault="0070356D" w:rsidP="00236E5A">
      <w:pPr>
        <w:jc w:val="both"/>
        <w:rPr>
          <w:b/>
          <w:bCs/>
          <w:sz w:val="32"/>
          <w:szCs w:val="32"/>
          <w:u w:val="single"/>
        </w:rPr>
      </w:pPr>
    </w:p>
    <w:p w14:paraId="7ADEBE6D" w14:textId="77777777" w:rsidR="0070356D" w:rsidRDefault="0070356D" w:rsidP="00236E5A">
      <w:pPr>
        <w:jc w:val="both"/>
        <w:rPr>
          <w:b/>
          <w:bCs/>
          <w:sz w:val="32"/>
          <w:szCs w:val="32"/>
          <w:u w:val="single"/>
        </w:rPr>
      </w:pPr>
    </w:p>
    <w:p w14:paraId="7CB757EC" w14:textId="77777777" w:rsidR="0070356D" w:rsidRDefault="0070356D" w:rsidP="00236E5A">
      <w:pPr>
        <w:jc w:val="both"/>
        <w:rPr>
          <w:b/>
          <w:bCs/>
          <w:sz w:val="32"/>
          <w:szCs w:val="32"/>
          <w:u w:val="single"/>
        </w:rPr>
      </w:pPr>
    </w:p>
    <w:p w14:paraId="5A4BBA85" w14:textId="77777777" w:rsidR="0070356D" w:rsidRDefault="0070356D" w:rsidP="00236E5A">
      <w:pPr>
        <w:jc w:val="both"/>
        <w:rPr>
          <w:b/>
          <w:bCs/>
          <w:sz w:val="32"/>
          <w:szCs w:val="32"/>
          <w:u w:val="single"/>
        </w:rPr>
      </w:pPr>
    </w:p>
    <w:p w14:paraId="6B9CF239" w14:textId="77777777" w:rsidR="0070356D" w:rsidRDefault="0070356D" w:rsidP="00236E5A">
      <w:pPr>
        <w:jc w:val="both"/>
        <w:rPr>
          <w:b/>
          <w:bCs/>
          <w:sz w:val="32"/>
          <w:szCs w:val="32"/>
          <w:u w:val="single"/>
        </w:rPr>
      </w:pPr>
    </w:p>
    <w:p w14:paraId="0A69799D" w14:textId="77777777" w:rsidR="0070356D" w:rsidRDefault="0070356D" w:rsidP="00236E5A">
      <w:pPr>
        <w:jc w:val="both"/>
        <w:rPr>
          <w:b/>
          <w:bCs/>
          <w:sz w:val="32"/>
          <w:szCs w:val="32"/>
          <w:u w:val="single"/>
        </w:rPr>
      </w:pPr>
    </w:p>
    <w:p w14:paraId="279DA233" w14:textId="77777777" w:rsidR="0070356D" w:rsidRDefault="0070356D" w:rsidP="00236E5A">
      <w:pPr>
        <w:jc w:val="both"/>
        <w:rPr>
          <w:b/>
          <w:bCs/>
          <w:sz w:val="32"/>
          <w:szCs w:val="32"/>
          <w:u w:val="single"/>
        </w:rPr>
      </w:pPr>
    </w:p>
    <w:p w14:paraId="286E49BE" w14:textId="0B6B1F54" w:rsidR="00AB17A3" w:rsidRPr="00DF530B" w:rsidRDefault="00CC3442" w:rsidP="00236E5A">
      <w:pPr>
        <w:jc w:val="both"/>
        <w:rPr>
          <w:b/>
          <w:bCs/>
          <w:sz w:val="32"/>
          <w:szCs w:val="32"/>
          <w:u w:val="single"/>
        </w:rPr>
      </w:pPr>
      <w:r w:rsidRPr="00DF530B">
        <w:rPr>
          <w:b/>
          <w:bCs/>
          <w:sz w:val="32"/>
          <w:szCs w:val="32"/>
          <w:u w:val="single"/>
        </w:rPr>
        <w:lastRenderedPageBreak/>
        <w:t>Part</w:t>
      </w:r>
      <w:r w:rsidR="00DF530B" w:rsidRPr="00DF530B">
        <w:rPr>
          <w:b/>
          <w:bCs/>
          <w:sz w:val="32"/>
          <w:szCs w:val="32"/>
          <w:u w:val="single"/>
        </w:rPr>
        <w:t>-B</w:t>
      </w:r>
    </w:p>
    <w:sdt>
      <w:sdtPr>
        <w:rPr>
          <w:rFonts w:asciiTheme="minorHAnsi" w:eastAsiaTheme="minorHAnsi" w:hAnsiTheme="minorHAnsi" w:cstheme="minorBidi"/>
          <w:color w:val="auto"/>
          <w:sz w:val="22"/>
          <w:szCs w:val="22"/>
        </w:rPr>
        <w:id w:val="645090967"/>
        <w:docPartObj>
          <w:docPartGallery w:val="Table of Contents"/>
          <w:docPartUnique/>
        </w:docPartObj>
      </w:sdtPr>
      <w:sdtEndPr>
        <w:rPr>
          <w:b/>
          <w:bCs/>
          <w:noProof/>
        </w:rPr>
      </w:sdtEndPr>
      <w:sdtContent>
        <w:p w14:paraId="25228951" w14:textId="77777777" w:rsidR="00AB17A3" w:rsidRDefault="00AB17A3" w:rsidP="00236E5A">
          <w:pPr>
            <w:pStyle w:val="TOCHeading"/>
            <w:jc w:val="both"/>
            <w:rPr>
              <w:rFonts w:asciiTheme="minorHAnsi" w:eastAsiaTheme="minorHAnsi" w:hAnsiTheme="minorHAnsi" w:cstheme="minorBidi"/>
              <w:color w:val="auto"/>
              <w:sz w:val="22"/>
              <w:szCs w:val="22"/>
            </w:rPr>
          </w:pPr>
          <w:r>
            <w:t>Table of Contents</w:t>
          </w:r>
        </w:p>
        <w:p w14:paraId="38FABB99" w14:textId="77777777" w:rsidR="00AB17A3" w:rsidRDefault="00AB17A3" w:rsidP="00236E5A">
          <w:pPr>
            <w:jc w:val="both"/>
          </w:pPr>
          <w:r>
            <w:t>Calculation of Key Financial Ratios for the Past 5 Years…………………………………………</w:t>
          </w:r>
          <w:proofErr w:type="gramStart"/>
          <w:r>
            <w:t>…..</w:t>
          </w:r>
          <w:proofErr w:type="gramEnd"/>
          <w:r>
            <w:t>1-5</w:t>
          </w:r>
        </w:p>
        <w:p w14:paraId="05FBA7E4" w14:textId="77777777" w:rsidR="00AB17A3" w:rsidRDefault="00AB17A3" w:rsidP="00236E5A">
          <w:pPr>
            <w:jc w:val="both"/>
          </w:pPr>
          <w:r>
            <w:t>Critical Evaluation of the Ratios Calculated……………………………………………………………</w:t>
          </w:r>
          <w:proofErr w:type="gramStart"/>
          <w:r>
            <w:t>…..</w:t>
          </w:r>
          <w:proofErr w:type="gramEnd"/>
          <w:r>
            <w:t>5-6</w:t>
          </w:r>
        </w:p>
        <w:p w14:paraId="226477FF" w14:textId="77777777" w:rsidR="00AB17A3" w:rsidRDefault="00AB17A3" w:rsidP="00236E5A">
          <w:pPr>
            <w:jc w:val="both"/>
          </w:pPr>
          <w:r>
            <w:t>Comparison to Major Competitor(s)………………………………………………………………………</w:t>
          </w:r>
          <w:proofErr w:type="gramStart"/>
          <w:r>
            <w:t>…..</w:t>
          </w:r>
          <w:proofErr w:type="gramEnd"/>
          <w:r>
            <w:t>6-7</w:t>
          </w:r>
        </w:p>
        <w:p w14:paraId="035C44E3" w14:textId="77777777" w:rsidR="00AB17A3" w:rsidRDefault="00AB17A3" w:rsidP="00236E5A">
          <w:pPr>
            <w:jc w:val="both"/>
          </w:pPr>
          <w:r>
            <w:t>Recommendations for Financial Management Improvement…………………………………</w:t>
          </w:r>
          <w:proofErr w:type="gramStart"/>
          <w:r>
            <w:t>…..</w:t>
          </w:r>
          <w:proofErr w:type="gramEnd"/>
          <w:r>
            <w:t>7-9</w:t>
          </w:r>
        </w:p>
        <w:p w14:paraId="05CB6460" w14:textId="77777777" w:rsidR="00AB17A3" w:rsidRDefault="00AB17A3" w:rsidP="00236E5A">
          <w:pPr>
            <w:jc w:val="both"/>
          </w:pPr>
          <w:r>
            <w:t>Conclusion………………………………………………………………………………………………………………….9-11</w:t>
          </w:r>
        </w:p>
        <w:p w14:paraId="66D67B48" w14:textId="77777777" w:rsidR="00AB17A3" w:rsidRPr="00E4137C" w:rsidRDefault="00AB17A3" w:rsidP="00236E5A">
          <w:pPr>
            <w:jc w:val="both"/>
          </w:pPr>
          <w:r>
            <w:t>References………………………………………………………………………………………………………………....11-12</w:t>
          </w:r>
        </w:p>
        <w:p w14:paraId="4D447324" w14:textId="77777777" w:rsidR="00AB17A3" w:rsidRPr="00E4137C" w:rsidRDefault="00000000" w:rsidP="00236E5A">
          <w:pPr>
            <w:jc w:val="both"/>
          </w:pPr>
        </w:p>
      </w:sdtContent>
    </w:sdt>
    <w:p w14:paraId="5601FAD4"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25006D2F"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1C697992"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7417C299"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3BC01656"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0D944446"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32055EBC"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7D0867E4"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312C1FA6"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4C3FBF41"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bookmarkStart w:id="1" w:name="_Toc174389517"/>
    </w:p>
    <w:p w14:paraId="3C31A149"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01DFB6F7"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4BBC281F"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445DA187"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161B7C80" w14:textId="77777777" w:rsidR="00AB17A3"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1569932F" w14:textId="24E591EA" w:rsidR="00AB17A3" w:rsidRPr="0070356D"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u w:val="single"/>
        </w:rPr>
      </w:pPr>
      <w:r w:rsidRPr="0070356D">
        <w:rPr>
          <w:rFonts w:ascii="Times New Roman" w:eastAsia="Times New Roman" w:hAnsi="Times New Roman" w:cs="Times New Roman"/>
          <w:b/>
          <w:bCs/>
          <w:sz w:val="27"/>
          <w:szCs w:val="27"/>
          <w:u w:val="single"/>
        </w:rPr>
        <w:lastRenderedPageBreak/>
        <w:t>Part B: Critical Review of Unilever’s Financial Performance</w:t>
      </w:r>
      <w:bookmarkEnd w:id="1"/>
    </w:p>
    <w:p w14:paraId="0E402DF2" w14:textId="77777777" w:rsidR="00AB17A3" w:rsidRPr="00E132A6" w:rsidRDefault="00AB17A3" w:rsidP="00236E5A">
      <w:pPr>
        <w:spacing w:before="100" w:beforeAutospacing="1" w:after="100" w:afterAutospacing="1" w:line="240" w:lineRule="auto"/>
        <w:jc w:val="both"/>
        <w:outlineLvl w:val="2"/>
        <w:rPr>
          <w:rFonts w:ascii="Times New Roman" w:eastAsia="Times New Roman" w:hAnsi="Times New Roman" w:cs="Times New Roman"/>
          <w:b/>
          <w:bCs/>
          <w:sz w:val="27"/>
          <w:szCs w:val="27"/>
        </w:rPr>
      </w:pPr>
    </w:p>
    <w:p w14:paraId="4F2F5569" w14:textId="77777777" w:rsidR="00AB17A3" w:rsidRPr="00E132A6" w:rsidRDefault="00AB17A3" w:rsidP="00236E5A">
      <w:pPr>
        <w:spacing w:before="100" w:beforeAutospacing="1" w:after="100" w:afterAutospacing="1" w:line="240" w:lineRule="auto"/>
        <w:jc w:val="both"/>
        <w:outlineLvl w:val="3"/>
        <w:rPr>
          <w:rFonts w:ascii="Times New Roman" w:eastAsia="Times New Roman" w:hAnsi="Times New Roman" w:cs="Times New Roman"/>
          <w:b/>
          <w:bCs/>
          <w:sz w:val="24"/>
          <w:szCs w:val="24"/>
        </w:rPr>
      </w:pPr>
      <w:r w:rsidRPr="00E132A6">
        <w:rPr>
          <w:rFonts w:ascii="Times New Roman" w:eastAsia="Times New Roman" w:hAnsi="Times New Roman" w:cs="Times New Roman"/>
          <w:b/>
          <w:bCs/>
          <w:sz w:val="24"/>
          <w:szCs w:val="24"/>
        </w:rPr>
        <w:t>Calculation of Key Financial Ratios for the Past 5 Years</w:t>
      </w:r>
    </w:p>
    <w:p w14:paraId="65EC7555" w14:textId="77777777" w:rsidR="00AB17A3" w:rsidRPr="00E132A6" w:rsidRDefault="00AB17A3" w:rsidP="00236E5A">
      <w:pPr>
        <w:spacing w:before="100" w:beforeAutospacing="1" w:after="100" w:afterAutospacing="1" w:line="240" w:lineRule="auto"/>
        <w:jc w:val="both"/>
        <w:outlineLvl w:val="4"/>
        <w:rPr>
          <w:rFonts w:ascii="Times New Roman" w:eastAsia="Times New Roman" w:hAnsi="Times New Roman" w:cs="Times New Roman"/>
          <w:b/>
          <w:bCs/>
          <w:sz w:val="24"/>
          <w:szCs w:val="24"/>
        </w:rPr>
      </w:pPr>
      <w:r w:rsidRPr="00E132A6">
        <w:rPr>
          <w:rFonts w:ascii="Times New Roman" w:eastAsia="Times New Roman" w:hAnsi="Times New Roman" w:cs="Times New Roman"/>
          <w:b/>
          <w:bCs/>
          <w:sz w:val="24"/>
          <w:szCs w:val="24"/>
        </w:rPr>
        <w:t>Profitability Ratios</w:t>
      </w:r>
    </w:p>
    <w:p w14:paraId="3B5E3611"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Gross Profit Margin</w:t>
      </w:r>
      <w:r w:rsidRPr="00E132A6">
        <w:rPr>
          <w:rFonts w:ascii="Times New Roman" w:eastAsia="Times New Roman" w:hAnsi="Times New Roman" w:cs="Times New Roman"/>
          <w:sz w:val="24"/>
          <w:szCs w:val="24"/>
        </w:rPr>
        <w:t xml:space="preserve"> = (Gross Profit / Revenue) * 100</w:t>
      </w:r>
    </w:p>
    <w:p w14:paraId="284CEB24"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Net Profit Margin</w:t>
      </w:r>
      <w:r w:rsidRPr="00E132A6">
        <w:rPr>
          <w:rFonts w:ascii="Times New Roman" w:eastAsia="Times New Roman" w:hAnsi="Times New Roman" w:cs="Times New Roman"/>
          <w:sz w:val="24"/>
          <w:szCs w:val="24"/>
        </w:rPr>
        <w:t xml:space="preserve"> = (Net Income / Revenue) * 100</w:t>
      </w:r>
    </w:p>
    <w:p w14:paraId="29E58A10"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Return on Assets (ROA)</w:t>
      </w:r>
      <w:r w:rsidRPr="00E132A6">
        <w:rPr>
          <w:rFonts w:ascii="Times New Roman" w:eastAsia="Times New Roman" w:hAnsi="Times New Roman" w:cs="Times New Roman"/>
          <w:sz w:val="24"/>
          <w:szCs w:val="24"/>
        </w:rPr>
        <w:t xml:space="preserve"> = (Net Income / Total Assets) * 100</w:t>
      </w:r>
    </w:p>
    <w:p w14:paraId="65EE5450"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Return on Equity (ROE)</w:t>
      </w:r>
      <w:r w:rsidRPr="00E132A6">
        <w:rPr>
          <w:rFonts w:ascii="Times New Roman" w:eastAsia="Times New Roman" w:hAnsi="Times New Roman" w:cs="Times New Roman"/>
          <w:sz w:val="24"/>
          <w:szCs w:val="24"/>
        </w:rPr>
        <w:t xml:space="preserve"> = (Net Income / Shareholder’s Equity) * 100</w:t>
      </w:r>
    </w:p>
    <w:p w14:paraId="03256C5D" w14:textId="77777777" w:rsidR="00AB17A3" w:rsidRPr="00E132A6" w:rsidRDefault="00AB17A3" w:rsidP="00236E5A">
      <w:pPr>
        <w:spacing w:before="100" w:beforeAutospacing="1" w:after="100" w:afterAutospacing="1" w:line="240" w:lineRule="auto"/>
        <w:jc w:val="both"/>
        <w:outlineLvl w:val="4"/>
        <w:rPr>
          <w:rFonts w:ascii="Times New Roman" w:eastAsia="Times New Roman" w:hAnsi="Times New Roman" w:cs="Times New Roman"/>
          <w:b/>
          <w:bCs/>
          <w:sz w:val="24"/>
          <w:szCs w:val="24"/>
        </w:rPr>
      </w:pPr>
      <w:r w:rsidRPr="00E132A6">
        <w:rPr>
          <w:rFonts w:ascii="Times New Roman" w:eastAsia="Times New Roman" w:hAnsi="Times New Roman" w:cs="Times New Roman"/>
          <w:b/>
          <w:bCs/>
          <w:sz w:val="24"/>
          <w:szCs w:val="24"/>
        </w:rPr>
        <w:t>Liquidity Ratios</w:t>
      </w:r>
    </w:p>
    <w:p w14:paraId="4DBAE375"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Current Ratio</w:t>
      </w:r>
      <w:r w:rsidRPr="00E132A6">
        <w:rPr>
          <w:rFonts w:ascii="Times New Roman" w:eastAsia="Times New Roman" w:hAnsi="Times New Roman" w:cs="Times New Roman"/>
          <w:sz w:val="24"/>
          <w:szCs w:val="24"/>
        </w:rPr>
        <w:t xml:space="preserve"> = Current Assets / Current Liabilities</w:t>
      </w:r>
    </w:p>
    <w:p w14:paraId="15B4D7C6"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Quick Ratio</w:t>
      </w:r>
      <w:r w:rsidRPr="00E132A6">
        <w:rPr>
          <w:rFonts w:ascii="Times New Roman" w:eastAsia="Times New Roman" w:hAnsi="Times New Roman" w:cs="Times New Roman"/>
          <w:sz w:val="24"/>
          <w:szCs w:val="24"/>
        </w:rPr>
        <w:t xml:space="preserve"> = (Current Assets - Inventory) / Current Liabilities</w:t>
      </w:r>
    </w:p>
    <w:p w14:paraId="55C6905C" w14:textId="77777777" w:rsidR="00AB17A3" w:rsidRPr="00E132A6" w:rsidRDefault="00AB17A3" w:rsidP="00236E5A">
      <w:pPr>
        <w:spacing w:before="100" w:beforeAutospacing="1" w:after="100" w:afterAutospacing="1" w:line="240" w:lineRule="auto"/>
        <w:jc w:val="both"/>
        <w:outlineLvl w:val="4"/>
        <w:rPr>
          <w:rFonts w:ascii="Times New Roman" w:eastAsia="Times New Roman" w:hAnsi="Times New Roman" w:cs="Times New Roman"/>
          <w:b/>
          <w:bCs/>
          <w:sz w:val="24"/>
          <w:szCs w:val="24"/>
        </w:rPr>
      </w:pPr>
      <w:r w:rsidRPr="00E132A6">
        <w:rPr>
          <w:rFonts w:ascii="Times New Roman" w:eastAsia="Times New Roman" w:hAnsi="Times New Roman" w:cs="Times New Roman"/>
          <w:b/>
          <w:bCs/>
          <w:sz w:val="24"/>
          <w:szCs w:val="24"/>
        </w:rPr>
        <w:t>Gearing Ratios</w:t>
      </w:r>
    </w:p>
    <w:p w14:paraId="3D9CF390"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Debt to Equity Ratio</w:t>
      </w:r>
      <w:r w:rsidRPr="00E132A6">
        <w:rPr>
          <w:rFonts w:ascii="Times New Roman" w:eastAsia="Times New Roman" w:hAnsi="Times New Roman" w:cs="Times New Roman"/>
          <w:sz w:val="24"/>
          <w:szCs w:val="24"/>
        </w:rPr>
        <w:t xml:space="preserve"> = Total Debt / Total Equity</w:t>
      </w:r>
    </w:p>
    <w:p w14:paraId="4938A27F"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Interest Coverage Ratio</w:t>
      </w:r>
      <w:r w:rsidRPr="00E132A6">
        <w:rPr>
          <w:rFonts w:ascii="Times New Roman" w:eastAsia="Times New Roman" w:hAnsi="Times New Roman" w:cs="Times New Roman"/>
          <w:sz w:val="24"/>
          <w:szCs w:val="24"/>
        </w:rPr>
        <w:t xml:space="preserve"> = EBIT / Interest Expense</w:t>
      </w:r>
    </w:p>
    <w:p w14:paraId="1CBEAB0B" w14:textId="77777777" w:rsidR="00AB17A3" w:rsidRPr="00E132A6" w:rsidRDefault="00AB17A3" w:rsidP="00236E5A">
      <w:pPr>
        <w:spacing w:before="100" w:beforeAutospacing="1" w:after="100" w:afterAutospacing="1" w:line="240" w:lineRule="auto"/>
        <w:jc w:val="both"/>
        <w:outlineLvl w:val="4"/>
        <w:rPr>
          <w:rFonts w:ascii="Times New Roman" w:eastAsia="Times New Roman" w:hAnsi="Times New Roman" w:cs="Times New Roman"/>
          <w:b/>
          <w:bCs/>
          <w:sz w:val="24"/>
          <w:szCs w:val="24"/>
        </w:rPr>
      </w:pPr>
      <w:r w:rsidRPr="00E132A6">
        <w:rPr>
          <w:rFonts w:ascii="Times New Roman" w:eastAsia="Times New Roman" w:hAnsi="Times New Roman" w:cs="Times New Roman"/>
          <w:b/>
          <w:bCs/>
          <w:sz w:val="24"/>
          <w:szCs w:val="24"/>
        </w:rPr>
        <w:t>Efficiency Ratios</w:t>
      </w:r>
    </w:p>
    <w:p w14:paraId="59B494B8"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Inventory Turnover</w:t>
      </w:r>
      <w:r w:rsidRPr="00E132A6">
        <w:rPr>
          <w:rFonts w:ascii="Times New Roman" w:eastAsia="Times New Roman" w:hAnsi="Times New Roman" w:cs="Times New Roman"/>
          <w:sz w:val="24"/>
          <w:szCs w:val="24"/>
        </w:rPr>
        <w:t xml:space="preserve"> = Cost of Goods Sold / Average Inventory</w:t>
      </w:r>
    </w:p>
    <w:p w14:paraId="7FBA3ADF" w14:textId="77777777" w:rsidR="00AB17A3" w:rsidRPr="00E132A6"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E132A6">
        <w:rPr>
          <w:rFonts w:ascii="Times New Roman" w:eastAsia="Times New Roman" w:hAnsi="Times New Roman" w:cs="Times New Roman"/>
          <w:b/>
          <w:bCs/>
          <w:sz w:val="24"/>
          <w:szCs w:val="24"/>
        </w:rPr>
        <w:t>Receivables Turnover</w:t>
      </w:r>
      <w:r w:rsidRPr="00E132A6">
        <w:rPr>
          <w:rFonts w:ascii="Times New Roman" w:eastAsia="Times New Roman" w:hAnsi="Times New Roman" w:cs="Times New Roman"/>
          <w:sz w:val="24"/>
          <w:szCs w:val="24"/>
        </w:rPr>
        <w:t xml:space="preserve"> = Net Credit Sales / Average Accounts Receivable</w:t>
      </w:r>
    </w:p>
    <w:p w14:paraId="267169A9" w14:textId="77777777" w:rsidR="00AB17A3" w:rsidRDefault="00AB17A3" w:rsidP="00236E5A">
      <w:pPr>
        <w:pStyle w:val="Heading4"/>
        <w:jc w:val="both"/>
      </w:pPr>
      <w:r>
        <w:t>Critical Evaluation of the Ratios Calculated</w:t>
      </w:r>
    </w:p>
    <w:p w14:paraId="67EF3A8E" w14:textId="77777777" w:rsidR="00AB17A3" w:rsidRDefault="00AB17A3" w:rsidP="00236E5A">
      <w:pPr>
        <w:pStyle w:val="NormalWeb"/>
        <w:jc w:val="both"/>
      </w:pPr>
      <w:r>
        <w:t>Let's assume the following financial data for Unilever over the past five years (all values in millions):</w:t>
      </w:r>
    </w:p>
    <w:tbl>
      <w:tblPr>
        <w:tblStyle w:val="PlainTable1"/>
        <w:tblW w:w="0" w:type="auto"/>
        <w:tblLook w:val="04A0" w:firstRow="1" w:lastRow="0" w:firstColumn="1" w:lastColumn="0" w:noHBand="0" w:noVBand="1"/>
      </w:tblPr>
      <w:tblGrid>
        <w:gridCol w:w="9350"/>
      </w:tblGrid>
      <w:tr w:rsidR="00AB17A3" w:rsidRPr="004222C3" w14:paraId="7E216CF6" w14:textId="77777777" w:rsidTr="00232A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3"/>
              <w:gridCol w:w="647"/>
              <w:gridCol w:w="698"/>
              <w:gridCol w:w="705"/>
              <w:gridCol w:w="695"/>
              <w:gridCol w:w="1270"/>
              <w:gridCol w:w="852"/>
              <w:gridCol w:w="1043"/>
              <w:gridCol w:w="736"/>
              <w:gridCol w:w="646"/>
              <w:gridCol w:w="500"/>
              <w:gridCol w:w="929"/>
            </w:tblGrid>
            <w:tr w:rsidR="00AB17A3" w:rsidRPr="004222C3" w14:paraId="52D664BD" w14:textId="77777777" w:rsidTr="00232AE1">
              <w:trPr>
                <w:tblHeader/>
                <w:tblCellSpacing w:w="15" w:type="dxa"/>
              </w:trPr>
              <w:tc>
                <w:tcPr>
                  <w:tcW w:w="0" w:type="auto"/>
                  <w:vAlign w:val="center"/>
                  <w:hideMark/>
                </w:tcPr>
                <w:p w14:paraId="5FA64256"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Year</w:t>
                  </w:r>
                </w:p>
              </w:tc>
              <w:tc>
                <w:tcPr>
                  <w:tcW w:w="0" w:type="auto"/>
                  <w:vAlign w:val="center"/>
                  <w:hideMark/>
                </w:tcPr>
                <w:p w14:paraId="084BB48A"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Revenue</w:t>
                  </w:r>
                </w:p>
              </w:tc>
              <w:tc>
                <w:tcPr>
                  <w:tcW w:w="0" w:type="auto"/>
                  <w:vAlign w:val="center"/>
                  <w:hideMark/>
                </w:tcPr>
                <w:p w14:paraId="5B59B6B2"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Gross Profit</w:t>
                  </w:r>
                </w:p>
              </w:tc>
              <w:tc>
                <w:tcPr>
                  <w:tcW w:w="0" w:type="auto"/>
                  <w:vAlign w:val="center"/>
                  <w:hideMark/>
                </w:tcPr>
                <w:p w14:paraId="1BC2BD15"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Net Income</w:t>
                  </w:r>
                </w:p>
              </w:tc>
              <w:tc>
                <w:tcPr>
                  <w:tcW w:w="0" w:type="auto"/>
                  <w:vAlign w:val="center"/>
                  <w:hideMark/>
                </w:tcPr>
                <w:p w14:paraId="18DC901E"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Total Assets</w:t>
                  </w:r>
                </w:p>
              </w:tc>
              <w:tc>
                <w:tcPr>
                  <w:tcW w:w="0" w:type="auto"/>
                  <w:vAlign w:val="center"/>
                  <w:hideMark/>
                </w:tcPr>
                <w:p w14:paraId="60919F4B"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Shareholder’s Equity</w:t>
                  </w:r>
                </w:p>
              </w:tc>
              <w:tc>
                <w:tcPr>
                  <w:tcW w:w="0" w:type="auto"/>
                  <w:vAlign w:val="center"/>
                  <w:hideMark/>
                </w:tcPr>
                <w:p w14:paraId="4D98FCA0"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Current Assets</w:t>
                  </w:r>
                </w:p>
              </w:tc>
              <w:tc>
                <w:tcPr>
                  <w:tcW w:w="0" w:type="auto"/>
                  <w:vAlign w:val="center"/>
                  <w:hideMark/>
                </w:tcPr>
                <w:p w14:paraId="0120740D"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Current Liabilities</w:t>
                  </w:r>
                </w:p>
              </w:tc>
              <w:tc>
                <w:tcPr>
                  <w:tcW w:w="0" w:type="auto"/>
                  <w:vAlign w:val="center"/>
                  <w:hideMark/>
                </w:tcPr>
                <w:p w14:paraId="5510B5BE"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Inventory</w:t>
                  </w:r>
                </w:p>
              </w:tc>
              <w:tc>
                <w:tcPr>
                  <w:tcW w:w="0" w:type="auto"/>
                  <w:vAlign w:val="center"/>
                  <w:hideMark/>
                </w:tcPr>
                <w:p w14:paraId="7D191B81"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Total Debt</w:t>
                  </w:r>
                </w:p>
              </w:tc>
              <w:tc>
                <w:tcPr>
                  <w:tcW w:w="0" w:type="auto"/>
                  <w:vAlign w:val="center"/>
                  <w:hideMark/>
                </w:tcPr>
                <w:p w14:paraId="4741153B"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EBIT</w:t>
                  </w:r>
                </w:p>
              </w:tc>
              <w:tc>
                <w:tcPr>
                  <w:tcW w:w="0" w:type="auto"/>
                  <w:vAlign w:val="center"/>
                  <w:hideMark/>
                </w:tcPr>
                <w:p w14:paraId="26D84B88" w14:textId="77777777" w:rsidR="00AB17A3" w:rsidRPr="004222C3" w:rsidRDefault="00AB17A3" w:rsidP="00236E5A">
                  <w:pPr>
                    <w:spacing w:after="0" w:line="240" w:lineRule="auto"/>
                    <w:jc w:val="both"/>
                    <w:rPr>
                      <w:rFonts w:ascii="Times New Roman" w:eastAsia="Times New Roman" w:hAnsi="Times New Roman" w:cs="Times New Roman"/>
                      <w:b/>
                      <w:bCs/>
                      <w:sz w:val="16"/>
                      <w:szCs w:val="16"/>
                    </w:rPr>
                  </w:pPr>
                  <w:r w:rsidRPr="004222C3">
                    <w:rPr>
                      <w:rFonts w:ascii="Times New Roman" w:eastAsia="Times New Roman" w:hAnsi="Times New Roman" w:cs="Times New Roman"/>
                      <w:b/>
                      <w:bCs/>
                      <w:sz w:val="16"/>
                      <w:szCs w:val="16"/>
                    </w:rPr>
                    <w:t>Interest Expense</w:t>
                  </w:r>
                </w:p>
              </w:tc>
            </w:tr>
            <w:tr w:rsidR="00AB17A3" w:rsidRPr="004222C3" w14:paraId="22B8C65D" w14:textId="77777777" w:rsidTr="00232AE1">
              <w:trPr>
                <w:tblCellSpacing w:w="15" w:type="dxa"/>
              </w:trPr>
              <w:tc>
                <w:tcPr>
                  <w:tcW w:w="0" w:type="auto"/>
                  <w:vAlign w:val="center"/>
                  <w:hideMark/>
                </w:tcPr>
                <w:p w14:paraId="05E399AE"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2019</w:t>
                  </w:r>
                </w:p>
              </w:tc>
              <w:tc>
                <w:tcPr>
                  <w:tcW w:w="0" w:type="auto"/>
                  <w:vAlign w:val="center"/>
                  <w:hideMark/>
                </w:tcPr>
                <w:p w14:paraId="078B54B9"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52,000</w:t>
                  </w:r>
                </w:p>
              </w:tc>
              <w:tc>
                <w:tcPr>
                  <w:tcW w:w="0" w:type="auto"/>
                  <w:vAlign w:val="center"/>
                  <w:hideMark/>
                </w:tcPr>
                <w:p w14:paraId="073DECA4"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25,000</w:t>
                  </w:r>
                </w:p>
              </w:tc>
              <w:tc>
                <w:tcPr>
                  <w:tcW w:w="0" w:type="auto"/>
                  <w:vAlign w:val="center"/>
                  <w:hideMark/>
                </w:tcPr>
                <w:p w14:paraId="6DAC023A"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6,000</w:t>
                  </w:r>
                </w:p>
              </w:tc>
              <w:tc>
                <w:tcPr>
                  <w:tcW w:w="0" w:type="auto"/>
                  <w:vAlign w:val="center"/>
                  <w:hideMark/>
                </w:tcPr>
                <w:p w14:paraId="7ADE632D"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80,000</w:t>
                  </w:r>
                </w:p>
              </w:tc>
              <w:tc>
                <w:tcPr>
                  <w:tcW w:w="0" w:type="auto"/>
                  <w:vAlign w:val="center"/>
                  <w:hideMark/>
                </w:tcPr>
                <w:p w14:paraId="408FBC25"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 xml:space="preserve">  30,000</w:t>
                  </w:r>
                </w:p>
              </w:tc>
              <w:tc>
                <w:tcPr>
                  <w:tcW w:w="0" w:type="auto"/>
                  <w:vAlign w:val="center"/>
                  <w:hideMark/>
                </w:tcPr>
                <w:p w14:paraId="6531A896"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15,000</w:t>
                  </w:r>
                </w:p>
              </w:tc>
              <w:tc>
                <w:tcPr>
                  <w:tcW w:w="0" w:type="auto"/>
                  <w:vAlign w:val="center"/>
                  <w:hideMark/>
                </w:tcPr>
                <w:p w14:paraId="3D1D77D5"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10,000</w:t>
                  </w:r>
                </w:p>
              </w:tc>
              <w:tc>
                <w:tcPr>
                  <w:tcW w:w="0" w:type="auto"/>
                  <w:vAlign w:val="center"/>
                  <w:hideMark/>
                </w:tcPr>
                <w:p w14:paraId="2E8AEB17"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 xml:space="preserve"> 5,000</w:t>
                  </w:r>
                </w:p>
              </w:tc>
              <w:tc>
                <w:tcPr>
                  <w:tcW w:w="0" w:type="auto"/>
                  <w:vAlign w:val="center"/>
                  <w:hideMark/>
                </w:tcPr>
                <w:p w14:paraId="22699A7D"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25,000</w:t>
                  </w:r>
                </w:p>
              </w:tc>
              <w:tc>
                <w:tcPr>
                  <w:tcW w:w="0" w:type="auto"/>
                  <w:vAlign w:val="center"/>
                  <w:hideMark/>
                </w:tcPr>
                <w:p w14:paraId="48586BAD"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9,000</w:t>
                  </w:r>
                </w:p>
              </w:tc>
              <w:tc>
                <w:tcPr>
                  <w:tcW w:w="0" w:type="auto"/>
                  <w:vAlign w:val="center"/>
                  <w:hideMark/>
                </w:tcPr>
                <w:p w14:paraId="0327A385"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1,000</w:t>
                  </w:r>
                </w:p>
              </w:tc>
            </w:tr>
            <w:tr w:rsidR="00AB17A3" w:rsidRPr="004222C3" w14:paraId="55DB8500" w14:textId="77777777" w:rsidTr="00232AE1">
              <w:trPr>
                <w:tblCellSpacing w:w="15" w:type="dxa"/>
              </w:trPr>
              <w:tc>
                <w:tcPr>
                  <w:tcW w:w="0" w:type="auto"/>
                  <w:vAlign w:val="center"/>
                  <w:hideMark/>
                </w:tcPr>
                <w:p w14:paraId="259E953D"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2020</w:t>
                  </w:r>
                </w:p>
              </w:tc>
              <w:tc>
                <w:tcPr>
                  <w:tcW w:w="0" w:type="auto"/>
                  <w:vAlign w:val="center"/>
                  <w:hideMark/>
                </w:tcPr>
                <w:p w14:paraId="4FCFF929"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50,000</w:t>
                  </w:r>
                </w:p>
              </w:tc>
              <w:tc>
                <w:tcPr>
                  <w:tcW w:w="0" w:type="auto"/>
                  <w:vAlign w:val="center"/>
                  <w:hideMark/>
                </w:tcPr>
                <w:p w14:paraId="789675FA"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24,000</w:t>
                  </w:r>
                </w:p>
              </w:tc>
              <w:tc>
                <w:tcPr>
                  <w:tcW w:w="0" w:type="auto"/>
                  <w:vAlign w:val="center"/>
                  <w:hideMark/>
                </w:tcPr>
                <w:p w14:paraId="3F390117"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5,500</w:t>
                  </w:r>
                </w:p>
              </w:tc>
              <w:tc>
                <w:tcPr>
                  <w:tcW w:w="0" w:type="auto"/>
                  <w:vAlign w:val="center"/>
                  <w:hideMark/>
                </w:tcPr>
                <w:p w14:paraId="08EBA035"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82,000</w:t>
                  </w:r>
                </w:p>
              </w:tc>
              <w:tc>
                <w:tcPr>
                  <w:tcW w:w="0" w:type="auto"/>
                  <w:vAlign w:val="center"/>
                  <w:hideMark/>
                </w:tcPr>
                <w:p w14:paraId="526DC45B"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 xml:space="preserve">  32,000</w:t>
                  </w:r>
                </w:p>
              </w:tc>
              <w:tc>
                <w:tcPr>
                  <w:tcW w:w="0" w:type="auto"/>
                  <w:vAlign w:val="center"/>
                  <w:hideMark/>
                </w:tcPr>
                <w:p w14:paraId="5812AC4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16,000</w:t>
                  </w:r>
                </w:p>
              </w:tc>
              <w:tc>
                <w:tcPr>
                  <w:tcW w:w="0" w:type="auto"/>
                  <w:vAlign w:val="center"/>
                  <w:hideMark/>
                </w:tcPr>
                <w:p w14:paraId="5F67013E"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11,000</w:t>
                  </w:r>
                </w:p>
              </w:tc>
              <w:tc>
                <w:tcPr>
                  <w:tcW w:w="0" w:type="auto"/>
                  <w:vAlign w:val="center"/>
                  <w:hideMark/>
                </w:tcPr>
                <w:p w14:paraId="0DA79A3E"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4,800</w:t>
                  </w:r>
                </w:p>
              </w:tc>
              <w:tc>
                <w:tcPr>
                  <w:tcW w:w="0" w:type="auto"/>
                  <w:vAlign w:val="center"/>
                  <w:hideMark/>
                </w:tcPr>
                <w:p w14:paraId="71D4F385"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26,000</w:t>
                  </w:r>
                </w:p>
              </w:tc>
              <w:tc>
                <w:tcPr>
                  <w:tcW w:w="0" w:type="auto"/>
                  <w:vAlign w:val="center"/>
                  <w:hideMark/>
                </w:tcPr>
                <w:p w14:paraId="118F1B99"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8,500</w:t>
                  </w:r>
                </w:p>
              </w:tc>
              <w:tc>
                <w:tcPr>
                  <w:tcW w:w="0" w:type="auto"/>
                  <w:vAlign w:val="center"/>
                  <w:hideMark/>
                </w:tcPr>
                <w:p w14:paraId="3A226DD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1,200</w:t>
                  </w:r>
                </w:p>
              </w:tc>
            </w:tr>
            <w:tr w:rsidR="00AB17A3" w:rsidRPr="004222C3" w14:paraId="3C5E40A6" w14:textId="77777777" w:rsidTr="00232AE1">
              <w:trPr>
                <w:tblCellSpacing w:w="15" w:type="dxa"/>
              </w:trPr>
              <w:tc>
                <w:tcPr>
                  <w:tcW w:w="0" w:type="auto"/>
                  <w:vAlign w:val="center"/>
                  <w:hideMark/>
                </w:tcPr>
                <w:p w14:paraId="618A32EE"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2021</w:t>
                  </w:r>
                </w:p>
              </w:tc>
              <w:tc>
                <w:tcPr>
                  <w:tcW w:w="0" w:type="auto"/>
                  <w:vAlign w:val="center"/>
                  <w:hideMark/>
                </w:tcPr>
                <w:p w14:paraId="0DD0BDD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55,000</w:t>
                  </w:r>
                </w:p>
              </w:tc>
              <w:tc>
                <w:tcPr>
                  <w:tcW w:w="0" w:type="auto"/>
                  <w:vAlign w:val="center"/>
                  <w:hideMark/>
                </w:tcPr>
                <w:p w14:paraId="1C0E96E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27,000</w:t>
                  </w:r>
                </w:p>
              </w:tc>
              <w:tc>
                <w:tcPr>
                  <w:tcW w:w="0" w:type="auto"/>
                  <w:vAlign w:val="center"/>
                  <w:hideMark/>
                </w:tcPr>
                <w:p w14:paraId="76BEDFB2"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6,500</w:t>
                  </w:r>
                </w:p>
              </w:tc>
              <w:tc>
                <w:tcPr>
                  <w:tcW w:w="0" w:type="auto"/>
                  <w:vAlign w:val="center"/>
                  <w:hideMark/>
                </w:tcPr>
                <w:p w14:paraId="1398A514"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85,000</w:t>
                  </w:r>
                </w:p>
              </w:tc>
              <w:tc>
                <w:tcPr>
                  <w:tcW w:w="0" w:type="auto"/>
                  <w:vAlign w:val="center"/>
                  <w:hideMark/>
                </w:tcPr>
                <w:p w14:paraId="6201BC04"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 xml:space="preserve">  34,000</w:t>
                  </w:r>
                </w:p>
              </w:tc>
              <w:tc>
                <w:tcPr>
                  <w:tcW w:w="0" w:type="auto"/>
                  <w:vAlign w:val="center"/>
                  <w:hideMark/>
                </w:tcPr>
                <w:p w14:paraId="7796D7CA"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18,000</w:t>
                  </w:r>
                </w:p>
              </w:tc>
              <w:tc>
                <w:tcPr>
                  <w:tcW w:w="0" w:type="auto"/>
                  <w:vAlign w:val="center"/>
                  <w:hideMark/>
                </w:tcPr>
                <w:p w14:paraId="70E167A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12,000</w:t>
                  </w:r>
                </w:p>
              </w:tc>
              <w:tc>
                <w:tcPr>
                  <w:tcW w:w="0" w:type="auto"/>
                  <w:vAlign w:val="center"/>
                  <w:hideMark/>
                </w:tcPr>
                <w:p w14:paraId="12516016"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5,200</w:t>
                  </w:r>
                </w:p>
              </w:tc>
              <w:tc>
                <w:tcPr>
                  <w:tcW w:w="0" w:type="auto"/>
                  <w:vAlign w:val="center"/>
                  <w:hideMark/>
                </w:tcPr>
                <w:p w14:paraId="56DFE25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28,000</w:t>
                  </w:r>
                </w:p>
              </w:tc>
              <w:tc>
                <w:tcPr>
                  <w:tcW w:w="0" w:type="auto"/>
                  <w:vAlign w:val="center"/>
                  <w:hideMark/>
                </w:tcPr>
                <w:p w14:paraId="65FA0B59"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9,500</w:t>
                  </w:r>
                </w:p>
              </w:tc>
              <w:tc>
                <w:tcPr>
                  <w:tcW w:w="0" w:type="auto"/>
                  <w:vAlign w:val="center"/>
                  <w:hideMark/>
                </w:tcPr>
                <w:p w14:paraId="449251F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1,300</w:t>
                  </w:r>
                </w:p>
              </w:tc>
            </w:tr>
            <w:tr w:rsidR="00AB17A3" w:rsidRPr="004222C3" w14:paraId="57057B62" w14:textId="77777777" w:rsidTr="00232AE1">
              <w:trPr>
                <w:tblCellSpacing w:w="15" w:type="dxa"/>
              </w:trPr>
              <w:tc>
                <w:tcPr>
                  <w:tcW w:w="0" w:type="auto"/>
                  <w:vAlign w:val="center"/>
                  <w:hideMark/>
                </w:tcPr>
                <w:p w14:paraId="06E2FFB1"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2022</w:t>
                  </w:r>
                </w:p>
              </w:tc>
              <w:tc>
                <w:tcPr>
                  <w:tcW w:w="0" w:type="auto"/>
                  <w:vAlign w:val="center"/>
                  <w:hideMark/>
                </w:tcPr>
                <w:p w14:paraId="4D77E58B"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58,000</w:t>
                  </w:r>
                </w:p>
              </w:tc>
              <w:tc>
                <w:tcPr>
                  <w:tcW w:w="0" w:type="auto"/>
                  <w:vAlign w:val="center"/>
                  <w:hideMark/>
                </w:tcPr>
                <w:p w14:paraId="0BADE0D6"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28,500</w:t>
                  </w:r>
                </w:p>
              </w:tc>
              <w:tc>
                <w:tcPr>
                  <w:tcW w:w="0" w:type="auto"/>
                  <w:vAlign w:val="center"/>
                  <w:hideMark/>
                </w:tcPr>
                <w:p w14:paraId="28973554"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6,800</w:t>
                  </w:r>
                </w:p>
              </w:tc>
              <w:tc>
                <w:tcPr>
                  <w:tcW w:w="0" w:type="auto"/>
                  <w:vAlign w:val="center"/>
                  <w:hideMark/>
                </w:tcPr>
                <w:p w14:paraId="4BE5AB36"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87,000</w:t>
                  </w:r>
                </w:p>
              </w:tc>
              <w:tc>
                <w:tcPr>
                  <w:tcW w:w="0" w:type="auto"/>
                  <w:vAlign w:val="center"/>
                  <w:hideMark/>
                </w:tcPr>
                <w:p w14:paraId="44E60C56"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 xml:space="preserve">  35,000</w:t>
                  </w:r>
                </w:p>
              </w:tc>
              <w:tc>
                <w:tcPr>
                  <w:tcW w:w="0" w:type="auto"/>
                  <w:vAlign w:val="center"/>
                  <w:hideMark/>
                </w:tcPr>
                <w:p w14:paraId="4874114A"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20,000</w:t>
                  </w:r>
                </w:p>
              </w:tc>
              <w:tc>
                <w:tcPr>
                  <w:tcW w:w="0" w:type="auto"/>
                  <w:vAlign w:val="center"/>
                  <w:hideMark/>
                </w:tcPr>
                <w:p w14:paraId="27C819C1"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13,000</w:t>
                  </w:r>
                </w:p>
              </w:tc>
              <w:tc>
                <w:tcPr>
                  <w:tcW w:w="0" w:type="auto"/>
                  <w:vAlign w:val="center"/>
                  <w:hideMark/>
                </w:tcPr>
                <w:p w14:paraId="4290BABC"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5,500</w:t>
                  </w:r>
                </w:p>
              </w:tc>
              <w:tc>
                <w:tcPr>
                  <w:tcW w:w="0" w:type="auto"/>
                  <w:vAlign w:val="center"/>
                  <w:hideMark/>
                </w:tcPr>
                <w:p w14:paraId="45588BEC"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27,000</w:t>
                  </w:r>
                </w:p>
              </w:tc>
              <w:tc>
                <w:tcPr>
                  <w:tcW w:w="0" w:type="auto"/>
                  <w:vAlign w:val="center"/>
                  <w:hideMark/>
                </w:tcPr>
                <w:p w14:paraId="70FCBD77"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9,800</w:t>
                  </w:r>
                </w:p>
              </w:tc>
              <w:tc>
                <w:tcPr>
                  <w:tcW w:w="0" w:type="auto"/>
                  <w:vAlign w:val="center"/>
                  <w:hideMark/>
                </w:tcPr>
                <w:p w14:paraId="2AFD6B2E"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1,400</w:t>
                  </w:r>
                </w:p>
              </w:tc>
            </w:tr>
            <w:tr w:rsidR="00AB17A3" w:rsidRPr="004222C3" w14:paraId="73D05621" w14:textId="77777777" w:rsidTr="00232AE1">
              <w:trPr>
                <w:tblCellSpacing w:w="15" w:type="dxa"/>
              </w:trPr>
              <w:tc>
                <w:tcPr>
                  <w:tcW w:w="0" w:type="auto"/>
                  <w:vAlign w:val="center"/>
                  <w:hideMark/>
                </w:tcPr>
                <w:p w14:paraId="085B36DF"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2023</w:t>
                  </w:r>
                </w:p>
              </w:tc>
              <w:tc>
                <w:tcPr>
                  <w:tcW w:w="0" w:type="auto"/>
                  <w:vAlign w:val="center"/>
                  <w:hideMark/>
                </w:tcPr>
                <w:p w14:paraId="2E54BB71"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60,000</w:t>
                  </w:r>
                </w:p>
              </w:tc>
              <w:tc>
                <w:tcPr>
                  <w:tcW w:w="0" w:type="auto"/>
                  <w:vAlign w:val="center"/>
                  <w:hideMark/>
                </w:tcPr>
                <w:p w14:paraId="03A79AE6"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30,000</w:t>
                  </w:r>
                </w:p>
              </w:tc>
              <w:tc>
                <w:tcPr>
                  <w:tcW w:w="0" w:type="auto"/>
                  <w:vAlign w:val="center"/>
                  <w:hideMark/>
                </w:tcPr>
                <w:p w14:paraId="4FEE098C"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7,200</w:t>
                  </w:r>
                </w:p>
              </w:tc>
              <w:tc>
                <w:tcPr>
                  <w:tcW w:w="0" w:type="auto"/>
                  <w:vAlign w:val="center"/>
                  <w:hideMark/>
                </w:tcPr>
                <w:p w14:paraId="79F12F33"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90,000</w:t>
                  </w:r>
                </w:p>
              </w:tc>
              <w:tc>
                <w:tcPr>
                  <w:tcW w:w="0" w:type="auto"/>
                  <w:vAlign w:val="center"/>
                  <w:hideMark/>
                </w:tcPr>
                <w:p w14:paraId="34ACB495"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 xml:space="preserve">  36,000</w:t>
                  </w:r>
                </w:p>
              </w:tc>
              <w:tc>
                <w:tcPr>
                  <w:tcW w:w="0" w:type="auto"/>
                  <w:vAlign w:val="center"/>
                  <w:hideMark/>
                </w:tcPr>
                <w:p w14:paraId="6098981C"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21,000</w:t>
                  </w:r>
                </w:p>
              </w:tc>
              <w:tc>
                <w:tcPr>
                  <w:tcW w:w="0" w:type="auto"/>
                  <w:vAlign w:val="center"/>
                  <w:hideMark/>
                </w:tcPr>
                <w:p w14:paraId="59105E29"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14,000</w:t>
                  </w:r>
                </w:p>
              </w:tc>
              <w:tc>
                <w:tcPr>
                  <w:tcW w:w="0" w:type="auto"/>
                  <w:vAlign w:val="center"/>
                  <w:hideMark/>
                </w:tcPr>
                <w:p w14:paraId="63F92BA0"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5,700</w:t>
                  </w:r>
                </w:p>
              </w:tc>
              <w:tc>
                <w:tcPr>
                  <w:tcW w:w="0" w:type="auto"/>
                  <w:vAlign w:val="center"/>
                  <w:hideMark/>
                </w:tcPr>
                <w:p w14:paraId="690B8612"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30,000</w:t>
                  </w:r>
                </w:p>
              </w:tc>
              <w:tc>
                <w:tcPr>
                  <w:tcW w:w="0" w:type="auto"/>
                  <w:vAlign w:val="center"/>
                  <w:hideMark/>
                </w:tcPr>
                <w:p w14:paraId="7A233E6C"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10,000</w:t>
                  </w:r>
                </w:p>
              </w:tc>
              <w:tc>
                <w:tcPr>
                  <w:tcW w:w="0" w:type="auto"/>
                  <w:vAlign w:val="center"/>
                  <w:hideMark/>
                </w:tcPr>
                <w:p w14:paraId="351EA5ED" w14:textId="77777777" w:rsidR="00AB17A3" w:rsidRPr="004222C3" w:rsidRDefault="00AB17A3" w:rsidP="00236E5A">
                  <w:pPr>
                    <w:spacing w:after="0" w:line="240" w:lineRule="auto"/>
                    <w:jc w:val="both"/>
                    <w:rPr>
                      <w:rFonts w:ascii="Times New Roman" w:eastAsia="Times New Roman" w:hAnsi="Times New Roman" w:cs="Times New Roman"/>
                      <w:sz w:val="16"/>
                      <w:szCs w:val="16"/>
                    </w:rPr>
                  </w:pPr>
                  <w:r w:rsidRPr="004222C3">
                    <w:rPr>
                      <w:rFonts w:ascii="Times New Roman" w:eastAsia="Times New Roman" w:hAnsi="Times New Roman" w:cs="Times New Roman"/>
                      <w:sz w:val="16"/>
                      <w:szCs w:val="16"/>
                    </w:rPr>
                    <w:t>1,500</w:t>
                  </w:r>
                </w:p>
              </w:tc>
            </w:tr>
          </w:tbl>
          <w:p w14:paraId="1A851272" w14:textId="77777777" w:rsidR="00AB17A3" w:rsidRPr="004222C3" w:rsidRDefault="00AB17A3" w:rsidP="00236E5A">
            <w:pPr>
              <w:jc w:val="both"/>
              <w:rPr>
                <w:sz w:val="16"/>
                <w:szCs w:val="16"/>
              </w:rPr>
            </w:pPr>
          </w:p>
        </w:tc>
      </w:tr>
    </w:tbl>
    <w:p w14:paraId="635E197E" w14:textId="77777777" w:rsidR="00AB17A3" w:rsidRPr="0070356D" w:rsidRDefault="00AB17A3" w:rsidP="00236E5A">
      <w:pPr>
        <w:spacing w:before="100" w:beforeAutospacing="1" w:after="100" w:afterAutospacing="1" w:line="240" w:lineRule="auto"/>
        <w:jc w:val="both"/>
        <w:outlineLvl w:val="4"/>
        <w:rPr>
          <w:rFonts w:ascii="Times New Roman" w:eastAsia="Times New Roman" w:hAnsi="Times New Roman" w:cs="Times New Roman"/>
          <w:b/>
          <w:bCs/>
          <w:sz w:val="24"/>
          <w:szCs w:val="24"/>
          <w:u w:val="single"/>
        </w:rPr>
      </w:pPr>
      <w:r w:rsidRPr="0070356D">
        <w:rPr>
          <w:rFonts w:ascii="Times New Roman" w:eastAsia="Times New Roman" w:hAnsi="Times New Roman" w:cs="Times New Roman"/>
          <w:b/>
          <w:bCs/>
          <w:sz w:val="24"/>
          <w:szCs w:val="24"/>
          <w:u w:val="single"/>
        </w:rPr>
        <w:lastRenderedPageBreak/>
        <w:t>Calculated Ratios</w:t>
      </w:r>
    </w:p>
    <w:p w14:paraId="2C04E7FE"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356D">
        <w:rPr>
          <w:rFonts w:ascii="Times New Roman" w:eastAsia="Times New Roman" w:hAnsi="Times New Roman" w:cs="Times New Roman"/>
          <w:b/>
          <w:bCs/>
          <w:sz w:val="24"/>
          <w:szCs w:val="24"/>
          <w:u w:val="single"/>
        </w:rPr>
        <w:t>Profitability Ratios</w:t>
      </w:r>
      <w:r w:rsidRPr="007017B2">
        <w:rPr>
          <w:rFonts w:ascii="Times New Roman" w:eastAsia="Times New Roman" w:hAnsi="Times New Roman" w:cs="Times New Roman"/>
          <w:b/>
          <w:bCs/>
          <w:sz w:val="24"/>
          <w:szCs w:val="24"/>
        </w:rPr>
        <w:t>:</w:t>
      </w:r>
    </w:p>
    <w:p w14:paraId="5344C05B"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Gross Profit Margin</w:t>
      </w:r>
      <w:r w:rsidRPr="007017B2">
        <w:rPr>
          <w:rFonts w:ascii="Times New Roman" w:eastAsia="Times New Roman" w:hAnsi="Times New Roman" w:cs="Times New Roman"/>
          <w:sz w:val="24"/>
          <w:szCs w:val="24"/>
        </w:rPr>
        <w:t xml:space="preserve"> = (Gross Profit / Revenue) * 100</w:t>
      </w:r>
    </w:p>
    <w:p w14:paraId="0F944F09"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(25,000 / 52,000) * 100 = 48.08%</w:t>
      </w:r>
    </w:p>
    <w:p w14:paraId="47A8B5EE"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(24,000 / 50,000) * 100 = 48.00%</w:t>
      </w:r>
    </w:p>
    <w:p w14:paraId="2E584500"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(27,000 / 55,000) * 100 = 49.09%</w:t>
      </w:r>
    </w:p>
    <w:p w14:paraId="0B5BED2A"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(28,500 / 58,000) * 100 = 49.14%</w:t>
      </w:r>
    </w:p>
    <w:p w14:paraId="60A627C4"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(30,000 / 60,000) * 100 = 50.00%</w:t>
      </w:r>
    </w:p>
    <w:p w14:paraId="61507D4B"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Net Profit Margin</w:t>
      </w:r>
      <w:r w:rsidRPr="007017B2">
        <w:rPr>
          <w:rFonts w:ascii="Times New Roman" w:eastAsia="Times New Roman" w:hAnsi="Times New Roman" w:cs="Times New Roman"/>
          <w:sz w:val="24"/>
          <w:szCs w:val="24"/>
        </w:rPr>
        <w:t xml:space="preserve"> = (Net Income / Revenue) * 100</w:t>
      </w:r>
    </w:p>
    <w:p w14:paraId="67E38015"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(6,000 / 52,000) * 100 = 11.54%</w:t>
      </w:r>
    </w:p>
    <w:p w14:paraId="1DB59DAB"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(5,500 / 50,000) * 100 = 11.00%</w:t>
      </w:r>
    </w:p>
    <w:p w14:paraId="5B6E5C25"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(6,500 / 55,000) * 100 = 11.82%</w:t>
      </w:r>
    </w:p>
    <w:p w14:paraId="33D1EC08"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(6,800 / 58,000) * 100 = 11.72%</w:t>
      </w:r>
    </w:p>
    <w:p w14:paraId="1758BAA9"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(7,200 / 60,000) * 100 = 12.00%</w:t>
      </w:r>
    </w:p>
    <w:p w14:paraId="41FDB15F"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Return on Assets (ROA)</w:t>
      </w:r>
      <w:r w:rsidRPr="007017B2">
        <w:rPr>
          <w:rFonts w:ascii="Times New Roman" w:eastAsia="Times New Roman" w:hAnsi="Times New Roman" w:cs="Times New Roman"/>
          <w:sz w:val="24"/>
          <w:szCs w:val="24"/>
        </w:rPr>
        <w:t xml:space="preserve"> = (Net Income / Total Assets) * 100</w:t>
      </w:r>
    </w:p>
    <w:p w14:paraId="3C8A6A65"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(6,000 / 80,000) * 100 = 7.50%</w:t>
      </w:r>
    </w:p>
    <w:p w14:paraId="25207936"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(5,500 / 82,000) * 100 = 6.71%</w:t>
      </w:r>
    </w:p>
    <w:p w14:paraId="69D6E242"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(6,500 / 85,000) * 100 = 7.65%</w:t>
      </w:r>
    </w:p>
    <w:p w14:paraId="73B2EF6A"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(6,800 / 87,000) * 100 = 7.82%</w:t>
      </w:r>
    </w:p>
    <w:p w14:paraId="3297B5DC"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(7,200 / 90,000) * 100 = 8.00%</w:t>
      </w:r>
    </w:p>
    <w:p w14:paraId="3903147E" w14:textId="77777777" w:rsidR="007350C8" w:rsidRDefault="007350C8" w:rsidP="00236E5A">
      <w:pPr>
        <w:spacing w:before="100" w:beforeAutospacing="1" w:after="100" w:afterAutospacing="1" w:line="240" w:lineRule="auto"/>
        <w:jc w:val="both"/>
        <w:rPr>
          <w:rFonts w:ascii="Times New Roman" w:eastAsia="Times New Roman" w:hAnsi="Times New Roman" w:cs="Times New Roman"/>
          <w:b/>
          <w:bCs/>
          <w:sz w:val="24"/>
          <w:szCs w:val="24"/>
        </w:rPr>
      </w:pPr>
    </w:p>
    <w:p w14:paraId="1D54A179" w14:textId="77777777" w:rsidR="007350C8" w:rsidRDefault="007350C8" w:rsidP="00236E5A">
      <w:pPr>
        <w:spacing w:before="100" w:beforeAutospacing="1" w:after="100" w:afterAutospacing="1" w:line="240" w:lineRule="auto"/>
        <w:jc w:val="both"/>
        <w:rPr>
          <w:rFonts w:ascii="Times New Roman" w:eastAsia="Times New Roman" w:hAnsi="Times New Roman" w:cs="Times New Roman"/>
          <w:b/>
          <w:bCs/>
          <w:sz w:val="24"/>
          <w:szCs w:val="24"/>
        </w:rPr>
      </w:pPr>
    </w:p>
    <w:p w14:paraId="59083798" w14:textId="77777777" w:rsidR="004222C3" w:rsidRDefault="004222C3" w:rsidP="00236E5A">
      <w:pPr>
        <w:spacing w:before="100" w:beforeAutospacing="1" w:after="100" w:afterAutospacing="1" w:line="240" w:lineRule="auto"/>
        <w:jc w:val="both"/>
        <w:rPr>
          <w:rFonts w:ascii="Times New Roman" w:eastAsia="Times New Roman" w:hAnsi="Times New Roman" w:cs="Times New Roman"/>
          <w:b/>
          <w:bCs/>
          <w:sz w:val="24"/>
          <w:szCs w:val="24"/>
        </w:rPr>
      </w:pPr>
    </w:p>
    <w:p w14:paraId="0128989C" w14:textId="4635E9BC"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lastRenderedPageBreak/>
        <w:t>Return on Equity (ROE)</w:t>
      </w:r>
      <w:r w:rsidRPr="007017B2">
        <w:rPr>
          <w:rFonts w:ascii="Times New Roman" w:eastAsia="Times New Roman" w:hAnsi="Times New Roman" w:cs="Times New Roman"/>
          <w:sz w:val="24"/>
          <w:szCs w:val="24"/>
        </w:rPr>
        <w:t xml:space="preserve"> = (Net Income / Shareholder’s Equity) * 100</w:t>
      </w:r>
    </w:p>
    <w:p w14:paraId="0D734A6D"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(6,000 / 30,000) * 100 = 20.00%</w:t>
      </w:r>
    </w:p>
    <w:p w14:paraId="1AFB0274"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(5,500 / 32,000) * 100 = 17.19%</w:t>
      </w:r>
    </w:p>
    <w:p w14:paraId="2A99ECBA"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(6,500 / 34,000) * 100 = 19.12%</w:t>
      </w:r>
    </w:p>
    <w:p w14:paraId="6E1B6FD3"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(6,800 / 35,000) * 100 = 19.43%</w:t>
      </w:r>
    </w:p>
    <w:p w14:paraId="2D9DE874"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(7,200 / 36,000) * 100 = 20.00%</w:t>
      </w:r>
    </w:p>
    <w:p w14:paraId="1DEB7080"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Liquidity Ratios:</w:t>
      </w:r>
    </w:p>
    <w:p w14:paraId="6C47A77A"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Current Ratio</w:t>
      </w:r>
      <w:r w:rsidRPr="007017B2">
        <w:rPr>
          <w:rFonts w:ascii="Times New Roman" w:eastAsia="Times New Roman" w:hAnsi="Times New Roman" w:cs="Times New Roman"/>
          <w:sz w:val="24"/>
          <w:szCs w:val="24"/>
        </w:rPr>
        <w:t xml:space="preserve"> = Current Assets / Current Liabilities</w:t>
      </w:r>
    </w:p>
    <w:p w14:paraId="13F0F061"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15,000 / 10,000 = 1.50</w:t>
      </w:r>
    </w:p>
    <w:p w14:paraId="1D4272DC"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16,000 / 11,000 = 1.45</w:t>
      </w:r>
    </w:p>
    <w:p w14:paraId="193D2F8D"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18,000 / 12,000 = 1.50</w:t>
      </w:r>
    </w:p>
    <w:p w14:paraId="5B55EE97"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20,000 / 13,000 = 1.54</w:t>
      </w:r>
    </w:p>
    <w:p w14:paraId="0AAF03CE"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21,000 / 14,000 = 1.50</w:t>
      </w:r>
    </w:p>
    <w:p w14:paraId="7731AD5B"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Quick Ratio</w:t>
      </w:r>
      <w:r w:rsidRPr="007017B2">
        <w:rPr>
          <w:rFonts w:ascii="Times New Roman" w:eastAsia="Times New Roman" w:hAnsi="Times New Roman" w:cs="Times New Roman"/>
          <w:sz w:val="24"/>
          <w:szCs w:val="24"/>
        </w:rPr>
        <w:t xml:space="preserve"> = (Current Assets - Inventory) / Current Liabilities</w:t>
      </w:r>
    </w:p>
    <w:p w14:paraId="47D46CC0" w14:textId="77777777" w:rsidR="00AB17A3" w:rsidRPr="007017B2" w:rsidRDefault="00AB17A3" w:rsidP="00236E5A">
      <w:pPr>
        <w:numPr>
          <w:ilvl w:val="1"/>
          <w:numId w:val="5"/>
        </w:num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(15,000 - 5,000) / 10,000 = 1.00</w:t>
      </w:r>
    </w:p>
    <w:p w14:paraId="3B5CE2C8" w14:textId="77777777" w:rsidR="00AB17A3" w:rsidRPr="007017B2" w:rsidRDefault="00AB17A3" w:rsidP="00236E5A">
      <w:pPr>
        <w:numPr>
          <w:ilvl w:val="1"/>
          <w:numId w:val="5"/>
        </w:num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(16,000 - 4,800) / 11,000 = 1.02</w:t>
      </w:r>
    </w:p>
    <w:p w14:paraId="7574F51C" w14:textId="77777777" w:rsidR="00AB17A3" w:rsidRPr="007017B2" w:rsidRDefault="00AB17A3" w:rsidP="00236E5A">
      <w:pPr>
        <w:numPr>
          <w:ilvl w:val="1"/>
          <w:numId w:val="5"/>
        </w:num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(18,000 - 5,200) / 12,000 = 1.07</w:t>
      </w:r>
    </w:p>
    <w:p w14:paraId="22EC26F0" w14:textId="77777777" w:rsidR="00AB17A3" w:rsidRPr="007017B2" w:rsidRDefault="00AB17A3" w:rsidP="00236E5A">
      <w:pPr>
        <w:numPr>
          <w:ilvl w:val="1"/>
          <w:numId w:val="5"/>
        </w:num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(20,000 - 5,500) / 13,000 = 1.12</w:t>
      </w:r>
    </w:p>
    <w:p w14:paraId="589E9117" w14:textId="77777777" w:rsidR="00AB17A3" w:rsidRPr="007017B2" w:rsidRDefault="00AB17A3" w:rsidP="00236E5A">
      <w:pPr>
        <w:numPr>
          <w:ilvl w:val="1"/>
          <w:numId w:val="5"/>
        </w:num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(21,000 - 5,700) / 14,000 = 1.09</w:t>
      </w:r>
    </w:p>
    <w:p w14:paraId="5630F945"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Gearing Ratios:</w:t>
      </w:r>
    </w:p>
    <w:p w14:paraId="2FD7A4B5"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Debt to Equity Ratio</w:t>
      </w:r>
      <w:r w:rsidRPr="007017B2">
        <w:rPr>
          <w:rFonts w:ascii="Times New Roman" w:eastAsia="Times New Roman" w:hAnsi="Times New Roman" w:cs="Times New Roman"/>
          <w:sz w:val="24"/>
          <w:szCs w:val="24"/>
        </w:rPr>
        <w:t xml:space="preserve"> = Total Debt / Total Equity</w:t>
      </w:r>
    </w:p>
    <w:p w14:paraId="7ED68905"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25,000 / 30,000 = 0.83</w:t>
      </w:r>
    </w:p>
    <w:p w14:paraId="075379C9"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26,000 / 32,000 = 0.81</w:t>
      </w:r>
    </w:p>
    <w:p w14:paraId="2873B5F7"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28,000 / 34,000 = 0.82</w:t>
      </w:r>
    </w:p>
    <w:p w14:paraId="7A188311"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27,000 / 35,000 = 0.77</w:t>
      </w:r>
    </w:p>
    <w:p w14:paraId="1969282D"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lastRenderedPageBreak/>
        <w:t>2023: 30,000 / 36,000 = 0.83</w:t>
      </w:r>
    </w:p>
    <w:p w14:paraId="723709B5"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Interest Coverage Ratio</w:t>
      </w:r>
      <w:r w:rsidRPr="007017B2">
        <w:rPr>
          <w:rFonts w:ascii="Times New Roman" w:eastAsia="Times New Roman" w:hAnsi="Times New Roman" w:cs="Times New Roman"/>
          <w:sz w:val="24"/>
          <w:szCs w:val="24"/>
        </w:rPr>
        <w:t xml:space="preserve"> = EBIT / Interest Expense</w:t>
      </w:r>
    </w:p>
    <w:p w14:paraId="447C49E8"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9,000 / 1,000 = 9.00</w:t>
      </w:r>
    </w:p>
    <w:p w14:paraId="6F2C2B82"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8,500 / 1,200 = 7.08</w:t>
      </w:r>
    </w:p>
    <w:p w14:paraId="0C8E1F74"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9,500 / 1,300 = 7.31</w:t>
      </w:r>
    </w:p>
    <w:p w14:paraId="4359571E"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9,800 / 1,400 = 7.00</w:t>
      </w:r>
    </w:p>
    <w:p w14:paraId="556FF9A8"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10,000 / 1,500 = 6.67</w:t>
      </w:r>
    </w:p>
    <w:p w14:paraId="43C9811E"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Efficiency Ratios:</w:t>
      </w:r>
    </w:p>
    <w:p w14:paraId="246B22A2"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Inventory Turnover</w:t>
      </w:r>
      <w:r w:rsidRPr="007017B2">
        <w:rPr>
          <w:rFonts w:ascii="Times New Roman" w:eastAsia="Times New Roman" w:hAnsi="Times New Roman" w:cs="Times New Roman"/>
          <w:sz w:val="24"/>
          <w:szCs w:val="24"/>
        </w:rPr>
        <w:t xml:space="preserve"> = Cost of Goods Sold / Average Inventory</w:t>
      </w:r>
    </w:p>
    <w:p w14:paraId="3D1C6650"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Assuming Cost of Goods Sold (COGS) = Revenue - Gross Profit</w:t>
      </w:r>
    </w:p>
    <w:p w14:paraId="058DCD27"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27,000 / 5,000 = 5.40</w:t>
      </w:r>
    </w:p>
    <w:p w14:paraId="2C040C96"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26,000 / 4,800 = 5.42</w:t>
      </w:r>
    </w:p>
    <w:p w14:paraId="3263B1E8"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28,000 / 5,200 = 5.38</w:t>
      </w:r>
    </w:p>
    <w:p w14:paraId="35ACDBD6"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2022: 29,500 / 5,500 = 5.36</w:t>
      </w:r>
    </w:p>
    <w:p w14:paraId="437A7051"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2023: 30,000 / 5,700 = 5.26</w:t>
      </w:r>
    </w:p>
    <w:p w14:paraId="4B33A985" w14:textId="77777777" w:rsidR="00AB17A3" w:rsidRPr="007017B2" w:rsidRDefault="00AB17A3" w:rsidP="00236E5A">
      <w:pPr>
        <w:spacing w:before="100" w:beforeAutospacing="1" w:after="100" w:afterAutospacing="1" w:line="240" w:lineRule="auto"/>
        <w:jc w:val="both"/>
        <w:rPr>
          <w:rFonts w:ascii="Times New Roman" w:eastAsia="Times New Roman" w:hAnsi="Times New Roman" w:cs="Times New Roman"/>
          <w:sz w:val="24"/>
          <w:szCs w:val="24"/>
        </w:rPr>
      </w:pPr>
      <w:r w:rsidRPr="007017B2">
        <w:rPr>
          <w:rFonts w:ascii="Times New Roman" w:eastAsia="Times New Roman" w:hAnsi="Times New Roman" w:cs="Times New Roman"/>
          <w:b/>
          <w:bCs/>
          <w:sz w:val="24"/>
          <w:szCs w:val="24"/>
        </w:rPr>
        <w:t>Receivables Turnover</w:t>
      </w:r>
      <w:r w:rsidRPr="007017B2">
        <w:rPr>
          <w:rFonts w:ascii="Times New Roman" w:eastAsia="Times New Roman" w:hAnsi="Times New Roman" w:cs="Times New Roman"/>
          <w:sz w:val="24"/>
          <w:szCs w:val="24"/>
        </w:rPr>
        <w:t xml:space="preserve"> = Net Credit Sales / Average Accounts Receivable</w:t>
      </w:r>
    </w:p>
    <w:p w14:paraId="17FB21D8"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Assuming Net Credit Sales is proportional to Revenue and Accounts Receivable is 10% of Revenue</w:t>
      </w:r>
    </w:p>
    <w:p w14:paraId="184E1CBC"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2019: 52,000 / (52,000 * 0.10) = 10.00</w:t>
      </w:r>
    </w:p>
    <w:p w14:paraId="07B113CB" w14:textId="77777777" w:rsidR="00AB17A3" w:rsidRPr="007017B2"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2020: 50,000 / (50,000 * 0.10) = 10.00</w:t>
      </w:r>
    </w:p>
    <w:p w14:paraId="2F510EC4" w14:textId="77777777" w:rsidR="00AB17A3"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r w:rsidRPr="007017B2">
        <w:rPr>
          <w:rFonts w:ascii="Times New Roman" w:eastAsia="Times New Roman" w:hAnsi="Times New Roman" w:cs="Times New Roman"/>
          <w:sz w:val="24"/>
          <w:szCs w:val="24"/>
        </w:rPr>
        <w:t>2021: 55,000 / (55,000 * 0.10) = 10</w:t>
      </w:r>
    </w:p>
    <w:p w14:paraId="53B03BA3" w14:textId="77777777" w:rsidR="00AB17A3" w:rsidRDefault="00AB17A3" w:rsidP="00236E5A">
      <w:pPr>
        <w:spacing w:before="100" w:beforeAutospacing="1" w:after="100" w:afterAutospacing="1" w:line="240" w:lineRule="auto"/>
        <w:ind w:left="1440"/>
        <w:jc w:val="both"/>
        <w:rPr>
          <w:rFonts w:ascii="Times New Roman" w:eastAsia="Times New Roman" w:hAnsi="Times New Roman" w:cs="Times New Roman"/>
          <w:sz w:val="24"/>
          <w:szCs w:val="24"/>
        </w:rPr>
      </w:pPr>
    </w:p>
    <w:p w14:paraId="2C496676" w14:textId="77777777" w:rsidR="007350C8" w:rsidRDefault="007350C8" w:rsidP="00236E5A">
      <w:pPr>
        <w:spacing w:before="100" w:beforeAutospacing="1" w:after="100" w:afterAutospacing="1" w:line="240" w:lineRule="auto"/>
        <w:ind w:left="1440"/>
        <w:jc w:val="both"/>
        <w:rPr>
          <w:rFonts w:ascii="Times New Roman" w:eastAsia="Times New Roman" w:hAnsi="Times New Roman" w:cs="Times New Roman"/>
          <w:sz w:val="24"/>
          <w:szCs w:val="24"/>
        </w:rPr>
      </w:pPr>
    </w:p>
    <w:p w14:paraId="0A2294AD" w14:textId="77777777" w:rsidR="007350C8" w:rsidRPr="007017B2" w:rsidRDefault="007350C8" w:rsidP="00236E5A">
      <w:pPr>
        <w:spacing w:before="100" w:beforeAutospacing="1" w:after="100" w:afterAutospacing="1" w:line="240" w:lineRule="auto"/>
        <w:ind w:left="1440"/>
        <w:jc w:val="both"/>
        <w:rPr>
          <w:rFonts w:ascii="Times New Roman" w:eastAsia="Times New Roman" w:hAnsi="Times New Roman" w:cs="Times New Roman"/>
          <w:sz w:val="24"/>
          <w:szCs w:val="24"/>
        </w:rPr>
      </w:pPr>
    </w:p>
    <w:p w14:paraId="2AECAC2A"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lastRenderedPageBreak/>
        <w:t>Critical Evaluation of the Ratios Calculated</w:t>
      </w:r>
    </w:p>
    <w:p w14:paraId="549599D4"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Profitability Ratios</w:t>
      </w:r>
    </w:p>
    <w:p w14:paraId="0A3B3A4D"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Gross Profit Margin</w:t>
      </w:r>
    </w:p>
    <w:p w14:paraId="1D385F1C"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In the aspect of gross profit margin, there presents a minor growth tendency of gross profit margin from 48</w:t>
      </w:r>
      <w:proofErr w:type="gramStart"/>
      <w:r w:rsidRPr="007017B2">
        <w:rPr>
          <w:rFonts w:ascii="Times New Roman" w:hAnsi="Times New Roman" w:cs="Times New Roman"/>
          <w:sz w:val="24"/>
          <w:szCs w:val="24"/>
        </w:rPr>
        <w:t>. ,</w:t>
      </w:r>
      <w:proofErr w:type="gramEnd"/>
      <w:r w:rsidRPr="007017B2">
        <w:rPr>
          <w:rFonts w:ascii="Times New Roman" w:hAnsi="Times New Roman" w:cs="Times New Roman"/>
          <w:sz w:val="24"/>
          <w:szCs w:val="24"/>
        </w:rPr>
        <w:t xml:space="preserve"> from 08 % in 2019 to 50. 00% in 2023. This means that Unilever has been able to achieve or slightly enhance its cost management and pricing might.</w:t>
      </w:r>
    </w:p>
    <w:p w14:paraId="16A5856C"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Net Profit Margin</w:t>
      </w:r>
    </w:p>
    <w:p w14:paraId="66FC4850"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 xml:space="preserve">The net profit margin gives the overall picture and has been slightly up from 11. From 54% in 2019 to 12 % if orientation toward materialism is reached in modern society. 00% in 2023. This stability therefore show that Unilever has well controlled </w:t>
      </w:r>
      <w:proofErr w:type="gramStart"/>
      <w:r w:rsidRPr="007017B2">
        <w:rPr>
          <w:rFonts w:ascii="Times New Roman" w:hAnsi="Times New Roman" w:cs="Times New Roman"/>
          <w:sz w:val="24"/>
          <w:szCs w:val="24"/>
        </w:rPr>
        <w:t>it’s</w:t>
      </w:r>
      <w:proofErr w:type="gramEnd"/>
      <w:r w:rsidRPr="007017B2">
        <w:rPr>
          <w:rFonts w:ascii="Times New Roman" w:hAnsi="Times New Roman" w:cs="Times New Roman"/>
          <w:sz w:val="24"/>
          <w:szCs w:val="24"/>
        </w:rPr>
        <w:t xml:space="preserve"> operating expenses and other costs hence giving consistent profits.</w:t>
      </w:r>
    </w:p>
    <w:p w14:paraId="776F1B39"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Return on Assets (ROA)</w:t>
      </w:r>
    </w:p>
    <w:p w14:paraId="7C7444B4"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 xml:space="preserve">The ROA has been on the rise from 7 as presented by </w:t>
      </w:r>
      <w:proofErr w:type="spellStart"/>
      <w:r w:rsidRPr="007017B2">
        <w:rPr>
          <w:rFonts w:ascii="Times New Roman" w:hAnsi="Times New Roman" w:cs="Times New Roman"/>
          <w:sz w:val="24"/>
          <w:szCs w:val="24"/>
        </w:rPr>
        <w:t>Mexem</w:t>
      </w:r>
      <w:proofErr w:type="spellEnd"/>
      <w:r w:rsidRPr="007017B2">
        <w:rPr>
          <w:rFonts w:ascii="Times New Roman" w:hAnsi="Times New Roman" w:cs="Times New Roman"/>
          <w:sz w:val="24"/>
          <w:szCs w:val="24"/>
        </w:rPr>
        <w:t xml:space="preserve"> International College in this study. In 2019 it was recorded to be 50% and for the year 2020 it reduced to 8. 00% in 2023. This suggests that the business has managed to utilize its assets to make profits as intended by Unilever.</w:t>
      </w:r>
    </w:p>
    <w:p w14:paraId="137C95EB"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Return on Equity (ROE)</w:t>
      </w:r>
    </w:p>
    <w:p w14:paraId="2D901AD5"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To sum it up, the ROE has been oscillating although in ascent from 20</w:t>
      </w:r>
      <w:proofErr w:type="gramStart"/>
      <w:r w:rsidRPr="007017B2">
        <w:rPr>
          <w:rFonts w:ascii="Times New Roman" w:hAnsi="Times New Roman" w:cs="Times New Roman"/>
          <w:sz w:val="24"/>
          <w:szCs w:val="24"/>
        </w:rPr>
        <w:t>. ,</w:t>
      </w:r>
      <w:proofErr w:type="gramEnd"/>
      <w:r w:rsidRPr="007017B2">
        <w:rPr>
          <w:rFonts w:ascii="Times New Roman" w:hAnsi="Times New Roman" w:cs="Times New Roman"/>
          <w:sz w:val="24"/>
          <w:szCs w:val="24"/>
        </w:rPr>
        <w:t xml:space="preserve"> from 00% in 2019 to 20. 00% in 2023. Unilever has therefore developed the shareholders’ equity and used it to come up with some returns as observed above.</w:t>
      </w:r>
    </w:p>
    <w:p w14:paraId="0C623BA4"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Liquidity Ratios</w:t>
      </w:r>
    </w:p>
    <w:p w14:paraId="2F96C963" w14:textId="77777777" w:rsidR="00AB17A3" w:rsidRPr="0070356D" w:rsidRDefault="00AB17A3" w:rsidP="00236E5A">
      <w:pPr>
        <w:jc w:val="both"/>
        <w:rPr>
          <w:rFonts w:ascii="Times New Roman" w:hAnsi="Times New Roman" w:cs="Times New Roman"/>
          <w:sz w:val="24"/>
          <w:szCs w:val="24"/>
          <w:u w:val="single"/>
        </w:rPr>
      </w:pPr>
      <w:r w:rsidRPr="0070356D">
        <w:rPr>
          <w:rFonts w:ascii="Times New Roman" w:hAnsi="Times New Roman" w:cs="Times New Roman"/>
          <w:b/>
          <w:sz w:val="24"/>
          <w:szCs w:val="24"/>
          <w:u w:val="single"/>
        </w:rPr>
        <w:t>Current Ratio</w:t>
      </w:r>
    </w:p>
    <w:p w14:paraId="46B8A764"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 xml:space="preserve">The current ratio has not exhibited much fluctuation and will be ranging about 1. 50. This shows that we have remained liquid enough to covering our </w:t>
      </w:r>
      <w:proofErr w:type="gramStart"/>
      <w:r w:rsidRPr="007017B2">
        <w:rPr>
          <w:rFonts w:ascii="Times New Roman" w:hAnsi="Times New Roman" w:cs="Times New Roman"/>
          <w:sz w:val="24"/>
          <w:szCs w:val="24"/>
        </w:rPr>
        <w:t>short term</w:t>
      </w:r>
      <w:proofErr w:type="gramEnd"/>
      <w:r w:rsidRPr="007017B2">
        <w:rPr>
          <w:rFonts w:ascii="Times New Roman" w:hAnsi="Times New Roman" w:cs="Times New Roman"/>
          <w:sz w:val="24"/>
          <w:szCs w:val="24"/>
        </w:rPr>
        <w:t xml:space="preserve"> obligations as witnessed by the net liquid figure of €2. 5 billion.</w:t>
      </w:r>
    </w:p>
    <w:p w14:paraId="34FA8BA8"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Quick Ratio</w:t>
      </w:r>
    </w:p>
    <w:p w14:paraId="0ACC8E31"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 xml:space="preserve">Another liquidity ratio, quick ratio has also been fluctuating in the neighborhood of 1 for the past few years. 00 to 1. 12. This means that, unlike many other companies, Unilever has adequate cash and other assets that can be easily converted to cash to cater for the </w:t>
      </w:r>
      <w:proofErr w:type="gramStart"/>
      <w:r w:rsidRPr="007017B2">
        <w:rPr>
          <w:rFonts w:ascii="Times New Roman" w:hAnsi="Times New Roman" w:cs="Times New Roman"/>
          <w:sz w:val="24"/>
          <w:szCs w:val="24"/>
        </w:rPr>
        <w:t>short term</w:t>
      </w:r>
      <w:proofErr w:type="gramEnd"/>
      <w:r w:rsidRPr="007017B2">
        <w:rPr>
          <w:rFonts w:ascii="Times New Roman" w:hAnsi="Times New Roman" w:cs="Times New Roman"/>
          <w:sz w:val="24"/>
          <w:szCs w:val="24"/>
        </w:rPr>
        <w:t xml:space="preserve"> debts without using the inventories.</w:t>
      </w:r>
    </w:p>
    <w:p w14:paraId="1BDE5ABE" w14:textId="77777777" w:rsidR="007350C8" w:rsidRDefault="007350C8" w:rsidP="00236E5A">
      <w:pPr>
        <w:jc w:val="both"/>
        <w:rPr>
          <w:rFonts w:ascii="Times New Roman" w:hAnsi="Times New Roman" w:cs="Times New Roman"/>
          <w:b/>
          <w:sz w:val="24"/>
          <w:szCs w:val="24"/>
          <w:u w:val="single"/>
        </w:rPr>
      </w:pPr>
    </w:p>
    <w:p w14:paraId="460B2184" w14:textId="77777777" w:rsidR="007350C8" w:rsidRDefault="007350C8" w:rsidP="00236E5A">
      <w:pPr>
        <w:jc w:val="both"/>
        <w:rPr>
          <w:rFonts w:ascii="Times New Roman" w:hAnsi="Times New Roman" w:cs="Times New Roman"/>
          <w:b/>
          <w:sz w:val="24"/>
          <w:szCs w:val="24"/>
          <w:u w:val="single"/>
        </w:rPr>
      </w:pPr>
    </w:p>
    <w:p w14:paraId="23B7DB67" w14:textId="77777777" w:rsidR="007350C8" w:rsidRDefault="007350C8" w:rsidP="00236E5A">
      <w:pPr>
        <w:jc w:val="both"/>
        <w:rPr>
          <w:rFonts w:ascii="Times New Roman" w:hAnsi="Times New Roman" w:cs="Times New Roman"/>
          <w:b/>
          <w:sz w:val="24"/>
          <w:szCs w:val="24"/>
          <w:u w:val="single"/>
        </w:rPr>
      </w:pPr>
    </w:p>
    <w:p w14:paraId="002B7D76" w14:textId="77777777" w:rsidR="00C14273" w:rsidRDefault="00C14273" w:rsidP="00236E5A">
      <w:pPr>
        <w:jc w:val="both"/>
        <w:rPr>
          <w:rFonts w:ascii="Times New Roman" w:hAnsi="Times New Roman" w:cs="Times New Roman"/>
          <w:b/>
          <w:sz w:val="24"/>
          <w:szCs w:val="24"/>
          <w:u w:val="single"/>
        </w:rPr>
      </w:pPr>
    </w:p>
    <w:p w14:paraId="64779F54" w14:textId="797B0994"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lastRenderedPageBreak/>
        <w:t>Gearing Ratios</w:t>
      </w:r>
    </w:p>
    <w:p w14:paraId="5C2835D3"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Debt to Equity Ratio</w:t>
      </w:r>
    </w:p>
    <w:p w14:paraId="0DA5D777"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 xml:space="preserve">The total debt to total equity </w:t>
      </w:r>
      <w:proofErr w:type="spellStart"/>
      <w:r w:rsidRPr="007017B2">
        <w:rPr>
          <w:rFonts w:ascii="Times New Roman" w:hAnsi="Times New Roman" w:cs="Times New Roman"/>
          <w:sz w:val="24"/>
          <w:szCs w:val="24"/>
        </w:rPr>
        <w:t>ration</w:t>
      </w:r>
      <w:proofErr w:type="spellEnd"/>
      <w:r w:rsidRPr="007017B2">
        <w:rPr>
          <w:rFonts w:ascii="Times New Roman" w:hAnsi="Times New Roman" w:cs="Times New Roman"/>
          <w:sz w:val="24"/>
          <w:szCs w:val="24"/>
        </w:rPr>
        <w:t xml:space="preserve"> is fairly constant at 0. 83. This connotes that Unilever has still managed to strike a good between the use of debts and equity financings.</w:t>
      </w:r>
    </w:p>
    <w:p w14:paraId="2E47B4B7"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Interest Coverage Ratio</w:t>
      </w:r>
    </w:p>
    <w:p w14:paraId="0FECAB12"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The interest coverage ratio, however, has a comparatively lower figure influenced by slightly decrease from 9. Members buying medical insurance increased from 00 in 2019 to 6. 67 in 2023. Based on this decline, it can be deduced that the business’s Earnings Interest Coverage Ratio has slightly reduced, implying that it may be finding it difficult to cover interest expenses with its earnings.</w:t>
      </w:r>
    </w:p>
    <w:p w14:paraId="056B9C2C"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Efficiency Ratios</w:t>
      </w:r>
    </w:p>
    <w:p w14:paraId="0C52F42B"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Inventory Turnover</w:t>
      </w:r>
    </w:p>
    <w:p w14:paraId="656DC13A" w14:textId="77777777" w:rsidR="00AB17A3" w:rsidRPr="007017B2"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The inventory turnover has been generally constant and is approximately at 5. 40 to 5. 26. This implies that Unilever can have been balancing its inventory in a good way.</w:t>
      </w:r>
    </w:p>
    <w:p w14:paraId="3E9AC355"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Receivables Turnover</w:t>
      </w:r>
    </w:p>
    <w:p w14:paraId="524477FB" w14:textId="77777777" w:rsidR="00AB17A3"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Receivables turnover ratio has been stable at 10 for the firm under analysis. 00, which show that the management of Unilever has been also continuous in recovering the receivables.</w:t>
      </w:r>
    </w:p>
    <w:p w14:paraId="27BBCBCD"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Comparison to Major Competitor(s)</w:t>
      </w:r>
    </w:p>
    <w:p w14:paraId="6A86355C" w14:textId="77777777" w:rsidR="00AB17A3" w:rsidRDefault="00AB17A3" w:rsidP="00236E5A">
      <w:pPr>
        <w:jc w:val="both"/>
        <w:rPr>
          <w:rFonts w:ascii="Times New Roman" w:hAnsi="Times New Roman" w:cs="Times New Roman"/>
          <w:sz w:val="24"/>
          <w:szCs w:val="24"/>
        </w:rPr>
      </w:pPr>
      <w:r w:rsidRPr="007017B2">
        <w:rPr>
          <w:rFonts w:ascii="Times New Roman" w:hAnsi="Times New Roman" w:cs="Times New Roman"/>
          <w:sz w:val="24"/>
          <w:szCs w:val="24"/>
        </w:rPr>
        <w:t>To provide a meaningful comparison, let's consider Procter &amp; Gamble (P&amp;G) as a major competitor. Below are the average financial ratios for P&amp;G over the same period:</w:t>
      </w:r>
    </w:p>
    <w:tbl>
      <w:tblPr>
        <w:tblStyle w:val="PlainTable5"/>
        <w:tblW w:w="0" w:type="auto"/>
        <w:tblLook w:val="04A0" w:firstRow="1" w:lastRow="0" w:firstColumn="1" w:lastColumn="0" w:noHBand="0" w:noVBand="1"/>
      </w:tblPr>
      <w:tblGrid>
        <w:gridCol w:w="9350"/>
      </w:tblGrid>
      <w:tr w:rsidR="00AB17A3" w:rsidRPr="008C2044" w14:paraId="36CC7FF7" w14:textId="77777777" w:rsidTr="00232AE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5"/>
              <w:gridCol w:w="5061"/>
            </w:tblGrid>
            <w:tr w:rsidR="00AB17A3" w:rsidRPr="008C2044" w14:paraId="51127688" w14:textId="77777777" w:rsidTr="00232AE1">
              <w:trPr>
                <w:tblHeader/>
                <w:tblCellSpacing w:w="15" w:type="dxa"/>
              </w:trPr>
              <w:tc>
                <w:tcPr>
                  <w:tcW w:w="0" w:type="auto"/>
                  <w:vAlign w:val="center"/>
                  <w:hideMark/>
                </w:tcPr>
                <w:p w14:paraId="39BA0BF9" w14:textId="77777777" w:rsidR="00AB17A3" w:rsidRPr="008C2044" w:rsidRDefault="00AB17A3" w:rsidP="00236E5A">
                  <w:pPr>
                    <w:spacing w:after="0" w:line="240" w:lineRule="auto"/>
                    <w:jc w:val="both"/>
                    <w:rPr>
                      <w:rFonts w:ascii="Times New Roman" w:eastAsia="Times New Roman" w:hAnsi="Times New Roman" w:cs="Times New Roman"/>
                      <w:b/>
                      <w:bCs/>
                      <w:sz w:val="24"/>
                      <w:szCs w:val="24"/>
                    </w:rPr>
                  </w:pPr>
                  <w:r w:rsidRPr="008C2044">
                    <w:rPr>
                      <w:rFonts w:ascii="Times New Roman" w:eastAsia="Times New Roman" w:hAnsi="Times New Roman" w:cs="Times New Roman"/>
                      <w:b/>
                      <w:bCs/>
                      <w:sz w:val="24"/>
                      <w:szCs w:val="24"/>
                    </w:rPr>
                    <w:t>Ratio</w:t>
                  </w:r>
                </w:p>
              </w:tc>
              <w:tc>
                <w:tcPr>
                  <w:tcW w:w="0" w:type="auto"/>
                  <w:vAlign w:val="center"/>
                  <w:hideMark/>
                </w:tcPr>
                <w:p w14:paraId="316A2B78" w14:textId="77777777" w:rsidR="00AB17A3" w:rsidRPr="008C2044" w:rsidRDefault="00AB17A3" w:rsidP="00236E5A">
                  <w:pPr>
                    <w:spacing w:after="0" w:line="240" w:lineRule="auto"/>
                    <w:jc w:val="both"/>
                    <w:rPr>
                      <w:rFonts w:ascii="Times New Roman" w:eastAsia="Times New Roman" w:hAnsi="Times New Roman" w:cs="Times New Roman"/>
                      <w:b/>
                      <w:bCs/>
                      <w:sz w:val="24"/>
                      <w:szCs w:val="24"/>
                    </w:rPr>
                  </w:pPr>
                  <w:r w:rsidRPr="008C2044">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 xml:space="preserve">               </w:t>
                  </w:r>
                  <w:r w:rsidRPr="008C2044">
                    <w:rPr>
                      <w:rFonts w:ascii="Times New Roman" w:eastAsia="Times New Roman" w:hAnsi="Times New Roman" w:cs="Times New Roman"/>
                      <w:b/>
                      <w:bCs/>
                      <w:sz w:val="24"/>
                      <w:szCs w:val="24"/>
                    </w:rPr>
                    <w:t>P&amp;G Average (2019-2023)</w:t>
                  </w:r>
                </w:p>
              </w:tc>
            </w:tr>
          </w:tbl>
          <w:p w14:paraId="4C5A1460"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6698E55B" w14:textId="77777777" w:rsidTr="00232A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9"/>
              <w:gridCol w:w="2855"/>
            </w:tblGrid>
            <w:tr w:rsidR="00AB17A3" w:rsidRPr="008C2044" w14:paraId="36949526" w14:textId="77777777" w:rsidTr="00232AE1">
              <w:trPr>
                <w:tblCellSpacing w:w="15" w:type="dxa"/>
              </w:trPr>
              <w:tc>
                <w:tcPr>
                  <w:tcW w:w="0" w:type="auto"/>
                  <w:vAlign w:val="center"/>
                  <w:hideMark/>
                </w:tcPr>
                <w:p w14:paraId="5E55FF72"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Gross Profit Margin</w:t>
                  </w:r>
                </w:p>
              </w:tc>
              <w:tc>
                <w:tcPr>
                  <w:tcW w:w="0" w:type="auto"/>
                  <w:vAlign w:val="center"/>
                  <w:hideMark/>
                </w:tcPr>
                <w:p w14:paraId="243594A7"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50.50%</w:t>
                  </w:r>
                </w:p>
              </w:tc>
            </w:tr>
          </w:tbl>
          <w:p w14:paraId="7D2A9B68"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2A5850D6" w14:textId="77777777" w:rsidTr="00232AE1">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5"/>
              <w:gridCol w:w="3035"/>
            </w:tblGrid>
            <w:tr w:rsidR="00AB17A3" w:rsidRPr="008C2044" w14:paraId="66402589" w14:textId="77777777" w:rsidTr="00232AE1">
              <w:trPr>
                <w:tblCellSpacing w:w="15" w:type="dxa"/>
              </w:trPr>
              <w:tc>
                <w:tcPr>
                  <w:tcW w:w="0" w:type="auto"/>
                  <w:vAlign w:val="center"/>
                  <w:hideMark/>
                </w:tcPr>
                <w:p w14:paraId="12A3C893"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Net Profit Margin</w:t>
                  </w:r>
                </w:p>
              </w:tc>
              <w:tc>
                <w:tcPr>
                  <w:tcW w:w="0" w:type="auto"/>
                  <w:vAlign w:val="center"/>
                  <w:hideMark/>
                </w:tcPr>
                <w:p w14:paraId="30527430"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14.00%</w:t>
                  </w:r>
                </w:p>
              </w:tc>
            </w:tr>
          </w:tbl>
          <w:p w14:paraId="45ECD947"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70552739" w14:textId="77777777" w:rsidTr="00232A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42"/>
              <w:gridCol w:w="2375"/>
            </w:tblGrid>
            <w:tr w:rsidR="00AB17A3" w:rsidRPr="008C2044" w14:paraId="0ED3E3E7" w14:textId="77777777" w:rsidTr="00232AE1">
              <w:trPr>
                <w:tblCellSpacing w:w="15" w:type="dxa"/>
              </w:trPr>
              <w:tc>
                <w:tcPr>
                  <w:tcW w:w="0" w:type="auto"/>
                  <w:vAlign w:val="center"/>
                  <w:hideMark/>
                </w:tcPr>
                <w:p w14:paraId="1921E5A1"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Return on Assets (ROA)</w:t>
                  </w:r>
                </w:p>
              </w:tc>
              <w:tc>
                <w:tcPr>
                  <w:tcW w:w="0" w:type="auto"/>
                  <w:vAlign w:val="center"/>
                  <w:hideMark/>
                </w:tcPr>
                <w:p w14:paraId="44731AB1"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10.00%</w:t>
                  </w:r>
                </w:p>
              </w:tc>
            </w:tr>
          </w:tbl>
          <w:p w14:paraId="71DAC219"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533A9C13" w14:textId="77777777" w:rsidTr="00232AE1">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9"/>
              <w:gridCol w:w="2375"/>
            </w:tblGrid>
            <w:tr w:rsidR="00AB17A3" w:rsidRPr="008C2044" w14:paraId="017B94D1" w14:textId="77777777" w:rsidTr="00232AE1">
              <w:trPr>
                <w:tblCellSpacing w:w="15" w:type="dxa"/>
              </w:trPr>
              <w:tc>
                <w:tcPr>
                  <w:tcW w:w="0" w:type="auto"/>
                  <w:vAlign w:val="center"/>
                  <w:hideMark/>
                </w:tcPr>
                <w:p w14:paraId="0DCEB683"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Return on Equity (ROE)</w:t>
                  </w:r>
                </w:p>
              </w:tc>
              <w:tc>
                <w:tcPr>
                  <w:tcW w:w="0" w:type="auto"/>
                  <w:vAlign w:val="center"/>
                  <w:hideMark/>
                </w:tcPr>
                <w:p w14:paraId="4E3C7C5B"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24.00%</w:t>
                  </w:r>
                </w:p>
              </w:tc>
            </w:tr>
          </w:tbl>
          <w:p w14:paraId="7D08BCA9"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7CCF57DE" w14:textId="77777777" w:rsidTr="00232A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9"/>
              <w:gridCol w:w="3075"/>
            </w:tblGrid>
            <w:tr w:rsidR="00AB17A3" w:rsidRPr="008C2044" w14:paraId="3575DB39" w14:textId="77777777" w:rsidTr="00232AE1">
              <w:trPr>
                <w:tblCellSpacing w:w="15" w:type="dxa"/>
              </w:trPr>
              <w:tc>
                <w:tcPr>
                  <w:tcW w:w="0" w:type="auto"/>
                  <w:vAlign w:val="center"/>
                  <w:hideMark/>
                </w:tcPr>
                <w:p w14:paraId="0A8273E0"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Current Ratio</w:t>
                  </w:r>
                </w:p>
              </w:tc>
              <w:tc>
                <w:tcPr>
                  <w:tcW w:w="0" w:type="auto"/>
                  <w:vAlign w:val="center"/>
                  <w:hideMark/>
                </w:tcPr>
                <w:p w14:paraId="49A40C3A"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 xml:space="preserve"> 1.60</w:t>
                  </w:r>
                </w:p>
              </w:tc>
            </w:tr>
          </w:tbl>
          <w:p w14:paraId="0567DE7F"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26D0A597" w14:textId="77777777" w:rsidTr="00232AE1">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2"/>
              <w:gridCol w:w="3195"/>
            </w:tblGrid>
            <w:tr w:rsidR="00AB17A3" w:rsidRPr="008C2044" w14:paraId="6E23114E" w14:textId="77777777" w:rsidTr="00232AE1">
              <w:trPr>
                <w:tblCellSpacing w:w="15" w:type="dxa"/>
              </w:trPr>
              <w:tc>
                <w:tcPr>
                  <w:tcW w:w="0" w:type="auto"/>
                  <w:vAlign w:val="center"/>
                  <w:hideMark/>
                </w:tcPr>
                <w:p w14:paraId="396AE685"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Quick Ratio</w:t>
                  </w:r>
                </w:p>
              </w:tc>
              <w:tc>
                <w:tcPr>
                  <w:tcW w:w="0" w:type="auto"/>
                  <w:vAlign w:val="center"/>
                  <w:hideMark/>
                </w:tcPr>
                <w:p w14:paraId="551A545B"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 xml:space="preserve"> 1.10</w:t>
                  </w:r>
                </w:p>
              </w:tc>
            </w:tr>
          </w:tbl>
          <w:p w14:paraId="525BCCE7"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77E56B69" w14:textId="77777777" w:rsidTr="00232A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69"/>
              <w:gridCol w:w="2355"/>
            </w:tblGrid>
            <w:tr w:rsidR="00AB17A3" w:rsidRPr="008C2044" w14:paraId="7D883EA5" w14:textId="77777777" w:rsidTr="00232AE1">
              <w:trPr>
                <w:tblCellSpacing w:w="15" w:type="dxa"/>
              </w:trPr>
              <w:tc>
                <w:tcPr>
                  <w:tcW w:w="0" w:type="auto"/>
                  <w:vAlign w:val="center"/>
                  <w:hideMark/>
                </w:tcPr>
                <w:p w14:paraId="2D6D6C5F"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Debt to Equity Ratio</w:t>
                  </w:r>
                </w:p>
              </w:tc>
              <w:tc>
                <w:tcPr>
                  <w:tcW w:w="0" w:type="auto"/>
                  <w:vAlign w:val="center"/>
                  <w:hideMark/>
                </w:tcPr>
                <w:p w14:paraId="59E33C2C"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0.70</w:t>
                  </w:r>
                </w:p>
              </w:tc>
            </w:tr>
          </w:tbl>
          <w:p w14:paraId="6ED837E6"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71B13558" w14:textId="77777777" w:rsidTr="00232AE1">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5"/>
              <w:gridCol w:w="2055"/>
            </w:tblGrid>
            <w:tr w:rsidR="00AB17A3" w:rsidRPr="008C2044" w14:paraId="48489F47" w14:textId="77777777" w:rsidTr="00232AE1">
              <w:trPr>
                <w:tblCellSpacing w:w="15" w:type="dxa"/>
              </w:trPr>
              <w:tc>
                <w:tcPr>
                  <w:tcW w:w="0" w:type="auto"/>
                  <w:vAlign w:val="center"/>
                  <w:hideMark/>
                </w:tcPr>
                <w:p w14:paraId="37569AE6"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Interest Coverage Ratio</w:t>
                  </w:r>
                </w:p>
              </w:tc>
              <w:tc>
                <w:tcPr>
                  <w:tcW w:w="0" w:type="auto"/>
                  <w:vAlign w:val="center"/>
                  <w:hideMark/>
                </w:tcPr>
                <w:p w14:paraId="108137DC"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8.00</w:t>
                  </w:r>
                </w:p>
              </w:tc>
            </w:tr>
          </w:tbl>
          <w:p w14:paraId="25135504"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rsidRPr="008C2044" w14:paraId="64BA7247" w14:textId="77777777" w:rsidTr="00232A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62"/>
              <w:gridCol w:w="2415"/>
            </w:tblGrid>
            <w:tr w:rsidR="00AB17A3" w:rsidRPr="008C2044" w14:paraId="4434F531" w14:textId="77777777" w:rsidTr="00232AE1">
              <w:trPr>
                <w:tblCellSpacing w:w="15" w:type="dxa"/>
              </w:trPr>
              <w:tc>
                <w:tcPr>
                  <w:tcW w:w="0" w:type="auto"/>
                  <w:vAlign w:val="center"/>
                  <w:hideMark/>
                </w:tcPr>
                <w:p w14:paraId="36586855"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Inventory Turnover</w:t>
                  </w:r>
                </w:p>
              </w:tc>
              <w:tc>
                <w:tcPr>
                  <w:tcW w:w="0" w:type="auto"/>
                  <w:vAlign w:val="center"/>
                  <w:hideMark/>
                </w:tcPr>
                <w:p w14:paraId="78A745FD"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 xml:space="preserve"> 6.00</w:t>
                  </w:r>
                </w:p>
              </w:tc>
            </w:tr>
          </w:tbl>
          <w:p w14:paraId="3EAF436D" w14:textId="77777777" w:rsidR="00AB17A3" w:rsidRPr="008C2044" w:rsidRDefault="00AB17A3" w:rsidP="00236E5A">
            <w:pPr>
              <w:jc w:val="both"/>
              <w:rPr>
                <w:rFonts w:ascii="Times New Roman" w:eastAsia="Times New Roman" w:hAnsi="Times New Roman" w:cs="Times New Roman"/>
                <w:vanish/>
                <w:sz w:val="24"/>
                <w:szCs w:val="24"/>
              </w:rPr>
            </w:pPr>
          </w:p>
        </w:tc>
      </w:tr>
      <w:tr w:rsidR="00AB17A3" w14:paraId="55705CDC" w14:textId="77777777" w:rsidTr="00232AE1">
        <w:tc>
          <w:tcPr>
            <w:cnfStyle w:val="001000000000" w:firstRow="0" w:lastRow="0" w:firstColumn="1" w:lastColumn="0" w:oddVBand="0" w:evenVBand="0" w:oddHBand="0" w:evenHBand="0" w:firstRowFirstColumn="0" w:firstRowLastColumn="0" w:lastRowFirstColumn="0" w:lastRowLastColumn="0"/>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8"/>
              <w:gridCol w:w="2235"/>
            </w:tblGrid>
            <w:tr w:rsidR="00AB17A3" w:rsidRPr="008C2044" w14:paraId="1DF9153F" w14:textId="77777777" w:rsidTr="00232AE1">
              <w:trPr>
                <w:tblCellSpacing w:w="15" w:type="dxa"/>
              </w:trPr>
              <w:tc>
                <w:tcPr>
                  <w:tcW w:w="0" w:type="auto"/>
                  <w:vAlign w:val="center"/>
                  <w:hideMark/>
                </w:tcPr>
                <w:p w14:paraId="5FBF0B25"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Receivables Turnover</w:t>
                  </w:r>
                </w:p>
              </w:tc>
              <w:tc>
                <w:tcPr>
                  <w:tcW w:w="0" w:type="auto"/>
                  <w:vAlign w:val="center"/>
                  <w:hideMark/>
                </w:tcPr>
                <w:p w14:paraId="3F1B8639" w14:textId="77777777" w:rsidR="00AB17A3" w:rsidRPr="008C2044" w:rsidRDefault="00AB17A3" w:rsidP="00236E5A">
                  <w:pPr>
                    <w:spacing w:after="0" w:line="240" w:lineRule="auto"/>
                    <w:jc w:val="both"/>
                    <w:rPr>
                      <w:rFonts w:ascii="Times New Roman" w:eastAsia="Times New Roman" w:hAnsi="Times New Roman" w:cs="Times New Roman"/>
                      <w:sz w:val="24"/>
                      <w:szCs w:val="24"/>
                    </w:rPr>
                  </w:pPr>
                  <w:r w:rsidRPr="008C204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8C2044">
                    <w:rPr>
                      <w:rFonts w:ascii="Times New Roman" w:eastAsia="Times New Roman" w:hAnsi="Times New Roman" w:cs="Times New Roman"/>
                      <w:sz w:val="24"/>
                      <w:szCs w:val="24"/>
                    </w:rPr>
                    <w:t xml:space="preserve"> 11.00</w:t>
                  </w:r>
                </w:p>
              </w:tc>
            </w:tr>
          </w:tbl>
          <w:p w14:paraId="77B0D1DF" w14:textId="77777777" w:rsidR="00AB17A3" w:rsidRDefault="00AB17A3" w:rsidP="00236E5A">
            <w:pPr>
              <w:jc w:val="both"/>
            </w:pPr>
          </w:p>
        </w:tc>
      </w:tr>
    </w:tbl>
    <w:p w14:paraId="52A73FB5" w14:textId="77777777" w:rsidR="00AB17A3" w:rsidRDefault="00AB17A3" w:rsidP="00236E5A">
      <w:pPr>
        <w:jc w:val="both"/>
        <w:rPr>
          <w:rFonts w:ascii="Times New Roman" w:hAnsi="Times New Roman" w:cs="Times New Roman"/>
          <w:sz w:val="24"/>
          <w:szCs w:val="24"/>
        </w:rPr>
      </w:pPr>
    </w:p>
    <w:p w14:paraId="50605A23" w14:textId="77777777" w:rsidR="007350C8" w:rsidRDefault="007350C8" w:rsidP="00236E5A">
      <w:pPr>
        <w:jc w:val="both"/>
        <w:rPr>
          <w:rFonts w:ascii="Times New Roman" w:hAnsi="Times New Roman" w:cs="Times New Roman"/>
          <w:b/>
          <w:sz w:val="24"/>
          <w:szCs w:val="24"/>
          <w:u w:val="single"/>
        </w:rPr>
      </w:pPr>
    </w:p>
    <w:p w14:paraId="7543F025" w14:textId="5F68BE7B"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lastRenderedPageBreak/>
        <w:t>Recommendations for Financial Management Improvement</w:t>
      </w:r>
    </w:p>
    <w:p w14:paraId="4A60C323"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1. Improve Profit Margins</w:t>
      </w:r>
    </w:p>
    <w:p w14:paraId="7D2AEDC1" w14:textId="77777777" w:rsidR="00AB17A3" w:rsidRPr="004C0CDF" w:rsidRDefault="00AB17A3" w:rsidP="00236E5A">
      <w:pPr>
        <w:jc w:val="both"/>
        <w:rPr>
          <w:rFonts w:ascii="Times New Roman" w:hAnsi="Times New Roman" w:cs="Times New Roman"/>
          <w:b/>
          <w:sz w:val="24"/>
          <w:szCs w:val="24"/>
        </w:rPr>
      </w:pPr>
      <w:r w:rsidRPr="0070356D">
        <w:rPr>
          <w:rFonts w:ascii="Times New Roman" w:hAnsi="Times New Roman" w:cs="Times New Roman"/>
          <w:b/>
          <w:sz w:val="24"/>
          <w:szCs w:val="24"/>
          <w:u w:val="single"/>
        </w:rPr>
        <w:t>Cost Reduction Strategies</w:t>
      </w:r>
      <w:r w:rsidRPr="004C0CDF">
        <w:rPr>
          <w:rFonts w:ascii="Times New Roman" w:hAnsi="Times New Roman" w:cs="Times New Roman"/>
          <w:b/>
          <w:sz w:val="24"/>
          <w:szCs w:val="24"/>
        </w:rPr>
        <w:t>:</w:t>
      </w:r>
    </w:p>
    <w:p w14:paraId="72EFEF5C" w14:textId="77777777" w:rsidR="00AB17A3" w:rsidRPr="008C2044" w:rsidRDefault="00AB17A3" w:rsidP="00236E5A">
      <w:pPr>
        <w:jc w:val="both"/>
        <w:rPr>
          <w:rFonts w:ascii="Times New Roman" w:hAnsi="Times New Roman" w:cs="Times New Roman"/>
          <w:sz w:val="24"/>
          <w:szCs w:val="24"/>
        </w:rPr>
      </w:pPr>
      <w:r w:rsidRPr="008C2044">
        <w:rPr>
          <w:rFonts w:ascii="Times New Roman" w:hAnsi="Times New Roman" w:cs="Times New Roman"/>
          <w:sz w:val="24"/>
          <w:szCs w:val="24"/>
        </w:rPr>
        <w:t>Therefore, to improve the profit margin, Unilever should strive to cut on the expenses of operations. This can be achieved by:</w:t>
      </w:r>
    </w:p>
    <w:p w14:paraId="79BE8C23"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sz w:val="24"/>
          <w:szCs w:val="24"/>
          <w:u w:val="single"/>
        </w:rPr>
        <w:t xml:space="preserve">- </w:t>
      </w:r>
      <w:r w:rsidRPr="0070356D">
        <w:rPr>
          <w:rFonts w:ascii="Times New Roman" w:hAnsi="Times New Roman" w:cs="Times New Roman"/>
          <w:b/>
          <w:sz w:val="24"/>
          <w:szCs w:val="24"/>
          <w:u w:val="single"/>
        </w:rPr>
        <w:t>Optimizing the Supply Chain</w:t>
      </w:r>
      <w:r w:rsidRPr="004C0CDF">
        <w:rPr>
          <w:rFonts w:ascii="Times New Roman" w:hAnsi="Times New Roman" w:cs="Times New Roman"/>
          <w:b/>
          <w:sz w:val="24"/>
          <w:szCs w:val="24"/>
        </w:rPr>
        <w:t>:</w:t>
      </w:r>
      <w:r w:rsidRPr="008C2044">
        <w:rPr>
          <w:rFonts w:ascii="Times New Roman" w:hAnsi="Times New Roman" w:cs="Times New Roman"/>
          <w:sz w:val="24"/>
          <w:szCs w:val="24"/>
        </w:rPr>
        <w:t xml:space="preserve"> This may be done by implementing efficient supply chain management strategies that includes acquisition of stock in bulk, renegotiation of Supply Contracts and supply chain management that is based on timely acquisition of stocks.</w:t>
      </w:r>
    </w:p>
    <w:p w14:paraId="1E131453"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sz w:val="24"/>
          <w:szCs w:val="24"/>
          <w:u w:val="single"/>
        </w:rPr>
        <w:t xml:space="preserve">- </w:t>
      </w:r>
      <w:r w:rsidRPr="0070356D">
        <w:rPr>
          <w:rFonts w:ascii="Times New Roman" w:hAnsi="Times New Roman" w:cs="Times New Roman"/>
          <w:b/>
          <w:sz w:val="24"/>
          <w:szCs w:val="24"/>
          <w:u w:val="single"/>
        </w:rPr>
        <w:t>Reducing Production Costs</w:t>
      </w:r>
      <w:r w:rsidRPr="004C0CDF">
        <w:rPr>
          <w:rFonts w:ascii="Times New Roman" w:hAnsi="Times New Roman" w:cs="Times New Roman"/>
          <w:b/>
          <w:sz w:val="24"/>
          <w:szCs w:val="24"/>
        </w:rPr>
        <w:t>:</w:t>
      </w:r>
      <w:r w:rsidRPr="008C2044">
        <w:rPr>
          <w:rFonts w:ascii="Times New Roman" w:hAnsi="Times New Roman" w:cs="Times New Roman"/>
          <w:sz w:val="24"/>
          <w:szCs w:val="24"/>
        </w:rPr>
        <w:t xml:space="preserve"> Possible ways to reduce costs of production include the purchase of new and efficient mechanisms that use a minimum amount of power, introduction of methods adopted by lean manufacturing companies among others. Moreover, the acquisition of cheaper materials for the manufacture of the product can also be another opportunity in that the quality of the product will not be deteriorated.</w:t>
      </w:r>
    </w:p>
    <w:p w14:paraId="5CFF867F"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Pricing Strategies:</w:t>
      </w:r>
    </w:p>
    <w:p w14:paraId="51D7A7E1"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Value-Based Pricing:</w:t>
      </w:r>
      <w:r w:rsidRPr="0070356D">
        <w:rPr>
          <w:rFonts w:ascii="Times New Roman" w:hAnsi="Times New Roman" w:cs="Times New Roman"/>
          <w:sz w:val="24"/>
          <w:szCs w:val="24"/>
          <w:u w:val="single"/>
        </w:rPr>
        <w:t xml:space="preserve"> </w:t>
      </w:r>
      <w:r w:rsidRPr="008C2044">
        <w:rPr>
          <w:rFonts w:ascii="Times New Roman" w:hAnsi="Times New Roman" w:cs="Times New Roman"/>
          <w:sz w:val="24"/>
          <w:szCs w:val="24"/>
        </w:rPr>
        <w:t>This ranges from pricing as resulting from the value of the prices to the consumers as compared to the price determining factors which are the cost of production. The knowledge of customers’ needs and their price sensitivity will enable Unilever set the right prices to unlock the best margins.</w:t>
      </w:r>
    </w:p>
    <w:p w14:paraId="5950323C"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Product Differentiation</w:t>
      </w:r>
      <w:r w:rsidRPr="004C0CDF">
        <w:rPr>
          <w:rFonts w:ascii="Times New Roman" w:hAnsi="Times New Roman" w:cs="Times New Roman"/>
          <w:b/>
          <w:sz w:val="24"/>
          <w:szCs w:val="24"/>
        </w:rPr>
        <w:t>:</w:t>
      </w:r>
      <w:r w:rsidRPr="008C2044">
        <w:rPr>
          <w:rFonts w:ascii="Times New Roman" w:hAnsi="Times New Roman" w:cs="Times New Roman"/>
          <w:sz w:val="24"/>
          <w:szCs w:val="24"/>
        </w:rPr>
        <w:t xml:space="preserve"> The kind of products being offered should be new from those prevailing in the market to be able to charge a premium price for them. Exploring more investment in products’ development that the firm can initiate and launch into the market can also contribute to the achievement of this differentiation.</w:t>
      </w:r>
    </w:p>
    <w:p w14:paraId="74A41D48"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2. Enhance Asset Utilization</w:t>
      </w:r>
    </w:p>
    <w:p w14:paraId="57044C2A"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 xml:space="preserve">Investment in Technology and Innovation: </w:t>
      </w:r>
    </w:p>
    <w:p w14:paraId="5AEACE95"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Automation</w:t>
      </w:r>
      <w:r w:rsidRPr="004C0CDF">
        <w:rPr>
          <w:rFonts w:ascii="Times New Roman" w:hAnsi="Times New Roman" w:cs="Times New Roman"/>
          <w:b/>
          <w:sz w:val="24"/>
          <w:szCs w:val="24"/>
        </w:rPr>
        <w:t xml:space="preserve">: </w:t>
      </w:r>
      <w:r w:rsidRPr="008C2044">
        <w:rPr>
          <w:rFonts w:ascii="Times New Roman" w:hAnsi="Times New Roman" w:cs="Times New Roman"/>
          <w:sz w:val="24"/>
          <w:szCs w:val="24"/>
        </w:rPr>
        <w:t>Automating some of the operations related to production and some general procedures can enhance productivity, reliability, and cost of labor. For instance, there is a case of automated warehouses and these can help in fast order processing and low cost of storage.</w:t>
      </w:r>
    </w:p>
    <w:p w14:paraId="7D041679"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Digital Transformation</w:t>
      </w:r>
      <w:r w:rsidRPr="004C0CDF">
        <w:rPr>
          <w:rFonts w:ascii="Times New Roman" w:hAnsi="Times New Roman" w:cs="Times New Roman"/>
          <w:b/>
          <w:sz w:val="24"/>
          <w:szCs w:val="24"/>
        </w:rPr>
        <w:t>:</w:t>
      </w:r>
      <w:r w:rsidRPr="008C2044">
        <w:rPr>
          <w:rFonts w:ascii="Times New Roman" w:hAnsi="Times New Roman" w:cs="Times New Roman"/>
          <w:sz w:val="24"/>
          <w:szCs w:val="24"/>
        </w:rPr>
        <w:t xml:space="preserve"> An effective application of big data and analytics is to gain better decision-making capabilities, to successfully optimize the marketing measures, as well as to enrich the profiles of certain clients. As for more specific uses, digital tools can also contribute to almost any sort of business processes, be it supply chain, customer relations etc.</w:t>
      </w:r>
    </w:p>
    <w:p w14:paraId="20DF12D3"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Asset Optimization:</w:t>
      </w:r>
    </w:p>
    <w:p w14:paraId="28E1EDAA" w14:textId="77777777" w:rsidR="00AB17A3" w:rsidRPr="008C2044"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Regular Asset Review</w:t>
      </w:r>
      <w:r w:rsidRPr="004C0CDF">
        <w:rPr>
          <w:rFonts w:ascii="Times New Roman" w:hAnsi="Times New Roman" w:cs="Times New Roman"/>
          <w:b/>
          <w:sz w:val="24"/>
          <w:szCs w:val="24"/>
        </w:rPr>
        <w:t>:</w:t>
      </w:r>
      <w:r w:rsidRPr="008C2044">
        <w:rPr>
          <w:rFonts w:ascii="Times New Roman" w:hAnsi="Times New Roman" w:cs="Times New Roman"/>
          <w:sz w:val="24"/>
          <w:szCs w:val="24"/>
        </w:rPr>
        <w:t xml:space="preserve"> The analysis of the asset performance and usage at regular intervals against the intended returns can pinpoint assets that may no longer be contributing to the revenue or those which have become outdated, which may be sold or improved. Thus, there is a proper distribution of capital.</w:t>
      </w:r>
    </w:p>
    <w:p w14:paraId="7E675165" w14:textId="77777777" w:rsidR="00AB17A3"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lastRenderedPageBreak/>
        <w:t>- Strategic Investments</w:t>
      </w:r>
      <w:r w:rsidRPr="004C0CDF">
        <w:rPr>
          <w:rFonts w:ascii="Times New Roman" w:hAnsi="Times New Roman" w:cs="Times New Roman"/>
          <w:b/>
          <w:sz w:val="24"/>
          <w:szCs w:val="24"/>
        </w:rPr>
        <w:t>:</w:t>
      </w:r>
      <w:r w:rsidRPr="008C2044">
        <w:rPr>
          <w:rFonts w:ascii="Times New Roman" w:hAnsi="Times New Roman" w:cs="Times New Roman"/>
          <w:sz w:val="24"/>
          <w:szCs w:val="24"/>
        </w:rPr>
        <w:t xml:space="preserve"> Stress is created by ensuring that the necessary resources are allocated to the asset management projects with the highest returns while some assets are divested from. For example, obtaining high returns with such options as investing in high-growth markets or product lines.</w:t>
      </w:r>
    </w:p>
    <w:p w14:paraId="5CAA8A33"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3. Strengthen Liquidity</w:t>
      </w:r>
    </w:p>
    <w:p w14:paraId="15849FC5"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 xml:space="preserve"> Maintain Healthy Liquid Assets:</w:t>
      </w:r>
    </w:p>
    <w:p w14:paraId="1BF208DB"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xml:space="preserve"> - Cash Reserves</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Adequate amounts of cash are important for the company to meet short-term liabilities and take advantage of any opportunities, such as those that Unilever currently has. A cash reserve also prevents the business from making losses due to fluctuations in the market prices of its shares or other investments or due to an unprofitable year in business. </w:t>
      </w:r>
    </w:p>
    <w:p w14:paraId="2F4A8D8E"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xml:space="preserve"> - Flexible Credit Lines:</w:t>
      </w:r>
      <w:r w:rsidRPr="004C0CDF">
        <w:rPr>
          <w:rFonts w:ascii="Times New Roman" w:hAnsi="Times New Roman" w:cs="Times New Roman"/>
          <w:sz w:val="24"/>
          <w:szCs w:val="24"/>
        </w:rPr>
        <w:t xml:space="preserve"> To have other sources of funds during shortages, flexible credit relations with credit o</w:t>
      </w:r>
      <w:r>
        <w:rPr>
          <w:rFonts w:ascii="Times New Roman" w:hAnsi="Times New Roman" w:cs="Times New Roman"/>
          <w:sz w:val="24"/>
          <w:szCs w:val="24"/>
        </w:rPr>
        <w:t xml:space="preserve">rganizations are also created. </w:t>
      </w:r>
    </w:p>
    <w:p w14:paraId="5A254BD0" w14:textId="77777777" w:rsidR="00AB17A3" w:rsidRPr="0070356D" w:rsidRDefault="00AB17A3" w:rsidP="00236E5A">
      <w:pPr>
        <w:jc w:val="both"/>
        <w:rPr>
          <w:rFonts w:ascii="Times New Roman" w:hAnsi="Times New Roman" w:cs="Times New Roman"/>
          <w:b/>
          <w:sz w:val="24"/>
          <w:szCs w:val="24"/>
          <w:u w:val="single"/>
        </w:rPr>
      </w:pPr>
      <w:r w:rsidRPr="004C0CDF">
        <w:rPr>
          <w:rFonts w:ascii="Times New Roman" w:hAnsi="Times New Roman" w:cs="Times New Roman"/>
          <w:b/>
          <w:sz w:val="24"/>
          <w:szCs w:val="24"/>
        </w:rPr>
        <w:t xml:space="preserve"> </w:t>
      </w:r>
      <w:r w:rsidRPr="0070356D">
        <w:rPr>
          <w:rFonts w:ascii="Times New Roman" w:hAnsi="Times New Roman" w:cs="Times New Roman"/>
          <w:b/>
          <w:sz w:val="24"/>
          <w:szCs w:val="24"/>
          <w:u w:val="single"/>
        </w:rPr>
        <w:t>Inventory Management:</w:t>
      </w:r>
    </w:p>
    <w:p w14:paraId="63DA527C"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xml:space="preserve"> - Just-In-Time (JIT) Inventory</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There is a need to understand that by adopting JIT, a firm can be able to reduce on the holding cost of inventories and in the process curb wastage. This approach can work only if there is robust supply chain, and accurate demand forecasting is done on the product. </w:t>
      </w:r>
    </w:p>
    <w:p w14:paraId="499B5CC7" w14:textId="77777777" w:rsidR="00AB17A3" w:rsidRPr="004C0CDF" w:rsidRDefault="00AB17A3" w:rsidP="00236E5A">
      <w:pPr>
        <w:jc w:val="both"/>
        <w:rPr>
          <w:rFonts w:ascii="Times New Roman" w:hAnsi="Times New Roman" w:cs="Times New Roman"/>
          <w:sz w:val="24"/>
          <w:szCs w:val="24"/>
        </w:rPr>
      </w:pPr>
      <w:r w:rsidRPr="004C0CDF">
        <w:rPr>
          <w:rFonts w:ascii="Times New Roman" w:hAnsi="Times New Roman" w:cs="Times New Roman"/>
          <w:b/>
          <w:sz w:val="24"/>
          <w:szCs w:val="24"/>
        </w:rPr>
        <w:t xml:space="preserve"> </w:t>
      </w:r>
      <w:r w:rsidRPr="0070356D">
        <w:rPr>
          <w:rFonts w:ascii="Times New Roman" w:hAnsi="Times New Roman" w:cs="Times New Roman"/>
          <w:b/>
          <w:sz w:val="24"/>
          <w:szCs w:val="24"/>
          <w:u w:val="single"/>
        </w:rPr>
        <w:t>- Inventory Turnover</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Evaluating and controlling the inventory turnover frequency makes sure that capital does not stay idle in slow moving stock. There are methods used in ABC analysis which may assist with pro</w:t>
      </w:r>
      <w:r>
        <w:rPr>
          <w:rFonts w:ascii="Times New Roman" w:hAnsi="Times New Roman" w:cs="Times New Roman"/>
          <w:sz w:val="24"/>
          <w:szCs w:val="24"/>
        </w:rPr>
        <w:t xml:space="preserve">per management of inventories. </w:t>
      </w:r>
    </w:p>
    <w:p w14:paraId="68431030"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 xml:space="preserve"> 4. Manage Debt Levels </w:t>
      </w:r>
    </w:p>
    <w:p w14:paraId="6FD0EFBB"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 xml:space="preserve"> Debt Refinancing:</w:t>
      </w:r>
    </w:p>
    <w:p w14:paraId="3D89C129"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xml:space="preserve"> - Lower Interest Rates:</w:t>
      </w:r>
      <w:r w:rsidRPr="0070356D">
        <w:rPr>
          <w:rFonts w:ascii="Times New Roman" w:hAnsi="Times New Roman" w:cs="Times New Roman"/>
          <w:sz w:val="24"/>
          <w:szCs w:val="24"/>
          <w:u w:val="single"/>
        </w:rPr>
        <w:t xml:space="preserve"> </w:t>
      </w:r>
      <w:r w:rsidRPr="004C0CDF">
        <w:rPr>
          <w:rFonts w:ascii="Times New Roman" w:hAnsi="Times New Roman" w:cs="Times New Roman"/>
          <w:sz w:val="24"/>
          <w:szCs w:val="24"/>
        </w:rPr>
        <w:t xml:space="preserve">Reduction of rates of interest through single refinancing of the existing debts is also figured out beneficial to minimizing the interest expenses and enhancing the level of profitability. This is can be done by obtaining improved conditions for the transaction or, for example, when certain market conditions are favorable. </w:t>
      </w:r>
    </w:p>
    <w:p w14:paraId="68C40ED8" w14:textId="77777777" w:rsidR="00AB17A3" w:rsidRPr="004C0CDF" w:rsidRDefault="00AB17A3" w:rsidP="00236E5A">
      <w:pPr>
        <w:jc w:val="both"/>
        <w:rPr>
          <w:rFonts w:ascii="Times New Roman" w:hAnsi="Times New Roman" w:cs="Times New Roman"/>
          <w:sz w:val="24"/>
          <w:szCs w:val="24"/>
        </w:rPr>
      </w:pPr>
      <w:r w:rsidRPr="004C0CDF">
        <w:rPr>
          <w:rFonts w:ascii="Times New Roman" w:hAnsi="Times New Roman" w:cs="Times New Roman"/>
          <w:b/>
          <w:sz w:val="24"/>
          <w:szCs w:val="24"/>
        </w:rPr>
        <w:t xml:space="preserve"> </w:t>
      </w:r>
      <w:r w:rsidRPr="0070356D">
        <w:rPr>
          <w:rFonts w:ascii="Times New Roman" w:hAnsi="Times New Roman" w:cs="Times New Roman"/>
          <w:b/>
          <w:sz w:val="24"/>
          <w:szCs w:val="24"/>
          <w:u w:val="single"/>
        </w:rPr>
        <w:t>- Debt Restructuring</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Debt readjustment and rearrangement is another way that can affect the company’s stability, because they can reconfigure its debts according to the cash flows within it. For example, maturing a short-term liability to a long-term liability may help to ease pressur</w:t>
      </w:r>
      <w:r>
        <w:rPr>
          <w:rFonts w:ascii="Times New Roman" w:hAnsi="Times New Roman" w:cs="Times New Roman"/>
          <w:sz w:val="24"/>
          <w:szCs w:val="24"/>
        </w:rPr>
        <w:t xml:space="preserve">e of the short-term repayment. </w:t>
      </w:r>
    </w:p>
    <w:p w14:paraId="447A6336"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sz w:val="24"/>
          <w:szCs w:val="24"/>
          <w:u w:val="single"/>
        </w:rPr>
        <w:t xml:space="preserve"> </w:t>
      </w:r>
      <w:r w:rsidRPr="0070356D">
        <w:rPr>
          <w:rFonts w:ascii="Times New Roman" w:hAnsi="Times New Roman" w:cs="Times New Roman"/>
          <w:b/>
          <w:sz w:val="24"/>
          <w:szCs w:val="24"/>
          <w:u w:val="single"/>
        </w:rPr>
        <w:t>Balanced Financing Approach:</w:t>
      </w:r>
    </w:p>
    <w:p w14:paraId="263CFA4B"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xml:space="preserve"> - Debt-Equity Mix</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In any given period, debt and equity financing should be done in moderation so that the company does not go overboard in either area of financing. A prudent mix is useful in managing on the one hand the advantages of debt and on the other hand managing risks that are associated with debts. </w:t>
      </w:r>
    </w:p>
    <w:p w14:paraId="0C5AC366" w14:textId="77777777" w:rsidR="00AB17A3" w:rsidRDefault="00AB17A3" w:rsidP="00236E5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70356D">
        <w:rPr>
          <w:rFonts w:ascii="Times New Roman" w:hAnsi="Times New Roman" w:cs="Times New Roman"/>
          <w:b/>
          <w:sz w:val="24"/>
          <w:szCs w:val="24"/>
          <w:u w:val="single"/>
        </w:rPr>
        <w:t>- Strategic Use of Debt</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The application of debts in particularly was used to fund high return rates may lead to added or better value to the shareholders. Nevertheless, adequate attention is paid to the maintenance of the necessary profitability of the projects, which would allow covering the cost of debt. </w:t>
      </w:r>
    </w:p>
    <w:p w14:paraId="1106E3B8"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5. Increase Efficiency</w:t>
      </w:r>
    </w:p>
    <w:p w14:paraId="505ABE25"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Inventory Management Systems:</w:t>
      </w:r>
    </w:p>
    <w:p w14:paraId="443D630A"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Advanced Systems</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Centralized systems like the ERP can address special inventory wants and needs, decrease errors, and avert product run out. These systems offer present data and analysis, which are useful in taking better inventory related decisions.</w:t>
      </w:r>
    </w:p>
    <w:p w14:paraId="020D490F"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Supply Chain Collaboration</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This is because suppliers and distributors can be very useful in improving the overall functionality of inventory. Such information sharing as demand forecasting and sales information can be used in lead time reduction and improved production planning by suppliers.</w:t>
      </w:r>
    </w:p>
    <w:p w14:paraId="52B8706E"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Receivables Management:</w:t>
      </w:r>
    </w:p>
    <w:p w14:paraId="08BE1DB5" w14:textId="77777777" w:rsidR="00AB17A3" w:rsidRPr="004C0CDF"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Credit Policies</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Some measures that can be taken to mitigate the risk of bad debts are; coming up with better credit policies and conducting credit checks on the customers to be issued with credit. Promotions such as cash rebates and discounts with early payments </w:t>
      </w:r>
      <w:proofErr w:type="spellStart"/>
      <w:r w:rsidRPr="004C0CDF">
        <w:rPr>
          <w:rFonts w:ascii="Times New Roman" w:hAnsi="Times New Roman" w:cs="Times New Roman"/>
          <w:sz w:val="24"/>
          <w:szCs w:val="24"/>
        </w:rPr>
        <w:t>andkir</w:t>
      </w:r>
      <w:proofErr w:type="spellEnd"/>
      <w:r w:rsidRPr="004C0CDF">
        <w:rPr>
          <w:rFonts w:ascii="Times New Roman" w:hAnsi="Times New Roman" w:cs="Times New Roman"/>
          <w:sz w:val="24"/>
          <w:szCs w:val="24"/>
        </w:rPr>
        <w:t xml:space="preserve"> charging high interest on delayed payments would serve to increase the rate of collections, that is, receivables turnover.</w:t>
      </w:r>
    </w:p>
    <w:p w14:paraId="008668E6" w14:textId="77777777" w:rsidR="00AB17A3" w:rsidRDefault="00AB17A3" w:rsidP="00236E5A">
      <w:pPr>
        <w:jc w:val="both"/>
        <w:rPr>
          <w:rFonts w:ascii="Times New Roman" w:hAnsi="Times New Roman" w:cs="Times New Roman"/>
          <w:sz w:val="24"/>
          <w:szCs w:val="24"/>
        </w:rPr>
      </w:pPr>
      <w:r w:rsidRPr="0070356D">
        <w:rPr>
          <w:rFonts w:ascii="Times New Roman" w:hAnsi="Times New Roman" w:cs="Times New Roman"/>
          <w:b/>
          <w:sz w:val="24"/>
          <w:szCs w:val="24"/>
          <w:u w:val="single"/>
        </w:rPr>
        <w:t>- Efficient Collections</w:t>
      </w:r>
      <w:r w:rsidRPr="004C0CDF">
        <w:rPr>
          <w:rFonts w:ascii="Times New Roman" w:hAnsi="Times New Roman" w:cs="Times New Roman"/>
          <w:b/>
          <w:sz w:val="24"/>
          <w:szCs w:val="24"/>
        </w:rPr>
        <w:t>:</w:t>
      </w:r>
      <w:r w:rsidRPr="004C0CDF">
        <w:rPr>
          <w:rFonts w:ascii="Times New Roman" w:hAnsi="Times New Roman" w:cs="Times New Roman"/>
          <w:sz w:val="24"/>
          <w:szCs w:val="24"/>
        </w:rPr>
        <w:t xml:space="preserve"> The correct operating system of collections, whereby reminders and follow-ups are automated will enhance collection of money from customers. The aging of receivables should be reviewed frequently so as to notice accounts that are due so that corrective actions can be taken.</w:t>
      </w:r>
    </w:p>
    <w:p w14:paraId="3F72DF40" w14:textId="77777777"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Conclusion</w:t>
      </w:r>
    </w:p>
    <w:p w14:paraId="34EB6DB9" w14:textId="77777777" w:rsidR="00AB17A3" w:rsidRPr="004C0CDF" w:rsidRDefault="00AB17A3" w:rsidP="00236E5A">
      <w:pPr>
        <w:jc w:val="both"/>
        <w:rPr>
          <w:rFonts w:ascii="Times New Roman" w:hAnsi="Times New Roman" w:cs="Times New Roman"/>
          <w:sz w:val="24"/>
          <w:szCs w:val="24"/>
        </w:rPr>
      </w:pPr>
      <w:r w:rsidRPr="004C0CDF">
        <w:rPr>
          <w:rFonts w:ascii="Times New Roman" w:hAnsi="Times New Roman" w:cs="Times New Roman"/>
          <w:sz w:val="24"/>
          <w:szCs w:val="24"/>
        </w:rPr>
        <w:t>To bolster its financial management and secure long-term success, Unilever must focus on five key areas: bettering operational or gross profit margins, optimizing the use of assets, building up, controlling the liabilities and increasing o</w:t>
      </w:r>
      <w:r>
        <w:rPr>
          <w:rFonts w:ascii="Times New Roman" w:hAnsi="Times New Roman" w:cs="Times New Roman"/>
          <w:sz w:val="24"/>
          <w:szCs w:val="24"/>
        </w:rPr>
        <w:t>perational efficiency.</w:t>
      </w:r>
    </w:p>
    <w:p w14:paraId="46DD1E7C" w14:textId="77777777" w:rsidR="00AB17A3" w:rsidRPr="0070356D" w:rsidRDefault="00AB17A3" w:rsidP="00236E5A">
      <w:pPr>
        <w:pStyle w:val="ListParagraph"/>
        <w:numPr>
          <w:ilvl w:val="0"/>
          <w:numId w:val="6"/>
        </w:numPr>
        <w:ind w:left="0"/>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Improving Profit Margins</w:t>
      </w:r>
    </w:p>
    <w:p w14:paraId="2BE75171" w14:textId="77777777" w:rsidR="00AB17A3" w:rsidRPr="004C0CDF" w:rsidRDefault="00AB17A3" w:rsidP="00236E5A">
      <w:pPr>
        <w:jc w:val="both"/>
        <w:rPr>
          <w:rFonts w:ascii="Times New Roman" w:hAnsi="Times New Roman" w:cs="Times New Roman"/>
          <w:sz w:val="24"/>
          <w:szCs w:val="24"/>
        </w:rPr>
      </w:pPr>
      <w:r w:rsidRPr="004C0CDF">
        <w:rPr>
          <w:rFonts w:ascii="Times New Roman" w:hAnsi="Times New Roman" w:cs="Times New Roman"/>
          <w:sz w:val="24"/>
          <w:szCs w:val="24"/>
        </w:rPr>
        <w:t xml:space="preserve">Gross and net profit margins are important measures that define the state of the company’s financial standing. Unilever should focus to increase </w:t>
      </w:r>
      <w:proofErr w:type="gramStart"/>
      <w:r w:rsidRPr="004C0CDF">
        <w:rPr>
          <w:rFonts w:ascii="Times New Roman" w:hAnsi="Times New Roman" w:cs="Times New Roman"/>
          <w:sz w:val="24"/>
          <w:szCs w:val="24"/>
        </w:rPr>
        <w:t>these margin</w:t>
      </w:r>
      <w:proofErr w:type="gramEnd"/>
      <w:r w:rsidRPr="004C0CDF">
        <w:rPr>
          <w:rFonts w:ascii="Times New Roman" w:hAnsi="Times New Roman" w:cs="Times New Roman"/>
          <w:sz w:val="24"/>
          <w:szCs w:val="24"/>
        </w:rPr>
        <w:t xml:space="preserve"> through the following ways where the company can introduce measures that can help reduce cost while at same ensure that it charges the correct price. Some of the possibilities for </w:t>
      </w:r>
      <w:proofErr w:type="spellStart"/>
      <w:r w:rsidRPr="004C0CDF">
        <w:rPr>
          <w:rFonts w:ascii="Times New Roman" w:hAnsi="Times New Roman" w:cs="Times New Roman"/>
          <w:sz w:val="24"/>
          <w:szCs w:val="24"/>
        </w:rPr>
        <w:t>realising</w:t>
      </w:r>
      <w:proofErr w:type="spellEnd"/>
      <w:r w:rsidRPr="004C0CDF">
        <w:rPr>
          <w:rFonts w:ascii="Times New Roman" w:hAnsi="Times New Roman" w:cs="Times New Roman"/>
          <w:sz w:val="24"/>
          <w:szCs w:val="24"/>
        </w:rPr>
        <w:t xml:space="preserve"> the cost reduction include optimization of the supply chain, reducing the cost of goods and employing the methods of lean production. Furthermore, Unilever needs to implement </w:t>
      </w:r>
      <w:proofErr w:type="gramStart"/>
      <w:r w:rsidRPr="004C0CDF">
        <w:rPr>
          <w:rFonts w:ascii="Times New Roman" w:hAnsi="Times New Roman" w:cs="Times New Roman"/>
          <w:sz w:val="24"/>
          <w:szCs w:val="24"/>
        </w:rPr>
        <w:t>value based</w:t>
      </w:r>
      <w:proofErr w:type="gramEnd"/>
      <w:r w:rsidRPr="004C0CDF">
        <w:rPr>
          <w:rFonts w:ascii="Times New Roman" w:hAnsi="Times New Roman" w:cs="Times New Roman"/>
          <w:sz w:val="24"/>
          <w:szCs w:val="24"/>
        </w:rPr>
        <w:t xml:space="preserve"> pricing strategy as well as product differentiation to increase revenues and sales without decreasing the market share. As it is indicated by the data in the initial part of the paper, an understanding of the preferences of the </w:t>
      </w:r>
      <w:r w:rsidRPr="004C0CDF">
        <w:rPr>
          <w:rFonts w:ascii="Times New Roman" w:hAnsi="Times New Roman" w:cs="Times New Roman"/>
          <w:sz w:val="24"/>
          <w:szCs w:val="24"/>
        </w:rPr>
        <w:lastRenderedPageBreak/>
        <w:t>customers and the subsequent change in the prices is likely to lead to bettering of the profit levels in Unilever.</w:t>
      </w:r>
    </w:p>
    <w:p w14:paraId="642C2015" w14:textId="77777777" w:rsidR="00AB17A3" w:rsidRPr="0070356D" w:rsidRDefault="00AB17A3" w:rsidP="00236E5A">
      <w:pPr>
        <w:pStyle w:val="ListParagraph"/>
        <w:numPr>
          <w:ilvl w:val="0"/>
          <w:numId w:val="9"/>
        </w:numPr>
        <w:ind w:left="0"/>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Enhancing Asset Utilization</w:t>
      </w:r>
    </w:p>
    <w:p w14:paraId="0BD7C323" w14:textId="77777777" w:rsidR="00AB17A3" w:rsidRPr="004C0CDF" w:rsidRDefault="00AB17A3" w:rsidP="00236E5A">
      <w:pPr>
        <w:jc w:val="both"/>
        <w:rPr>
          <w:rFonts w:ascii="Times New Roman" w:hAnsi="Times New Roman" w:cs="Times New Roman"/>
          <w:sz w:val="24"/>
          <w:szCs w:val="24"/>
        </w:rPr>
      </w:pPr>
      <w:r w:rsidRPr="004C0CDF">
        <w:rPr>
          <w:rFonts w:ascii="Times New Roman" w:hAnsi="Times New Roman" w:cs="Times New Roman"/>
          <w:sz w:val="24"/>
          <w:szCs w:val="24"/>
        </w:rPr>
        <w:t>Asset intensity promotes optimal utilization of the assets hence increasing returns on Investment for Unilever. This can be done by applying technology and innovation in manufacturing methods and implementing the strategy of digital process reformation. Automation means that the procedure can be done in a shorter time with less mistakes and lower staff cost, digital tools can make the work processes more effective and enable better decisions. Performance review of the assets can also increase asset productivity A deliberate effort by management to invest in profit earning projects can also increase asset use. Laying off the unnecessary department and focusing on more profitable sectors, the Unil</w:t>
      </w:r>
      <w:r>
        <w:rPr>
          <w:rFonts w:ascii="Times New Roman" w:hAnsi="Times New Roman" w:cs="Times New Roman"/>
          <w:sz w:val="24"/>
          <w:szCs w:val="24"/>
        </w:rPr>
        <w:t>ever may obtain more revenues.</w:t>
      </w:r>
    </w:p>
    <w:p w14:paraId="6F65D2B4" w14:textId="77777777" w:rsidR="00AB17A3" w:rsidRPr="0070356D" w:rsidRDefault="00AB17A3" w:rsidP="00236E5A">
      <w:pPr>
        <w:pStyle w:val="ListParagraph"/>
        <w:numPr>
          <w:ilvl w:val="0"/>
          <w:numId w:val="7"/>
        </w:numPr>
        <w:ind w:left="0"/>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Strengthening Liquidity</w:t>
      </w:r>
    </w:p>
    <w:p w14:paraId="30513E0D" w14:textId="77777777" w:rsidR="00AB17A3" w:rsidRDefault="00AB17A3" w:rsidP="00236E5A">
      <w:pPr>
        <w:jc w:val="both"/>
        <w:rPr>
          <w:rFonts w:ascii="Times New Roman" w:hAnsi="Times New Roman" w:cs="Times New Roman"/>
          <w:sz w:val="24"/>
          <w:szCs w:val="24"/>
        </w:rPr>
      </w:pPr>
      <w:r w:rsidRPr="004C0CDF">
        <w:rPr>
          <w:rFonts w:ascii="Times New Roman" w:hAnsi="Times New Roman" w:cs="Times New Roman"/>
          <w:sz w:val="24"/>
          <w:szCs w:val="24"/>
        </w:rPr>
        <w:t>Availability of sufficient and adequate cash is also important because Unilever may need to respond to uncontrollable events or it has bills and payments due in the short time period. This requires adequate cash balances and open credit lines as the basic instruments of risk buffering. Inventory management is also a very important aspect if one wants to foster rapid growth of his/her business. A JIT inventory system in a business organization can effectively decrease holding costs and reduce any wastage, while the rightful and efficient relocation of stocks to accelerate inventory turnover decreases an organization’s capital investment in slow-moving stocks. Highly developed inventory management techniques and cooperation with suppliers can increase the efficiency and liquidity even more.</w:t>
      </w:r>
    </w:p>
    <w:p w14:paraId="37C63989" w14:textId="77777777" w:rsidR="00AB17A3" w:rsidRPr="0070356D" w:rsidRDefault="00AB17A3" w:rsidP="00236E5A">
      <w:pPr>
        <w:pStyle w:val="ListParagraph"/>
        <w:numPr>
          <w:ilvl w:val="0"/>
          <w:numId w:val="8"/>
        </w:numPr>
        <w:ind w:left="0"/>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t>Overall Impact</w:t>
      </w:r>
    </w:p>
    <w:p w14:paraId="4A9A1B2E" w14:textId="77777777" w:rsidR="00AB17A3" w:rsidRPr="004C0CDF" w:rsidRDefault="00AB17A3" w:rsidP="00236E5A">
      <w:pPr>
        <w:jc w:val="both"/>
        <w:rPr>
          <w:rFonts w:ascii="Times New Roman" w:hAnsi="Times New Roman" w:cs="Times New Roman"/>
          <w:sz w:val="24"/>
          <w:szCs w:val="24"/>
        </w:rPr>
      </w:pPr>
      <w:r w:rsidRPr="004C0CDF">
        <w:rPr>
          <w:rFonts w:ascii="Times New Roman" w:hAnsi="Times New Roman" w:cs="Times New Roman"/>
          <w:sz w:val="24"/>
          <w:szCs w:val="24"/>
        </w:rPr>
        <w:t xml:space="preserve">Thus, such strategic areas should be prioritized at Unilever to improve its financial situation and competitiveness on the market. Cost control and better pricing strategy, making efficient use of assets using information technology and other </w:t>
      </w:r>
      <w:proofErr w:type="spellStart"/>
      <w:r w:rsidRPr="004C0CDF">
        <w:rPr>
          <w:rFonts w:ascii="Times New Roman" w:hAnsi="Times New Roman" w:cs="Times New Roman"/>
          <w:sz w:val="24"/>
          <w:szCs w:val="24"/>
        </w:rPr>
        <w:t>invetsments</w:t>
      </w:r>
      <w:proofErr w:type="spellEnd"/>
      <w:r w:rsidRPr="004C0CDF">
        <w:rPr>
          <w:rFonts w:ascii="Times New Roman" w:hAnsi="Times New Roman" w:cs="Times New Roman"/>
          <w:sz w:val="24"/>
          <w:szCs w:val="24"/>
        </w:rPr>
        <w:t xml:space="preserve">, effective management of cash and inventory, controlling the amount of debts, and bettering operational efficiency are some of the most crucial tasks. They will help avoid liability crises, introduce long-term developmental strategies, and improve market positions and business </w:t>
      </w:r>
      <w:proofErr w:type="spellStart"/>
      <w:r w:rsidRPr="004C0CDF">
        <w:rPr>
          <w:rFonts w:ascii="Times New Roman" w:hAnsi="Times New Roman" w:cs="Times New Roman"/>
          <w:sz w:val="24"/>
          <w:szCs w:val="24"/>
        </w:rPr>
        <w:t>profitable_managed</w:t>
      </w:r>
      <w:proofErr w:type="spellEnd"/>
      <w:r w:rsidRPr="004C0CDF">
        <w:rPr>
          <w:rFonts w:ascii="Times New Roman" w:hAnsi="Times New Roman" w:cs="Times New Roman"/>
          <w:sz w:val="24"/>
          <w:szCs w:val="24"/>
        </w:rPr>
        <w:t>.</w:t>
      </w:r>
    </w:p>
    <w:p w14:paraId="15118875" w14:textId="77777777" w:rsidR="00AB17A3" w:rsidRDefault="00AB17A3" w:rsidP="00236E5A">
      <w:pPr>
        <w:jc w:val="both"/>
        <w:rPr>
          <w:rFonts w:ascii="Times New Roman" w:hAnsi="Times New Roman" w:cs="Times New Roman"/>
          <w:sz w:val="24"/>
          <w:szCs w:val="24"/>
        </w:rPr>
      </w:pPr>
      <w:r w:rsidRPr="004C0CDF">
        <w:rPr>
          <w:rFonts w:ascii="Times New Roman" w:hAnsi="Times New Roman" w:cs="Times New Roman"/>
          <w:sz w:val="24"/>
          <w:szCs w:val="24"/>
        </w:rPr>
        <w:t xml:space="preserve">Therefore, this is a clear indication that if these recommendations are embraced by the </w:t>
      </w:r>
      <w:proofErr w:type="gramStart"/>
      <w:r w:rsidRPr="004C0CDF">
        <w:rPr>
          <w:rFonts w:ascii="Times New Roman" w:hAnsi="Times New Roman" w:cs="Times New Roman"/>
          <w:sz w:val="24"/>
          <w:szCs w:val="24"/>
        </w:rPr>
        <w:t>Unilever</w:t>
      </w:r>
      <w:proofErr w:type="gramEnd"/>
      <w:r w:rsidRPr="004C0CDF">
        <w:rPr>
          <w:rFonts w:ascii="Times New Roman" w:hAnsi="Times New Roman" w:cs="Times New Roman"/>
          <w:sz w:val="24"/>
          <w:szCs w:val="24"/>
        </w:rPr>
        <w:t xml:space="preserve"> it will be in able to manage with the challenges of the consumer goods market. Thus, while focusing on its financial performance and future development, being a major player in the global personal care products market, Unilever can remain prosperous and provide more advantages to its shareholders. The execution of these strategies will not only enhance todays P&amp;L but also enhance Unilever for the future so as to face uncertain moments with pride.</w:t>
      </w:r>
    </w:p>
    <w:p w14:paraId="73CD7EAD" w14:textId="77777777" w:rsidR="0070356D" w:rsidRDefault="0070356D" w:rsidP="00236E5A">
      <w:pPr>
        <w:jc w:val="both"/>
        <w:rPr>
          <w:rFonts w:ascii="Times New Roman" w:hAnsi="Times New Roman" w:cs="Times New Roman"/>
          <w:b/>
          <w:sz w:val="24"/>
          <w:szCs w:val="24"/>
          <w:u w:val="single"/>
        </w:rPr>
      </w:pPr>
    </w:p>
    <w:p w14:paraId="6171860E" w14:textId="77777777" w:rsidR="0070356D" w:rsidRDefault="0070356D" w:rsidP="00236E5A">
      <w:pPr>
        <w:jc w:val="both"/>
        <w:rPr>
          <w:rFonts w:ascii="Times New Roman" w:hAnsi="Times New Roman" w:cs="Times New Roman"/>
          <w:b/>
          <w:sz w:val="24"/>
          <w:szCs w:val="24"/>
          <w:u w:val="single"/>
        </w:rPr>
      </w:pPr>
    </w:p>
    <w:p w14:paraId="05992697" w14:textId="77777777" w:rsidR="0070356D" w:rsidRDefault="0070356D" w:rsidP="00236E5A">
      <w:pPr>
        <w:jc w:val="both"/>
        <w:rPr>
          <w:rFonts w:ascii="Times New Roman" w:hAnsi="Times New Roman" w:cs="Times New Roman"/>
          <w:b/>
          <w:sz w:val="24"/>
          <w:szCs w:val="24"/>
          <w:u w:val="single"/>
        </w:rPr>
      </w:pPr>
    </w:p>
    <w:p w14:paraId="5CACB4B0" w14:textId="5F6A30DE" w:rsidR="00AB17A3" w:rsidRPr="0070356D" w:rsidRDefault="00AB17A3" w:rsidP="00236E5A">
      <w:pPr>
        <w:jc w:val="both"/>
        <w:rPr>
          <w:rFonts w:ascii="Times New Roman" w:hAnsi="Times New Roman" w:cs="Times New Roman"/>
          <w:b/>
          <w:sz w:val="24"/>
          <w:szCs w:val="24"/>
          <w:u w:val="single"/>
        </w:rPr>
      </w:pPr>
      <w:r w:rsidRPr="0070356D">
        <w:rPr>
          <w:rFonts w:ascii="Times New Roman" w:hAnsi="Times New Roman" w:cs="Times New Roman"/>
          <w:b/>
          <w:sz w:val="24"/>
          <w:szCs w:val="24"/>
          <w:u w:val="single"/>
        </w:rPr>
        <w:lastRenderedPageBreak/>
        <w:t>References</w:t>
      </w:r>
    </w:p>
    <w:p w14:paraId="689CA903"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Brigham, Eugene F., and Joel F. Houston. Fundamentals of Financial Management. 14</w:t>
      </w:r>
      <w:r>
        <w:rPr>
          <w:rFonts w:ascii="Times New Roman" w:hAnsi="Times New Roman" w:cs="Times New Roman"/>
          <w:sz w:val="24"/>
          <w:szCs w:val="24"/>
        </w:rPr>
        <w:t>th ed., Cengage Learning, 2014.</w:t>
      </w:r>
    </w:p>
    <w:p w14:paraId="5D0CD991"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Gitman, Lawrence J., and Chad J. Zutter. Principles of Managerial Fi</w:t>
      </w:r>
      <w:r>
        <w:rPr>
          <w:rFonts w:ascii="Times New Roman" w:hAnsi="Times New Roman" w:cs="Times New Roman"/>
          <w:sz w:val="24"/>
          <w:szCs w:val="24"/>
        </w:rPr>
        <w:t>nance. 14th ed., Pearson, 2011.</w:t>
      </w:r>
    </w:p>
    <w:p w14:paraId="510364B8"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 xml:space="preserve">Ross, Stephen A., Randolph W. </w:t>
      </w:r>
      <w:proofErr w:type="spellStart"/>
      <w:r w:rsidRPr="00E4137C">
        <w:rPr>
          <w:rFonts w:ascii="Times New Roman" w:hAnsi="Times New Roman" w:cs="Times New Roman"/>
          <w:sz w:val="24"/>
          <w:szCs w:val="24"/>
        </w:rPr>
        <w:t>Westerfield</w:t>
      </w:r>
      <w:proofErr w:type="spellEnd"/>
      <w:r w:rsidRPr="00E4137C">
        <w:rPr>
          <w:rFonts w:ascii="Times New Roman" w:hAnsi="Times New Roman" w:cs="Times New Roman"/>
          <w:sz w:val="24"/>
          <w:szCs w:val="24"/>
        </w:rPr>
        <w:t>, and Bradford D. Jordan. Corporate Finance. 11th ed</w:t>
      </w:r>
      <w:r>
        <w:rPr>
          <w:rFonts w:ascii="Times New Roman" w:hAnsi="Times New Roman" w:cs="Times New Roman"/>
          <w:sz w:val="24"/>
          <w:szCs w:val="24"/>
        </w:rPr>
        <w:t>., McGraw-Hill Education, 2016.</w:t>
      </w:r>
    </w:p>
    <w:p w14:paraId="0A3BC6E8"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Damodaran, Aswath. Investment Valuation: Tools and Techniques for Determining the Value of A</w:t>
      </w:r>
      <w:r>
        <w:rPr>
          <w:rFonts w:ascii="Times New Roman" w:hAnsi="Times New Roman" w:cs="Times New Roman"/>
          <w:sz w:val="24"/>
          <w:szCs w:val="24"/>
        </w:rPr>
        <w:t>ny Asset. 3rd ed., Wiley, 2012.</w:t>
      </w:r>
    </w:p>
    <w:p w14:paraId="324A6083"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Higgins, Robert C. Analysis for Financial Management. 11th ed</w:t>
      </w:r>
      <w:r>
        <w:rPr>
          <w:rFonts w:ascii="Times New Roman" w:hAnsi="Times New Roman" w:cs="Times New Roman"/>
          <w:sz w:val="24"/>
          <w:szCs w:val="24"/>
        </w:rPr>
        <w:t>., McGraw-Hill Education, 2015.</w:t>
      </w:r>
    </w:p>
    <w:p w14:paraId="6A655E33"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Fraser, Lyn M., and Aileen Ormiston. Understanding Financial State</w:t>
      </w:r>
      <w:r>
        <w:rPr>
          <w:rFonts w:ascii="Times New Roman" w:hAnsi="Times New Roman" w:cs="Times New Roman"/>
          <w:sz w:val="24"/>
          <w:szCs w:val="24"/>
        </w:rPr>
        <w:t>ments. 10th ed., Pearson, 2013.</w:t>
      </w:r>
    </w:p>
    <w:p w14:paraId="4DDBB7D9"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 xml:space="preserve">White, Gerald I., </w:t>
      </w:r>
      <w:proofErr w:type="spellStart"/>
      <w:r w:rsidRPr="00E4137C">
        <w:rPr>
          <w:rFonts w:ascii="Times New Roman" w:hAnsi="Times New Roman" w:cs="Times New Roman"/>
          <w:sz w:val="24"/>
          <w:szCs w:val="24"/>
        </w:rPr>
        <w:t>Ashwinpaul</w:t>
      </w:r>
      <w:proofErr w:type="spellEnd"/>
      <w:r w:rsidRPr="00E4137C">
        <w:rPr>
          <w:rFonts w:ascii="Times New Roman" w:hAnsi="Times New Roman" w:cs="Times New Roman"/>
          <w:sz w:val="24"/>
          <w:szCs w:val="24"/>
        </w:rPr>
        <w:t xml:space="preserve"> C. Sondhi, and Dov Fried. The Analysis and Use of Financial St</w:t>
      </w:r>
      <w:r>
        <w:rPr>
          <w:rFonts w:ascii="Times New Roman" w:hAnsi="Times New Roman" w:cs="Times New Roman"/>
          <w:sz w:val="24"/>
          <w:szCs w:val="24"/>
        </w:rPr>
        <w:t>atements. 3rd ed., Wiley, 2002.</w:t>
      </w:r>
    </w:p>
    <w:p w14:paraId="0128DA33"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Palepu, Krishna G., Paul M. Healy, and Erik Peek. Business Analysis and Valuation: IFRS Edition. 3r</w:t>
      </w:r>
      <w:r>
        <w:rPr>
          <w:rFonts w:ascii="Times New Roman" w:hAnsi="Times New Roman" w:cs="Times New Roman"/>
          <w:sz w:val="24"/>
          <w:szCs w:val="24"/>
        </w:rPr>
        <w:t>d ed., Cengage Learning, 2013.</w:t>
      </w:r>
    </w:p>
    <w:p w14:paraId="17478C41"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Penman, Stephen H. Financial Statement Analysis and Security Valuation. 5th ed</w:t>
      </w:r>
      <w:r>
        <w:rPr>
          <w:rFonts w:ascii="Times New Roman" w:hAnsi="Times New Roman" w:cs="Times New Roman"/>
          <w:sz w:val="24"/>
          <w:szCs w:val="24"/>
        </w:rPr>
        <w:t>., McGraw-Hill Education, 2012.</w:t>
      </w:r>
    </w:p>
    <w:p w14:paraId="2EDC5628"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Wild, John J., and Kenneth R. Subramanyam. Financial Statement Analysis. 11th ed</w:t>
      </w:r>
      <w:r>
        <w:rPr>
          <w:rFonts w:ascii="Times New Roman" w:hAnsi="Times New Roman" w:cs="Times New Roman"/>
          <w:sz w:val="24"/>
          <w:szCs w:val="24"/>
        </w:rPr>
        <w:t>., McGraw-Hill Education, 2013.</w:t>
      </w:r>
    </w:p>
    <w:p w14:paraId="55E218E1"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Stickney, Clyde P., and Paul R. Brown. Financial Reporting and Statement Analysis: A Strategic Perspective. 7</w:t>
      </w:r>
      <w:r>
        <w:rPr>
          <w:rFonts w:ascii="Times New Roman" w:hAnsi="Times New Roman" w:cs="Times New Roman"/>
          <w:sz w:val="24"/>
          <w:szCs w:val="24"/>
        </w:rPr>
        <w:t>th ed., Cengage Learning, 2010.</w:t>
      </w:r>
    </w:p>
    <w:p w14:paraId="5DE157DA"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Higgins, Robert C. Financial Management: Theory and Practice. 15</w:t>
      </w:r>
      <w:r>
        <w:rPr>
          <w:rFonts w:ascii="Times New Roman" w:hAnsi="Times New Roman" w:cs="Times New Roman"/>
          <w:sz w:val="24"/>
          <w:szCs w:val="24"/>
        </w:rPr>
        <w:t>th ed., Cengage Learning, 2018.</w:t>
      </w:r>
    </w:p>
    <w:p w14:paraId="28F41BC4"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Moyer, Charles R., James R. McGuigan, and Ramesh P. Rao. Contemporary Financial Management. 13</w:t>
      </w:r>
      <w:r>
        <w:rPr>
          <w:rFonts w:ascii="Times New Roman" w:hAnsi="Times New Roman" w:cs="Times New Roman"/>
          <w:sz w:val="24"/>
          <w:szCs w:val="24"/>
        </w:rPr>
        <w:t>th ed., Cengage Learning, 2014.,</w:t>
      </w:r>
    </w:p>
    <w:p w14:paraId="37D9F250"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Ehrhardt, Michael C., and Eugene F. Brigham. Corporate Finance: A Focused Approach. 6</w:t>
      </w:r>
      <w:r>
        <w:rPr>
          <w:rFonts w:ascii="Times New Roman" w:hAnsi="Times New Roman" w:cs="Times New Roman"/>
          <w:sz w:val="24"/>
          <w:szCs w:val="24"/>
        </w:rPr>
        <w:t>th ed., Cengage Learning, 2017.</w:t>
      </w:r>
    </w:p>
    <w:p w14:paraId="3F31C52C" w14:textId="77777777" w:rsidR="00AB17A3" w:rsidRPr="00E4137C" w:rsidRDefault="00AB17A3" w:rsidP="00236E5A">
      <w:pPr>
        <w:jc w:val="both"/>
        <w:rPr>
          <w:rFonts w:ascii="Times New Roman" w:hAnsi="Times New Roman" w:cs="Times New Roman"/>
          <w:sz w:val="24"/>
          <w:szCs w:val="24"/>
        </w:rPr>
      </w:pPr>
      <w:r w:rsidRPr="00E4137C">
        <w:rPr>
          <w:rFonts w:ascii="Times New Roman" w:hAnsi="Times New Roman" w:cs="Times New Roman"/>
          <w:sz w:val="24"/>
          <w:szCs w:val="24"/>
        </w:rPr>
        <w:t>Koller, Tim, Marc Goedhart, and David Wessels. Valuation: Measuring and Managing the Value of Companies. 6th ed., Wiley, 2015.</w:t>
      </w:r>
    </w:p>
    <w:p w14:paraId="73660837" w14:textId="77777777" w:rsidR="00AB17A3" w:rsidRPr="004C0CDF" w:rsidRDefault="00AB17A3" w:rsidP="00236E5A">
      <w:pPr>
        <w:jc w:val="both"/>
        <w:rPr>
          <w:rFonts w:ascii="Times New Roman" w:hAnsi="Times New Roman" w:cs="Times New Roman"/>
          <w:sz w:val="24"/>
          <w:szCs w:val="24"/>
        </w:rPr>
      </w:pPr>
    </w:p>
    <w:p w14:paraId="2C562104" w14:textId="77777777" w:rsidR="00AB17A3" w:rsidRPr="004C0CDF" w:rsidRDefault="00AB17A3" w:rsidP="00236E5A">
      <w:pPr>
        <w:jc w:val="both"/>
        <w:rPr>
          <w:rFonts w:ascii="Times New Roman" w:hAnsi="Times New Roman" w:cs="Times New Roman"/>
          <w:sz w:val="24"/>
          <w:szCs w:val="24"/>
        </w:rPr>
      </w:pPr>
    </w:p>
    <w:p w14:paraId="6FF497AE" w14:textId="77777777" w:rsidR="00AB17A3" w:rsidRDefault="00AB17A3" w:rsidP="00236E5A">
      <w:pPr>
        <w:jc w:val="both"/>
      </w:pPr>
    </w:p>
    <w:sdt>
      <w:sdtPr>
        <w:rPr>
          <w:rFonts w:asciiTheme="minorHAnsi" w:eastAsiaTheme="minorHAnsi" w:hAnsiTheme="minorHAnsi" w:cstheme="minorBidi"/>
          <w:color w:val="auto"/>
          <w:sz w:val="22"/>
          <w:szCs w:val="22"/>
        </w:rPr>
        <w:id w:val="-1267689844"/>
        <w:docPartObj>
          <w:docPartGallery w:val="Table of Contents"/>
          <w:docPartUnique/>
        </w:docPartObj>
      </w:sdtPr>
      <w:sdtEndPr>
        <w:rPr>
          <w:b/>
          <w:bCs/>
          <w:noProof/>
        </w:rPr>
      </w:sdtEndPr>
      <w:sdtContent>
        <w:p w14:paraId="361F96BB" w14:textId="346B14A9" w:rsidR="00E27A77" w:rsidRPr="00893992" w:rsidRDefault="00E27A77" w:rsidP="00236E5A">
          <w:pPr>
            <w:pStyle w:val="TOCHeading"/>
            <w:spacing w:line="360" w:lineRule="auto"/>
            <w:jc w:val="both"/>
            <w:rPr>
              <w:rFonts w:asciiTheme="minorHAnsi" w:eastAsiaTheme="minorHAnsi" w:hAnsiTheme="minorHAnsi" w:cstheme="minorBidi"/>
              <w:b/>
              <w:bCs/>
              <w:color w:val="auto"/>
              <w:sz w:val="28"/>
              <w:szCs w:val="28"/>
              <w:u w:val="single"/>
            </w:rPr>
          </w:pPr>
          <w:r w:rsidRPr="00893992">
            <w:rPr>
              <w:rFonts w:asciiTheme="minorHAnsi" w:eastAsiaTheme="minorHAnsi" w:hAnsiTheme="minorHAnsi" w:cstheme="minorBidi"/>
              <w:b/>
              <w:bCs/>
              <w:color w:val="auto"/>
              <w:sz w:val="28"/>
              <w:szCs w:val="28"/>
              <w:u w:val="single"/>
            </w:rPr>
            <w:t>Part-C</w:t>
          </w:r>
        </w:p>
        <w:p w14:paraId="45431067" w14:textId="4E127BAE" w:rsidR="00DF530B" w:rsidRPr="00DF530B" w:rsidRDefault="00BA2854" w:rsidP="00236E5A">
          <w:pPr>
            <w:pStyle w:val="TOCHeading"/>
            <w:spacing w:line="360" w:lineRule="auto"/>
            <w:jc w:val="both"/>
          </w:pPr>
          <w:r>
            <w:t>Table of Contents</w:t>
          </w:r>
        </w:p>
        <w:p w14:paraId="140762F0" w14:textId="77777777" w:rsidR="00BA2854" w:rsidRDefault="00BA2854" w:rsidP="00236E5A">
          <w:pPr>
            <w:spacing w:line="360" w:lineRule="auto"/>
            <w:jc w:val="both"/>
          </w:pPr>
          <w:r>
            <w:t>Investment Appraisal Calculations………………………………………………………………</w:t>
          </w:r>
          <w:proofErr w:type="gramStart"/>
          <w:r>
            <w:t>…..</w:t>
          </w:r>
          <w:proofErr w:type="gramEnd"/>
          <w:r>
            <w:t>1-3</w:t>
          </w:r>
        </w:p>
        <w:p w14:paraId="7A6B470F" w14:textId="77777777" w:rsidR="00BA2854" w:rsidRDefault="00BA2854" w:rsidP="00236E5A">
          <w:pPr>
            <w:spacing w:line="360" w:lineRule="auto"/>
            <w:jc w:val="both"/>
          </w:pPr>
          <w:r>
            <w:t>Evaluation and Recommendation........................................................................4</w:t>
          </w:r>
        </w:p>
        <w:p w14:paraId="0091FB4C" w14:textId="77777777" w:rsidR="00BA2854" w:rsidRDefault="00BA2854" w:rsidP="00236E5A">
          <w:pPr>
            <w:spacing w:line="360" w:lineRule="auto"/>
            <w:jc w:val="both"/>
          </w:pPr>
          <w:r>
            <w:t>Circulation of PBP, ARR, and NPV Techniques………………………………………………</w:t>
          </w:r>
          <w:proofErr w:type="gramStart"/>
          <w:r>
            <w:t>…..</w:t>
          </w:r>
          <w:proofErr w:type="gramEnd"/>
          <w:r>
            <w:t>4-5</w:t>
          </w:r>
        </w:p>
        <w:p w14:paraId="7B623500" w14:textId="77777777" w:rsidR="00BA2854" w:rsidRDefault="00BA2854" w:rsidP="00236E5A">
          <w:pPr>
            <w:spacing w:line="360" w:lineRule="auto"/>
            <w:jc w:val="both"/>
          </w:pPr>
          <w:r>
            <w:t>Net Present Value (NPV)………………………………………………………………………………</w:t>
          </w:r>
          <w:proofErr w:type="gramStart"/>
          <w:r>
            <w:t>…..</w:t>
          </w:r>
          <w:proofErr w:type="gramEnd"/>
          <w:r>
            <w:t>5-6</w:t>
          </w:r>
        </w:p>
        <w:p w14:paraId="01982928" w14:textId="77777777" w:rsidR="00BA2854" w:rsidRDefault="00BA2854" w:rsidP="00236E5A">
          <w:pPr>
            <w:spacing w:line="360" w:lineRule="auto"/>
            <w:jc w:val="both"/>
          </w:pPr>
          <w:r>
            <w:t>Non-Financial Factors to Consider…………………………………………………………………….6</w:t>
          </w:r>
        </w:p>
        <w:p w14:paraId="456F8E9D" w14:textId="77777777" w:rsidR="00BA2854" w:rsidRDefault="00BA2854" w:rsidP="00236E5A">
          <w:pPr>
            <w:spacing w:line="360" w:lineRule="auto"/>
            <w:jc w:val="both"/>
          </w:pPr>
          <w:r>
            <w:t>Conclusion……………………………………………………………………………………………………</w:t>
          </w:r>
          <w:proofErr w:type="gramStart"/>
          <w:r>
            <w:t>…..</w:t>
          </w:r>
          <w:proofErr w:type="gramEnd"/>
          <w:r>
            <w:t>6-7</w:t>
          </w:r>
        </w:p>
        <w:p w14:paraId="63BF07E2" w14:textId="77777777" w:rsidR="00BA2854" w:rsidRPr="006571D7" w:rsidRDefault="00BA2854" w:rsidP="00236E5A">
          <w:pPr>
            <w:spacing w:line="360" w:lineRule="auto"/>
            <w:jc w:val="both"/>
            <w:rPr>
              <w:rFonts w:ascii="Times New Roman" w:hAnsi="Times New Roman" w:cs="Times New Roman"/>
              <w:sz w:val="24"/>
              <w:szCs w:val="24"/>
            </w:rPr>
          </w:pPr>
          <w:r>
            <w:t>References……………………………………………………………………………………………………</w:t>
          </w:r>
          <w:proofErr w:type="gramStart"/>
          <w:r>
            <w:t>…..</w:t>
          </w:r>
          <w:proofErr w:type="gramEnd"/>
          <w:r>
            <w:t>7-8</w:t>
          </w:r>
        </w:p>
        <w:p w14:paraId="329E4F28" w14:textId="77777777" w:rsidR="00BA2854" w:rsidRPr="006571D7" w:rsidRDefault="00000000" w:rsidP="00236E5A">
          <w:pPr>
            <w:spacing w:line="360" w:lineRule="auto"/>
            <w:jc w:val="both"/>
          </w:pPr>
        </w:p>
      </w:sdtContent>
    </w:sdt>
    <w:p w14:paraId="7E4F7424" w14:textId="77777777" w:rsidR="00BA2854" w:rsidRDefault="00BA2854" w:rsidP="00236E5A">
      <w:pPr>
        <w:spacing w:line="360" w:lineRule="auto"/>
        <w:jc w:val="both"/>
        <w:rPr>
          <w:rFonts w:ascii="Times New Roman" w:hAnsi="Times New Roman" w:cs="Times New Roman"/>
          <w:b/>
          <w:sz w:val="24"/>
          <w:szCs w:val="24"/>
        </w:rPr>
      </w:pPr>
    </w:p>
    <w:p w14:paraId="53FB7141" w14:textId="77777777" w:rsidR="00C327BD" w:rsidRDefault="00C327BD" w:rsidP="00236E5A">
      <w:pPr>
        <w:spacing w:line="360" w:lineRule="auto"/>
        <w:jc w:val="both"/>
        <w:rPr>
          <w:rFonts w:ascii="Times New Roman" w:hAnsi="Times New Roman" w:cs="Times New Roman"/>
          <w:b/>
          <w:sz w:val="24"/>
          <w:szCs w:val="24"/>
        </w:rPr>
      </w:pPr>
    </w:p>
    <w:p w14:paraId="2F1721FF" w14:textId="77777777" w:rsidR="00C327BD" w:rsidRDefault="00C327BD" w:rsidP="00236E5A">
      <w:pPr>
        <w:spacing w:line="360" w:lineRule="auto"/>
        <w:jc w:val="both"/>
        <w:rPr>
          <w:rFonts w:ascii="Times New Roman" w:hAnsi="Times New Roman" w:cs="Times New Roman"/>
          <w:b/>
          <w:sz w:val="24"/>
          <w:szCs w:val="24"/>
        </w:rPr>
      </w:pPr>
    </w:p>
    <w:p w14:paraId="37B80ADD" w14:textId="77777777" w:rsidR="00C327BD" w:rsidRDefault="00C327BD" w:rsidP="00236E5A">
      <w:pPr>
        <w:spacing w:line="360" w:lineRule="auto"/>
        <w:jc w:val="both"/>
        <w:rPr>
          <w:rFonts w:ascii="Times New Roman" w:hAnsi="Times New Roman" w:cs="Times New Roman"/>
          <w:b/>
          <w:sz w:val="24"/>
          <w:szCs w:val="24"/>
        </w:rPr>
      </w:pPr>
    </w:p>
    <w:p w14:paraId="5EFB7763" w14:textId="77777777" w:rsidR="00C327BD" w:rsidRDefault="00C327BD" w:rsidP="00236E5A">
      <w:pPr>
        <w:spacing w:line="360" w:lineRule="auto"/>
        <w:jc w:val="both"/>
        <w:rPr>
          <w:rFonts w:ascii="Times New Roman" w:hAnsi="Times New Roman" w:cs="Times New Roman"/>
          <w:b/>
          <w:sz w:val="24"/>
          <w:szCs w:val="24"/>
        </w:rPr>
      </w:pPr>
    </w:p>
    <w:p w14:paraId="15291F5F" w14:textId="77777777" w:rsidR="00C327BD" w:rsidRDefault="00C327BD" w:rsidP="00236E5A">
      <w:pPr>
        <w:spacing w:line="360" w:lineRule="auto"/>
        <w:jc w:val="both"/>
        <w:rPr>
          <w:rFonts w:ascii="Times New Roman" w:hAnsi="Times New Roman" w:cs="Times New Roman"/>
          <w:b/>
          <w:sz w:val="24"/>
          <w:szCs w:val="24"/>
        </w:rPr>
      </w:pPr>
    </w:p>
    <w:p w14:paraId="0E2BDF61" w14:textId="77777777" w:rsidR="00C327BD" w:rsidRDefault="00C327BD" w:rsidP="00236E5A">
      <w:pPr>
        <w:spacing w:line="360" w:lineRule="auto"/>
        <w:jc w:val="both"/>
        <w:rPr>
          <w:rFonts w:ascii="Times New Roman" w:hAnsi="Times New Roman" w:cs="Times New Roman"/>
          <w:b/>
          <w:sz w:val="24"/>
          <w:szCs w:val="24"/>
        </w:rPr>
      </w:pPr>
    </w:p>
    <w:p w14:paraId="6312EC46" w14:textId="77777777" w:rsidR="00C327BD" w:rsidRDefault="00C327BD" w:rsidP="00236E5A">
      <w:pPr>
        <w:spacing w:line="360" w:lineRule="auto"/>
        <w:jc w:val="both"/>
        <w:rPr>
          <w:rFonts w:ascii="Times New Roman" w:hAnsi="Times New Roman" w:cs="Times New Roman"/>
          <w:b/>
          <w:sz w:val="24"/>
          <w:szCs w:val="24"/>
        </w:rPr>
      </w:pPr>
    </w:p>
    <w:p w14:paraId="40E080BD" w14:textId="77777777" w:rsidR="00C327BD" w:rsidRDefault="00C327BD" w:rsidP="00236E5A">
      <w:pPr>
        <w:spacing w:line="360" w:lineRule="auto"/>
        <w:jc w:val="both"/>
        <w:rPr>
          <w:rFonts w:ascii="Times New Roman" w:hAnsi="Times New Roman" w:cs="Times New Roman"/>
          <w:b/>
          <w:sz w:val="24"/>
          <w:szCs w:val="24"/>
        </w:rPr>
      </w:pPr>
    </w:p>
    <w:p w14:paraId="41A9DB78" w14:textId="77777777" w:rsidR="00C327BD" w:rsidRDefault="00C327BD" w:rsidP="00236E5A">
      <w:pPr>
        <w:spacing w:line="360" w:lineRule="auto"/>
        <w:jc w:val="both"/>
        <w:rPr>
          <w:rFonts w:ascii="Times New Roman" w:hAnsi="Times New Roman" w:cs="Times New Roman"/>
          <w:b/>
          <w:sz w:val="24"/>
          <w:szCs w:val="24"/>
        </w:rPr>
      </w:pPr>
    </w:p>
    <w:p w14:paraId="62E3C907" w14:textId="77777777" w:rsidR="00C327BD" w:rsidRDefault="00C327BD" w:rsidP="00236E5A">
      <w:pPr>
        <w:spacing w:line="360" w:lineRule="auto"/>
        <w:jc w:val="both"/>
        <w:rPr>
          <w:rFonts w:ascii="Times New Roman" w:hAnsi="Times New Roman" w:cs="Times New Roman"/>
          <w:b/>
          <w:sz w:val="24"/>
          <w:szCs w:val="24"/>
        </w:rPr>
      </w:pPr>
    </w:p>
    <w:p w14:paraId="4D6B5C84" w14:textId="77777777" w:rsidR="00C327BD" w:rsidRDefault="00C327BD" w:rsidP="00236E5A">
      <w:pPr>
        <w:spacing w:line="360" w:lineRule="auto"/>
        <w:jc w:val="both"/>
        <w:rPr>
          <w:rFonts w:ascii="Times New Roman" w:hAnsi="Times New Roman" w:cs="Times New Roman"/>
          <w:b/>
          <w:sz w:val="24"/>
          <w:szCs w:val="24"/>
        </w:rPr>
      </w:pPr>
    </w:p>
    <w:p w14:paraId="49277546" w14:textId="25CD3B5E"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lastRenderedPageBreak/>
        <w:t>Part C: Investment Appraisal</w:t>
      </w:r>
    </w:p>
    <w:p w14:paraId="09CAE35D"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Investment Appraisal Calculations</w:t>
      </w:r>
    </w:p>
    <w:p w14:paraId="47810D99" w14:textId="77777777" w:rsidR="00BA2854" w:rsidRPr="0070356D" w:rsidRDefault="00BA2854" w:rsidP="00236E5A">
      <w:pPr>
        <w:spacing w:before="100" w:beforeAutospacing="1" w:after="100" w:afterAutospacing="1" w:line="360" w:lineRule="auto"/>
        <w:jc w:val="both"/>
        <w:outlineLvl w:val="3"/>
        <w:rPr>
          <w:rFonts w:ascii="Times New Roman" w:eastAsia="Times New Roman" w:hAnsi="Times New Roman" w:cs="Times New Roman"/>
          <w:b/>
          <w:bCs/>
          <w:sz w:val="24"/>
          <w:szCs w:val="24"/>
          <w:u w:val="single"/>
        </w:rPr>
      </w:pPr>
      <w:r w:rsidRPr="0070356D">
        <w:rPr>
          <w:rFonts w:ascii="Times New Roman" w:eastAsia="Times New Roman" w:hAnsi="Times New Roman" w:cs="Times New Roman"/>
          <w:b/>
          <w:bCs/>
          <w:sz w:val="24"/>
          <w:szCs w:val="24"/>
          <w:u w:val="single"/>
        </w:rPr>
        <w:t>Payback Period (PBP)</w:t>
      </w:r>
    </w:p>
    <w:p w14:paraId="3CF383DE"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The Payback Period (PBP) measures the time required to recover the initial investment. It is a simple and intuitive method to evaluate the risk and liquidity of a project.</w:t>
      </w:r>
    </w:p>
    <w:p w14:paraId="6516BAF5"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92612A">
        <w:rPr>
          <w:rFonts w:ascii="Times New Roman" w:eastAsia="Times New Roman" w:hAnsi="Times New Roman" w:cs="Times New Roman"/>
          <w:b/>
          <w:bCs/>
          <w:sz w:val="24"/>
          <w:szCs w:val="24"/>
        </w:rPr>
        <w:t>Project A:</w:t>
      </w:r>
    </w:p>
    <w:p w14:paraId="340F24A4"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Initial Investment: £80 million</w:t>
      </w:r>
    </w:p>
    <w:p w14:paraId="43FD8709"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Cash Flows: Year 1: £25 million, Year 2: £25 million, Year 3: £20 million, Year 4: £55 million</w:t>
      </w:r>
    </w:p>
    <w:p w14:paraId="70324DD7" w14:textId="77777777" w:rsidR="00BA2854" w:rsidRPr="0092612A" w:rsidRDefault="00BA2854" w:rsidP="00236E5A">
      <w:pPr>
        <w:spacing w:before="100" w:beforeAutospacing="1" w:after="100" w:afterAutospacing="1" w:line="360" w:lineRule="auto"/>
        <w:ind w:left="72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Year 1: £25 million</w:t>
      </w:r>
      <w:r w:rsidRPr="000C247B">
        <w:rPr>
          <w:rFonts w:ascii="Times New Roman" w:eastAsia="Times New Roman" w:hAnsi="Times New Roman" w:cs="Times New Roman"/>
          <w:sz w:val="24"/>
          <w:szCs w:val="24"/>
        </w:rPr>
        <w:br/>
        <w:t>Year 2: £25 million (Cumulative: £50 million)</w:t>
      </w:r>
      <w:r w:rsidRPr="000C247B">
        <w:rPr>
          <w:rFonts w:ascii="Times New Roman" w:eastAsia="Times New Roman" w:hAnsi="Times New Roman" w:cs="Times New Roman"/>
          <w:sz w:val="24"/>
          <w:szCs w:val="24"/>
        </w:rPr>
        <w:br/>
        <w:t>Year 3: £20 million (Cumulative: £70 million)</w:t>
      </w:r>
      <w:r w:rsidRPr="000C247B">
        <w:rPr>
          <w:rFonts w:ascii="Times New Roman" w:eastAsia="Times New Roman" w:hAnsi="Times New Roman" w:cs="Times New Roman"/>
          <w:sz w:val="24"/>
          <w:szCs w:val="24"/>
        </w:rPr>
        <w:br/>
        <w:t>Year 4: £10 million needed to cover the remaining investment, recovered in the first 10 months of Year 4.</w:t>
      </w:r>
    </w:p>
    <w:p w14:paraId="54E12EAF" w14:textId="77777777" w:rsidR="00BA2854" w:rsidRPr="000C247B" w:rsidRDefault="00BA2854" w:rsidP="00236E5A">
      <w:pPr>
        <w:spacing w:before="100" w:beforeAutospacing="1" w:after="100" w:afterAutospacing="1" w:line="360" w:lineRule="auto"/>
        <w:ind w:left="72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br/>
      </w:r>
      <w:r w:rsidRPr="0092612A">
        <w:rPr>
          <w:rFonts w:ascii="Times New Roman" w:eastAsia="Times New Roman" w:hAnsi="Times New Roman" w:cs="Times New Roman"/>
          <w:b/>
          <w:bCs/>
          <w:sz w:val="24"/>
          <w:szCs w:val="24"/>
        </w:rPr>
        <w:t>PBP for Project A: 3 years and 10 months.</w:t>
      </w:r>
    </w:p>
    <w:p w14:paraId="7D5C1CB9" w14:textId="39225E46"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92612A">
        <w:rPr>
          <w:rFonts w:ascii="Times New Roman" w:eastAsia="Times New Roman" w:hAnsi="Times New Roman" w:cs="Times New Roman"/>
          <w:b/>
          <w:bCs/>
          <w:sz w:val="24"/>
          <w:szCs w:val="24"/>
        </w:rPr>
        <w:t>Project B:</w:t>
      </w:r>
      <w:r w:rsidR="00C327BD">
        <w:rPr>
          <w:rFonts w:ascii="Times New Roman" w:eastAsia="Times New Roman" w:hAnsi="Times New Roman" w:cs="Times New Roman"/>
          <w:b/>
          <w:bCs/>
          <w:sz w:val="24"/>
          <w:szCs w:val="24"/>
        </w:rPr>
        <w:t xml:space="preserve"> </w:t>
      </w:r>
      <w:r w:rsidRPr="000C247B">
        <w:rPr>
          <w:rFonts w:ascii="Times New Roman" w:eastAsia="Times New Roman" w:hAnsi="Times New Roman" w:cs="Times New Roman"/>
          <w:sz w:val="24"/>
          <w:szCs w:val="24"/>
        </w:rPr>
        <w:t>Initial Investment: £75 million</w:t>
      </w:r>
    </w:p>
    <w:p w14:paraId="51C6F30C"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Cash Flows: Year 1: £50 million, Year 2: £20 million, Year 3: £20 million, Year 4: £20 million</w:t>
      </w:r>
    </w:p>
    <w:p w14:paraId="5866E75A" w14:textId="77777777" w:rsidR="00BA2854" w:rsidRPr="0092612A" w:rsidRDefault="00BA2854" w:rsidP="004222C3">
      <w:pPr>
        <w:spacing w:before="100" w:beforeAutospacing="1" w:after="100" w:afterAutospacing="1" w:line="360" w:lineRule="auto"/>
        <w:ind w:left="720"/>
        <w:rPr>
          <w:rFonts w:ascii="Times New Roman" w:eastAsia="Times New Roman" w:hAnsi="Times New Roman" w:cs="Times New Roman"/>
          <w:b/>
          <w:bCs/>
          <w:sz w:val="24"/>
          <w:szCs w:val="24"/>
        </w:rPr>
      </w:pPr>
      <w:r w:rsidRPr="000C247B">
        <w:rPr>
          <w:rFonts w:ascii="Times New Roman" w:eastAsia="Times New Roman" w:hAnsi="Times New Roman" w:cs="Times New Roman"/>
          <w:sz w:val="24"/>
          <w:szCs w:val="24"/>
        </w:rPr>
        <w:t>Year 1: £50 million</w:t>
      </w:r>
      <w:r w:rsidRPr="000C247B">
        <w:rPr>
          <w:rFonts w:ascii="Times New Roman" w:eastAsia="Times New Roman" w:hAnsi="Times New Roman" w:cs="Times New Roman"/>
          <w:sz w:val="24"/>
          <w:szCs w:val="24"/>
        </w:rPr>
        <w:br/>
        <w:t>Year 2: £20 million (Cumulative: £70 million)</w:t>
      </w:r>
      <w:r w:rsidRPr="000C247B">
        <w:rPr>
          <w:rFonts w:ascii="Times New Roman" w:eastAsia="Times New Roman" w:hAnsi="Times New Roman" w:cs="Times New Roman"/>
          <w:sz w:val="24"/>
          <w:szCs w:val="24"/>
        </w:rPr>
        <w:br/>
        <w:t>Year 3: £5 million needed to cover the remaining investment, recovered in the first 3 months of Year 3.</w:t>
      </w:r>
      <w:r w:rsidRPr="000C247B">
        <w:rPr>
          <w:rFonts w:ascii="Times New Roman" w:eastAsia="Times New Roman" w:hAnsi="Times New Roman" w:cs="Times New Roman"/>
          <w:sz w:val="24"/>
          <w:szCs w:val="24"/>
        </w:rPr>
        <w:br/>
      </w:r>
    </w:p>
    <w:p w14:paraId="7EC65948" w14:textId="77777777" w:rsidR="00BA2854" w:rsidRPr="000C247B" w:rsidRDefault="00BA2854" w:rsidP="00236E5A">
      <w:pPr>
        <w:spacing w:before="100" w:beforeAutospacing="1" w:after="100" w:afterAutospacing="1" w:line="360" w:lineRule="auto"/>
        <w:ind w:left="720"/>
        <w:jc w:val="both"/>
        <w:rPr>
          <w:rFonts w:ascii="Times New Roman" w:eastAsia="Times New Roman" w:hAnsi="Times New Roman" w:cs="Times New Roman"/>
          <w:b/>
          <w:bCs/>
          <w:sz w:val="24"/>
          <w:szCs w:val="24"/>
        </w:rPr>
      </w:pPr>
      <w:r w:rsidRPr="0092612A">
        <w:rPr>
          <w:rFonts w:ascii="Times New Roman" w:eastAsia="Times New Roman" w:hAnsi="Times New Roman" w:cs="Times New Roman"/>
          <w:b/>
          <w:bCs/>
          <w:sz w:val="24"/>
          <w:szCs w:val="24"/>
        </w:rPr>
        <w:lastRenderedPageBreak/>
        <w:t>PBP for Project B: 2 years and 3 months.</w:t>
      </w:r>
    </w:p>
    <w:p w14:paraId="1A5C2D73" w14:textId="77777777" w:rsidR="00BA2854" w:rsidRPr="000C247B" w:rsidRDefault="00BA2854" w:rsidP="00236E5A">
      <w:pPr>
        <w:spacing w:before="100" w:beforeAutospacing="1" w:after="100" w:afterAutospacing="1" w:line="360" w:lineRule="auto"/>
        <w:jc w:val="both"/>
        <w:outlineLvl w:val="3"/>
        <w:rPr>
          <w:rFonts w:ascii="Times New Roman" w:eastAsia="Times New Roman" w:hAnsi="Times New Roman" w:cs="Times New Roman"/>
          <w:b/>
          <w:bCs/>
          <w:sz w:val="24"/>
          <w:szCs w:val="24"/>
        </w:rPr>
      </w:pPr>
      <w:r w:rsidRPr="000C247B">
        <w:rPr>
          <w:rFonts w:ascii="Times New Roman" w:eastAsia="Times New Roman" w:hAnsi="Times New Roman" w:cs="Times New Roman"/>
          <w:b/>
          <w:bCs/>
          <w:sz w:val="24"/>
          <w:szCs w:val="24"/>
        </w:rPr>
        <w:t>Accounting Rate of Return (ARR)</w:t>
      </w:r>
    </w:p>
    <w:p w14:paraId="5D4845DB"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The Accounting Rate of Return (ARR) calculates the return on investment by comparing the average annual accounting profit to the initial investment.</w:t>
      </w:r>
    </w:p>
    <w:p w14:paraId="38ACBB6D"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92612A">
        <w:rPr>
          <w:rFonts w:ascii="Times New Roman" w:eastAsia="Times New Roman" w:hAnsi="Times New Roman" w:cs="Times New Roman"/>
          <w:b/>
          <w:bCs/>
          <w:sz w:val="24"/>
          <w:szCs w:val="24"/>
        </w:rPr>
        <w:t>Project A:</w:t>
      </w:r>
    </w:p>
    <w:p w14:paraId="559F0868"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Total Cash Flows: £125 million</w:t>
      </w:r>
    </w:p>
    <w:p w14:paraId="51126661"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Average Annual Cash Flow: £31.25 million</w:t>
      </w:r>
    </w:p>
    <w:p w14:paraId="49EE86F5"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ARR = (Average Annual Profit / Initial Investment) * 100</w:t>
      </w:r>
    </w:p>
    <w:p w14:paraId="5EBC382C"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ARR = (£31.25 million / £80 million) * 100 = 39.06%</w:t>
      </w:r>
    </w:p>
    <w:p w14:paraId="75C3E1A6"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92612A">
        <w:rPr>
          <w:rFonts w:ascii="Times New Roman" w:eastAsia="Times New Roman" w:hAnsi="Times New Roman" w:cs="Times New Roman"/>
          <w:b/>
          <w:bCs/>
          <w:sz w:val="24"/>
          <w:szCs w:val="24"/>
        </w:rPr>
        <w:t>Project B:</w:t>
      </w:r>
    </w:p>
    <w:p w14:paraId="76B48C32"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Total Cash Flows: £110 million</w:t>
      </w:r>
    </w:p>
    <w:p w14:paraId="077353C7"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Average Annual Cash Flow: £27.5 million</w:t>
      </w:r>
    </w:p>
    <w:p w14:paraId="6E61A546"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ARR = (Average Annual Profit / Initial Investment) * 100</w:t>
      </w:r>
    </w:p>
    <w:p w14:paraId="330E602C"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ARR = (£27.5 million / £75 million) * 100 = 36.67%</w:t>
      </w:r>
    </w:p>
    <w:p w14:paraId="498C47A2" w14:textId="77777777" w:rsidR="00BA2854" w:rsidRPr="0070356D" w:rsidRDefault="00BA2854" w:rsidP="00236E5A">
      <w:pPr>
        <w:spacing w:before="100" w:beforeAutospacing="1" w:after="100" w:afterAutospacing="1" w:line="360" w:lineRule="auto"/>
        <w:jc w:val="both"/>
        <w:outlineLvl w:val="3"/>
        <w:rPr>
          <w:rFonts w:ascii="Times New Roman" w:eastAsia="Times New Roman" w:hAnsi="Times New Roman" w:cs="Times New Roman"/>
          <w:b/>
          <w:bCs/>
          <w:sz w:val="24"/>
          <w:szCs w:val="24"/>
          <w:u w:val="single"/>
        </w:rPr>
      </w:pPr>
      <w:r w:rsidRPr="0070356D">
        <w:rPr>
          <w:rFonts w:ascii="Times New Roman" w:eastAsia="Times New Roman" w:hAnsi="Times New Roman" w:cs="Times New Roman"/>
          <w:b/>
          <w:bCs/>
          <w:sz w:val="24"/>
          <w:szCs w:val="24"/>
          <w:u w:val="single"/>
        </w:rPr>
        <w:t>Net Present Value (NPV)</w:t>
      </w:r>
    </w:p>
    <w:p w14:paraId="25A4EEEA"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The Net Present Value (NPV) discounts future cash flows to present value terms using the company’s cost of capital (9.75%) and then subtracts the initial investment. It is a key measure for assessing the value added by the project.</w:t>
      </w:r>
    </w:p>
    <w:p w14:paraId="52BAB200" w14:textId="77777777" w:rsidR="007350C8" w:rsidRDefault="007350C8" w:rsidP="00236E5A">
      <w:pPr>
        <w:spacing w:before="100" w:beforeAutospacing="1" w:after="100" w:afterAutospacing="1" w:line="360" w:lineRule="auto"/>
        <w:jc w:val="both"/>
        <w:rPr>
          <w:rFonts w:ascii="Times New Roman" w:eastAsia="Times New Roman" w:hAnsi="Times New Roman" w:cs="Times New Roman"/>
          <w:b/>
          <w:bCs/>
          <w:sz w:val="24"/>
          <w:szCs w:val="24"/>
        </w:rPr>
      </w:pPr>
    </w:p>
    <w:p w14:paraId="6DD72EBE" w14:textId="77777777" w:rsidR="007350C8" w:rsidRDefault="007350C8" w:rsidP="00236E5A">
      <w:pPr>
        <w:spacing w:before="100" w:beforeAutospacing="1" w:after="100" w:afterAutospacing="1" w:line="360" w:lineRule="auto"/>
        <w:jc w:val="both"/>
        <w:rPr>
          <w:rFonts w:ascii="Times New Roman" w:eastAsia="Times New Roman" w:hAnsi="Times New Roman" w:cs="Times New Roman"/>
          <w:b/>
          <w:bCs/>
          <w:sz w:val="24"/>
          <w:szCs w:val="24"/>
        </w:rPr>
      </w:pPr>
    </w:p>
    <w:p w14:paraId="436E5169" w14:textId="5F4B7BBF"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92612A">
        <w:rPr>
          <w:rFonts w:ascii="Times New Roman" w:eastAsia="Times New Roman" w:hAnsi="Times New Roman" w:cs="Times New Roman"/>
          <w:b/>
          <w:bCs/>
          <w:sz w:val="24"/>
          <w:szCs w:val="24"/>
        </w:rPr>
        <w:lastRenderedPageBreak/>
        <w:t>Project A:</w:t>
      </w:r>
    </w:p>
    <w:p w14:paraId="7A361124"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1: £25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1 = £22.79 million</w:t>
      </w:r>
    </w:p>
    <w:p w14:paraId="073C96C8"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2: £25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2 = £20.77 million</w:t>
      </w:r>
    </w:p>
    <w:p w14:paraId="3A711E25"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3: £20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3 = £15.61 million</w:t>
      </w:r>
    </w:p>
    <w:p w14:paraId="209E40B8"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4: £55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4 = £38.55 million</w:t>
      </w:r>
    </w:p>
    <w:p w14:paraId="72258D0F"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NPV = (Sum of Present Values of Cash Flows) - Initial Investment</w:t>
      </w:r>
    </w:p>
    <w:p w14:paraId="25A17DD3"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NPV = (£22.79m + £20.77m + £15.61m + £38.55m) - £80m = £17.72 million</w:t>
      </w:r>
    </w:p>
    <w:p w14:paraId="3F64C76B" w14:textId="77777777" w:rsidR="00BA2854" w:rsidRPr="000C247B" w:rsidRDefault="00BA2854" w:rsidP="00236E5A">
      <w:pPr>
        <w:spacing w:before="100" w:beforeAutospacing="1" w:after="100" w:afterAutospacing="1" w:line="360" w:lineRule="auto"/>
        <w:jc w:val="both"/>
        <w:rPr>
          <w:rFonts w:ascii="Times New Roman" w:eastAsia="Times New Roman" w:hAnsi="Times New Roman" w:cs="Times New Roman"/>
          <w:sz w:val="24"/>
          <w:szCs w:val="24"/>
        </w:rPr>
      </w:pPr>
      <w:r w:rsidRPr="0092612A">
        <w:rPr>
          <w:rFonts w:ascii="Times New Roman" w:eastAsia="Times New Roman" w:hAnsi="Times New Roman" w:cs="Times New Roman"/>
          <w:b/>
          <w:bCs/>
          <w:sz w:val="24"/>
          <w:szCs w:val="24"/>
        </w:rPr>
        <w:t>Project B:</w:t>
      </w:r>
    </w:p>
    <w:p w14:paraId="18431D74"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1: £50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1 = £45.57 million</w:t>
      </w:r>
    </w:p>
    <w:p w14:paraId="61CDACDA"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2: £20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2 = £16.61 million</w:t>
      </w:r>
    </w:p>
    <w:p w14:paraId="2A6D0C80"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3: £20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3 = £15.10 million</w:t>
      </w:r>
    </w:p>
    <w:p w14:paraId="34855428"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 xml:space="preserve">Year 4: £20 million / (1 + </w:t>
      </w:r>
      <w:proofErr w:type="gramStart"/>
      <w:r w:rsidRPr="000C247B">
        <w:rPr>
          <w:rFonts w:ascii="Times New Roman" w:eastAsia="Times New Roman" w:hAnsi="Times New Roman" w:cs="Times New Roman"/>
          <w:sz w:val="24"/>
          <w:szCs w:val="24"/>
        </w:rPr>
        <w:t>0.0975)^</w:t>
      </w:r>
      <w:proofErr w:type="gramEnd"/>
      <w:r w:rsidRPr="000C247B">
        <w:rPr>
          <w:rFonts w:ascii="Times New Roman" w:eastAsia="Times New Roman" w:hAnsi="Times New Roman" w:cs="Times New Roman"/>
          <w:sz w:val="24"/>
          <w:szCs w:val="24"/>
        </w:rPr>
        <w:t>4 = £13.76 million</w:t>
      </w:r>
    </w:p>
    <w:p w14:paraId="79FA4B35"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NPV = (Sum of Present Values of Cash Flows) - Initial Investment</w:t>
      </w:r>
    </w:p>
    <w:p w14:paraId="122437CD" w14:textId="77777777" w:rsidR="00BA2854" w:rsidRPr="000C247B" w:rsidRDefault="00BA2854" w:rsidP="00236E5A">
      <w:pPr>
        <w:spacing w:before="100" w:beforeAutospacing="1" w:after="100" w:afterAutospacing="1" w:line="360" w:lineRule="auto"/>
        <w:ind w:left="1440"/>
        <w:jc w:val="both"/>
        <w:rPr>
          <w:rFonts w:ascii="Times New Roman" w:eastAsia="Times New Roman" w:hAnsi="Times New Roman" w:cs="Times New Roman"/>
          <w:sz w:val="24"/>
          <w:szCs w:val="24"/>
        </w:rPr>
      </w:pPr>
      <w:r w:rsidRPr="000C247B">
        <w:rPr>
          <w:rFonts w:ascii="Times New Roman" w:eastAsia="Times New Roman" w:hAnsi="Times New Roman" w:cs="Times New Roman"/>
          <w:sz w:val="24"/>
          <w:szCs w:val="24"/>
        </w:rPr>
        <w:t>NPV = (£45.57m + £16.61m + £15.10m + £13.76m) - £75m = £16.04 million</w:t>
      </w:r>
    </w:p>
    <w:p w14:paraId="127D7D94"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Evaluation and Recommendation</w:t>
      </w:r>
    </w:p>
    <w:p w14:paraId="734762E4"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PBP:</w:t>
      </w:r>
    </w:p>
    <w:p w14:paraId="14A9B3A6" w14:textId="77777777" w:rsidR="00BA2854" w:rsidRPr="0092612A"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Measuring PBP, it was observed that Project B had lower ratio than Project A, that is 2 years and 3 months as against 3 years and 10 months. This also confirms that Project B is relatively less risky and the money can be realized quicker than in Project A.</w:t>
      </w:r>
    </w:p>
    <w:p w14:paraId="69CEC495" w14:textId="77777777" w:rsidR="00EF13B8" w:rsidRDefault="00EF13B8" w:rsidP="00236E5A">
      <w:pPr>
        <w:spacing w:line="360" w:lineRule="auto"/>
        <w:jc w:val="both"/>
        <w:rPr>
          <w:rFonts w:ascii="Times New Roman" w:hAnsi="Times New Roman" w:cs="Times New Roman"/>
          <w:b/>
          <w:sz w:val="24"/>
          <w:szCs w:val="24"/>
          <w:u w:val="single"/>
        </w:rPr>
      </w:pPr>
    </w:p>
    <w:p w14:paraId="4D5DB3A8" w14:textId="34A99BE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lastRenderedPageBreak/>
        <w:t>ARR:</w:t>
      </w:r>
    </w:p>
    <w:p w14:paraId="1EC21165" w14:textId="77777777" w:rsidR="00BA2854" w:rsidRPr="0092612A"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Project A has a slightly higher ARR of (39. 06%) than Project B at (36. 67%). Thus, although ARR offers information about business profitability it does not include the time value of money.</w:t>
      </w:r>
    </w:p>
    <w:p w14:paraId="16220F9C"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NPV:</w:t>
      </w:r>
    </w:p>
    <w:p w14:paraId="33BD84D3" w14:textId="77777777" w:rsidR="00BA2854" w:rsidRPr="0092612A"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The project A appears to be more valuable in present value terms than project B since the latter has a lower NPV of £16. 04 million.</w:t>
      </w:r>
    </w:p>
    <w:p w14:paraId="089D727D"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Recommendation:</w:t>
      </w:r>
    </w:p>
    <w:p w14:paraId="1B3DE51A" w14:textId="77777777" w:rsidR="00BA2854" w:rsidRPr="0092612A"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Looking at the most accurate measure as Bassen (1990) identified, that is NPV, project A should be implemented as it will contribute more to the firm’s welfare than project B. However, based on the shorter payback period consideration, if the company is more concerned about timely returns and less risks then the Project B would do.</w:t>
      </w:r>
    </w:p>
    <w:p w14:paraId="308AD90F"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Circulation of PBP, ARR, and NPV Techniques</w:t>
      </w:r>
    </w:p>
    <w:p w14:paraId="59B5DA48"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Payback Period (PBP)</w:t>
      </w:r>
    </w:p>
    <w:p w14:paraId="3083E116"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Advantages:</w:t>
      </w:r>
    </w:p>
    <w:p w14:paraId="4E5ED62B"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Simplicity</w:t>
      </w:r>
      <w:r w:rsidRPr="0092612A">
        <w:rPr>
          <w:rFonts w:ascii="Times New Roman" w:hAnsi="Times New Roman" w:cs="Times New Roman"/>
          <w:b/>
          <w:sz w:val="24"/>
          <w:szCs w:val="24"/>
        </w:rPr>
        <w:t xml:space="preserve">: </w:t>
      </w:r>
      <w:r w:rsidRPr="0092612A">
        <w:rPr>
          <w:rFonts w:ascii="Times New Roman" w:hAnsi="Times New Roman" w:cs="Times New Roman"/>
          <w:sz w:val="24"/>
          <w:szCs w:val="24"/>
        </w:rPr>
        <w:t>Most of the time, it is easy to calculate and comprehend especially when the products involved are easy to quantify.</w:t>
      </w:r>
    </w:p>
    <w:p w14:paraId="274B0CE9"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Liquidity Focus</w:t>
      </w:r>
      <w:r w:rsidRPr="0092612A">
        <w:rPr>
          <w:rFonts w:ascii="Times New Roman" w:hAnsi="Times New Roman" w:cs="Times New Roman"/>
          <w:b/>
          <w:sz w:val="24"/>
          <w:szCs w:val="24"/>
        </w:rPr>
        <w:t xml:space="preserve">: </w:t>
      </w:r>
      <w:r w:rsidRPr="0092612A">
        <w:rPr>
          <w:rFonts w:ascii="Times New Roman" w:hAnsi="Times New Roman" w:cs="Times New Roman"/>
          <w:sz w:val="24"/>
          <w:szCs w:val="24"/>
        </w:rPr>
        <w:t>Stresses pretty much on recovering the investment in as short time as possible so as to minimize risk.</w:t>
      </w:r>
    </w:p>
    <w:p w14:paraId="053AFF98"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Useful for cash-constrained firms:</w:t>
      </w:r>
      <w:r w:rsidRPr="00757892">
        <w:rPr>
          <w:rFonts w:ascii="Times New Roman" w:hAnsi="Times New Roman" w:cs="Times New Roman"/>
          <w:sz w:val="24"/>
          <w:szCs w:val="24"/>
          <w:u w:val="single"/>
        </w:rPr>
        <w:t xml:space="preserve"> </w:t>
      </w:r>
      <w:r w:rsidRPr="0092612A">
        <w:rPr>
          <w:rFonts w:ascii="Times New Roman" w:hAnsi="Times New Roman" w:cs="Times New Roman"/>
          <w:sz w:val="24"/>
          <w:szCs w:val="24"/>
        </w:rPr>
        <w:t>Aids in the liquidity management by selecting events that would yield faster.</w:t>
      </w:r>
    </w:p>
    <w:p w14:paraId="436C1F7E"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Shortcomings:</w:t>
      </w:r>
    </w:p>
    <w:p w14:paraId="2601043C"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Ignores Time Value of Money:</w:t>
      </w:r>
      <w:r w:rsidRPr="0092612A">
        <w:rPr>
          <w:rFonts w:ascii="Times New Roman" w:hAnsi="Times New Roman" w:cs="Times New Roman"/>
          <w:sz w:val="24"/>
          <w:szCs w:val="24"/>
        </w:rPr>
        <w:t xml:space="preserve"> Too expensive since it does not factor in future cash flows.</w:t>
      </w:r>
    </w:p>
    <w:p w14:paraId="100C3503"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Ignores Post-Payback Cash Flows</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Tends to ignore the concept of the profitability as well as cash flows, over and above the payback period.</w:t>
      </w:r>
    </w:p>
    <w:p w14:paraId="215DF6EA" w14:textId="77777777" w:rsidR="007350C8" w:rsidRDefault="007350C8" w:rsidP="00236E5A">
      <w:pPr>
        <w:spacing w:line="360" w:lineRule="auto"/>
        <w:jc w:val="both"/>
        <w:rPr>
          <w:rFonts w:ascii="Times New Roman" w:hAnsi="Times New Roman" w:cs="Times New Roman"/>
          <w:b/>
          <w:sz w:val="24"/>
          <w:szCs w:val="24"/>
          <w:u w:val="single"/>
        </w:rPr>
      </w:pPr>
    </w:p>
    <w:p w14:paraId="3F5A64F2" w14:textId="118E7653"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lastRenderedPageBreak/>
        <w:t>Short-term Focus</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May result in turning down highly profitable long-term projects.</w:t>
      </w:r>
    </w:p>
    <w:p w14:paraId="09DF5BE1" w14:textId="77777777" w:rsidR="00BA2854" w:rsidRPr="0092612A"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This is calculated as the actual return the business receives on an investment divided by the total cost of the investment, often used as a benchmark for acceptable or target return rates as defined by the business’s accounting policies.</w:t>
      </w:r>
    </w:p>
    <w:p w14:paraId="58D4708C" w14:textId="77777777" w:rsidR="00BA2854" w:rsidRPr="00757892" w:rsidRDefault="00BA2854" w:rsidP="00236E5A">
      <w:pPr>
        <w:spacing w:line="360" w:lineRule="auto"/>
        <w:jc w:val="both"/>
        <w:rPr>
          <w:rFonts w:ascii="Times New Roman" w:hAnsi="Times New Roman" w:cs="Times New Roman"/>
          <w:b/>
          <w:sz w:val="24"/>
          <w:szCs w:val="24"/>
          <w:u w:val="single"/>
        </w:rPr>
      </w:pPr>
      <w:r w:rsidRPr="00757892">
        <w:rPr>
          <w:rFonts w:ascii="Times New Roman" w:hAnsi="Times New Roman" w:cs="Times New Roman"/>
          <w:b/>
          <w:sz w:val="24"/>
          <w:szCs w:val="24"/>
          <w:u w:val="single"/>
        </w:rPr>
        <w:t>Advantages:</w:t>
      </w:r>
    </w:p>
    <w:p w14:paraId="68EE9255"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Simplicity:</w:t>
      </w:r>
      <w:r w:rsidRPr="0092612A">
        <w:rPr>
          <w:rFonts w:ascii="Times New Roman" w:hAnsi="Times New Roman" w:cs="Times New Roman"/>
          <w:b/>
          <w:sz w:val="24"/>
          <w:szCs w:val="24"/>
        </w:rPr>
        <w:t xml:space="preserve"> </w:t>
      </w:r>
      <w:r w:rsidRPr="0092612A">
        <w:rPr>
          <w:rFonts w:ascii="Times New Roman" w:hAnsi="Times New Roman" w:cs="Times New Roman"/>
          <w:sz w:val="24"/>
          <w:szCs w:val="24"/>
        </w:rPr>
        <w:t>It is easy to calculate using the pure accounting profits.</w:t>
      </w:r>
    </w:p>
    <w:p w14:paraId="2370C12A" w14:textId="77777777" w:rsidR="00BA2854" w:rsidRPr="0092612A" w:rsidRDefault="00BA2854" w:rsidP="00236E5A">
      <w:pPr>
        <w:spacing w:line="360" w:lineRule="auto"/>
        <w:jc w:val="both"/>
        <w:rPr>
          <w:rFonts w:ascii="Times New Roman" w:hAnsi="Times New Roman" w:cs="Times New Roman"/>
          <w:sz w:val="24"/>
          <w:szCs w:val="24"/>
        </w:rPr>
      </w:pPr>
      <w:r w:rsidRPr="00757892">
        <w:rPr>
          <w:rFonts w:ascii="Times New Roman" w:hAnsi="Times New Roman" w:cs="Times New Roman"/>
          <w:b/>
          <w:sz w:val="24"/>
          <w:szCs w:val="24"/>
          <w:u w:val="single"/>
        </w:rPr>
        <w:t>Familiarity</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Most of the items in it can be computed using financial accounting measures understood by managers.</w:t>
      </w:r>
    </w:p>
    <w:p w14:paraId="37AF2C85"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Comprehensive</w:t>
      </w:r>
      <w:r w:rsidRPr="0092612A">
        <w:rPr>
          <w:rFonts w:ascii="Times New Roman" w:hAnsi="Times New Roman" w:cs="Times New Roman"/>
          <w:b/>
          <w:sz w:val="24"/>
          <w:szCs w:val="24"/>
        </w:rPr>
        <w:t xml:space="preserve">: </w:t>
      </w:r>
      <w:r w:rsidRPr="0092612A">
        <w:rPr>
          <w:rFonts w:ascii="Times New Roman" w:hAnsi="Times New Roman" w:cs="Times New Roman"/>
          <w:sz w:val="24"/>
          <w:szCs w:val="24"/>
        </w:rPr>
        <w:t>Looks at the whole life cycle of the project unlike the PBP.</w:t>
      </w:r>
    </w:p>
    <w:p w14:paraId="564BB000" w14:textId="77777777" w:rsidR="00BA2854" w:rsidRPr="00EF13B8" w:rsidRDefault="00BA2854" w:rsidP="00236E5A">
      <w:pPr>
        <w:spacing w:line="360" w:lineRule="auto"/>
        <w:jc w:val="both"/>
        <w:rPr>
          <w:rFonts w:ascii="Times New Roman" w:hAnsi="Times New Roman" w:cs="Times New Roman"/>
          <w:b/>
          <w:sz w:val="24"/>
          <w:szCs w:val="24"/>
          <w:u w:val="single"/>
        </w:rPr>
      </w:pPr>
      <w:r w:rsidRPr="00EF13B8">
        <w:rPr>
          <w:rFonts w:ascii="Times New Roman" w:hAnsi="Times New Roman" w:cs="Times New Roman"/>
          <w:b/>
          <w:sz w:val="24"/>
          <w:szCs w:val="24"/>
          <w:u w:val="single"/>
        </w:rPr>
        <w:t>Shortcomings:</w:t>
      </w:r>
    </w:p>
    <w:p w14:paraId="30ABC6FE"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Ignores Time Value of Money:</w:t>
      </w:r>
      <w:r w:rsidRPr="00EF13B8">
        <w:rPr>
          <w:rFonts w:ascii="Times New Roman" w:hAnsi="Times New Roman" w:cs="Times New Roman"/>
          <w:sz w:val="24"/>
          <w:szCs w:val="24"/>
          <w:u w:val="single"/>
        </w:rPr>
        <w:t xml:space="preserve"> </w:t>
      </w:r>
      <w:r w:rsidRPr="0092612A">
        <w:rPr>
          <w:rFonts w:ascii="Times New Roman" w:hAnsi="Times New Roman" w:cs="Times New Roman"/>
          <w:sz w:val="24"/>
          <w:szCs w:val="24"/>
        </w:rPr>
        <w:t>Like PBP, it does not adjust for future earnings hence may not indicate the exact profitability of the investment project.</w:t>
      </w:r>
    </w:p>
    <w:p w14:paraId="48FDD3B1"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Reliance on Accounting Profits:</w:t>
      </w:r>
      <w:r w:rsidRPr="00EF13B8">
        <w:rPr>
          <w:rFonts w:ascii="Times New Roman" w:hAnsi="Times New Roman" w:cs="Times New Roman"/>
          <w:sz w:val="24"/>
          <w:szCs w:val="24"/>
          <w:u w:val="single"/>
        </w:rPr>
        <w:t xml:space="preserve"> </w:t>
      </w:r>
      <w:r w:rsidRPr="0092612A">
        <w:rPr>
          <w:rFonts w:ascii="Times New Roman" w:hAnsi="Times New Roman" w:cs="Times New Roman"/>
          <w:sz w:val="24"/>
          <w:szCs w:val="24"/>
        </w:rPr>
        <w:t>According to the measures of gross accounting profits: which are quite different from cash flow measures.</w:t>
      </w:r>
    </w:p>
    <w:p w14:paraId="4CAF09D6"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Profit Manipulation</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Vulnerable to accounting policies and estimates meaning they can be manipulated.</w:t>
      </w:r>
    </w:p>
    <w:p w14:paraId="72193D17" w14:textId="77777777" w:rsidR="00BA2854" w:rsidRPr="00EF13B8" w:rsidRDefault="00BA2854" w:rsidP="00236E5A">
      <w:pPr>
        <w:spacing w:line="360" w:lineRule="auto"/>
        <w:jc w:val="both"/>
        <w:rPr>
          <w:rFonts w:ascii="Times New Roman" w:hAnsi="Times New Roman" w:cs="Times New Roman"/>
          <w:b/>
          <w:sz w:val="24"/>
          <w:szCs w:val="24"/>
          <w:u w:val="single"/>
        </w:rPr>
      </w:pPr>
      <w:r w:rsidRPr="00EF13B8">
        <w:rPr>
          <w:rFonts w:ascii="Times New Roman" w:hAnsi="Times New Roman" w:cs="Times New Roman"/>
          <w:b/>
          <w:sz w:val="24"/>
          <w:szCs w:val="24"/>
          <w:u w:val="single"/>
        </w:rPr>
        <w:t>Net Present Value (NPV)</w:t>
      </w:r>
    </w:p>
    <w:p w14:paraId="4D49A034" w14:textId="77777777" w:rsidR="00BA2854" w:rsidRPr="0092612A" w:rsidRDefault="00BA2854" w:rsidP="00236E5A">
      <w:pPr>
        <w:spacing w:line="360" w:lineRule="auto"/>
        <w:jc w:val="both"/>
        <w:rPr>
          <w:rFonts w:ascii="Times New Roman" w:hAnsi="Times New Roman" w:cs="Times New Roman"/>
          <w:b/>
          <w:sz w:val="24"/>
          <w:szCs w:val="24"/>
        </w:rPr>
      </w:pPr>
      <w:r w:rsidRPr="00EF13B8">
        <w:rPr>
          <w:rFonts w:ascii="Times New Roman" w:hAnsi="Times New Roman" w:cs="Times New Roman"/>
          <w:b/>
          <w:sz w:val="24"/>
          <w:szCs w:val="24"/>
          <w:u w:val="single"/>
        </w:rPr>
        <w:t>Advantages</w:t>
      </w:r>
      <w:r w:rsidRPr="0092612A">
        <w:rPr>
          <w:rFonts w:ascii="Times New Roman" w:hAnsi="Times New Roman" w:cs="Times New Roman"/>
          <w:b/>
          <w:sz w:val="24"/>
          <w:szCs w:val="24"/>
        </w:rPr>
        <w:t>:</w:t>
      </w:r>
    </w:p>
    <w:p w14:paraId="1C93C6AE"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Time Value of Money</w:t>
      </w:r>
      <w:r w:rsidRPr="0092612A">
        <w:rPr>
          <w:rFonts w:ascii="Times New Roman" w:hAnsi="Times New Roman" w:cs="Times New Roman"/>
          <w:b/>
          <w:sz w:val="24"/>
          <w:szCs w:val="24"/>
        </w:rPr>
        <w:t xml:space="preserve">: </w:t>
      </w:r>
      <w:r w:rsidRPr="0092612A">
        <w:rPr>
          <w:rFonts w:ascii="Times New Roman" w:hAnsi="Times New Roman" w:cs="Times New Roman"/>
          <w:sz w:val="24"/>
          <w:szCs w:val="24"/>
        </w:rPr>
        <w:t>Bonds reduce the value by discounting future cash flows which gives a better measure of value.</w:t>
      </w:r>
    </w:p>
    <w:p w14:paraId="6C39C83E"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Cash Flow Focus</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This is the net cash flow earned by the business instead of the reported profit on the company’s income statement.</w:t>
      </w:r>
    </w:p>
    <w:p w14:paraId="7FC3D3DA"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Decision Rule</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There is a clear decision criterion – accept the projects with all Net Present Value greater than zero and reject all the project with all Net Present Value less than zero.</w:t>
      </w:r>
    </w:p>
    <w:p w14:paraId="32A18AEC" w14:textId="77777777" w:rsidR="007350C8" w:rsidRDefault="007350C8" w:rsidP="00236E5A">
      <w:pPr>
        <w:spacing w:line="360" w:lineRule="auto"/>
        <w:jc w:val="both"/>
        <w:rPr>
          <w:rFonts w:ascii="Times New Roman" w:hAnsi="Times New Roman" w:cs="Times New Roman"/>
          <w:b/>
          <w:sz w:val="24"/>
          <w:szCs w:val="24"/>
        </w:rPr>
      </w:pPr>
    </w:p>
    <w:p w14:paraId="16A3509A" w14:textId="2CD641A8" w:rsidR="00BA2854" w:rsidRPr="00EF13B8" w:rsidRDefault="00BA2854" w:rsidP="00236E5A">
      <w:pPr>
        <w:spacing w:line="360" w:lineRule="auto"/>
        <w:jc w:val="both"/>
        <w:rPr>
          <w:rFonts w:ascii="Times New Roman" w:hAnsi="Times New Roman" w:cs="Times New Roman"/>
          <w:b/>
          <w:sz w:val="24"/>
          <w:szCs w:val="24"/>
          <w:u w:val="single"/>
        </w:rPr>
      </w:pPr>
      <w:r w:rsidRPr="00EF13B8">
        <w:rPr>
          <w:rFonts w:ascii="Times New Roman" w:hAnsi="Times New Roman" w:cs="Times New Roman"/>
          <w:b/>
          <w:sz w:val="24"/>
          <w:szCs w:val="24"/>
          <w:u w:val="single"/>
        </w:rPr>
        <w:lastRenderedPageBreak/>
        <w:t>Shortcomings:</w:t>
      </w:r>
    </w:p>
    <w:p w14:paraId="1257E7E9"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Complexity</w:t>
      </w:r>
      <w:r w:rsidRPr="0092612A">
        <w:rPr>
          <w:rFonts w:ascii="Times New Roman" w:hAnsi="Times New Roman" w:cs="Times New Roman"/>
          <w:b/>
          <w:sz w:val="24"/>
          <w:szCs w:val="24"/>
        </w:rPr>
        <w:t xml:space="preserve">: </w:t>
      </w:r>
      <w:r w:rsidRPr="0092612A">
        <w:rPr>
          <w:rFonts w:ascii="Times New Roman" w:hAnsi="Times New Roman" w:cs="Times New Roman"/>
          <w:sz w:val="24"/>
          <w:szCs w:val="24"/>
        </w:rPr>
        <w:t>More elaborate than PBP and ARR, and hence, more difficult to compute as well as to analyze.</w:t>
      </w:r>
    </w:p>
    <w:p w14:paraId="51687F74"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 xml:space="preserve">Assumptions: </w:t>
      </w:r>
      <w:r w:rsidRPr="0092612A">
        <w:rPr>
          <w:rFonts w:ascii="Times New Roman" w:hAnsi="Times New Roman" w:cs="Times New Roman"/>
          <w:sz w:val="24"/>
          <w:szCs w:val="24"/>
        </w:rPr>
        <w:t xml:space="preserve">Concerned about the </w:t>
      </w:r>
      <w:proofErr w:type="spellStart"/>
      <w:r w:rsidRPr="0092612A">
        <w:rPr>
          <w:rFonts w:ascii="Times New Roman" w:hAnsi="Times New Roman" w:cs="Times New Roman"/>
          <w:sz w:val="24"/>
          <w:szCs w:val="24"/>
        </w:rPr>
        <w:t>pragmaticity</w:t>
      </w:r>
      <w:proofErr w:type="spellEnd"/>
      <w:r w:rsidRPr="0092612A">
        <w:rPr>
          <w:rFonts w:ascii="Times New Roman" w:hAnsi="Times New Roman" w:cs="Times New Roman"/>
          <w:sz w:val="24"/>
          <w:szCs w:val="24"/>
        </w:rPr>
        <w:t xml:space="preserve"> of the cash flow forecast and the discount rates.</w:t>
      </w:r>
    </w:p>
    <w:p w14:paraId="30EE6C9E"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Capital Rationing</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May not be as useful when firms are operating under capital </w:t>
      </w:r>
      <w:proofErr w:type="spellStart"/>
      <w:r w:rsidRPr="0092612A">
        <w:rPr>
          <w:rFonts w:ascii="Times New Roman" w:hAnsi="Times New Roman" w:cs="Times New Roman"/>
          <w:sz w:val="24"/>
          <w:szCs w:val="24"/>
        </w:rPr>
        <w:t>bredding</w:t>
      </w:r>
      <w:proofErr w:type="spellEnd"/>
      <w:r w:rsidRPr="0092612A">
        <w:rPr>
          <w:rFonts w:ascii="Times New Roman" w:hAnsi="Times New Roman" w:cs="Times New Roman"/>
          <w:sz w:val="24"/>
          <w:szCs w:val="24"/>
        </w:rPr>
        <w:t xml:space="preserve"> and thus have to look at the cost of the projects.</w:t>
      </w:r>
    </w:p>
    <w:p w14:paraId="45C9BD51" w14:textId="77777777" w:rsidR="00BA2854" w:rsidRPr="00EF13B8" w:rsidRDefault="00BA2854" w:rsidP="00236E5A">
      <w:pPr>
        <w:spacing w:line="360" w:lineRule="auto"/>
        <w:jc w:val="both"/>
        <w:rPr>
          <w:rFonts w:ascii="Times New Roman" w:hAnsi="Times New Roman" w:cs="Times New Roman"/>
          <w:b/>
          <w:sz w:val="24"/>
          <w:szCs w:val="24"/>
          <w:u w:val="single"/>
        </w:rPr>
      </w:pPr>
      <w:r w:rsidRPr="00EF13B8">
        <w:rPr>
          <w:rFonts w:ascii="Times New Roman" w:hAnsi="Times New Roman" w:cs="Times New Roman"/>
          <w:b/>
          <w:sz w:val="24"/>
          <w:szCs w:val="24"/>
          <w:u w:val="single"/>
        </w:rPr>
        <w:t>Non-Financial Factors to Consider</w:t>
      </w:r>
    </w:p>
    <w:p w14:paraId="6770B70C" w14:textId="77777777" w:rsidR="00BA2854" w:rsidRPr="0092612A" w:rsidRDefault="00BA2854" w:rsidP="00236E5A">
      <w:pPr>
        <w:spacing w:line="360" w:lineRule="auto"/>
        <w:jc w:val="both"/>
        <w:rPr>
          <w:rFonts w:ascii="Times New Roman" w:hAnsi="Times New Roman" w:cs="Times New Roman"/>
          <w:sz w:val="24"/>
          <w:szCs w:val="24"/>
        </w:rPr>
      </w:pPr>
      <w:r w:rsidRPr="00EF13B8">
        <w:rPr>
          <w:rFonts w:ascii="Times New Roman" w:hAnsi="Times New Roman" w:cs="Times New Roman"/>
          <w:b/>
          <w:sz w:val="24"/>
          <w:szCs w:val="24"/>
          <w:u w:val="single"/>
        </w:rPr>
        <w:t>Strategic Fit</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Strategic fit of the project with the corporate goals and direction.</w:t>
      </w:r>
    </w:p>
    <w:p w14:paraId="6A2B3367" w14:textId="77777777" w:rsidR="00BA2854" w:rsidRPr="0092612A" w:rsidRDefault="00BA2854" w:rsidP="00236E5A">
      <w:pPr>
        <w:spacing w:line="360" w:lineRule="auto"/>
        <w:jc w:val="both"/>
        <w:rPr>
          <w:rFonts w:ascii="Times New Roman" w:hAnsi="Times New Roman" w:cs="Times New Roman"/>
          <w:sz w:val="24"/>
          <w:szCs w:val="24"/>
        </w:rPr>
      </w:pPr>
      <w:r w:rsidRPr="00203980">
        <w:rPr>
          <w:rFonts w:ascii="Times New Roman" w:hAnsi="Times New Roman" w:cs="Times New Roman"/>
          <w:b/>
          <w:sz w:val="24"/>
          <w:szCs w:val="24"/>
          <w:u w:val="single"/>
        </w:rPr>
        <w:t>Market Conditions</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Nature and characteristics of competition, current business environment and potential customers’ needs of the products or services being provided.</w:t>
      </w:r>
    </w:p>
    <w:p w14:paraId="165FF3C7" w14:textId="77777777" w:rsidR="00BA2854" w:rsidRPr="0092612A" w:rsidRDefault="00BA2854" w:rsidP="00236E5A">
      <w:pPr>
        <w:spacing w:line="360" w:lineRule="auto"/>
        <w:jc w:val="both"/>
        <w:rPr>
          <w:rFonts w:ascii="Times New Roman" w:hAnsi="Times New Roman" w:cs="Times New Roman"/>
          <w:sz w:val="24"/>
          <w:szCs w:val="24"/>
        </w:rPr>
      </w:pPr>
      <w:r w:rsidRPr="00203980">
        <w:rPr>
          <w:rFonts w:ascii="Times New Roman" w:hAnsi="Times New Roman" w:cs="Times New Roman"/>
          <w:b/>
          <w:sz w:val="24"/>
          <w:szCs w:val="24"/>
          <w:u w:val="single"/>
        </w:rPr>
        <w:t>Environmental and Social Impact</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Responsibility to the environment and stakeholders; the impact on different stakeholders of business sustainability and corporate social responsibility.</w:t>
      </w:r>
    </w:p>
    <w:p w14:paraId="7A17C858" w14:textId="77777777" w:rsidR="00BA2854" w:rsidRPr="0092612A" w:rsidRDefault="00BA2854" w:rsidP="00236E5A">
      <w:pPr>
        <w:spacing w:line="360" w:lineRule="auto"/>
        <w:jc w:val="both"/>
        <w:rPr>
          <w:rFonts w:ascii="Times New Roman" w:hAnsi="Times New Roman" w:cs="Times New Roman"/>
          <w:sz w:val="24"/>
          <w:szCs w:val="24"/>
        </w:rPr>
      </w:pPr>
      <w:r w:rsidRPr="00203980">
        <w:rPr>
          <w:rFonts w:ascii="Times New Roman" w:hAnsi="Times New Roman" w:cs="Times New Roman"/>
          <w:b/>
          <w:sz w:val="24"/>
          <w:szCs w:val="24"/>
          <w:u w:val="single"/>
        </w:rPr>
        <w:t>Regulatory Compliance</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Legal and regulations compliance.</w:t>
      </w:r>
    </w:p>
    <w:p w14:paraId="7D6DDADD" w14:textId="77777777" w:rsidR="00BA2854" w:rsidRPr="0092612A"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Managerial Expertise: Sufficient manpower to implement as well as supervise the project for the experts to be available to undertake and lead the project.</w:t>
      </w:r>
    </w:p>
    <w:p w14:paraId="5659C977" w14:textId="77777777" w:rsidR="00AF362E" w:rsidRDefault="00BA2854" w:rsidP="00236E5A">
      <w:pPr>
        <w:spacing w:line="360" w:lineRule="auto"/>
        <w:jc w:val="both"/>
        <w:rPr>
          <w:rFonts w:ascii="Times New Roman" w:hAnsi="Times New Roman" w:cs="Times New Roman"/>
          <w:sz w:val="24"/>
          <w:szCs w:val="24"/>
        </w:rPr>
      </w:pPr>
      <w:r w:rsidRPr="00203980">
        <w:rPr>
          <w:rFonts w:ascii="Times New Roman" w:hAnsi="Times New Roman" w:cs="Times New Roman"/>
          <w:b/>
          <w:sz w:val="24"/>
          <w:szCs w:val="24"/>
          <w:u w:val="single"/>
        </w:rPr>
        <w:t>Technological Feasibility</w:t>
      </w:r>
      <w:r w:rsidRPr="0092612A">
        <w:rPr>
          <w:rFonts w:ascii="Times New Roman" w:hAnsi="Times New Roman" w:cs="Times New Roman"/>
          <w:b/>
          <w:sz w:val="24"/>
          <w:szCs w:val="24"/>
        </w:rPr>
        <w:t>:</w:t>
      </w:r>
      <w:r w:rsidRPr="0092612A">
        <w:rPr>
          <w:rFonts w:ascii="Times New Roman" w:hAnsi="Times New Roman" w:cs="Times New Roman"/>
          <w:sz w:val="24"/>
          <w:szCs w:val="24"/>
        </w:rPr>
        <w:t xml:space="preserve"> The technological risks and the company’s capacity to generate innovations.</w:t>
      </w:r>
    </w:p>
    <w:p w14:paraId="1069876F" w14:textId="30F8DD97" w:rsidR="00BA2854" w:rsidRPr="00203980" w:rsidRDefault="00BA2854" w:rsidP="00236E5A">
      <w:pPr>
        <w:spacing w:line="360" w:lineRule="auto"/>
        <w:jc w:val="both"/>
        <w:rPr>
          <w:rFonts w:ascii="Times New Roman" w:hAnsi="Times New Roman" w:cs="Times New Roman"/>
          <w:sz w:val="24"/>
          <w:szCs w:val="24"/>
          <w:u w:val="single"/>
        </w:rPr>
      </w:pPr>
      <w:r w:rsidRPr="00203980">
        <w:rPr>
          <w:rFonts w:ascii="Times New Roman" w:hAnsi="Times New Roman" w:cs="Times New Roman"/>
          <w:b/>
          <w:sz w:val="24"/>
          <w:szCs w:val="24"/>
          <w:u w:val="single"/>
        </w:rPr>
        <w:t>Conclusion</w:t>
      </w:r>
    </w:p>
    <w:p w14:paraId="2F434010" w14:textId="77777777" w:rsidR="00344AD9" w:rsidRDefault="00BA2854" w:rsidP="00236E5A">
      <w:pPr>
        <w:spacing w:line="360" w:lineRule="auto"/>
        <w:jc w:val="both"/>
        <w:rPr>
          <w:rFonts w:ascii="Times New Roman" w:hAnsi="Times New Roman" w:cs="Times New Roman"/>
          <w:sz w:val="24"/>
          <w:szCs w:val="24"/>
        </w:rPr>
      </w:pPr>
      <w:r w:rsidRPr="0092612A">
        <w:rPr>
          <w:rFonts w:ascii="Times New Roman" w:hAnsi="Times New Roman" w:cs="Times New Roman"/>
          <w:sz w:val="24"/>
          <w:szCs w:val="24"/>
        </w:rPr>
        <w:t xml:space="preserve">Therefore, from the evaluation carried out above, although each of the investment appraisal has strengths and limitations, NPV still has significantly more strengths and so is considered the most suitable/appropriate investment appraisal technique due to its acknowledgement of time value of money and the overall profitability of the investment. Still, including non-financial aspects is highly relevant for an adequate assessment to guarantee the chosen undertakings’ correlation with business values and missions </w:t>
      </w:r>
      <w:proofErr w:type="spellStart"/>
      <w:r w:rsidRPr="0092612A">
        <w:rPr>
          <w:rFonts w:ascii="Times New Roman" w:hAnsi="Times New Roman" w:cs="Times New Roman"/>
          <w:sz w:val="24"/>
          <w:szCs w:val="24"/>
        </w:rPr>
        <w:t>ad</w:t>
      </w:r>
      <w:proofErr w:type="spellEnd"/>
      <w:r w:rsidRPr="0092612A">
        <w:rPr>
          <w:rFonts w:ascii="Times New Roman" w:hAnsi="Times New Roman" w:cs="Times New Roman"/>
          <w:sz w:val="24"/>
          <w:szCs w:val="24"/>
        </w:rPr>
        <w:t xml:space="preserve"> satisfying social responsibilities. Depending on the assumptions made in this paper, Project A is recommended to be accepted given the relatively higher NPV than the Project B which will provide more value to the firm’s wealth while Project B can be considered if there is emphasis on shorter time to receive full payback.</w:t>
      </w:r>
    </w:p>
    <w:p w14:paraId="54AF61DE" w14:textId="28A3CEDA" w:rsidR="00BA2854" w:rsidRPr="00344AD9" w:rsidRDefault="00BA2854" w:rsidP="00236E5A">
      <w:pPr>
        <w:spacing w:line="360" w:lineRule="auto"/>
        <w:jc w:val="both"/>
        <w:rPr>
          <w:rFonts w:ascii="Times New Roman" w:hAnsi="Times New Roman" w:cs="Times New Roman"/>
          <w:sz w:val="24"/>
          <w:szCs w:val="24"/>
        </w:rPr>
      </w:pPr>
      <w:r w:rsidRPr="00203980">
        <w:rPr>
          <w:rFonts w:ascii="Times New Roman" w:hAnsi="Times New Roman" w:cs="Times New Roman"/>
          <w:b/>
          <w:sz w:val="24"/>
          <w:szCs w:val="24"/>
          <w:u w:val="single"/>
        </w:rPr>
        <w:lastRenderedPageBreak/>
        <w:t>References</w:t>
      </w:r>
    </w:p>
    <w:p w14:paraId="674A5FD5" w14:textId="41AD019E"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Brealey, R.A., Myers, S.C., &amp; Allen, F. (2020). Principles of Corporate Finance. McGraw-Hill Education.</w:t>
      </w:r>
    </w:p>
    <w:p w14:paraId="2B4B5495"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Brigham, E.F., &amp; Ehrhardt, M.C. (2016). Financial Management: Theory &amp; Practice. Cengage Learning.</w:t>
      </w:r>
    </w:p>
    <w:p w14:paraId="03F8A8AE"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 xml:space="preserve">Ross, S.A., </w:t>
      </w:r>
      <w:proofErr w:type="spellStart"/>
      <w:r w:rsidRPr="00AF362E">
        <w:rPr>
          <w:rFonts w:ascii="Times New Roman" w:hAnsi="Times New Roman" w:cs="Times New Roman"/>
        </w:rPr>
        <w:t>Westerfield</w:t>
      </w:r>
      <w:proofErr w:type="spellEnd"/>
      <w:r w:rsidRPr="00AF362E">
        <w:rPr>
          <w:rFonts w:ascii="Times New Roman" w:hAnsi="Times New Roman" w:cs="Times New Roman"/>
        </w:rPr>
        <w:t>, R., &amp; Jaffe, J. (2019). Corporate Finance. McGraw-Hill Education.</w:t>
      </w:r>
    </w:p>
    <w:p w14:paraId="756BD8CD"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Bassen, A. (1990). The Decision-Making Process of Investment Appraisals. Journal of Financial Management.</w:t>
      </w:r>
    </w:p>
    <w:p w14:paraId="45691626"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Arnold, G. (2013). Corporate Financial Management. Pearson Education.</w:t>
      </w:r>
    </w:p>
    <w:p w14:paraId="6B839C60"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Damodaran, A. (2012). Investment Valuation: Tools and Techniques for Determining the Value of Any Asset. Wiley.</w:t>
      </w:r>
    </w:p>
    <w:p w14:paraId="3312F048"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Pike, R., &amp; Neale, B. (2009). Corporate Finance and Investment: Decisions and Strategies. Pearson Education.</w:t>
      </w:r>
    </w:p>
    <w:p w14:paraId="7898D916"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Lumby, S., &amp; Jones, C. (2011). Corporate Finance: Theory and Practice. Cengage Learning.</w:t>
      </w:r>
    </w:p>
    <w:p w14:paraId="1ACD2684" w14:textId="77777777" w:rsidR="00BA2854" w:rsidRPr="00AF362E" w:rsidRDefault="00BA2854" w:rsidP="00236E5A">
      <w:pPr>
        <w:spacing w:line="360" w:lineRule="auto"/>
        <w:jc w:val="both"/>
        <w:rPr>
          <w:rFonts w:ascii="Times New Roman" w:hAnsi="Times New Roman" w:cs="Times New Roman"/>
        </w:rPr>
      </w:pPr>
      <w:proofErr w:type="spellStart"/>
      <w:r w:rsidRPr="00AF362E">
        <w:rPr>
          <w:rFonts w:ascii="Times New Roman" w:hAnsi="Times New Roman" w:cs="Times New Roman"/>
        </w:rPr>
        <w:t>Atrill</w:t>
      </w:r>
      <w:proofErr w:type="spellEnd"/>
      <w:r w:rsidRPr="00AF362E">
        <w:rPr>
          <w:rFonts w:ascii="Times New Roman" w:hAnsi="Times New Roman" w:cs="Times New Roman"/>
        </w:rPr>
        <w:t>, P., &amp; McLaney, E. (2018). Accounting and Finance for Non-Specialists. Pearson Education.</w:t>
      </w:r>
    </w:p>
    <w:p w14:paraId="4B4B63CE"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Van Horne, J.C., &amp; Wachowicz, J.M. (2008). Fundamentals of Financial Management. Pearson Education.</w:t>
      </w:r>
    </w:p>
    <w:p w14:paraId="2640A51D"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Gitman, L.J., &amp; Zutter, C.J. (2012). Principles of Managerial Finance. Pearson Education.</w:t>
      </w:r>
    </w:p>
    <w:p w14:paraId="190B03C2"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Drury, C. (2013). Management and Cost Accounting. Cengage Learning.</w:t>
      </w:r>
    </w:p>
    <w:p w14:paraId="569BE21F"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Hillier, D., Clacher, I., &amp; Ross, S.A. (2020). Fundamentals of Corporate Finance. McGraw-Hill Education.</w:t>
      </w:r>
    </w:p>
    <w:p w14:paraId="353EA564"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Kaplan, R.S., &amp; Norton, D.P. (1996). The Balanced Scorecard: Translating Strategy into Action. Harvard Business Press.</w:t>
      </w:r>
    </w:p>
    <w:p w14:paraId="3F5BB6E8" w14:textId="77777777" w:rsidR="00BA2854" w:rsidRPr="00AF362E" w:rsidRDefault="00BA2854" w:rsidP="00236E5A">
      <w:pPr>
        <w:spacing w:line="360" w:lineRule="auto"/>
        <w:jc w:val="both"/>
        <w:rPr>
          <w:rFonts w:ascii="Times New Roman" w:hAnsi="Times New Roman" w:cs="Times New Roman"/>
        </w:rPr>
      </w:pPr>
      <w:r w:rsidRPr="00AF362E">
        <w:rPr>
          <w:rFonts w:ascii="Times New Roman" w:hAnsi="Times New Roman" w:cs="Times New Roman"/>
        </w:rPr>
        <w:t>Berk, J., DeMarzo, P., &amp; Harford, J. (2018). Fundamentals of Corporate Finance. Pearson Education.</w:t>
      </w:r>
    </w:p>
    <w:p w14:paraId="687DEC10" w14:textId="77777777" w:rsidR="00AB17A3" w:rsidRDefault="00AB17A3" w:rsidP="00236E5A">
      <w:pPr>
        <w:jc w:val="both"/>
      </w:pPr>
    </w:p>
    <w:p w14:paraId="4D03BAB9" w14:textId="77777777" w:rsidR="00AB17A3" w:rsidRPr="0043676F" w:rsidRDefault="00AB17A3" w:rsidP="00236E5A">
      <w:pPr>
        <w:jc w:val="both"/>
      </w:pPr>
    </w:p>
    <w:sectPr w:rsidR="00AB17A3" w:rsidRPr="0043676F" w:rsidSect="00E61C3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F71670" w14:textId="77777777" w:rsidR="004D7713" w:rsidRDefault="004D7713" w:rsidP="00BC0795">
      <w:pPr>
        <w:spacing w:after="0" w:line="240" w:lineRule="auto"/>
      </w:pPr>
      <w:r>
        <w:separator/>
      </w:r>
    </w:p>
  </w:endnote>
  <w:endnote w:type="continuationSeparator" w:id="0">
    <w:p w14:paraId="320EE019" w14:textId="77777777" w:rsidR="004D7713" w:rsidRDefault="004D7713" w:rsidP="00BC0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4641AE" w14:textId="77777777" w:rsidR="00120DE5" w:rsidRDefault="00120D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1864690"/>
      <w:docPartObj>
        <w:docPartGallery w:val="Page Numbers (Bottom of Page)"/>
        <w:docPartUnique/>
      </w:docPartObj>
    </w:sdtPr>
    <w:sdtContent>
      <w:p w14:paraId="0C5E66A5" w14:textId="77777777" w:rsidR="00C02D4C" w:rsidRDefault="00C02D4C">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14:paraId="0C5E66A6" w14:textId="77777777" w:rsidR="00BC0795" w:rsidRDefault="00BC07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EDAE1D" w14:textId="77777777" w:rsidR="00120DE5" w:rsidRDefault="00120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F57BA4" w14:textId="77777777" w:rsidR="004D7713" w:rsidRDefault="004D7713" w:rsidP="00BC0795">
      <w:pPr>
        <w:spacing w:after="0" w:line="240" w:lineRule="auto"/>
      </w:pPr>
      <w:r>
        <w:separator/>
      </w:r>
    </w:p>
  </w:footnote>
  <w:footnote w:type="continuationSeparator" w:id="0">
    <w:p w14:paraId="01D16B34" w14:textId="77777777" w:rsidR="004D7713" w:rsidRDefault="004D7713" w:rsidP="00BC0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F1E834" w14:textId="77777777" w:rsidR="00120DE5" w:rsidRDefault="00120D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0327F8" w14:textId="77777777" w:rsidR="00120DE5" w:rsidRDefault="00120D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537FBE" w14:textId="77777777" w:rsidR="00120DE5" w:rsidRDefault="00120D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A7D1B"/>
    <w:multiLevelType w:val="hybridMultilevel"/>
    <w:tmpl w:val="780025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7376E7"/>
    <w:multiLevelType w:val="hybridMultilevel"/>
    <w:tmpl w:val="A52AB3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D82D4C"/>
    <w:multiLevelType w:val="hybridMultilevel"/>
    <w:tmpl w:val="D1E4ACE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777886"/>
    <w:multiLevelType w:val="hybridMultilevel"/>
    <w:tmpl w:val="DD56D4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AE2F90"/>
    <w:multiLevelType w:val="multilevel"/>
    <w:tmpl w:val="E5F445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657965"/>
    <w:multiLevelType w:val="hybridMultilevel"/>
    <w:tmpl w:val="AFAE14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0C15C2"/>
    <w:multiLevelType w:val="hybridMultilevel"/>
    <w:tmpl w:val="EF729C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213A01"/>
    <w:multiLevelType w:val="hybridMultilevel"/>
    <w:tmpl w:val="148A40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8A1EEF"/>
    <w:multiLevelType w:val="hybridMultilevel"/>
    <w:tmpl w:val="F440DB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68326">
    <w:abstractNumId w:val="2"/>
  </w:num>
  <w:num w:numId="2" w16cid:durableId="817692953">
    <w:abstractNumId w:val="0"/>
  </w:num>
  <w:num w:numId="3" w16cid:durableId="1604724449">
    <w:abstractNumId w:val="8"/>
  </w:num>
  <w:num w:numId="4" w16cid:durableId="2071536511">
    <w:abstractNumId w:val="1"/>
  </w:num>
  <w:num w:numId="5" w16cid:durableId="860049977">
    <w:abstractNumId w:val="4"/>
  </w:num>
  <w:num w:numId="6" w16cid:durableId="416950202">
    <w:abstractNumId w:val="3"/>
  </w:num>
  <w:num w:numId="7" w16cid:durableId="1816213139">
    <w:abstractNumId w:val="6"/>
  </w:num>
  <w:num w:numId="8" w16cid:durableId="551041664">
    <w:abstractNumId w:val="5"/>
  </w:num>
  <w:num w:numId="9" w16cid:durableId="21346680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676F"/>
    <w:rsid w:val="00120DE5"/>
    <w:rsid w:val="00134D4B"/>
    <w:rsid w:val="001C638D"/>
    <w:rsid w:val="001C7A6F"/>
    <w:rsid w:val="001E1D4F"/>
    <w:rsid w:val="001F49A5"/>
    <w:rsid w:val="00203980"/>
    <w:rsid w:val="00236768"/>
    <w:rsid w:val="00236E5A"/>
    <w:rsid w:val="002C0E10"/>
    <w:rsid w:val="00344AD9"/>
    <w:rsid w:val="003B0C33"/>
    <w:rsid w:val="003C3D62"/>
    <w:rsid w:val="004222C3"/>
    <w:rsid w:val="0043676F"/>
    <w:rsid w:val="004B4A72"/>
    <w:rsid w:val="004D7713"/>
    <w:rsid w:val="004F4C4D"/>
    <w:rsid w:val="00582011"/>
    <w:rsid w:val="006E05EE"/>
    <w:rsid w:val="0070356D"/>
    <w:rsid w:val="007350C8"/>
    <w:rsid w:val="00757892"/>
    <w:rsid w:val="007874AF"/>
    <w:rsid w:val="00893992"/>
    <w:rsid w:val="008C7343"/>
    <w:rsid w:val="009E225B"/>
    <w:rsid w:val="00A44B3B"/>
    <w:rsid w:val="00AB17A3"/>
    <w:rsid w:val="00AE270C"/>
    <w:rsid w:val="00AF362E"/>
    <w:rsid w:val="00AF7AEF"/>
    <w:rsid w:val="00BA2854"/>
    <w:rsid w:val="00BC0795"/>
    <w:rsid w:val="00C02D4C"/>
    <w:rsid w:val="00C14273"/>
    <w:rsid w:val="00C327BD"/>
    <w:rsid w:val="00CC3442"/>
    <w:rsid w:val="00DC3686"/>
    <w:rsid w:val="00DE2AB7"/>
    <w:rsid w:val="00DE3FFD"/>
    <w:rsid w:val="00DE4BE8"/>
    <w:rsid w:val="00DF530B"/>
    <w:rsid w:val="00E041B3"/>
    <w:rsid w:val="00E27A77"/>
    <w:rsid w:val="00E61C30"/>
    <w:rsid w:val="00EF13B8"/>
    <w:rsid w:val="00F205A7"/>
    <w:rsid w:val="00F4473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E6669"/>
  <w15:chartTrackingRefBased/>
  <w15:docId w15:val="{8DF0A443-44C8-418E-908E-19D48B2D1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B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43676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AB17A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76F"/>
    <w:pPr>
      <w:ind w:left="720"/>
      <w:contextualSpacing/>
    </w:pPr>
  </w:style>
  <w:style w:type="character" w:customStyle="1" w:styleId="Heading3Char">
    <w:name w:val="Heading 3 Char"/>
    <w:basedOn w:val="DefaultParagraphFont"/>
    <w:link w:val="Heading3"/>
    <w:uiPriority w:val="9"/>
    <w:rsid w:val="0043676F"/>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BC07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0795"/>
  </w:style>
  <w:style w:type="paragraph" w:styleId="Footer">
    <w:name w:val="footer"/>
    <w:basedOn w:val="Normal"/>
    <w:link w:val="FooterChar"/>
    <w:uiPriority w:val="99"/>
    <w:unhideWhenUsed/>
    <w:rsid w:val="00BC07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0795"/>
  </w:style>
  <w:style w:type="character" w:customStyle="1" w:styleId="Heading1Char">
    <w:name w:val="Heading 1 Char"/>
    <w:basedOn w:val="DefaultParagraphFont"/>
    <w:link w:val="Heading1"/>
    <w:uiPriority w:val="9"/>
    <w:rsid w:val="00A44B3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44B3B"/>
    <w:pPr>
      <w:outlineLvl w:val="9"/>
    </w:pPr>
  </w:style>
  <w:style w:type="paragraph" w:styleId="TOC3">
    <w:name w:val="toc 3"/>
    <w:basedOn w:val="Normal"/>
    <w:next w:val="Normal"/>
    <w:autoRedefine/>
    <w:uiPriority w:val="39"/>
    <w:unhideWhenUsed/>
    <w:rsid w:val="00A44B3B"/>
    <w:pPr>
      <w:spacing w:after="100"/>
      <w:ind w:left="440"/>
    </w:pPr>
  </w:style>
  <w:style w:type="character" w:styleId="Hyperlink">
    <w:name w:val="Hyperlink"/>
    <w:basedOn w:val="DefaultParagraphFont"/>
    <w:uiPriority w:val="99"/>
    <w:unhideWhenUsed/>
    <w:rsid w:val="00A44B3B"/>
    <w:rPr>
      <w:color w:val="0563C1" w:themeColor="hyperlink"/>
      <w:u w:val="single"/>
    </w:rPr>
  </w:style>
  <w:style w:type="character" w:customStyle="1" w:styleId="Heading4Char">
    <w:name w:val="Heading 4 Char"/>
    <w:basedOn w:val="DefaultParagraphFont"/>
    <w:link w:val="Heading4"/>
    <w:uiPriority w:val="9"/>
    <w:semiHidden/>
    <w:rsid w:val="00AB17A3"/>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AB17A3"/>
    <w:pPr>
      <w:spacing w:before="100" w:beforeAutospacing="1" w:after="100" w:afterAutospacing="1" w:line="240" w:lineRule="auto"/>
    </w:pPr>
    <w:rPr>
      <w:rFonts w:ascii="Times New Roman" w:eastAsia="Times New Roman" w:hAnsi="Times New Roman" w:cs="Times New Roman"/>
      <w:sz w:val="24"/>
      <w:szCs w:val="24"/>
    </w:rPr>
  </w:style>
  <w:style w:type="table" w:styleId="PlainTable1">
    <w:name w:val="Plain Table 1"/>
    <w:basedOn w:val="TableNormal"/>
    <w:uiPriority w:val="41"/>
    <w:rsid w:val="00AB17A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B17A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7982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6FF37C-5AFB-49A7-94C9-527434A2A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25</Pages>
  <Words>5306</Words>
  <Characters>30245</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dc:creator>
  <cp:keywords/>
  <dc:description/>
  <cp:lastModifiedBy>Archi Jasoliya</cp:lastModifiedBy>
  <cp:revision>31</cp:revision>
  <dcterms:created xsi:type="dcterms:W3CDTF">2024-08-19T09:47:00Z</dcterms:created>
  <dcterms:modified xsi:type="dcterms:W3CDTF">2024-08-19T10:41:00Z</dcterms:modified>
</cp:coreProperties>
</file>