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spacing w:before="1540" w:after="240"/>
        <w:jc w:val="center"/>
        <w:rPr/>
      </w:pPr>
      <w:bookmarkStart w:id="0" w:name="__DdeLink__4289_2163752267"/>
      <w:bookmarkEnd w:id="0"/>
      <w:r>
        <w:rPr/>
        <w:drawing>
          <wp:inline distT="0" distB="0" distL="0" distR="0">
            <wp:extent cx="1417320" cy="751205"/>
            <wp:effectExtent l="0" t="0" r="0" b="0"/>
            <wp:docPr id="1" name="Picture 14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43" descr=""/>
                    <pic:cNvPicPr>
                      <a:picLocks noChangeAspect="1" noChangeArrowheads="1"/>
                    </pic:cNvPicPr>
                  </pic:nvPicPr>
                  <pic:blipFill>
                    <a:blip r:embed="rId2"/>
                    <a:stretch>
                      <a:fillRect/>
                    </a:stretch>
                  </pic:blipFill>
                  <pic:spPr bwMode="auto">
                    <a:xfrm>
                      <a:off x="0" y="0"/>
                      <a:ext cx="1417320" cy="751205"/>
                    </a:xfrm>
                    <a:prstGeom prst="rect">
                      <a:avLst/>
                    </a:prstGeom>
                  </pic:spPr>
                </pic:pic>
              </a:graphicData>
            </a:graphic>
          </wp:inline>
        </w:drawing>
      </w:r>
    </w:p>
    <w:p>
      <w:pPr>
        <w:pStyle w:val="NoSpacing"/>
        <w:pBdr>
          <w:top w:val="single" w:sz="6" w:space="6" w:color="5B9BD5"/>
          <w:bottom w:val="single" w:sz="6" w:space="6" w:color="5B9BD5"/>
        </w:pBdr>
        <w:spacing w:before="0" w:after="240"/>
        <w:jc w:val="center"/>
        <w:rPr>
          <w:rFonts w:ascii="Calibri Light" w:hAnsi="Calibri Light" w:eastAsia="宋体" w:cs="Times New Roman"/>
          <w:caps/>
          <w:color w:val="5B9BD5"/>
          <w:sz w:val="72"/>
          <w:szCs w:val="72"/>
        </w:rPr>
      </w:pPr>
      <w:r>
        <w:rPr>
          <w:rFonts w:eastAsia="宋体" w:cs="Times New Roman" w:ascii="Calibri Light" w:hAnsi="Calibri Light"/>
          <w:caps/>
          <w:color w:val="5B9BD5"/>
          <w:sz w:val="72"/>
          <w:szCs w:val="72"/>
        </w:rPr>
        <w:t>The Evolution Of Budgeting Methods</w:t>
      </w:r>
    </w:p>
    <w:p>
      <w:pPr>
        <w:pStyle w:val="NoSpacing"/>
        <w:jc w:val="center"/>
        <w:rPr/>
      </w:pPr>
      <w:r>
        <w:rPr>
          <w:color w:val="5B9BD5"/>
          <w:sz w:val="28"/>
          <w:szCs w:val="28"/>
        </w:rPr>
        <w:t>[</w:t>
      </w:r>
      <w:r>
        <w:rPr>
          <w:color w:val="5B9BD5"/>
          <w:sz w:val="28"/>
          <w:szCs w:val="28"/>
        </w:rPr>
        <w:t>Thomas Bennett 2103126</w:t>
      </w:r>
      <w:r>
        <w:rPr>
          <w:color w:val="5B9BD5"/>
          <w:sz w:val="28"/>
          <w:szCs w:val="28"/>
        </w:rPr>
        <w:t>]</w:t>
      </w:r>
    </w:p>
    <w:p>
      <w:pPr>
        <w:pStyle w:val="NoSpacing"/>
        <w:spacing w:before="480" w:after="0"/>
        <w:jc w:val="center"/>
        <w:rPr/>
      </w:pPr>
      <w:r>
        <w:rPr/>
        <w:drawing>
          <wp:inline distT="0" distB="0" distL="0" distR="0">
            <wp:extent cx="758825" cy="478790"/>
            <wp:effectExtent l="0" t="0" r="0" b="0"/>
            <wp:docPr id="4" name="Picture 14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44" descr=""/>
                    <pic:cNvPicPr>
                      <a:picLocks noChangeAspect="1" noChangeArrowheads="1"/>
                    </pic:cNvPicPr>
                  </pic:nvPicPr>
                  <pic:blipFill>
                    <a:blip r:embed="rId3"/>
                    <a:stretch>
                      <a:fillRect/>
                    </a:stretch>
                  </pic:blipFill>
                  <pic:spPr bwMode="auto">
                    <a:xfrm>
                      <a:off x="0" y="0"/>
                      <a:ext cx="758825" cy="478790"/>
                    </a:xfrm>
                    <a:prstGeom prst="rect">
                      <a:avLst/>
                    </a:prstGeom>
                  </pic:spPr>
                </pic:pic>
              </a:graphicData>
            </a:graphic>
          </wp:inline>
        </w:drawing>
        <mc:AlternateContent>
          <mc:Choice Requires="wps">
            <w:drawing>
              <wp:anchor behindDoc="0" distT="0" distB="12700" distL="0" distR="0" simplePos="0" locked="0" layoutInCell="1" allowOverlap="1" relativeHeight="3">
                <wp:simplePos x="0" y="0"/>
                <wp:positionH relativeFrom="margin">
                  <wp:align>center</wp:align>
                </wp:positionH>
                <wp:positionV relativeFrom="page">
                  <wp:posOffset>9095105</wp:posOffset>
                </wp:positionV>
                <wp:extent cx="5731510" cy="583565"/>
                <wp:effectExtent l="0" t="0" r="0" b="0"/>
                <wp:wrapNone/>
                <wp:docPr id="2" name="Text Box 142"/>
                <a:graphic xmlns:a="http://schemas.openxmlformats.org/drawingml/2006/main">
                  <a:graphicData uri="http://schemas.microsoft.com/office/word/2010/wordprocessingShape">
                    <wps:wsp>
                      <wps:cNvSpPr/>
                      <wps:spPr>
                        <a:xfrm>
                          <a:off x="0" y="0"/>
                          <a:ext cx="5730840" cy="582840"/>
                        </a:xfrm>
                        <a:prstGeom prst="rect">
                          <a:avLst/>
                        </a:prstGeom>
                        <a:noFill/>
                        <a:ln w="6480">
                          <a:noFill/>
                        </a:ln>
                      </wps:spPr>
                      <wps:style>
                        <a:lnRef idx="0"/>
                        <a:fillRef idx="0"/>
                        <a:effectRef idx="0"/>
                        <a:fontRef idx="minor"/>
                      </wps:style>
                      <wps:txbx>
                        <w:txbxContent>
                          <w:p>
                            <w:pPr>
                              <w:pStyle w:val="NoSpacing"/>
                              <w:spacing w:before="0" w:after="40"/>
                              <w:jc w:val="center"/>
                              <w:rPr/>
                            </w:pPr>
                            <w:r>
                              <w:rPr>
                                <w:caps/>
                                <w:color w:val="5B9BD5"/>
                                <w:sz w:val="28"/>
                                <w:szCs w:val="28"/>
                              </w:rPr>
                              <w:t>[</w:t>
                            </w:r>
                            <w:r>
                              <w:rPr>
                                <w:caps/>
                                <w:color w:val="5B9BD5"/>
                                <w:sz w:val="28"/>
                                <w:szCs w:val="28"/>
                              </w:rPr>
                              <w:t>28/11/2025</w:t>
                            </w:r>
                            <w:r>
                              <w:rPr>
                                <w:caps/>
                                <w:color w:val="5B9BD5"/>
                                <w:sz w:val="28"/>
                                <w:szCs w:val="28"/>
                              </w:rPr>
                              <w:t>]</w:t>
                            </w:r>
                          </w:p>
                          <w:p>
                            <w:pPr>
                              <w:pStyle w:val="NoSpacing"/>
                              <w:jc w:val="center"/>
                              <w:rPr>
                                <w:caps/>
                                <w:color w:val="5B9BD5"/>
                                <w:lang w:val="en-GB"/>
                              </w:rPr>
                            </w:pPr>
                            <w:r>
                              <w:rPr>
                                <w:caps/>
                                <w:color w:val="5B9BD5"/>
                                <w:lang w:val="en-GB"/>
                              </w:rPr>
                              <w:t>University of Wales Trinity Saint David</w:t>
                            </w:r>
                          </w:p>
                          <w:p>
                            <w:pPr>
                              <w:pStyle w:val="NoSpacing"/>
                              <w:jc w:val="center"/>
                              <w:rPr/>
                            </w:pPr>
                            <w:r>
                              <w:rPr>
                                <w:color w:val="5B9BD5"/>
                              </w:rPr>
                              <w:t xml:space="preserve">     </w:t>
                            </w:r>
                          </w:p>
                        </w:txbxContent>
                      </wps:txbx>
                      <wps:bodyPr lIns="0" rIns="0" tIns="0" bIns="0" anchor="b">
                        <a:spAutoFit/>
                      </wps:bodyPr>
                    </wps:wsp>
                  </a:graphicData>
                </a:graphic>
                <wp14:sizeRelH relativeFrom="margin">
                  <wp14:pctWidth>100000</wp14:pctWidth>
                </wp14:sizeRelH>
              </wp:anchor>
            </w:drawing>
          </mc:Choice>
          <mc:Fallback>
            <w:pict>
              <v:rect id="shape_0" ID="Text Box 142" stroked="f" style="position:absolute;margin-left:0pt;margin-top:716.15pt;width:451.2pt;height:45.85pt;mso-position-horizontal:center;mso-position-horizontal-relative:margin;mso-position-vertical-relative:page">
                <w10:wrap type="square"/>
                <v:fill o:detectmouseclick="t" on="false"/>
                <v:stroke color="#3465a4" weight="6480" joinstyle="round" endcap="flat"/>
                <v:textbox>
                  <w:txbxContent>
                    <w:p>
                      <w:pPr>
                        <w:pStyle w:val="NoSpacing"/>
                        <w:spacing w:before="0" w:after="40"/>
                        <w:jc w:val="center"/>
                        <w:rPr/>
                      </w:pPr>
                      <w:r>
                        <w:rPr>
                          <w:caps/>
                          <w:color w:val="5B9BD5"/>
                          <w:sz w:val="28"/>
                          <w:szCs w:val="28"/>
                        </w:rPr>
                        <w:t>[</w:t>
                      </w:r>
                      <w:r>
                        <w:rPr>
                          <w:caps/>
                          <w:color w:val="5B9BD5"/>
                          <w:sz w:val="28"/>
                          <w:szCs w:val="28"/>
                        </w:rPr>
                        <w:t>28/11/2025</w:t>
                      </w:r>
                      <w:r>
                        <w:rPr>
                          <w:caps/>
                          <w:color w:val="5B9BD5"/>
                          <w:sz w:val="28"/>
                          <w:szCs w:val="28"/>
                        </w:rPr>
                        <w:t>]</w:t>
                      </w:r>
                    </w:p>
                    <w:p>
                      <w:pPr>
                        <w:pStyle w:val="NoSpacing"/>
                        <w:jc w:val="center"/>
                        <w:rPr>
                          <w:caps/>
                          <w:color w:val="5B9BD5"/>
                          <w:lang w:val="en-GB"/>
                        </w:rPr>
                      </w:pPr>
                      <w:r>
                        <w:rPr>
                          <w:caps/>
                          <w:color w:val="5B9BD5"/>
                          <w:lang w:val="en-GB"/>
                        </w:rPr>
                        <w:t>University of Wales Trinity Saint David</w:t>
                      </w:r>
                    </w:p>
                    <w:p>
                      <w:pPr>
                        <w:pStyle w:val="NoSpacing"/>
                        <w:jc w:val="center"/>
                        <w:rPr/>
                      </w:pPr>
                      <w:r>
                        <w:rPr>
                          <w:color w:val="5B9BD5"/>
                        </w:rPr>
                        <w:t xml:space="preserve">     </w:t>
                      </w:r>
                    </w:p>
                  </w:txbxContent>
                </v:textbox>
              </v:rect>
            </w:pict>
          </mc:Fallback>
        </mc:AlternateContent>
      </w:r>
      <w:r>
        <w:br w:type="page"/>
      </w:r>
    </w:p>
    <w:p>
      <w:pPr>
        <w:pStyle w:val="Heading1"/>
        <w:rPr/>
      </w:pPr>
      <w:bookmarkStart w:id="1" w:name="__RefHeading___Toc4266_2163752267"/>
      <w:bookmarkStart w:id="2" w:name="_Toc115682910"/>
      <w:bookmarkEnd w:id="1"/>
      <w:r>
        <w:rPr/>
        <w:t>Executive Summary</w:t>
      </w:r>
      <w:bookmarkEnd w:id="2"/>
    </w:p>
    <w:p>
      <w:pPr>
        <w:pStyle w:val="Normal"/>
        <w:rPr>
          <w:sz w:val="24"/>
          <w:szCs w:val="24"/>
        </w:rPr>
      </w:pPr>
      <w:r>
        <w:rPr>
          <w:rFonts w:ascii="Arial" w:hAnsi="Arial"/>
        </w:rPr>
      </w:r>
    </w:p>
    <w:p>
      <w:pPr>
        <w:pStyle w:val="Normal"/>
        <w:rPr>
          <w:rFonts w:ascii="Arial" w:hAnsi="Arial"/>
        </w:rPr>
      </w:pPr>
      <w:r>
        <w:rPr>
          <w:rFonts w:ascii="Arial" w:hAnsi="Arial"/>
          <w:sz w:val="24"/>
          <w:szCs w:val="24"/>
        </w:rPr>
        <w:t>C</w:t>
      </w:r>
      <w:r>
        <w:rPr>
          <w:rFonts w:ascii="Arial" w:hAnsi="Arial"/>
          <w:sz w:val="24"/>
          <w:szCs w:val="24"/>
        </w:rPr>
        <w:t xml:space="preserve">ost management techniques are crucial to uphold a business and to generate profit in order for it to be successful and competitive, especially when the business environment is so fast acting and changing constantly with new technology and legislations being put in place. </w:t>
      </w:r>
      <w:r>
        <w:rPr>
          <w:rFonts w:ascii="Arial" w:hAnsi="Arial"/>
          <w:sz w:val="24"/>
          <w:szCs w:val="24"/>
        </w:rPr>
        <w:t xml:space="preserve">The purpose of this report is to analyse some of the methods that could be used and to compare their effectiveness with each other. </w:t>
      </w:r>
      <w:r>
        <w:rPr>
          <w:rFonts w:ascii="Arial" w:hAnsi="Arial"/>
          <w:sz w:val="24"/>
          <w:szCs w:val="24"/>
        </w:rPr>
        <w:t xml:space="preserve">While the traditional techniques served their purpose, companies are adopting more modern styles of cost management and other techniques to monitor product performance and project future costs and schedule times in order to effectively communicate to stakeholders. Activity based costing, or ABC, has been used by businesses as a method of allocating overhead costs to specific activities instead of </w:t>
      </w:r>
      <w:r>
        <w:rPr>
          <w:rFonts w:ascii="Arial" w:hAnsi="Arial"/>
          <w:sz w:val="24"/>
          <w:szCs w:val="24"/>
        </w:rPr>
        <w:t>the traditional approach of assigning overheads evenly to each product or department. If overheads are rising, then this method will be a much more accurate method of cost management. Research has found that this method is effective and incorporating it will bring benefits such as cost reductions, higher profits and in some cases higher quality production. However, research into smaller companies in smaller countries has found that it can be time consuming to implement, and this is keeping them from considering the alternative method. Earned value management, or EVM, can be used alongside the ABC method in order to use cost and time statistics to asses how a project is coming along, whether it is ahead of schedule, or if attention is required in order for it to be completed by a designated time. It is found to be a great monitoring tool, and although there are some limitations, this model has been adapted in recent times in order to make it more effective.</w:t>
      </w:r>
    </w:p>
    <w:p>
      <w:pPr>
        <w:pStyle w:val="Normal"/>
        <w:rPr>
          <w:rFonts w:ascii="Arial" w:hAnsi="Arial"/>
        </w:rPr>
      </w:pPr>
      <w:r>
        <w:rPr>
          <w:rFonts w:ascii="Arial" w:hAnsi="Arial"/>
          <w:sz w:val="24"/>
          <w:szCs w:val="24"/>
        </w:rPr>
        <w:t xml:space="preserve">Absorption and marginal costing are crucial for inventory valuation and profit measuring, with absorption costing being used for external reporting and giving a broad overview, whereas marginal costing is primarily used for internal reporting and for short term decisions by businesses. Many businesses will again combine these methods as a lot of the limitations with one is solved by the other. In conclusion, there are many methods to consider for businesses with regards to cost management, and if the business has the right tools to implement and maintain them, they should explore these options with care and consider using them to grow their business.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sdt>
      <w:sdtPr>
        <w:docPartObj>
          <w:docPartGallery w:val="Table of Contents"/>
          <w:docPartUnique w:val="true"/>
        </w:docPartObj>
      </w:sdtPr>
      <w:sdtContent>
        <w:p>
          <w:pPr>
            <w:pStyle w:val="ContentsHeading"/>
            <w:suppressLineNumbers/>
            <w:ind w:left="0" w:hanging="0"/>
            <w:rPr>
              <w:b/>
              <w:b/>
              <w:bCs/>
              <w:sz w:val="32"/>
              <w:szCs w:val="32"/>
            </w:rPr>
          </w:pPr>
          <w:r>
            <w:rPr>
              <w:b/>
              <w:bCs/>
              <w:sz w:val="32"/>
              <w:szCs w:val="32"/>
            </w:rPr>
            <w:t>Table of Contents</w:t>
          </w:r>
        </w:p>
        <w:p>
          <w:pPr>
            <w:pStyle w:val="Contents1"/>
            <w:tabs>
              <w:tab w:val="clear" w:pos="720"/>
              <w:tab w:val="right" w:pos="9026" w:leader="dot"/>
            </w:tabs>
            <w:rPr/>
          </w:pPr>
          <w:r>
            <w:fldChar w:fldCharType="begin"/>
          </w:r>
          <w:r>
            <w:rPr>
              <w:rStyle w:val="IndexLink"/>
            </w:rPr>
            <w:instrText> TOC \o "1-3" \h</w:instrText>
          </w:r>
          <w:r>
            <w:rPr>
              <w:rStyle w:val="IndexLink"/>
            </w:rPr>
            <w:fldChar w:fldCharType="separate"/>
          </w:r>
          <w:hyperlink w:anchor="__RefHeading___Toc4266_2163752267">
            <w:r>
              <w:rPr>
                <w:rStyle w:val="IndexLink"/>
              </w:rPr>
              <w:t>Executive Summary</w:t>
              <w:tab/>
              <w:t>2</w:t>
            </w:r>
          </w:hyperlink>
        </w:p>
        <w:p>
          <w:pPr>
            <w:pStyle w:val="Contents1"/>
            <w:tabs>
              <w:tab w:val="clear" w:pos="720"/>
              <w:tab w:val="right" w:pos="9026" w:leader="dot"/>
            </w:tabs>
            <w:rPr/>
          </w:pPr>
          <w:hyperlink w:anchor="__RefHeading___Toc4268_2163752267">
            <w:r>
              <w:rPr>
                <w:rStyle w:val="IndexLink"/>
              </w:rPr>
              <w:t>Introduction (average of 10% of the word count)</w:t>
              <w:tab/>
              <w:t>4</w:t>
            </w:r>
          </w:hyperlink>
        </w:p>
        <w:p>
          <w:pPr>
            <w:pStyle w:val="Contents1"/>
            <w:tabs>
              <w:tab w:val="clear" w:pos="720"/>
              <w:tab w:val="right" w:pos="9026" w:leader="dot"/>
            </w:tabs>
            <w:rPr/>
          </w:pPr>
          <w:hyperlink w:anchor="__RefHeading___Toc4270_2163752267">
            <w:r>
              <w:rPr>
                <w:rStyle w:val="IndexLink"/>
              </w:rPr>
              <w:t>Main Findings</w:t>
              <w:tab/>
              <w:t>4</w:t>
            </w:r>
          </w:hyperlink>
        </w:p>
        <w:p>
          <w:pPr>
            <w:pStyle w:val="Contents1"/>
            <w:tabs>
              <w:tab w:val="clear" w:pos="720"/>
              <w:tab w:val="right" w:pos="9026" w:leader="dot"/>
            </w:tabs>
            <w:rPr/>
          </w:pPr>
          <w:hyperlink w:anchor="__RefHeading___Toc4272_2163752267">
            <w:r>
              <w:rPr>
                <w:rStyle w:val="IndexLink"/>
              </w:rPr>
              <w:t>Conclusion (average of 10% of word count)</w:t>
              <w:tab/>
              <w:t>7</w:t>
            </w:r>
          </w:hyperlink>
        </w:p>
        <w:p>
          <w:pPr>
            <w:pStyle w:val="Contents1"/>
            <w:tabs>
              <w:tab w:val="clear" w:pos="720"/>
              <w:tab w:val="right" w:pos="9026" w:leader="dot"/>
            </w:tabs>
            <w:rPr/>
          </w:pPr>
          <w:hyperlink w:anchor="__RefHeading___Toc4274_2163752267">
            <w:r>
              <w:rPr>
                <w:rStyle w:val="IndexLink"/>
              </w:rPr>
              <w:t>Bibliography</w:t>
              <w:tab/>
              <w:t>8</w:t>
            </w:r>
          </w:hyperlink>
          <w:r>
            <w:rPr>
              <w:rStyle w:val="IndexLink"/>
            </w:rPr>
            <w:fldChar w:fldCharType="end"/>
          </w:r>
        </w:p>
      </w:sdtContent>
    </w:sdt>
    <w:p>
      <w:pPr>
        <w:pStyle w:val="Normal"/>
        <w:widowControl/>
        <w:bidi w:val="0"/>
        <w:spacing w:lineRule="auto" w:line="259" w:before="0" w:after="160"/>
        <w:jc w:val="left"/>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3" w:name="__RefHeading___Toc4268_2163752267"/>
      <w:bookmarkStart w:id="4" w:name="_Toc115682911"/>
      <w:bookmarkEnd w:id="3"/>
      <w:r>
        <w:rPr/>
        <w:t>Introduction (average of 10% of the word count)</w:t>
      </w:r>
      <w:bookmarkEnd w:id="4"/>
    </w:p>
    <w:p>
      <w:pPr>
        <w:pStyle w:val="Normal"/>
        <w:rPr/>
      </w:pPr>
      <w:r>
        <w:rPr>
          <w:rFonts w:cs="Arial" w:ascii="Arial" w:hAnsi="Arial"/>
          <w:color w:val="222222"/>
          <w:sz w:val="24"/>
          <w:szCs w:val="24"/>
          <w:highlight w:val="white"/>
        </w:rPr>
        <w:t xml:space="preserve">In a fast acting and changing environment such as the business environment, cost management has proven to be crucial </w:t>
      </w:r>
      <w:r>
        <w:rPr>
          <w:rFonts w:cs="Arial" w:ascii="Arial" w:hAnsi="Arial"/>
          <w:color w:val="222222"/>
          <w:sz w:val="24"/>
          <w:szCs w:val="24"/>
          <w:highlight w:val="white"/>
        </w:rPr>
        <w:t xml:space="preserve">in the longevity, </w:t>
      </w:r>
      <w:r>
        <w:rPr>
          <w:rFonts w:cs="Arial" w:ascii="Arial" w:hAnsi="Arial"/>
          <w:color w:val="222222"/>
          <w:sz w:val="24"/>
          <w:szCs w:val="24"/>
          <w:highlight w:val="white"/>
        </w:rPr>
        <w:t>profitability</w:t>
      </w:r>
      <w:r>
        <w:rPr>
          <w:rFonts w:cs="Arial" w:ascii="Arial" w:hAnsi="Arial"/>
          <w:color w:val="222222"/>
          <w:sz w:val="24"/>
          <w:szCs w:val="24"/>
          <w:highlight w:val="white"/>
        </w:rPr>
        <w:t xml:space="preserve"> and </w:t>
      </w:r>
      <w:r>
        <w:rPr>
          <w:rFonts w:cs="Arial" w:ascii="Arial" w:hAnsi="Arial"/>
          <w:color w:val="222222"/>
          <w:sz w:val="24"/>
          <w:szCs w:val="24"/>
          <w:highlight w:val="white"/>
        </w:rPr>
        <w:t xml:space="preserve">general </w:t>
      </w:r>
      <w:r>
        <w:rPr>
          <w:rFonts w:cs="Arial" w:ascii="Arial" w:hAnsi="Arial"/>
          <w:color w:val="222222"/>
          <w:sz w:val="24"/>
          <w:szCs w:val="24"/>
          <w:highlight w:val="white"/>
        </w:rPr>
        <w:t xml:space="preserve">success of any business, especially considering the increase in digitalisation and competition that businesses face. At its core, cost management consists of assessing the resources required to complete tasks for a business, assigning costs and looking at what affects the costs through planning, looking at budgets, predicting and controlling costs </w:t>
      </w:r>
      <w:r>
        <w:rPr>
          <w:rFonts w:cs="Arial" w:ascii="Arial" w:hAnsi="Arial"/>
          <w:color w:val="222222"/>
          <w:sz w:val="24"/>
          <w:highlight w:val="white"/>
        </w:rPr>
        <w:t>(Ankrah and Manu, 2023)</w:t>
      </w:r>
      <w:r>
        <w:rPr>
          <w:rFonts w:cs="Arial" w:ascii="Arial" w:hAnsi="Arial"/>
          <w:color w:val="222222"/>
          <w:highlight w:val="white"/>
        </w:rPr>
        <w:t xml:space="preserve">. </w:t>
      </w:r>
      <w:r>
        <w:rPr>
          <w:rFonts w:cs="Arial" w:ascii="Arial" w:hAnsi="Arial"/>
          <w:color w:val="222222"/>
          <w:highlight w:val="white"/>
        </w:rPr>
        <w:t xml:space="preserve">With the rise in overheads, shorter product lifespans due to trends and disruptions to supply chains, for example natural disasters or tariff changes not only affecting the exporters but importers also </w:t>
      </w:r>
      <w:r>
        <w:rPr>
          <w:rFonts w:cs="Arial" w:ascii="Arial" w:hAnsi="Arial"/>
          <w:color w:val="222222"/>
          <w:sz w:val="24"/>
          <w:highlight w:val="white"/>
        </w:rPr>
        <w:t xml:space="preserve">(Rogers et al., 2024), </w:t>
      </w:r>
      <w:r>
        <w:rPr>
          <w:rFonts w:cs="Arial" w:ascii="Arial" w:hAnsi="Arial"/>
          <w:color w:val="222222"/>
          <w:sz w:val="24"/>
          <w:highlight w:val="white"/>
        </w:rPr>
        <w:t xml:space="preserve">businesses have opted for more complex but accurate costing systems in order to make crucial decisions regarding costing to promote profit and reduce costs where possible. The methods that some companies have adopted are </w:t>
      </w:r>
      <w:r>
        <w:rPr>
          <w:rFonts w:cs="Arial" w:ascii="Arial" w:hAnsi="Arial"/>
          <w:color w:val="222222"/>
          <w:sz w:val="24"/>
          <w:highlight w:val="white"/>
        </w:rPr>
        <w:t>a</w:t>
      </w:r>
      <w:r>
        <w:rPr>
          <w:rFonts w:cs="Arial" w:ascii="Arial" w:hAnsi="Arial"/>
          <w:color w:val="222222"/>
          <w:sz w:val="24"/>
          <w:highlight w:val="white"/>
        </w:rPr>
        <w:t xml:space="preserve">ctivity </w:t>
      </w:r>
      <w:r>
        <w:rPr>
          <w:rFonts w:cs="Arial" w:ascii="Arial" w:hAnsi="Arial"/>
          <w:color w:val="222222"/>
          <w:sz w:val="24"/>
          <w:highlight w:val="white"/>
        </w:rPr>
        <w:t>b</w:t>
      </w:r>
      <w:r>
        <w:rPr>
          <w:rFonts w:cs="Arial" w:ascii="Arial" w:hAnsi="Arial"/>
          <w:color w:val="222222"/>
          <w:sz w:val="24"/>
          <w:highlight w:val="white"/>
        </w:rPr>
        <w:t xml:space="preserve">ased </w:t>
      </w:r>
      <w:r>
        <w:rPr>
          <w:rFonts w:cs="Arial" w:ascii="Arial" w:hAnsi="Arial"/>
          <w:color w:val="222222"/>
          <w:sz w:val="24"/>
          <w:highlight w:val="white"/>
        </w:rPr>
        <w:t>c</w:t>
      </w:r>
      <w:r>
        <w:rPr>
          <w:rFonts w:cs="Arial" w:ascii="Arial" w:hAnsi="Arial"/>
          <w:color w:val="222222"/>
          <w:sz w:val="24"/>
          <w:highlight w:val="white"/>
        </w:rPr>
        <w:t xml:space="preserve">osting, also known as ABC, </w:t>
      </w:r>
      <w:r>
        <w:rPr>
          <w:rFonts w:cs="Arial" w:ascii="Arial" w:hAnsi="Arial"/>
          <w:color w:val="222222"/>
          <w:sz w:val="24"/>
          <w:highlight w:val="white"/>
        </w:rPr>
        <w:t>e</w:t>
      </w:r>
      <w:r>
        <w:rPr>
          <w:rFonts w:cs="Arial" w:ascii="Arial" w:hAnsi="Arial"/>
          <w:color w:val="222222"/>
          <w:sz w:val="24"/>
          <w:highlight w:val="white"/>
        </w:rPr>
        <w:t xml:space="preserve">arned </w:t>
      </w:r>
      <w:r>
        <w:rPr>
          <w:rFonts w:cs="Arial" w:ascii="Arial" w:hAnsi="Arial"/>
          <w:color w:val="222222"/>
          <w:sz w:val="24"/>
          <w:highlight w:val="white"/>
        </w:rPr>
        <w:t>v</w:t>
      </w:r>
      <w:r>
        <w:rPr>
          <w:rFonts w:cs="Arial" w:ascii="Arial" w:hAnsi="Arial"/>
          <w:color w:val="222222"/>
          <w:sz w:val="24"/>
          <w:highlight w:val="white"/>
        </w:rPr>
        <w:t xml:space="preserve">alue </w:t>
      </w:r>
      <w:r>
        <w:rPr>
          <w:rFonts w:cs="Arial" w:ascii="Arial" w:hAnsi="Arial"/>
          <w:color w:val="222222"/>
          <w:sz w:val="24"/>
          <w:highlight w:val="white"/>
        </w:rPr>
        <w:t>m</w:t>
      </w:r>
      <w:r>
        <w:rPr>
          <w:rFonts w:cs="Arial" w:ascii="Arial" w:hAnsi="Arial"/>
          <w:color w:val="222222"/>
          <w:sz w:val="24"/>
          <w:highlight w:val="white"/>
        </w:rPr>
        <w:t>anagement which is known as EV</w:t>
      </w:r>
      <w:r>
        <w:rPr>
          <w:rFonts w:cs="Arial" w:ascii="Arial" w:hAnsi="Arial"/>
          <w:color w:val="222222"/>
          <w:sz w:val="24"/>
          <w:highlight w:val="white"/>
        </w:rPr>
        <w:t>M</w:t>
      </w:r>
      <w:r>
        <w:rPr>
          <w:rFonts w:cs="Arial" w:ascii="Arial" w:hAnsi="Arial"/>
          <w:color w:val="222222"/>
          <w:sz w:val="24"/>
          <w:highlight w:val="white"/>
        </w:rPr>
        <w:t xml:space="preserve">, </w:t>
      </w:r>
      <w:r>
        <w:rPr>
          <w:rFonts w:cs="Arial" w:ascii="Arial" w:hAnsi="Arial"/>
          <w:color w:val="222222"/>
          <w:sz w:val="24"/>
          <w:highlight w:val="white"/>
        </w:rPr>
        <w:t>a</w:t>
      </w:r>
      <w:r>
        <w:rPr>
          <w:rFonts w:cs="Arial" w:ascii="Arial" w:hAnsi="Arial"/>
          <w:color w:val="222222"/>
          <w:sz w:val="24"/>
          <w:highlight w:val="white"/>
        </w:rPr>
        <w:t xml:space="preserve">bsorption </w:t>
      </w:r>
      <w:r>
        <w:rPr>
          <w:rFonts w:cs="Arial" w:ascii="Arial" w:hAnsi="Arial"/>
          <w:color w:val="222222"/>
          <w:sz w:val="24"/>
          <w:highlight w:val="white"/>
        </w:rPr>
        <w:t>c</w:t>
      </w:r>
      <w:r>
        <w:rPr>
          <w:rFonts w:cs="Arial" w:ascii="Arial" w:hAnsi="Arial"/>
          <w:color w:val="222222"/>
          <w:sz w:val="24"/>
          <w:highlight w:val="white"/>
        </w:rPr>
        <w:t xml:space="preserve">osting and </w:t>
      </w:r>
      <w:r>
        <w:rPr>
          <w:rFonts w:cs="Arial" w:ascii="Arial" w:hAnsi="Arial"/>
          <w:color w:val="222222"/>
          <w:sz w:val="24"/>
          <w:highlight w:val="white"/>
        </w:rPr>
        <w:t>m</w:t>
      </w:r>
      <w:r>
        <w:rPr>
          <w:rFonts w:cs="Arial" w:ascii="Arial" w:hAnsi="Arial"/>
          <w:color w:val="222222"/>
          <w:sz w:val="24"/>
          <w:highlight w:val="white"/>
        </w:rPr>
        <w:t xml:space="preserve">arginal </w:t>
      </w:r>
      <w:r>
        <w:rPr>
          <w:rFonts w:cs="Arial" w:ascii="Arial" w:hAnsi="Arial"/>
          <w:color w:val="222222"/>
          <w:sz w:val="24"/>
          <w:highlight w:val="white"/>
        </w:rPr>
        <w:t>c</w:t>
      </w:r>
      <w:r>
        <w:rPr>
          <w:rFonts w:cs="Arial" w:ascii="Arial" w:hAnsi="Arial"/>
          <w:color w:val="222222"/>
          <w:sz w:val="24"/>
          <w:highlight w:val="white"/>
        </w:rPr>
        <w:t xml:space="preserve">osting which all vary in accuracy and tie costs to activities and overheads differently. </w:t>
      </w:r>
      <w:r>
        <w:rPr>
          <w:rFonts w:cs="Arial" w:ascii="Arial" w:hAnsi="Arial"/>
          <w:color w:val="222222"/>
          <w:sz w:val="24"/>
          <w:highlight w:val="white"/>
        </w:rPr>
        <w:t>There are benefits and drawbacks to each method, and different businesses will have different needs so w</w:t>
      </w:r>
      <w:r>
        <w:rPr>
          <w:rFonts w:cs="Arial" w:ascii="Arial" w:hAnsi="Arial"/>
          <w:color w:val="222222"/>
          <w:sz w:val="24"/>
          <w:highlight w:val="white"/>
        </w:rPr>
        <w:t xml:space="preserve">hen deciding which costing methods to use, businesses must assess all methods and look at how they could use the chosen methods to apply to their business.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5" w:name="__RefHeading___Toc4270_2163752267"/>
      <w:bookmarkStart w:id="6" w:name="_Toc115682912"/>
      <w:bookmarkEnd w:id="5"/>
      <w:r>
        <w:rPr/>
        <w:t>Main Findings</w:t>
      </w:r>
      <w:bookmarkEnd w:id="6"/>
    </w:p>
    <w:p>
      <w:pPr>
        <w:pStyle w:val="Normal"/>
        <w:rPr/>
      </w:pPr>
      <w:r>
        <w:rPr>
          <w:rFonts w:ascii="Arial" w:hAnsi="Arial"/>
          <w:sz w:val="24"/>
        </w:rPr>
        <w:t xml:space="preserve">When looking at the traditional costing methods, it is more seen as giving a service to the cost units that are available, as opposed to the ABC method which sees the cost of overheads as a result of the amount of activity they produce </w:t>
      </w:r>
      <w:r>
        <w:rPr>
          <w:rFonts w:ascii="Arial" w:hAnsi="Arial"/>
          <w:sz w:val="24"/>
        </w:rPr>
        <w:t xml:space="preserve">(Atrill and Mclaney, 2015, pp.149–150). </w:t>
      </w:r>
      <w:r>
        <w:rPr>
          <w:rFonts w:ascii="Arial" w:hAnsi="Arial"/>
          <w:sz w:val="24"/>
        </w:rPr>
        <w:t xml:space="preserve">This means that </w:t>
      </w:r>
      <w:r>
        <w:rPr>
          <w:rFonts w:ascii="Arial" w:hAnsi="Arial"/>
          <w:sz w:val="24"/>
        </w:rPr>
        <w:t>while the traditional method is low cost and effort to maintain,</w:t>
      </w:r>
      <w:r>
        <w:rPr>
          <w:rFonts w:ascii="Arial" w:hAnsi="Arial"/>
          <w:sz w:val="24"/>
        </w:rPr>
        <w:t xml:space="preserve"> the ABC method more accurately assigns costs to overheads based on the </w:t>
      </w:r>
      <w:r>
        <w:rPr>
          <w:rFonts w:ascii="Arial" w:hAnsi="Arial"/>
          <w:sz w:val="24"/>
        </w:rPr>
        <w:t xml:space="preserve">activities and products, as opposed to evenly spreading overhead costs across all departments. </w:t>
      </w:r>
      <w:r>
        <w:rPr>
          <w:rFonts w:ascii="Arial" w:hAnsi="Arial"/>
          <w:sz w:val="24"/>
        </w:rPr>
        <w:t xml:space="preserve">Quesado and Silva, 2021, show that there has been a growing number of articles relating to the use of ABC, which shows how its grown in popularity among businesses and it has been recognised as a better alternative to the traditional costing methods as a result of rising overheads and the nature of a fast changing business environment in the modern day. Saeed, Widyaningsih and Khaled, 2023 </w:t>
      </w:r>
      <w:r>
        <w:rPr>
          <w:rFonts w:ascii="Arial" w:hAnsi="Arial"/>
          <w:sz w:val="24"/>
        </w:rPr>
        <w:t xml:space="preserve">conducted research into the use of ABC in the manufacturing industry over the last 10 years and found that the benefits of using the ABC method are vast, from cost reductions and resource saving to increase profits to increases in output quality. </w:t>
      </w:r>
      <w:r>
        <w:rPr>
          <w:rFonts w:ascii="Arial" w:hAnsi="Arial"/>
          <w:sz w:val="24"/>
        </w:rPr>
        <w:t xml:space="preserve">In recent time some researchers and businesses have also looked into leveraging AI in the ABC costing method for multiple purposes, including finding environmental cost drivers allowing the business to assess energy consumption, making the method more modern and creating new versions of it (Chen, 2025). </w:t>
      </w:r>
      <w:r>
        <w:rPr>
          <w:rFonts w:ascii="Arial" w:hAnsi="Arial"/>
          <w:sz w:val="24"/>
        </w:rPr>
        <w:t xml:space="preserve">Due to the business environment being very fast acting and highly demanding, ABC has been implemented by many industries in many different departments. It has </w:t>
      </w:r>
      <w:r>
        <w:rPr>
          <w:rFonts w:ascii="Arial" w:hAnsi="Arial"/>
          <w:sz w:val="24"/>
        </w:rPr>
        <w:t>even</w:t>
      </w:r>
      <w:r>
        <w:rPr>
          <w:rFonts w:ascii="Arial" w:hAnsi="Arial"/>
          <w:sz w:val="24"/>
        </w:rPr>
        <w:t xml:space="preserve"> been used in the management of costs for the design and development of machined parts due to the life expectancy of products being shortened, </w:t>
      </w:r>
      <w:r>
        <w:rPr>
          <w:rFonts w:ascii="Arial" w:hAnsi="Arial"/>
          <w:sz w:val="24"/>
        </w:rPr>
        <w:t>even in manufacturing</w:t>
      </w:r>
      <w:r>
        <w:rPr>
          <w:rFonts w:ascii="Arial" w:hAnsi="Arial"/>
          <w:sz w:val="24"/>
        </w:rPr>
        <w:t xml:space="preserve"> </w:t>
      </w:r>
      <w:r>
        <w:rPr>
          <w:rFonts w:ascii="Arial" w:hAnsi="Arial"/>
          <w:sz w:val="24"/>
        </w:rPr>
        <w:t>(Ben-Arieh and Qian, 2003).</w:t>
      </w:r>
      <w:r>
        <w:rPr>
          <w:rFonts w:ascii="Arial" w:hAnsi="Arial"/>
          <w:sz w:val="24"/>
        </w:rPr>
        <w:t xml:space="preserve"> </w:t>
      </w:r>
      <w:r>
        <w:rPr>
          <w:rFonts w:ascii="Arial" w:hAnsi="Arial"/>
          <w:sz w:val="24"/>
        </w:rPr>
        <w:t xml:space="preserve">This could result in the method being more expensive to implement however could also make it easier to use, and would allow businesses to adapt further with the digital era and remain competitive in a large market. </w:t>
      </w:r>
    </w:p>
    <w:p>
      <w:pPr>
        <w:pStyle w:val="Normal"/>
        <w:rPr>
          <w:rFonts w:ascii="Arial" w:hAnsi="Arial"/>
          <w:sz w:val="24"/>
        </w:rPr>
      </w:pPr>
      <w:r>
        <w:rPr>
          <w:rFonts w:ascii="Arial" w:hAnsi="Arial"/>
          <w:sz w:val="24"/>
        </w:rPr>
      </w:r>
    </w:p>
    <w:p>
      <w:pPr>
        <w:pStyle w:val="Normal"/>
        <w:rPr>
          <w:rFonts w:ascii="Arial" w:hAnsi="Arial"/>
        </w:rPr>
      </w:pPr>
      <w:r>
        <w:rPr>
          <w:rFonts w:ascii="Arial" w:hAnsi="Arial"/>
          <w:sz w:val="24"/>
        </w:rPr>
        <w:t>W</w:t>
      </w:r>
      <w:r>
        <w:rPr>
          <w:rFonts w:ascii="Arial" w:hAnsi="Arial"/>
          <w:sz w:val="24"/>
        </w:rPr>
        <w:t xml:space="preserve">hile there are many benefits of using the ABC method, there are some limitations that need to be considered. </w:t>
      </w:r>
      <w:r>
        <w:rPr>
          <w:rFonts w:ascii="Arial" w:hAnsi="Arial"/>
          <w:sz w:val="24"/>
        </w:rPr>
        <w:t xml:space="preserve">It has been found to be challenging to implement for some businesses, especially for smaller ones with poor management or businesses that did not consider the cost of implementation which scrapped the method after attempting to implement it (Gosselin, 2006). This could be due to it being a more complex method when compared to the traditional costing methods that were previously mentioned. </w:t>
      </w:r>
      <w:r>
        <w:rPr>
          <w:rFonts w:ascii="Arial" w:hAnsi="Arial"/>
          <w:sz w:val="24"/>
        </w:rPr>
        <w:t xml:space="preserve">This is further reinforced by Hasan (2017) who undertook research in Jordan to find out why the implementation rate was only 3.5%, and found that it was due to the method being costly not only in regards to money but also being time consuming. For these companies it can be a big change, especially in a fast business environment where an alternative method may become a more viable option. </w:t>
      </w:r>
      <w:r>
        <w:rPr>
          <w:rFonts w:ascii="Arial" w:hAnsi="Arial"/>
          <w:sz w:val="24"/>
        </w:rPr>
        <w:t xml:space="preserve">While it was previously noted that there have been an increase in articles regarding ABC, there are other journals that have noted a decrease in the use of this method in place of other methods by businesses in recent times (Fito, Llobet and Cuguero, 2018). This strengthens the idea of businesses, both big and small, considering multiple methods before settling on one. </w:t>
      </w:r>
      <w:r>
        <w:rPr>
          <w:rFonts w:ascii="Arial" w:hAnsi="Arial"/>
          <w:sz w:val="24"/>
        </w:rPr>
        <w:t xml:space="preserve">Based on the previous studies, it is apparent that if the business has the resources to initially implement and maintain the ABC method, it can be very effective at accurately </w:t>
      </w:r>
      <w:r>
        <w:rPr>
          <w:rFonts w:ascii="Arial" w:hAnsi="Arial"/>
          <w:sz w:val="24"/>
        </w:rPr>
        <w:t xml:space="preserve">allocating costs based on actual activity, however if not then it may be better to consider alternatives. </w:t>
      </w:r>
    </w:p>
    <w:p>
      <w:pPr>
        <w:pStyle w:val="Normal"/>
        <w:rPr>
          <w:rFonts w:ascii="Arial" w:hAnsi="Arial"/>
          <w:sz w:val="24"/>
        </w:rPr>
      </w:pPr>
      <w:r>
        <w:rPr>
          <w:rFonts w:ascii="Arial" w:hAnsi="Arial"/>
          <w:sz w:val="24"/>
        </w:rPr>
      </w:r>
    </w:p>
    <w:p>
      <w:pPr>
        <w:pStyle w:val="Normal"/>
        <w:rPr/>
      </w:pPr>
      <w:r>
        <w:rPr>
          <w:rFonts w:ascii="Arial" w:hAnsi="Arial"/>
          <w:sz w:val="24"/>
        </w:rPr>
        <w:t>W</w:t>
      </w:r>
      <w:r>
        <w:rPr>
          <w:rFonts w:ascii="Arial" w:hAnsi="Arial"/>
          <w:sz w:val="24"/>
        </w:rPr>
        <w:t xml:space="preserve">hile ABC is about assessing operational costs and assigning them, </w:t>
      </w:r>
      <w:r>
        <w:rPr>
          <w:rFonts w:ascii="Arial" w:hAnsi="Arial"/>
          <w:sz w:val="24"/>
        </w:rPr>
        <w:t>e</w:t>
      </w:r>
      <w:r>
        <w:rPr>
          <w:rFonts w:ascii="Arial" w:hAnsi="Arial"/>
          <w:sz w:val="24"/>
        </w:rPr>
        <w:t xml:space="preserve">arned </w:t>
      </w:r>
      <w:r>
        <w:rPr>
          <w:rFonts w:ascii="Arial" w:hAnsi="Arial"/>
          <w:sz w:val="24"/>
        </w:rPr>
        <w:t>v</w:t>
      </w:r>
      <w:r>
        <w:rPr>
          <w:rFonts w:ascii="Arial" w:hAnsi="Arial"/>
          <w:sz w:val="24"/>
        </w:rPr>
        <w:t xml:space="preserve">alue </w:t>
      </w:r>
      <w:r>
        <w:rPr>
          <w:rFonts w:ascii="Arial" w:hAnsi="Arial"/>
          <w:sz w:val="24"/>
        </w:rPr>
        <w:t>m</w:t>
      </w:r>
      <w:r>
        <w:rPr>
          <w:rFonts w:ascii="Arial" w:hAnsi="Arial"/>
          <w:sz w:val="24"/>
        </w:rPr>
        <w:t xml:space="preserve">anagement tracks project performance and scheduled costs for work completed by specific times. </w:t>
      </w:r>
      <w:r>
        <w:rPr>
          <w:rFonts w:ascii="Arial" w:hAnsi="Arial"/>
          <w:sz w:val="24"/>
        </w:rPr>
        <w:t xml:space="preserve">Earned </w:t>
      </w:r>
      <w:r>
        <w:rPr>
          <w:rFonts w:ascii="Arial" w:hAnsi="Arial"/>
          <w:sz w:val="24"/>
        </w:rPr>
        <w:t>v</w:t>
      </w:r>
      <w:r>
        <w:rPr>
          <w:rFonts w:ascii="Arial" w:hAnsi="Arial"/>
          <w:sz w:val="24"/>
        </w:rPr>
        <w:t xml:space="preserve">alue </w:t>
      </w:r>
      <w:r>
        <w:rPr>
          <w:rFonts w:ascii="Arial" w:hAnsi="Arial"/>
          <w:sz w:val="24"/>
        </w:rPr>
        <w:t>m</w:t>
      </w:r>
      <w:r>
        <w:rPr>
          <w:rFonts w:ascii="Arial" w:hAnsi="Arial"/>
          <w:sz w:val="24"/>
        </w:rPr>
        <w:t xml:space="preserve">anagement consists of looking at all activities, not just critical, and assessing the costs, requirements and the schedules of each in order to predict cost variations and schedule variations </w:t>
      </w:r>
      <w:r>
        <w:rPr>
          <w:rFonts w:ascii="Arial" w:hAnsi="Arial"/>
          <w:sz w:val="24"/>
        </w:rPr>
        <w:t xml:space="preserve">(Mayo-Alvarez et al., 2022). By looking at the variances, businesses can accurately see if a project is ahead or behind schedule, and not only allows them to investigate the reasons behind it, but lets them predict the future of projects and if further attention is required in order to complete them. </w:t>
      </w:r>
      <w:r>
        <w:rPr>
          <w:rFonts w:ascii="Arial" w:hAnsi="Arial"/>
          <w:sz w:val="24"/>
        </w:rPr>
        <w:t>EVM is crucial for project control and the actual p</w:t>
      </w:r>
      <w:r>
        <w:rPr>
          <w:rFonts w:ascii="Arial" w:hAnsi="Arial"/>
          <w:sz w:val="24"/>
        </w:rPr>
        <w:t>redicti</w:t>
      </w:r>
      <w:r>
        <w:rPr>
          <w:rFonts w:ascii="Arial" w:hAnsi="Arial"/>
          <w:sz w:val="24"/>
        </w:rPr>
        <w:t>on of</w:t>
      </w:r>
      <w:r>
        <w:rPr>
          <w:rFonts w:ascii="Arial" w:hAnsi="Arial"/>
          <w:sz w:val="24"/>
        </w:rPr>
        <w:t xml:space="preserve"> future projects consists of looking at the budget of the planned projects, </w:t>
      </w:r>
      <w:r>
        <w:rPr>
          <w:rFonts w:ascii="Arial" w:hAnsi="Arial"/>
          <w:sz w:val="24"/>
        </w:rPr>
        <w:t xml:space="preserve">the earned value of each specific activity, and the actual costs of each of the activities in order to find the cost variance (Soltan and Ashrafi, 2020). This is great for businesses in fast changing environments as it allows some form of predictability, and means that comparisons to other businesses current projects allows them to predict the success of their product or service. </w:t>
      </w:r>
    </w:p>
    <w:p>
      <w:pPr>
        <w:pStyle w:val="Normal"/>
        <w:rPr>
          <w:rFonts w:ascii="Arial" w:hAnsi="Arial"/>
          <w:sz w:val="24"/>
        </w:rPr>
      </w:pPr>
      <w:r>
        <w:rPr>
          <w:rFonts w:ascii="Arial" w:hAnsi="Arial"/>
          <w:sz w:val="24"/>
        </w:rPr>
      </w:r>
    </w:p>
    <w:p>
      <w:pPr>
        <w:pStyle w:val="Normal"/>
        <w:rPr/>
      </w:pPr>
      <w:r>
        <w:rPr>
          <w:rFonts w:ascii="Arial" w:hAnsi="Arial"/>
          <w:sz w:val="24"/>
        </w:rPr>
        <w:t xml:space="preserve">The benefits of </w:t>
      </w:r>
      <w:r>
        <w:rPr>
          <w:rFonts w:ascii="Arial" w:hAnsi="Arial"/>
          <w:sz w:val="24"/>
        </w:rPr>
        <w:t>e</w:t>
      </w:r>
      <w:r>
        <w:rPr>
          <w:rFonts w:ascii="Arial" w:hAnsi="Arial"/>
          <w:sz w:val="24"/>
        </w:rPr>
        <w:t xml:space="preserve">arned </w:t>
      </w:r>
      <w:r>
        <w:rPr>
          <w:rFonts w:ascii="Arial" w:hAnsi="Arial"/>
          <w:sz w:val="24"/>
        </w:rPr>
        <w:t>v</w:t>
      </w:r>
      <w:r>
        <w:rPr>
          <w:rFonts w:ascii="Arial" w:hAnsi="Arial"/>
          <w:sz w:val="24"/>
        </w:rPr>
        <w:t xml:space="preserve">alue </w:t>
      </w:r>
      <w:r>
        <w:rPr>
          <w:rFonts w:ascii="Arial" w:hAnsi="Arial"/>
          <w:sz w:val="24"/>
        </w:rPr>
        <w:t>m</w:t>
      </w:r>
      <w:r>
        <w:rPr>
          <w:rFonts w:ascii="Arial" w:hAnsi="Arial"/>
          <w:sz w:val="24"/>
        </w:rPr>
        <w:t xml:space="preserve">anagement are great for any business as it allows not only the business itself, but stakeholders to see the potential of projects. </w:t>
      </w:r>
      <w:r>
        <w:rPr>
          <w:rFonts w:ascii="Arial" w:hAnsi="Arial"/>
          <w:sz w:val="24"/>
        </w:rPr>
        <w:t xml:space="preserve">Managers are able to see if problems will occur with projects, and allows them to intervene by allowing more money or resources to go into the project, and conversely allows them to see if projects are performing above expectations and will be ahead of schedule </w:t>
      </w:r>
      <w:r>
        <w:rPr>
          <w:rFonts w:ascii="Arial" w:hAnsi="Arial"/>
          <w:sz w:val="24"/>
        </w:rPr>
        <w:t xml:space="preserve">(Stone, 2023). </w:t>
      </w:r>
      <w:r>
        <w:rPr>
          <w:rFonts w:ascii="Arial" w:hAnsi="Arial"/>
          <w:sz w:val="24"/>
        </w:rPr>
        <w:t xml:space="preserve">This is supported by other research into the use of </w:t>
      </w:r>
      <w:r>
        <w:rPr>
          <w:rFonts w:ascii="Arial" w:hAnsi="Arial"/>
          <w:sz w:val="24"/>
        </w:rPr>
        <w:t>e</w:t>
      </w:r>
      <w:r>
        <w:rPr>
          <w:rFonts w:ascii="Arial" w:hAnsi="Arial"/>
          <w:sz w:val="24"/>
        </w:rPr>
        <w:t xml:space="preserve">arned </w:t>
      </w:r>
      <w:r>
        <w:rPr>
          <w:rFonts w:ascii="Arial" w:hAnsi="Arial"/>
          <w:sz w:val="24"/>
        </w:rPr>
        <w:t>v</w:t>
      </w:r>
      <w:r>
        <w:rPr>
          <w:rFonts w:ascii="Arial" w:hAnsi="Arial"/>
          <w:sz w:val="24"/>
        </w:rPr>
        <w:t xml:space="preserve">alue </w:t>
      </w:r>
      <w:r>
        <w:rPr>
          <w:rFonts w:ascii="Arial" w:hAnsi="Arial"/>
          <w:sz w:val="24"/>
        </w:rPr>
        <w:t>m</w:t>
      </w:r>
      <w:r>
        <w:rPr>
          <w:rFonts w:ascii="Arial" w:hAnsi="Arial"/>
          <w:sz w:val="24"/>
        </w:rPr>
        <w:t xml:space="preserve">anagement in construction companies, where the companies that used EVM saw a clear improvement in project anticipation </w:t>
      </w:r>
      <w:r>
        <w:rPr>
          <w:rFonts w:ascii="Arial" w:hAnsi="Arial"/>
          <w:sz w:val="24"/>
        </w:rPr>
        <w:t xml:space="preserve">and communication by having defined scope and schedules by clearly showing the current state of a project and where it is predicted to end up (Teixeira et al., 2020). Hunter, Fitzgerald and Barlow (2014) </w:t>
      </w:r>
      <w:r>
        <w:rPr>
          <w:rFonts w:ascii="Arial" w:hAnsi="Arial"/>
          <w:sz w:val="24"/>
        </w:rPr>
        <w:t xml:space="preserve">looked at how EVM was used in Radiation Belt Storm Probes for NASA, and found that while some find that the method causes inessential costs and management, when compared to the previously stated benefits they are minute and the use of EVM was beneficial. Nizam and Elshannaway (2019) </w:t>
      </w:r>
      <w:r>
        <w:rPr>
          <w:rFonts w:ascii="Arial" w:hAnsi="Arial"/>
          <w:sz w:val="24"/>
        </w:rPr>
        <w:t xml:space="preserve">suggests that there are a few limitations of using EVM besides the claims that it is an unnecessary cost, such as the assumption that every task is independent when in reality the result of some tasks may have a knock on effect on others, it does not consider a range of outcomes meaning it cannot be predicted accurately, and that it cannot accurately tell the difference between valuable work and non valuable work. </w:t>
      </w:r>
      <w:r>
        <w:rPr>
          <w:rFonts w:ascii="Arial" w:hAnsi="Arial"/>
          <w:sz w:val="24"/>
        </w:rPr>
        <w:t xml:space="preserve">This however could be argued in 2025 through the development of EVM using AI and machine learning in order to collect and anlyse data, provide more accurate predictions and also give insight into decision making for the business (Battula, Pydi and Paul, 2025). The idea is that machine learning is used alongside humans and not as a replacement, in order to improve communication with stakeholders, handle large amounts of data easily in order to predict projects with a greater deal of accuracy in a business environment that is constantly changing and evolving (Battula, Pydi and Paul, 2025). </w:t>
      </w:r>
      <w:r>
        <w:rPr>
          <w:rFonts w:ascii="Arial" w:hAnsi="Arial"/>
          <w:sz w:val="24"/>
        </w:rPr>
        <w:t xml:space="preserve"> </w:t>
      </w:r>
      <w:r>
        <w:rPr>
          <w:rFonts w:ascii="Arial" w:hAnsi="Arial"/>
          <w:sz w:val="24"/>
        </w:rPr>
        <w:t xml:space="preserve">It is clear that there are both benefits and drawbacks to both </w:t>
      </w:r>
      <w:r>
        <w:rPr>
          <w:rFonts w:ascii="Arial" w:hAnsi="Arial"/>
          <w:sz w:val="24"/>
        </w:rPr>
        <w:t>a</w:t>
      </w:r>
      <w:r>
        <w:rPr>
          <w:rFonts w:ascii="Arial" w:hAnsi="Arial"/>
          <w:sz w:val="24"/>
        </w:rPr>
        <w:t xml:space="preserve">ctivity </w:t>
      </w:r>
      <w:r>
        <w:rPr>
          <w:rFonts w:ascii="Arial" w:hAnsi="Arial"/>
          <w:sz w:val="24"/>
        </w:rPr>
        <w:t>b</w:t>
      </w:r>
      <w:r>
        <w:rPr>
          <w:rFonts w:ascii="Arial" w:hAnsi="Arial"/>
          <w:sz w:val="24"/>
        </w:rPr>
        <w:t xml:space="preserve">ased </w:t>
      </w:r>
      <w:r>
        <w:rPr>
          <w:rFonts w:ascii="Arial" w:hAnsi="Arial"/>
          <w:sz w:val="24"/>
        </w:rPr>
        <w:t>c</w:t>
      </w:r>
      <w:r>
        <w:rPr>
          <w:rFonts w:ascii="Arial" w:hAnsi="Arial"/>
          <w:sz w:val="24"/>
        </w:rPr>
        <w:t xml:space="preserve">osting and </w:t>
      </w:r>
      <w:r>
        <w:rPr>
          <w:rFonts w:ascii="Arial" w:hAnsi="Arial"/>
          <w:sz w:val="24"/>
        </w:rPr>
        <w:t>e</w:t>
      </w:r>
      <w:r>
        <w:rPr>
          <w:rFonts w:ascii="Arial" w:hAnsi="Arial"/>
          <w:sz w:val="24"/>
        </w:rPr>
        <w:t xml:space="preserve">arned </w:t>
      </w:r>
      <w:r>
        <w:rPr>
          <w:rFonts w:ascii="Arial" w:hAnsi="Arial"/>
          <w:sz w:val="24"/>
        </w:rPr>
        <w:t>v</w:t>
      </w:r>
      <w:r>
        <w:rPr>
          <w:rFonts w:ascii="Arial" w:hAnsi="Arial"/>
          <w:sz w:val="24"/>
        </w:rPr>
        <w:t xml:space="preserve">alue </w:t>
      </w:r>
      <w:r>
        <w:rPr>
          <w:rFonts w:ascii="Arial" w:hAnsi="Arial"/>
          <w:sz w:val="24"/>
        </w:rPr>
        <w:t>m</w:t>
      </w:r>
      <w:r>
        <w:rPr>
          <w:rFonts w:ascii="Arial" w:hAnsi="Arial"/>
          <w:sz w:val="24"/>
        </w:rPr>
        <w:t xml:space="preserve">anagement, and businesses must assess not only if the method is good for them, but if they have resources available to implement them. </w:t>
      </w:r>
      <w:r>
        <w:rPr>
          <w:rFonts w:ascii="Arial" w:hAnsi="Arial"/>
          <w:sz w:val="24"/>
        </w:rPr>
        <w:t xml:space="preserve">They could be used together to manage costs and predict project performance if used effectively. </w:t>
      </w:r>
    </w:p>
    <w:p>
      <w:pPr>
        <w:pStyle w:val="Normal"/>
        <w:rPr>
          <w:rFonts w:ascii="Arial" w:hAnsi="Arial"/>
          <w:sz w:val="24"/>
        </w:rPr>
      </w:pPr>
      <w:r>
        <w:rPr/>
      </w:r>
    </w:p>
    <w:p>
      <w:pPr>
        <w:pStyle w:val="Normal"/>
        <w:rPr/>
      </w:pPr>
      <w:bookmarkStart w:id="7" w:name="_Toc115682913"/>
      <w:r>
        <w:rPr>
          <w:rFonts w:ascii="Arial" w:hAnsi="Arial"/>
          <w:sz w:val="24"/>
        </w:rPr>
        <w:t>I</w:t>
      </w:r>
      <w:r>
        <w:rPr>
          <w:rFonts w:ascii="Arial" w:hAnsi="Arial"/>
          <w:sz w:val="24"/>
        </w:rPr>
        <w:t xml:space="preserve">n addition to ABC and EVM methods, companies will use costing methods such as absorption costing and marginal costing to value inventories and for profit calculations. </w:t>
      </w:r>
      <w:r>
        <w:rPr>
          <w:rFonts w:ascii="Arial" w:hAnsi="Arial"/>
          <w:sz w:val="24"/>
        </w:rPr>
        <w:t xml:space="preserve">Absorption costing treats all expenses, both fixed and variable, as production costs and assigns portions of the overheads to each unit </w:t>
      </w:r>
      <w:r>
        <w:rPr>
          <w:rFonts w:ascii="Arial" w:hAnsi="Arial"/>
          <w:sz w:val="24"/>
          <w:szCs w:val="24"/>
        </w:rPr>
        <w:t>(</w:t>
      </w:r>
      <w:r>
        <w:rPr>
          <w:rFonts w:ascii="Arial" w:hAnsi="Arial"/>
          <w:b w:val="false"/>
          <w:i w:val="false"/>
          <w:caps w:val="false"/>
          <w:smallCaps w:val="false"/>
          <w:color w:val="000000"/>
          <w:spacing w:val="0"/>
          <w:sz w:val="24"/>
          <w:szCs w:val="24"/>
        </w:rPr>
        <w:t xml:space="preserve">Aurora, B.B.C., 2013), whereas </w:t>
      </w:r>
      <w:r>
        <w:rPr>
          <w:rFonts w:ascii="Arial" w:hAnsi="Arial"/>
          <w:b w:val="false"/>
          <w:i w:val="false"/>
          <w:caps w:val="false"/>
          <w:smallCaps w:val="false"/>
          <w:color w:val="000000"/>
          <w:spacing w:val="0"/>
          <w:sz w:val="24"/>
          <w:szCs w:val="24"/>
        </w:rPr>
        <w:t>for inventory valuation</w:t>
      </w:r>
      <w:r>
        <w:rPr>
          <w:rFonts w:ascii="Arial" w:hAnsi="Arial"/>
          <w:b w:val="false"/>
          <w:i w:val="false"/>
          <w:caps w:val="false"/>
          <w:smallCaps w:val="false"/>
          <w:color w:val="000000"/>
          <w:spacing w:val="0"/>
          <w:sz w:val="24"/>
          <w:szCs w:val="24"/>
        </w:rPr>
        <w:t xml:space="preserve"> marginal costing only assigns variable costs to a unit such as direct labour (Offenbacker, S. 2004). </w:t>
      </w:r>
      <w:r>
        <w:rPr>
          <w:rFonts w:ascii="Arial" w:hAnsi="Arial"/>
          <w:b w:val="false"/>
          <w:i w:val="false"/>
          <w:caps w:val="false"/>
          <w:smallCaps w:val="false"/>
          <w:color w:val="000000"/>
          <w:spacing w:val="0"/>
          <w:sz w:val="24"/>
          <w:szCs w:val="24"/>
        </w:rPr>
        <w:t xml:space="preserve">This would allow the business to find the minimum price for their products and allow them to analyse the profitability of the product. </w:t>
      </w:r>
      <w:r>
        <w:rPr>
          <w:rFonts w:ascii="Arial" w:hAnsi="Arial"/>
          <w:b w:val="false"/>
          <w:i w:val="false"/>
          <w:caps w:val="false"/>
          <w:smallCaps w:val="false"/>
          <w:color w:val="000000"/>
          <w:spacing w:val="0"/>
          <w:sz w:val="24"/>
          <w:szCs w:val="24"/>
        </w:rPr>
        <w:t xml:space="preserve">Research has shown that many managers of businesses have different preferences, for example, it has been found that marginal costing can be effective when looking at short term due to its separation of fixed and variable costs, whereas absorption costing can provide a more stable income due to both fixed and variable costs being absorbed into the product costs (Bhimani and Christianto, 2023). </w:t>
      </w:r>
      <w:r>
        <w:rPr>
          <w:rFonts w:ascii="Arial" w:hAnsi="Arial"/>
          <w:b w:val="false"/>
          <w:i w:val="false"/>
          <w:caps w:val="false"/>
          <w:smallCaps w:val="false"/>
          <w:color w:val="000000"/>
          <w:spacing w:val="0"/>
          <w:sz w:val="24"/>
          <w:szCs w:val="24"/>
        </w:rPr>
        <w:t>This source has also found that after interviewing managers, some prefer marginal costing in spite of its difficulty of implementation due to its effectiveness of viewing cost behaviours and allocating resources especially in a fast changing environment, whereas others use absorption because it meets accounting standards and provides a</w:t>
      </w:r>
      <w:r>
        <w:rPr>
          <w:rFonts w:ascii="Arial" w:hAnsi="Arial"/>
          <w:b w:val="false"/>
          <w:i w:val="false"/>
          <w:caps w:val="false"/>
          <w:smallCaps w:val="false"/>
          <w:color w:val="000000"/>
          <w:spacing w:val="0"/>
          <w:sz w:val="24"/>
          <w:szCs w:val="24"/>
        </w:rPr>
        <w:t xml:space="preserve"> more broad view of the costs, however it may make it harder to asses the profitability of specific products </w:t>
      </w:r>
      <w:r>
        <w:rPr>
          <w:rFonts w:ascii="Arial" w:hAnsi="Arial"/>
          <w:b w:val="false"/>
          <w:i w:val="false"/>
          <w:caps w:val="false"/>
          <w:smallCaps w:val="false"/>
          <w:color w:val="000000"/>
          <w:spacing w:val="0"/>
          <w:sz w:val="24"/>
          <w:szCs w:val="24"/>
        </w:rPr>
        <w:t>(Bhimani and Christianto, 2023)</w:t>
      </w:r>
      <w:r>
        <w:rPr>
          <w:rFonts w:ascii="Arial" w:hAnsi="Arial"/>
          <w:b w:val="false"/>
          <w:i w:val="false"/>
          <w:caps w:val="false"/>
          <w:smallCaps w:val="false"/>
          <w:color w:val="000000"/>
          <w:spacing w:val="0"/>
          <w:sz w:val="24"/>
          <w:szCs w:val="24"/>
        </w:rPr>
        <w:t xml:space="preserve">. </w:t>
      </w:r>
      <w:r>
        <w:rPr>
          <w:rFonts w:ascii="Arial" w:hAnsi="Arial"/>
          <w:b w:val="false"/>
          <w:i w:val="false"/>
          <w:caps w:val="false"/>
          <w:smallCaps w:val="false"/>
          <w:color w:val="000000"/>
          <w:spacing w:val="0"/>
          <w:sz w:val="24"/>
          <w:szCs w:val="24"/>
        </w:rPr>
        <w:t xml:space="preserve">There are many companies and industries that use absorption costing, such as the automotive industry, which use it to provide one quantitative unit that can be measured in order to view the effectiveness of their components but also the effectiveness of the trade offs in order to meet sustainability legislations (Jasinski, Meredith and Kirwan, 2015). </w:t>
      </w:r>
      <w:r>
        <w:rPr>
          <w:rFonts w:ascii="Arial" w:hAnsi="Arial"/>
          <w:b w:val="false"/>
          <w:i w:val="false"/>
          <w:caps w:val="false"/>
          <w:smallCaps w:val="false"/>
          <w:color w:val="000000"/>
          <w:spacing w:val="0"/>
          <w:sz w:val="24"/>
          <w:szCs w:val="24"/>
        </w:rPr>
        <w:t xml:space="preserve">There are sources </w:t>
      </w:r>
      <w:r>
        <w:rPr>
          <w:rFonts w:ascii="Arial" w:hAnsi="Arial"/>
          <w:b w:val="false"/>
          <w:i w:val="false"/>
          <w:caps w:val="false"/>
          <w:smallCaps w:val="false"/>
          <w:color w:val="000000"/>
          <w:spacing w:val="0"/>
          <w:sz w:val="24"/>
          <w:szCs w:val="24"/>
        </w:rPr>
        <w:t xml:space="preserve">that explain why some managers </w:t>
      </w:r>
      <w:r>
        <w:rPr>
          <w:rFonts w:ascii="Arial" w:hAnsi="Arial"/>
          <w:b w:val="false"/>
          <w:i w:val="false"/>
          <w:caps w:val="false"/>
          <w:smallCaps w:val="false"/>
          <w:color w:val="000000"/>
          <w:spacing w:val="0"/>
          <w:sz w:val="24"/>
          <w:szCs w:val="24"/>
        </w:rPr>
        <w:t xml:space="preserve">support the use of absorption costing, </w:t>
      </w:r>
      <w:r>
        <w:rPr>
          <w:rFonts w:ascii="Arial" w:hAnsi="Arial"/>
          <w:b w:val="false"/>
          <w:i w:val="false"/>
          <w:caps w:val="false"/>
          <w:smallCaps w:val="false"/>
          <w:color w:val="000000"/>
          <w:spacing w:val="0"/>
          <w:sz w:val="24"/>
          <w:szCs w:val="24"/>
        </w:rPr>
        <w:t>especially if they are using cost based pricing</w:t>
      </w:r>
      <w:r>
        <w:rPr>
          <w:rFonts w:ascii="Arial" w:hAnsi="Arial"/>
          <w:b w:val="false"/>
          <w:i w:val="false"/>
          <w:caps w:val="false"/>
          <w:smallCaps w:val="false"/>
          <w:color w:val="000000"/>
          <w:spacing w:val="0"/>
          <w:sz w:val="24"/>
          <w:szCs w:val="24"/>
        </w:rPr>
        <w:t>, such as (Gersil, A. and Kayal, C., 2016), which state</w:t>
      </w:r>
      <w:r>
        <w:rPr>
          <w:rFonts w:ascii="Arial" w:hAnsi="Arial"/>
          <w:b w:val="false"/>
          <w:i w:val="false"/>
          <w:caps w:val="false"/>
          <w:smallCaps w:val="false"/>
          <w:color w:val="000000"/>
          <w:spacing w:val="0"/>
          <w:sz w:val="24"/>
          <w:szCs w:val="24"/>
        </w:rPr>
        <w:t>s</w:t>
      </w:r>
      <w:r>
        <w:rPr>
          <w:rFonts w:ascii="Arial" w:hAnsi="Arial"/>
          <w:b w:val="false"/>
          <w:i w:val="false"/>
          <w:caps w:val="false"/>
          <w:smallCaps w:val="false"/>
          <w:color w:val="000000"/>
          <w:spacing w:val="0"/>
          <w:sz w:val="24"/>
          <w:szCs w:val="24"/>
        </w:rPr>
        <w:t xml:space="preserve"> that businesses like to use absorption costing because it is simpler to have both internal and external evaluations and reports to follow the same format, </w:t>
      </w:r>
      <w:r>
        <w:rPr>
          <w:rFonts w:ascii="Arial" w:hAnsi="Arial"/>
          <w:b w:val="false"/>
          <w:i w:val="false"/>
          <w:caps w:val="false"/>
          <w:smallCaps w:val="false"/>
          <w:color w:val="000000"/>
          <w:spacing w:val="0"/>
          <w:sz w:val="24"/>
          <w:szCs w:val="24"/>
        </w:rPr>
        <w:t>however it could cause overproduction of a product because they may decide to increase production of a product even if there is no demand</w:t>
      </w:r>
      <w:r>
        <w:rPr>
          <w:rFonts w:ascii="Arial" w:hAnsi="Arial"/>
          <w:b w:val="false"/>
          <w:i w:val="false"/>
          <w:caps w:val="false"/>
          <w:smallCaps w:val="false"/>
          <w:color w:val="000000"/>
          <w:spacing w:val="0"/>
          <w:sz w:val="24"/>
          <w:szCs w:val="24"/>
        </w:rPr>
        <w:t xml:space="preserve">. </w:t>
      </w:r>
      <w:r>
        <w:rPr>
          <w:rFonts w:ascii="Arial" w:hAnsi="Arial"/>
          <w:b w:val="false"/>
          <w:i w:val="false"/>
          <w:caps w:val="false"/>
          <w:smallCaps w:val="false"/>
          <w:color w:val="000000"/>
          <w:spacing w:val="0"/>
          <w:sz w:val="24"/>
          <w:szCs w:val="24"/>
        </w:rPr>
        <w:t xml:space="preserve">In contrast to this, many believe that if the variable and fixed costs are both recorded separately, marginal costing is the best method for all management but especially marketing management (Hasan, 2015). in a fast acting environment, which is what is being discussed primarily, marginal costing is very effective. </w:t>
      </w:r>
      <w:r>
        <w:rPr>
          <w:rFonts w:ascii="Arial" w:hAnsi="Arial"/>
          <w:b w:val="false"/>
          <w:i w:val="false"/>
          <w:caps w:val="false"/>
          <w:smallCaps w:val="false"/>
          <w:color w:val="000000"/>
          <w:spacing w:val="0"/>
          <w:sz w:val="24"/>
          <w:szCs w:val="24"/>
        </w:rPr>
        <w:t xml:space="preserve">While some managers could implement both absorption and marginal costing, it seems that there can be room for confusion. </w:t>
      </w:r>
      <w:r>
        <w:rPr>
          <w:rFonts w:ascii="Arial" w:hAnsi="Arial"/>
          <w:b w:val="false"/>
          <w:i w:val="false"/>
          <w:caps w:val="false"/>
          <w:smallCaps w:val="false"/>
          <w:color w:val="000000"/>
          <w:spacing w:val="0"/>
          <w:sz w:val="24"/>
          <w:szCs w:val="24"/>
        </w:rPr>
        <w:t xml:space="preserve">They also look at marginal costing, agreeing with previous sources stating that it is primarily effective for short term decisions in businesses due to its dependence solely on sales, however it is not applicable for external reporting and it can be difficult to tell if a cost is considered a fixed cost or a variable cost </w:t>
      </w:r>
      <w:r>
        <w:rPr>
          <w:rFonts w:ascii="Arial" w:hAnsi="Arial"/>
          <w:b w:val="false"/>
          <w:i w:val="false"/>
          <w:caps w:val="false"/>
          <w:smallCaps w:val="false"/>
          <w:color w:val="000000"/>
          <w:spacing w:val="0"/>
          <w:sz w:val="24"/>
          <w:szCs w:val="24"/>
        </w:rPr>
        <w:t xml:space="preserve">(Gersil, A. and Kayal, C., 2016). </w:t>
      </w:r>
      <w:r>
        <w:rPr>
          <w:rFonts w:ascii="Arial" w:hAnsi="Arial"/>
          <w:b w:val="false"/>
          <w:i w:val="false"/>
          <w:caps w:val="false"/>
          <w:smallCaps w:val="false"/>
          <w:color w:val="000000"/>
          <w:spacing w:val="0"/>
          <w:sz w:val="24"/>
          <w:szCs w:val="24"/>
        </w:rPr>
        <w:t xml:space="preserve">This would suggest that there is lots of sources supporting the idea of using both costing methods together for internal and external reporting, as both have clear advantages and drawbacks that the other somewhat solves. </w:t>
      </w:r>
      <w:r>
        <w:rPr>
          <w:rFonts w:ascii="Arial" w:hAnsi="Arial"/>
          <w:b w:val="false"/>
          <w:i w:val="false"/>
          <w:caps w:val="false"/>
          <w:smallCaps w:val="false"/>
          <w:color w:val="000000"/>
          <w:spacing w:val="0"/>
          <w:sz w:val="24"/>
          <w:szCs w:val="24"/>
        </w:rPr>
        <w:t>The use of either of these methods is very dependent on the goals of the business and the manager’s needs.</w:t>
      </w:r>
      <w:bookmarkEnd w:id="7"/>
    </w:p>
    <w:p>
      <w:pPr>
        <w:pStyle w:val="Heading1"/>
        <w:rPr/>
      </w:pPr>
      <w:bookmarkStart w:id="8" w:name="__RefHeading___Toc4272_2163752267"/>
      <w:bookmarkStart w:id="9" w:name="_Toc115682914"/>
      <w:bookmarkEnd w:id="8"/>
      <w:r>
        <w:rPr/>
        <w:t>Conclusion (average of 10% of word count)</w:t>
      </w:r>
      <w:bookmarkEnd w:id="9"/>
    </w:p>
    <w:p>
      <w:pPr>
        <w:pStyle w:val="Normal"/>
        <w:rPr>
          <w:rFonts w:ascii="Arial" w:hAnsi="Arial"/>
          <w:sz w:val="24"/>
        </w:rPr>
      </w:pPr>
      <w:r>
        <w:rPr>
          <w:rFonts w:ascii="Arial" w:hAnsi="Arial"/>
          <w:sz w:val="24"/>
        </w:rPr>
        <w:t xml:space="preserve">In conclusion, there are definitely many factors to consider in the business environment and it is constantly evolving with different consumer needs, technological advancements such as artificial intelligence which can be incorporated into the methods, and different factors such as environmental and legal factors that are directly affecting businesses. </w:t>
      </w:r>
      <w:r>
        <w:rPr>
          <w:rFonts w:ascii="Arial" w:hAnsi="Arial"/>
          <w:sz w:val="24"/>
        </w:rPr>
        <w:t xml:space="preserve">Businesses are now facing shorter life cycles on products , </w:t>
      </w:r>
      <w:r>
        <w:rPr>
          <w:rFonts w:ascii="Arial" w:hAnsi="Arial"/>
          <w:sz w:val="24"/>
        </w:rPr>
        <w:t>mean</w:t>
      </w:r>
      <w:r>
        <w:rPr>
          <w:rFonts w:ascii="Arial" w:hAnsi="Arial"/>
          <w:sz w:val="24"/>
        </w:rPr>
        <w:t>ing</w:t>
      </w:r>
      <w:r>
        <w:rPr>
          <w:rFonts w:ascii="Arial" w:hAnsi="Arial"/>
          <w:sz w:val="24"/>
        </w:rPr>
        <w:t xml:space="preserve"> that it is imperative that organisations </w:t>
      </w:r>
      <w:r>
        <w:rPr>
          <w:rFonts w:ascii="Arial" w:hAnsi="Arial"/>
          <w:sz w:val="24"/>
        </w:rPr>
        <w:t xml:space="preserve">carefully </w:t>
      </w:r>
      <w:r>
        <w:rPr>
          <w:rFonts w:ascii="Arial" w:hAnsi="Arial"/>
          <w:sz w:val="24"/>
        </w:rPr>
        <w:t xml:space="preserve">consider every possible method for managing key components such as costing and predicting product performance. </w:t>
      </w:r>
      <w:r>
        <w:rPr>
          <w:rFonts w:ascii="Arial" w:hAnsi="Arial"/>
          <w:sz w:val="24"/>
        </w:rPr>
        <w:t xml:space="preserve">Activity based costing has been a topic of discussion in recent time due to its apportionment of overheads based on activity, as opposed to evenly spreading them out across departments which was traditionally done. While there are benefits of using ABC, it can be time consuming for smaller organisations to implement, with only a handful of companies implementing the method in certain areas. However, if the business has the right resources, activity based costing is an effective tool for cost management. When analysing project performance, earned value management is a popular method that predicts the future of a project by looking at planned value and earned value in order to determine if a project is ahead or behind schedule. While there are some limitations, there have been advancements in technology which could be used to further improve the effectiveness of this method and could be a very effective method. With regards to inventory valuation and measurement of profits, absorption costing and marginal costing both have their own merits and faults. Absorption costing is the standard for external reporting due to its method of assigning both fixed and variable costs together to a unit, as opposed to marginal costing which only assigns variable and assigns fixed costs to the period cost. If businesses have the ability, using both methods has been shown to be very effective for internal and external reporting and allows the business to see the wider picture and also be able to make the short term decisions. </w:t>
      </w:r>
    </w:p>
    <w:p>
      <w:pPr>
        <w:pStyle w:val="Heading1"/>
        <w:rPr/>
      </w:pPr>
      <w:bookmarkStart w:id="10" w:name="__RefHeading___Toc4274_2163752267"/>
      <w:bookmarkStart w:id="11" w:name="_Toc115682915"/>
      <w:bookmarkEnd w:id="10"/>
      <w:r>
        <w:rPr/>
        <w:t>Bibliography</w:t>
      </w:r>
      <w:bookmarkEnd w:id="11"/>
    </w:p>
    <w:p>
      <w:pPr>
        <w:pStyle w:val="Normal"/>
        <w:rPr/>
      </w:pPr>
      <w:r>
        <w:rPr/>
      </w:r>
    </w:p>
    <w:p>
      <w:pPr>
        <w:pStyle w:val="TextBody"/>
        <w:spacing w:lineRule="auto" w:line="360" w:before="0" w:after="140"/>
        <w:rPr>
          <w:rFonts w:ascii="Times New Roman" w:hAnsi="Times New Roman"/>
          <w:sz w:val="24"/>
        </w:rPr>
      </w:pPr>
      <w:r>
        <w:rPr>
          <w:rFonts w:ascii="Times New Roman" w:hAnsi="Times New Roman"/>
          <w:sz w:val="24"/>
        </w:rPr>
        <w:t xml:space="preserve">Ankrah, N.A. and Manu, E. (2023). Project Cost Management. </w:t>
      </w:r>
      <w:r>
        <w:rPr>
          <w:rFonts w:ascii="Times New Roman" w:hAnsi="Times New Roman"/>
          <w:i/>
          <w:sz w:val="24"/>
        </w:rPr>
        <w:t>Domain-Specific Bodies of Knowledge in Project Management</w:t>
      </w:r>
      <w:r>
        <w:rPr>
          <w:rFonts w:ascii="Times New Roman" w:hAnsi="Times New Roman"/>
          <w:sz w:val="24"/>
        </w:rPr>
        <w:t>, [online] 3, pp.215–260. doi:https://doi.org/10.1142/9789811224720_0007.</w:t>
      </w:r>
    </w:p>
    <w:p>
      <w:pPr>
        <w:pStyle w:val="TextBody"/>
        <w:spacing w:lineRule="auto" w:line="360" w:before="0" w:after="140"/>
        <w:rPr>
          <w:rFonts w:ascii="Times New Roman" w:hAnsi="Times New Roman"/>
          <w:sz w:val="24"/>
        </w:rPr>
      </w:pPr>
      <w:r>
        <w:rPr>
          <w:rFonts w:ascii="Times New Roman" w:hAnsi="Times New Roman"/>
          <w:sz w:val="24"/>
        </w:rPr>
        <w:t xml:space="preserve">Atrill, P. and Mclaney, E.J. (2015). </w:t>
      </w:r>
      <w:r>
        <w:rPr>
          <w:rFonts w:ascii="Times New Roman" w:hAnsi="Times New Roman"/>
          <w:i/>
          <w:sz w:val="24"/>
        </w:rPr>
        <w:t>Management Accounting for Decision Makers</w:t>
      </w:r>
      <w:r>
        <w:rPr>
          <w:rFonts w:ascii="Times New Roman" w:hAnsi="Times New Roman"/>
          <w:sz w:val="24"/>
        </w:rPr>
        <w:t>. 8th ed. Harlow: Pearson, pp.149–150.</w:t>
      </w:r>
    </w:p>
    <w:p>
      <w:pPr>
        <w:pStyle w:val="TextBody"/>
        <w:spacing w:lineRule="auto" w:line="360" w:before="0" w:after="140"/>
        <w:rPr>
          <w:rFonts w:ascii="Times New Roman" w:hAnsi="Times New Roman"/>
          <w:sz w:val="24"/>
        </w:rPr>
      </w:pPr>
      <w:r>
        <w:rPr>
          <w:rFonts w:ascii="Times New Roman" w:hAnsi="Times New Roman"/>
          <w:sz w:val="24"/>
        </w:rPr>
        <w:t>Aurora, B.B.C., 2013. The cost of production under direct costing and absorption costing–a comparative approach. </w:t>
      </w:r>
      <w:r>
        <w:rPr>
          <w:rFonts w:ascii="Times New Roman" w:hAnsi="Times New Roman"/>
          <w:i/>
          <w:sz w:val="24"/>
        </w:rPr>
        <w:t>Annals of the Constantin Brâncuşi” University of TârguJiu, Economy Series</w:t>
      </w:r>
      <w:r>
        <w:rPr>
          <w:rFonts w:ascii="Times New Roman" w:hAnsi="Times New Roman"/>
          <w:sz w:val="24"/>
        </w:rPr>
        <w:t>, </w:t>
      </w:r>
      <w:r>
        <w:rPr>
          <w:rFonts w:ascii="Times New Roman" w:hAnsi="Times New Roman"/>
          <w:i/>
          <w:sz w:val="24"/>
        </w:rPr>
        <w:t>2</w:t>
      </w:r>
      <w:r>
        <w:rPr>
          <w:rFonts w:ascii="Times New Roman" w:hAnsi="Times New Roman"/>
          <w:sz w:val="24"/>
        </w:rPr>
        <w:t xml:space="preserve">, pp.23-129. </w:t>
      </w:r>
    </w:p>
    <w:p>
      <w:pPr>
        <w:pStyle w:val="TextBody"/>
        <w:spacing w:lineRule="auto" w:line="360" w:before="0" w:after="140"/>
        <w:rPr>
          <w:rFonts w:ascii="Times New Roman" w:hAnsi="Times New Roman"/>
          <w:sz w:val="24"/>
        </w:rPr>
      </w:pPr>
      <w:r>
        <w:rPr>
          <w:rFonts w:ascii="Times New Roman" w:hAnsi="Times New Roman"/>
          <w:sz w:val="24"/>
        </w:rPr>
        <w:t xml:space="preserve">Battula, Y., Pydi, M. and Paul, S. (2025). International Journal of Advanced Multidisciplinary Scientific Research (IJAMSR) Machine Learning for Dynamic Earned Value Management (EVM): a 2025 Perspective. </w:t>
      </w:r>
      <w:r>
        <w:rPr>
          <w:rFonts w:ascii="Times New Roman" w:hAnsi="Times New Roman"/>
          <w:i/>
          <w:sz w:val="24"/>
        </w:rPr>
        <w:t>International Journal of Advanced Multidisciplinary Scientific Research</w:t>
      </w:r>
      <w:r>
        <w:rPr>
          <w:rFonts w:ascii="Times New Roman" w:hAnsi="Times New Roman"/>
          <w:sz w:val="24"/>
        </w:rPr>
        <w:t>, 8(3), pp.51–69. doi:https://doi.org/10.31426/ijamsr.2025.8.3.8115.</w:t>
      </w:r>
    </w:p>
    <w:p>
      <w:pPr>
        <w:pStyle w:val="TextBody"/>
        <w:spacing w:lineRule="auto" w:line="360" w:before="0" w:after="140"/>
        <w:rPr>
          <w:rFonts w:ascii="Times New Roman" w:hAnsi="Times New Roman"/>
          <w:sz w:val="24"/>
        </w:rPr>
      </w:pPr>
      <w:r>
        <w:rPr>
          <w:rFonts w:ascii="Times New Roman" w:hAnsi="Times New Roman"/>
          <w:sz w:val="24"/>
        </w:rPr>
        <w:t xml:space="preserve">Ben-Arieh, D. and Qian, L. (2003). Activity-based Cost Management for Design and Development Stage. </w:t>
      </w:r>
      <w:r>
        <w:rPr>
          <w:rFonts w:ascii="Times New Roman" w:hAnsi="Times New Roman"/>
          <w:i/>
          <w:sz w:val="24"/>
        </w:rPr>
        <w:t>International Journal of Production Economics</w:t>
      </w:r>
      <w:r>
        <w:rPr>
          <w:rFonts w:ascii="Times New Roman" w:hAnsi="Times New Roman"/>
          <w:sz w:val="24"/>
        </w:rPr>
        <w:t>, 83(2), pp.169–183. doi:https://doi.org/10.1016/s0925-5273(02)00323-7.</w:t>
      </w:r>
    </w:p>
    <w:p>
      <w:pPr>
        <w:pStyle w:val="TextBody"/>
        <w:spacing w:lineRule="auto" w:line="360" w:before="0" w:after="140"/>
        <w:rPr>
          <w:rFonts w:ascii="Times New Roman" w:hAnsi="Times New Roman"/>
          <w:sz w:val="24"/>
        </w:rPr>
      </w:pPr>
      <w:r>
        <w:rPr>
          <w:rFonts w:ascii="Times New Roman" w:hAnsi="Times New Roman"/>
          <w:sz w:val="24"/>
        </w:rPr>
        <w:t xml:space="preserve">Bhimani, S. and Christianto, A. (2023). Comparative Analysis of Variable Costing and Full Costing Methods for Profit Planning and Managerial Decision-Making. </w:t>
      </w:r>
      <w:r>
        <w:rPr>
          <w:rFonts w:ascii="Times New Roman" w:hAnsi="Times New Roman"/>
          <w:i/>
          <w:sz w:val="24"/>
        </w:rPr>
        <w:t>Indonesia Auditing Research Journal</w:t>
      </w:r>
      <w:r>
        <w:rPr>
          <w:rFonts w:ascii="Times New Roman" w:hAnsi="Times New Roman"/>
          <w:sz w:val="24"/>
        </w:rPr>
        <w:t>, 12(4), pp.153–162.</w:t>
      </w:r>
    </w:p>
    <w:p>
      <w:pPr>
        <w:pStyle w:val="TextBody"/>
        <w:spacing w:lineRule="auto" w:line="360" w:before="0" w:after="140"/>
        <w:rPr>
          <w:rFonts w:ascii="Times New Roman" w:hAnsi="Times New Roman"/>
          <w:sz w:val="24"/>
        </w:rPr>
      </w:pPr>
      <w:r>
        <w:rPr>
          <w:rFonts w:ascii="Times New Roman" w:hAnsi="Times New Roman"/>
          <w:sz w:val="24"/>
        </w:rPr>
        <w:t xml:space="preserve">Chen, B. (2025). Leveraging Advanced AI in Activity-Based Costing (ABC) for Enhanced Cost Management. </w:t>
      </w:r>
      <w:r>
        <w:rPr>
          <w:rFonts w:ascii="Times New Roman" w:hAnsi="Times New Roman"/>
          <w:i/>
          <w:sz w:val="24"/>
        </w:rPr>
        <w:t>Journal of Computer, Signal, and System Research</w:t>
      </w:r>
      <w:r>
        <w:rPr>
          <w:rFonts w:ascii="Times New Roman" w:hAnsi="Times New Roman"/>
          <w:sz w:val="24"/>
        </w:rPr>
        <w:t>, 2(1), pp.53–62. doi:https://doi.org/10.71222/6b2mrj72.</w:t>
      </w:r>
    </w:p>
    <w:p>
      <w:pPr>
        <w:pStyle w:val="TextBody"/>
        <w:spacing w:lineRule="auto" w:line="360" w:before="0" w:after="140"/>
        <w:rPr>
          <w:rFonts w:ascii="Times New Roman" w:hAnsi="Times New Roman"/>
          <w:sz w:val="24"/>
        </w:rPr>
      </w:pPr>
      <w:r>
        <w:rPr>
          <w:rFonts w:ascii="Times New Roman" w:hAnsi="Times New Roman"/>
          <w:sz w:val="24"/>
        </w:rPr>
        <w:t xml:space="preserve">Fito, M.A., Llobet, J. and Cuguero, N. (2018). The Activity-Based Costing Model trajectory: a Path of Lights and Shadows. </w:t>
      </w:r>
      <w:r>
        <w:rPr>
          <w:rFonts w:ascii="Times New Roman" w:hAnsi="Times New Roman"/>
          <w:i/>
          <w:sz w:val="24"/>
        </w:rPr>
        <w:t>Intangible Capital</w:t>
      </w:r>
      <w:r>
        <w:rPr>
          <w:rFonts w:ascii="Times New Roman" w:hAnsi="Times New Roman"/>
          <w:sz w:val="24"/>
        </w:rPr>
        <w:t>, 14(1), p.146. doi:https://doi.org/10.3926/ic.1107.</w:t>
      </w:r>
    </w:p>
    <w:p>
      <w:pPr>
        <w:pStyle w:val="TextBody"/>
        <w:spacing w:lineRule="auto" w:line="360" w:before="0" w:after="140"/>
        <w:rPr>
          <w:rFonts w:ascii="Times New Roman" w:hAnsi="Times New Roman"/>
          <w:sz w:val="24"/>
        </w:rPr>
      </w:pPr>
      <w:r>
        <w:rPr>
          <w:rFonts w:ascii="Times New Roman" w:hAnsi="Times New Roman"/>
          <w:sz w:val="24"/>
        </w:rPr>
        <w:t>Gersil, A. and Kayal, C., 2016. A comparative analysis of normal costing method with full costing and variable costing in internal reporting. </w:t>
      </w:r>
      <w:r>
        <w:rPr>
          <w:rFonts w:ascii="Times New Roman" w:hAnsi="Times New Roman"/>
          <w:i/>
          <w:sz w:val="24"/>
        </w:rPr>
        <w:t>International Journal of Management (IJM)</w:t>
      </w:r>
      <w:r>
        <w:rPr>
          <w:rFonts w:ascii="Times New Roman" w:hAnsi="Times New Roman"/>
          <w:sz w:val="24"/>
        </w:rPr>
        <w:t>, </w:t>
      </w:r>
      <w:r>
        <w:rPr>
          <w:rFonts w:ascii="Times New Roman" w:hAnsi="Times New Roman"/>
          <w:i/>
          <w:sz w:val="24"/>
        </w:rPr>
        <w:t>7 </w:t>
      </w:r>
      <w:r>
        <w:rPr>
          <w:rFonts w:ascii="Times New Roman" w:hAnsi="Times New Roman"/>
          <w:sz w:val="24"/>
        </w:rPr>
        <w:t xml:space="preserve">(3), pp.79-92. </w:t>
      </w:r>
    </w:p>
    <w:p>
      <w:pPr>
        <w:pStyle w:val="TextBody"/>
        <w:spacing w:lineRule="auto" w:line="360" w:before="0" w:after="140"/>
        <w:rPr>
          <w:rFonts w:ascii="Times New Roman" w:hAnsi="Times New Roman"/>
          <w:sz w:val="24"/>
        </w:rPr>
      </w:pPr>
      <w:r>
        <w:rPr>
          <w:rFonts w:ascii="Times New Roman" w:hAnsi="Times New Roman"/>
          <w:sz w:val="24"/>
        </w:rPr>
        <w:t xml:space="preserve">Gosselin, M. (2006). A Review of Activity-Based Costing: Technique, Implementation, and Consequences. </w:t>
      </w:r>
      <w:r>
        <w:rPr>
          <w:rFonts w:ascii="Times New Roman" w:hAnsi="Times New Roman"/>
          <w:i/>
          <w:sz w:val="24"/>
        </w:rPr>
        <w:t>Handbooks of Management Accounting Research</w:t>
      </w:r>
      <w:r>
        <w:rPr>
          <w:rFonts w:ascii="Times New Roman" w:hAnsi="Times New Roman"/>
          <w:sz w:val="24"/>
        </w:rPr>
        <w:t>, [online] 2, pp.641–671. doi:https://doi.org/10.1016/s1751-3243(06)02008-6.</w:t>
      </w:r>
    </w:p>
    <w:p>
      <w:pPr>
        <w:pStyle w:val="TextBody"/>
        <w:spacing w:lineRule="auto" w:line="360" w:before="0" w:after="140"/>
        <w:rPr>
          <w:rFonts w:ascii="Times New Roman" w:hAnsi="Times New Roman"/>
          <w:sz w:val="24"/>
        </w:rPr>
      </w:pPr>
      <w:r>
        <w:rPr>
          <w:rFonts w:ascii="Times New Roman" w:hAnsi="Times New Roman"/>
          <w:sz w:val="24"/>
        </w:rPr>
        <w:t xml:space="preserve">Hasan, A. (2017). Implementation Problems of Activity Based Costing: A Study of Companies in Jordan. </w:t>
      </w:r>
      <w:r>
        <w:rPr>
          <w:rFonts w:ascii="Times New Roman" w:hAnsi="Times New Roman"/>
          <w:i/>
          <w:sz w:val="24"/>
        </w:rPr>
        <w:t>British Journal of Economics, Management &amp; Trade</w:t>
      </w:r>
      <w:r>
        <w:rPr>
          <w:rFonts w:ascii="Times New Roman" w:hAnsi="Times New Roman"/>
          <w:sz w:val="24"/>
        </w:rPr>
        <w:t>, [online] 17(1), pp.1–9. doi:https://doi.org/10.9734/bjemt/2017/32855.</w:t>
      </w:r>
    </w:p>
    <w:p>
      <w:pPr>
        <w:pStyle w:val="TextBody"/>
        <w:spacing w:lineRule="auto" w:line="360" w:before="0" w:after="140"/>
        <w:rPr>
          <w:rFonts w:ascii="Times New Roman" w:hAnsi="Times New Roman"/>
          <w:sz w:val="24"/>
        </w:rPr>
      </w:pPr>
      <w:r>
        <w:rPr>
          <w:rFonts w:ascii="Times New Roman" w:hAnsi="Times New Roman"/>
          <w:sz w:val="24"/>
        </w:rPr>
        <w:t xml:space="preserve">Hasan, S. (2015). International Scholar Journal of Accounting and Finance Variable Costing and Its Applications in Manufacturing Company. </w:t>
      </w:r>
      <w:r>
        <w:rPr>
          <w:rFonts w:ascii="Times New Roman" w:hAnsi="Times New Roman"/>
          <w:i/>
          <w:sz w:val="24"/>
        </w:rPr>
        <w:t>International Scholar Journal of Accounting and Finance</w:t>
      </w:r>
      <w:r>
        <w:rPr>
          <w:rFonts w:ascii="Times New Roman" w:hAnsi="Times New Roman"/>
          <w:sz w:val="24"/>
        </w:rPr>
        <w:t>, [online] 1(1), pp.1–10. Available at: https://papers.ssrn.com/sol3/papers.cfm?abstract_id=2675830 [Accessed 22 Nov. 2025].</w:t>
      </w:r>
    </w:p>
    <w:p>
      <w:pPr>
        <w:pStyle w:val="TextBody"/>
        <w:spacing w:lineRule="auto" w:line="360" w:before="0" w:after="140"/>
        <w:rPr>
          <w:rFonts w:ascii="Times New Roman" w:hAnsi="Times New Roman"/>
          <w:sz w:val="24"/>
        </w:rPr>
      </w:pPr>
      <w:r>
        <w:rPr>
          <w:rFonts w:ascii="Times New Roman" w:hAnsi="Times New Roman"/>
          <w:sz w:val="24"/>
        </w:rPr>
        <w:t xml:space="preserve">Hunter, H., Fitzgerald, R. and Barlow, D. (2014). Improved Cost Monitoring and Control through the Earned Value Management System. </w:t>
      </w:r>
      <w:r>
        <w:rPr>
          <w:rFonts w:ascii="Times New Roman" w:hAnsi="Times New Roman"/>
          <w:i/>
          <w:sz w:val="24"/>
        </w:rPr>
        <w:t>Acta Astronautica</w:t>
      </w:r>
      <w:r>
        <w:rPr>
          <w:rFonts w:ascii="Times New Roman" w:hAnsi="Times New Roman"/>
          <w:sz w:val="24"/>
        </w:rPr>
        <w:t>, [online] 93, pp.497–500. doi:https://doi.org/10.1016/j.actaastro.2012.09.010.</w:t>
      </w:r>
    </w:p>
    <w:p>
      <w:pPr>
        <w:pStyle w:val="TextBody"/>
        <w:spacing w:lineRule="auto" w:line="360" w:before="0" w:after="140"/>
        <w:rPr>
          <w:rFonts w:ascii="Times New Roman" w:hAnsi="Times New Roman"/>
          <w:sz w:val="24"/>
        </w:rPr>
      </w:pPr>
      <w:r>
        <w:rPr>
          <w:rFonts w:ascii="Times New Roman" w:hAnsi="Times New Roman"/>
          <w:sz w:val="24"/>
        </w:rPr>
        <w:t xml:space="preserve">Jasinski, D., Meredith, J. and Kirwan, K. (2015). A Comprehensive Review of Full Cost Accounting Methods and Their Applicability to the Automotive Industry. </w:t>
      </w:r>
      <w:r>
        <w:rPr>
          <w:rFonts w:ascii="Times New Roman" w:hAnsi="Times New Roman"/>
          <w:i/>
          <w:sz w:val="24"/>
        </w:rPr>
        <w:t>Journal of Cleaner Production</w:t>
      </w:r>
      <w:r>
        <w:rPr>
          <w:rFonts w:ascii="Times New Roman" w:hAnsi="Times New Roman"/>
          <w:sz w:val="24"/>
        </w:rPr>
        <w:t>, [online] 108, pp.1123–1139. doi:https://doi.org/10.1016/j.jclepro.2015.06.040.</w:t>
      </w:r>
    </w:p>
    <w:p>
      <w:pPr>
        <w:pStyle w:val="TextBody"/>
        <w:spacing w:lineRule="auto" w:line="360" w:before="0" w:after="140"/>
        <w:rPr>
          <w:rFonts w:ascii="Times New Roman" w:hAnsi="Times New Roman"/>
          <w:sz w:val="24"/>
        </w:rPr>
      </w:pPr>
      <w:r>
        <w:rPr>
          <w:rFonts w:ascii="Times New Roman" w:hAnsi="Times New Roman"/>
          <w:sz w:val="24"/>
        </w:rPr>
        <w:t xml:space="preserve">Mayo-Alvarez, L., Alvarez-Risco, A., Del-Aguila-Arcentales, S., Sekar, M.C. and Yañez, J.A. (2022). A Systematic Review of Earned Value Management Methods for Monitoring and Control of Project Schedule Performance: An AHP Approach. </w:t>
      </w:r>
      <w:r>
        <w:rPr>
          <w:rFonts w:ascii="Times New Roman" w:hAnsi="Times New Roman"/>
          <w:i/>
          <w:sz w:val="24"/>
        </w:rPr>
        <w:t>Sustainability</w:t>
      </w:r>
      <w:r>
        <w:rPr>
          <w:rFonts w:ascii="Times New Roman" w:hAnsi="Times New Roman"/>
          <w:sz w:val="24"/>
        </w:rPr>
        <w:t>, [online] 14(22), p.15259. doi:https://doi.org/10.3390/su142215259.</w:t>
      </w:r>
    </w:p>
    <w:p>
      <w:pPr>
        <w:pStyle w:val="TextBody"/>
        <w:spacing w:lineRule="auto" w:line="360" w:before="0" w:after="140"/>
        <w:rPr>
          <w:rFonts w:ascii="Times New Roman" w:hAnsi="Times New Roman"/>
          <w:sz w:val="24"/>
        </w:rPr>
      </w:pPr>
      <w:r>
        <w:rPr>
          <w:rFonts w:ascii="Times New Roman" w:hAnsi="Times New Roman"/>
          <w:sz w:val="24"/>
        </w:rPr>
        <w:t xml:space="preserve">Nizam, A. and Elshannaway, A. (2019). Review of Earned Value Management (EVM) methodology, Its limitations, and Applicable Extensions. </w:t>
      </w:r>
      <w:r>
        <w:rPr>
          <w:rFonts w:ascii="Times New Roman" w:hAnsi="Times New Roman"/>
          <w:i/>
          <w:sz w:val="24"/>
        </w:rPr>
        <w:t>Deleted Journal</w:t>
      </w:r>
      <w:r>
        <w:rPr>
          <w:rFonts w:ascii="Times New Roman" w:hAnsi="Times New Roman"/>
          <w:sz w:val="24"/>
        </w:rPr>
        <w:t>, [online] 12(1), pp.59–70. doi:https://doi.org/10.62704/10057/24251.</w:t>
      </w:r>
    </w:p>
    <w:p>
      <w:pPr>
        <w:pStyle w:val="TextBody"/>
        <w:spacing w:lineRule="auto" w:line="360" w:before="0" w:after="140"/>
        <w:rPr>
          <w:rFonts w:ascii="Times New Roman" w:hAnsi="Times New Roman"/>
          <w:sz w:val="24"/>
        </w:rPr>
      </w:pPr>
      <w:r>
        <w:rPr>
          <w:rFonts w:ascii="Times New Roman" w:hAnsi="Times New Roman"/>
          <w:sz w:val="24"/>
        </w:rPr>
        <w:t xml:space="preserve">Offenbacker, S. (2004) '0 introduction: marginal costing as a management accounting tool', </w:t>
      </w:r>
      <w:r>
        <w:rPr>
          <w:rFonts w:ascii="Times New Roman" w:hAnsi="Times New Roman"/>
          <w:i/>
          <w:sz w:val="24"/>
        </w:rPr>
        <w:t>Management Accounting Quarterly</w:t>
      </w:r>
      <w:r>
        <w:rPr>
          <w:rFonts w:ascii="Times New Roman" w:hAnsi="Times New Roman"/>
          <w:sz w:val="24"/>
        </w:rPr>
        <w:t xml:space="preserve">, 5(2), 7, available: https://link.gale.com/apps/doc/A118890700/AONE?u=anon~9270d832&amp;sid=googleScholar&amp;xid=c440e9dd [accessed 21 Nov 2025]. </w:t>
      </w:r>
    </w:p>
    <w:p>
      <w:pPr>
        <w:pStyle w:val="TextBody"/>
        <w:spacing w:lineRule="auto" w:line="360" w:before="0" w:after="140"/>
        <w:rPr>
          <w:rFonts w:ascii="Times New Roman" w:hAnsi="Times New Roman"/>
          <w:sz w:val="24"/>
        </w:rPr>
      </w:pPr>
      <w:r>
        <w:rPr>
          <w:rFonts w:ascii="Times New Roman" w:hAnsi="Times New Roman"/>
          <w:sz w:val="24"/>
        </w:rPr>
        <w:t xml:space="preserve">Quesado, P. and Silva, R. (2021). Activity-Based Costing (ABC) and Its Implication for Open Innovation. </w:t>
      </w:r>
      <w:r>
        <w:rPr>
          <w:rFonts w:ascii="Times New Roman" w:hAnsi="Times New Roman"/>
          <w:i/>
          <w:sz w:val="24"/>
        </w:rPr>
        <w:t>Journal of Open Innovation: Technology, Market, and Complexity</w:t>
      </w:r>
      <w:r>
        <w:rPr>
          <w:rFonts w:ascii="Times New Roman" w:hAnsi="Times New Roman"/>
          <w:sz w:val="24"/>
        </w:rPr>
        <w:t>, [online] 7(1), p.41. doi:https://doi.org/10.3390/joitmc7010041.</w:t>
      </w:r>
    </w:p>
    <w:p>
      <w:pPr>
        <w:pStyle w:val="TextBody"/>
        <w:spacing w:lineRule="auto" w:line="360" w:before="0" w:after="140"/>
        <w:rPr>
          <w:rFonts w:ascii="Times New Roman" w:hAnsi="Times New Roman"/>
          <w:sz w:val="24"/>
        </w:rPr>
      </w:pPr>
      <w:r>
        <w:rPr>
          <w:rFonts w:ascii="Times New Roman" w:hAnsi="Times New Roman"/>
          <w:sz w:val="24"/>
        </w:rPr>
        <w:t xml:space="preserve">Rogers, Z.S., Golara, S., Yousef Abdulsalam and Rogers, D.S. (2024). Protect Me not: The Effect of Tariffs on U.S. Supply Networks. </w:t>
      </w:r>
      <w:r>
        <w:rPr>
          <w:rFonts w:ascii="Times New Roman" w:hAnsi="Times New Roman"/>
          <w:i/>
          <w:sz w:val="24"/>
        </w:rPr>
        <w:t>Journal of Purchasing and Supply Management</w:t>
      </w:r>
      <w:r>
        <w:rPr>
          <w:rFonts w:ascii="Times New Roman" w:hAnsi="Times New Roman"/>
          <w:sz w:val="24"/>
        </w:rPr>
        <w:t>, [online] 30(1), pp.100897–100897. doi:https://doi.org/10.1016/j.pursup.2024.100897.</w:t>
      </w:r>
    </w:p>
    <w:p>
      <w:pPr>
        <w:pStyle w:val="TextBody"/>
        <w:spacing w:lineRule="auto" w:line="360" w:before="0" w:after="140"/>
        <w:rPr>
          <w:rFonts w:ascii="Times New Roman" w:hAnsi="Times New Roman"/>
          <w:sz w:val="24"/>
        </w:rPr>
      </w:pPr>
      <w:r>
        <w:rPr>
          <w:rFonts w:ascii="Times New Roman" w:hAnsi="Times New Roman"/>
          <w:sz w:val="24"/>
        </w:rPr>
        <w:t xml:space="preserve">Saeed, A.M.M., Widyaningsih, A. and Khaled, A.S.D. (2023). Activity-Based Costing (ABC) in the Manufacturing Industry: A Literature Review. </w:t>
      </w:r>
      <w:r>
        <w:rPr>
          <w:rFonts w:ascii="Times New Roman" w:hAnsi="Times New Roman"/>
          <w:i/>
          <w:sz w:val="24"/>
        </w:rPr>
        <w:t>JDE (Journal of Developing Economies)</w:t>
      </w:r>
      <w:r>
        <w:rPr>
          <w:rFonts w:ascii="Times New Roman" w:hAnsi="Times New Roman"/>
          <w:sz w:val="24"/>
        </w:rPr>
        <w:t>, [online] 8(2), pp.261–270. doi:https://doi.org/10.20473/jde.v8i2.40426.</w:t>
      </w:r>
    </w:p>
    <w:p>
      <w:pPr>
        <w:pStyle w:val="TextBody"/>
        <w:spacing w:lineRule="auto" w:line="360" w:before="0" w:after="140"/>
        <w:rPr>
          <w:rFonts w:ascii="Times New Roman" w:hAnsi="Times New Roman"/>
          <w:sz w:val="24"/>
        </w:rPr>
      </w:pPr>
      <w:r>
        <w:rPr>
          <w:rFonts w:ascii="Times New Roman" w:hAnsi="Times New Roman"/>
          <w:sz w:val="24"/>
        </w:rPr>
        <w:t xml:space="preserve">Soltan, S. and Ashrafi, M. (2020). Predicting project duration and cost, and selecting the best action plan using statistical methods for earned value management. </w:t>
      </w:r>
      <w:r>
        <w:rPr>
          <w:rFonts w:ascii="Times New Roman" w:hAnsi="Times New Roman"/>
          <w:i/>
          <w:sz w:val="24"/>
        </w:rPr>
        <w:t>Journal of Project Management</w:t>
      </w:r>
      <w:r>
        <w:rPr>
          <w:rFonts w:ascii="Times New Roman" w:hAnsi="Times New Roman"/>
          <w:sz w:val="24"/>
        </w:rPr>
        <w:t>, [online] 5(3), pp.157–166. doi:https://doi.org/10.5267/j.jpm.2020.3.002.</w:t>
      </w:r>
    </w:p>
    <w:p>
      <w:pPr>
        <w:pStyle w:val="TextBody"/>
        <w:spacing w:lineRule="auto" w:line="360" w:before="0" w:after="140"/>
        <w:rPr>
          <w:rFonts w:ascii="Times New Roman" w:hAnsi="Times New Roman"/>
          <w:sz w:val="24"/>
        </w:rPr>
      </w:pPr>
      <w:r>
        <w:rPr>
          <w:rFonts w:ascii="Times New Roman" w:hAnsi="Times New Roman"/>
          <w:sz w:val="24"/>
        </w:rPr>
        <w:t xml:space="preserve">Stone, C. (2023). Challenges and Opportunities of Completing Successful Projects Using Earned Value Management. </w:t>
      </w:r>
      <w:r>
        <w:rPr>
          <w:rFonts w:ascii="Times New Roman" w:hAnsi="Times New Roman"/>
          <w:i/>
          <w:sz w:val="24"/>
        </w:rPr>
        <w:t>Open Journal of Business and Management</w:t>
      </w:r>
      <w:r>
        <w:rPr>
          <w:rFonts w:ascii="Times New Roman" w:hAnsi="Times New Roman"/>
          <w:sz w:val="24"/>
        </w:rPr>
        <w:t>, [online] 11(02), pp.464–493. doi:https://doi.org/10.4236/ojbm.2023.112025.</w:t>
      </w:r>
    </w:p>
    <w:p>
      <w:pPr>
        <w:pStyle w:val="TextBody"/>
        <w:spacing w:lineRule="auto" w:line="360" w:before="0" w:after="140"/>
        <w:rPr>
          <w:rFonts w:ascii="Times New Roman" w:hAnsi="Times New Roman"/>
          <w:sz w:val="24"/>
        </w:rPr>
      </w:pPr>
      <w:r>
        <w:rPr>
          <w:rFonts w:ascii="Times New Roman" w:hAnsi="Times New Roman"/>
          <w:sz w:val="24"/>
        </w:rPr>
        <w:t xml:space="preserve">Teixeira, J., Oliveira, N.L.F. de, Freitas, A.P.A. and Santos, J.A.N. dos (2020). Critical Factors and Benefits in the Use of Earned Value Management in Construction. </w:t>
      </w:r>
      <w:r>
        <w:rPr>
          <w:rFonts w:ascii="Times New Roman" w:hAnsi="Times New Roman"/>
          <w:i/>
          <w:sz w:val="24"/>
        </w:rPr>
        <w:t>Brazilian Journal of Operations &amp; Production Management</w:t>
      </w:r>
      <w:r>
        <w:rPr>
          <w:rFonts w:ascii="Times New Roman" w:hAnsi="Times New Roman"/>
          <w:sz w:val="24"/>
        </w:rPr>
        <w:t>, [online] 17(1). doi:https://doi.org/10.14488/bjopm.2020.007.</w:t>
      </w:r>
    </w:p>
    <w:p>
      <w:pPr>
        <w:pStyle w:val="Normal"/>
        <w:spacing w:before="0" w:after="160"/>
        <w:rPr>
          <w:rFonts w:ascii="Arial" w:hAnsi="Arial"/>
          <w:sz w:val="24"/>
        </w:rPr>
      </w:pPr>
      <w:r>
        <w:rPr>
          <w:rFonts w:ascii="Arial" w:hAnsi="Arial"/>
          <w:sz w:val="24"/>
        </w:rPr>
      </w:r>
      <w:bookmarkStart w:id="12" w:name="__DdeLink__4289_2163752267"/>
      <w:bookmarkStart w:id="13" w:name="__DdeLink__4289_2163752267"/>
      <w:bookmarkEnd w:id="13"/>
    </w:p>
    <w:sectPr>
      <w:type w:val="nextPage"/>
      <w:pgSz w:w="11906" w:h="16838"/>
      <w:pgMar w:left="1440" w:right="1440" w:header="0" w:top="1440" w:footer="0" w:bottom="1440" w:gutter="0"/>
      <w:pgNumType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 w:name="Arial">
    <w:charset w:val="01"/>
    <w:family w:val="swiss"/>
    <w:pitch w:val="variable"/>
  </w:font>
  <w:font w:name="Times New Roman">
    <w:charset w:val="00"/>
    <w:family w:val="auto"/>
    <w:pitch w:val="default"/>
  </w:font>
</w:fonts>
</file>

<file path=word/settings.xml><?xml version="1.0" encoding="utf-8"?>
<w:settings xmlns:w="http://schemas.openxmlformats.org/wordprocessingml/2006/main">
  <w:zoom w:percent="100"/>
  <w:defaultTabStop w:val="720"/>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sz w:val="22"/>
        <w:szCs w:val="22"/>
        <w:lang w:val="en-GB" w:eastAsia="en-US" w:bidi="ar-SA"/>
      </w:rPr>
    </w:rPrDefault>
    <w:pPrDefault>
      <w:pPr/>
    </w:pPrDefault>
  </w:docDefaults>
  <w:style w:type="paragraph" w:styleId="Normal">
    <w:name w:val="Normal"/>
    <w:qFormat/>
    <w:pPr>
      <w:widowControl/>
      <w:kinsoku w:val="true"/>
      <w:overflowPunct w:val="true"/>
      <w:autoSpaceDE w:val="true"/>
      <w:bidi w:val="0"/>
      <w:spacing w:lineRule="auto" w:line="259" w:before="0" w:after="160"/>
      <w:jc w:val="left"/>
    </w:pPr>
    <w:rPr>
      <w:rFonts w:ascii="Calibri" w:hAnsi="Calibri" w:eastAsia="Calibri" w:cs="Arial"/>
      <w:color w:val="auto"/>
      <w:kern w:val="0"/>
      <w:sz w:val="22"/>
      <w:szCs w:val="22"/>
      <w:lang w:val="en-GB" w:eastAsia="en-US" w:bidi="ar-SA"/>
    </w:rPr>
  </w:style>
  <w:style w:type="paragraph" w:styleId="Heading1">
    <w:name w:val="Heading 1"/>
    <w:basedOn w:val="Normal"/>
    <w:next w:val="Normal"/>
    <w:qFormat/>
    <w:pPr>
      <w:keepNext w:val="true"/>
      <w:keepLines/>
      <w:numPr>
        <w:ilvl w:val="0"/>
        <w:numId w:val="0"/>
      </w:numPr>
      <w:spacing w:before="240" w:after="0"/>
      <w:outlineLvl w:val="0"/>
    </w:pPr>
    <w:rPr>
      <w:rFonts w:ascii="Calibri Light" w:hAnsi="Calibri Light" w:eastAsia="宋体" w:cs="Times New Roman"/>
      <w:color w:val="2E74B5"/>
      <w:sz w:val="32"/>
      <w:szCs w:val="32"/>
    </w:rPr>
  </w:style>
  <w:style w:type="paragraph" w:styleId="Heading2">
    <w:name w:val="Heading 2"/>
    <w:basedOn w:val="Normal"/>
    <w:next w:val="Normal"/>
    <w:qFormat/>
    <w:pPr>
      <w:keepNext w:val="true"/>
      <w:keepLines/>
      <w:numPr>
        <w:ilvl w:val="0"/>
        <w:numId w:val="0"/>
      </w:numPr>
      <w:spacing w:before="40" w:after="0"/>
      <w:outlineLvl w:val="1"/>
    </w:pPr>
    <w:rPr>
      <w:rFonts w:ascii="Calibri Light" w:hAnsi="Calibri Light" w:eastAsia="宋体" w:cs="Times New Roman"/>
      <w:color w:val="2E74B5"/>
      <w:sz w:val="26"/>
      <w:szCs w:val="26"/>
    </w:rPr>
  </w:style>
  <w:style w:type="character" w:styleId="DefaultParagraphFont">
    <w:name w:val="Default Paragraph Font"/>
    <w:qFormat/>
    <w:rPr/>
  </w:style>
  <w:style w:type="character" w:styleId="NoSpacingChar">
    <w:name w:val="No Spacing Char"/>
    <w:basedOn w:val="DefaultParagraphFont"/>
    <w:qFormat/>
    <w:rPr>
      <w:rFonts w:eastAsia="宋体"/>
      <w:lang w:val="en-US"/>
    </w:rPr>
  </w:style>
  <w:style w:type="character" w:styleId="Heading1Char">
    <w:name w:val="Heading 1 Char"/>
    <w:basedOn w:val="DefaultParagraphFont"/>
    <w:qFormat/>
    <w:rPr>
      <w:rFonts w:ascii="Calibri Light" w:hAnsi="Calibri Light" w:eastAsia="宋体" w:cs="Times New Roman"/>
      <w:color w:val="2E74B5"/>
      <w:sz w:val="32"/>
      <w:szCs w:val="32"/>
    </w:rPr>
  </w:style>
  <w:style w:type="character" w:styleId="InternetLink">
    <w:name w:val="Internet Link"/>
    <w:basedOn w:val="DefaultParagraphFont"/>
    <w:rPr>
      <w:color w:val="0563C1"/>
      <w:u w:val="single"/>
    </w:rPr>
  </w:style>
  <w:style w:type="character" w:styleId="Heading2Char">
    <w:name w:val="Heading 2 Char"/>
    <w:basedOn w:val="DefaultParagraphFont"/>
    <w:qFormat/>
    <w:rPr>
      <w:rFonts w:ascii="Calibri Light" w:hAnsi="Calibri Light" w:eastAsia="宋体" w:cs="Times New Roman"/>
      <w:color w:val="2E74B5"/>
      <w:sz w:val="26"/>
      <w:szCs w:val="26"/>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qFormat/>
    <w:pPr>
      <w:widowControl/>
      <w:kinsoku w:val="true"/>
      <w:overflowPunct w:val="true"/>
      <w:autoSpaceDE w:val="true"/>
      <w:bidi w:val="0"/>
      <w:spacing w:lineRule="auto" w:line="240" w:before="0" w:after="0"/>
      <w:jc w:val="left"/>
    </w:pPr>
    <w:rPr>
      <w:rFonts w:eastAsia="宋体" w:ascii="Calibri" w:hAnsi="Calibri" w:cs="Arial"/>
      <w:color w:val="auto"/>
      <w:kern w:val="0"/>
      <w:sz w:val="22"/>
      <w:szCs w:val="22"/>
      <w:lang w:val="en-US" w:eastAsia="en-US" w:bidi="ar-SA"/>
    </w:rPr>
  </w:style>
  <w:style w:type="paragraph" w:styleId="TOCHeading">
    <w:name w:val="TOC Heading"/>
    <w:basedOn w:val="Heading1"/>
    <w:next w:val="Normal"/>
    <w:qFormat/>
    <w:pPr/>
    <w:rPr>
      <w:lang w:val="en-US"/>
    </w:rPr>
  </w:style>
  <w:style w:type="paragraph" w:styleId="Contents1">
    <w:name w:val="TOC 1"/>
    <w:basedOn w:val="Normal"/>
    <w:next w:val="Normal"/>
    <w:autoRedefine/>
    <w:pPr>
      <w:spacing w:before="0" w:after="100"/>
    </w:pPr>
    <w:rPr/>
  </w:style>
  <w:style w:type="paragraph" w:styleId="Contents2">
    <w:name w:val="TOC 2"/>
    <w:basedOn w:val="Normal"/>
    <w:next w:val="Normal"/>
    <w:autoRedefine/>
    <w:pPr>
      <w:spacing w:before="0" w:after="100"/>
      <w:ind w:left="220" w:right="0" w:hanging="0"/>
    </w:pPr>
    <w:rPr/>
  </w:style>
  <w:style w:type="paragraph" w:styleId="FrameContents">
    <w:name w:val="Frame Contents"/>
    <w:basedOn w:val="Normal"/>
    <w:qFormat/>
    <w:pPr/>
    <w:rPr/>
  </w:style>
  <w:style w:type="paragraph" w:styleId="ContentsHeading">
    <w:name w:val="TOA Heading"/>
    <w:basedOn w:val="Heading"/>
    <w:pPr>
      <w:suppressLineNumbers/>
      <w:ind w:left="0" w:hanging="0"/>
    </w:pPr>
    <w:rPr>
      <w:b/>
      <w:bCs/>
      <w:sz w:val="32"/>
      <w:szCs w:val="32"/>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140</TotalTime>
  <Application>Neat_Office/6.2.8.2$Windows_x86 LibreOffice_project/</Application>
  <Pages>10</Pages>
  <Words>3403</Words>
  <Characters>19181</Characters>
  <CharactersWithSpaces>22535</CharactersWithSpaces>
  <Paragraphs>50</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2020-09-09T07:24:00Z</dcterms:created>
  <dc:creator>Marie Pitson</dc:creator>
  <dc:description/>
  <dc:language>en-GB</dc:language>
  <cp:lastModifiedBy/>
  <dcterms:modified xsi:type="dcterms:W3CDTF">2025-11-28T12:02:31Z</dcterms:modified>
  <cp:revision>5</cp:revision>
  <dc:subject/>
  <dc:title>name of the assignment</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