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1F4E" w:rsidRDefault="00181F4E" w:rsidP="004E5602">
      <w:pPr>
        <w:rPr>
          <w:rFonts w:ascii="Arial" w:hAnsi="Arial" w:cs="Arial"/>
          <w:b/>
          <w:sz w:val="24"/>
        </w:rPr>
      </w:pPr>
      <w:r>
        <w:rPr>
          <w:rFonts w:ascii="Arial" w:hAnsi="Arial" w:cs="Arial"/>
          <w:b/>
          <w:sz w:val="24"/>
        </w:rPr>
        <w:t>Name: Jorge Lee</w:t>
      </w:r>
    </w:p>
    <w:p w:rsidR="00181F4E" w:rsidRDefault="00181F4E" w:rsidP="004E5602">
      <w:pPr>
        <w:rPr>
          <w:rFonts w:ascii="Arial" w:hAnsi="Arial" w:cs="Arial"/>
          <w:b/>
          <w:sz w:val="24"/>
        </w:rPr>
      </w:pPr>
      <w:r>
        <w:rPr>
          <w:rFonts w:ascii="Arial" w:hAnsi="Arial" w:cs="Arial"/>
          <w:b/>
          <w:sz w:val="24"/>
        </w:rPr>
        <w:t>Force Number: SWP 6977</w:t>
      </w:r>
    </w:p>
    <w:p w:rsidR="00181F4E" w:rsidRDefault="00181F4E" w:rsidP="004E5602">
      <w:pPr>
        <w:rPr>
          <w:rFonts w:ascii="Arial" w:hAnsi="Arial" w:cs="Arial"/>
          <w:b/>
          <w:sz w:val="24"/>
        </w:rPr>
      </w:pPr>
      <w:r>
        <w:rPr>
          <w:rFonts w:ascii="Arial" w:hAnsi="Arial" w:cs="Arial"/>
          <w:b/>
          <w:sz w:val="24"/>
        </w:rPr>
        <w:t>University Number: 2031205</w:t>
      </w:r>
    </w:p>
    <w:p w:rsidR="00181F4E" w:rsidRPr="00181F4E" w:rsidRDefault="00181F4E" w:rsidP="004E5602">
      <w:pPr>
        <w:rPr>
          <w:rFonts w:ascii="Arial" w:hAnsi="Arial" w:cs="Arial"/>
          <w:b/>
          <w:sz w:val="24"/>
        </w:rPr>
      </w:pPr>
      <w:r>
        <w:rPr>
          <w:rFonts w:ascii="Arial" w:hAnsi="Arial" w:cs="Arial"/>
          <w:b/>
          <w:sz w:val="24"/>
        </w:rPr>
        <w:t>Exam 2 PCDA 29/11/2021</w:t>
      </w:r>
    </w:p>
    <w:p w:rsidR="00181F4E" w:rsidRDefault="00181F4E" w:rsidP="004E5602">
      <w:pPr>
        <w:rPr>
          <w:rFonts w:ascii="Arial" w:hAnsi="Arial" w:cs="Arial"/>
          <w:sz w:val="24"/>
        </w:rPr>
      </w:pPr>
      <w:bookmarkStart w:id="0" w:name="_GoBack"/>
      <w:bookmarkEnd w:id="0"/>
    </w:p>
    <w:p w:rsidR="004F407F" w:rsidRDefault="004E5602" w:rsidP="004E5602">
      <w:pPr>
        <w:rPr>
          <w:rFonts w:ascii="Arial" w:hAnsi="Arial" w:cs="Arial"/>
          <w:sz w:val="24"/>
        </w:rPr>
      </w:pPr>
      <w:r>
        <w:rPr>
          <w:rFonts w:ascii="Arial" w:hAnsi="Arial" w:cs="Arial"/>
          <w:sz w:val="24"/>
        </w:rPr>
        <w:t xml:space="preserve">Q1) A constable in uniform or a traffic officer may stop any mechanically propelled vehicle </w:t>
      </w:r>
      <w:r w:rsidR="004F407F">
        <w:rPr>
          <w:rFonts w:ascii="Arial" w:hAnsi="Arial" w:cs="Arial"/>
          <w:sz w:val="24"/>
        </w:rPr>
        <w:t>being driven or cycle being ridden on a road or other place to which the public has access</w:t>
      </w:r>
      <w:r>
        <w:rPr>
          <w:rFonts w:ascii="Arial" w:hAnsi="Arial" w:cs="Arial"/>
          <w:sz w:val="24"/>
        </w:rPr>
        <w:t>.</w:t>
      </w:r>
      <w:r w:rsidR="004F407F">
        <w:rPr>
          <w:rFonts w:ascii="Arial" w:hAnsi="Arial" w:cs="Arial"/>
          <w:sz w:val="24"/>
        </w:rPr>
        <w:t xml:space="preserve"> </w:t>
      </w:r>
    </w:p>
    <w:p w:rsidR="004E5602" w:rsidRDefault="004F407F" w:rsidP="004E5602">
      <w:pPr>
        <w:rPr>
          <w:rFonts w:ascii="Arial" w:hAnsi="Arial" w:cs="Arial"/>
          <w:sz w:val="24"/>
        </w:rPr>
      </w:pPr>
      <w:r>
        <w:rPr>
          <w:rFonts w:ascii="Arial" w:hAnsi="Arial" w:cs="Arial"/>
          <w:sz w:val="24"/>
        </w:rPr>
        <w:t>(Section 163(1) provides a provision for a constable in uniform/traffic officer to stop a mechanically propelled vehicle. Section 163(2) provides a provision for a constable in uniform/traffic officer to stop a cycle. Section 163(3) provides an offence for ‘failure to stop.’)</w:t>
      </w:r>
    </w:p>
    <w:p w:rsidR="004E5602" w:rsidRDefault="004E5602" w:rsidP="004E5602">
      <w:pPr>
        <w:rPr>
          <w:rFonts w:ascii="Arial" w:hAnsi="Arial" w:cs="Arial"/>
          <w:sz w:val="24"/>
        </w:rPr>
      </w:pPr>
    </w:p>
    <w:p w:rsidR="004E5602" w:rsidRDefault="004E5602" w:rsidP="004E5602">
      <w:pPr>
        <w:rPr>
          <w:rFonts w:ascii="Arial" w:hAnsi="Arial" w:cs="Arial"/>
          <w:sz w:val="24"/>
        </w:rPr>
      </w:pPr>
      <w:r>
        <w:rPr>
          <w:rFonts w:ascii="Arial" w:hAnsi="Arial" w:cs="Arial"/>
          <w:sz w:val="24"/>
        </w:rPr>
        <w:t xml:space="preserve">Q2) Section 6(4) Road Traffic Act 1988 allows for a constable in uniform to require a driver suspected by the constable of committing an offence whilst their vehicle was in motion to comply with preliminary breath tests. Any person who fails to comply with these preliminary breath tests is guilty of an offence of failure to provide. </w:t>
      </w:r>
    </w:p>
    <w:p w:rsidR="004E5602" w:rsidRDefault="004E5602" w:rsidP="004E5602">
      <w:pPr>
        <w:rPr>
          <w:rFonts w:ascii="Arial" w:hAnsi="Arial" w:cs="Arial"/>
          <w:sz w:val="24"/>
        </w:rPr>
      </w:pPr>
    </w:p>
    <w:p w:rsidR="004E5602" w:rsidRDefault="004E5602" w:rsidP="004E5602">
      <w:pPr>
        <w:rPr>
          <w:rFonts w:ascii="Arial" w:hAnsi="Arial" w:cs="Arial"/>
          <w:sz w:val="24"/>
        </w:rPr>
      </w:pPr>
      <w:r>
        <w:rPr>
          <w:rFonts w:ascii="Arial" w:hAnsi="Arial" w:cs="Arial"/>
          <w:sz w:val="24"/>
        </w:rPr>
        <w:t xml:space="preserve">Q3) A person commits an offence of ‘driving without due care and attention or reasonable consideration’ if they drive a mechanically propelled vehicle on a road or other place to which the public has access, without due care and attention or reasonable consideration of their driving conduct. </w:t>
      </w:r>
    </w:p>
    <w:p w:rsidR="00706714" w:rsidRDefault="00706714" w:rsidP="004E5602">
      <w:pPr>
        <w:rPr>
          <w:rFonts w:ascii="Arial" w:hAnsi="Arial" w:cs="Arial"/>
          <w:sz w:val="24"/>
        </w:rPr>
      </w:pPr>
    </w:p>
    <w:p w:rsidR="00706714" w:rsidRDefault="00706714" w:rsidP="004E5602">
      <w:pPr>
        <w:rPr>
          <w:rFonts w:ascii="Arial" w:hAnsi="Arial" w:cs="Arial"/>
          <w:sz w:val="24"/>
        </w:rPr>
      </w:pPr>
      <w:r>
        <w:rPr>
          <w:rFonts w:ascii="Arial" w:hAnsi="Arial" w:cs="Arial"/>
          <w:sz w:val="24"/>
        </w:rPr>
        <w:t>Q4) 1. Experiencing a medical emergency</w:t>
      </w:r>
    </w:p>
    <w:p w:rsidR="00706714" w:rsidRDefault="00706714" w:rsidP="004E5602">
      <w:pPr>
        <w:rPr>
          <w:rFonts w:ascii="Arial" w:hAnsi="Arial" w:cs="Arial"/>
          <w:sz w:val="24"/>
        </w:rPr>
      </w:pPr>
      <w:r>
        <w:rPr>
          <w:rFonts w:ascii="Arial" w:hAnsi="Arial" w:cs="Arial"/>
          <w:sz w:val="24"/>
        </w:rPr>
        <w:t xml:space="preserve">2. </w:t>
      </w:r>
      <w:r w:rsidR="00BC73D7">
        <w:rPr>
          <w:rFonts w:ascii="Arial" w:hAnsi="Arial" w:cs="Arial"/>
          <w:sz w:val="24"/>
        </w:rPr>
        <w:t>Contacting emergency services for assistance</w:t>
      </w:r>
    </w:p>
    <w:p w:rsidR="00BC73D7" w:rsidRDefault="00BC73D7" w:rsidP="004E5602">
      <w:pPr>
        <w:rPr>
          <w:rFonts w:ascii="Arial" w:hAnsi="Arial" w:cs="Arial"/>
          <w:sz w:val="24"/>
        </w:rPr>
      </w:pPr>
      <w:r>
        <w:rPr>
          <w:rFonts w:ascii="Arial" w:hAnsi="Arial" w:cs="Arial"/>
          <w:sz w:val="24"/>
        </w:rPr>
        <w:t>3. Experiencing a vehicular malfunction</w:t>
      </w:r>
    </w:p>
    <w:p w:rsidR="004F407F" w:rsidRDefault="004F407F" w:rsidP="004E5602">
      <w:pPr>
        <w:rPr>
          <w:rFonts w:ascii="Arial" w:hAnsi="Arial" w:cs="Arial"/>
          <w:sz w:val="24"/>
        </w:rPr>
      </w:pPr>
      <w:r>
        <w:rPr>
          <w:rFonts w:ascii="Arial" w:hAnsi="Arial" w:cs="Arial"/>
          <w:sz w:val="24"/>
        </w:rPr>
        <w:t xml:space="preserve">4. Conducting an evasive manoeuvre to avoid a road traffic collision </w:t>
      </w:r>
    </w:p>
    <w:p w:rsidR="004F407F" w:rsidRDefault="004F407F" w:rsidP="004E5602">
      <w:pPr>
        <w:rPr>
          <w:rFonts w:ascii="Arial" w:hAnsi="Arial" w:cs="Arial"/>
          <w:sz w:val="24"/>
        </w:rPr>
      </w:pPr>
      <w:r>
        <w:rPr>
          <w:rFonts w:ascii="Arial" w:hAnsi="Arial" w:cs="Arial"/>
          <w:sz w:val="24"/>
        </w:rPr>
        <w:t>5. Being involved in a road traffic collision through no fault of their own</w:t>
      </w:r>
    </w:p>
    <w:p w:rsidR="004F407F" w:rsidRDefault="004F407F" w:rsidP="004E5602">
      <w:pPr>
        <w:rPr>
          <w:rFonts w:ascii="Arial" w:hAnsi="Arial" w:cs="Arial"/>
          <w:sz w:val="24"/>
        </w:rPr>
      </w:pPr>
      <w:r>
        <w:rPr>
          <w:rFonts w:ascii="Arial" w:hAnsi="Arial" w:cs="Arial"/>
          <w:sz w:val="24"/>
        </w:rPr>
        <w:t xml:space="preserve">6. </w:t>
      </w:r>
      <w:r w:rsidR="002A4640">
        <w:rPr>
          <w:rFonts w:ascii="Arial" w:hAnsi="Arial" w:cs="Arial"/>
          <w:sz w:val="24"/>
        </w:rPr>
        <w:t>To comply with instructions given by a constable in uniform or traffic officer</w:t>
      </w:r>
    </w:p>
    <w:p w:rsidR="00706714" w:rsidRDefault="00706714" w:rsidP="004E5602">
      <w:pPr>
        <w:rPr>
          <w:rFonts w:ascii="Arial" w:hAnsi="Arial" w:cs="Arial"/>
          <w:sz w:val="24"/>
        </w:rPr>
      </w:pPr>
    </w:p>
    <w:p w:rsidR="00706714" w:rsidRDefault="00706714" w:rsidP="004E5602">
      <w:pPr>
        <w:rPr>
          <w:rFonts w:ascii="Arial" w:hAnsi="Arial" w:cs="Arial"/>
          <w:sz w:val="24"/>
        </w:rPr>
      </w:pPr>
      <w:r>
        <w:rPr>
          <w:rFonts w:ascii="Arial" w:hAnsi="Arial" w:cs="Arial"/>
          <w:sz w:val="24"/>
        </w:rPr>
        <w:t>Q5) The definition of section 165A Road Traffic Act 1988 is: A constable in uniform may seize any mechanically propelled vehicle being driven on a road or other place to which the public has access without a valid certificate of motor insurance or if the driver fails to produce a valid driver’s license or state their name and address.</w:t>
      </w:r>
    </w:p>
    <w:p w:rsidR="00706714" w:rsidRDefault="00706714" w:rsidP="004E5602">
      <w:pPr>
        <w:rPr>
          <w:rFonts w:ascii="Arial" w:hAnsi="Arial" w:cs="Arial"/>
          <w:sz w:val="24"/>
        </w:rPr>
      </w:pPr>
    </w:p>
    <w:p w:rsidR="00706714" w:rsidRDefault="00706714" w:rsidP="004E5602">
      <w:pPr>
        <w:rPr>
          <w:rFonts w:ascii="Arial" w:hAnsi="Arial" w:cs="Arial"/>
          <w:sz w:val="24"/>
        </w:rPr>
      </w:pPr>
      <w:r>
        <w:rPr>
          <w:rFonts w:ascii="Arial" w:hAnsi="Arial" w:cs="Arial"/>
          <w:sz w:val="24"/>
        </w:rPr>
        <w:lastRenderedPageBreak/>
        <w:t xml:space="preserve">Q6) </w:t>
      </w:r>
      <w:r w:rsidR="00BC73D7">
        <w:rPr>
          <w:rFonts w:ascii="Arial" w:hAnsi="Arial" w:cs="Arial"/>
          <w:sz w:val="24"/>
        </w:rPr>
        <w:t>The definition of a reportable road traffic collision according to Section 170(1) Road Traffic Act 1988 is: A traffic collision is reportable if any damage to another person’s vehicle, pri</w:t>
      </w:r>
      <w:r w:rsidR="004F407F">
        <w:rPr>
          <w:rFonts w:ascii="Arial" w:hAnsi="Arial" w:cs="Arial"/>
          <w:sz w:val="24"/>
        </w:rPr>
        <w:t xml:space="preserve">vate or publicly owned building, property </w:t>
      </w:r>
      <w:r w:rsidR="00BC73D7">
        <w:rPr>
          <w:rFonts w:ascii="Arial" w:hAnsi="Arial" w:cs="Arial"/>
          <w:sz w:val="24"/>
        </w:rPr>
        <w:t xml:space="preserve">or structure has occurred as a result of the traffic collision, or if any person has sustained injury as a result of the traffic collision. </w:t>
      </w:r>
    </w:p>
    <w:p w:rsidR="00BC73D7" w:rsidRDefault="00BC73D7" w:rsidP="004E5602">
      <w:pPr>
        <w:rPr>
          <w:rFonts w:ascii="Arial" w:hAnsi="Arial" w:cs="Arial"/>
          <w:sz w:val="24"/>
        </w:rPr>
      </w:pPr>
    </w:p>
    <w:p w:rsidR="002A4640" w:rsidRDefault="002A4640" w:rsidP="004E5602">
      <w:pPr>
        <w:rPr>
          <w:rFonts w:ascii="Arial" w:hAnsi="Arial" w:cs="Arial"/>
          <w:sz w:val="24"/>
        </w:rPr>
      </w:pPr>
    </w:p>
    <w:p w:rsidR="00BC73D7" w:rsidRDefault="00BC73D7" w:rsidP="004E5602">
      <w:pPr>
        <w:rPr>
          <w:rFonts w:ascii="Arial" w:hAnsi="Arial" w:cs="Arial"/>
          <w:sz w:val="24"/>
        </w:rPr>
      </w:pPr>
      <w:r>
        <w:rPr>
          <w:rFonts w:ascii="Arial" w:hAnsi="Arial" w:cs="Arial"/>
          <w:sz w:val="24"/>
        </w:rPr>
        <w:t xml:space="preserve">Q7) </w:t>
      </w:r>
    </w:p>
    <w:p w:rsidR="00BC73D7" w:rsidRDefault="00BC73D7" w:rsidP="00BC73D7">
      <w:pPr>
        <w:pStyle w:val="ListParagraph"/>
        <w:numPr>
          <w:ilvl w:val="0"/>
          <w:numId w:val="2"/>
        </w:numPr>
        <w:rPr>
          <w:rFonts w:ascii="Arial" w:hAnsi="Arial" w:cs="Arial"/>
          <w:sz w:val="24"/>
        </w:rPr>
      </w:pPr>
      <w:r w:rsidRPr="002A4640">
        <w:rPr>
          <w:rFonts w:ascii="Arial" w:hAnsi="Arial" w:cs="Arial"/>
          <w:b/>
          <w:sz w:val="24"/>
        </w:rPr>
        <w:t>The definition of a road:</w:t>
      </w:r>
      <w:r w:rsidRPr="00BC73D7">
        <w:rPr>
          <w:rFonts w:ascii="Arial" w:hAnsi="Arial" w:cs="Arial"/>
          <w:sz w:val="24"/>
        </w:rPr>
        <w:t xml:space="preserve"> </w:t>
      </w:r>
      <w:r>
        <w:rPr>
          <w:rFonts w:ascii="Arial" w:hAnsi="Arial" w:cs="Arial"/>
          <w:sz w:val="24"/>
        </w:rPr>
        <w:t xml:space="preserve">A road is </w:t>
      </w:r>
      <w:r w:rsidRPr="00BC73D7">
        <w:rPr>
          <w:rFonts w:ascii="Arial" w:hAnsi="Arial" w:cs="Arial"/>
          <w:sz w:val="24"/>
        </w:rPr>
        <w:t>any highway or road to which the public has access to, including any bridges passing over a highway.</w:t>
      </w:r>
    </w:p>
    <w:p w:rsidR="00BC73D7" w:rsidRDefault="00BC73D7" w:rsidP="00BC73D7">
      <w:pPr>
        <w:pStyle w:val="ListParagraph"/>
        <w:numPr>
          <w:ilvl w:val="0"/>
          <w:numId w:val="2"/>
        </w:numPr>
        <w:rPr>
          <w:rFonts w:ascii="Arial" w:hAnsi="Arial" w:cs="Arial"/>
          <w:sz w:val="24"/>
        </w:rPr>
      </w:pPr>
      <w:r w:rsidRPr="002A4640">
        <w:rPr>
          <w:rFonts w:ascii="Arial" w:hAnsi="Arial" w:cs="Arial"/>
          <w:b/>
          <w:sz w:val="24"/>
        </w:rPr>
        <w:t>The definition of a public place:</w:t>
      </w:r>
      <w:r>
        <w:rPr>
          <w:rFonts w:ascii="Arial" w:hAnsi="Arial" w:cs="Arial"/>
          <w:sz w:val="24"/>
        </w:rPr>
        <w:t xml:space="preserve"> A public place is any place to which the public has access to, such as common land, moorland or a public highway.</w:t>
      </w:r>
    </w:p>
    <w:p w:rsidR="00BC73D7" w:rsidRDefault="00BC73D7" w:rsidP="00BC73D7">
      <w:pPr>
        <w:pStyle w:val="ListParagraph"/>
        <w:numPr>
          <w:ilvl w:val="0"/>
          <w:numId w:val="2"/>
        </w:numPr>
        <w:rPr>
          <w:rFonts w:ascii="Arial" w:hAnsi="Arial" w:cs="Arial"/>
          <w:sz w:val="24"/>
        </w:rPr>
      </w:pPr>
      <w:r w:rsidRPr="002A4640">
        <w:rPr>
          <w:rFonts w:ascii="Arial" w:hAnsi="Arial" w:cs="Arial"/>
          <w:b/>
          <w:sz w:val="24"/>
        </w:rPr>
        <w:t>The definition of mechanically propelled vehicle:</w:t>
      </w:r>
      <w:r>
        <w:rPr>
          <w:rFonts w:ascii="Arial" w:hAnsi="Arial" w:cs="Arial"/>
          <w:sz w:val="24"/>
        </w:rPr>
        <w:t xml:space="preserve"> Any motor vehicle is a mechanically propelled vehicle if it uses steam, electricity, petrol, diesel, oil or gas as a method of propulsion. </w:t>
      </w:r>
    </w:p>
    <w:p w:rsidR="00911F1C" w:rsidRDefault="00911F1C" w:rsidP="00BC73D7">
      <w:pPr>
        <w:pStyle w:val="ListParagraph"/>
        <w:numPr>
          <w:ilvl w:val="0"/>
          <w:numId w:val="2"/>
        </w:numPr>
        <w:rPr>
          <w:rFonts w:ascii="Arial" w:hAnsi="Arial" w:cs="Arial"/>
          <w:sz w:val="24"/>
        </w:rPr>
      </w:pPr>
      <w:r w:rsidRPr="002A4640">
        <w:rPr>
          <w:rFonts w:ascii="Arial" w:hAnsi="Arial" w:cs="Arial"/>
          <w:b/>
          <w:sz w:val="24"/>
        </w:rPr>
        <w:t>The definition of an animal:</w:t>
      </w:r>
      <w:r>
        <w:rPr>
          <w:rFonts w:ascii="Arial" w:hAnsi="Arial" w:cs="Arial"/>
          <w:sz w:val="24"/>
        </w:rPr>
        <w:t xml:space="preserve"> Any living animal</w:t>
      </w:r>
      <w:r w:rsidR="004F407F">
        <w:rPr>
          <w:rFonts w:ascii="Arial" w:hAnsi="Arial" w:cs="Arial"/>
          <w:sz w:val="24"/>
        </w:rPr>
        <w:t xml:space="preserve"> such as livestock. </w:t>
      </w:r>
    </w:p>
    <w:p w:rsidR="00BC73D7" w:rsidRDefault="00BC73D7" w:rsidP="00BC73D7">
      <w:pPr>
        <w:rPr>
          <w:rFonts w:ascii="Arial" w:hAnsi="Arial" w:cs="Arial"/>
          <w:sz w:val="24"/>
        </w:rPr>
      </w:pPr>
    </w:p>
    <w:p w:rsidR="00BC73D7" w:rsidRDefault="00BC73D7" w:rsidP="00BC73D7">
      <w:pPr>
        <w:rPr>
          <w:rFonts w:ascii="Arial" w:hAnsi="Arial" w:cs="Arial"/>
          <w:sz w:val="24"/>
        </w:rPr>
      </w:pPr>
      <w:r>
        <w:rPr>
          <w:rFonts w:ascii="Arial" w:hAnsi="Arial" w:cs="Arial"/>
          <w:sz w:val="24"/>
        </w:rPr>
        <w:t xml:space="preserve">Q8) </w:t>
      </w:r>
      <w:r w:rsidR="00765AC9">
        <w:rPr>
          <w:rFonts w:ascii="Arial" w:hAnsi="Arial" w:cs="Arial"/>
          <w:sz w:val="24"/>
        </w:rPr>
        <w:t>Section 170 of the Road Traffic Act 1988 imposes several duties upon drivers when they are involved in a reportable road traffic collision. These duties are; to stop and remain on scene long enough to provide details to a relevant party involved in the road traffic collision, and to report the collision to emergency services if they are unable to do so.</w:t>
      </w:r>
    </w:p>
    <w:p w:rsidR="00765AC9" w:rsidRDefault="00765AC9" w:rsidP="00BC73D7">
      <w:pPr>
        <w:rPr>
          <w:rFonts w:ascii="Arial" w:hAnsi="Arial" w:cs="Arial"/>
          <w:sz w:val="24"/>
        </w:rPr>
      </w:pPr>
    </w:p>
    <w:p w:rsidR="00765AC9" w:rsidRDefault="00765AC9" w:rsidP="00BC73D7">
      <w:pPr>
        <w:rPr>
          <w:rFonts w:ascii="Arial" w:hAnsi="Arial" w:cs="Arial"/>
          <w:sz w:val="24"/>
        </w:rPr>
      </w:pPr>
      <w:r>
        <w:rPr>
          <w:rFonts w:ascii="Arial" w:hAnsi="Arial" w:cs="Arial"/>
          <w:sz w:val="24"/>
        </w:rPr>
        <w:t xml:space="preserve">Q9) </w:t>
      </w:r>
      <w:r w:rsidR="00A27A9A">
        <w:rPr>
          <w:rFonts w:ascii="Arial" w:hAnsi="Arial" w:cs="Arial"/>
          <w:sz w:val="24"/>
        </w:rPr>
        <w:t>A constable in uniform has the power to enter a house and deal with a driver for the offence of driving whilst over the prescribed limit. The constable is able to force entry into the dwelling if needed and ascertain the name and address of the driver, as well as require them to pro</w:t>
      </w:r>
      <w:r w:rsidR="002A4640">
        <w:rPr>
          <w:rFonts w:ascii="Arial" w:hAnsi="Arial" w:cs="Arial"/>
          <w:sz w:val="24"/>
        </w:rPr>
        <w:t xml:space="preserve">vide a preliminary breath test, or to effect an arrest of any person driving whilst over the prescribed limit. </w:t>
      </w:r>
    </w:p>
    <w:p w:rsidR="00A27A9A" w:rsidRDefault="00A27A9A" w:rsidP="00BC73D7">
      <w:pPr>
        <w:rPr>
          <w:rFonts w:ascii="Arial" w:hAnsi="Arial" w:cs="Arial"/>
          <w:sz w:val="24"/>
        </w:rPr>
      </w:pPr>
    </w:p>
    <w:p w:rsidR="00A27A9A" w:rsidRDefault="00A27A9A" w:rsidP="00BC73D7">
      <w:pPr>
        <w:rPr>
          <w:rFonts w:ascii="Arial" w:hAnsi="Arial" w:cs="Arial"/>
          <w:sz w:val="24"/>
        </w:rPr>
      </w:pPr>
      <w:r>
        <w:rPr>
          <w:rFonts w:ascii="Arial" w:hAnsi="Arial" w:cs="Arial"/>
          <w:sz w:val="24"/>
        </w:rPr>
        <w:t xml:space="preserve">Q10) Contrary to Section 1 Road Traffic Act 1988, a person is guilty of an offence if they intentionally drive dangerously, a mechanically propelled vehicle, on a road or other place to which the public has access to, and in doing so cause the death of a person other than themselves. </w:t>
      </w:r>
    </w:p>
    <w:p w:rsidR="00A27A9A" w:rsidRDefault="00A27A9A" w:rsidP="00BC73D7">
      <w:pPr>
        <w:rPr>
          <w:rFonts w:ascii="Arial" w:hAnsi="Arial" w:cs="Arial"/>
          <w:sz w:val="24"/>
        </w:rPr>
      </w:pPr>
    </w:p>
    <w:p w:rsidR="00A27A9A" w:rsidRDefault="00A27A9A" w:rsidP="00BC73D7">
      <w:pPr>
        <w:rPr>
          <w:rFonts w:ascii="Arial" w:hAnsi="Arial" w:cs="Arial"/>
          <w:sz w:val="24"/>
        </w:rPr>
      </w:pPr>
      <w:r>
        <w:rPr>
          <w:rFonts w:ascii="Arial" w:hAnsi="Arial" w:cs="Arial"/>
          <w:sz w:val="24"/>
        </w:rPr>
        <w:t xml:space="preserve">Q11) With regards to the national prescribed limits for drink/drug driving related offences, the national prescribed limits for some drugs are as follows: cocaine is 10 micrograms in 100 mililitres of blood, cannabis/THC is 2 micrograms in 100 mililitres of blood. </w:t>
      </w:r>
    </w:p>
    <w:p w:rsidR="00A27A9A" w:rsidRDefault="00A27A9A" w:rsidP="00BC73D7">
      <w:pPr>
        <w:rPr>
          <w:rFonts w:ascii="Arial" w:hAnsi="Arial" w:cs="Arial"/>
          <w:sz w:val="24"/>
        </w:rPr>
      </w:pPr>
    </w:p>
    <w:p w:rsidR="00A27A9A" w:rsidRDefault="00A27A9A" w:rsidP="00BC73D7">
      <w:pPr>
        <w:rPr>
          <w:rFonts w:ascii="Arial" w:hAnsi="Arial" w:cs="Arial"/>
          <w:sz w:val="24"/>
        </w:rPr>
      </w:pPr>
      <w:r>
        <w:rPr>
          <w:rFonts w:ascii="Arial" w:hAnsi="Arial" w:cs="Arial"/>
          <w:sz w:val="24"/>
        </w:rPr>
        <w:lastRenderedPageBreak/>
        <w:t xml:space="preserve">The national prescribed limits for alcohol are as follows: 35 micrograms of breath in 100 mililitres of breath, 107 mililitres of urine in 100 mililitres of urine and 80 micrograms of blood in 100 militres of blood. </w:t>
      </w:r>
    </w:p>
    <w:p w:rsidR="00A27A9A" w:rsidRDefault="00A27A9A" w:rsidP="00BC73D7">
      <w:pPr>
        <w:rPr>
          <w:rFonts w:ascii="Arial" w:hAnsi="Arial" w:cs="Arial"/>
          <w:sz w:val="24"/>
        </w:rPr>
      </w:pPr>
    </w:p>
    <w:p w:rsidR="002A4640" w:rsidRDefault="002A4640" w:rsidP="00BC73D7">
      <w:pPr>
        <w:rPr>
          <w:rFonts w:ascii="Arial" w:hAnsi="Arial" w:cs="Arial"/>
          <w:sz w:val="24"/>
        </w:rPr>
      </w:pPr>
    </w:p>
    <w:p w:rsidR="002A4640" w:rsidRDefault="002A4640" w:rsidP="00BC73D7">
      <w:pPr>
        <w:rPr>
          <w:rFonts w:ascii="Arial" w:hAnsi="Arial" w:cs="Arial"/>
          <w:sz w:val="24"/>
        </w:rPr>
      </w:pPr>
    </w:p>
    <w:p w:rsidR="00A27A9A" w:rsidRDefault="00A27A9A" w:rsidP="00BC73D7">
      <w:pPr>
        <w:rPr>
          <w:rFonts w:ascii="Arial" w:hAnsi="Arial" w:cs="Arial"/>
          <w:sz w:val="24"/>
        </w:rPr>
      </w:pPr>
      <w:r>
        <w:rPr>
          <w:rFonts w:ascii="Arial" w:hAnsi="Arial" w:cs="Arial"/>
          <w:sz w:val="24"/>
        </w:rPr>
        <w:t xml:space="preserve">Q12) </w:t>
      </w:r>
      <w:r w:rsidR="00A400E5">
        <w:rPr>
          <w:rFonts w:ascii="Arial" w:hAnsi="Arial" w:cs="Arial"/>
          <w:sz w:val="24"/>
        </w:rPr>
        <w:t xml:space="preserve">During a suspect interview, several different ‘relevant other people’ may be present. </w:t>
      </w:r>
    </w:p>
    <w:p w:rsidR="00A400E5" w:rsidRDefault="00A400E5" w:rsidP="00BC73D7">
      <w:pPr>
        <w:rPr>
          <w:rFonts w:ascii="Arial" w:hAnsi="Arial" w:cs="Arial"/>
          <w:sz w:val="24"/>
        </w:rPr>
      </w:pPr>
      <w:r>
        <w:rPr>
          <w:rFonts w:ascii="Arial" w:hAnsi="Arial" w:cs="Arial"/>
          <w:sz w:val="24"/>
        </w:rPr>
        <w:t>For example, in the case of a child or vulnerable person, an appropriate adult should be present. An appropriate adult is a person who is over the age of 18 and acts as a communication facilitator between the child or vulnerable person and the person conducting the suspect interview. The appropriate adult is not there to give answers on behalf of the person they are assisting, but may help to explain ‘big words’ used by the interviewer, or may help to break down or better explain a question put to the person they are assisting – an appropriate adult can thus be very useful in aiding the person they are assisting to provide their full and accurate account if they so wish.</w:t>
      </w:r>
    </w:p>
    <w:p w:rsidR="004F78D3" w:rsidRDefault="004F78D3" w:rsidP="00BC73D7">
      <w:pPr>
        <w:rPr>
          <w:rFonts w:ascii="Arial" w:hAnsi="Arial" w:cs="Arial"/>
          <w:sz w:val="24"/>
        </w:rPr>
      </w:pPr>
    </w:p>
    <w:p w:rsidR="004F78D3" w:rsidRDefault="004F78D3" w:rsidP="00BC73D7">
      <w:pPr>
        <w:rPr>
          <w:rFonts w:ascii="Arial" w:hAnsi="Arial" w:cs="Arial"/>
          <w:sz w:val="24"/>
        </w:rPr>
      </w:pPr>
      <w:r>
        <w:rPr>
          <w:rFonts w:ascii="Arial" w:hAnsi="Arial" w:cs="Arial"/>
          <w:sz w:val="24"/>
        </w:rPr>
        <w:t xml:space="preserve">A solicitor may also be present during a suspect interview, in order to represent a person being interviewed and provide them with legal advice and counsel, and to safeguard their legal rights and privileges under the Police and Criminal Evidence Act 1984 and other relevant legislation or protocols governing suspect interviews. A solicitor may sometimes, but of course not always, assist their client with the completion of a prepared statement to provide to the interviewer, or perhaps challenge an interviewer they believe is being oppressive during the interview. </w:t>
      </w:r>
    </w:p>
    <w:p w:rsidR="004F78D3" w:rsidRDefault="004F78D3" w:rsidP="00BC73D7">
      <w:pPr>
        <w:rPr>
          <w:rFonts w:ascii="Arial" w:hAnsi="Arial" w:cs="Arial"/>
          <w:sz w:val="24"/>
        </w:rPr>
      </w:pPr>
    </w:p>
    <w:p w:rsidR="004F78D3" w:rsidRDefault="004F78D3" w:rsidP="00BC73D7">
      <w:pPr>
        <w:rPr>
          <w:rFonts w:ascii="Arial" w:hAnsi="Arial" w:cs="Arial"/>
          <w:sz w:val="24"/>
        </w:rPr>
      </w:pPr>
      <w:r>
        <w:rPr>
          <w:rFonts w:ascii="Arial" w:hAnsi="Arial" w:cs="Arial"/>
          <w:sz w:val="24"/>
        </w:rPr>
        <w:t xml:space="preserve">Depending on the person being interviewed, an interpreter may be required. For example, if Juan is being interviewed, but only speaks Spanish and does not speak English, Juan has the legal right to be interviewed in a language of his choosing – which, would very likely be Spanish in this situation. Thus, during the interview, the interviewer would arrange for an interpreter to be present to facilitate communication with Juan, and to ensure that Juan understands why he is being interviewed, his legal rights and any allegations being brought against him. </w:t>
      </w:r>
    </w:p>
    <w:p w:rsidR="004F78D3" w:rsidRDefault="004F78D3" w:rsidP="00BC73D7">
      <w:pPr>
        <w:rPr>
          <w:rFonts w:ascii="Arial" w:hAnsi="Arial" w:cs="Arial"/>
          <w:sz w:val="24"/>
        </w:rPr>
      </w:pPr>
      <w:r>
        <w:rPr>
          <w:rFonts w:ascii="Arial" w:hAnsi="Arial" w:cs="Arial"/>
          <w:sz w:val="24"/>
        </w:rPr>
        <w:t xml:space="preserve">The interpreter does not ask their own questions to Juan, and does not answer for Juan, but simply translates what the interviewer or other parties present (perhaps an appropriate adult or solicitor) are saying from English to Spanish, so that Juan can understand. </w:t>
      </w:r>
    </w:p>
    <w:p w:rsidR="004F78D3" w:rsidRDefault="004F78D3" w:rsidP="00BC73D7">
      <w:pPr>
        <w:rPr>
          <w:rFonts w:ascii="Arial" w:hAnsi="Arial" w:cs="Arial"/>
          <w:sz w:val="24"/>
        </w:rPr>
      </w:pPr>
    </w:p>
    <w:p w:rsidR="004F78D3" w:rsidRDefault="00992A81" w:rsidP="00BC73D7">
      <w:pPr>
        <w:rPr>
          <w:rFonts w:ascii="Arial" w:hAnsi="Arial" w:cs="Arial"/>
          <w:sz w:val="24"/>
        </w:rPr>
      </w:pPr>
      <w:r>
        <w:rPr>
          <w:rFonts w:ascii="Arial" w:hAnsi="Arial" w:cs="Arial"/>
          <w:sz w:val="24"/>
        </w:rPr>
        <w:t xml:space="preserve">A so-called ‘second jockey’ may also be present as well as the primary interviewer. A second jockey will assist the primary interviewer with their note taking and line of </w:t>
      </w:r>
      <w:r>
        <w:rPr>
          <w:rFonts w:ascii="Arial" w:hAnsi="Arial" w:cs="Arial"/>
          <w:sz w:val="24"/>
        </w:rPr>
        <w:lastRenderedPageBreak/>
        <w:t xml:space="preserve">questioning, and ensure that all questions are act and that the primary interviewer is supported during the interview. </w:t>
      </w:r>
    </w:p>
    <w:p w:rsidR="00992A81" w:rsidRDefault="00992A81" w:rsidP="00BC73D7">
      <w:pPr>
        <w:rPr>
          <w:rFonts w:ascii="Arial" w:hAnsi="Arial" w:cs="Arial"/>
          <w:sz w:val="24"/>
        </w:rPr>
      </w:pPr>
    </w:p>
    <w:p w:rsidR="002A4640" w:rsidRDefault="002A4640" w:rsidP="00BC73D7">
      <w:pPr>
        <w:rPr>
          <w:rFonts w:ascii="Arial" w:hAnsi="Arial" w:cs="Arial"/>
          <w:sz w:val="24"/>
        </w:rPr>
      </w:pPr>
    </w:p>
    <w:p w:rsidR="002A4640" w:rsidRDefault="002A4640" w:rsidP="00BC73D7">
      <w:pPr>
        <w:rPr>
          <w:rFonts w:ascii="Arial" w:hAnsi="Arial" w:cs="Arial"/>
          <w:sz w:val="24"/>
        </w:rPr>
      </w:pPr>
    </w:p>
    <w:p w:rsidR="002A4640" w:rsidRDefault="002A4640" w:rsidP="00BC73D7">
      <w:pPr>
        <w:rPr>
          <w:rFonts w:ascii="Arial" w:hAnsi="Arial" w:cs="Arial"/>
          <w:sz w:val="24"/>
        </w:rPr>
      </w:pPr>
    </w:p>
    <w:p w:rsidR="00992A81" w:rsidRDefault="00992A81" w:rsidP="00BC73D7">
      <w:pPr>
        <w:rPr>
          <w:rFonts w:ascii="Arial" w:hAnsi="Arial" w:cs="Arial"/>
          <w:sz w:val="24"/>
        </w:rPr>
      </w:pPr>
      <w:r>
        <w:rPr>
          <w:rFonts w:ascii="Arial" w:hAnsi="Arial" w:cs="Arial"/>
          <w:sz w:val="24"/>
        </w:rPr>
        <w:t xml:space="preserve">Q13) </w:t>
      </w:r>
      <w:r w:rsidR="001E46EF">
        <w:rPr>
          <w:rFonts w:ascii="Arial" w:hAnsi="Arial" w:cs="Arial"/>
          <w:sz w:val="24"/>
        </w:rPr>
        <w:t>The national police interviewing model can be called the ‘PEACE’ interviewing model. The PEACE interviewing model is as follows:</w:t>
      </w:r>
    </w:p>
    <w:p w:rsidR="001E46EF" w:rsidRDefault="001E46EF" w:rsidP="00BC73D7">
      <w:pPr>
        <w:rPr>
          <w:rFonts w:ascii="Arial" w:hAnsi="Arial" w:cs="Arial"/>
          <w:sz w:val="24"/>
        </w:rPr>
      </w:pPr>
      <w:r>
        <w:rPr>
          <w:rFonts w:ascii="Arial" w:hAnsi="Arial" w:cs="Arial"/>
          <w:sz w:val="24"/>
        </w:rPr>
        <w:t>P – Planning and Preparation (An interview must be carefully planned and prepared for.)</w:t>
      </w:r>
    </w:p>
    <w:p w:rsidR="001E46EF" w:rsidRDefault="001E46EF" w:rsidP="00BC73D7">
      <w:pPr>
        <w:rPr>
          <w:rFonts w:ascii="Arial" w:hAnsi="Arial" w:cs="Arial"/>
          <w:sz w:val="24"/>
        </w:rPr>
      </w:pPr>
      <w:r>
        <w:rPr>
          <w:rFonts w:ascii="Arial" w:hAnsi="Arial" w:cs="Arial"/>
          <w:sz w:val="24"/>
        </w:rPr>
        <w:t>E – Engage and Explain (The interviewer must engage with the interviewee and introduce themselves, as well as explain why the interviewee is there and the allegation brought against them.)</w:t>
      </w:r>
    </w:p>
    <w:p w:rsidR="001E46EF" w:rsidRDefault="001E46EF" w:rsidP="00BC73D7">
      <w:pPr>
        <w:rPr>
          <w:rFonts w:ascii="Arial" w:hAnsi="Arial" w:cs="Arial"/>
          <w:sz w:val="24"/>
        </w:rPr>
      </w:pPr>
      <w:r>
        <w:rPr>
          <w:rFonts w:ascii="Arial" w:hAnsi="Arial" w:cs="Arial"/>
          <w:sz w:val="24"/>
        </w:rPr>
        <w:t xml:space="preserve">A – Account, Challenge and Clarify (The interviewer is to give the interviewee an opportunity to provide a full, uninterrupted account of the incident/matter at hand. The interviewer should then challenge the interviewee on any discrepancies or points whereby the interviewer feels it necessary to challenge/go over/cover the interviewee on. The interviewer must also summarise that persons account and points that they are saying, and then clarify this in order to ensure that they are achieving best evidence from the interviewee and a full account.) </w:t>
      </w:r>
    </w:p>
    <w:p w:rsidR="001E46EF" w:rsidRDefault="001E46EF" w:rsidP="00BC73D7">
      <w:pPr>
        <w:rPr>
          <w:rFonts w:ascii="Arial" w:hAnsi="Arial" w:cs="Arial"/>
          <w:sz w:val="24"/>
        </w:rPr>
      </w:pPr>
      <w:r>
        <w:rPr>
          <w:rFonts w:ascii="Arial" w:hAnsi="Arial" w:cs="Arial"/>
          <w:sz w:val="24"/>
        </w:rPr>
        <w:t>C – Closure (The interviewer is to close the interview with a full summary again of what has been said by the interviewee, and give the interviewee a final opportunity to  add to their account or amend it. The interviewer must also explain to the interviewee what happens to the recording of the interview, and what is to happen once the interview is over.)</w:t>
      </w:r>
    </w:p>
    <w:p w:rsidR="001E46EF" w:rsidRDefault="001E46EF" w:rsidP="00BC73D7">
      <w:pPr>
        <w:rPr>
          <w:rFonts w:ascii="Arial" w:hAnsi="Arial" w:cs="Arial"/>
          <w:sz w:val="24"/>
        </w:rPr>
      </w:pPr>
      <w:r>
        <w:rPr>
          <w:rFonts w:ascii="Arial" w:hAnsi="Arial" w:cs="Arial"/>
          <w:sz w:val="24"/>
        </w:rPr>
        <w:t xml:space="preserve">E </w:t>
      </w:r>
      <w:r w:rsidR="000D45F7">
        <w:rPr>
          <w:rFonts w:ascii="Arial" w:hAnsi="Arial" w:cs="Arial"/>
          <w:sz w:val="24"/>
        </w:rPr>
        <w:t>–</w:t>
      </w:r>
      <w:r>
        <w:rPr>
          <w:rFonts w:ascii="Arial" w:hAnsi="Arial" w:cs="Arial"/>
          <w:sz w:val="24"/>
        </w:rPr>
        <w:t xml:space="preserve"> </w:t>
      </w:r>
      <w:r w:rsidR="000D45F7">
        <w:rPr>
          <w:rFonts w:ascii="Arial" w:hAnsi="Arial" w:cs="Arial"/>
          <w:sz w:val="24"/>
        </w:rPr>
        <w:t xml:space="preserve">Evaluate (The interviewer should evaluate their own performance during the interview, and undertake reflective practise to ensure that they are conducting interviews properly and in line with policies, procedures and the Police and Criminal Evidence Act 1984. The interviewer should be willing to share their performance with their supervisor so that any additional learning can be identified, with the view of improving the interviewer’s overall performance. The interview could even use the Colb or Gibbs model of reflective practise to aid with this.) </w:t>
      </w:r>
    </w:p>
    <w:p w:rsidR="000D45F7" w:rsidRDefault="000D45F7" w:rsidP="00BC73D7">
      <w:pPr>
        <w:rPr>
          <w:rFonts w:ascii="Arial" w:hAnsi="Arial" w:cs="Arial"/>
          <w:sz w:val="24"/>
        </w:rPr>
      </w:pPr>
    </w:p>
    <w:p w:rsidR="000D45F7" w:rsidRDefault="000D45F7" w:rsidP="00BC73D7">
      <w:pPr>
        <w:rPr>
          <w:rFonts w:ascii="Arial" w:hAnsi="Arial" w:cs="Arial"/>
          <w:sz w:val="24"/>
        </w:rPr>
      </w:pPr>
      <w:r>
        <w:rPr>
          <w:rFonts w:ascii="Arial" w:hAnsi="Arial" w:cs="Arial"/>
          <w:sz w:val="24"/>
        </w:rPr>
        <w:t xml:space="preserve">Q14) </w:t>
      </w:r>
      <w:r w:rsidR="007C4CE7">
        <w:rPr>
          <w:rFonts w:ascii="Arial" w:hAnsi="Arial" w:cs="Arial"/>
          <w:sz w:val="24"/>
        </w:rPr>
        <w:t xml:space="preserve">The definition of the offence of ‘controlling or coercive behaviour in an intimate or family relationship’, contrary to section 76 of the Serious Crime Act 2015 is: Person A is guilty of an offence if they intentionally pursue a pattern of behaviour against person B, and that pattern of behaviour is coercive or controlling and likely to cause significant harm to person B, and at the time of the behaviour, person A and person B are personally connected, and person A knows or ought to know that their behaviour is likely to cause significant harm to person B. </w:t>
      </w:r>
    </w:p>
    <w:p w:rsidR="007C4CE7" w:rsidRDefault="007C4CE7" w:rsidP="00BC73D7">
      <w:pPr>
        <w:rPr>
          <w:rFonts w:ascii="Arial" w:hAnsi="Arial" w:cs="Arial"/>
          <w:sz w:val="24"/>
        </w:rPr>
      </w:pPr>
    </w:p>
    <w:p w:rsidR="007C4CE7" w:rsidRDefault="007C4CE7" w:rsidP="00BC73D7">
      <w:pPr>
        <w:rPr>
          <w:rFonts w:ascii="Arial" w:hAnsi="Arial" w:cs="Arial"/>
          <w:sz w:val="24"/>
        </w:rPr>
      </w:pPr>
      <w:r>
        <w:rPr>
          <w:rFonts w:ascii="Arial" w:hAnsi="Arial" w:cs="Arial"/>
          <w:sz w:val="24"/>
        </w:rPr>
        <w:t xml:space="preserve">Q15) </w:t>
      </w:r>
      <w:r w:rsidR="00022E4F">
        <w:rPr>
          <w:rFonts w:ascii="Arial" w:hAnsi="Arial" w:cs="Arial"/>
          <w:sz w:val="24"/>
        </w:rPr>
        <w:t xml:space="preserve">The offence of ‘coercive control’ is, indeed, relatively new. It was made an offence in legislation in 2015, and prior to that there were no particular mechanisms for identifying coercive or controlling behaviour on the scale that the new legislation and offence allows for. </w:t>
      </w:r>
    </w:p>
    <w:p w:rsidR="00022E4F" w:rsidRDefault="00022E4F" w:rsidP="00BC73D7">
      <w:pPr>
        <w:rPr>
          <w:rFonts w:ascii="Arial" w:hAnsi="Arial" w:cs="Arial"/>
          <w:sz w:val="24"/>
        </w:rPr>
      </w:pPr>
    </w:p>
    <w:p w:rsidR="00022E4F" w:rsidRDefault="00022E4F" w:rsidP="00BC73D7">
      <w:pPr>
        <w:rPr>
          <w:rFonts w:ascii="Arial" w:hAnsi="Arial" w:cs="Arial"/>
          <w:sz w:val="24"/>
        </w:rPr>
      </w:pPr>
      <w:r>
        <w:rPr>
          <w:rFonts w:ascii="Arial" w:hAnsi="Arial" w:cs="Arial"/>
          <w:sz w:val="24"/>
        </w:rPr>
        <w:t>The offence is so important because it allows victims who have been subjected to coercive or controlling behaviour to have their claims/allegations investigated from 2015 onwards. With the new offence being publicised and featured in various campaigns by police forces, local authorities and the Home Office, it allows victims of coercive control who had no idea the behaviour they were being subjected to was wrong, to come forward with the hope that they WILL be listened to and they WILL be taken seriously.</w:t>
      </w:r>
    </w:p>
    <w:p w:rsidR="00022E4F" w:rsidRDefault="00022E4F" w:rsidP="00BC73D7">
      <w:pPr>
        <w:rPr>
          <w:rFonts w:ascii="Arial" w:hAnsi="Arial" w:cs="Arial"/>
          <w:sz w:val="24"/>
        </w:rPr>
      </w:pPr>
    </w:p>
    <w:p w:rsidR="00022E4F" w:rsidRDefault="00022E4F" w:rsidP="00BC73D7">
      <w:pPr>
        <w:rPr>
          <w:rFonts w:ascii="Arial" w:hAnsi="Arial" w:cs="Arial"/>
          <w:sz w:val="24"/>
        </w:rPr>
      </w:pPr>
      <w:r>
        <w:rPr>
          <w:rFonts w:ascii="Arial" w:hAnsi="Arial" w:cs="Arial"/>
          <w:sz w:val="24"/>
        </w:rPr>
        <w:t xml:space="preserve">Ultimately, the offence of coercive control is so important because it allows victims and opportunity to prosecute behaviour that often times previously sat in a legal ‘gray area’. The new offence removes that legal ‘gray area’ and allows offenders to be prosecuted, and allows victims to receive support through the process. </w:t>
      </w:r>
    </w:p>
    <w:p w:rsidR="00022E4F" w:rsidRDefault="00022E4F" w:rsidP="00BC73D7">
      <w:pPr>
        <w:rPr>
          <w:rFonts w:ascii="Arial" w:hAnsi="Arial" w:cs="Arial"/>
          <w:sz w:val="24"/>
        </w:rPr>
      </w:pPr>
    </w:p>
    <w:p w:rsidR="00022E4F" w:rsidRDefault="00022E4F" w:rsidP="00BC73D7">
      <w:pPr>
        <w:rPr>
          <w:rFonts w:ascii="Arial" w:hAnsi="Arial" w:cs="Arial"/>
          <w:sz w:val="24"/>
        </w:rPr>
      </w:pPr>
      <w:r>
        <w:rPr>
          <w:rFonts w:ascii="Arial" w:hAnsi="Arial" w:cs="Arial"/>
          <w:sz w:val="24"/>
        </w:rPr>
        <w:t>Q16) Section 46 of the Children Act 1989 provides a power to constables so that if they believe a child could suffer significant harm due to their circumstances, they may ensure the child’s safety by rem</w:t>
      </w:r>
      <w:r w:rsidR="00F1359A">
        <w:rPr>
          <w:rFonts w:ascii="Arial" w:hAnsi="Arial" w:cs="Arial"/>
          <w:sz w:val="24"/>
        </w:rPr>
        <w:t xml:space="preserve">oving them to a place of safety, or keep them at a hospital or place of safety. </w:t>
      </w:r>
    </w:p>
    <w:p w:rsidR="00F1359A" w:rsidRDefault="00F1359A" w:rsidP="00BC73D7">
      <w:pPr>
        <w:rPr>
          <w:rFonts w:ascii="Arial" w:hAnsi="Arial" w:cs="Arial"/>
          <w:sz w:val="24"/>
        </w:rPr>
      </w:pPr>
    </w:p>
    <w:p w:rsidR="00F1359A" w:rsidRDefault="00F1359A" w:rsidP="00BC73D7">
      <w:pPr>
        <w:rPr>
          <w:rFonts w:ascii="Arial" w:hAnsi="Arial" w:cs="Arial"/>
          <w:sz w:val="24"/>
        </w:rPr>
      </w:pPr>
      <w:r>
        <w:rPr>
          <w:rFonts w:ascii="Arial" w:hAnsi="Arial" w:cs="Arial"/>
          <w:sz w:val="24"/>
        </w:rPr>
        <w:t>For example, I am the constable, and I attend a call with several colleagues at an address to say that there is an ongoing domestic between two adults with a child aged 10 present. Upon arrival, my colleagues and I find that the two adults have seriously physically assaulted one another in the presence of the child, and have thrown objects at one another, and have broken furniture and multiple windows in the house.</w:t>
      </w:r>
    </w:p>
    <w:p w:rsidR="00F1359A" w:rsidRDefault="00F1359A" w:rsidP="00BC73D7">
      <w:pPr>
        <w:rPr>
          <w:rFonts w:ascii="Arial" w:hAnsi="Arial" w:cs="Arial"/>
          <w:sz w:val="24"/>
        </w:rPr>
      </w:pPr>
    </w:p>
    <w:p w:rsidR="00F1359A" w:rsidRDefault="00F1359A" w:rsidP="00BC73D7">
      <w:pPr>
        <w:rPr>
          <w:rFonts w:ascii="Arial" w:hAnsi="Arial" w:cs="Arial"/>
          <w:sz w:val="24"/>
        </w:rPr>
      </w:pPr>
      <w:r>
        <w:rPr>
          <w:rFonts w:ascii="Arial" w:hAnsi="Arial" w:cs="Arial"/>
          <w:sz w:val="24"/>
        </w:rPr>
        <w:t xml:space="preserve">Immediately, I would take the child into police protective custody under section 46 of the Children Act 1998 to ensure that the child does not suffer significant harm. Otherwise, if I were to leave the child there, the child could suffer significant harm to their health not only through the sheer mental trauma of watching their parents be arrested (and potentially this having to be done using force against an aggressive resistant parent), but also physically, due to the broken glass and objects being thrown. It is also unreasonable to suggest that if both parents are being arrested, that the child be left on their own – a 10 year old child would be likely, in my opinion, to suffer significant harm through not being able to feed themselves properly or care for themselves. </w:t>
      </w:r>
    </w:p>
    <w:p w:rsidR="00F1359A" w:rsidRDefault="00F1359A" w:rsidP="00BC73D7">
      <w:pPr>
        <w:rPr>
          <w:rFonts w:ascii="Arial" w:hAnsi="Arial" w:cs="Arial"/>
          <w:sz w:val="24"/>
        </w:rPr>
      </w:pPr>
    </w:p>
    <w:p w:rsidR="00F1359A" w:rsidRDefault="00F1359A" w:rsidP="00BC73D7">
      <w:pPr>
        <w:rPr>
          <w:rFonts w:ascii="Arial" w:hAnsi="Arial" w:cs="Arial"/>
          <w:sz w:val="24"/>
        </w:rPr>
      </w:pPr>
      <w:r>
        <w:rPr>
          <w:rFonts w:ascii="Arial" w:hAnsi="Arial" w:cs="Arial"/>
          <w:sz w:val="24"/>
        </w:rPr>
        <w:t xml:space="preserve">I would take the child to a place of safety. Perhaps initially, a police station in the very short term, whilst accommodation elsewhere is arranged, perhaps, for example, with an emergency foster carer. I could then apply for a police protection order to better safeguard the child in the medium to long term. </w:t>
      </w:r>
    </w:p>
    <w:p w:rsidR="00F1359A" w:rsidRDefault="00F1359A" w:rsidP="00BC73D7">
      <w:pPr>
        <w:rPr>
          <w:rFonts w:ascii="Arial" w:hAnsi="Arial" w:cs="Arial"/>
          <w:sz w:val="24"/>
        </w:rPr>
      </w:pPr>
    </w:p>
    <w:p w:rsidR="00F1359A" w:rsidRDefault="00F1359A" w:rsidP="00BC73D7">
      <w:pPr>
        <w:rPr>
          <w:rFonts w:ascii="Arial" w:hAnsi="Arial" w:cs="Arial"/>
          <w:sz w:val="24"/>
        </w:rPr>
      </w:pPr>
      <w:r>
        <w:rPr>
          <w:rFonts w:ascii="Arial" w:hAnsi="Arial" w:cs="Arial"/>
          <w:sz w:val="24"/>
        </w:rPr>
        <w:t>Q17) A person is guilty of an offence of child cruelty if they are over 16 and have responsibility for a child, and they wilfully neglect, assault, mistreat or abandon a child, or expose the child to risk of significant harm or injury to health.</w:t>
      </w:r>
    </w:p>
    <w:p w:rsidR="00F1359A" w:rsidRDefault="00F1359A" w:rsidP="00BC73D7">
      <w:pPr>
        <w:rPr>
          <w:rFonts w:ascii="Arial" w:hAnsi="Arial" w:cs="Arial"/>
          <w:sz w:val="24"/>
        </w:rPr>
      </w:pPr>
    </w:p>
    <w:p w:rsidR="00F1359A" w:rsidRDefault="00F1359A" w:rsidP="00BC73D7">
      <w:pPr>
        <w:rPr>
          <w:rFonts w:ascii="Arial" w:hAnsi="Arial" w:cs="Arial"/>
          <w:sz w:val="24"/>
        </w:rPr>
      </w:pPr>
      <w:r>
        <w:rPr>
          <w:rFonts w:ascii="Arial" w:hAnsi="Arial" w:cs="Arial"/>
          <w:sz w:val="24"/>
        </w:rPr>
        <w:t xml:space="preserve">Q18) </w:t>
      </w:r>
      <w:r w:rsidR="00714A83">
        <w:rPr>
          <w:rFonts w:ascii="Arial" w:hAnsi="Arial" w:cs="Arial"/>
          <w:sz w:val="24"/>
        </w:rPr>
        <w:t>Multi Agency Risk Assessment Conferences (or MARAC) can be used to deal with matters of domestic abuse. At a MARAC meeting, several representatives from different agencies (such as the police, housing, mental health service, social services, aid charities etc) attend and hear ‘cases’ involving victims of domestic abuse. Whilst hearing these cases, each representative looks at a certain area of the case whereby they may be best placed to provide support or assistance to the victim.</w:t>
      </w:r>
    </w:p>
    <w:p w:rsidR="00714A83" w:rsidRDefault="00714A83" w:rsidP="00BC73D7">
      <w:pPr>
        <w:rPr>
          <w:rFonts w:ascii="Arial" w:hAnsi="Arial" w:cs="Arial"/>
          <w:sz w:val="24"/>
        </w:rPr>
      </w:pPr>
    </w:p>
    <w:p w:rsidR="00714A83" w:rsidRDefault="00714A83" w:rsidP="00BC73D7">
      <w:pPr>
        <w:rPr>
          <w:rFonts w:ascii="Arial" w:hAnsi="Arial" w:cs="Arial"/>
          <w:sz w:val="24"/>
        </w:rPr>
      </w:pPr>
      <w:r>
        <w:rPr>
          <w:rFonts w:ascii="Arial" w:hAnsi="Arial" w:cs="Arial"/>
          <w:sz w:val="24"/>
        </w:rPr>
        <w:t xml:space="preserve">For example, Julie has been a victim of domestic abuse at the hands of her husband Frank. They live in the same house, and recently, Julie tried to leave their house to start a new life without Frank, but Frank beat her up and refused to let Julie leave. Julie reported this to the police and Frank was arrested. Julie’s case was referred to a MARAC meeting, and at that meeting, Eleanor (a housing officer with the local council) heard that one of the core issues and factors in Julie’s case is that Frank owns the house they live in, and Julie will be homeless and thus at serious risk of harm and increased vulnerability if she does manage to leave Frank. Given this, Eleanor finds a housing placement for Julie where she can live in a small 1 bed apartment in a nice, safe area and be away from Frank. </w:t>
      </w:r>
    </w:p>
    <w:p w:rsidR="00714A83" w:rsidRDefault="00714A83" w:rsidP="00BC73D7">
      <w:pPr>
        <w:rPr>
          <w:rFonts w:ascii="Arial" w:hAnsi="Arial" w:cs="Arial"/>
          <w:sz w:val="24"/>
        </w:rPr>
      </w:pPr>
    </w:p>
    <w:p w:rsidR="00714A83" w:rsidRDefault="00714A83" w:rsidP="00BC73D7">
      <w:pPr>
        <w:rPr>
          <w:rFonts w:ascii="Arial" w:hAnsi="Arial" w:cs="Arial"/>
          <w:sz w:val="24"/>
        </w:rPr>
      </w:pPr>
      <w:r>
        <w:rPr>
          <w:rFonts w:ascii="Arial" w:hAnsi="Arial" w:cs="Arial"/>
          <w:sz w:val="24"/>
        </w:rPr>
        <w:t xml:space="preserve">The police decide that if Eleanor is able to put this in place, that the local Neighbourhood Policing Team will be tasked with conducting hourly patrols outside Julie’s house for a set period of time, and will conduct regular face to face meetings with Julie to ensure she is safe and coping well. </w:t>
      </w:r>
    </w:p>
    <w:p w:rsidR="00714A83" w:rsidRDefault="00714A83" w:rsidP="00BC73D7">
      <w:pPr>
        <w:rPr>
          <w:rFonts w:ascii="Arial" w:hAnsi="Arial" w:cs="Arial"/>
          <w:sz w:val="24"/>
        </w:rPr>
      </w:pPr>
    </w:p>
    <w:p w:rsidR="00714A83" w:rsidRDefault="00714A83" w:rsidP="00BC73D7">
      <w:pPr>
        <w:rPr>
          <w:rFonts w:ascii="Arial" w:hAnsi="Arial" w:cs="Arial"/>
          <w:sz w:val="24"/>
        </w:rPr>
      </w:pPr>
      <w:r>
        <w:rPr>
          <w:rFonts w:ascii="Arial" w:hAnsi="Arial" w:cs="Arial"/>
          <w:sz w:val="24"/>
        </w:rPr>
        <w:t xml:space="preserve">At the meeting, victim focus (a victim support charity) also decide that they can engage with Julie to provide her with emotional support during the proceedings. </w:t>
      </w:r>
      <w:r w:rsidR="003E0220">
        <w:rPr>
          <w:rFonts w:ascii="Arial" w:hAnsi="Arial" w:cs="Arial"/>
          <w:sz w:val="24"/>
        </w:rPr>
        <w:t>It is important to note that the victim does not attend a MARAC meeting.</w:t>
      </w:r>
    </w:p>
    <w:p w:rsidR="00714A83" w:rsidRDefault="00714A83" w:rsidP="00BC73D7">
      <w:pPr>
        <w:rPr>
          <w:rFonts w:ascii="Arial" w:hAnsi="Arial" w:cs="Arial"/>
          <w:sz w:val="24"/>
        </w:rPr>
      </w:pPr>
    </w:p>
    <w:p w:rsidR="00714A83" w:rsidRDefault="00714A83" w:rsidP="00BC73D7">
      <w:pPr>
        <w:rPr>
          <w:rFonts w:ascii="Arial" w:hAnsi="Arial" w:cs="Arial"/>
          <w:sz w:val="24"/>
        </w:rPr>
      </w:pPr>
      <w:r>
        <w:rPr>
          <w:rFonts w:ascii="Arial" w:hAnsi="Arial" w:cs="Arial"/>
          <w:sz w:val="24"/>
        </w:rPr>
        <w:lastRenderedPageBreak/>
        <w:t xml:space="preserve">Thus, the MARAC model is used to identify risk, assess such risk and manage that risk in relation to a victim of domestic abuse. </w:t>
      </w:r>
    </w:p>
    <w:p w:rsidR="00CD4906" w:rsidRDefault="00CD4906" w:rsidP="00BC73D7">
      <w:pPr>
        <w:rPr>
          <w:rFonts w:ascii="Arial" w:hAnsi="Arial" w:cs="Arial"/>
          <w:sz w:val="24"/>
        </w:rPr>
      </w:pPr>
    </w:p>
    <w:p w:rsidR="00D84478" w:rsidRDefault="00D84478" w:rsidP="00BC73D7">
      <w:pPr>
        <w:rPr>
          <w:rFonts w:ascii="Arial" w:hAnsi="Arial" w:cs="Arial"/>
          <w:sz w:val="24"/>
        </w:rPr>
      </w:pPr>
      <w:r>
        <w:rPr>
          <w:rFonts w:ascii="Arial" w:hAnsi="Arial" w:cs="Arial"/>
          <w:sz w:val="24"/>
        </w:rPr>
        <w:t xml:space="preserve">Q19) </w:t>
      </w:r>
      <w:r w:rsidR="00CD4906">
        <w:rPr>
          <w:rFonts w:ascii="Arial" w:hAnsi="Arial" w:cs="Arial"/>
          <w:sz w:val="24"/>
        </w:rPr>
        <w:t xml:space="preserve">A Public Protection Notification (PPN) should be submitted for all incidents involving domestic abuse, stalking, harassment, children, missing persons or vulnerable people. PPNs are extremely important so that information regarding a person’s threat of risk or harm, or vulnerabilities, can be shared between relevant partner agencies in order to provide that person with the best possible service. </w:t>
      </w:r>
    </w:p>
    <w:p w:rsidR="00CD4906" w:rsidRDefault="00CD4906" w:rsidP="00BC73D7">
      <w:pPr>
        <w:rPr>
          <w:rFonts w:ascii="Arial" w:hAnsi="Arial" w:cs="Arial"/>
          <w:sz w:val="24"/>
        </w:rPr>
      </w:pPr>
    </w:p>
    <w:p w:rsidR="00D84478" w:rsidRDefault="00D84478" w:rsidP="00BC73D7">
      <w:pPr>
        <w:rPr>
          <w:rFonts w:ascii="Arial" w:hAnsi="Arial" w:cs="Arial"/>
          <w:sz w:val="24"/>
        </w:rPr>
      </w:pPr>
      <w:r>
        <w:rPr>
          <w:rFonts w:ascii="Arial" w:hAnsi="Arial" w:cs="Arial"/>
          <w:sz w:val="24"/>
        </w:rPr>
        <w:t xml:space="preserve">Q20) A Domestic Violence Protection Notice (or DVPN) is a notice that can be issued by a constable to an offender, in cases where there is violence or threat of violence towards the victim. A DVPN imposes certain conditions on an offender, for example not to contact the victim or not to stand in the victim’s garden of their house, and the DVPN is valid for a period of up to 48 hours. </w:t>
      </w:r>
    </w:p>
    <w:p w:rsidR="00D84478" w:rsidRDefault="00D84478" w:rsidP="00BC73D7">
      <w:pPr>
        <w:rPr>
          <w:rFonts w:ascii="Arial" w:hAnsi="Arial" w:cs="Arial"/>
          <w:sz w:val="24"/>
        </w:rPr>
      </w:pPr>
    </w:p>
    <w:p w:rsidR="00D84478" w:rsidRDefault="00D84478" w:rsidP="00BC73D7">
      <w:pPr>
        <w:rPr>
          <w:rFonts w:ascii="Arial" w:hAnsi="Arial" w:cs="Arial"/>
          <w:sz w:val="24"/>
        </w:rPr>
      </w:pPr>
      <w:r>
        <w:rPr>
          <w:rFonts w:ascii="Arial" w:hAnsi="Arial" w:cs="Arial"/>
          <w:sz w:val="24"/>
        </w:rPr>
        <w:t xml:space="preserve">Within this period of 48 hours, the constable should apply to a magistrates court for a Domestic Violence Protection Order (or DVPO), which also imposes certain conditions on an offender, again, for example, not to contact the victim. The magistrates court can choose to apply this order for a period of up to 28 days. The constable applying for the DVPO must appear in magistrates court and ‘state their case’ as to why they believe it is necessary to take out the DVPO against the offender. </w:t>
      </w:r>
    </w:p>
    <w:p w:rsidR="00D84478" w:rsidRDefault="00D84478" w:rsidP="00BC73D7">
      <w:pPr>
        <w:rPr>
          <w:rFonts w:ascii="Arial" w:hAnsi="Arial" w:cs="Arial"/>
          <w:sz w:val="24"/>
        </w:rPr>
      </w:pPr>
    </w:p>
    <w:p w:rsidR="00D84478" w:rsidRDefault="00D84478" w:rsidP="00BC73D7">
      <w:pPr>
        <w:rPr>
          <w:rFonts w:ascii="Arial" w:hAnsi="Arial" w:cs="Arial"/>
          <w:sz w:val="24"/>
        </w:rPr>
      </w:pPr>
      <w:r>
        <w:rPr>
          <w:rFonts w:ascii="Arial" w:hAnsi="Arial" w:cs="Arial"/>
          <w:sz w:val="24"/>
        </w:rPr>
        <w:t xml:space="preserve">An offender who is in breach of these DVPN or DVPO conditions is guilty of an offence and is liable for arrest for breaching said notice/order. </w:t>
      </w:r>
    </w:p>
    <w:p w:rsidR="002B436B" w:rsidRDefault="002B436B" w:rsidP="00BC73D7">
      <w:pPr>
        <w:rPr>
          <w:rFonts w:ascii="Arial" w:hAnsi="Arial" w:cs="Arial"/>
          <w:sz w:val="24"/>
        </w:rPr>
      </w:pPr>
    </w:p>
    <w:p w:rsidR="002B436B" w:rsidRDefault="002B436B" w:rsidP="00BC73D7">
      <w:pPr>
        <w:rPr>
          <w:rFonts w:ascii="Arial" w:hAnsi="Arial" w:cs="Arial"/>
          <w:sz w:val="24"/>
        </w:rPr>
      </w:pPr>
      <w:r>
        <w:rPr>
          <w:rFonts w:ascii="Arial" w:hAnsi="Arial" w:cs="Arial"/>
          <w:sz w:val="24"/>
        </w:rPr>
        <w:t xml:space="preserve">Q21) </w:t>
      </w:r>
      <w:r w:rsidR="00584C91">
        <w:rPr>
          <w:rFonts w:ascii="Arial" w:hAnsi="Arial" w:cs="Arial"/>
          <w:sz w:val="24"/>
        </w:rPr>
        <w:t xml:space="preserve">Child sexual exploitation is the phrase used to describe a pattern of behaviour undertaken by an offender against a child, with the view to exploiting them </w:t>
      </w:r>
      <w:r w:rsidR="003E0220">
        <w:rPr>
          <w:rFonts w:ascii="Arial" w:hAnsi="Arial" w:cs="Arial"/>
          <w:sz w:val="24"/>
        </w:rPr>
        <w:t xml:space="preserve">sexually </w:t>
      </w:r>
      <w:r w:rsidR="00584C91">
        <w:rPr>
          <w:rFonts w:ascii="Arial" w:hAnsi="Arial" w:cs="Arial"/>
          <w:sz w:val="24"/>
        </w:rPr>
        <w:t xml:space="preserve">for sexual </w:t>
      </w:r>
      <w:r w:rsidR="003E0220">
        <w:rPr>
          <w:rFonts w:ascii="Arial" w:hAnsi="Arial" w:cs="Arial"/>
          <w:sz w:val="24"/>
        </w:rPr>
        <w:t xml:space="preserve">or other </w:t>
      </w:r>
      <w:r w:rsidR="00584C91">
        <w:rPr>
          <w:rFonts w:ascii="Arial" w:hAnsi="Arial" w:cs="Arial"/>
          <w:sz w:val="24"/>
        </w:rPr>
        <w:t xml:space="preserve">gain. </w:t>
      </w:r>
    </w:p>
    <w:p w:rsidR="00584C91" w:rsidRDefault="00584C91" w:rsidP="00BC73D7">
      <w:pPr>
        <w:rPr>
          <w:rFonts w:ascii="Arial" w:hAnsi="Arial" w:cs="Arial"/>
          <w:sz w:val="24"/>
        </w:rPr>
      </w:pPr>
    </w:p>
    <w:p w:rsidR="00584C91" w:rsidRDefault="00584C91" w:rsidP="00BC73D7">
      <w:pPr>
        <w:rPr>
          <w:rFonts w:ascii="Arial" w:hAnsi="Arial" w:cs="Arial"/>
          <w:sz w:val="24"/>
        </w:rPr>
      </w:pPr>
      <w:r>
        <w:rPr>
          <w:rFonts w:ascii="Arial" w:hAnsi="Arial" w:cs="Arial"/>
          <w:sz w:val="24"/>
        </w:rPr>
        <w:t xml:space="preserve">For example, John (aged 40) may start giving Billy (aged 12) gifts such as Xbox games or chocolate bars, and ask Billy to come over to his house to play the games on his Xbox. Whilst at John’s house, John gives Billy a glass of Coca-Cola, and tells him to drink it all in one go. Billy does this, and then passes out unconscious. Whilst unconscious, John </w:t>
      </w:r>
      <w:r w:rsidR="00AB1FAC">
        <w:rPr>
          <w:rFonts w:ascii="Arial" w:hAnsi="Arial" w:cs="Arial"/>
          <w:sz w:val="24"/>
        </w:rPr>
        <w:t xml:space="preserve">anally rapes Billy. </w:t>
      </w:r>
    </w:p>
    <w:p w:rsidR="00AB1FAC" w:rsidRDefault="00AB1FAC" w:rsidP="00BC73D7">
      <w:pPr>
        <w:rPr>
          <w:rFonts w:ascii="Arial" w:hAnsi="Arial" w:cs="Arial"/>
          <w:sz w:val="24"/>
        </w:rPr>
      </w:pPr>
    </w:p>
    <w:p w:rsidR="00AB1FAC" w:rsidRDefault="00AB1FAC" w:rsidP="00BC73D7">
      <w:pPr>
        <w:rPr>
          <w:rFonts w:ascii="Arial" w:hAnsi="Arial" w:cs="Arial"/>
          <w:sz w:val="24"/>
        </w:rPr>
      </w:pPr>
      <w:r>
        <w:rPr>
          <w:rFonts w:ascii="Arial" w:hAnsi="Arial" w:cs="Arial"/>
          <w:sz w:val="24"/>
        </w:rPr>
        <w:t xml:space="preserve">Billy regains consciousness some time later, and John tells him that he just fell asleep, and that as he must be tired, he should go home and come back another </w:t>
      </w:r>
      <w:r>
        <w:rPr>
          <w:rFonts w:ascii="Arial" w:hAnsi="Arial" w:cs="Arial"/>
          <w:sz w:val="24"/>
        </w:rPr>
        <w:lastRenderedPageBreak/>
        <w:t xml:space="preserve">day. Billy leaves John’s house, and upon doing so, John promises to buy him another Xbox game of his choice ready for when he next comes over. </w:t>
      </w:r>
    </w:p>
    <w:p w:rsidR="00B44CE7" w:rsidRDefault="00B44CE7" w:rsidP="00BC73D7">
      <w:pPr>
        <w:rPr>
          <w:rFonts w:ascii="Arial" w:hAnsi="Arial" w:cs="Arial"/>
          <w:sz w:val="24"/>
        </w:rPr>
      </w:pPr>
    </w:p>
    <w:p w:rsidR="00B44CE7" w:rsidRDefault="00B44CE7" w:rsidP="00BC73D7">
      <w:pPr>
        <w:rPr>
          <w:rFonts w:ascii="Arial" w:hAnsi="Arial" w:cs="Arial"/>
          <w:sz w:val="24"/>
        </w:rPr>
      </w:pPr>
      <w:r>
        <w:rPr>
          <w:rFonts w:ascii="Arial" w:hAnsi="Arial" w:cs="Arial"/>
          <w:sz w:val="24"/>
        </w:rPr>
        <w:t xml:space="preserve">John has groomed Billy through the use of Xbox games and chocolate bars, and then has administered a substance with intent to commit a sexual offence against him, and then has committed rape against Billy. John has thus sexually exploited Billy, a child. </w:t>
      </w:r>
    </w:p>
    <w:p w:rsidR="00B44CE7" w:rsidRDefault="00B44CE7" w:rsidP="00BC73D7">
      <w:pPr>
        <w:rPr>
          <w:rFonts w:ascii="Arial" w:hAnsi="Arial" w:cs="Arial"/>
          <w:sz w:val="24"/>
        </w:rPr>
      </w:pPr>
    </w:p>
    <w:p w:rsidR="00B44CE7" w:rsidRDefault="00B44CE7" w:rsidP="00BC73D7">
      <w:pPr>
        <w:rPr>
          <w:rFonts w:ascii="Arial" w:hAnsi="Arial" w:cs="Arial"/>
          <w:sz w:val="24"/>
        </w:rPr>
      </w:pPr>
      <w:r>
        <w:rPr>
          <w:rFonts w:ascii="Arial" w:hAnsi="Arial" w:cs="Arial"/>
          <w:sz w:val="24"/>
        </w:rPr>
        <w:t xml:space="preserve">So, given that scenario as an overarching thought with regards to child sexual exploitation, child sexual exploitation in its self is the act of exploiting a child sexually and controlling them through financial, physical, sexual or emotional means. The next time Billy comes to John’s house, perhaps Nathan (aged 50 and a friend of John) will be there. John convinces Billy to touch Nathan’s penis, and in exchange, John will buy Billy a new Xbox controller pad AND a game of his choice! </w:t>
      </w:r>
    </w:p>
    <w:p w:rsidR="00B44CE7" w:rsidRDefault="00B44CE7" w:rsidP="00BC73D7">
      <w:pPr>
        <w:rPr>
          <w:rFonts w:ascii="Arial" w:hAnsi="Arial" w:cs="Arial"/>
          <w:sz w:val="24"/>
        </w:rPr>
      </w:pPr>
    </w:p>
    <w:p w:rsidR="00B44CE7" w:rsidRDefault="00B44CE7" w:rsidP="00BC73D7">
      <w:pPr>
        <w:rPr>
          <w:rFonts w:ascii="Arial" w:hAnsi="Arial" w:cs="Arial"/>
          <w:sz w:val="24"/>
        </w:rPr>
      </w:pPr>
      <w:r>
        <w:rPr>
          <w:rFonts w:ascii="Arial" w:hAnsi="Arial" w:cs="Arial"/>
          <w:sz w:val="24"/>
        </w:rPr>
        <w:t xml:space="preserve">Thus, to conclude, child sexual exploitation is not just isolated to one specific incident, but it is a phrase used to describe a pattern of abuse committed against a child for an offender/abuser’s own gain. </w:t>
      </w:r>
    </w:p>
    <w:p w:rsidR="002B436B" w:rsidRDefault="002B436B" w:rsidP="00BC73D7">
      <w:pPr>
        <w:rPr>
          <w:rFonts w:ascii="Arial" w:hAnsi="Arial" w:cs="Arial"/>
          <w:sz w:val="24"/>
        </w:rPr>
      </w:pPr>
    </w:p>
    <w:p w:rsidR="002B436B" w:rsidRDefault="002B436B" w:rsidP="00BC73D7">
      <w:pPr>
        <w:rPr>
          <w:rFonts w:ascii="Arial" w:hAnsi="Arial" w:cs="Arial"/>
          <w:sz w:val="24"/>
        </w:rPr>
      </w:pPr>
      <w:r>
        <w:rPr>
          <w:rFonts w:ascii="Arial" w:hAnsi="Arial" w:cs="Arial"/>
          <w:sz w:val="24"/>
        </w:rPr>
        <w:t xml:space="preserve">Q22) Person A commits an offence of rape if he intentionally penetrates the anus, mouth or vagina of person B with his penis, without consent, or person A does not reasonably believe that person B consents. </w:t>
      </w:r>
    </w:p>
    <w:p w:rsidR="002B436B" w:rsidRDefault="002B436B" w:rsidP="00BC73D7">
      <w:pPr>
        <w:rPr>
          <w:rFonts w:ascii="Arial" w:hAnsi="Arial" w:cs="Arial"/>
          <w:sz w:val="24"/>
        </w:rPr>
      </w:pPr>
    </w:p>
    <w:p w:rsidR="002B436B" w:rsidRDefault="002B436B" w:rsidP="00BC73D7">
      <w:pPr>
        <w:rPr>
          <w:rFonts w:ascii="Arial" w:hAnsi="Arial" w:cs="Arial"/>
          <w:sz w:val="24"/>
        </w:rPr>
      </w:pPr>
      <w:r>
        <w:rPr>
          <w:rFonts w:ascii="Arial" w:hAnsi="Arial" w:cs="Arial"/>
          <w:sz w:val="24"/>
        </w:rPr>
        <w:t xml:space="preserve">Q23) </w:t>
      </w:r>
      <w:r w:rsidR="00CD4906">
        <w:rPr>
          <w:rFonts w:ascii="Arial" w:hAnsi="Arial" w:cs="Arial"/>
          <w:sz w:val="24"/>
        </w:rPr>
        <w:t xml:space="preserve">Under section 75 (a) and (b) of the Sexual Offences Act 2003, a court can make certain evidential presumptions about a victim’s consent in a case of rape. For example, if it is proved that the offender committed the act of rape, then the court can presume that the victim did not consent. </w:t>
      </w:r>
    </w:p>
    <w:p w:rsidR="002B436B" w:rsidRDefault="002B436B" w:rsidP="00BC73D7">
      <w:pPr>
        <w:rPr>
          <w:rFonts w:ascii="Arial" w:hAnsi="Arial" w:cs="Arial"/>
          <w:sz w:val="24"/>
        </w:rPr>
      </w:pPr>
    </w:p>
    <w:p w:rsidR="002B436B" w:rsidRDefault="002B436B" w:rsidP="00BC73D7">
      <w:pPr>
        <w:rPr>
          <w:rFonts w:ascii="Arial" w:hAnsi="Arial" w:cs="Arial"/>
          <w:sz w:val="24"/>
        </w:rPr>
      </w:pPr>
      <w:r>
        <w:rPr>
          <w:rFonts w:ascii="Arial" w:hAnsi="Arial" w:cs="Arial"/>
          <w:sz w:val="24"/>
        </w:rPr>
        <w:t>Q24) Section 18(1) of Police and Criminal Evidence Act 1984 allows a constable to obtain the permission of an inspector to search any address for items relating to an indictable offence, following the arrest of an offender for said offence. Any such items may be seized.</w:t>
      </w:r>
    </w:p>
    <w:p w:rsidR="002B436B" w:rsidRDefault="002B436B" w:rsidP="00BC73D7">
      <w:pPr>
        <w:rPr>
          <w:rFonts w:ascii="Arial" w:hAnsi="Arial" w:cs="Arial"/>
          <w:sz w:val="24"/>
        </w:rPr>
      </w:pPr>
    </w:p>
    <w:p w:rsidR="002B436B" w:rsidRDefault="002B436B" w:rsidP="00BC73D7">
      <w:pPr>
        <w:rPr>
          <w:rFonts w:ascii="Arial" w:hAnsi="Arial" w:cs="Arial"/>
          <w:sz w:val="24"/>
        </w:rPr>
      </w:pPr>
      <w:r>
        <w:rPr>
          <w:rFonts w:ascii="Arial" w:hAnsi="Arial" w:cs="Arial"/>
          <w:sz w:val="24"/>
        </w:rPr>
        <w:t xml:space="preserve">Q25) Section 19 of the Police and Criminal Evidence Act 1984 allows a constable to seize any property found when a search power is lawfully executed. </w:t>
      </w:r>
    </w:p>
    <w:p w:rsidR="002B436B" w:rsidRDefault="002B436B" w:rsidP="00BC73D7">
      <w:pPr>
        <w:rPr>
          <w:rFonts w:ascii="Arial" w:hAnsi="Arial" w:cs="Arial"/>
          <w:sz w:val="24"/>
        </w:rPr>
      </w:pPr>
    </w:p>
    <w:p w:rsidR="002B436B" w:rsidRPr="00BC73D7" w:rsidRDefault="002B436B" w:rsidP="00BC73D7">
      <w:pPr>
        <w:rPr>
          <w:rFonts w:ascii="Arial" w:hAnsi="Arial" w:cs="Arial"/>
          <w:sz w:val="24"/>
        </w:rPr>
      </w:pPr>
      <w:r>
        <w:rPr>
          <w:rFonts w:ascii="Arial" w:hAnsi="Arial" w:cs="Arial"/>
          <w:sz w:val="24"/>
        </w:rPr>
        <w:t xml:space="preserve">For example, if I am conducting a section 18 search on an address following the arrest of an offender for murder (who has repeatedly stabbed his victim with a large </w:t>
      </w:r>
      <w:r>
        <w:rPr>
          <w:rFonts w:ascii="Arial" w:hAnsi="Arial" w:cs="Arial"/>
          <w:sz w:val="24"/>
        </w:rPr>
        <w:lastRenderedPageBreak/>
        <w:t xml:space="preserve">kitchen knife), and during this search I find a large kitchen knife covered in blood, I may seize this item under section 19 of PACE, as I am already on the property/in the address lawfully conducting the search under section 18, and am just seizing the evidential item under section 19. </w:t>
      </w:r>
    </w:p>
    <w:sectPr w:rsidR="002B436B" w:rsidRPr="00BC73D7" w:rsidSect="0063533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4640" w:rsidRDefault="002A4640" w:rsidP="00635333">
      <w:pPr>
        <w:spacing w:after="0" w:line="240" w:lineRule="auto"/>
      </w:pPr>
      <w:r>
        <w:separator/>
      </w:r>
    </w:p>
  </w:endnote>
  <w:endnote w:type="continuationSeparator" w:id="0">
    <w:p w:rsidR="002A4640" w:rsidRDefault="002A4640" w:rsidP="00635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4640" w:rsidRDefault="00446518" w:rsidP="00446518">
    <w:pPr>
      <w:pStyle w:val="Footer"/>
      <w:rPr>
        <w:color w:val="000000"/>
        <w:sz w:val="17"/>
      </w:rPr>
    </w:pPr>
    <w:bookmarkStart w:id="3" w:name="TITUS1FooterEvenPages"/>
    <w:r>
      <w:rPr>
        <w:color w:val="000000"/>
        <w:sz w:val="17"/>
      </w:rPr>
      <w:t> </w:t>
    </w:r>
  </w:p>
  <w:bookmarkEnd w:id="3"/>
  <w:p w:rsidR="002A4640" w:rsidRDefault="002A4640" w:rsidP="00120FCD">
    <w:pPr>
      <w:pStyle w:val="Footer"/>
    </w:pPr>
  </w:p>
  <w:p w:rsidR="002A4640" w:rsidRDefault="002A46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4640" w:rsidRDefault="00446518" w:rsidP="00446518">
    <w:pPr>
      <w:pStyle w:val="Footer"/>
      <w:rPr>
        <w:color w:val="000000"/>
        <w:sz w:val="17"/>
      </w:rPr>
    </w:pPr>
    <w:bookmarkStart w:id="4" w:name="TITUS1FooterPrimary"/>
    <w:r>
      <w:rPr>
        <w:color w:val="000000"/>
        <w:sz w:val="17"/>
      </w:rPr>
      <w:t> </w:t>
    </w:r>
  </w:p>
  <w:bookmarkEnd w:id="4"/>
  <w:p w:rsidR="002A4640" w:rsidRDefault="002A46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4640" w:rsidRDefault="00446518" w:rsidP="00446518">
    <w:pPr>
      <w:pStyle w:val="Footer"/>
      <w:rPr>
        <w:color w:val="000000"/>
        <w:sz w:val="17"/>
      </w:rPr>
    </w:pPr>
    <w:bookmarkStart w:id="6" w:name="TITUS1FooterFirstPage"/>
    <w:r>
      <w:rPr>
        <w:color w:val="000000"/>
        <w:sz w:val="17"/>
      </w:rPr>
      <w:t> </w:t>
    </w:r>
  </w:p>
  <w:bookmarkEnd w:id="6"/>
  <w:p w:rsidR="002A4640" w:rsidRDefault="002A4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4640" w:rsidRDefault="002A4640" w:rsidP="00635333">
      <w:pPr>
        <w:spacing w:after="0" w:line="240" w:lineRule="auto"/>
      </w:pPr>
      <w:r>
        <w:separator/>
      </w:r>
    </w:p>
  </w:footnote>
  <w:footnote w:type="continuationSeparator" w:id="0">
    <w:p w:rsidR="002A4640" w:rsidRDefault="002A4640" w:rsidP="006353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4640" w:rsidRDefault="00446518" w:rsidP="00446518">
    <w:pPr>
      <w:pStyle w:val="Header"/>
      <w:rPr>
        <w:color w:val="000000"/>
        <w:sz w:val="17"/>
      </w:rPr>
    </w:pPr>
    <w:bookmarkStart w:id="1" w:name="TITUS1HeaderEvenPages"/>
    <w:r>
      <w:rPr>
        <w:color w:val="000000"/>
        <w:sz w:val="17"/>
      </w:rPr>
      <w:t> </w:t>
    </w:r>
  </w:p>
  <w:bookmarkEnd w:id="1"/>
  <w:p w:rsidR="002A4640" w:rsidRDefault="002A4640" w:rsidP="00120FCD">
    <w:pPr>
      <w:pStyle w:val="Header"/>
    </w:pPr>
  </w:p>
  <w:p w:rsidR="002A4640" w:rsidRDefault="002A46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4640" w:rsidRDefault="00446518" w:rsidP="00446518">
    <w:pPr>
      <w:pStyle w:val="Header"/>
      <w:rPr>
        <w:color w:val="000000"/>
        <w:sz w:val="17"/>
      </w:rPr>
    </w:pPr>
    <w:bookmarkStart w:id="2" w:name="TITUS1HeaderPrimary"/>
    <w:r>
      <w:rPr>
        <w:color w:val="000000"/>
        <w:sz w:val="17"/>
      </w:rPr>
      <w:t> </w:t>
    </w:r>
  </w:p>
  <w:bookmarkEnd w:id="2"/>
  <w:p w:rsidR="002A4640" w:rsidRDefault="002A46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4640" w:rsidRDefault="00446518" w:rsidP="00446518">
    <w:pPr>
      <w:pStyle w:val="Header"/>
      <w:rPr>
        <w:color w:val="000000"/>
        <w:sz w:val="17"/>
      </w:rPr>
    </w:pPr>
    <w:bookmarkStart w:id="5" w:name="TITUS1HeaderFirstPage"/>
    <w:r>
      <w:rPr>
        <w:color w:val="000000"/>
        <w:sz w:val="17"/>
      </w:rPr>
      <w:t> </w:t>
    </w:r>
  </w:p>
  <w:bookmarkEnd w:id="5"/>
  <w:p w:rsidR="002A4640" w:rsidRDefault="002A46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446FB1"/>
    <w:multiLevelType w:val="hybridMultilevel"/>
    <w:tmpl w:val="BC9AF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2201A8"/>
    <w:multiLevelType w:val="hybridMultilevel"/>
    <w:tmpl w:val="ECA63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5333"/>
    <w:rsid w:val="00022517"/>
    <w:rsid w:val="00022E4F"/>
    <w:rsid w:val="000D45F7"/>
    <w:rsid w:val="00120FCD"/>
    <w:rsid w:val="00181F4E"/>
    <w:rsid w:val="001D07DD"/>
    <w:rsid w:val="001E46EF"/>
    <w:rsid w:val="002A4640"/>
    <w:rsid w:val="002B436B"/>
    <w:rsid w:val="003E0220"/>
    <w:rsid w:val="00446518"/>
    <w:rsid w:val="004E5602"/>
    <w:rsid w:val="004F407F"/>
    <w:rsid w:val="004F78D3"/>
    <w:rsid w:val="00584C91"/>
    <w:rsid w:val="00635333"/>
    <w:rsid w:val="00706714"/>
    <w:rsid w:val="00714A83"/>
    <w:rsid w:val="00765AC9"/>
    <w:rsid w:val="007C4CE7"/>
    <w:rsid w:val="00911F1C"/>
    <w:rsid w:val="00992A81"/>
    <w:rsid w:val="00A27A9A"/>
    <w:rsid w:val="00A400E5"/>
    <w:rsid w:val="00A72450"/>
    <w:rsid w:val="00AB1FAC"/>
    <w:rsid w:val="00B44CE7"/>
    <w:rsid w:val="00BC73D7"/>
    <w:rsid w:val="00C16FDA"/>
    <w:rsid w:val="00CD4906"/>
    <w:rsid w:val="00D84478"/>
    <w:rsid w:val="00DA71AF"/>
    <w:rsid w:val="00EC5A1A"/>
    <w:rsid w:val="00F13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350225"/>
  <w15:chartTrackingRefBased/>
  <w15:docId w15:val="{62B0FDCA-6F4A-4FF6-BC3A-D88A07E7E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53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333"/>
  </w:style>
  <w:style w:type="paragraph" w:styleId="Footer">
    <w:name w:val="footer"/>
    <w:basedOn w:val="Normal"/>
    <w:link w:val="FooterChar"/>
    <w:uiPriority w:val="99"/>
    <w:unhideWhenUsed/>
    <w:rsid w:val="006353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333"/>
  </w:style>
  <w:style w:type="paragraph" w:styleId="ListParagraph">
    <w:name w:val="List Paragraph"/>
    <w:basedOn w:val="Normal"/>
    <w:uiPriority w:val="34"/>
    <w:qFormat/>
    <w:rsid w:val="004E56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9</Pages>
  <Words>2843</Words>
  <Characters>16211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Lee,Jorge swp6977</dc:creator>
  <cp:keywords/>
  <dc:description/>
  <cp:lastModifiedBy>Lee,Jorge swp6977</cp:lastModifiedBy>
  <cp:revision>8</cp:revision>
  <dcterms:created xsi:type="dcterms:W3CDTF">2021-11-29T14:40:00Z</dcterms:created>
  <dcterms:modified xsi:type="dcterms:W3CDTF">2021-11-29T15:02:00Z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eeb3ffab-2747-4b48-a127-9cf969c0e885</vt:lpwstr>
  </property>
  <property fmtid="{D5CDD505-2E9C-101B-9397-08002B2CF9AE}" pid="3" name="Classification">
    <vt:lpwstr>OFFICIAL</vt:lpwstr>
  </property>
  <property fmtid="{D5CDD505-2E9C-101B-9397-08002B2CF9AE}" pid="4" name="Visibility">
    <vt:lpwstr>NOT VISIBLE</vt:lpwstr>
  </property>
</Properties>
</file>