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114300" distT="114300" distL="114300" distR="114300">
            <wp:extent cx="2881313" cy="9551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881313" cy="9551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color w:val="000000"/>
          <w:u w:val="none"/>
        </w:rPr>
      </w:pPr>
      <w:r w:rsidDel="00000000" w:rsidR="00000000" w:rsidRPr="00000000">
        <w:rPr>
          <w:rtl w:val="0"/>
        </w:rPr>
      </w:r>
    </w:p>
    <w:p w:rsidR="00000000" w:rsidDel="00000000" w:rsidP="00000000" w:rsidRDefault="00000000" w:rsidRPr="00000000" w14:paraId="0000000A">
      <w:pPr>
        <w:rPr>
          <w:color w:val="000000"/>
          <w:u w:val="none"/>
        </w:rPr>
      </w:pPr>
      <w:r w:rsidDel="00000000" w:rsidR="00000000" w:rsidRPr="00000000">
        <w:rPr>
          <w:rtl w:val="0"/>
        </w:rPr>
      </w:r>
    </w:p>
    <w:p w:rsidR="00000000" w:rsidDel="00000000" w:rsidP="00000000" w:rsidRDefault="00000000" w:rsidRPr="00000000" w14:paraId="0000000B">
      <w:pPr>
        <w:rPr>
          <w:color w:val="000000"/>
          <w:u w:val="none"/>
        </w:rPr>
      </w:pPr>
      <w:r w:rsidDel="00000000" w:rsidR="00000000" w:rsidRPr="00000000">
        <w:rPr>
          <w:rtl w:val="0"/>
        </w:rPr>
      </w:r>
    </w:p>
    <w:p w:rsidR="00000000" w:rsidDel="00000000" w:rsidP="00000000" w:rsidRDefault="00000000" w:rsidRPr="00000000" w14:paraId="0000000C">
      <w:pPr>
        <w:rPr>
          <w:color w:val="000000"/>
          <w:u w:val="none"/>
        </w:rPr>
      </w:pPr>
      <w:r w:rsidDel="00000000" w:rsidR="00000000" w:rsidRPr="00000000">
        <w:rPr>
          <w:rtl w:val="0"/>
        </w:rPr>
      </w:r>
    </w:p>
    <w:p w:rsidR="00000000" w:rsidDel="00000000" w:rsidP="00000000" w:rsidRDefault="00000000" w:rsidRPr="00000000" w14:paraId="0000000D">
      <w:pPr>
        <w:ind w:left="0" w:firstLine="0"/>
        <w:jc w:val="center"/>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b w:val="1"/>
          <w:color w:val="000000"/>
          <w:sz w:val="36"/>
          <w:szCs w:val="36"/>
          <w:u w:val="none"/>
          <w:rtl w:val="0"/>
        </w:rPr>
        <w:t xml:space="preserve">A Review of Cultural Discourse Within The LGBTQ+ Community</w:t>
      </w:r>
      <w:r w:rsidDel="00000000" w:rsidR="00000000" w:rsidRPr="00000000">
        <w:rPr>
          <w:rtl w:val="0"/>
        </w:rPr>
      </w:r>
    </w:p>
    <w:p w:rsidR="00000000" w:rsidDel="00000000" w:rsidP="00000000" w:rsidRDefault="00000000" w:rsidRPr="00000000" w14:paraId="0000000E">
      <w:pPr>
        <w:ind w:left="0" w:firstLine="720.0000000000001"/>
        <w:rPr>
          <w:rFonts w:ascii="Times New Roman" w:cs="Times New Roman" w:eastAsia="Times New Roman" w:hAnsi="Times New Roman"/>
          <w:color w:val="000000"/>
          <w:sz w:val="24"/>
          <w:szCs w:val="24"/>
          <w:u w:val="none"/>
        </w:rPr>
      </w:pPr>
      <w:r w:rsidDel="00000000" w:rsidR="00000000" w:rsidRPr="00000000">
        <w:br w:type="page"/>
      </w:r>
      <w:r w:rsidDel="00000000" w:rsidR="00000000" w:rsidRPr="00000000">
        <w:rPr>
          <w:rtl w:val="0"/>
        </w:rPr>
      </w:r>
    </w:p>
    <w:p w:rsidR="00000000" w:rsidDel="00000000" w:rsidP="00000000" w:rsidRDefault="00000000" w:rsidRPr="00000000" w14:paraId="0000000F">
      <w:pPr>
        <w:ind w:left="0" w:firstLine="720.0000000000001"/>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Attention for individuals who identify as gay, lesbian, bisexual, transgender and queer has grown considerably over recent decades with more and more people ‘coming out’ to publicly acknowledge their sexuality compared with previous years (Doan, 2019). However, the topic of marriage in the LGBTQ+ community can be one of conflict in the dimensions of legality and culture. While marriage is increasingly becoming more accessible to those in Western countries with the UK being identified as the best country for individuals of the LBGTQ+ community within Europe (Government Equalities Office, 2017); the legal union between two people of the same sex continues to be a question or a definitive objection in more Eastern countries, both legally and culturally, which will be reviewed throughout this piece. Furthermore, the genuinity of the countries considered safe and equal will be discussed in addition to the mental effects that gays, lesbians, transsexuals, bisexuals, queers and others alike are subjected to for their identity. It must be noted that the terms ‘LGBTQ+’, ‘gay’, ‘lesbian’, ‘homosexual’, and ‘queer’ will be used througout this piece, but will all be used interchangeably to encompass the homosexual community as a whole. The theme that will appear recurrently throughout this critical review of same-sex marriage and the collision of societal development and religious culture.</w:t>
      </w:r>
    </w:p>
    <w:p w:rsidR="00000000" w:rsidDel="00000000" w:rsidP="00000000" w:rsidRDefault="00000000" w:rsidRPr="00000000" w14:paraId="00000010">
      <w:pPr>
        <w:ind w:left="0" w:firstLine="720.0000000000001"/>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11">
      <w:pPr>
        <w:ind w:left="0" w:firstLine="720.0000000000001"/>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Same-sex couples accross the world are fighting for their rights regarding legal and social recognition of their relationships by seeking inclusion in regard to the institution of marriage (Hull &amp; Hull, 2006). This is a matter that was resolved across some Western countries in the late twentieth century following the AIDS crisis in the 1980’s. Prior to this phenomenon, although not totally uncommon to identify as gay or lesbian, it was even recognized by the American Psychiatric Association that being gay was a form of mental illness up until 1973 (Milone, 2016). It is argued that the shift in mindset of many non-gay individuals was the emergence of the AIDS crisis which infected over 770,000 people within 20 years (Milone, 2016). This was a crisis that forced many people, including celebrities to publicly announce their sexuality as it was a circumstance of life or death in some cases. Milone (2016) states that this was the point which ultimatley raised attention for the gay community, forcing a demand for legal recognition of same-sex relationships due to the life-saving decisions that required to be made which would have been the responsibility of a spouce. However, as marriage between same-sex couples was illegal at this time, this meant that partners of the affected people had no legal rights in these discussions; thus, surging the demand for legal recognition for couples within the LGBTQ+ community (Milone, 2016). </w:t>
      </w:r>
    </w:p>
    <w:p w:rsidR="00000000" w:rsidDel="00000000" w:rsidP="00000000" w:rsidRDefault="00000000" w:rsidRPr="00000000" w14:paraId="00000012">
      <w:pPr>
        <w:ind w:left="0" w:firstLine="720.0000000000001"/>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13">
      <w:pPr>
        <w:ind w:left="0" w:firstLine="720.0000000000001"/>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Following the AIDS crisis and the perseverance of LGBTQ+ community members, the United Nations has recognised the demand for equality for gays and lesbians and have set out to campaign for the support of the people. As well as this, same-sex marriage has now been legalised in 20 countries, while a further 17 have provided same-sex couples with an alternative legal recognition for their relationships through civil partnerships, and 17 countries granting homosexual couples the right to expand their families through adoption (Wilkinson, Gerber, Offord, &amp; Langlois, 2017). </w:t>
      </w:r>
    </w:p>
    <w:p w:rsidR="00000000" w:rsidDel="00000000" w:rsidP="00000000" w:rsidRDefault="00000000" w:rsidRPr="00000000" w14:paraId="00000014">
      <w:pPr>
        <w:ind w:left="0" w:firstLine="720.0000000000001"/>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15">
      <w:pPr>
        <w:ind w:left="0" w:firstLine="720.0000000000001"/>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However, marriage between homosexual couples is still a controversial legal matter in some countries where being part of the LGBTQ+ community is a criminal act and an individual of this community can be imprisoned under laws against ‘unnatural offences’, ‘gross indecency’, ‘cross-dressing’, ‘impersonation’ and other various laws. The consequence of identifying as anything other than hetrosextual vary in different countries, but can range from one year in prison, to a death penalty (Human Dignity Trust, 2020). Most of these countires that criminalize same-sex sexual activity are situated in the continents of Africa and Asia, where religious beliefs are believed to be more authorotarian and deeper embedded into society. This raises the question as to whether there is a religious stance behind why being attracted to a person of the same sex is illegal. </w:t>
      </w:r>
    </w:p>
    <w:p w:rsidR="00000000" w:rsidDel="00000000" w:rsidP="00000000" w:rsidRDefault="00000000" w:rsidRPr="00000000" w14:paraId="00000016">
      <w:pPr>
        <w:ind w:left="0" w:firstLine="720.0000000000001"/>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17">
      <w:pPr>
        <w:ind w:left="0" w:firstLine="720.0000000000001"/>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Ofosu and colleagues (2019) report that the norms of a society can have a strong influence on individual attitudes towards the gay community, and that the views of people regarding certain concepts are often adjusted according to the norms of an environment. In this way, they report that the levels of anti-gay bias in America began decreasing before the legalization of same-sex marriage and progressed to rapidly decreasing after the legalization. These findings demonstrate how political shifts to government legislation can hold power over attitudes that may be of deep personal prejudice. This is an important piece of literature which demonstrates how many other countries could implement the same strategy to offer an olive branch to the LGBTQ+ community which could improve the lives of its members within the countries that have a negative perception of homosexual individuals. </w:t>
      </w:r>
    </w:p>
    <w:p w:rsidR="00000000" w:rsidDel="00000000" w:rsidP="00000000" w:rsidRDefault="00000000" w:rsidRPr="00000000" w14:paraId="00000018">
      <w:pPr>
        <w:ind w:left="0" w:firstLine="720.0000000000001"/>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19">
      <w:pPr>
        <w:ind w:left="0" w:firstLine="720.0000000000001"/>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From a political perspective, it could be argued that rules that govern a society are influenced depending on the religion of the country. Van Klinken (2013) reflects back to a heated debate in Christian Zambia surrounding homosexuality and human rights; a country that incarcerate those of homosexual orientation to life imprisonment (Human Dignity Trust, 2020). It was reported that despite the differing opinions amongst Zambian inhabitants, the majority of people disagreed with United Nations Secretary General, Ban Ki-moon’s demand for recognition within the gay and lesbian community. In this debate about morality, and right and wrong Ban Ki-moon was associated with the devil, and the call for more equality within the LGBTQ+ was perceived as “the end of times” and a conflict between religious higher power and anarchy (Van Klinken, 2013, para. 1). Due to this satanic interpretation of social and cultural change, it is argued that the most religious persons of Africa might respond to this with a perception of a threat against the cultural norm and restrain from acceptance for the change (Van Klinken, 2013). Thus, it is clear to see here that homophobia is an inheritable trait within the majority of Christian Africa and can be sourced from strong religious beliefs. This piece of literature seems to oppose that of Ofosu and colleagues (2019) reporting that a political fight does not result in support of the populace; however, the proposition from Ban Ki-moon in this case was merely a suggestion for the acceptance of gay-rights, and not a change in legal recognition. Therefore suggesting that if there was a change in legislation in Zambia at this time, the LGBTQ+ community would have further support from today’s Zambian society.</w:t>
      </w:r>
    </w:p>
    <w:p w:rsidR="00000000" w:rsidDel="00000000" w:rsidP="00000000" w:rsidRDefault="00000000" w:rsidRPr="00000000" w14:paraId="0000001A">
      <w:pPr>
        <w:ind w:left="0" w:firstLine="0"/>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1B">
      <w:pPr>
        <w:ind w:left="0" w:firstLine="0"/>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ab/>
        <w:t xml:space="preserve">While African countries continue to debate the topic, LGBTQ+ rights as human rights also continue to be subject of dispute in Asian countries, raising question to the level of acceptance of gay, lesbian, and other individuals within the somewhat contraversial community. Wilkinson and colleagues (2017) report that in 2014, a court in Malaysia positively impacted the gay community by ruling a ban on transexual activity such as dressing as the opposite sex, as unconstitutional. Meanwhile, a law against same-sex activity between two men was upheld to be constitutional in Singapore. A year prior to this India reversed the decriminalisation of homosexuality, making same-sex conduct illegal once again; however, permitted the legal recognition for ‘hijras’, which is now a new category of gender bringing attention to feminine men of Indian background (Khaleeli, 2014). It is clear to see from this literature that Asian countries are still contemplating the morality of homosexuality and the surrounding notions of the topic which could prove difficult and distressing for those within the community. </w:t>
      </w:r>
    </w:p>
    <w:p w:rsidR="00000000" w:rsidDel="00000000" w:rsidP="00000000" w:rsidRDefault="00000000" w:rsidRPr="00000000" w14:paraId="0000001C">
      <w:pPr>
        <w:ind w:left="0" w:firstLine="0"/>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1D">
      <w:pPr>
        <w:ind w:left="0" w:firstLine="720"/>
        <w:rPr>
          <w:rFonts w:ascii="Times New Roman" w:cs="Times New Roman" w:eastAsia="Times New Roman" w:hAnsi="Times New Roman"/>
          <w:color w:val="ff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In the mixed view of the more Eastern countries, there are a number of individuals fighting for equality for the LGBTQ+ community in countries who seem to show more of an old fashioned view, and that follow the strict direction of their religions. Rodriguez (2017) claims that a significant number of lesbians, gays and transgendered individuals have fled their country in search for a safer life, away from their homelands where it is still considered a crime to be anything other than heterosexual. When moving to a Westernised country such as the UK or America, Roriguez explains that refugees will gain the freedom to explore their sexuality and new relationships in a way that was not possible prior to the move. However, being ethnically different means that queer migrants often endure racism in addition to stigmatization in regard to their sexuality.</w:t>
      </w:r>
      <w:r w:rsidDel="00000000" w:rsidR="00000000" w:rsidRPr="00000000">
        <w:rPr>
          <w:rtl w:val="0"/>
        </w:rPr>
      </w:r>
    </w:p>
    <w:p w:rsidR="00000000" w:rsidDel="00000000" w:rsidP="00000000" w:rsidRDefault="00000000" w:rsidRPr="00000000" w14:paraId="0000001E">
      <w:pPr>
        <w:ind w:left="0" w:firstLine="720.0000000000001"/>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1F">
      <w:pPr>
        <w:ind w:left="0" w:firstLine="720.0000000000001"/>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When mentioning the geographical journey of refugees to seek equality, it is important to mention the less drastic but essential fight for Americans to gain corresponding rights as heterosexual couples. Prior to the legalization of same-sex marriage in all fifty states of America in 2015, it was common for gay and lesbian couples to travel from their home-states to marry where same-sex marriage was fully legalized to gain legal recognition of their relationship (Hull, 2006). Hull argues that same-sex marriages performed outside of the law represents a form of political action despite the couples believing there is any political statement behind the act. Further explanation demonstrates that marrying in a country where same-sex marriage is legal and returning to their residing country is a culturally political stance that targets the cultural values of the country. The act of doing so challenged the modern societal values of the country in cultural terms and enforced a demand for a shift in equality for the LGBTQ+ community which has now been gained and is a significant step forward for America’s society. </w:t>
      </w:r>
    </w:p>
    <w:p w:rsidR="00000000" w:rsidDel="00000000" w:rsidP="00000000" w:rsidRDefault="00000000" w:rsidRPr="00000000" w14:paraId="00000020">
      <w:pPr>
        <w:ind w:left="0" w:firstLine="0"/>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21">
      <w:pPr>
        <w:ind w:left="0" w:firstLine="720"/>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However, in saying that there is more of an acceptance within westernised countries for same-sex relationships, there are still communities that strongly discourage sexual activity between two people of the same sex in the more modern Westernised world. For example, a community in Kansas, America, known as Westboro Baptist Church (WBC) is notorious for spreading hate messages of hate towards the LGBTQ+ community for not serving God. The WBC is a community founded by a man named Fred Phelps who’s name has been married with connotations such as ‘poisonous’ and ‘hateful’. The community began preaching against homosexual activity in response to Humphreys’ (1975) tearoom-trade that exposed the secrets of many seemingly heterosexual, family orientated men (Baker, Bater, &amp; Hirsch, 2015). Theroux (2011) mentions in an article that the WBC’s beliefs of correct Christian practice in today’s modern society is to spread anti-gay messages at high profile funerals, and of those who were victims of AIDS (Baker et al., 2015). However, the anti-gay community that is based in the Western country of the U.S.A, the group’s protests have been documented via the BBC’s Louis Theroux which dubbed them “America’s most hated family” according to the title of the programme (Theroux, 2011) proving that their behaviour is not accepted in modern, receptive societies. It is also noted that the radical church has been criticized for being the “face of homophobia” (Baker et al., 2015, p. 62), and the members have been subject to both verbal and physical abuse over the years of preaching as seen in the two-part documentary that investigated the group in 2007, 2010, and 2019. </w:t>
      </w:r>
    </w:p>
    <w:p w:rsidR="00000000" w:rsidDel="00000000" w:rsidP="00000000" w:rsidRDefault="00000000" w:rsidRPr="00000000" w14:paraId="00000022">
      <w:pPr>
        <w:ind w:left="0" w:firstLine="0"/>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23">
      <w:pPr>
        <w:ind w:left="0" w:firstLine="720"/>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In addition to the restlessly controversial WBC to test the validation of LGBTQ+ community members, Crandall, Miller, and White (2018) report that in recent years, following the election of Donald Trump into presidency in 2016, levels of acceptance of prejudice towards stigmatized, minority groups such as the LGBTQ+ community have risen. Therefore, it seems that these findings reflect a society that may be decelerating the rate of socio-cultural development. This raises the question regarding concern for the mental health of those from the LGBTQ+ community as this finding suggests that the levels of discrimination against gays and lesbians has also raised levels of stress and mental health instability. </w:t>
      </w:r>
    </w:p>
    <w:p w:rsidR="00000000" w:rsidDel="00000000" w:rsidP="00000000" w:rsidRDefault="00000000" w:rsidRPr="00000000" w14:paraId="00000024">
      <w:pPr>
        <w:ind w:left="0" w:firstLine="720"/>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25">
      <w:pPr>
        <w:ind w:left="0" w:firstLine="720"/>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Meyer’s minortity stress theory describes the negative experiences lived by those in the LGBTQ+ community sourrounding the idea that on top of everyday stressors, gay, lesbian, trans, and queer people have to endure stigmatization and prejudice relating to their disadvantaged position in society (Meyer, 2012). Meyer describes the additional stress as ‘chronic’ due to the fact that the pressure of being bullied and oppressed by social structures can negetively effect the mental states of individuals within the community, and even lead to suicide in extreme cases. However, Meyer (2015) explains that despite sexual minorities experiencing chronic victimization and discrimination regarding their sexual preferences, most individuals within the community thrive in their mental states and the development of their personas. Garretson (2018. Cited in Doan, 2019) claims that the key to raising support for gay rights is positive, emotionally warming reactions from the public. It could be argued that this would be thanks to the significant amount of support shown towards the community in modern Western media with a number of television shows and films being dedicated to raise awareness for the community. One study found that a television programme that followed two young, gay lead characters influenced attitudes of LGBTQ+ viewers to percieve positivity and hope for the community (Gillig &amp; Murphy, 2016). However, for non-gay viewers, the study findings revealed that the programme evoked feelings of disgust and negitivity towards the community. These findings suggest that while the LGBTQ+ community has gained much support and acceptance, there is still room for improvement in how gays and lesbians are perceived in the social world, even in the modern Western world.</w:t>
      </w:r>
    </w:p>
    <w:p w:rsidR="00000000" w:rsidDel="00000000" w:rsidP="00000000" w:rsidRDefault="00000000" w:rsidRPr="00000000" w14:paraId="00000026">
      <w:pPr>
        <w:ind w:left="0" w:firstLine="720"/>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27">
      <w:pPr>
        <w:ind w:left="0" w:firstLine="720"/>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Furthermore, this negative attitude towards the gay community could be extended to the Eastern cultures where LGBTQ+ individuals are not represented in the media and are disregarded from society for not conforming to religious norms (Cyrus, 2017). Given the lack of representation for gay and lesbian people of colour, it is suggested that these are the individuals who would be more exposed to the negative physical and mental impacts of discriminatory behaviour (Cyrus, 2017). Cyrus’ study has shown that people of multiple-minority groups’ (individuals that are members of the LGBTQ+ community in addition to being of an ethnically minor background) mental health security are the most at risk of deterioration due to experiencing racism from within the LGBTQ+ community in addition to homophobia from the ethnic community. So, as aforementioned, there are individuals who have fled their country in search of a better life where they will be more accepted as a member of the gay community; this research suggests that it may add a consequential stressor to their new life as a multiple-minority.</w:t>
      </w:r>
    </w:p>
    <w:p w:rsidR="00000000" w:rsidDel="00000000" w:rsidP="00000000" w:rsidRDefault="00000000" w:rsidRPr="00000000" w14:paraId="00000028">
      <w:pPr>
        <w:ind w:left="0" w:firstLine="720"/>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29">
      <w:pPr>
        <w:ind w:left="0" w:firstLine="720"/>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Even the predominantly Muslim country of Turkey have developed their legislations to be more accepting of gay, lesbian and trans individuals in recent years, to follow more of a Westernised culture (Fishman, 2013), proving to be a positive step in the right direction for the community. This proves that, above all, although religion is still considered an important part of cultural identity, the rigidity of religion can be softened to allow positive movement for societal diversity which should be adopted by more countries for a better standard of care for the LGBTQ+ communities within them. These findings reiterate the statement of Ofosu and colleagues (2019) that the shift for normalizing homosexuality, and raising awareness for the LGBTQ+ community accompanies the change of governmental views which is something more countries could adopt in order to maintain and uplift the delivery of care for the mental and physical welfare of their residents.</w:t>
      </w:r>
    </w:p>
    <w:p w:rsidR="00000000" w:rsidDel="00000000" w:rsidP="00000000" w:rsidRDefault="00000000" w:rsidRPr="00000000" w14:paraId="0000002A">
      <w:pPr>
        <w:ind w:left="720" w:firstLine="0"/>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2B">
      <w:pPr>
        <w:ind w:left="0" w:firstLine="720.0000000000001"/>
        <w:rPr>
          <w:color w:val="000000"/>
          <w:u w:val="none"/>
        </w:rPr>
      </w:pPr>
      <w:r w:rsidDel="00000000" w:rsidR="00000000" w:rsidRPr="00000000">
        <w:rPr>
          <w:rFonts w:ascii="Times New Roman" w:cs="Times New Roman" w:eastAsia="Times New Roman" w:hAnsi="Times New Roman"/>
          <w:color w:val="000000"/>
          <w:sz w:val="24"/>
          <w:szCs w:val="24"/>
          <w:u w:val="none"/>
          <w:rtl w:val="0"/>
        </w:rPr>
        <w:t xml:space="preserve">The overall literature for this topic demonstrates that equality for members of the LGBTQ+ community has come a long way since the early twentieth century in the Western world; from criminalizing same-sex behaviour to legalizing and celebrating the LGBTQ+ community. However, the literature also shows that there is much room for improvement in terms of a collective view of gay rights for every homosexual person, no matter what religious or ethnic background. The studies included in the literature suggest that an effective way to bring the mindsets of greater population forward into a more modern ethos, is to update legislations with the intention to not only decriminalise same-sex sexual activity, but to legalize the marriage of two homosexual individuals in all countries around the world. As well as elevating the societal status of gay and lesbian individuals from what seems to be somewhere at the bottom of the hierarchy in some regions across the globe, legalisation of homosexual activity would also prompt the emergence of support for these individuals from the non-gay majority population; and hopefully decrease the probability of metal and physical harm imposed onto the persons of the LGBTQ+ community. </w:t>
      </w:r>
      <w:r w:rsidDel="00000000" w:rsidR="00000000" w:rsidRPr="00000000">
        <w:br w:type="page"/>
      </w: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b w:val="1"/>
          <w:color w:val="000000"/>
          <w:sz w:val="24"/>
          <w:szCs w:val="24"/>
          <w:u w:val="none"/>
        </w:rPr>
      </w:pPr>
      <w:r w:rsidDel="00000000" w:rsidR="00000000" w:rsidRPr="00000000">
        <w:rPr>
          <w:rFonts w:ascii="Times New Roman" w:cs="Times New Roman" w:eastAsia="Times New Roman" w:hAnsi="Times New Roman"/>
          <w:b w:val="1"/>
          <w:color w:val="000000"/>
          <w:sz w:val="24"/>
          <w:szCs w:val="24"/>
          <w:u w:val="none"/>
          <w:rtl w:val="0"/>
        </w:rPr>
        <w:t xml:space="preserve">References</w:t>
      </w:r>
    </w:p>
    <w:p w:rsidR="00000000" w:rsidDel="00000000" w:rsidP="00000000" w:rsidRDefault="00000000" w:rsidRPr="00000000" w14:paraId="0000002D">
      <w:pPr>
        <w:rPr>
          <w:color w:val="000000"/>
          <w:u w:val="none"/>
        </w:rPr>
      </w:pPr>
      <w:r w:rsidDel="00000000" w:rsidR="00000000" w:rsidRPr="00000000">
        <w:rPr>
          <w:rtl w:val="0"/>
        </w:rPr>
      </w:r>
    </w:p>
    <w:p w:rsidR="00000000" w:rsidDel="00000000" w:rsidP="00000000" w:rsidRDefault="00000000" w:rsidRPr="00000000" w14:paraId="0000002E">
      <w:pPr>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Baker, J. O., Bader, C. D., &amp; Hirsch, K. (2015). Desecration, moral boundaries, and the movement of law: The case of Westboro Baptist Church. </w:t>
      </w:r>
      <w:r w:rsidDel="00000000" w:rsidR="00000000" w:rsidRPr="00000000">
        <w:rPr>
          <w:rFonts w:ascii="Times New Roman" w:cs="Times New Roman" w:eastAsia="Times New Roman" w:hAnsi="Times New Roman"/>
          <w:i w:val="1"/>
          <w:color w:val="000000"/>
          <w:sz w:val="24"/>
          <w:szCs w:val="24"/>
          <w:u w:val="none"/>
          <w:rtl w:val="0"/>
        </w:rPr>
        <w:t xml:space="preserve">Deviant Behavior</w:t>
      </w:r>
      <w:r w:rsidDel="00000000" w:rsidR="00000000" w:rsidRPr="00000000">
        <w:rPr>
          <w:rFonts w:ascii="Times New Roman" w:cs="Times New Roman" w:eastAsia="Times New Roman" w:hAnsi="Times New Roman"/>
          <w:color w:val="000000"/>
          <w:sz w:val="24"/>
          <w:szCs w:val="24"/>
          <w:u w:val="none"/>
          <w:rtl w:val="0"/>
        </w:rPr>
        <w:t xml:space="preserve">, </w:t>
      </w:r>
      <w:r w:rsidDel="00000000" w:rsidR="00000000" w:rsidRPr="00000000">
        <w:rPr>
          <w:rFonts w:ascii="Times New Roman" w:cs="Times New Roman" w:eastAsia="Times New Roman" w:hAnsi="Times New Roman"/>
          <w:i w:val="1"/>
          <w:color w:val="000000"/>
          <w:sz w:val="24"/>
          <w:szCs w:val="24"/>
          <w:u w:val="none"/>
          <w:rtl w:val="0"/>
        </w:rPr>
        <w:t xml:space="preserve">36</w:t>
      </w:r>
      <w:r w:rsidDel="00000000" w:rsidR="00000000" w:rsidRPr="00000000">
        <w:rPr>
          <w:rFonts w:ascii="Times New Roman" w:cs="Times New Roman" w:eastAsia="Times New Roman" w:hAnsi="Times New Roman"/>
          <w:color w:val="000000"/>
          <w:sz w:val="24"/>
          <w:szCs w:val="24"/>
          <w:u w:val="none"/>
          <w:rtl w:val="0"/>
        </w:rPr>
        <w:t xml:space="preserve">(1), 42-67.</w:t>
      </w:r>
    </w:p>
    <w:p w:rsidR="00000000" w:rsidDel="00000000" w:rsidP="00000000" w:rsidRDefault="00000000" w:rsidRPr="00000000" w14:paraId="0000002F">
      <w:pPr>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Crandall, C. S., Miller, J. M., &amp; White, M. H. (2018). Changing norms following the 2016 US presidential election: The Trump effect on prejudice. </w:t>
      </w:r>
      <w:r w:rsidDel="00000000" w:rsidR="00000000" w:rsidRPr="00000000">
        <w:rPr>
          <w:rFonts w:ascii="Times New Roman" w:cs="Times New Roman" w:eastAsia="Times New Roman" w:hAnsi="Times New Roman"/>
          <w:i w:val="1"/>
          <w:color w:val="000000"/>
          <w:sz w:val="24"/>
          <w:szCs w:val="24"/>
          <w:u w:val="none"/>
          <w:rtl w:val="0"/>
        </w:rPr>
        <w:t xml:space="preserve">Social Psychological and Personality Science</w:t>
      </w:r>
      <w:r w:rsidDel="00000000" w:rsidR="00000000" w:rsidRPr="00000000">
        <w:rPr>
          <w:rFonts w:ascii="Times New Roman" w:cs="Times New Roman" w:eastAsia="Times New Roman" w:hAnsi="Times New Roman"/>
          <w:color w:val="000000"/>
          <w:sz w:val="24"/>
          <w:szCs w:val="24"/>
          <w:u w:val="none"/>
          <w:rtl w:val="0"/>
        </w:rPr>
        <w:t xml:space="preserve">, </w:t>
      </w:r>
      <w:r w:rsidDel="00000000" w:rsidR="00000000" w:rsidRPr="00000000">
        <w:rPr>
          <w:rFonts w:ascii="Times New Roman" w:cs="Times New Roman" w:eastAsia="Times New Roman" w:hAnsi="Times New Roman"/>
          <w:i w:val="1"/>
          <w:color w:val="000000"/>
          <w:sz w:val="24"/>
          <w:szCs w:val="24"/>
          <w:u w:val="none"/>
          <w:rtl w:val="0"/>
        </w:rPr>
        <w:t xml:space="preserve">9</w:t>
      </w:r>
      <w:r w:rsidDel="00000000" w:rsidR="00000000" w:rsidRPr="00000000">
        <w:rPr>
          <w:rFonts w:ascii="Times New Roman" w:cs="Times New Roman" w:eastAsia="Times New Roman" w:hAnsi="Times New Roman"/>
          <w:color w:val="000000"/>
          <w:sz w:val="24"/>
          <w:szCs w:val="24"/>
          <w:u w:val="none"/>
          <w:rtl w:val="0"/>
        </w:rPr>
        <w:t xml:space="preserve">(2), 186-192.</w:t>
      </w:r>
    </w:p>
    <w:p w:rsidR="00000000" w:rsidDel="00000000" w:rsidP="00000000" w:rsidRDefault="00000000" w:rsidRPr="00000000" w14:paraId="00000031">
      <w:pPr>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32">
      <w:pPr>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Cyrus, K. (2017). Multiple minorities as multiply marginalized: Applying the minority stress theory to LGBTQ people of color. </w:t>
      </w:r>
      <w:r w:rsidDel="00000000" w:rsidR="00000000" w:rsidRPr="00000000">
        <w:rPr>
          <w:rFonts w:ascii="Times New Roman" w:cs="Times New Roman" w:eastAsia="Times New Roman" w:hAnsi="Times New Roman"/>
          <w:i w:val="1"/>
          <w:color w:val="000000"/>
          <w:sz w:val="24"/>
          <w:szCs w:val="24"/>
          <w:u w:val="none"/>
          <w:rtl w:val="0"/>
        </w:rPr>
        <w:t xml:space="preserve">Journal of Gay &amp; Lesbian Mental Health</w:t>
      </w:r>
      <w:r w:rsidDel="00000000" w:rsidR="00000000" w:rsidRPr="00000000">
        <w:rPr>
          <w:rFonts w:ascii="Times New Roman" w:cs="Times New Roman" w:eastAsia="Times New Roman" w:hAnsi="Times New Roman"/>
          <w:color w:val="000000"/>
          <w:sz w:val="24"/>
          <w:szCs w:val="24"/>
          <w:u w:val="none"/>
          <w:rtl w:val="0"/>
        </w:rPr>
        <w:t xml:space="preserve">, </w:t>
      </w:r>
      <w:r w:rsidDel="00000000" w:rsidR="00000000" w:rsidRPr="00000000">
        <w:rPr>
          <w:rFonts w:ascii="Times New Roman" w:cs="Times New Roman" w:eastAsia="Times New Roman" w:hAnsi="Times New Roman"/>
          <w:i w:val="1"/>
          <w:color w:val="000000"/>
          <w:sz w:val="24"/>
          <w:szCs w:val="24"/>
          <w:u w:val="none"/>
          <w:rtl w:val="0"/>
        </w:rPr>
        <w:t xml:space="preserve">21</w:t>
      </w:r>
      <w:r w:rsidDel="00000000" w:rsidR="00000000" w:rsidRPr="00000000">
        <w:rPr>
          <w:rFonts w:ascii="Times New Roman" w:cs="Times New Roman" w:eastAsia="Times New Roman" w:hAnsi="Times New Roman"/>
          <w:color w:val="000000"/>
          <w:sz w:val="24"/>
          <w:szCs w:val="24"/>
          <w:u w:val="none"/>
          <w:rtl w:val="0"/>
        </w:rPr>
        <w:t xml:space="preserve">(3), 194-202.</w:t>
      </w:r>
    </w:p>
    <w:p w:rsidR="00000000" w:rsidDel="00000000" w:rsidP="00000000" w:rsidRDefault="00000000" w:rsidRPr="00000000" w14:paraId="00000033">
      <w:pPr>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34">
      <w:pPr>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Doan, L. (2019). The Path to Gay Rights: How Activism and Coming Out Changed Public Opinion. </w:t>
      </w:r>
      <w:r w:rsidDel="00000000" w:rsidR="00000000" w:rsidRPr="00000000">
        <w:rPr>
          <w:rFonts w:ascii="Times New Roman" w:cs="Times New Roman" w:eastAsia="Times New Roman" w:hAnsi="Times New Roman"/>
          <w:i w:val="1"/>
          <w:color w:val="000000"/>
          <w:sz w:val="24"/>
          <w:szCs w:val="24"/>
          <w:u w:val="none"/>
          <w:rtl w:val="0"/>
        </w:rPr>
        <w:t xml:space="preserve">Social Forces</w:t>
      </w:r>
      <w:r w:rsidDel="00000000" w:rsidR="00000000" w:rsidRPr="00000000">
        <w:rPr>
          <w:rFonts w:ascii="Times New Roman" w:cs="Times New Roman" w:eastAsia="Times New Roman" w:hAnsi="Times New Roman"/>
          <w:color w:val="000000"/>
          <w:sz w:val="24"/>
          <w:szCs w:val="24"/>
          <w:u w:val="none"/>
          <w:rtl w:val="0"/>
        </w:rPr>
        <w:t xml:space="preserve">.</w:t>
      </w:r>
    </w:p>
    <w:p w:rsidR="00000000" w:rsidDel="00000000" w:rsidP="00000000" w:rsidRDefault="00000000" w:rsidRPr="00000000" w14:paraId="00000035">
      <w:pPr>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Fishman, L. A. (2013). Turkey and LGBT rights: A historical and global perspective. </w:t>
      </w:r>
      <w:r w:rsidDel="00000000" w:rsidR="00000000" w:rsidRPr="00000000">
        <w:rPr>
          <w:rFonts w:ascii="Times New Roman" w:cs="Times New Roman" w:eastAsia="Times New Roman" w:hAnsi="Times New Roman"/>
          <w:i w:val="1"/>
          <w:color w:val="000000"/>
          <w:sz w:val="24"/>
          <w:szCs w:val="24"/>
          <w:u w:val="none"/>
          <w:rtl w:val="0"/>
        </w:rPr>
        <w:t xml:space="preserve">Turkish Policy Quarterly</w:t>
      </w:r>
      <w:r w:rsidDel="00000000" w:rsidR="00000000" w:rsidRPr="00000000">
        <w:rPr>
          <w:rFonts w:ascii="Times New Roman" w:cs="Times New Roman" w:eastAsia="Times New Roman" w:hAnsi="Times New Roman"/>
          <w:color w:val="000000"/>
          <w:sz w:val="24"/>
          <w:szCs w:val="24"/>
          <w:u w:val="none"/>
          <w:rtl w:val="0"/>
        </w:rPr>
        <w:t xml:space="preserve">, </w:t>
      </w:r>
      <w:r w:rsidDel="00000000" w:rsidR="00000000" w:rsidRPr="00000000">
        <w:rPr>
          <w:rFonts w:ascii="Times New Roman" w:cs="Times New Roman" w:eastAsia="Times New Roman" w:hAnsi="Times New Roman"/>
          <w:i w:val="1"/>
          <w:color w:val="000000"/>
          <w:sz w:val="24"/>
          <w:szCs w:val="24"/>
          <w:u w:val="none"/>
          <w:rtl w:val="0"/>
        </w:rPr>
        <w:t xml:space="preserve">11</w:t>
      </w:r>
      <w:r w:rsidDel="00000000" w:rsidR="00000000" w:rsidRPr="00000000">
        <w:rPr>
          <w:rFonts w:ascii="Times New Roman" w:cs="Times New Roman" w:eastAsia="Times New Roman" w:hAnsi="Times New Roman"/>
          <w:color w:val="000000"/>
          <w:sz w:val="24"/>
          <w:szCs w:val="24"/>
          <w:u w:val="none"/>
          <w:rtl w:val="0"/>
        </w:rPr>
        <w:t xml:space="preserve">(4), 149-159.</w:t>
      </w:r>
    </w:p>
    <w:p w:rsidR="00000000" w:rsidDel="00000000" w:rsidP="00000000" w:rsidRDefault="00000000" w:rsidRPr="00000000" w14:paraId="00000037">
      <w:pPr>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Gillig, T., &amp; Murphy, S. (2016). Fostering support for LGBTQ youth? The effects of a gay adolescent media portrayal on young viewers. </w:t>
      </w:r>
      <w:r w:rsidDel="00000000" w:rsidR="00000000" w:rsidRPr="00000000">
        <w:rPr>
          <w:rFonts w:ascii="Times New Roman" w:cs="Times New Roman" w:eastAsia="Times New Roman" w:hAnsi="Times New Roman"/>
          <w:i w:val="1"/>
          <w:color w:val="000000"/>
          <w:sz w:val="24"/>
          <w:szCs w:val="24"/>
          <w:u w:val="none"/>
          <w:rtl w:val="0"/>
        </w:rPr>
        <w:t xml:space="preserve">International Journal of Communication</w:t>
      </w:r>
      <w:r w:rsidDel="00000000" w:rsidR="00000000" w:rsidRPr="00000000">
        <w:rPr>
          <w:rFonts w:ascii="Times New Roman" w:cs="Times New Roman" w:eastAsia="Times New Roman" w:hAnsi="Times New Roman"/>
          <w:color w:val="000000"/>
          <w:sz w:val="24"/>
          <w:szCs w:val="24"/>
          <w:u w:val="none"/>
          <w:rtl w:val="0"/>
        </w:rPr>
        <w:t xml:space="preserve">, </w:t>
      </w:r>
      <w:r w:rsidDel="00000000" w:rsidR="00000000" w:rsidRPr="00000000">
        <w:rPr>
          <w:rFonts w:ascii="Times New Roman" w:cs="Times New Roman" w:eastAsia="Times New Roman" w:hAnsi="Times New Roman"/>
          <w:i w:val="1"/>
          <w:color w:val="000000"/>
          <w:sz w:val="24"/>
          <w:szCs w:val="24"/>
          <w:u w:val="none"/>
          <w:rtl w:val="0"/>
        </w:rPr>
        <w:t xml:space="preserve">10</w:t>
      </w:r>
      <w:r w:rsidDel="00000000" w:rsidR="00000000" w:rsidRPr="00000000">
        <w:rPr>
          <w:rFonts w:ascii="Times New Roman" w:cs="Times New Roman" w:eastAsia="Times New Roman" w:hAnsi="Times New Roman"/>
          <w:color w:val="000000"/>
          <w:sz w:val="24"/>
          <w:szCs w:val="24"/>
          <w:u w:val="none"/>
          <w:rtl w:val="0"/>
        </w:rPr>
        <w:t xml:space="preserve">, 23.</w:t>
      </w:r>
    </w:p>
    <w:p w:rsidR="00000000" w:rsidDel="00000000" w:rsidP="00000000" w:rsidRDefault="00000000" w:rsidRPr="00000000" w14:paraId="00000039">
      <w:pPr>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3A">
      <w:pPr>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 Government Equalities Office. (2017). National LGBT Survey: Summary report. https://www.gov.uk/government/publications/national-lgbt-survey-summary-report/national-lgbt-survey-summary-report</w:t>
      </w:r>
    </w:p>
    <w:p w:rsidR="00000000" w:rsidDel="00000000" w:rsidP="00000000" w:rsidRDefault="00000000" w:rsidRPr="00000000" w14:paraId="0000003B">
      <w:pPr>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3C">
      <w:pPr>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Hull, K., &amp; Hull, K. E. (2006). Same-sex marriage: The cultural politics of love and law. Cambridge University Press.</w:t>
      </w:r>
    </w:p>
    <w:p w:rsidR="00000000" w:rsidDel="00000000" w:rsidP="00000000" w:rsidRDefault="00000000" w:rsidRPr="00000000" w14:paraId="0000003D">
      <w:pPr>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3E">
      <w:pPr>
        <w:rPr>
          <w:rFonts w:ascii="Times New Roman" w:cs="Times New Roman" w:eastAsia="Times New Roman" w:hAnsi="Times New Roman"/>
          <w:color w:val="000000"/>
          <w:sz w:val="24"/>
          <w:szCs w:val="24"/>
          <w:highlight w:val="white"/>
          <w:u w:val="none"/>
        </w:rPr>
      </w:pPr>
      <w:r w:rsidDel="00000000" w:rsidR="00000000" w:rsidRPr="00000000">
        <w:rPr>
          <w:rFonts w:ascii="Times New Roman" w:cs="Times New Roman" w:eastAsia="Times New Roman" w:hAnsi="Times New Roman"/>
          <w:color w:val="000000"/>
          <w:sz w:val="24"/>
          <w:szCs w:val="24"/>
          <w:u w:val="none"/>
          <w:rtl w:val="0"/>
        </w:rPr>
        <w:t xml:space="preserve">Human Dignity Trust. (2020). Map of Countries that Criminalise LGBT People. Retrieved 30 April 2020, from </w:t>
      </w:r>
      <w:hyperlink r:id="rId7">
        <w:r w:rsidDel="00000000" w:rsidR="00000000" w:rsidRPr="00000000">
          <w:rPr>
            <w:rFonts w:ascii="Times New Roman" w:cs="Times New Roman" w:eastAsia="Times New Roman" w:hAnsi="Times New Roman"/>
            <w:color w:val="000000"/>
            <w:sz w:val="24"/>
            <w:szCs w:val="24"/>
            <w:u w:val="none"/>
            <w:rtl w:val="0"/>
          </w:rPr>
          <w:t xml:space="preserve">https://www.humandignitytrust.org/lgbt-the-law/map-of-cri</w:t>
        </w:r>
      </w:hyperlink>
      <w:r w:rsidDel="00000000" w:rsidR="00000000" w:rsidRPr="00000000">
        <w:rPr>
          <w:rFonts w:ascii="Times New Roman" w:cs="Times New Roman" w:eastAsia="Times New Roman" w:hAnsi="Times New Roman"/>
          <w:color w:val="000000"/>
          <w:sz w:val="24"/>
          <w:szCs w:val="24"/>
          <w:u w:val="none"/>
          <w:rtl w:val="0"/>
        </w:rPr>
        <w:t xml:space="preserve">minalisation/</w:t>
      </w:r>
      <w:r w:rsidDel="00000000" w:rsidR="00000000" w:rsidRPr="00000000">
        <w:rPr>
          <w:rtl w:val="0"/>
        </w:rPr>
      </w:r>
    </w:p>
    <w:p w:rsidR="00000000" w:rsidDel="00000000" w:rsidP="00000000" w:rsidRDefault="00000000" w:rsidRPr="00000000" w14:paraId="0000003F">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Humphreys, L. (1975). </w:t>
      </w:r>
      <w:r w:rsidDel="00000000" w:rsidR="00000000" w:rsidRPr="00000000">
        <w:rPr>
          <w:rFonts w:ascii="Times New Roman" w:cs="Times New Roman" w:eastAsia="Times New Roman" w:hAnsi="Times New Roman"/>
          <w:i w:val="1"/>
          <w:color w:val="000000"/>
          <w:sz w:val="24"/>
          <w:szCs w:val="24"/>
          <w:u w:val="none"/>
          <w:rtl w:val="0"/>
        </w:rPr>
        <w:t xml:space="preserve">Tearoom trade, enlarged edition: Impersonal sex in public places</w:t>
      </w:r>
      <w:r w:rsidDel="00000000" w:rsidR="00000000" w:rsidRPr="00000000">
        <w:rPr>
          <w:rFonts w:ascii="Times New Roman" w:cs="Times New Roman" w:eastAsia="Times New Roman" w:hAnsi="Times New Roman"/>
          <w:color w:val="000000"/>
          <w:sz w:val="24"/>
          <w:szCs w:val="24"/>
          <w:u w:val="none"/>
          <w:rtl w:val="0"/>
        </w:rPr>
        <w:t xml:space="preserve">. Transaction Publishers.</w:t>
      </w:r>
    </w:p>
    <w:p w:rsidR="00000000" w:rsidDel="00000000" w:rsidP="00000000" w:rsidRDefault="00000000" w:rsidRPr="00000000" w14:paraId="00000041">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42">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Khaleeli, H. (2014). Hijra: India’s third gender claims its place in law. </w:t>
      </w:r>
      <w:r w:rsidDel="00000000" w:rsidR="00000000" w:rsidRPr="00000000">
        <w:rPr>
          <w:rFonts w:ascii="Times New Roman" w:cs="Times New Roman" w:eastAsia="Times New Roman" w:hAnsi="Times New Roman"/>
          <w:i w:val="1"/>
          <w:color w:val="000000"/>
          <w:sz w:val="24"/>
          <w:szCs w:val="24"/>
          <w:u w:val="none"/>
          <w:rtl w:val="0"/>
        </w:rPr>
        <w:t xml:space="preserve">The Guardian</w:t>
      </w:r>
      <w:r w:rsidDel="00000000" w:rsidR="00000000" w:rsidRPr="00000000">
        <w:rPr>
          <w:rFonts w:ascii="Times New Roman" w:cs="Times New Roman" w:eastAsia="Times New Roman" w:hAnsi="Times New Roman"/>
          <w:color w:val="000000"/>
          <w:sz w:val="24"/>
          <w:szCs w:val="24"/>
          <w:u w:val="none"/>
          <w:rtl w:val="0"/>
        </w:rPr>
        <w:t xml:space="preserve">, </w:t>
      </w:r>
      <w:r w:rsidDel="00000000" w:rsidR="00000000" w:rsidRPr="00000000">
        <w:rPr>
          <w:rFonts w:ascii="Times New Roman" w:cs="Times New Roman" w:eastAsia="Times New Roman" w:hAnsi="Times New Roman"/>
          <w:i w:val="1"/>
          <w:color w:val="000000"/>
          <w:sz w:val="24"/>
          <w:szCs w:val="24"/>
          <w:u w:val="none"/>
          <w:rtl w:val="0"/>
        </w:rPr>
        <w:t xml:space="preserve">16</w:t>
      </w:r>
      <w:r w:rsidDel="00000000" w:rsidR="00000000" w:rsidRPr="00000000">
        <w:rPr>
          <w:rFonts w:ascii="Times New Roman" w:cs="Times New Roman" w:eastAsia="Times New Roman" w:hAnsi="Times New Roman"/>
          <w:color w:val="000000"/>
          <w:sz w:val="24"/>
          <w:szCs w:val="24"/>
          <w:u w:val="none"/>
          <w:rtl w:val="0"/>
        </w:rPr>
        <w:t xml:space="preserve">.</w:t>
      </w:r>
    </w:p>
    <w:p w:rsidR="00000000" w:rsidDel="00000000" w:rsidP="00000000" w:rsidRDefault="00000000" w:rsidRPr="00000000" w14:paraId="00000043">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44">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Meyer, I. H. (2012). The health of sexual minorities. In A. Baum, T. A. Revenson, &amp; J. Singer (Eds.), </w:t>
      </w:r>
      <w:r w:rsidDel="00000000" w:rsidR="00000000" w:rsidRPr="00000000">
        <w:rPr>
          <w:rFonts w:ascii="Times New Roman" w:cs="Times New Roman" w:eastAsia="Times New Roman" w:hAnsi="Times New Roman"/>
          <w:i w:val="1"/>
          <w:color w:val="000000"/>
          <w:sz w:val="24"/>
          <w:szCs w:val="24"/>
          <w:u w:val="none"/>
          <w:rtl w:val="0"/>
        </w:rPr>
        <w:t xml:space="preserve">Handbook of health psychology</w:t>
      </w:r>
      <w:r w:rsidDel="00000000" w:rsidR="00000000" w:rsidRPr="00000000">
        <w:rPr>
          <w:rFonts w:ascii="Times New Roman" w:cs="Times New Roman" w:eastAsia="Times New Roman" w:hAnsi="Times New Roman"/>
          <w:color w:val="000000"/>
          <w:sz w:val="24"/>
          <w:szCs w:val="24"/>
          <w:u w:val="none"/>
          <w:rtl w:val="0"/>
        </w:rPr>
        <w:t xml:space="preserve"> (p. 595–615). Psychology Press.</w:t>
      </w:r>
    </w:p>
    <w:p w:rsidR="00000000" w:rsidDel="00000000" w:rsidP="00000000" w:rsidRDefault="00000000" w:rsidRPr="00000000" w14:paraId="00000045">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46">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Meyer, I. H. (2015). Resilience in the study of minority stress and health of sexual and gender minorities. </w:t>
      </w:r>
      <w:r w:rsidDel="00000000" w:rsidR="00000000" w:rsidRPr="00000000">
        <w:rPr>
          <w:rFonts w:ascii="Times New Roman" w:cs="Times New Roman" w:eastAsia="Times New Roman" w:hAnsi="Times New Roman"/>
          <w:i w:val="1"/>
          <w:color w:val="000000"/>
          <w:sz w:val="24"/>
          <w:szCs w:val="24"/>
          <w:u w:val="none"/>
          <w:rtl w:val="0"/>
        </w:rPr>
        <w:t xml:space="preserve">Psychology of Sexual Orientation and Gender Diversity</w:t>
      </w:r>
      <w:r w:rsidDel="00000000" w:rsidR="00000000" w:rsidRPr="00000000">
        <w:rPr>
          <w:rFonts w:ascii="Times New Roman" w:cs="Times New Roman" w:eastAsia="Times New Roman" w:hAnsi="Times New Roman"/>
          <w:color w:val="000000"/>
          <w:sz w:val="24"/>
          <w:szCs w:val="24"/>
          <w:u w:val="none"/>
          <w:rtl w:val="0"/>
        </w:rPr>
        <w:t xml:space="preserve">, </w:t>
      </w:r>
      <w:r w:rsidDel="00000000" w:rsidR="00000000" w:rsidRPr="00000000">
        <w:rPr>
          <w:rFonts w:ascii="Times New Roman" w:cs="Times New Roman" w:eastAsia="Times New Roman" w:hAnsi="Times New Roman"/>
          <w:i w:val="1"/>
          <w:color w:val="000000"/>
          <w:sz w:val="24"/>
          <w:szCs w:val="24"/>
          <w:u w:val="none"/>
          <w:rtl w:val="0"/>
        </w:rPr>
        <w:t xml:space="preserve">2</w:t>
      </w:r>
      <w:r w:rsidDel="00000000" w:rsidR="00000000" w:rsidRPr="00000000">
        <w:rPr>
          <w:rFonts w:ascii="Times New Roman" w:cs="Times New Roman" w:eastAsia="Times New Roman" w:hAnsi="Times New Roman"/>
          <w:color w:val="000000"/>
          <w:sz w:val="24"/>
          <w:szCs w:val="24"/>
          <w:u w:val="none"/>
          <w:rtl w:val="0"/>
        </w:rPr>
        <w:t xml:space="preserve">(3), 209.</w:t>
      </w:r>
    </w:p>
    <w:p w:rsidR="00000000" w:rsidDel="00000000" w:rsidP="00000000" w:rsidRDefault="00000000" w:rsidRPr="00000000" w14:paraId="00000047">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48">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Milone, A. (2016). Seen, but now heard: How increased LGBT visibility contributed to cultural acceptance of gay marriage. Marist College.</w:t>
      </w:r>
    </w:p>
    <w:p w:rsidR="00000000" w:rsidDel="00000000" w:rsidP="00000000" w:rsidRDefault="00000000" w:rsidRPr="00000000" w14:paraId="00000049">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4A">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222222"/>
          <w:sz w:val="24"/>
          <w:szCs w:val="24"/>
          <w:u w:val="none"/>
          <w:rtl w:val="0"/>
        </w:rPr>
        <w:t xml:space="preserve">Ofosu, E. K., Chambers, M. K., Chen, J. M., &amp; Hehman, E. (2019). Same-sex marriage legalization associated with reduced implicit and explicit antigay bias. </w:t>
      </w:r>
      <w:r w:rsidDel="00000000" w:rsidR="00000000" w:rsidRPr="00000000">
        <w:rPr>
          <w:rFonts w:ascii="Times New Roman" w:cs="Times New Roman" w:eastAsia="Times New Roman" w:hAnsi="Times New Roman"/>
          <w:i w:val="1"/>
          <w:color w:val="222222"/>
          <w:sz w:val="24"/>
          <w:szCs w:val="24"/>
          <w:u w:val="none"/>
          <w:rtl w:val="0"/>
        </w:rPr>
        <w:t xml:space="preserve">Proceedings of the National Academy of Sciences</w:t>
      </w:r>
      <w:r w:rsidDel="00000000" w:rsidR="00000000" w:rsidRPr="00000000">
        <w:rPr>
          <w:rFonts w:ascii="Times New Roman" w:cs="Times New Roman" w:eastAsia="Times New Roman" w:hAnsi="Times New Roman"/>
          <w:color w:val="222222"/>
          <w:sz w:val="24"/>
          <w:szCs w:val="24"/>
          <w:u w:val="none"/>
          <w:rtl w:val="0"/>
        </w:rPr>
        <w:t xml:space="preserve">, </w:t>
      </w:r>
      <w:r w:rsidDel="00000000" w:rsidR="00000000" w:rsidRPr="00000000">
        <w:rPr>
          <w:rFonts w:ascii="Times New Roman" w:cs="Times New Roman" w:eastAsia="Times New Roman" w:hAnsi="Times New Roman"/>
          <w:i w:val="1"/>
          <w:color w:val="222222"/>
          <w:sz w:val="24"/>
          <w:szCs w:val="24"/>
          <w:u w:val="none"/>
          <w:rtl w:val="0"/>
        </w:rPr>
        <w:t xml:space="preserve">116</w:t>
      </w:r>
      <w:r w:rsidDel="00000000" w:rsidR="00000000" w:rsidRPr="00000000">
        <w:rPr>
          <w:rFonts w:ascii="Times New Roman" w:cs="Times New Roman" w:eastAsia="Times New Roman" w:hAnsi="Times New Roman"/>
          <w:color w:val="222222"/>
          <w:sz w:val="24"/>
          <w:szCs w:val="24"/>
          <w:u w:val="none"/>
          <w:rtl w:val="0"/>
        </w:rPr>
        <w:t xml:space="preserve">(18), 8846-8851.</w:t>
      </w:r>
      <w:r w:rsidDel="00000000" w:rsidR="00000000" w:rsidRPr="00000000">
        <w:rPr>
          <w:rtl w:val="0"/>
        </w:rPr>
      </w:r>
    </w:p>
    <w:p w:rsidR="00000000" w:rsidDel="00000000" w:rsidP="00000000" w:rsidRDefault="00000000" w:rsidRPr="00000000" w14:paraId="0000004B">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4C">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Rodriguez, N. S. (2017). San Francisco's queer diaspora and the gay Middle Eastern refugee/asylee. </w:t>
      </w:r>
      <w:r w:rsidDel="00000000" w:rsidR="00000000" w:rsidRPr="00000000">
        <w:rPr>
          <w:rFonts w:ascii="Times New Roman" w:cs="Times New Roman" w:eastAsia="Times New Roman" w:hAnsi="Times New Roman"/>
          <w:i w:val="1"/>
          <w:color w:val="000000"/>
          <w:sz w:val="24"/>
          <w:szCs w:val="24"/>
          <w:u w:val="none"/>
          <w:rtl w:val="0"/>
        </w:rPr>
        <w:t xml:space="preserve">JOMEC Journal</w:t>
      </w:r>
      <w:r w:rsidDel="00000000" w:rsidR="00000000" w:rsidRPr="00000000">
        <w:rPr>
          <w:rFonts w:ascii="Times New Roman" w:cs="Times New Roman" w:eastAsia="Times New Roman" w:hAnsi="Times New Roman"/>
          <w:color w:val="000000"/>
          <w:sz w:val="24"/>
          <w:szCs w:val="24"/>
          <w:u w:val="none"/>
          <w:rtl w:val="0"/>
        </w:rPr>
        <w:t xml:space="preserve">, </w:t>
      </w:r>
      <w:r w:rsidDel="00000000" w:rsidR="00000000" w:rsidRPr="00000000">
        <w:rPr>
          <w:rFonts w:ascii="Times New Roman" w:cs="Times New Roman" w:eastAsia="Times New Roman" w:hAnsi="Times New Roman"/>
          <w:i w:val="1"/>
          <w:color w:val="000000"/>
          <w:sz w:val="24"/>
          <w:szCs w:val="24"/>
          <w:u w:val="none"/>
          <w:rtl w:val="0"/>
        </w:rPr>
        <w:t xml:space="preserve">11</w:t>
      </w:r>
      <w:r w:rsidDel="00000000" w:rsidR="00000000" w:rsidRPr="00000000">
        <w:rPr>
          <w:rFonts w:ascii="Times New Roman" w:cs="Times New Roman" w:eastAsia="Times New Roman" w:hAnsi="Times New Roman"/>
          <w:color w:val="000000"/>
          <w:sz w:val="24"/>
          <w:szCs w:val="24"/>
          <w:u w:val="none"/>
          <w:rtl w:val="0"/>
        </w:rPr>
        <w:t xml:space="preserve">, 111-126.</w:t>
      </w:r>
    </w:p>
    <w:p w:rsidR="00000000" w:rsidDel="00000000" w:rsidP="00000000" w:rsidRDefault="00000000" w:rsidRPr="00000000" w14:paraId="0000004D">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4E">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Theroux, L. (2011). Still America's most hated family?. Retrieved 5 May 2020, from https://www.bbc.co.uk/news/magazine-12919646</w:t>
      </w:r>
    </w:p>
    <w:p w:rsidR="00000000" w:rsidDel="00000000" w:rsidP="00000000" w:rsidRDefault="00000000" w:rsidRPr="00000000" w14:paraId="0000004F">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50">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Van Klinken, A. S. (2013). Gay rights, the devil and the end times: public religion and the enchantment of the homosexuality debate in Zambia. </w:t>
      </w:r>
      <w:r w:rsidDel="00000000" w:rsidR="00000000" w:rsidRPr="00000000">
        <w:rPr>
          <w:rFonts w:ascii="Times New Roman" w:cs="Times New Roman" w:eastAsia="Times New Roman" w:hAnsi="Times New Roman"/>
          <w:i w:val="1"/>
          <w:color w:val="000000"/>
          <w:sz w:val="24"/>
          <w:szCs w:val="24"/>
          <w:u w:val="none"/>
          <w:rtl w:val="0"/>
        </w:rPr>
        <w:t xml:space="preserve">Religion</w:t>
      </w:r>
      <w:r w:rsidDel="00000000" w:rsidR="00000000" w:rsidRPr="00000000">
        <w:rPr>
          <w:rFonts w:ascii="Times New Roman" w:cs="Times New Roman" w:eastAsia="Times New Roman" w:hAnsi="Times New Roman"/>
          <w:color w:val="000000"/>
          <w:sz w:val="24"/>
          <w:szCs w:val="24"/>
          <w:u w:val="none"/>
          <w:rtl w:val="0"/>
        </w:rPr>
        <w:t xml:space="preserve">, </w:t>
      </w:r>
      <w:r w:rsidDel="00000000" w:rsidR="00000000" w:rsidRPr="00000000">
        <w:rPr>
          <w:rFonts w:ascii="Times New Roman" w:cs="Times New Roman" w:eastAsia="Times New Roman" w:hAnsi="Times New Roman"/>
          <w:i w:val="1"/>
          <w:color w:val="000000"/>
          <w:sz w:val="24"/>
          <w:szCs w:val="24"/>
          <w:u w:val="none"/>
          <w:rtl w:val="0"/>
        </w:rPr>
        <w:t xml:space="preserve">43</w:t>
      </w:r>
      <w:r w:rsidDel="00000000" w:rsidR="00000000" w:rsidRPr="00000000">
        <w:rPr>
          <w:rFonts w:ascii="Times New Roman" w:cs="Times New Roman" w:eastAsia="Times New Roman" w:hAnsi="Times New Roman"/>
          <w:color w:val="000000"/>
          <w:sz w:val="24"/>
          <w:szCs w:val="24"/>
          <w:u w:val="none"/>
          <w:rtl w:val="0"/>
        </w:rPr>
        <w:t xml:space="preserve">(4), 519-540.</w:t>
      </w:r>
    </w:p>
    <w:p w:rsidR="00000000" w:rsidDel="00000000" w:rsidP="00000000" w:rsidRDefault="00000000" w:rsidRPr="00000000" w14:paraId="00000051">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52">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u w:val="none"/>
          <w:rtl w:val="0"/>
        </w:rPr>
        <w:t xml:space="preserve">Wilkinson, C., Gerber, P., Offord, B., &amp; Langlois, A. J. (2017). LGBT Rights in Southeast Asia: One Step Forward, Two Steps Back?. </w:t>
      </w:r>
      <w:r w:rsidDel="00000000" w:rsidR="00000000" w:rsidRPr="00000000">
        <w:rPr>
          <w:rFonts w:ascii="Times New Roman" w:cs="Times New Roman" w:eastAsia="Times New Roman" w:hAnsi="Times New Roman"/>
          <w:i w:val="1"/>
          <w:color w:val="000000"/>
          <w:sz w:val="24"/>
          <w:szCs w:val="24"/>
          <w:u w:val="none"/>
          <w:rtl w:val="0"/>
        </w:rPr>
        <w:t xml:space="preserve">IAFOR Journal of Asian Studies</w:t>
      </w:r>
      <w:r w:rsidDel="00000000" w:rsidR="00000000" w:rsidRPr="00000000">
        <w:rPr>
          <w:rFonts w:ascii="Times New Roman" w:cs="Times New Roman" w:eastAsia="Times New Roman" w:hAnsi="Times New Roman"/>
          <w:color w:val="000000"/>
          <w:sz w:val="24"/>
          <w:szCs w:val="24"/>
          <w:u w:val="none"/>
          <w:rtl w:val="0"/>
        </w:rPr>
        <w:t xml:space="preserve">, </w:t>
      </w:r>
      <w:r w:rsidDel="00000000" w:rsidR="00000000" w:rsidRPr="00000000">
        <w:rPr>
          <w:rFonts w:ascii="Times New Roman" w:cs="Times New Roman" w:eastAsia="Times New Roman" w:hAnsi="Times New Roman"/>
          <w:i w:val="1"/>
          <w:color w:val="000000"/>
          <w:sz w:val="24"/>
          <w:szCs w:val="24"/>
          <w:u w:val="none"/>
          <w:rtl w:val="0"/>
        </w:rPr>
        <w:t xml:space="preserve">3</w:t>
      </w:r>
      <w:r w:rsidDel="00000000" w:rsidR="00000000" w:rsidRPr="00000000">
        <w:rPr>
          <w:rFonts w:ascii="Times New Roman" w:cs="Times New Roman" w:eastAsia="Times New Roman" w:hAnsi="Times New Roman"/>
          <w:color w:val="000000"/>
          <w:sz w:val="24"/>
          <w:szCs w:val="24"/>
          <w:u w:val="none"/>
          <w:rtl w:val="0"/>
        </w:rPr>
        <w:t xml:space="preserve">(1), 5-17.</w:t>
      </w:r>
    </w:p>
    <w:p w:rsidR="00000000" w:rsidDel="00000000" w:rsidP="00000000" w:rsidRDefault="00000000" w:rsidRPr="00000000" w14:paraId="00000053">
      <w:pPr>
        <w:spacing w:line="480" w:lineRule="auto"/>
        <w:ind w:left="720.0000000000001" w:hanging="720.0000000000001"/>
        <w:rPr>
          <w:rFonts w:ascii="Times New Roman" w:cs="Times New Roman" w:eastAsia="Times New Roman" w:hAnsi="Times New Roman"/>
          <w:color w:val="000000"/>
          <w:sz w:val="24"/>
          <w:szCs w:val="24"/>
          <w:u w:val="none"/>
        </w:rPr>
      </w:pPr>
      <w:r w:rsidDel="00000000" w:rsidR="00000000" w:rsidRPr="00000000">
        <w:rPr>
          <w:rtl w:val="0"/>
        </w:rPr>
      </w:r>
    </w:p>
    <w:p w:rsidR="00000000" w:rsidDel="00000000" w:rsidP="00000000" w:rsidRDefault="00000000" w:rsidRPr="00000000" w14:paraId="00000054">
      <w:pPr>
        <w:spacing w:line="480" w:lineRule="auto"/>
        <w:ind w:left="720.0000000000001" w:hanging="720.0000000000001"/>
        <w:rPr>
          <w:rFonts w:ascii="Arial" w:cs="Arial" w:eastAsia="Arial" w:hAnsi="Arial"/>
          <w:color w:val="222222"/>
          <w:u w:val="none"/>
        </w:rPr>
      </w:pPr>
      <w:r w:rsidDel="00000000" w:rsidR="00000000" w:rsidRPr="00000000">
        <w:rPr>
          <w:rtl w:val="0"/>
        </w:rPr>
      </w:r>
    </w:p>
    <w:sectPr>
      <w:pgSz w:h="16834" w:w="11909"/>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Open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Open Sans" w:cs="Open Sans" w:eastAsia="Open Sans" w:hAnsi="Open Sans"/>
        <w:color w:val="1155cc"/>
        <w:highlight w:val="white"/>
        <w:u w:val="single"/>
        <w:lang w:val="en_GB"/>
      </w:rPr>
    </w:rPrDefault>
    <w:pPrDefault>
      <w:pPr>
        <w:spacing w:line="480" w:lineRule="auto"/>
        <w:ind w:left="720.000000000000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humandignitytrust.org/lgbt-the-law/map-of-cri"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OpenSans-regular.ttf"/><Relationship Id="rId2" Type="http://schemas.openxmlformats.org/officeDocument/2006/relationships/font" Target="fonts/OpenSans-bold.ttf"/><Relationship Id="rId3" Type="http://schemas.openxmlformats.org/officeDocument/2006/relationships/font" Target="fonts/OpenSans-italic.ttf"/><Relationship Id="rId4" Type="http://schemas.openxmlformats.org/officeDocument/2006/relationships/font" Target="fonts/Open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