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8087F0" w14:textId="44C7DD78" w:rsidR="00763269" w:rsidRDefault="00763269" w:rsidP="00A94B68">
      <w:pPr>
        <w:pStyle w:val="NormalWeb"/>
        <w:rPr>
          <w:rFonts w:ascii="Arial" w:hAnsi="Arial" w:cs="Arial"/>
        </w:rPr>
      </w:pPr>
      <w:r>
        <w:rPr>
          <w:rFonts w:ascii="Arial" w:hAnsi="Arial" w:cs="Arial"/>
        </w:rPr>
        <w:t xml:space="preserve">Title: </w:t>
      </w:r>
      <w:r w:rsidRPr="00763269">
        <w:rPr>
          <w:rFonts w:ascii="Arial" w:hAnsi="Arial" w:cs="Arial"/>
        </w:rPr>
        <w:t>The Visual Language of Protest and Power</w:t>
      </w:r>
    </w:p>
    <w:p w14:paraId="79BF889B" w14:textId="5863B39C" w:rsidR="00763269" w:rsidRDefault="00763269" w:rsidP="00A94B68">
      <w:pPr>
        <w:pStyle w:val="NormalWeb"/>
        <w:rPr>
          <w:rFonts w:ascii="Arial" w:hAnsi="Arial" w:cs="Arial"/>
        </w:rPr>
      </w:pPr>
      <w:r>
        <w:rPr>
          <w:rFonts w:ascii="Arial" w:hAnsi="Arial" w:cs="Arial"/>
        </w:rPr>
        <w:t>Student Number: 2218765</w:t>
      </w:r>
    </w:p>
    <w:p w14:paraId="6756C49F" w14:textId="0CDD81CA" w:rsidR="00763269" w:rsidRDefault="00763269" w:rsidP="00A94B68">
      <w:pPr>
        <w:pStyle w:val="NormalWeb"/>
        <w:rPr>
          <w:rFonts w:ascii="Arial" w:hAnsi="Arial" w:cs="Arial"/>
        </w:rPr>
      </w:pPr>
      <w:r>
        <w:rPr>
          <w:rFonts w:ascii="Arial" w:hAnsi="Arial" w:cs="Arial"/>
        </w:rPr>
        <w:t xml:space="preserve">BA Graphic Design (Hons) </w:t>
      </w:r>
    </w:p>
    <w:p w14:paraId="0112E6E4" w14:textId="1AA25098" w:rsidR="00763269" w:rsidRDefault="00763269" w:rsidP="00A94B68">
      <w:pPr>
        <w:pStyle w:val="NormalWeb"/>
        <w:rPr>
          <w:rFonts w:ascii="Arial" w:hAnsi="Arial" w:cs="Arial"/>
        </w:rPr>
      </w:pPr>
      <w:r>
        <w:rPr>
          <w:rFonts w:ascii="Arial" w:hAnsi="Arial" w:cs="Arial"/>
        </w:rPr>
        <w:t>Word Count: 1,706</w:t>
      </w:r>
    </w:p>
    <w:p w14:paraId="2C92FEB6" w14:textId="2C241F16" w:rsidR="00763269" w:rsidRDefault="00763269" w:rsidP="00A94B68">
      <w:pPr>
        <w:pStyle w:val="NormalWeb"/>
        <w:rPr>
          <w:rFonts w:ascii="Arial" w:hAnsi="Arial" w:cs="Arial"/>
        </w:rPr>
      </w:pPr>
      <w:r>
        <w:rPr>
          <w:rFonts w:ascii="Arial" w:hAnsi="Arial" w:cs="Arial"/>
        </w:rPr>
        <w:t xml:space="preserve">Lecturer: Donna Williams </w:t>
      </w:r>
    </w:p>
    <w:p w14:paraId="470FE459" w14:textId="6373339C" w:rsidR="00763269" w:rsidRDefault="00763269" w:rsidP="00763269">
      <w:pPr>
        <w:shd w:val="clear" w:color="auto" w:fill="FFFFFF"/>
        <w:spacing w:after="100" w:afterAutospacing="1" w:line="480" w:lineRule="auto"/>
        <w:rPr>
          <w:rStyle w:val="Emphasis"/>
          <w:rFonts w:ascii="Arial" w:hAnsi="Arial" w:cs="Arial"/>
          <w:i w:val="0"/>
          <w:iCs w:val="0"/>
          <w:color w:val="1D2125"/>
        </w:rPr>
      </w:pPr>
      <w:r>
        <w:rPr>
          <w:rFonts w:ascii="Segoe UI" w:hAnsi="Segoe UI" w:cs="Segoe UI"/>
          <w:color w:val="1D2125"/>
          <w:sz w:val="22"/>
          <w:szCs w:val="22"/>
        </w:rPr>
        <w:br/>
      </w:r>
      <w:r w:rsidRPr="00763269">
        <w:rPr>
          <w:rStyle w:val="Emphasis"/>
          <w:rFonts w:ascii="Arial" w:hAnsi="Arial" w:cs="Arial"/>
          <w:i w:val="0"/>
          <w:iCs w:val="0"/>
          <w:color w:val="1D2125"/>
        </w:rPr>
        <w:t>For this assessment, I confirm that I have NOT used Generative AI to support me in structuring my submission, including creating a draft argument structure, identifying parts and headings. </w:t>
      </w:r>
      <w:r w:rsidRPr="00763269">
        <w:rPr>
          <w:rFonts w:ascii="Arial" w:hAnsi="Arial" w:cs="Arial"/>
          <w:i/>
          <w:iCs/>
          <w:color w:val="1D2125"/>
        </w:rPr>
        <w:br/>
      </w:r>
      <w:r w:rsidRPr="00763269">
        <w:rPr>
          <w:rStyle w:val="Emphasis"/>
          <w:rFonts w:ascii="Arial" w:hAnsi="Arial" w:cs="Arial"/>
          <w:i w:val="0"/>
          <w:iCs w:val="0"/>
          <w:color w:val="1D2125"/>
        </w:rPr>
        <w:t>I confirm that I have not used Generative AI to create text for my submission. I confirm that I have not used Generative AI for creative materials, such as images.</w:t>
      </w:r>
    </w:p>
    <w:p w14:paraId="52EE7D87" w14:textId="77777777" w:rsidR="00763269" w:rsidRPr="00763269" w:rsidRDefault="00763269" w:rsidP="00763269">
      <w:pPr>
        <w:shd w:val="clear" w:color="auto" w:fill="FFFFFF"/>
        <w:spacing w:after="100" w:afterAutospacing="1" w:line="480" w:lineRule="auto"/>
        <w:rPr>
          <w:rFonts w:ascii="Arial" w:hAnsi="Arial" w:cs="Arial"/>
          <w:i/>
          <w:iCs/>
          <w:color w:val="1D2125"/>
        </w:rPr>
      </w:pPr>
    </w:p>
    <w:p w14:paraId="31F51B19" w14:textId="2C1C9B5A" w:rsidR="00A94B68" w:rsidRPr="00763269" w:rsidRDefault="00A94B68" w:rsidP="00763269">
      <w:pPr>
        <w:pStyle w:val="NormalWeb"/>
        <w:spacing w:line="480" w:lineRule="auto"/>
        <w:rPr>
          <w:rFonts w:ascii="Arial" w:hAnsi="Arial" w:cs="Arial"/>
        </w:rPr>
      </w:pPr>
      <w:r w:rsidRPr="00763269">
        <w:rPr>
          <w:rFonts w:ascii="Arial" w:hAnsi="Arial" w:cs="Arial"/>
        </w:rPr>
        <w:t xml:space="preserve">While protest art is often associated with activism and opposition, the visual strategies it employs—such as bold imagery, simplified forms, and emotional appeal—are equally present in state propaganda and political messaging (Heller and Vienne, 2003). As </w:t>
      </w:r>
      <w:r w:rsidR="00C903A2" w:rsidRPr="00763269">
        <w:rPr>
          <w:rFonts w:ascii="Arial" w:hAnsi="Arial" w:cs="Arial"/>
        </w:rPr>
        <w:t xml:space="preserve">Barnbrook, </w:t>
      </w:r>
      <w:r w:rsidR="002B2725" w:rsidRPr="00763269">
        <w:rPr>
          <w:rFonts w:ascii="Arial" w:hAnsi="Arial" w:cs="Arial"/>
        </w:rPr>
        <w:t>(</w:t>
      </w:r>
      <w:r w:rsidR="00C903A2" w:rsidRPr="00763269">
        <w:rPr>
          <w:rFonts w:ascii="Arial" w:hAnsi="Arial" w:cs="Arial"/>
        </w:rPr>
        <w:t xml:space="preserve">2020) </w:t>
      </w:r>
      <w:r w:rsidRPr="00763269">
        <w:rPr>
          <w:rFonts w:ascii="Arial" w:hAnsi="Arial" w:cs="Arial"/>
        </w:rPr>
        <w:t>argues, graphic design is inherently political, as it shapes how information is communicated and understood in public contexts</w:t>
      </w:r>
      <w:r w:rsidR="00C903A2" w:rsidRPr="00763269">
        <w:rPr>
          <w:rFonts w:ascii="Arial" w:hAnsi="Arial" w:cs="Arial"/>
        </w:rPr>
        <w:t xml:space="preserve"> and </w:t>
      </w:r>
      <w:r w:rsidR="002B2725" w:rsidRPr="00763269">
        <w:rPr>
          <w:rFonts w:ascii="Arial" w:hAnsi="Arial" w:cs="Arial"/>
        </w:rPr>
        <w:t xml:space="preserve">that </w:t>
      </w:r>
      <w:r w:rsidR="00C903A2" w:rsidRPr="00763269">
        <w:rPr>
          <w:rFonts w:ascii="Arial" w:hAnsi="Arial" w:cs="Arial"/>
        </w:rPr>
        <w:t xml:space="preserve">the decision to be a graphic designer is a political one. </w:t>
      </w:r>
      <w:r w:rsidRPr="00763269">
        <w:rPr>
          <w:rFonts w:ascii="Arial" w:hAnsi="Arial" w:cs="Arial"/>
        </w:rPr>
        <w:t>This exhibition builds on this idea by placing works of activist design alongside examples of authoritarian media, highlighting the shared visual techniques used to produce contrasting ideological outcomes.</w:t>
      </w:r>
    </w:p>
    <w:p w14:paraId="6FE60445" w14:textId="56086DBB" w:rsidR="00830C4B" w:rsidRPr="00763269" w:rsidRDefault="00830C4B" w:rsidP="00763269">
      <w:pPr>
        <w:pStyle w:val="NormalWeb"/>
        <w:spacing w:line="480" w:lineRule="auto"/>
        <w:rPr>
          <w:rFonts w:ascii="Arial" w:hAnsi="Arial" w:cs="Arial"/>
        </w:rPr>
      </w:pPr>
      <w:r w:rsidRPr="00763269">
        <w:rPr>
          <w:rFonts w:ascii="Arial" w:hAnsi="Arial" w:cs="Arial"/>
        </w:rPr>
        <w:t xml:space="preserve">The works selected for this exhibition, by El Lissitzky, Leni Riefenstahl, Guerrilla Girls, Gran Fury, and Banksy, span a range of both media and historical contexts. Together, they demonstrate how visual language can be used to both reinforce and </w:t>
      </w:r>
      <w:r w:rsidRPr="00763269">
        <w:rPr>
          <w:rFonts w:ascii="Arial" w:hAnsi="Arial" w:cs="Arial"/>
        </w:rPr>
        <w:lastRenderedPageBreak/>
        <w:t xml:space="preserve">challenge power structures. By examining these works collectively, this exhibition invites </w:t>
      </w:r>
      <w:r w:rsidR="002B2725" w:rsidRPr="00763269">
        <w:rPr>
          <w:rFonts w:ascii="Arial" w:hAnsi="Arial" w:cs="Arial"/>
        </w:rPr>
        <w:t>its</w:t>
      </w:r>
      <w:r w:rsidRPr="00763269">
        <w:rPr>
          <w:rFonts w:ascii="Arial" w:hAnsi="Arial" w:cs="Arial"/>
        </w:rPr>
        <w:t xml:space="preserve"> viewers to critically consider how images function within political discourse</w:t>
      </w:r>
      <w:r w:rsidR="002B2725" w:rsidRPr="00763269">
        <w:rPr>
          <w:rFonts w:ascii="Arial" w:hAnsi="Arial" w:cs="Arial"/>
        </w:rPr>
        <w:t xml:space="preserve"> and how design can influence belief, social change, and perception. </w:t>
      </w:r>
    </w:p>
    <w:p w14:paraId="2D3C4F99" w14:textId="55A9C703" w:rsidR="00000C1C" w:rsidRPr="00763269" w:rsidRDefault="00000C1C" w:rsidP="00763269">
      <w:pPr>
        <w:pStyle w:val="NormalWeb"/>
        <w:spacing w:line="480" w:lineRule="auto"/>
        <w:rPr>
          <w:rFonts w:ascii="Arial" w:hAnsi="Arial" w:cs="Arial"/>
        </w:rPr>
      </w:pPr>
      <w:r w:rsidRPr="00763269">
        <w:rPr>
          <w:rFonts w:ascii="Arial" w:hAnsi="Arial" w:cs="Arial"/>
        </w:rPr>
        <w:t xml:space="preserve">This exhibition will be situated at Tate Modern, London </w:t>
      </w:r>
      <w:r w:rsidR="006C690C" w:rsidRPr="00763269">
        <w:rPr>
          <w:rFonts w:ascii="Arial" w:hAnsi="Arial" w:cs="Arial"/>
        </w:rPr>
        <w:t xml:space="preserve">which is a </w:t>
      </w:r>
      <w:r w:rsidRPr="00763269">
        <w:rPr>
          <w:rFonts w:ascii="Arial" w:hAnsi="Arial" w:cs="Arial"/>
        </w:rPr>
        <w:t xml:space="preserve">leading institution for modern and contemporary art. The gallery is housed in a former power </w:t>
      </w:r>
      <w:r w:rsidR="006C690C" w:rsidRPr="00763269">
        <w:rPr>
          <w:rFonts w:ascii="Arial" w:hAnsi="Arial" w:cs="Arial"/>
        </w:rPr>
        <w:t>station and</w:t>
      </w:r>
      <w:r w:rsidRPr="00763269">
        <w:rPr>
          <w:rFonts w:ascii="Arial" w:hAnsi="Arial" w:cs="Arial"/>
        </w:rPr>
        <w:t xml:space="preserve"> is known for exhibiting works that engage with political, social, and cultural themes</w:t>
      </w:r>
      <w:r w:rsidR="006C690C" w:rsidRPr="00763269">
        <w:rPr>
          <w:rFonts w:ascii="Arial" w:hAnsi="Arial" w:cs="Arial"/>
        </w:rPr>
        <w:t xml:space="preserve"> (Tate Modern, n.d.; Encyclopaedia Britannica, </w:t>
      </w:r>
      <w:proofErr w:type="spellStart"/>
      <w:r w:rsidR="006C690C" w:rsidRPr="00763269">
        <w:rPr>
          <w:rFonts w:ascii="Arial" w:hAnsi="Arial" w:cs="Arial"/>
        </w:rPr>
        <w:t>n.d</w:t>
      </w:r>
      <w:proofErr w:type="spellEnd"/>
      <w:r w:rsidR="006C690C" w:rsidRPr="00763269">
        <w:rPr>
          <w:rFonts w:ascii="Arial" w:hAnsi="Arial" w:cs="Arial"/>
        </w:rPr>
        <w:t xml:space="preserve">). Its large-scale spaces, such as Turbine Hall, and its emphasis on accessibility and public engagement make it an ideal setting for this exhibition, which is centred on protest and political art. Additionally, Tate Modern’s international reputation and high volume of daily visitors ensures that the exhibition would reach a broad spectrum of viewers and a diverse audience, reinforcing the intention of protest art as a way of communicating beyond elitist or specialist contexts. </w:t>
      </w:r>
    </w:p>
    <w:p w14:paraId="7EA20577" w14:textId="70891961" w:rsidR="002B2725" w:rsidRPr="00763269" w:rsidRDefault="002B2725" w:rsidP="00763269">
      <w:pPr>
        <w:pStyle w:val="NormalWeb"/>
        <w:spacing w:line="480" w:lineRule="auto"/>
        <w:rPr>
          <w:rFonts w:ascii="Arial" w:hAnsi="Arial" w:cs="Arial"/>
        </w:rPr>
      </w:pPr>
      <w:r w:rsidRPr="00763269">
        <w:rPr>
          <w:rFonts w:ascii="Arial" w:hAnsi="Arial" w:cs="Arial"/>
        </w:rPr>
        <w:fldChar w:fldCharType="begin"/>
      </w:r>
      <w:r w:rsidRPr="00763269">
        <w:rPr>
          <w:rFonts w:ascii="Arial" w:hAnsi="Arial" w:cs="Arial"/>
        </w:rPr>
        <w:instrText xml:space="preserve"> INCLUDEPICTURE "https://www.whitechapelgallery.org/wp-content/uploads/2014/10/Abstract3.jpg" \* MERGEFORMATINET </w:instrText>
      </w:r>
      <w:r w:rsidRPr="00763269">
        <w:rPr>
          <w:rFonts w:ascii="Arial" w:hAnsi="Arial" w:cs="Arial"/>
        </w:rPr>
        <w:fldChar w:fldCharType="separate"/>
      </w:r>
      <w:r w:rsidRPr="00763269">
        <w:rPr>
          <w:rFonts w:ascii="Arial" w:hAnsi="Arial" w:cs="Arial"/>
          <w:noProof/>
        </w:rPr>
        <w:drawing>
          <wp:inline distT="0" distB="0" distL="0" distR="0" wp14:anchorId="23EB0656" wp14:editId="0F48A25A">
            <wp:extent cx="5731510" cy="3208020"/>
            <wp:effectExtent l="0" t="0" r="0" b="5080"/>
            <wp:docPr id="1010141683" name="Picture 1" descr="El Lissitzky Beat the Whites with the Red Wedge!, 1919–1920 - Whitechapel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 Lissitzky Beat the Whites with the Red Wedge!, 1919–1920 - Whitechapel  Galler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08020"/>
                    </a:xfrm>
                    <a:prstGeom prst="rect">
                      <a:avLst/>
                    </a:prstGeom>
                    <a:noFill/>
                    <a:ln>
                      <a:noFill/>
                    </a:ln>
                  </pic:spPr>
                </pic:pic>
              </a:graphicData>
            </a:graphic>
          </wp:inline>
        </w:drawing>
      </w:r>
      <w:r w:rsidRPr="00763269">
        <w:rPr>
          <w:rFonts w:ascii="Arial" w:hAnsi="Arial" w:cs="Arial"/>
        </w:rPr>
        <w:fldChar w:fldCharType="end"/>
      </w:r>
    </w:p>
    <w:p w14:paraId="1D51A8BC" w14:textId="713583A2" w:rsidR="00A94B68" w:rsidRPr="00763269" w:rsidRDefault="002B2725" w:rsidP="00763269">
      <w:pPr>
        <w:spacing w:line="480" w:lineRule="auto"/>
        <w:rPr>
          <w:rFonts w:ascii="Arial" w:hAnsi="Arial" w:cs="Arial"/>
        </w:rPr>
      </w:pPr>
      <w:r w:rsidRPr="00763269">
        <w:rPr>
          <w:rFonts w:ascii="Arial" w:hAnsi="Arial" w:cs="Arial"/>
        </w:rPr>
        <w:t>Fig</w:t>
      </w:r>
      <w:r w:rsidR="00F56512" w:rsidRPr="00763269">
        <w:rPr>
          <w:rFonts w:ascii="Arial" w:hAnsi="Arial" w:cs="Arial"/>
        </w:rPr>
        <w:t>ure</w:t>
      </w:r>
      <w:r w:rsidRPr="00763269">
        <w:rPr>
          <w:rFonts w:ascii="Arial" w:hAnsi="Arial" w:cs="Arial"/>
        </w:rPr>
        <w:t xml:space="preserve"> 1</w:t>
      </w:r>
      <w:r w:rsidR="00F56512" w:rsidRPr="00763269">
        <w:rPr>
          <w:rFonts w:ascii="Arial" w:hAnsi="Arial" w:cs="Arial"/>
        </w:rPr>
        <w:t xml:space="preserve">. </w:t>
      </w:r>
      <w:r w:rsidRPr="00763269">
        <w:rPr>
          <w:rFonts w:ascii="Arial" w:hAnsi="Arial" w:cs="Arial"/>
          <w:i/>
          <w:iCs/>
        </w:rPr>
        <w:t>Beat the Whites with the Red Wedge</w:t>
      </w:r>
      <w:r w:rsidR="00F56512" w:rsidRPr="00763269">
        <w:rPr>
          <w:rFonts w:ascii="Arial" w:hAnsi="Arial" w:cs="Arial"/>
          <w:i/>
          <w:iCs/>
        </w:rPr>
        <w:t xml:space="preserve">, </w:t>
      </w:r>
      <w:r w:rsidR="00F56512" w:rsidRPr="00763269">
        <w:rPr>
          <w:rFonts w:ascii="Arial" w:hAnsi="Arial" w:cs="Arial"/>
        </w:rPr>
        <w:t>(1919), El Lissitzky.</w:t>
      </w:r>
    </w:p>
    <w:p w14:paraId="2E615CB2" w14:textId="4AEEDA5F" w:rsidR="009560A1" w:rsidRPr="00763269" w:rsidRDefault="009560A1" w:rsidP="00763269">
      <w:pPr>
        <w:spacing w:line="480" w:lineRule="auto"/>
        <w:rPr>
          <w:rFonts w:ascii="Arial" w:hAnsi="Arial" w:cs="Arial"/>
        </w:rPr>
      </w:pPr>
      <w:r w:rsidRPr="00763269">
        <w:rPr>
          <w:rFonts w:ascii="Arial" w:hAnsi="Arial" w:cs="Arial"/>
        </w:rPr>
        <w:lastRenderedPageBreak/>
        <w:t xml:space="preserve">The exhibition will open with </w:t>
      </w:r>
      <w:r w:rsidR="00C522B1" w:rsidRPr="00763269">
        <w:rPr>
          <w:rFonts w:ascii="Arial" w:hAnsi="Arial" w:cs="Arial"/>
        </w:rPr>
        <w:t>the political poster titled</w:t>
      </w:r>
      <w:r w:rsidR="00C522B1" w:rsidRPr="00763269">
        <w:rPr>
          <w:rFonts w:ascii="Arial" w:hAnsi="Arial" w:cs="Arial"/>
          <w:i/>
          <w:iCs/>
        </w:rPr>
        <w:t xml:space="preserve"> Beat the Whites with the Red Wedge</w:t>
      </w:r>
      <w:r w:rsidR="00C522B1" w:rsidRPr="00763269">
        <w:rPr>
          <w:rFonts w:ascii="Arial" w:hAnsi="Arial" w:cs="Arial"/>
        </w:rPr>
        <w:t>, created by El Lissitzky in 1919. According to Wan and Kilby</w:t>
      </w:r>
      <w:r w:rsidR="00656C08" w:rsidRPr="00763269">
        <w:rPr>
          <w:rFonts w:ascii="Arial" w:hAnsi="Arial" w:cs="Arial"/>
        </w:rPr>
        <w:t xml:space="preserve"> (</w:t>
      </w:r>
      <w:r w:rsidR="00C522B1" w:rsidRPr="00763269">
        <w:rPr>
          <w:rFonts w:ascii="Arial" w:hAnsi="Arial" w:cs="Arial"/>
        </w:rPr>
        <w:t>2025</w:t>
      </w:r>
      <w:r w:rsidR="00656C08" w:rsidRPr="00763269">
        <w:rPr>
          <w:rFonts w:ascii="Arial" w:hAnsi="Arial" w:cs="Arial"/>
        </w:rPr>
        <w:t>)</w:t>
      </w:r>
      <w:r w:rsidR="00C522B1" w:rsidRPr="00763269">
        <w:rPr>
          <w:rFonts w:ascii="Arial" w:hAnsi="Arial" w:cs="Arial"/>
        </w:rPr>
        <w:t xml:space="preserve"> this poster is thought to be one of the single most recognisable pieces of artworks to emerge from the entire Russian Revolution. The Russian Revolution of 1917 saw a wave of new artistic and creative pieces, many of which are still widespread in modern times</w:t>
      </w:r>
      <w:r w:rsidR="00DA7310" w:rsidRPr="00763269">
        <w:rPr>
          <w:rFonts w:ascii="Arial" w:hAnsi="Arial" w:cs="Arial"/>
        </w:rPr>
        <w:t xml:space="preserve"> despite being originally designed during the civil war between Bolsheviks and Menshevik. </w:t>
      </w:r>
    </w:p>
    <w:p w14:paraId="6736C08C" w14:textId="6BE1DBFA" w:rsidR="00DA7310" w:rsidRPr="00763269" w:rsidRDefault="00DA7310" w:rsidP="00763269">
      <w:pPr>
        <w:spacing w:line="480" w:lineRule="auto"/>
        <w:rPr>
          <w:rFonts w:ascii="Arial" w:hAnsi="Arial" w:cs="Arial"/>
        </w:rPr>
      </w:pPr>
      <w:r w:rsidRPr="00763269">
        <w:rPr>
          <w:rFonts w:ascii="Arial" w:hAnsi="Arial" w:cs="Arial"/>
        </w:rPr>
        <w:t xml:space="preserve">The </w:t>
      </w:r>
      <w:r w:rsidR="00EE3132" w:rsidRPr="00763269">
        <w:rPr>
          <w:rFonts w:ascii="Arial" w:hAnsi="Arial" w:cs="Arial"/>
        </w:rPr>
        <w:t xml:space="preserve">composition of this piece reduces complex conflict into a simple geometric interaction, with a large red triangular wedge penetrating a white circle to symbolise Bolshevik victory over anti-communist forces. As Raizman, 2003, writes, the division of the poster further pits left against right, and the diagonal composition and direction gives the wedge an “upper” hand. </w:t>
      </w:r>
    </w:p>
    <w:p w14:paraId="0762CEE0" w14:textId="4FF81906" w:rsidR="002C2ABF" w:rsidRPr="00763269" w:rsidRDefault="002C2ABF" w:rsidP="00763269">
      <w:pPr>
        <w:spacing w:line="480" w:lineRule="auto"/>
        <w:rPr>
          <w:rFonts w:ascii="Arial" w:hAnsi="Arial" w:cs="Arial"/>
        </w:rPr>
      </w:pPr>
      <w:r w:rsidRPr="00763269">
        <w:rPr>
          <w:rFonts w:ascii="Arial" w:hAnsi="Arial" w:cs="Arial"/>
        </w:rPr>
        <w:t xml:space="preserve">Within the context of this exhibition, </w:t>
      </w:r>
      <w:r w:rsidRPr="00763269">
        <w:rPr>
          <w:rFonts w:ascii="Arial" w:hAnsi="Arial" w:cs="Arial"/>
          <w:i/>
          <w:iCs/>
        </w:rPr>
        <w:t>Beat the Whites with a Red Wedge</w:t>
      </w:r>
      <w:r w:rsidR="00763269">
        <w:rPr>
          <w:rFonts w:ascii="Arial" w:hAnsi="Arial" w:cs="Arial"/>
          <w:i/>
          <w:iCs/>
        </w:rPr>
        <w:t xml:space="preserve"> </w:t>
      </w:r>
      <w:r w:rsidR="00763269" w:rsidRPr="00763269">
        <w:rPr>
          <w:rFonts w:ascii="Arial" w:hAnsi="Arial" w:cs="Arial"/>
        </w:rPr>
        <w:t>(1919)</w:t>
      </w:r>
      <w:r w:rsidRPr="00763269">
        <w:rPr>
          <w:rFonts w:ascii="Arial" w:hAnsi="Arial" w:cs="Arial"/>
        </w:rPr>
        <w:t xml:space="preserve"> is significant as it highlights how design can be used persuasively by simplifying political narratives into powerful symbolic imagery. It also raises questions about the role of art within propaganda. </w:t>
      </w:r>
    </w:p>
    <w:p w14:paraId="1E8B5DA5" w14:textId="7D96EF52" w:rsidR="00EE3132" w:rsidRPr="00763269" w:rsidRDefault="00F424BD" w:rsidP="00763269">
      <w:pPr>
        <w:spacing w:line="480" w:lineRule="auto"/>
        <w:rPr>
          <w:rFonts w:ascii="Arial" w:hAnsi="Arial" w:cs="Arial"/>
        </w:rPr>
      </w:pPr>
      <w:r w:rsidRPr="00763269">
        <w:rPr>
          <w:rFonts w:ascii="Arial" w:hAnsi="Arial" w:cs="Arial"/>
        </w:rPr>
        <w:t xml:space="preserve">El </w:t>
      </w:r>
      <w:r w:rsidR="00EE3132" w:rsidRPr="00763269">
        <w:rPr>
          <w:rFonts w:ascii="Arial" w:hAnsi="Arial" w:cs="Arial"/>
        </w:rPr>
        <w:t xml:space="preserve">Lissitzky himself emphasises the role of art in shaping societal views, stating; </w:t>
      </w:r>
    </w:p>
    <w:p w14:paraId="0208F260" w14:textId="232DEED4" w:rsidR="00EE3132" w:rsidRPr="00763269" w:rsidRDefault="00EE3132" w:rsidP="00763269">
      <w:pPr>
        <w:spacing w:line="480" w:lineRule="auto"/>
        <w:ind w:left="720"/>
        <w:rPr>
          <w:rFonts w:ascii="Arial" w:hAnsi="Arial" w:cs="Arial"/>
        </w:rPr>
      </w:pPr>
      <w:r w:rsidRPr="00763269">
        <w:rPr>
          <w:rFonts w:ascii="Arial" w:hAnsi="Arial" w:cs="Arial"/>
        </w:rPr>
        <w:t xml:space="preserve">The new art is formed, not on a subjective, but on an objective basis. This, like science, can be described with precision and is by nature constructive. It unites not only pure art but all those who stand at the frontier of the new culture. The artist is companion to the scholar, the engineer, and the worker. </w:t>
      </w:r>
      <w:r w:rsidR="00073FF6" w:rsidRPr="00763269">
        <w:rPr>
          <w:rFonts w:ascii="Arial" w:hAnsi="Arial" w:cs="Arial"/>
        </w:rPr>
        <w:t>(Lissitzky, 1922, cited in Raizman, 2003, p.174)</w:t>
      </w:r>
      <w:r w:rsidR="002C2ABF" w:rsidRPr="00763269">
        <w:rPr>
          <w:rFonts w:ascii="Arial" w:hAnsi="Arial" w:cs="Arial"/>
        </w:rPr>
        <w:t xml:space="preserve"> </w:t>
      </w:r>
    </w:p>
    <w:p w14:paraId="52F469AA" w14:textId="0185708D" w:rsidR="00F424BD" w:rsidRPr="00763269" w:rsidRDefault="00F424BD" w:rsidP="00763269">
      <w:pPr>
        <w:spacing w:line="480" w:lineRule="auto"/>
        <w:rPr>
          <w:rFonts w:ascii="Arial" w:hAnsi="Arial" w:cs="Arial"/>
        </w:rPr>
      </w:pPr>
      <w:r w:rsidRPr="00763269">
        <w:rPr>
          <w:rFonts w:ascii="Arial" w:hAnsi="Arial" w:cs="Arial"/>
        </w:rPr>
        <w:t xml:space="preserve">This statement from El Lissitzky reinforced the idea that art can function as an active force in constructing social and political reality, rather than simply reflecting it. In </w:t>
      </w:r>
      <w:r w:rsidRPr="00763269">
        <w:rPr>
          <w:rFonts w:ascii="Arial" w:hAnsi="Arial" w:cs="Arial"/>
          <w:i/>
          <w:iCs/>
        </w:rPr>
        <w:t>Beat the Whites with a Red Wedge</w:t>
      </w:r>
      <w:r w:rsidR="00763269" w:rsidRPr="00763269">
        <w:rPr>
          <w:rFonts w:ascii="Arial" w:hAnsi="Arial" w:cs="Arial"/>
          <w:i/>
          <w:iCs/>
        </w:rPr>
        <w:t xml:space="preserve"> </w:t>
      </w:r>
      <w:r w:rsidR="00763269">
        <w:rPr>
          <w:rFonts w:ascii="Arial" w:hAnsi="Arial" w:cs="Arial"/>
        </w:rPr>
        <w:t>(1919)</w:t>
      </w:r>
      <w:r w:rsidRPr="00763269">
        <w:rPr>
          <w:rFonts w:ascii="Arial" w:hAnsi="Arial" w:cs="Arial"/>
        </w:rPr>
        <w:t xml:space="preserve"> this is evident through the transformation of </w:t>
      </w:r>
      <w:r w:rsidRPr="00763269">
        <w:rPr>
          <w:rFonts w:ascii="Arial" w:hAnsi="Arial" w:cs="Arial"/>
        </w:rPr>
        <w:lastRenderedPageBreak/>
        <w:t xml:space="preserve">complex conflict into a symbolic and persuasive language that can immediately be understood by a mass audience. However, the simplicity of the design also raises questions surrounding ethicality – particularly regarding how easy such visual strategies can be used to manipulate audiences and reinforce dominant ideologies. It is this tension between visual communication and control that justifies the inclusion of this piece within </w:t>
      </w:r>
      <w:r w:rsidRPr="00763269">
        <w:rPr>
          <w:rFonts w:ascii="Arial" w:hAnsi="Arial" w:cs="Arial"/>
          <w:i/>
          <w:iCs/>
        </w:rPr>
        <w:t>The Visual Language of Protest and Power</w:t>
      </w:r>
      <w:r w:rsidRPr="00763269">
        <w:rPr>
          <w:rFonts w:ascii="Arial" w:hAnsi="Arial" w:cs="Arial"/>
        </w:rPr>
        <w:t xml:space="preserve">, as it encourages viewers of the exhibition to critically reflect on how visual imagery shapes their own perceptions and beliefs of the world around them. </w:t>
      </w:r>
    </w:p>
    <w:p w14:paraId="6B5185C9" w14:textId="77777777" w:rsidR="004E2E55" w:rsidRPr="00763269" w:rsidRDefault="00F424BD" w:rsidP="00763269">
      <w:pPr>
        <w:spacing w:line="480" w:lineRule="auto"/>
        <w:rPr>
          <w:rFonts w:ascii="Arial" w:hAnsi="Arial" w:cs="Arial"/>
        </w:rPr>
      </w:pPr>
      <w:r w:rsidRPr="00763269">
        <w:rPr>
          <w:rFonts w:ascii="Arial" w:hAnsi="Arial" w:cs="Arial"/>
        </w:rPr>
        <w:t xml:space="preserve">The </w:t>
      </w:r>
      <w:r w:rsidR="00DF128B" w:rsidRPr="00763269">
        <w:rPr>
          <w:rFonts w:ascii="Arial" w:hAnsi="Arial" w:cs="Arial"/>
        </w:rPr>
        <w:t xml:space="preserve">positioning of this work would reinforce its original political messaging. It would be displayed as a standalone piece on a large white wall, occupying the majority of the visual space. This isolation acts as a tool to emphasise its bold geometric composition and direct visual impact, encouraging the viewer to engage with it immediately upon entry. </w:t>
      </w:r>
    </w:p>
    <w:p w14:paraId="6C92A041" w14:textId="0F40C1EA" w:rsidR="004E2E55" w:rsidRPr="00763269" w:rsidRDefault="004E2E55" w:rsidP="00763269">
      <w:pPr>
        <w:spacing w:line="480" w:lineRule="auto"/>
        <w:rPr>
          <w:rFonts w:ascii="Arial" w:hAnsi="Arial" w:cs="Arial"/>
        </w:rPr>
      </w:pPr>
      <w:r w:rsidRPr="00763269">
        <w:rPr>
          <w:rFonts w:ascii="Arial" w:hAnsi="Arial" w:cs="Arial"/>
        </w:rPr>
        <w:lastRenderedPageBreak/>
        <w:fldChar w:fldCharType="begin"/>
      </w:r>
      <w:r w:rsidRPr="00763269">
        <w:rPr>
          <w:rFonts w:ascii="Arial" w:hAnsi="Arial" w:cs="Arial"/>
        </w:rPr>
        <w:instrText xml:space="preserve"> INCLUDEPICTURE "https://upload.wikimedia.org/wikipedia/en/1/1a/Triumph_des_Willens_poster.jpg" \* MERGEFORMATINET </w:instrText>
      </w:r>
      <w:r w:rsidRPr="00763269">
        <w:rPr>
          <w:rFonts w:ascii="Arial" w:hAnsi="Arial" w:cs="Arial"/>
        </w:rPr>
        <w:fldChar w:fldCharType="separate"/>
      </w:r>
      <w:r w:rsidRPr="00763269">
        <w:rPr>
          <w:rFonts w:ascii="Arial" w:hAnsi="Arial" w:cs="Arial"/>
          <w:noProof/>
        </w:rPr>
        <w:drawing>
          <wp:inline distT="0" distB="0" distL="0" distR="0" wp14:anchorId="1DDAFE71" wp14:editId="52793706">
            <wp:extent cx="2922905" cy="5470525"/>
            <wp:effectExtent l="0" t="0" r="0" b="3175"/>
            <wp:docPr id="8842118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22905" cy="5470525"/>
                    </a:xfrm>
                    <a:prstGeom prst="rect">
                      <a:avLst/>
                    </a:prstGeom>
                    <a:noFill/>
                    <a:ln>
                      <a:noFill/>
                    </a:ln>
                  </pic:spPr>
                </pic:pic>
              </a:graphicData>
            </a:graphic>
          </wp:inline>
        </w:drawing>
      </w:r>
      <w:r w:rsidRPr="00763269">
        <w:rPr>
          <w:rFonts w:ascii="Arial" w:hAnsi="Arial" w:cs="Arial"/>
        </w:rPr>
        <w:fldChar w:fldCharType="end"/>
      </w:r>
    </w:p>
    <w:p w14:paraId="5CC322BD" w14:textId="234E61C3" w:rsidR="004E2E55" w:rsidRPr="00763269" w:rsidRDefault="004E2E55" w:rsidP="00763269">
      <w:pPr>
        <w:spacing w:line="480" w:lineRule="auto"/>
        <w:rPr>
          <w:rFonts w:ascii="Arial" w:hAnsi="Arial" w:cs="Arial"/>
        </w:rPr>
      </w:pPr>
      <w:r w:rsidRPr="00763269">
        <w:rPr>
          <w:rFonts w:ascii="Arial" w:hAnsi="Arial" w:cs="Arial"/>
        </w:rPr>
        <w:t>Fi</w:t>
      </w:r>
      <w:r w:rsidR="00F56512" w:rsidRPr="00763269">
        <w:rPr>
          <w:rFonts w:ascii="Arial" w:hAnsi="Arial" w:cs="Arial"/>
        </w:rPr>
        <w:t>gure 2.</w:t>
      </w:r>
      <w:r w:rsidRPr="00763269">
        <w:rPr>
          <w:rFonts w:ascii="Arial" w:hAnsi="Arial" w:cs="Arial"/>
        </w:rPr>
        <w:t xml:space="preserve"> Poster for </w:t>
      </w:r>
      <w:r w:rsidRPr="00763269">
        <w:rPr>
          <w:rFonts w:ascii="Arial" w:hAnsi="Arial" w:cs="Arial"/>
          <w:i/>
          <w:iCs/>
        </w:rPr>
        <w:t xml:space="preserve">Triumph of the Will </w:t>
      </w:r>
      <w:r w:rsidRPr="00763269">
        <w:rPr>
          <w:rFonts w:ascii="Arial" w:hAnsi="Arial" w:cs="Arial"/>
        </w:rPr>
        <w:t>(1935), directed by Leni Riefenstahl</w:t>
      </w:r>
    </w:p>
    <w:p w14:paraId="3120CBF6" w14:textId="77777777" w:rsidR="008604EB" w:rsidRPr="00763269" w:rsidRDefault="00F56512" w:rsidP="00763269">
      <w:pPr>
        <w:spacing w:line="480" w:lineRule="auto"/>
        <w:rPr>
          <w:rFonts w:ascii="Arial" w:hAnsi="Arial" w:cs="Arial"/>
        </w:rPr>
      </w:pPr>
      <w:r w:rsidRPr="00763269">
        <w:rPr>
          <w:rFonts w:ascii="Arial" w:hAnsi="Arial" w:cs="Arial"/>
        </w:rPr>
        <w:t xml:space="preserve">The second work in the exhibition shifts from graphic design to film, expanding the scope of visual language as a tool of political influence. </w:t>
      </w:r>
      <w:r w:rsidRPr="00763269">
        <w:rPr>
          <w:rFonts w:ascii="Arial" w:hAnsi="Arial" w:cs="Arial"/>
          <w:i/>
          <w:iCs/>
        </w:rPr>
        <w:t xml:space="preserve">Triumph of the Will </w:t>
      </w:r>
      <w:r w:rsidRPr="00763269">
        <w:rPr>
          <w:rFonts w:ascii="Arial" w:hAnsi="Arial" w:cs="Arial"/>
        </w:rPr>
        <w:t>(1935), directed by Leni Riefenstahl, documents the 1934 Nazi Party rally in Nuremberg and is w</w:t>
      </w:r>
      <w:r w:rsidR="008604EB" w:rsidRPr="00763269">
        <w:rPr>
          <w:rFonts w:ascii="Arial" w:hAnsi="Arial" w:cs="Arial"/>
        </w:rPr>
        <w:t xml:space="preserve">idely recognised as one of the most effective examples of propaganda in cinema. </w:t>
      </w:r>
    </w:p>
    <w:p w14:paraId="2007260B" w14:textId="6154ED37" w:rsidR="00F56512" w:rsidRPr="00763269" w:rsidRDefault="008604EB" w:rsidP="00763269">
      <w:pPr>
        <w:spacing w:line="480" w:lineRule="auto"/>
        <w:rPr>
          <w:rFonts w:ascii="Arial" w:hAnsi="Arial" w:cs="Arial"/>
        </w:rPr>
      </w:pPr>
      <w:r w:rsidRPr="00763269">
        <w:rPr>
          <w:rFonts w:ascii="Arial" w:hAnsi="Arial" w:cs="Arial"/>
        </w:rPr>
        <w:t xml:space="preserve">As Rizvi (2025) </w:t>
      </w:r>
      <w:r w:rsidR="000E5874" w:rsidRPr="00763269">
        <w:rPr>
          <w:rFonts w:ascii="Arial" w:hAnsi="Arial" w:cs="Arial"/>
        </w:rPr>
        <w:t>argues</w:t>
      </w:r>
      <w:r w:rsidRPr="00763269">
        <w:rPr>
          <w:rFonts w:ascii="Arial" w:hAnsi="Arial" w:cs="Arial"/>
        </w:rPr>
        <w:t xml:space="preserve">, </w:t>
      </w:r>
      <w:r w:rsidR="000E5874" w:rsidRPr="00763269">
        <w:rPr>
          <w:rFonts w:ascii="Arial" w:hAnsi="Arial" w:cs="Arial"/>
        </w:rPr>
        <w:t xml:space="preserve">propaganda operates as a powerful and potentially dangerous tool within authoritarian political </w:t>
      </w:r>
      <w:r w:rsidR="009F660F" w:rsidRPr="00763269">
        <w:rPr>
          <w:rFonts w:ascii="Arial" w:hAnsi="Arial" w:cs="Arial"/>
        </w:rPr>
        <w:t xml:space="preserve">regimes. This can be especially effective when the use of everyday imagery is implemented to give realistic form to and reflect current socio-political behaviours.  </w:t>
      </w:r>
      <w:r w:rsidR="000E5874" w:rsidRPr="00763269">
        <w:rPr>
          <w:rFonts w:ascii="Arial" w:hAnsi="Arial" w:cs="Arial"/>
        </w:rPr>
        <w:t xml:space="preserve">This </w:t>
      </w:r>
      <w:r w:rsidRPr="00763269">
        <w:rPr>
          <w:rFonts w:ascii="Arial" w:hAnsi="Arial" w:cs="Arial"/>
        </w:rPr>
        <w:t xml:space="preserve">idea is reflected in Riefenstahl’s careful </w:t>
      </w:r>
      <w:r w:rsidRPr="00763269">
        <w:rPr>
          <w:rFonts w:ascii="Arial" w:hAnsi="Arial" w:cs="Arial"/>
        </w:rPr>
        <w:lastRenderedPageBreak/>
        <w:t>construction of visual imagery throughout the film</w:t>
      </w:r>
      <w:r w:rsidR="00B473A6" w:rsidRPr="00763269">
        <w:rPr>
          <w:rFonts w:ascii="Arial" w:hAnsi="Arial" w:cs="Arial"/>
        </w:rPr>
        <w:t xml:space="preserve"> by which, according to Chornyi (2019), showcases a sense of national unity.  </w:t>
      </w:r>
    </w:p>
    <w:p w14:paraId="48F0DE22" w14:textId="5E8AFF44" w:rsidR="00930591" w:rsidRPr="00763269" w:rsidRDefault="00930591" w:rsidP="00763269">
      <w:pPr>
        <w:spacing w:line="480" w:lineRule="auto"/>
        <w:rPr>
          <w:rFonts w:ascii="Arial" w:hAnsi="Arial" w:cs="Arial"/>
        </w:rPr>
      </w:pPr>
      <w:r w:rsidRPr="00763269">
        <w:rPr>
          <w:rFonts w:ascii="Arial" w:hAnsi="Arial" w:cs="Arial"/>
        </w:rPr>
        <w:t xml:space="preserve">In contrast to El Lissitzky’s </w:t>
      </w:r>
      <w:r w:rsidRPr="00763269">
        <w:rPr>
          <w:rFonts w:ascii="Arial" w:hAnsi="Arial" w:cs="Arial"/>
          <w:i/>
          <w:iCs/>
        </w:rPr>
        <w:t>Beat the Whites with the Red Wedge</w:t>
      </w:r>
      <w:r w:rsidR="00763269">
        <w:rPr>
          <w:rFonts w:ascii="Arial" w:hAnsi="Arial" w:cs="Arial"/>
        </w:rPr>
        <w:t xml:space="preserve"> (1919)</w:t>
      </w:r>
      <w:r w:rsidRPr="00763269">
        <w:rPr>
          <w:rFonts w:ascii="Arial" w:hAnsi="Arial" w:cs="Arial"/>
        </w:rPr>
        <w:t>, which communicates political ideology through a more abstract means, Riefenstahl’s film achieves persuasion through a more immersive experience. Both works demonstrate how visual composition can simplify and reinforce political narratives</w:t>
      </w:r>
      <w:r w:rsidR="00A76ADD" w:rsidRPr="00763269">
        <w:rPr>
          <w:rFonts w:ascii="Arial" w:hAnsi="Arial" w:cs="Arial"/>
        </w:rPr>
        <w:t xml:space="preserve">; however, Triumph of the Will intensifies this effect through movement and scale. </w:t>
      </w:r>
    </w:p>
    <w:p w14:paraId="6092F4D1" w14:textId="345AE4BF" w:rsidR="00A76ADD" w:rsidRPr="00763269" w:rsidRDefault="00A76ADD" w:rsidP="00763269">
      <w:pPr>
        <w:spacing w:line="480" w:lineRule="auto"/>
        <w:rPr>
          <w:rFonts w:ascii="Arial" w:hAnsi="Arial" w:cs="Arial"/>
        </w:rPr>
      </w:pPr>
      <w:r w:rsidRPr="00763269">
        <w:rPr>
          <w:rFonts w:ascii="Arial" w:hAnsi="Arial" w:cs="Arial"/>
        </w:rPr>
        <w:t xml:space="preserve">Within </w:t>
      </w:r>
      <w:r w:rsidRPr="00763269">
        <w:rPr>
          <w:rFonts w:ascii="Arial" w:hAnsi="Arial" w:cs="Arial"/>
          <w:i/>
          <w:iCs/>
        </w:rPr>
        <w:t xml:space="preserve">The Visual Language of Protest and Power, </w:t>
      </w:r>
      <w:r w:rsidRPr="00763269">
        <w:rPr>
          <w:rFonts w:ascii="Arial" w:hAnsi="Arial" w:cs="Arial"/>
        </w:rPr>
        <w:t>the inclusion of this work draws attention to the ethical complexity of visual communication</w:t>
      </w:r>
      <w:r w:rsidR="00656C08" w:rsidRPr="00763269">
        <w:rPr>
          <w:rFonts w:ascii="Arial" w:hAnsi="Arial" w:cs="Arial"/>
        </w:rPr>
        <w:t xml:space="preserve">. Selected excerpts from the film would be projected onto a plain white wall in a darkened, enclosed room. This presentation would allow the audience to become immersed, with the intention being to create a sense of dominance and loss of control for the viewer – forcing them to experience the film, reflective of the persuasive nature of the film itself. This is in direct contract to the surrounding works, demonstrating the evolution of propaganda from printed graphic design to a more immersive cinematic experience. </w:t>
      </w:r>
    </w:p>
    <w:p w14:paraId="3B5C70BD" w14:textId="333F16BE" w:rsidR="00B30D12" w:rsidRPr="00763269" w:rsidRDefault="00B30D12" w:rsidP="00763269">
      <w:pPr>
        <w:spacing w:line="480" w:lineRule="auto"/>
        <w:rPr>
          <w:rFonts w:ascii="Arial" w:hAnsi="Arial" w:cs="Arial"/>
        </w:rPr>
      </w:pPr>
      <w:r w:rsidRPr="00763269">
        <w:rPr>
          <w:rFonts w:ascii="Arial" w:hAnsi="Arial" w:cs="Arial"/>
        </w:rPr>
        <w:fldChar w:fldCharType="begin"/>
      </w:r>
      <w:r w:rsidRPr="00763269">
        <w:rPr>
          <w:rFonts w:ascii="Arial" w:hAnsi="Arial" w:cs="Arial"/>
        </w:rPr>
        <w:instrText xml:space="preserve"> INCLUDEPICTURE "https://media.tate.org.uk/art/images/work/P/P78/P78793_9.jpg" \* MERGEFORMATINET </w:instrText>
      </w:r>
      <w:r w:rsidRPr="00763269">
        <w:rPr>
          <w:rFonts w:ascii="Arial" w:hAnsi="Arial" w:cs="Arial"/>
        </w:rPr>
        <w:fldChar w:fldCharType="separate"/>
      </w:r>
      <w:r w:rsidRPr="00763269">
        <w:rPr>
          <w:rFonts w:ascii="Arial" w:hAnsi="Arial" w:cs="Arial"/>
          <w:noProof/>
        </w:rPr>
        <w:drawing>
          <wp:inline distT="0" distB="0" distL="0" distR="0" wp14:anchorId="6BE5A37D" wp14:editId="10554B86">
            <wp:extent cx="5731510" cy="2269490"/>
            <wp:effectExtent l="0" t="0" r="0" b="3810"/>
            <wp:docPr id="448460733" name="Picture 3" descr="P78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7879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69490"/>
                    </a:xfrm>
                    <a:prstGeom prst="rect">
                      <a:avLst/>
                    </a:prstGeom>
                    <a:noFill/>
                    <a:ln>
                      <a:noFill/>
                    </a:ln>
                  </pic:spPr>
                </pic:pic>
              </a:graphicData>
            </a:graphic>
          </wp:inline>
        </w:drawing>
      </w:r>
      <w:r w:rsidRPr="00763269">
        <w:rPr>
          <w:rFonts w:ascii="Arial" w:hAnsi="Arial" w:cs="Arial"/>
        </w:rPr>
        <w:fldChar w:fldCharType="end"/>
      </w:r>
    </w:p>
    <w:p w14:paraId="52A7BC8A" w14:textId="0D14CA0E" w:rsidR="00B30D12" w:rsidRPr="00763269" w:rsidRDefault="00B30D12" w:rsidP="00763269">
      <w:pPr>
        <w:spacing w:line="480" w:lineRule="auto"/>
        <w:rPr>
          <w:rFonts w:ascii="Arial" w:hAnsi="Arial" w:cs="Arial"/>
        </w:rPr>
      </w:pPr>
      <w:r w:rsidRPr="00763269">
        <w:rPr>
          <w:rFonts w:ascii="Arial" w:hAnsi="Arial" w:cs="Arial"/>
        </w:rPr>
        <w:t xml:space="preserve">Figure 3: Do Women Have </w:t>
      </w:r>
      <w:proofErr w:type="gramStart"/>
      <w:r w:rsidRPr="00763269">
        <w:rPr>
          <w:rFonts w:ascii="Arial" w:hAnsi="Arial" w:cs="Arial"/>
        </w:rPr>
        <w:t>To</w:t>
      </w:r>
      <w:proofErr w:type="gramEnd"/>
      <w:r w:rsidRPr="00763269">
        <w:rPr>
          <w:rFonts w:ascii="Arial" w:hAnsi="Arial" w:cs="Arial"/>
        </w:rPr>
        <w:t xml:space="preserve"> Be Naked </w:t>
      </w:r>
      <w:proofErr w:type="gramStart"/>
      <w:r w:rsidRPr="00763269">
        <w:rPr>
          <w:rFonts w:ascii="Arial" w:hAnsi="Arial" w:cs="Arial"/>
        </w:rPr>
        <w:t>To</w:t>
      </w:r>
      <w:proofErr w:type="gramEnd"/>
      <w:r w:rsidRPr="00763269">
        <w:rPr>
          <w:rFonts w:ascii="Arial" w:hAnsi="Arial" w:cs="Arial"/>
        </w:rPr>
        <w:t xml:space="preserve"> Get into the Met. Museum? (1989), Guerrilla Girls. Poster. </w:t>
      </w:r>
    </w:p>
    <w:p w14:paraId="794A18EF" w14:textId="53397F9B" w:rsidR="00B30D12" w:rsidRPr="00763269" w:rsidRDefault="00B30D12" w:rsidP="00763269">
      <w:pPr>
        <w:spacing w:line="480" w:lineRule="auto"/>
        <w:rPr>
          <w:rFonts w:ascii="Arial" w:hAnsi="Arial" w:cs="Arial"/>
        </w:rPr>
      </w:pPr>
      <w:r w:rsidRPr="00763269">
        <w:rPr>
          <w:rFonts w:ascii="Arial" w:hAnsi="Arial" w:cs="Arial"/>
        </w:rPr>
        <w:lastRenderedPageBreak/>
        <w:t xml:space="preserve">In her </w:t>
      </w:r>
      <w:r w:rsidR="003519E5" w:rsidRPr="00763269">
        <w:rPr>
          <w:rFonts w:ascii="Arial" w:hAnsi="Arial" w:cs="Arial"/>
        </w:rPr>
        <w:t xml:space="preserve">seminal essay </w:t>
      </w:r>
      <w:r w:rsidR="003519E5" w:rsidRPr="00763269">
        <w:rPr>
          <w:rFonts w:ascii="Arial" w:hAnsi="Arial" w:cs="Arial"/>
          <w:i/>
          <w:iCs/>
        </w:rPr>
        <w:t>Visual Pleasure and Narrative Cinema</w:t>
      </w:r>
      <w:r w:rsidR="003519E5" w:rsidRPr="00763269">
        <w:rPr>
          <w:rFonts w:ascii="Arial" w:hAnsi="Arial" w:cs="Arial"/>
        </w:rPr>
        <w:t xml:space="preserve"> (1975), </w:t>
      </w:r>
      <w:r w:rsidRPr="00763269">
        <w:rPr>
          <w:rFonts w:ascii="Arial" w:hAnsi="Arial" w:cs="Arial"/>
        </w:rPr>
        <w:t xml:space="preserve">Laura Mulvey discusses cinematic pleasure based on the psychoanalytic approach by </w:t>
      </w:r>
      <w:r w:rsidR="003519E5" w:rsidRPr="00763269">
        <w:rPr>
          <w:rFonts w:ascii="Arial" w:hAnsi="Arial" w:cs="Arial"/>
        </w:rPr>
        <w:t>p</w:t>
      </w:r>
      <w:r w:rsidRPr="00763269">
        <w:rPr>
          <w:rFonts w:ascii="Arial" w:hAnsi="Arial" w:cs="Arial"/>
        </w:rPr>
        <w:t xml:space="preserve">sychologist Sigmund </w:t>
      </w:r>
      <w:r w:rsidR="003519E5" w:rsidRPr="00763269">
        <w:rPr>
          <w:rFonts w:ascii="Arial" w:hAnsi="Arial" w:cs="Arial"/>
        </w:rPr>
        <w:t>Freud</w:t>
      </w:r>
      <w:r w:rsidRPr="00763269">
        <w:rPr>
          <w:rFonts w:ascii="Arial" w:hAnsi="Arial" w:cs="Arial"/>
        </w:rPr>
        <w:t>.</w:t>
      </w:r>
      <w:r w:rsidR="003519E5" w:rsidRPr="00763269">
        <w:rPr>
          <w:rFonts w:ascii="Arial" w:hAnsi="Arial" w:cs="Arial"/>
        </w:rPr>
        <w:t xml:space="preserve"> She argues that women within visual culture have historically been positioned as objects of passive observation rather than active participants</w:t>
      </w:r>
      <w:r w:rsidR="004A7B45" w:rsidRPr="00763269">
        <w:rPr>
          <w:rFonts w:ascii="Arial" w:hAnsi="Arial" w:cs="Arial"/>
        </w:rPr>
        <w:t xml:space="preserve"> – a description that Mulvey later termed the “male gaze”. </w:t>
      </w:r>
      <w:r w:rsidR="003519E5" w:rsidRPr="00763269">
        <w:rPr>
          <w:rFonts w:ascii="Arial" w:hAnsi="Arial" w:cs="Arial"/>
        </w:rPr>
        <w:t>By placing a gorilla mask onto a traditionally sexualised female nude form, the Guer</w:t>
      </w:r>
      <w:r w:rsidR="00A84EE1" w:rsidRPr="00763269">
        <w:rPr>
          <w:rFonts w:ascii="Arial" w:hAnsi="Arial" w:cs="Arial"/>
        </w:rPr>
        <w:t>ri</w:t>
      </w:r>
      <w:r w:rsidR="003519E5" w:rsidRPr="00763269">
        <w:rPr>
          <w:rFonts w:ascii="Arial" w:hAnsi="Arial" w:cs="Arial"/>
        </w:rPr>
        <w:t>lla Girls satirise the historical objectification of women within art</w:t>
      </w:r>
      <w:r w:rsidR="00A84EE1" w:rsidRPr="00763269">
        <w:rPr>
          <w:rFonts w:ascii="Arial" w:hAnsi="Arial" w:cs="Arial"/>
        </w:rPr>
        <w:t xml:space="preserve"> while s</w:t>
      </w:r>
      <w:r w:rsidR="003519E5" w:rsidRPr="00763269">
        <w:rPr>
          <w:rFonts w:ascii="Arial" w:hAnsi="Arial" w:cs="Arial"/>
        </w:rPr>
        <w:t>imultaneously</w:t>
      </w:r>
      <w:r w:rsidR="00A84EE1" w:rsidRPr="00763269">
        <w:rPr>
          <w:rFonts w:ascii="Arial" w:hAnsi="Arial" w:cs="Arial"/>
        </w:rPr>
        <w:t xml:space="preserve"> drawing</w:t>
      </w:r>
      <w:r w:rsidR="003519E5" w:rsidRPr="00763269">
        <w:rPr>
          <w:rFonts w:ascii="Arial" w:hAnsi="Arial" w:cs="Arial"/>
        </w:rPr>
        <w:t xml:space="preserve"> attention </w:t>
      </w:r>
      <w:r w:rsidR="00A84EE1" w:rsidRPr="00763269">
        <w:rPr>
          <w:rFonts w:ascii="Arial" w:hAnsi="Arial" w:cs="Arial"/>
        </w:rPr>
        <w:t xml:space="preserve">to </w:t>
      </w:r>
      <w:r w:rsidR="003519E5" w:rsidRPr="00763269">
        <w:rPr>
          <w:rFonts w:ascii="Arial" w:hAnsi="Arial" w:cs="Arial"/>
        </w:rPr>
        <w:t>and critiq</w:t>
      </w:r>
      <w:r w:rsidR="00A84EE1" w:rsidRPr="00763269">
        <w:rPr>
          <w:rFonts w:ascii="Arial" w:hAnsi="Arial" w:cs="Arial"/>
        </w:rPr>
        <w:t xml:space="preserve">uing </w:t>
      </w:r>
      <w:r w:rsidR="003519E5" w:rsidRPr="00763269">
        <w:rPr>
          <w:rFonts w:ascii="Arial" w:hAnsi="Arial" w:cs="Arial"/>
        </w:rPr>
        <w:t>the power structures that have</w:t>
      </w:r>
      <w:r w:rsidR="00A84EE1" w:rsidRPr="00763269">
        <w:rPr>
          <w:rFonts w:ascii="Arial" w:hAnsi="Arial" w:cs="Arial"/>
        </w:rPr>
        <w:t xml:space="preserve"> </w:t>
      </w:r>
      <w:r w:rsidR="003519E5" w:rsidRPr="00763269">
        <w:rPr>
          <w:rFonts w:ascii="Arial" w:hAnsi="Arial" w:cs="Arial"/>
        </w:rPr>
        <w:t xml:space="preserve">ostracized </w:t>
      </w:r>
      <w:r w:rsidR="004A7B45" w:rsidRPr="00763269">
        <w:rPr>
          <w:rFonts w:ascii="Arial" w:hAnsi="Arial" w:cs="Arial"/>
        </w:rPr>
        <w:t xml:space="preserve">women </w:t>
      </w:r>
      <w:r w:rsidR="00A84EE1" w:rsidRPr="00763269">
        <w:rPr>
          <w:rFonts w:ascii="Arial" w:hAnsi="Arial" w:cs="Arial"/>
        </w:rPr>
        <w:t xml:space="preserve">from participating in the art world. </w:t>
      </w:r>
    </w:p>
    <w:p w14:paraId="34A2A7E1" w14:textId="11DF3E7A" w:rsidR="002A4E46" w:rsidRPr="00763269" w:rsidRDefault="002A4E46" w:rsidP="00763269">
      <w:pPr>
        <w:spacing w:line="480" w:lineRule="auto"/>
        <w:rPr>
          <w:rFonts w:ascii="Arial" w:hAnsi="Arial" w:cs="Arial"/>
        </w:rPr>
      </w:pPr>
      <w:r w:rsidRPr="00763269">
        <w:rPr>
          <w:rFonts w:ascii="Arial" w:hAnsi="Arial" w:cs="Arial"/>
        </w:rPr>
        <w:t>Furthermore, by using statistical information alongside simplistic and bold graphic design, the Guerrilla Girls adopt the visual language of advertising, making their message accessible to a wider audience</w:t>
      </w:r>
      <w:r w:rsidR="00C56F83" w:rsidRPr="00763269">
        <w:rPr>
          <w:rFonts w:ascii="Arial" w:hAnsi="Arial" w:cs="Arial"/>
        </w:rPr>
        <w:t xml:space="preserve">. Unlike </w:t>
      </w:r>
      <w:r w:rsidR="00C56F83" w:rsidRPr="00CE6AB5">
        <w:rPr>
          <w:rFonts w:ascii="Arial" w:hAnsi="Arial" w:cs="Arial"/>
          <w:i/>
          <w:iCs/>
        </w:rPr>
        <w:t>Triumph of the Will</w:t>
      </w:r>
      <w:r w:rsidR="00CE6AB5">
        <w:rPr>
          <w:rFonts w:ascii="Arial" w:hAnsi="Arial" w:cs="Arial"/>
        </w:rPr>
        <w:t xml:space="preserve"> (1935)</w:t>
      </w:r>
      <w:r w:rsidR="00C56F83" w:rsidRPr="00763269">
        <w:rPr>
          <w:rFonts w:ascii="Arial" w:hAnsi="Arial" w:cs="Arial"/>
        </w:rPr>
        <w:t xml:space="preserve">, which uses a more theatrical approach to reinforce power, the Guerrilla Girls reclaim the persuasive visual language often used at the disadvantage to women as a form of activist resistance. Within this exhibition, this direct contrast demonstrates how visual communication can function as a varying mechanism for social critique. </w:t>
      </w:r>
    </w:p>
    <w:p w14:paraId="1D63867B" w14:textId="1E4D83E3" w:rsidR="00C56F83" w:rsidRPr="00763269" w:rsidRDefault="00C56F83" w:rsidP="00763269">
      <w:pPr>
        <w:pStyle w:val="NormalWeb"/>
        <w:spacing w:line="480" w:lineRule="auto"/>
        <w:rPr>
          <w:rFonts w:ascii="Arial" w:hAnsi="Arial" w:cs="Arial"/>
        </w:rPr>
      </w:pPr>
      <w:r w:rsidRPr="00763269">
        <w:rPr>
          <w:rFonts w:ascii="Arial" w:hAnsi="Arial" w:cs="Arial"/>
        </w:rPr>
        <w:fldChar w:fldCharType="begin"/>
      </w:r>
      <w:r w:rsidRPr="00763269">
        <w:rPr>
          <w:rFonts w:ascii="Arial" w:hAnsi="Arial" w:cs="Arial"/>
        </w:rPr>
        <w:instrText xml:space="preserve"> INCLUDEPICTURE "https://cdn.sanity.io/images/cctd4ker/production/8888cdb58793aca72ba92d1b4c071dcec6df27a1-1520x470.jpg?w=3840&amp;q=75&amp;fit=max&amp;auto=format" \* MERGEFORMATINET </w:instrText>
      </w:r>
      <w:r w:rsidRPr="00763269">
        <w:rPr>
          <w:rFonts w:ascii="Arial" w:hAnsi="Arial" w:cs="Arial"/>
        </w:rPr>
        <w:fldChar w:fldCharType="separate"/>
      </w:r>
      <w:r w:rsidRPr="00763269">
        <w:rPr>
          <w:rFonts w:ascii="Arial" w:hAnsi="Arial" w:cs="Arial"/>
          <w:noProof/>
        </w:rPr>
        <w:drawing>
          <wp:inline distT="0" distB="0" distL="0" distR="0" wp14:anchorId="6990967D" wp14:editId="5AF79251">
            <wp:extent cx="5731510" cy="1772920"/>
            <wp:effectExtent l="0" t="0" r="0" b="5080"/>
            <wp:docPr id="890772727" name="Picture 1" descr="Poster showing three couples kissing with the heading &quot;Kissing Doesn't Kill: Greed and Indifference D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ster showing three couples kissing with the heading &quot;Kissing Doesn't Kill: Greed and Indifference Do.&quo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772920"/>
                    </a:xfrm>
                    <a:prstGeom prst="rect">
                      <a:avLst/>
                    </a:prstGeom>
                    <a:noFill/>
                    <a:ln>
                      <a:noFill/>
                    </a:ln>
                  </pic:spPr>
                </pic:pic>
              </a:graphicData>
            </a:graphic>
          </wp:inline>
        </w:drawing>
      </w:r>
      <w:r w:rsidRPr="00763269">
        <w:rPr>
          <w:rFonts w:ascii="Arial" w:hAnsi="Arial" w:cs="Arial"/>
        </w:rPr>
        <w:fldChar w:fldCharType="end"/>
      </w:r>
    </w:p>
    <w:p w14:paraId="2C8CFDB9" w14:textId="07C1F752" w:rsidR="00C56F83" w:rsidRPr="00763269" w:rsidRDefault="00C56F83" w:rsidP="00763269">
      <w:pPr>
        <w:pStyle w:val="NormalWeb"/>
        <w:spacing w:line="480" w:lineRule="auto"/>
        <w:rPr>
          <w:rFonts w:ascii="Arial" w:hAnsi="Arial" w:cs="Arial"/>
        </w:rPr>
      </w:pPr>
      <w:r w:rsidRPr="00763269">
        <w:rPr>
          <w:rFonts w:ascii="Arial" w:hAnsi="Arial" w:cs="Arial"/>
        </w:rPr>
        <w:t xml:space="preserve">Figure </w:t>
      </w:r>
      <w:r w:rsidR="005266AD" w:rsidRPr="00763269">
        <w:rPr>
          <w:rFonts w:ascii="Arial" w:hAnsi="Arial" w:cs="Arial"/>
        </w:rPr>
        <w:t>4</w:t>
      </w:r>
      <w:r w:rsidRPr="00763269">
        <w:rPr>
          <w:rFonts w:ascii="Arial" w:hAnsi="Arial" w:cs="Arial"/>
        </w:rPr>
        <w:t xml:space="preserve">: Kissing Doesn’t Kill: Greed and Indifference Do (1989), Gran Fury. </w:t>
      </w:r>
    </w:p>
    <w:p w14:paraId="1C5DBB96" w14:textId="2929A761" w:rsidR="00BC3674" w:rsidRPr="00763269" w:rsidRDefault="0098525B" w:rsidP="00763269">
      <w:pPr>
        <w:pStyle w:val="NormalWeb"/>
        <w:spacing w:line="480" w:lineRule="auto"/>
        <w:rPr>
          <w:rFonts w:ascii="Arial" w:hAnsi="Arial" w:cs="Arial"/>
        </w:rPr>
      </w:pPr>
      <w:r w:rsidRPr="00763269">
        <w:rPr>
          <w:rFonts w:ascii="Arial" w:hAnsi="Arial" w:cs="Arial"/>
        </w:rPr>
        <w:lastRenderedPageBreak/>
        <w:t>The exhibition will then shift towards an activist group known as Gran Fury. The group designed a poster campaign during the height of the AIDS crisis in the late 1980s and a</w:t>
      </w:r>
      <w:r w:rsidR="00BC3674" w:rsidRPr="00763269">
        <w:rPr>
          <w:rFonts w:ascii="Arial" w:hAnsi="Arial" w:cs="Arial"/>
        </w:rPr>
        <w:t>s Rolls-Bentley (2024</w:t>
      </w:r>
      <w:r w:rsidRPr="00763269">
        <w:rPr>
          <w:rFonts w:ascii="Arial" w:hAnsi="Arial" w:cs="Arial"/>
        </w:rPr>
        <w:t>, p.179</w:t>
      </w:r>
      <w:r w:rsidR="00BC3674" w:rsidRPr="00763269">
        <w:rPr>
          <w:rFonts w:ascii="Arial" w:hAnsi="Arial" w:cs="Arial"/>
        </w:rPr>
        <w:t xml:space="preserve">) states, the </w:t>
      </w:r>
      <w:r w:rsidR="004D580D" w:rsidRPr="00763269">
        <w:rPr>
          <w:rFonts w:ascii="Arial" w:hAnsi="Arial" w:cs="Arial"/>
        </w:rPr>
        <w:t>poster</w:t>
      </w:r>
      <w:r w:rsidR="00BC3674" w:rsidRPr="00763269">
        <w:rPr>
          <w:rFonts w:ascii="Arial" w:hAnsi="Arial" w:cs="Arial"/>
        </w:rPr>
        <w:t xml:space="preserve"> was </w:t>
      </w:r>
      <w:r w:rsidR="004D580D" w:rsidRPr="00763269">
        <w:rPr>
          <w:rFonts w:ascii="Arial" w:hAnsi="Arial" w:cs="Arial"/>
        </w:rPr>
        <w:t>created</w:t>
      </w:r>
      <w:r w:rsidR="00BC3674" w:rsidRPr="00763269">
        <w:rPr>
          <w:rFonts w:ascii="Arial" w:hAnsi="Arial" w:cs="Arial"/>
        </w:rPr>
        <w:t xml:space="preserve"> </w:t>
      </w:r>
      <w:r w:rsidRPr="00763269">
        <w:rPr>
          <w:rFonts w:ascii="Arial" w:hAnsi="Arial" w:cs="Arial"/>
        </w:rPr>
        <w:t>to</w:t>
      </w:r>
      <w:r w:rsidR="00BC3674" w:rsidRPr="00763269">
        <w:rPr>
          <w:rFonts w:ascii="Arial" w:hAnsi="Arial" w:cs="Arial"/>
        </w:rPr>
        <w:t xml:space="preserve"> undermine the homophobia that was rampant at the time of </w:t>
      </w:r>
      <w:r w:rsidRPr="00763269">
        <w:rPr>
          <w:rFonts w:ascii="Arial" w:hAnsi="Arial" w:cs="Arial"/>
        </w:rPr>
        <w:t>creation and</w:t>
      </w:r>
      <w:r w:rsidR="00BC3674" w:rsidRPr="00763269">
        <w:rPr>
          <w:rFonts w:ascii="Arial" w:hAnsi="Arial" w:cs="Arial"/>
        </w:rPr>
        <w:t xml:space="preserve"> correct the </w:t>
      </w:r>
      <w:r w:rsidR="004D580D" w:rsidRPr="00763269">
        <w:rPr>
          <w:rFonts w:ascii="Arial" w:hAnsi="Arial" w:cs="Arial"/>
        </w:rPr>
        <w:t xml:space="preserve">misconception </w:t>
      </w:r>
      <w:r w:rsidR="00BC3674" w:rsidRPr="00763269">
        <w:rPr>
          <w:rFonts w:ascii="Arial" w:hAnsi="Arial" w:cs="Arial"/>
        </w:rPr>
        <w:t xml:space="preserve">that kissing could spread </w:t>
      </w:r>
      <w:r w:rsidR="004D580D" w:rsidRPr="00763269">
        <w:rPr>
          <w:rFonts w:ascii="Arial" w:hAnsi="Arial" w:cs="Arial"/>
        </w:rPr>
        <w:t>HIV.</w:t>
      </w:r>
      <w:r w:rsidRPr="00763269">
        <w:rPr>
          <w:rFonts w:ascii="Arial" w:hAnsi="Arial" w:cs="Arial"/>
        </w:rPr>
        <w:t xml:space="preserve"> </w:t>
      </w:r>
      <w:r w:rsidR="00444F96" w:rsidRPr="00763269">
        <w:rPr>
          <w:rFonts w:ascii="Arial" w:hAnsi="Arial" w:cs="Arial"/>
        </w:rPr>
        <w:t xml:space="preserve">Unlike the propagandistic visual control demonstrated in </w:t>
      </w:r>
      <w:r w:rsidR="00444F96" w:rsidRPr="00763269">
        <w:rPr>
          <w:rFonts w:ascii="Arial" w:hAnsi="Arial" w:cs="Arial"/>
          <w:i/>
          <w:iCs/>
        </w:rPr>
        <w:t>Triumph of the Will</w:t>
      </w:r>
      <w:r w:rsidR="00763269">
        <w:rPr>
          <w:rFonts w:ascii="Arial" w:hAnsi="Arial" w:cs="Arial"/>
          <w:i/>
          <w:iCs/>
        </w:rPr>
        <w:t xml:space="preserve"> </w:t>
      </w:r>
      <w:r w:rsidR="00763269" w:rsidRPr="00763269">
        <w:rPr>
          <w:rFonts w:ascii="Arial" w:hAnsi="Arial" w:cs="Arial"/>
        </w:rPr>
        <w:t>(193</w:t>
      </w:r>
      <w:r w:rsidR="00CE6AB5">
        <w:rPr>
          <w:rFonts w:ascii="Arial" w:hAnsi="Arial" w:cs="Arial"/>
        </w:rPr>
        <w:t>5</w:t>
      </w:r>
      <w:r w:rsidR="00763269" w:rsidRPr="00763269">
        <w:rPr>
          <w:rFonts w:ascii="Arial" w:hAnsi="Arial" w:cs="Arial"/>
        </w:rPr>
        <w:t>)</w:t>
      </w:r>
      <w:r w:rsidR="00444F96" w:rsidRPr="00763269">
        <w:rPr>
          <w:rFonts w:ascii="Arial" w:hAnsi="Arial" w:cs="Arial"/>
        </w:rPr>
        <w:t>, Gran Fury reclaims persuasive language by f</w:t>
      </w:r>
      <w:r w:rsidRPr="00763269">
        <w:rPr>
          <w:rFonts w:ascii="Arial" w:hAnsi="Arial" w:cs="Arial"/>
        </w:rPr>
        <w:t xml:space="preserve">eaturing interracial and same-sex couples kissing beneath the slogan “Kissing Doesn’t Kill: Greed and Indifference </w:t>
      </w:r>
      <w:r w:rsidR="00444F96" w:rsidRPr="00763269">
        <w:rPr>
          <w:rFonts w:ascii="Arial" w:hAnsi="Arial" w:cs="Arial"/>
        </w:rPr>
        <w:t xml:space="preserve">Do”, the poster then transforms this into a confrontational critique of the social stigma and the media representation surrounding HIV/AIDS. </w:t>
      </w:r>
      <w:r w:rsidR="005266AD" w:rsidRPr="00763269">
        <w:rPr>
          <w:rFonts w:ascii="Arial" w:hAnsi="Arial" w:cs="Arial"/>
        </w:rPr>
        <w:t>(</w:t>
      </w:r>
      <w:proofErr w:type="spellStart"/>
      <w:r w:rsidR="005266AD" w:rsidRPr="00763269">
        <w:rPr>
          <w:rFonts w:ascii="Arial" w:hAnsi="Arial" w:cs="Arial"/>
        </w:rPr>
        <w:t>Kuylentierna</w:t>
      </w:r>
      <w:proofErr w:type="spellEnd"/>
      <w:r w:rsidR="005266AD" w:rsidRPr="00763269">
        <w:rPr>
          <w:rFonts w:ascii="Arial" w:hAnsi="Arial" w:cs="Arial"/>
        </w:rPr>
        <w:t>,</w:t>
      </w:r>
      <w:r w:rsidR="003B6111" w:rsidRPr="00763269">
        <w:rPr>
          <w:rFonts w:ascii="Arial" w:hAnsi="Arial" w:cs="Arial"/>
        </w:rPr>
        <w:t xml:space="preserve"> </w:t>
      </w:r>
      <w:r w:rsidR="005266AD" w:rsidRPr="00763269">
        <w:rPr>
          <w:rFonts w:ascii="Arial" w:hAnsi="Arial" w:cs="Arial"/>
        </w:rPr>
        <w:t xml:space="preserve">2024.) </w:t>
      </w:r>
    </w:p>
    <w:p w14:paraId="106F7C29" w14:textId="42F29A33" w:rsidR="00444F96" w:rsidRPr="00763269" w:rsidRDefault="00444F96" w:rsidP="00763269">
      <w:pPr>
        <w:pStyle w:val="NormalWeb"/>
        <w:spacing w:line="480" w:lineRule="auto"/>
        <w:rPr>
          <w:rFonts w:ascii="Arial" w:hAnsi="Arial" w:cs="Arial"/>
        </w:rPr>
      </w:pPr>
      <w:r w:rsidRPr="00763269">
        <w:rPr>
          <w:rFonts w:ascii="Arial" w:hAnsi="Arial" w:cs="Arial"/>
        </w:rPr>
        <w:t xml:space="preserve">Unlike traditional gallery artworks, this poster was designed for public circulation, allowing its political message to reach audiences beyond institutional art spaces. It is for this reason that it takes its place in </w:t>
      </w:r>
      <w:r w:rsidRPr="00763269">
        <w:rPr>
          <w:rFonts w:ascii="Arial" w:hAnsi="Arial" w:cs="Arial"/>
          <w:i/>
          <w:iCs/>
        </w:rPr>
        <w:t>The Visual Language of Protest and Power</w:t>
      </w:r>
      <w:r w:rsidR="005266AD" w:rsidRPr="00763269">
        <w:rPr>
          <w:rFonts w:ascii="Arial" w:hAnsi="Arial" w:cs="Arial"/>
        </w:rPr>
        <w:t xml:space="preserve">. </w:t>
      </w:r>
    </w:p>
    <w:p w14:paraId="48195CD4" w14:textId="613F2CF6" w:rsidR="005266AD" w:rsidRPr="00763269" w:rsidRDefault="005266AD" w:rsidP="00763269">
      <w:pPr>
        <w:pStyle w:val="NormalWeb"/>
        <w:spacing w:line="480" w:lineRule="auto"/>
        <w:rPr>
          <w:rFonts w:ascii="Arial" w:hAnsi="Arial" w:cs="Arial"/>
        </w:rPr>
      </w:pPr>
      <w:r w:rsidRPr="00763269">
        <w:rPr>
          <w:rFonts w:ascii="Arial" w:hAnsi="Arial" w:cs="Arial"/>
        </w:rPr>
        <w:fldChar w:fldCharType="begin"/>
      </w:r>
      <w:r w:rsidRPr="00763269">
        <w:rPr>
          <w:rFonts w:ascii="Arial" w:hAnsi="Arial" w:cs="Arial"/>
        </w:rPr>
        <w:instrText xml:space="preserve"> INCLUDEPICTURE "https://banksyexplained.com/wp-content/uploads/2021/05/GIRL-WITH-BALLOON-MURAL-2.jpg" \* MERGEFORMATINET </w:instrText>
      </w:r>
      <w:r w:rsidRPr="00763269">
        <w:rPr>
          <w:rFonts w:ascii="Arial" w:hAnsi="Arial" w:cs="Arial"/>
        </w:rPr>
        <w:fldChar w:fldCharType="separate"/>
      </w:r>
      <w:r w:rsidRPr="00763269">
        <w:rPr>
          <w:rFonts w:ascii="Arial" w:hAnsi="Arial" w:cs="Arial"/>
          <w:noProof/>
        </w:rPr>
        <w:drawing>
          <wp:inline distT="0" distB="0" distL="0" distR="0" wp14:anchorId="3FF05A23" wp14:editId="3EDDE24B">
            <wp:extent cx="5731510" cy="3868420"/>
            <wp:effectExtent l="0" t="0" r="0" b="5080"/>
            <wp:docPr id="8562873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68420"/>
                    </a:xfrm>
                    <a:prstGeom prst="rect">
                      <a:avLst/>
                    </a:prstGeom>
                    <a:noFill/>
                    <a:ln>
                      <a:noFill/>
                    </a:ln>
                  </pic:spPr>
                </pic:pic>
              </a:graphicData>
            </a:graphic>
          </wp:inline>
        </w:drawing>
      </w:r>
      <w:r w:rsidRPr="00763269">
        <w:rPr>
          <w:rFonts w:ascii="Arial" w:hAnsi="Arial" w:cs="Arial"/>
        </w:rPr>
        <w:fldChar w:fldCharType="end"/>
      </w:r>
    </w:p>
    <w:p w14:paraId="3BBDE19E" w14:textId="789392C2" w:rsidR="005266AD" w:rsidRPr="00763269" w:rsidRDefault="005266AD" w:rsidP="00763269">
      <w:pPr>
        <w:pStyle w:val="NormalWeb"/>
        <w:spacing w:line="480" w:lineRule="auto"/>
        <w:rPr>
          <w:rFonts w:ascii="Arial" w:hAnsi="Arial" w:cs="Arial"/>
        </w:rPr>
      </w:pPr>
      <w:r w:rsidRPr="00763269">
        <w:rPr>
          <w:rFonts w:ascii="Arial" w:hAnsi="Arial" w:cs="Arial"/>
        </w:rPr>
        <w:lastRenderedPageBreak/>
        <w:t xml:space="preserve">Figure 5: </w:t>
      </w:r>
      <w:r w:rsidR="003B6111" w:rsidRPr="00763269">
        <w:rPr>
          <w:rFonts w:ascii="Arial" w:hAnsi="Arial" w:cs="Arial"/>
          <w:i/>
          <w:iCs/>
        </w:rPr>
        <w:t>Girl with Balloon</w:t>
      </w:r>
      <w:r w:rsidR="003B6111" w:rsidRPr="00763269">
        <w:rPr>
          <w:rFonts w:ascii="Arial" w:hAnsi="Arial" w:cs="Arial"/>
        </w:rPr>
        <w:t xml:space="preserve"> (2002), Banksy. Mural. </w:t>
      </w:r>
    </w:p>
    <w:p w14:paraId="3D5FE19F" w14:textId="7536BE07" w:rsidR="003B6111" w:rsidRPr="00763269" w:rsidRDefault="003B6111" w:rsidP="00763269">
      <w:pPr>
        <w:pStyle w:val="NormalWeb"/>
        <w:spacing w:line="480" w:lineRule="auto"/>
        <w:rPr>
          <w:rFonts w:ascii="Arial" w:hAnsi="Arial" w:cs="Arial"/>
        </w:rPr>
      </w:pPr>
      <w:r w:rsidRPr="00763269">
        <w:rPr>
          <w:rFonts w:ascii="Arial" w:hAnsi="Arial" w:cs="Arial"/>
        </w:rPr>
        <w:t xml:space="preserve">As Mancoff (2021, p.228) this spray-painted mural piece is described as one of Banksy’s most loved. To conclude this exhibition, </w:t>
      </w:r>
      <w:r w:rsidRPr="00CE6AB5">
        <w:rPr>
          <w:rFonts w:ascii="Arial" w:hAnsi="Arial" w:cs="Arial"/>
          <w:i/>
          <w:iCs/>
        </w:rPr>
        <w:t>Girl with Balloon</w:t>
      </w:r>
      <w:r w:rsidR="00CE6AB5">
        <w:rPr>
          <w:rFonts w:ascii="Arial" w:hAnsi="Arial" w:cs="Arial"/>
          <w:i/>
          <w:iCs/>
        </w:rPr>
        <w:t xml:space="preserve"> </w:t>
      </w:r>
      <w:r w:rsidR="00CE6AB5" w:rsidRPr="00CE6AB5">
        <w:rPr>
          <w:rFonts w:ascii="Arial" w:hAnsi="Arial" w:cs="Arial"/>
        </w:rPr>
        <w:t>(2002)</w:t>
      </w:r>
      <w:r w:rsidRPr="00763269">
        <w:rPr>
          <w:rFonts w:ascii="Arial" w:hAnsi="Arial" w:cs="Arial"/>
        </w:rPr>
        <w:t xml:space="preserve"> would be pictured towards the exit, allowing for the audience to leave with something to go away and think about. The balloon symbolises love and dreams, while the little girl represents the human effort to achieve hopes that often feel far away (</w:t>
      </w:r>
      <w:proofErr w:type="spellStart"/>
      <w:r w:rsidRPr="00763269">
        <w:rPr>
          <w:rFonts w:ascii="Arial" w:hAnsi="Arial" w:cs="Arial"/>
        </w:rPr>
        <w:t>Afrilia</w:t>
      </w:r>
      <w:proofErr w:type="spellEnd"/>
      <w:r w:rsidRPr="00763269">
        <w:rPr>
          <w:rFonts w:ascii="Arial" w:hAnsi="Arial" w:cs="Arial"/>
        </w:rPr>
        <w:t xml:space="preserve">, Margaretha and Hartono, 2025) </w:t>
      </w:r>
    </w:p>
    <w:p w14:paraId="1E759437" w14:textId="73EE2094" w:rsidR="003B6111" w:rsidRPr="00763269" w:rsidRDefault="003B6111" w:rsidP="00763269">
      <w:pPr>
        <w:pStyle w:val="NormalWeb"/>
        <w:spacing w:line="480" w:lineRule="auto"/>
        <w:rPr>
          <w:rFonts w:ascii="Arial" w:hAnsi="Arial" w:cs="Arial"/>
        </w:rPr>
      </w:pPr>
      <w:r w:rsidRPr="00763269">
        <w:rPr>
          <w:rFonts w:ascii="Arial" w:hAnsi="Arial" w:cs="Arial"/>
        </w:rPr>
        <w:t xml:space="preserve">The composition depicts a young girl reaching towards a red, heart-shaped balloon drifting away from her, creating an artistic balance between innocence and loss. Unlike the more direct and confrontational protest strategies seen in earlier works such as Gran Fury and Guerrilla Girls, Banksy’s approach is more ambiguous, relying on emotional resonance to leave the viewer with their own thoughts. Within </w:t>
      </w:r>
      <w:r w:rsidRPr="00CE6AB5">
        <w:rPr>
          <w:rFonts w:ascii="Arial" w:hAnsi="Arial" w:cs="Arial"/>
          <w:i/>
          <w:iCs/>
        </w:rPr>
        <w:t>The Visual Language of Protest and Power</w:t>
      </w:r>
      <w:r w:rsidRPr="00763269">
        <w:rPr>
          <w:rFonts w:ascii="Arial" w:hAnsi="Arial" w:cs="Arial"/>
        </w:rPr>
        <w:t xml:space="preserve">, this piece demonstrates how street art can continue to engage with the public while conveying political and social ideas. Its placement in a public urban environment also reinforces the idea that art can exist outside of institutional spaces, reaching a wider audience – blurring the boundary between protest, art and public space. </w:t>
      </w:r>
    </w:p>
    <w:p w14:paraId="17A0F703" w14:textId="77777777" w:rsidR="00444F96" w:rsidRPr="00763269" w:rsidRDefault="00444F96" w:rsidP="00763269">
      <w:pPr>
        <w:pStyle w:val="NormalWeb"/>
        <w:spacing w:line="480" w:lineRule="auto"/>
        <w:rPr>
          <w:rFonts w:ascii="Arial" w:hAnsi="Arial" w:cs="Arial"/>
        </w:rPr>
      </w:pPr>
      <w:r w:rsidRPr="00763269">
        <w:rPr>
          <w:rFonts w:ascii="Arial" w:hAnsi="Arial" w:cs="Arial"/>
        </w:rPr>
        <w:t xml:space="preserve">Visual communication has played a significant role in shaping political narratives; from influencing public opinion to mobilising social movements, the use of graphic design within politics has been monumental for a plethora of reasons. From early twentieth-century propaganda to contemporary street art, artists and designers alike have used visual language to communicate complex political ideas in a more digestible and accessible way for the wider public. This exhibition, titled ‘The Visual </w:t>
      </w:r>
      <w:r w:rsidRPr="00763269">
        <w:rPr>
          <w:rFonts w:ascii="Arial" w:hAnsi="Arial" w:cs="Arial"/>
        </w:rPr>
        <w:lastRenderedPageBreak/>
        <w:t xml:space="preserve">Language of Protest and Power’, explores how art and design function not only as tools for resistance, but as instruments of persuasion and control. </w:t>
      </w:r>
    </w:p>
    <w:p w14:paraId="264A9E20" w14:textId="77777777" w:rsidR="00444F96" w:rsidRDefault="00444F96" w:rsidP="00192423">
      <w:pPr>
        <w:pStyle w:val="NormalWeb"/>
        <w:rPr>
          <w:rFonts w:ascii="Arial" w:hAnsi="Arial" w:cs="Arial"/>
        </w:rPr>
      </w:pPr>
    </w:p>
    <w:p w14:paraId="15FBCFED" w14:textId="77777777" w:rsidR="00444F96" w:rsidRDefault="00444F96" w:rsidP="00192423">
      <w:pPr>
        <w:pStyle w:val="NormalWeb"/>
        <w:rPr>
          <w:rFonts w:ascii="Arial" w:hAnsi="Arial" w:cs="Arial"/>
        </w:rPr>
      </w:pPr>
    </w:p>
    <w:p w14:paraId="6D6C0BCD" w14:textId="77777777" w:rsidR="00BC3674" w:rsidRDefault="00BC3674" w:rsidP="00192423">
      <w:pPr>
        <w:pStyle w:val="NormalWeb"/>
        <w:rPr>
          <w:rFonts w:ascii="Arial" w:hAnsi="Arial" w:cs="Arial"/>
        </w:rPr>
      </w:pPr>
    </w:p>
    <w:p w14:paraId="3DEB18CC" w14:textId="77777777" w:rsidR="00C56F83" w:rsidRPr="00C56F83" w:rsidRDefault="00C56F83" w:rsidP="00192423">
      <w:pPr>
        <w:pStyle w:val="NormalWeb"/>
        <w:rPr>
          <w:rFonts w:ascii="Arial" w:hAnsi="Arial" w:cs="Arial"/>
        </w:rPr>
      </w:pPr>
    </w:p>
    <w:p w14:paraId="78258D46" w14:textId="77777777" w:rsidR="00192423" w:rsidRPr="004A7B45" w:rsidRDefault="00192423" w:rsidP="002C2ABF"/>
    <w:p w14:paraId="0C4CFABD" w14:textId="77777777" w:rsidR="004E2E55" w:rsidRDefault="004E2E55" w:rsidP="002C2ABF">
      <w:pPr>
        <w:rPr>
          <w:rFonts w:ascii="Arial" w:hAnsi="Arial" w:cs="Arial"/>
        </w:rPr>
      </w:pPr>
    </w:p>
    <w:p w14:paraId="125E2E36" w14:textId="77777777" w:rsidR="004E2E55" w:rsidRDefault="004E2E55" w:rsidP="002C2ABF">
      <w:pPr>
        <w:rPr>
          <w:rFonts w:ascii="Arial" w:hAnsi="Arial" w:cs="Arial"/>
        </w:rPr>
      </w:pPr>
    </w:p>
    <w:p w14:paraId="4CA2C187" w14:textId="77777777" w:rsidR="004E2E55" w:rsidRDefault="004E2E55" w:rsidP="002C2ABF">
      <w:pPr>
        <w:rPr>
          <w:rFonts w:ascii="Arial" w:hAnsi="Arial" w:cs="Arial"/>
        </w:rPr>
      </w:pPr>
    </w:p>
    <w:p w14:paraId="318B871F" w14:textId="77777777" w:rsidR="004E2E55" w:rsidRDefault="004E2E55" w:rsidP="002C2ABF">
      <w:pPr>
        <w:rPr>
          <w:rFonts w:ascii="Arial" w:hAnsi="Arial" w:cs="Arial"/>
        </w:rPr>
      </w:pPr>
    </w:p>
    <w:p w14:paraId="2916B4CB" w14:textId="77777777" w:rsidR="004E2E55" w:rsidRDefault="004E2E55" w:rsidP="002C2ABF">
      <w:pPr>
        <w:rPr>
          <w:rFonts w:ascii="Arial" w:hAnsi="Arial" w:cs="Arial"/>
        </w:rPr>
      </w:pPr>
    </w:p>
    <w:p w14:paraId="599969DF" w14:textId="4F653B54" w:rsidR="004B67BC" w:rsidRDefault="004B67BC" w:rsidP="00460635">
      <w:pPr>
        <w:rPr>
          <w:rFonts w:ascii="Arial" w:hAnsi="Arial" w:cs="Arial"/>
        </w:rPr>
      </w:pPr>
      <w:r w:rsidRPr="00CE6AB5">
        <w:rPr>
          <w:rFonts w:ascii="Arial" w:hAnsi="Arial" w:cs="Arial"/>
        </w:rPr>
        <w:t>Bibliography</w:t>
      </w:r>
    </w:p>
    <w:p w14:paraId="4072D43A" w14:textId="77777777" w:rsidR="00CE6AB5" w:rsidRDefault="00CE6AB5" w:rsidP="00CE6AB5">
      <w:pPr>
        <w:pStyle w:val="NormalWeb"/>
        <w:rPr>
          <w:rFonts w:ascii="Arial" w:hAnsi="Arial" w:cs="Arial"/>
        </w:rPr>
      </w:pPr>
      <w:proofErr w:type="spellStart"/>
      <w:r>
        <w:rPr>
          <w:rFonts w:ascii="Arial" w:hAnsi="Arial" w:cs="Arial"/>
        </w:rPr>
        <w:t>Afrilia</w:t>
      </w:r>
      <w:proofErr w:type="spellEnd"/>
      <w:r>
        <w:rPr>
          <w:rFonts w:ascii="Arial" w:hAnsi="Arial" w:cs="Arial"/>
        </w:rPr>
        <w:t xml:space="preserve">, N.S., Margaretha, R. and Hartono, H. (2025) ‘Understanding Girl with Balloon: A metaphorical and semiotic analysis of Banksy’s street work’, </w:t>
      </w:r>
      <w:r w:rsidRPr="003B6111">
        <w:rPr>
          <w:rFonts w:ascii="Arial" w:hAnsi="Arial" w:cs="Arial"/>
          <w:i/>
          <w:iCs/>
        </w:rPr>
        <w:t>Priviet Social Sciences Journal</w:t>
      </w:r>
      <w:r>
        <w:rPr>
          <w:rFonts w:ascii="Arial" w:hAnsi="Arial" w:cs="Arial"/>
        </w:rPr>
        <w:t xml:space="preserve">, 5(9), p. 177-186. DOI: </w:t>
      </w:r>
      <w:r w:rsidRPr="003B6111">
        <w:rPr>
          <w:rFonts w:ascii="Arial" w:hAnsi="Arial" w:cs="Arial"/>
        </w:rPr>
        <w:t>10.55942/</w:t>
      </w:r>
      <w:proofErr w:type="spellStart"/>
      <w:r w:rsidRPr="003B6111">
        <w:rPr>
          <w:rFonts w:ascii="Arial" w:hAnsi="Arial" w:cs="Arial"/>
        </w:rPr>
        <w:t>pssj</w:t>
      </w:r>
      <w:proofErr w:type="spellEnd"/>
      <w:r w:rsidRPr="003B6111">
        <w:rPr>
          <w:rFonts w:ascii="Arial" w:hAnsi="Arial" w:cs="Arial"/>
        </w:rPr>
        <w:t>. v5i9.547.</w:t>
      </w:r>
      <w:r>
        <w:rPr>
          <w:rFonts w:ascii="Arial" w:hAnsi="Arial" w:cs="Arial"/>
        </w:rPr>
        <w:t>)</w:t>
      </w:r>
    </w:p>
    <w:p w14:paraId="5166E40D" w14:textId="77777777" w:rsidR="00CE6AB5" w:rsidRDefault="00CE6AB5" w:rsidP="00CE6AB5">
      <w:pPr>
        <w:pStyle w:val="NormalWeb"/>
        <w:rPr>
          <w:rFonts w:ascii="Arial" w:hAnsi="Arial" w:cs="Arial"/>
        </w:rPr>
      </w:pPr>
      <w:r w:rsidRPr="004B67BC">
        <w:rPr>
          <w:rFonts w:ascii="Arial" w:hAnsi="Arial" w:cs="Arial"/>
        </w:rPr>
        <w:t xml:space="preserve">Barnbrook, J. (2020) </w:t>
      </w:r>
      <w:r w:rsidRPr="004B67BC">
        <w:rPr>
          <w:rStyle w:val="Emphasis"/>
          <w:rFonts w:ascii="Arial" w:hAnsi="Arial" w:cs="Arial"/>
        </w:rPr>
        <w:t>Graphic design is political: Jonathan Barnbrook on how we can build a better industry</w:t>
      </w:r>
      <w:r w:rsidRPr="004B67BC">
        <w:rPr>
          <w:rFonts w:ascii="Arial" w:hAnsi="Arial" w:cs="Arial"/>
        </w:rPr>
        <w:t>. Available at: https://www.itsnicethat.com/features/jonathan-barnbrook-in-conversation-graphic-design-100920 (Accessed:</w:t>
      </w:r>
      <w:r>
        <w:rPr>
          <w:rFonts w:ascii="Arial" w:hAnsi="Arial" w:cs="Arial"/>
        </w:rPr>
        <w:t xml:space="preserve"> --</w:t>
      </w:r>
      <w:r w:rsidRPr="004B67BC">
        <w:rPr>
          <w:rFonts w:ascii="Arial" w:hAnsi="Arial" w:cs="Arial"/>
        </w:rPr>
        <w:t xml:space="preserve"> 2026).</w:t>
      </w:r>
    </w:p>
    <w:p w14:paraId="0354DE82" w14:textId="223DC5B3" w:rsidR="00CE6AB5" w:rsidRDefault="00CE6AB5" w:rsidP="00CE6AB5">
      <w:pPr>
        <w:pStyle w:val="NormalWeb"/>
        <w:rPr>
          <w:rFonts w:ascii="Arial" w:hAnsi="Arial" w:cs="Arial"/>
        </w:rPr>
      </w:pPr>
      <w:proofErr w:type="spellStart"/>
      <w:r>
        <w:rPr>
          <w:rFonts w:ascii="Arial" w:hAnsi="Arial" w:cs="Arial"/>
        </w:rPr>
        <w:t>Chornyi</w:t>
      </w:r>
      <w:proofErr w:type="spellEnd"/>
      <w:r>
        <w:rPr>
          <w:rFonts w:ascii="Arial" w:hAnsi="Arial" w:cs="Arial"/>
        </w:rPr>
        <w:t xml:space="preserve">, M. (2019) Riefenstahl’s Triumph of the Will analysis: scene by scene. War Documentary. Available at: </w:t>
      </w:r>
      <w:hyperlink r:id="rId10" w:history="1">
        <w:r w:rsidRPr="00564029">
          <w:rPr>
            <w:rStyle w:val="Hyperlink"/>
            <w:rFonts w:ascii="Arial" w:hAnsi="Arial" w:cs="Arial"/>
          </w:rPr>
          <w:t>https://war-documentary.info/triumph-of-the-will/</w:t>
        </w:r>
      </w:hyperlink>
      <w:r>
        <w:rPr>
          <w:rFonts w:ascii="Arial" w:hAnsi="Arial" w:cs="Arial"/>
        </w:rPr>
        <w:t xml:space="preserve"> (Accessed 18 April 2026)</w:t>
      </w:r>
    </w:p>
    <w:p w14:paraId="088B844C" w14:textId="77777777" w:rsidR="00CE6AB5" w:rsidRDefault="00CE6AB5" w:rsidP="00CE6AB5">
      <w:pPr>
        <w:pStyle w:val="NormalWeb"/>
        <w:rPr>
          <w:rFonts w:ascii="Arial" w:hAnsi="Arial" w:cs="Arial"/>
        </w:rPr>
      </w:pPr>
      <w:r w:rsidRPr="006C690C">
        <w:rPr>
          <w:rFonts w:ascii="Arial" w:hAnsi="Arial" w:cs="Arial"/>
        </w:rPr>
        <w:t xml:space="preserve">Encyclopaedia Britannica (2024) </w:t>
      </w:r>
      <w:r w:rsidRPr="006C690C">
        <w:rPr>
          <w:rStyle w:val="Emphasis"/>
          <w:rFonts w:ascii="Arial" w:hAnsi="Arial" w:cs="Arial"/>
        </w:rPr>
        <w:t>Tate Modern</w:t>
      </w:r>
      <w:r w:rsidRPr="006C690C">
        <w:rPr>
          <w:rFonts w:ascii="Arial" w:hAnsi="Arial" w:cs="Arial"/>
        </w:rPr>
        <w:t xml:space="preserve">. Available at: https://www.britannica.com/topic/Tate-Modern (Accessed: </w:t>
      </w:r>
      <w:r>
        <w:rPr>
          <w:rFonts w:ascii="Arial" w:hAnsi="Arial" w:cs="Arial"/>
        </w:rPr>
        <w:t>23 April</w:t>
      </w:r>
      <w:r w:rsidRPr="006C690C">
        <w:rPr>
          <w:rFonts w:ascii="Arial" w:hAnsi="Arial" w:cs="Arial"/>
        </w:rPr>
        <w:t xml:space="preserve"> 2026).</w:t>
      </w:r>
    </w:p>
    <w:p w14:paraId="4734FA7A" w14:textId="77777777" w:rsidR="00CE6AB5" w:rsidRDefault="00CE6AB5" w:rsidP="00CE6AB5">
      <w:pPr>
        <w:pStyle w:val="NormalWeb"/>
        <w:rPr>
          <w:rFonts w:ascii="Arial" w:hAnsi="Arial" w:cs="Arial"/>
        </w:rPr>
      </w:pPr>
      <w:r w:rsidRPr="004B67BC">
        <w:rPr>
          <w:rFonts w:ascii="Arial" w:hAnsi="Arial" w:cs="Arial"/>
        </w:rPr>
        <w:t xml:space="preserve">Heller, S. and Vienne, V. (2003) </w:t>
      </w:r>
      <w:r w:rsidRPr="004B67BC">
        <w:rPr>
          <w:rStyle w:val="Emphasis"/>
          <w:rFonts w:ascii="Arial" w:hAnsi="Arial" w:cs="Arial"/>
        </w:rPr>
        <w:t>Citizen Designer: Perspectives on Design Responsibility</w:t>
      </w:r>
      <w:r w:rsidRPr="004B67BC">
        <w:rPr>
          <w:rFonts w:ascii="Arial" w:hAnsi="Arial" w:cs="Arial"/>
        </w:rPr>
        <w:t>. New York: Allworth Press. Available at: https://archive.org/details/isbn_2901581152653/page/n1/mode/2up (Accessed: 2 May 2026).</w:t>
      </w:r>
    </w:p>
    <w:p w14:paraId="4BFC2483" w14:textId="77777777" w:rsidR="00CE6AB5" w:rsidRDefault="00CE6AB5" w:rsidP="00CE6AB5">
      <w:pPr>
        <w:pStyle w:val="NormalWeb"/>
        <w:rPr>
          <w:rFonts w:ascii="Arial" w:hAnsi="Arial" w:cs="Arial"/>
        </w:rPr>
      </w:pPr>
      <w:proofErr w:type="spellStart"/>
      <w:r>
        <w:rPr>
          <w:rFonts w:ascii="Arial" w:hAnsi="Arial" w:cs="Arial"/>
        </w:rPr>
        <w:t>Kuylenstierna</w:t>
      </w:r>
      <w:proofErr w:type="spellEnd"/>
      <w:r>
        <w:rPr>
          <w:rFonts w:ascii="Arial" w:hAnsi="Arial" w:cs="Arial"/>
        </w:rPr>
        <w:t xml:space="preserve">, J. (2024) ‘ACT UP, Gran Fury, and the artist collective’s fierce fight against AIDS’, The Metropolitan Museum of Art. Available via: </w:t>
      </w:r>
      <w:hyperlink r:id="rId11" w:history="1">
        <w:r w:rsidRPr="00564029">
          <w:rPr>
            <w:rStyle w:val="Hyperlink"/>
            <w:rFonts w:ascii="Arial" w:hAnsi="Arial" w:cs="Arial"/>
          </w:rPr>
          <w:t>https://www.metmuseum.org/perspectives/act-up-gran-fury</w:t>
        </w:r>
      </w:hyperlink>
      <w:r>
        <w:rPr>
          <w:rFonts w:ascii="Arial" w:hAnsi="Arial" w:cs="Arial"/>
        </w:rPr>
        <w:t xml:space="preserve"> (Accessed 23 April 2026) </w:t>
      </w:r>
    </w:p>
    <w:p w14:paraId="7FC320D0" w14:textId="77777777" w:rsidR="00CE6AB5" w:rsidRDefault="00CE6AB5" w:rsidP="00CE6AB5">
      <w:pPr>
        <w:pStyle w:val="NormalWeb"/>
        <w:rPr>
          <w:rFonts w:ascii="Arial" w:hAnsi="Arial" w:cs="Arial"/>
        </w:rPr>
      </w:pPr>
      <w:r>
        <w:rPr>
          <w:rFonts w:ascii="Arial" w:hAnsi="Arial" w:cs="Arial"/>
        </w:rPr>
        <w:t xml:space="preserve">Mancoff, D.N. (2021) </w:t>
      </w:r>
      <w:r w:rsidRPr="003B6111">
        <w:rPr>
          <w:rFonts w:ascii="Arial" w:hAnsi="Arial" w:cs="Arial"/>
          <w:i/>
          <w:iCs/>
        </w:rPr>
        <w:t xml:space="preserve">The Secrets of Art: Uncovering the Mysteries and Messages of Great Works of Art. </w:t>
      </w:r>
      <w:r w:rsidRPr="003B6111">
        <w:rPr>
          <w:rFonts w:ascii="Arial" w:hAnsi="Arial" w:cs="Arial"/>
          <w:i/>
          <w:iCs/>
        </w:rPr>
        <w:tab/>
      </w:r>
      <w:r>
        <w:rPr>
          <w:rFonts w:ascii="Arial" w:hAnsi="Arial" w:cs="Arial"/>
        </w:rPr>
        <w:t xml:space="preserve">Frances Lincoln. </w:t>
      </w:r>
    </w:p>
    <w:p w14:paraId="31372086" w14:textId="101138F7" w:rsidR="00CE6AB5" w:rsidRDefault="00CE6AB5" w:rsidP="00CE6AB5">
      <w:pPr>
        <w:pStyle w:val="NormalWeb"/>
        <w:rPr>
          <w:rFonts w:ascii="Arial" w:hAnsi="Arial" w:cs="Arial"/>
        </w:rPr>
      </w:pPr>
      <w:r>
        <w:rPr>
          <w:rFonts w:ascii="Arial" w:hAnsi="Arial" w:cs="Arial"/>
        </w:rPr>
        <w:t xml:space="preserve">Rizvi, W.R. (2025) Political Cinema. Bloomington, IN: </w:t>
      </w:r>
      <w:proofErr w:type="spellStart"/>
      <w:r>
        <w:rPr>
          <w:rFonts w:ascii="Arial" w:hAnsi="Arial" w:cs="Arial"/>
        </w:rPr>
        <w:t>AuthorHouse</w:t>
      </w:r>
      <w:proofErr w:type="spellEnd"/>
      <w:r>
        <w:rPr>
          <w:rFonts w:ascii="Arial" w:hAnsi="Arial" w:cs="Arial"/>
        </w:rPr>
        <w:t xml:space="preserve">. Available at </w:t>
      </w:r>
      <w:hyperlink r:id="rId12" w:history="1">
        <w:r w:rsidRPr="00564029">
          <w:rPr>
            <w:rStyle w:val="Hyperlink"/>
            <w:rFonts w:ascii="Arial" w:hAnsi="Arial" w:cs="Arial"/>
          </w:rPr>
          <w:t>https://www.google.co.uk/books/edition/Political_Cinema/9MJ9EQAAQBAJ?hl=en&amp;g</w:t>
        </w:r>
        <w:r w:rsidRPr="00564029">
          <w:rPr>
            <w:rStyle w:val="Hyperlink"/>
            <w:rFonts w:ascii="Arial" w:hAnsi="Arial" w:cs="Arial"/>
          </w:rPr>
          <w:lastRenderedPageBreak/>
          <w:t>bpv=1&amp;dq=Triumph+of+the+Will+(1935&amp;pg=PT19&amp;printsec=frontcover</w:t>
        </w:r>
      </w:hyperlink>
      <w:r>
        <w:rPr>
          <w:rFonts w:ascii="Arial" w:hAnsi="Arial" w:cs="Arial"/>
        </w:rPr>
        <w:t xml:space="preserve"> (Accessed 18 April 2026) </w:t>
      </w:r>
    </w:p>
    <w:p w14:paraId="16941A2E" w14:textId="77777777" w:rsidR="00CE6AB5" w:rsidRDefault="00CE6AB5" w:rsidP="006C690C">
      <w:pPr>
        <w:pStyle w:val="NormalWeb"/>
        <w:rPr>
          <w:rFonts w:ascii="Arial" w:hAnsi="Arial" w:cs="Arial"/>
        </w:rPr>
      </w:pPr>
      <w:r>
        <w:rPr>
          <w:rFonts w:ascii="Arial" w:hAnsi="Arial" w:cs="Arial"/>
        </w:rPr>
        <w:t xml:space="preserve">Rolls-Bentley, G. (2024) </w:t>
      </w:r>
      <w:r w:rsidRPr="0098525B">
        <w:rPr>
          <w:rFonts w:ascii="Arial" w:hAnsi="Arial" w:cs="Arial"/>
          <w:i/>
          <w:iCs/>
        </w:rPr>
        <w:t>Queen Art: From Canvas to Club, and the Spaces Between</w:t>
      </w:r>
      <w:r>
        <w:rPr>
          <w:rFonts w:ascii="Arial" w:hAnsi="Arial" w:cs="Arial"/>
        </w:rPr>
        <w:t xml:space="preserve">. Frances Lincoln. </w:t>
      </w:r>
    </w:p>
    <w:p w14:paraId="4E705DAE" w14:textId="66C10971" w:rsidR="00CE6AB5" w:rsidRPr="00CE6AB5" w:rsidRDefault="006C690C" w:rsidP="006C690C">
      <w:pPr>
        <w:pStyle w:val="NormalWeb"/>
        <w:rPr>
          <w:rFonts w:ascii="Arial" w:hAnsi="Arial" w:cs="Arial"/>
        </w:rPr>
      </w:pPr>
      <w:r w:rsidRPr="006C690C">
        <w:rPr>
          <w:rFonts w:ascii="Arial" w:hAnsi="Arial" w:cs="Arial"/>
        </w:rPr>
        <w:t xml:space="preserve">Tate (2026) </w:t>
      </w:r>
      <w:r w:rsidRPr="006C690C">
        <w:rPr>
          <w:rStyle w:val="Emphasis"/>
          <w:rFonts w:ascii="Arial" w:hAnsi="Arial" w:cs="Arial"/>
        </w:rPr>
        <w:t>Tate Modern</w:t>
      </w:r>
      <w:r w:rsidRPr="006C690C">
        <w:rPr>
          <w:rFonts w:ascii="Arial" w:hAnsi="Arial" w:cs="Arial"/>
        </w:rPr>
        <w:t>. Available at: https://www.tate.org.uk/visit/tate-modern (Accessed:</w:t>
      </w:r>
      <w:r>
        <w:rPr>
          <w:rFonts w:ascii="Arial" w:hAnsi="Arial" w:cs="Arial"/>
        </w:rPr>
        <w:t xml:space="preserve"> 23 April</w:t>
      </w:r>
      <w:r w:rsidRPr="006C690C">
        <w:rPr>
          <w:rFonts w:ascii="Arial" w:hAnsi="Arial" w:cs="Arial"/>
        </w:rPr>
        <w:t xml:space="preserve"> 2026).</w:t>
      </w:r>
    </w:p>
    <w:p w14:paraId="5E7307C9" w14:textId="6E72F849" w:rsidR="00C522B1" w:rsidRDefault="00C522B1" w:rsidP="006C690C">
      <w:pPr>
        <w:pStyle w:val="NormalWeb"/>
        <w:rPr>
          <w:rFonts w:ascii="Arial" w:hAnsi="Arial" w:cs="Arial"/>
        </w:rPr>
      </w:pPr>
      <w:r w:rsidRPr="00C522B1">
        <w:rPr>
          <w:rFonts w:ascii="Arial" w:hAnsi="Arial" w:cs="Arial"/>
        </w:rPr>
        <w:t xml:space="preserve">Wan, N. and Kilby, J. (2025) </w:t>
      </w:r>
      <w:r w:rsidRPr="00C522B1">
        <w:rPr>
          <w:rStyle w:val="Emphasis"/>
          <w:rFonts w:ascii="Arial" w:hAnsi="Arial" w:cs="Arial"/>
        </w:rPr>
        <w:t xml:space="preserve">‘Beat the Whites </w:t>
      </w:r>
      <w:r w:rsidR="00F56512" w:rsidRPr="00C522B1">
        <w:rPr>
          <w:rStyle w:val="Emphasis"/>
          <w:rFonts w:ascii="Arial" w:hAnsi="Arial" w:cs="Arial"/>
        </w:rPr>
        <w:t>with</w:t>
      </w:r>
      <w:r w:rsidRPr="00C522B1">
        <w:rPr>
          <w:rStyle w:val="Emphasis"/>
          <w:rFonts w:ascii="Arial" w:hAnsi="Arial" w:cs="Arial"/>
        </w:rPr>
        <w:t xml:space="preserve"> the Red Wedge’: the essence of world revolution</w:t>
      </w:r>
      <w:r w:rsidRPr="00C522B1">
        <w:rPr>
          <w:rFonts w:ascii="Arial" w:hAnsi="Arial" w:cs="Arial"/>
        </w:rPr>
        <w:t>. Available at: https://marxist.com/beat-the-whites-with-the-red-wedge-the-essence-of-world-revolution.htm (Accessed: 2 May 2026).</w:t>
      </w:r>
    </w:p>
    <w:p w14:paraId="7C301EAC" w14:textId="77777777" w:rsidR="0098525B" w:rsidRDefault="0098525B" w:rsidP="006C690C">
      <w:pPr>
        <w:pStyle w:val="NormalWeb"/>
        <w:rPr>
          <w:rFonts w:ascii="Arial" w:hAnsi="Arial" w:cs="Arial"/>
        </w:rPr>
      </w:pPr>
    </w:p>
    <w:p w14:paraId="62ABD2F5" w14:textId="4F798F4A" w:rsidR="00F56512" w:rsidRDefault="00F56512" w:rsidP="006C690C">
      <w:pPr>
        <w:pStyle w:val="NormalWeb"/>
        <w:rPr>
          <w:rFonts w:ascii="Arial" w:hAnsi="Arial" w:cs="Arial"/>
        </w:rPr>
      </w:pPr>
      <w:r>
        <w:rPr>
          <w:rFonts w:ascii="Arial" w:hAnsi="Arial" w:cs="Arial"/>
        </w:rPr>
        <w:t xml:space="preserve">Figures </w:t>
      </w:r>
    </w:p>
    <w:p w14:paraId="5A63636A" w14:textId="1000E681" w:rsidR="00F56512" w:rsidRDefault="00F56512" w:rsidP="006C690C">
      <w:pPr>
        <w:pStyle w:val="NormalWeb"/>
        <w:rPr>
          <w:rFonts w:ascii="Arial" w:hAnsi="Arial" w:cs="Arial"/>
        </w:rPr>
      </w:pPr>
      <w:r w:rsidRPr="00F56512">
        <w:rPr>
          <w:rFonts w:ascii="Arial" w:hAnsi="Arial" w:cs="Arial"/>
        </w:rPr>
        <w:t xml:space="preserve">Figure 1. </w:t>
      </w:r>
      <w:r w:rsidRPr="00F56512">
        <w:rPr>
          <w:rFonts w:ascii="Arial" w:hAnsi="Arial" w:cs="Arial"/>
          <w:i/>
          <w:iCs/>
        </w:rPr>
        <w:t xml:space="preserve">Beat the Whites with the Red Wedge, </w:t>
      </w:r>
      <w:r w:rsidRPr="00F56512">
        <w:rPr>
          <w:rFonts w:ascii="Arial" w:hAnsi="Arial" w:cs="Arial"/>
        </w:rPr>
        <w:t xml:space="preserve">(1919), El Lissitzky. </w:t>
      </w:r>
      <w:r>
        <w:rPr>
          <w:rFonts w:ascii="Arial" w:hAnsi="Arial" w:cs="Arial"/>
        </w:rPr>
        <w:t xml:space="preserve">Available at: </w:t>
      </w:r>
      <w:hyperlink r:id="rId13" w:history="1">
        <w:r w:rsidRPr="00564029">
          <w:rPr>
            <w:rStyle w:val="Hyperlink"/>
            <w:rFonts w:ascii="Arial" w:hAnsi="Arial" w:cs="Arial"/>
          </w:rPr>
          <w:t>https://www.moma.org/collection/works/189492</w:t>
        </w:r>
      </w:hyperlink>
      <w:r>
        <w:rPr>
          <w:rFonts w:ascii="Arial" w:hAnsi="Arial" w:cs="Arial"/>
        </w:rPr>
        <w:t xml:space="preserve"> (Accessed: 18 April 2026)</w:t>
      </w:r>
    </w:p>
    <w:p w14:paraId="0B86583F" w14:textId="692AF16F" w:rsidR="00F56512" w:rsidRDefault="00F56512" w:rsidP="006C690C">
      <w:pPr>
        <w:pStyle w:val="NormalWeb"/>
        <w:rPr>
          <w:rFonts w:ascii="Arial" w:hAnsi="Arial" w:cs="Arial"/>
        </w:rPr>
      </w:pPr>
      <w:r>
        <w:rPr>
          <w:rFonts w:ascii="Arial" w:hAnsi="Arial" w:cs="Arial"/>
        </w:rPr>
        <w:t xml:space="preserve">Figure 2. Poster for </w:t>
      </w:r>
      <w:r w:rsidRPr="00F56512">
        <w:rPr>
          <w:rFonts w:ascii="Arial" w:hAnsi="Arial" w:cs="Arial"/>
        </w:rPr>
        <w:t>Triumph of the Will (1935),</w:t>
      </w:r>
      <w:r>
        <w:rPr>
          <w:rFonts w:ascii="Arial" w:hAnsi="Arial" w:cs="Arial"/>
        </w:rPr>
        <w:t xml:space="preserve"> directed by Leni Riefenstahl. Available at: </w:t>
      </w:r>
      <w:hyperlink r:id="rId14" w:anchor=":~:text=Triumph%20of%20the%20Will%20(German,appears%20in%20the%20opening%20titles" w:history="1">
        <w:r w:rsidRPr="00564029">
          <w:rPr>
            <w:rStyle w:val="Hyperlink"/>
            <w:rFonts w:ascii="Arial" w:hAnsi="Arial" w:cs="Arial"/>
          </w:rPr>
          <w:t>https://en.wikipedia.org/wiki/Triumph_of_the_Will#:~:text=Triumph%20of%20the%20Will%20(German,appears%20in%20the%20opening%20titles</w:t>
        </w:r>
      </w:hyperlink>
      <w:r w:rsidRPr="00F56512">
        <w:rPr>
          <w:rFonts w:ascii="Arial" w:hAnsi="Arial" w:cs="Arial"/>
        </w:rPr>
        <w:t>.</w:t>
      </w:r>
      <w:r>
        <w:rPr>
          <w:rFonts w:ascii="Arial" w:hAnsi="Arial" w:cs="Arial"/>
        </w:rPr>
        <w:t xml:space="preserve"> (Accessed: 18 April 2026) </w:t>
      </w:r>
    </w:p>
    <w:p w14:paraId="20273F33" w14:textId="3B7C1E99" w:rsidR="00CE6AB5" w:rsidRDefault="0098525B" w:rsidP="00CE6AB5">
      <w:pPr>
        <w:pStyle w:val="NormalWeb"/>
        <w:rPr>
          <w:rFonts w:ascii="Arial" w:hAnsi="Arial" w:cs="Arial"/>
        </w:rPr>
      </w:pPr>
      <w:r>
        <w:rPr>
          <w:rFonts w:ascii="Arial" w:hAnsi="Arial" w:cs="Arial"/>
        </w:rPr>
        <w:t xml:space="preserve">Figure 3: </w:t>
      </w:r>
      <w:r w:rsidR="00CE6AB5">
        <w:rPr>
          <w:rFonts w:ascii="Arial" w:hAnsi="Arial" w:cs="Arial"/>
        </w:rPr>
        <w:t xml:space="preserve">Do Women Have </w:t>
      </w:r>
      <w:proofErr w:type="gramStart"/>
      <w:r w:rsidR="00CE6AB5">
        <w:rPr>
          <w:rFonts w:ascii="Arial" w:hAnsi="Arial" w:cs="Arial"/>
        </w:rPr>
        <w:t>To</w:t>
      </w:r>
      <w:proofErr w:type="gramEnd"/>
      <w:r w:rsidR="00CE6AB5">
        <w:rPr>
          <w:rFonts w:ascii="Arial" w:hAnsi="Arial" w:cs="Arial"/>
        </w:rPr>
        <w:t xml:space="preserve"> Be Naked </w:t>
      </w:r>
      <w:proofErr w:type="gramStart"/>
      <w:r w:rsidR="00CE6AB5">
        <w:rPr>
          <w:rFonts w:ascii="Arial" w:hAnsi="Arial" w:cs="Arial"/>
        </w:rPr>
        <w:t>To</w:t>
      </w:r>
      <w:proofErr w:type="gramEnd"/>
      <w:r w:rsidR="00CE6AB5">
        <w:rPr>
          <w:rFonts w:ascii="Arial" w:hAnsi="Arial" w:cs="Arial"/>
        </w:rPr>
        <w:t xml:space="preserve"> Get </w:t>
      </w:r>
      <w:proofErr w:type="gramStart"/>
      <w:r w:rsidR="00CE6AB5">
        <w:rPr>
          <w:rFonts w:ascii="Arial" w:hAnsi="Arial" w:cs="Arial"/>
        </w:rPr>
        <w:t>Into</w:t>
      </w:r>
      <w:proofErr w:type="gramEnd"/>
      <w:r w:rsidR="00CE6AB5">
        <w:rPr>
          <w:rFonts w:ascii="Arial" w:hAnsi="Arial" w:cs="Arial"/>
        </w:rPr>
        <w:t xml:space="preserve"> the Met. Museum? (1989), </w:t>
      </w:r>
      <w:proofErr w:type="spellStart"/>
      <w:r w:rsidR="00CE6AB5">
        <w:rPr>
          <w:rFonts w:ascii="Arial" w:hAnsi="Arial" w:cs="Arial"/>
        </w:rPr>
        <w:t>Guerrila</w:t>
      </w:r>
      <w:proofErr w:type="spellEnd"/>
      <w:r w:rsidR="00CE6AB5">
        <w:rPr>
          <w:rFonts w:ascii="Arial" w:hAnsi="Arial" w:cs="Arial"/>
        </w:rPr>
        <w:t xml:space="preserve"> Girls. Poster. Available at: </w:t>
      </w:r>
      <w:r w:rsidR="00CE6AB5">
        <w:rPr>
          <w:rFonts w:ascii="Arial" w:hAnsi="Arial" w:cs="Arial"/>
        </w:rPr>
        <w:t xml:space="preserve">Rolls-Bentley, G. (2024) </w:t>
      </w:r>
      <w:r w:rsidR="00CE6AB5" w:rsidRPr="0098525B">
        <w:rPr>
          <w:rFonts w:ascii="Arial" w:hAnsi="Arial" w:cs="Arial"/>
          <w:i/>
          <w:iCs/>
        </w:rPr>
        <w:t>Queen Art: From Canvas to Club, and the Spaces Between</w:t>
      </w:r>
      <w:r w:rsidR="00CE6AB5">
        <w:rPr>
          <w:rFonts w:ascii="Arial" w:hAnsi="Arial" w:cs="Arial"/>
        </w:rPr>
        <w:t xml:space="preserve">. Frances Lincoln. </w:t>
      </w:r>
      <w:r w:rsidR="00CE6AB5">
        <w:rPr>
          <w:rFonts w:ascii="Arial" w:hAnsi="Arial" w:cs="Arial"/>
        </w:rPr>
        <w:t>(Accessed 23 April 2026)</w:t>
      </w:r>
    </w:p>
    <w:p w14:paraId="338D9E43" w14:textId="1CB04E7D" w:rsidR="0098525B" w:rsidRDefault="0098525B" w:rsidP="006C690C">
      <w:pPr>
        <w:pStyle w:val="NormalWeb"/>
        <w:rPr>
          <w:rFonts w:ascii="Arial" w:hAnsi="Arial" w:cs="Arial"/>
        </w:rPr>
      </w:pPr>
    </w:p>
    <w:p w14:paraId="02C22BF8" w14:textId="62D816C3" w:rsidR="00C56F83" w:rsidRDefault="00C56F83" w:rsidP="006C690C">
      <w:pPr>
        <w:pStyle w:val="NormalWeb"/>
        <w:rPr>
          <w:rFonts w:ascii="Arial" w:hAnsi="Arial" w:cs="Arial"/>
        </w:rPr>
      </w:pPr>
      <w:r>
        <w:rPr>
          <w:rFonts w:ascii="Arial" w:hAnsi="Arial" w:cs="Arial"/>
        </w:rPr>
        <w:t xml:space="preserve">Figure 4: Kissing Doesn’t Kill: Greed and Indifference Do (1989), Gran Fury. Poster. Available at: </w:t>
      </w:r>
      <w:hyperlink r:id="rId15" w:history="1">
        <w:r w:rsidRPr="00564029">
          <w:rPr>
            <w:rStyle w:val="Hyperlink"/>
            <w:rFonts w:ascii="Arial" w:hAnsi="Arial" w:cs="Arial"/>
          </w:rPr>
          <w:t>https://creativetime.org/projects/kissing-doesnt-kill-greed-and-indifference-do/</w:t>
        </w:r>
      </w:hyperlink>
      <w:r>
        <w:rPr>
          <w:rFonts w:ascii="Arial" w:hAnsi="Arial" w:cs="Arial"/>
        </w:rPr>
        <w:t xml:space="preserve"> (Accessed 23 April</w:t>
      </w:r>
      <w:r w:rsidR="005266AD">
        <w:rPr>
          <w:rFonts w:ascii="Arial" w:hAnsi="Arial" w:cs="Arial"/>
        </w:rPr>
        <w:t xml:space="preserve"> 2026</w:t>
      </w:r>
      <w:r>
        <w:rPr>
          <w:rFonts w:ascii="Arial" w:hAnsi="Arial" w:cs="Arial"/>
        </w:rPr>
        <w:t>)</w:t>
      </w:r>
    </w:p>
    <w:p w14:paraId="39D075A1" w14:textId="6FAED649" w:rsidR="0098525B" w:rsidRDefault="0098525B" w:rsidP="006C690C">
      <w:pPr>
        <w:pStyle w:val="NormalWeb"/>
        <w:rPr>
          <w:rFonts w:ascii="Arial" w:hAnsi="Arial" w:cs="Arial"/>
        </w:rPr>
      </w:pPr>
      <w:r>
        <w:rPr>
          <w:rFonts w:ascii="Arial" w:hAnsi="Arial" w:cs="Arial"/>
        </w:rPr>
        <w:t xml:space="preserve">Figure 5: </w:t>
      </w:r>
      <w:r w:rsidR="003B6111">
        <w:rPr>
          <w:rFonts w:ascii="Arial" w:hAnsi="Arial" w:cs="Arial"/>
        </w:rPr>
        <w:t xml:space="preserve">Girl with Balloon (2002), Banksy. Mural. Available at: </w:t>
      </w:r>
      <w:r w:rsidR="003B6111" w:rsidRPr="003B6111">
        <w:rPr>
          <w:rFonts w:ascii="Arial" w:hAnsi="Arial" w:cs="Arial"/>
        </w:rPr>
        <w:t>https://banksyexplained.com/issue/girl-with-balloon-graffiti-legend/</w:t>
      </w:r>
      <w:r w:rsidR="003B6111">
        <w:rPr>
          <w:rFonts w:ascii="Arial" w:hAnsi="Arial" w:cs="Arial"/>
        </w:rPr>
        <w:t xml:space="preserve"> (Accessed </w:t>
      </w:r>
      <w:proofErr w:type="gramStart"/>
      <w:r w:rsidR="003B6111">
        <w:rPr>
          <w:rFonts w:ascii="Arial" w:hAnsi="Arial" w:cs="Arial"/>
        </w:rPr>
        <w:t>at</w:t>
      </w:r>
      <w:proofErr w:type="gramEnd"/>
      <w:r w:rsidR="003B6111">
        <w:rPr>
          <w:rFonts w:ascii="Arial" w:hAnsi="Arial" w:cs="Arial"/>
        </w:rPr>
        <w:t xml:space="preserve"> 26 April) </w:t>
      </w:r>
    </w:p>
    <w:p w14:paraId="410A6B29" w14:textId="77777777" w:rsidR="00C56F83" w:rsidRPr="00F56512" w:rsidRDefault="00C56F83" w:rsidP="006C690C">
      <w:pPr>
        <w:pStyle w:val="NormalWeb"/>
        <w:rPr>
          <w:rFonts w:ascii="Arial" w:hAnsi="Arial" w:cs="Arial"/>
        </w:rPr>
      </w:pPr>
    </w:p>
    <w:p w14:paraId="0A48AD19" w14:textId="77777777" w:rsidR="006C690C" w:rsidRPr="006C690C" w:rsidRDefault="006C690C" w:rsidP="006C690C">
      <w:pPr>
        <w:pStyle w:val="NormalWeb"/>
        <w:rPr>
          <w:rFonts w:ascii="Arial" w:hAnsi="Arial" w:cs="Arial"/>
        </w:rPr>
      </w:pPr>
    </w:p>
    <w:p w14:paraId="1947546F" w14:textId="77777777" w:rsidR="006C690C" w:rsidRDefault="006C690C" w:rsidP="00460635"/>
    <w:sectPr w:rsidR="006C690C" w:rsidSect="00763269">
      <w:pgSz w:w="11906" w:h="16838"/>
      <w:pgMar w:top="1418" w:right="1418" w:bottom="1418"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663011"/>
    <w:multiLevelType w:val="hybridMultilevel"/>
    <w:tmpl w:val="DD20B4F6"/>
    <w:lvl w:ilvl="0" w:tplc="43569F4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65246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19A"/>
    <w:rsid w:val="00000C1C"/>
    <w:rsid w:val="000458A3"/>
    <w:rsid w:val="00073FF6"/>
    <w:rsid w:val="0007470A"/>
    <w:rsid w:val="00097A4B"/>
    <w:rsid w:val="000E5874"/>
    <w:rsid w:val="000F338E"/>
    <w:rsid w:val="0018684A"/>
    <w:rsid w:val="00192423"/>
    <w:rsid w:val="00205497"/>
    <w:rsid w:val="00236602"/>
    <w:rsid w:val="002A4E46"/>
    <w:rsid w:val="002B2725"/>
    <w:rsid w:val="002C2ABF"/>
    <w:rsid w:val="003519E5"/>
    <w:rsid w:val="003B6111"/>
    <w:rsid w:val="00405E1B"/>
    <w:rsid w:val="00444F96"/>
    <w:rsid w:val="00460635"/>
    <w:rsid w:val="00487745"/>
    <w:rsid w:val="004A7B45"/>
    <w:rsid w:val="004B67BC"/>
    <w:rsid w:val="004D580D"/>
    <w:rsid w:val="004E2E55"/>
    <w:rsid w:val="005266AD"/>
    <w:rsid w:val="00656C08"/>
    <w:rsid w:val="006C690C"/>
    <w:rsid w:val="00716A37"/>
    <w:rsid w:val="0075119A"/>
    <w:rsid w:val="00755F9B"/>
    <w:rsid w:val="00763269"/>
    <w:rsid w:val="00786B20"/>
    <w:rsid w:val="00830C4B"/>
    <w:rsid w:val="008604EB"/>
    <w:rsid w:val="00930591"/>
    <w:rsid w:val="009560A1"/>
    <w:rsid w:val="0098525B"/>
    <w:rsid w:val="009F660F"/>
    <w:rsid w:val="00A371E7"/>
    <w:rsid w:val="00A76ADD"/>
    <w:rsid w:val="00A84EE1"/>
    <w:rsid w:val="00A94B68"/>
    <w:rsid w:val="00AB7023"/>
    <w:rsid w:val="00B30D12"/>
    <w:rsid w:val="00B473A6"/>
    <w:rsid w:val="00BC3674"/>
    <w:rsid w:val="00C522B1"/>
    <w:rsid w:val="00C56F83"/>
    <w:rsid w:val="00C903A2"/>
    <w:rsid w:val="00CE6AB5"/>
    <w:rsid w:val="00DA7310"/>
    <w:rsid w:val="00DF128B"/>
    <w:rsid w:val="00EB4AE1"/>
    <w:rsid w:val="00EE3132"/>
    <w:rsid w:val="00F424BD"/>
    <w:rsid w:val="00F56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95F96"/>
  <w15:chartTrackingRefBased/>
  <w15:docId w15:val="{9D860DD0-216B-7E47-802C-AE9F06A31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269"/>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5119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75119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5119A"/>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5119A"/>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75119A"/>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75119A"/>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75119A"/>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75119A"/>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75119A"/>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1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11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11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1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1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1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1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1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19A"/>
    <w:rPr>
      <w:rFonts w:eastAsiaTheme="majorEastAsia" w:cstheme="majorBidi"/>
      <w:color w:val="272727" w:themeColor="text1" w:themeTint="D8"/>
    </w:rPr>
  </w:style>
  <w:style w:type="paragraph" w:styleId="Title">
    <w:name w:val="Title"/>
    <w:basedOn w:val="Normal"/>
    <w:next w:val="Normal"/>
    <w:link w:val="TitleChar"/>
    <w:uiPriority w:val="10"/>
    <w:qFormat/>
    <w:rsid w:val="0075119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7511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19A"/>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7511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19A"/>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75119A"/>
    <w:rPr>
      <w:i/>
      <w:iCs/>
      <w:color w:val="404040" w:themeColor="text1" w:themeTint="BF"/>
    </w:rPr>
  </w:style>
  <w:style w:type="paragraph" w:styleId="ListParagraph">
    <w:name w:val="List Paragraph"/>
    <w:basedOn w:val="Normal"/>
    <w:uiPriority w:val="34"/>
    <w:qFormat/>
    <w:rsid w:val="0075119A"/>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75119A"/>
    <w:rPr>
      <w:i/>
      <w:iCs/>
      <w:color w:val="0F4761" w:themeColor="accent1" w:themeShade="BF"/>
    </w:rPr>
  </w:style>
  <w:style w:type="paragraph" w:styleId="IntenseQuote">
    <w:name w:val="Intense Quote"/>
    <w:basedOn w:val="Normal"/>
    <w:next w:val="Normal"/>
    <w:link w:val="IntenseQuoteChar"/>
    <w:uiPriority w:val="30"/>
    <w:qFormat/>
    <w:rsid w:val="0075119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75119A"/>
    <w:rPr>
      <w:i/>
      <w:iCs/>
      <w:color w:val="0F4761" w:themeColor="accent1" w:themeShade="BF"/>
    </w:rPr>
  </w:style>
  <w:style w:type="character" w:styleId="IntenseReference">
    <w:name w:val="Intense Reference"/>
    <w:basedOn w:val="DefaultParagraphFont"/>
    <w:uiPriority w:val="32"/>
    <w:qFormat/>
    <w:rsid w:val="0075119A"/>
    <w:rPr>
      <w:b/>
      <w:bCs/>
      <w:smallCaps/>
      <w:color w:val="0F4761" w:themeColor="accent1" w:themeShade="BF"/>
      <w:spacing w:val="5"/>
    </w:rPr>
  </w:style>
  <w:style w:type="character" w:styleId="Emphasis">
    <w:name w:val="Emphasis"/>
    <w:basedOn w:val="DefaultParagraphFont"/>
    <w:uiPriority w:val="20"/>
    <w:qFormat/>
    <w:rsid w:val="0075119A"/>
    <w:rPr>
      <w:i/>
      <w:iCs/>
    </w:rPr>
  </w:style>
  <w:style w:type="character" w:styleId="Strong">
    <w:name w:val="Strong"/>
    <w:basedOn w:val="DefaultParagraphFont"/>
    <w:uiPriority w:val="22"/>
    <w:qFormat/>
    <w:rsid w:val="00A371E7"/>
    <w:rPr>
      <w:b/>
      <w:bCs/>
    </w:rPr>
  </w:style>
  <w:style w:type="character" w:customStyle="1" w:styleId="whitespace-normal">
    <w:name w:val="whitespace-normal"/>
    <w:basedOn w:val="DefaultParagraphFont"/>
    <w:rsid w:val="00A371E7"/>
  </w:style>
  <w:style w:type="paragraph" w:styleId="NormalWeb">
    <w:name w:val="Normal (Web)"/>
    <w:basedOn w:val="Normal"/>
    <w:uiPriority w:val="99"/>
    <w:unhideWhenUsed/>
    <w:rsid w:val="00A94B68"/>
    <w:pPr>
      <w:spacing w:before="100" w:beforeAutospacing="1" w:after="100" w:afterAutospacing="1"/>
    </w:pPr>
  </w:style>
  <w:style w:type="character" w:styleId="Hyperlink">
    <w:name w:val="Hyperlink"/>
    <w:basedOn w:val="DefaultParagraphFont"/>
    <w:uiPriority w:val="99"/>
    <w:unhideWhenUsed/>
    <w:rsid w:val="00F56512"/>
    <w:rPr>
      <w:color w:val="467886" w:themeColor="hyperlink"/>
      <w:u w:val="single"/>
    </w:rPr>
  </w:style>
  <w:style w:type="character" w:styleId="UnresolvedMention">
    <w:name w:val="Unresolved Mention"/>
    <w:basedOn w:val="DefaultParagraphFont"/>
    <w:uiPriority w:val="99"/>
    <w:semiHidden/>
    <w:unhideWhenUsed/>
    <w:rsid w:val="00F565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moma.org/collection/works/189492"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google.co.uk/books/edition/Political_Cinema/9MJ9EQAAQBAJ?hl=en&amp;gbpv=1&amp;dq=Triumph+of+the+Will+(1935&amp;pg=PT19&amp;printsec=frontcove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metmuseum.org/perspectives/act-up-gran-fury" TargetMode="External"/><Relationship Id="rId5" Type="http://schemas.openxmlformats.org/officeDocument/2006/relationships/image" Target="media/image1.jpeg"/><Relationship Id="rId15" Type="http://schemas.openxmlformats.org/officeDocument/2006/relationships/hyperlink" Target="https://creativetime.org/projects/kissing-doesnt-kill-greed-and-indifference-do/" TargetMode="External"/><Relationship Id="rId10" Type="http://schemas.openxmlformats.org/officeDocument/2006/relationships/hyperlink" Target="https://war-documentary.info/triumph-of-the-will/"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en.wikipedia.org/wiki/Triumph_of_the_Wi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539</TotalTime>
  <Pages>11</Pages>
  <Words>2391</Words>
  <Characters>13629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Demi-Lee Farral Myles (2218765)</dc:creator>
  <cp:keywords/>
  <dc:description/>
  <cp:lastModifiedBy>Demi-Lee Farral Myles (2218765)</cp:lastModifiedBy>
  <cp:revision>2</cp:revision>
  <dcterms:created xsi:type="dcterms:W3CDTF">2026-04-27T00:09:00Z</dcterms:created>
  <dcterms:modified xsi:type="dcterms:W3CDTF">2026-05-12T10:53:00Z</dcterms:modified>
</cp:coreProperties>
</file>