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772E29C1">
      <w:pPr>
        <w:pStyle w:val="style0"/>
        <w:jc w:val="center"/>
        <w:rPr>
          <w:rFonts w:ascii="Times New Roman" w:cs="Times New Roman" w:hAnsi="Times New Roman"/>
          <w:b/>
          <w:bCs/>
          <w:i/>
          <w:iCs/>
          <w:sz w:val="56"/>
          <w:szCs w:val="56"/>
        </w:rPr>
      </w:pPr>
    </w:p>
    <w:p w14:paraId="61858229">
      <w:pPr>
        <w:pStyle w:val="style0"/>
        <w:jc w:val="center"/>
        <w:rPr>
          <w:rFonts w:ascii="Times New Roman" w:cs="Times New Roman" w:hAnsi="Times New Roman"/>
          <w:b/>
          <w:bCs/>
          <w:i/>
          <w:iCs/>
          <w:sz w:val="56"/>
          <w:szCs w:val="56"/>
        </w:rPr>
      </w:pPr>
      <w:r>
        <w:rPr>
          <w:rFonts w:ascii="Times New Roman" w:cs="Times New Roman" w:hAnsi="Times New Roman"/>
          <w:b/>
          <w:bCs/>
          <w:i/>
          <w:iCs/>
          <w:sz w:val="56"/>
          <w:szCs w:val="56"/>
        </w:rPr>
        <w:t>Master of Business Administration</w:t>
      </w:r>
    </w:p>
    <w:p w14:paraId="59DF3AAE">
      <w:pPr>
        <w:pStyle w:val="style0"/>
        <w:jc w:val="center"/>
        <w:rPr>
          <w:rFonts w:ascii="Times New Roman" w:cs="Times New Roman" w:hAnsi="Times New Roman"/>
          <w:b/>
          <w:bCs/>
          <w:i/>
          <w:iCs/>
          <w:sz w:val="56"/>
          <w:szCs w:val="56"/>
        </w:rPr>
      </w:pPr>
      <w:r>
        <w:rPr>
          <w:rFonts w:ascii="Times New Roman" w:cs="Times New Roman" w:hAnsi="Times New Roman"/>
          <w:b/>
          <w:bCs/>
          <w:i/>
          <w:iCs/>
          <w:sz w:val="56"/>
          <w:szCs w:val="56"/>
        </w:rPr>
        <w:t>International Marketing: Principles and Practices</w:t>
      </w:r>
    </w:p>
    <w:p w14:paraId="1CDE728F">
      <w:pPr>
        <w:pStyle w:val="style0"/>
        <w:jc w:val="center"/>
        <w:rPr>
          <w:rFonts w:ascii="Times New Roman" w:cs="Times New Roman" w:hAnsi="Times New Roman"/>
          <w:b/>
          <w:bCs/>
          <w:i/>
          <w:iCs/>
          <w:sz w:val="56"/>
          <w:szCs w:val="56"/>
        </w:rPr>
      </w:pPr>
      <w:r>
        <w:rPr>
          <w:rFonts w:ascii="Times New Roman" w:cs="Times New Roman" w:hAnsi="Times New Roman"/>
          <w:b/>
          <w:bCs/>
          <w:i/>
          <w:iCs/>
          <w:sz w:val="56"/>
          <w:szCs w:val="56"/>
        </w:rPr>
        <w:t>LCMB7026</w:t>
      </w:r>
    </w:p>
    <w:p w14:paraId="97FC1DA1">
      <w:pPr>
        <w:pStyle w:val="style0"/>
        <w:jc w:val="center"/>
        <w:rPr>
          <w:rFonts w:ascii="Times New Roman" w:cs="Times New Roman" w:hAnsi="Times New Roman"/>
          <w:b/>
          <w:bCs/>
          <w:i/>
          <w:iCs/>
          <w:sz w:val="56"/>
          <w:szCs w:val="56"/>
        </w:rPr>
      </w:pPr>
    </w:p>
    <w:p w14:paraId="DDF98BA7">
      <w:pPr>
        <w:pStyle w:val="style0"/>
        <w:jc w:val="center"/>
        <w:rPr>
          <w:rFonts w:ascii="Times New Roman" w:cs="Times New Roman" w:hAnsi="Times New Roman"/>
          <w:b/>
          <w:bCs/>
          <w:i/>
          <w:iCs/>
          <w:sz w:val="56"/>
          <w:szCs w:val="56"/>
        </w:rPr>
      </w:pPr>
    </w:p>
    <w:p w14:paraId="A1069066">
      <w:pPr>
        <w:pStyle w:val="style0"/>
        <w:jc w:val="center"/>
        <w:rPr>
          <w:rFonts w:ascii="Times New Roman" w:cs="Times New Roman" w:hAnsi="Times New Roman"/>
          <w:b/>
          <w:bCs/>
          <w:i/>
          <w:iCs/>
          <w:sz w:val="56"/>
          <w:szCs w:val="56"/>
        </w:rPr>
      </w:pPr>
    </w:p>
    <w:p w14:paraId="1BF9AAAF">
      <w:pPr>
        <w:pStyle w:val="style0"/>
        <w:jc w:val="center"/>
        <w:rPr>
          <w:rFonts w:ascii="Times New Roman" w:cs="Times New Roman" w:hAnsi="Times New Roman"/>
          <w:b/>
          <w:bCs/>
          <w:i/>
          <w:iCs/>
          <w:sz w:val="56"/>
          <w:szCs w:val="56"/>
        </w:rPr>
      </w:pPr>
    </w:p>
    <w:p w14:paraId="934D424B">
      <w:pPr>
        <w:pStyle w:val="style0"/>
        <w:jc w:val="center"/>
        <w:rPr>
          <w:rFonts w:ascii="Times New Roman" w:cs="Times New Roman" w:hAnsi="Times New Roman"/>
          <w:b/>
          <w:bCs/>
          <w:i/>
          <w:iCs/>
          <w:sz w:val="56"/>
          <w:szCs w:val="56"/>
          <w:lang w:val="en-US"/>
        </w:rPr>
      </w:pPr>
      <w:r>
        <w:rPr>
          <w:rFonts w:ascii="Times New Roman" w:cs="Times New Roman" w:hAnsi="Times New Roman"/>
          <w:b/>
          <w:bCs/>
          <w:i/>
          <w:iCs/>
          <w:sz w:val="56"/>
          <w:szCs w:val="56"/>
          <w:lang w:val="en-US"/>
        </w:rPr>
        <w:t xml:space="preserve">Name: Darshil Rakesh Vaddoriya </w:t>
      </w:r>
    </w:p>
    <w:p w14:paraId="3FB349AF">
      <w:pPr>
        <w:pStyle w:val="style0"/>
        <w:jc w:val="center"/>
        <w:rPr>
          <w:rFonts w:ascii="Times New Roman" w:cs="Times New Roman" w:hAnsi="Times New Roman"/>
          <w:b/>
          <w:bCs/>
          <w:i/>
          <w:iCs/>
          <w:sz w:val="56"/>
          <w:szCs w:val="56"/>
          <w:lang w:val="en-US"/>
        </w:rPr>
      </w:pPr>
      <w:r>
        <w:rPr>
          <w:rFonts w:ascii="Times New Roman" w:cs="Times New Roman" w:hAnsi="Times New Roman"/>
          <w:b/>
          <w:bCs/>
          <w:i/>
          <w:iCs/>
          <w:sz w:val="56"/>
          <w:szCs w:val="56"/>
          <w:lang w:val="en-US"/>
        </w:rPr>
        <w:t>Student ID: 2525507</w:t>
      </w:r>
    </w:p>
    <w:p w14:paraId="34840168">
      <w:pPr>
        <w:pStyle w:val="style0"/>
        <w:jc w:val="center"/>
        <w:rPr>
          <w:rFonts w:ascii="Times New Roman" w:cs="Times New Roman" w:hAnsi="Times New Roman"/>
          <w:b/>
          <w:bCs/>
          <w:i/>
          <w:iCs/>
          <w:sz w:val="56"/>
          <w:szCs w:val="56"/>
          <w:lang w:val="en-US"/>
        </w:rPr>
      </w:pPr>
      <w:r>
        <w:rPr>
          <w:rFonts w:ascii="Times New Roman" w:cs="Times New Roman" w:hAnsi="Times New Roman"/>
          <w:b/>
          <w:bCs/>
          <w:i/>
          <w:iCs/>
          <w:sz w:val="56"/>
          <w:szCs w:val="56"/>
          <w:lang w:val="en-US"/>
        </w:rPr>
        <w:t>Lecturer: Tushara Balendran</w:t>
      </w:r>
    </w:p>
    <w:p w14:paraId="7A5764F9">
      <w:pPr>
        <w:pStyle w:val="style0"/>
        <w:jc w:val="center"/>
        <w:rPr>
          <w:rFonts w:ascii="Times New Roman" w:cs="Times New Roman" w:hAnsi="Times New Roman"/>
          <w:b/>
          <w:bCs/>
          <w:i/>
          <w:iCs/>
          <w:sz w:val="56"/>
          <w:szCs w:val="56"/>
        </w:rPr>
      </w:pPr>
      <w:r>
        <w:rPr>
          <w:rFonts w:ascii="Times New Roman" w:cs="Times New Roman" w:hAnsi="Times New Roman"/>
          <w:b/>
          <w:bCs/>
          <w:i/>
          <w:iCs/>
          <w:sz w:val="56"/>
          <w:szCs w:val="56"/>
          <w:lang w:val="en-US"/>
        </w:rPr>
        <w:t>Date of submission: 13th August,2026</w:t>
      </w:r>
      <w:r>
        <w:rPr>
          <w:rFonts w:ascii="Times New Roman" w:cs="Times New Roman" w:hAnsi="Times New Roman"/>
          <w:b/>
          <w:bCs/>
          <w:i/>
          <w:iCs/>
          <w:sz w:val="56"/>
          <w:szCs w:val="56"/>
        </w:rPr>
        <w:br w:type="page"/>
      </w:r>
    </w:p>
    <w:p w14:paraId="45053822">
      <w:pPr>
        <w:pStyle w:val="style266"/>
        <w:rPr/>
      </w:pPr>
      <w:r>
        <w:t>Contents</w:t>
      </w:r>
    </w:p>
    <w:p w14:paraId="1C84561F">
      <w:pPr>
        <w:pStyle w:val="style19"/>
        <w:tabs>
          <w:tab w:val="right" w:leader="dot" w:pos="9016"/>
        </w:tabs>
        <w:rPr>
          <w:rFonts w:eastAsia="宋体"/>
          <w:noProof/>
          <w:sz w:val="24"/>
          <w:szCs w:val="24"/>
          <w:lang w:eastAsia="en-IN"/>
        </w:rPr>
      </w:pPr>
      <w:r>
        <w:rPr/>
        <w:fldChar w:fldCharType="begin"/>
      </w:r>
      <w:r>
        <w:instrText xml:space="preserve"> TOC \o "1-3" \h \z \u </w:instrText>
      </w:r>
      <w:r>
        <w:rPr/>
        <w:fldChar w:fldCharType="separate"/>
      </w:r>
      <w:r>
        <w:rPr/>
        <w:fldChar w:fldCharType="begin"/>
      </w:r>
      <w:r>
        <w:instrText xml:space="preserve"> HYPERLINK \l "_Toc236681530" </w:instrText>
      </w:r>
      <w:r>
        <w:rPr/>
        <w:fldChar w:fldCharType="separate"/>
      </w:r>
      <w:r>
        <w:rPr>
          <w:rStyle w:val="style85"/>
          <w:rFonts w:ascii="Times New Roman" w:cs="Times New Roman" w:hAnsi="Times New Roman"/>
          <w:b/>
          <w:bCs/>
          <w:noProof/>
        </w:rPr>
        <w:t>INTRODUCTION</w:t>
      </w:r>
      <w:r>
        <w:rPr>
          <w:noProof/>
          <w:webHidden/>
        </w:rPr>
        <w:tab/>
      </w:r>
      <w:r>
        <w:rPr>
          <w:noProof/>
          <w:webHidden/>
        </w:rPr>
        <w:fldChar w:fldCharType="begin"/>
      </w:r>
      <w:r>
        <w:rPr>
          <w:noProof/>
          <w:webHidden/>
        </w:rPr>
        <w:instrText xml:space="preserve"> PAGEREF _Toc236681530 \h </w:instrText>
      </w:r>
      <w:r>
        <w:rPr>
          <w:noProof/>
          <w:webHidden/>
        </w:rPr>
        <w:fldChar w:fldCharType="separate"/>
      </w:r>
      <w:r>
        <w:rPr>
          <w:noProof/>
          <w:webHidden/>
        </w:rPr>
        <w:t>3</w:t>
      </w:r>
      <w:r>
        <w:rPr>
          <w:noProof/>
          <w:webHidden/>
        </w:rPr>
        <w:fldChar w:fldCharType="end"/>
      </w:r>
      <w:r>
        <w:rPr/>
        <w:fldChar w:fldCharType="end"/>
      </w:r>
    </w:p>
    <w:p w14:paraId="1BE89491">
      <w:pPr>
        <w:pStyle w:val="style19"/>
        <w:tabs>
          <w:tab w:val="right" w:leader="dot" w:pos="9016"/>
        </w:tabs>
        <w:rPr>
          <w:rFonts w:eastAsia="宋体"/>
          <w:noProof/>
          <w:sz w:val="24"/>
          <w:szCs w:val="24"/>
          <w:lang w:eastAsia="en-IN"/>
        </w:rPr>
      </w:pPr>
      <w:r>
        <w:rPr/>
        <w:fldChar w:fldCharType="begin"/>
      </w:r>
      <w:r>
        <w:instrText xml:space="preserve"> HYPERLINK \l "_Toc236681531" </w:instrText>
      </w:r>
      <w:r>
        <w:rPr/>
        <w:fldChar w:fldCharType="separate"/>
      </w:r>
      <w:r>
        <w:rPr>
          <w:rStyle w:val="style85"/>
          <w:rFonts w:ascii="Times New Roman" w:cs="Times New Roman" w:hAnsi="Times New Roman"/>
          <w:b/>
          <w:bCs/>
          <w:noProof/>
        </w:rPr>
        <w:t>A COMPARATIVE ANALYSIS OF THE UK AND INDIAN MARKETS: PESTEL AND HOFSTEDE</w:t>
      </w:r>
      <w:r>
        <w:rPr>
          <w:noProof/>
          <w:webHidden/>
        </w:rPr>
        <w:tab/>
      </w:r>
      <w:r>
        <w:rPr>
          <w:noProof/>
          <w:webHidden/>
        </w:rPr>
        <w:fldChar w:fldCharType="begin"/>
      </w:r>
      <w:r>
        <w:rPr>
          <w:noProof/>
          <w:webHidden/>
        </w:rPr>
        <w:instrText xml:space="preserve"> PAGEREF _Toc236681531 \h </w:instrText>
      </w:r>
      <w:r>
        <w:rPr>
          <w:noProof/>
          <w:webHidden/>
        </w:rPr>
        <w:fldChar w:fldCharType="separate"/>
      </w:r>
      <w:r>
        <w:rPr>
          <w:noProof/>
          <w:webHidden/>
        </w:rPr>
        <w:t>4</w:t>
      </w:r>
      <w:r>
        <w:rPr>
          <w:noProof/>
          <w:webHidden/>
        </w:rPr>
        <w:fldChar w:fldCharType="end"/>
      </w:r>
      <w:r>
        <w:rPr/>
        <w:fldChar w:fldCharType="end"/>
      </w:r>
    </w:p>
    <w:p w14:paraId="44984615">
      <w:pPr>
        <w:pStyle w:val="style20"/>
        <w:tabs>
          <w:tab w:val="right" w:leader="dot" w:pos="9016"/>
        </w:tabs>
        <w:rPr>
          <w:rFonts w:eastAsia="宋体"/>
          <w:noProof/>
          <w:sz w:val="24"/>
          <w:szCs w:val="24"/>
          <w:lang w:eastAsia="en-IN"/>
        </w:rPr>
      </w:pPr>
      <w:r>
        <w:rPr/>
        <w:fldChar w:fldCharType="begin"/>
      </w:r>
      <w:r>
        <w:instrText xml:space="preserve"> HYPERLINK \l "_Toc236681532" </w:instrText>
      </w:r>
      <w:r>
        <w:rPr/>
        <w:fldChar w:fldCharType="separate"/>
      </w:r>
      <w:r>
        <w:rPr>
          <w:rStyle w:val="style85"/>
          <w:rFonts w:ascii="Times New Roman" w:cs="Times New Roman" w:hAnsi="Times New Roman"/>
          <w:b/>
          <w:bCs/>
          <w:i/>
          <w:iCs/>
          <w:noProof/>
        </w:rPr>
        <w:t>PESTEL: Divergent Macro-Environments</w:t>
      </w:r>
      <w:r>
        <w:rPr>
          <w:noProof/>
          <w:webHidden/>
        </w:rPr>
        <w:tab/>
      </w:r>
      <w:r>
        <w:rPr>
          <w:noProof/>
          <w:webHidden/>
        </w:rPr>
        <w:fldChar w:fldCharType="begin"/>
      </w:r>
      <w:r>
        <w:rPr>
          <w:noProof/>
          <w:webHidden/>
        </w:rPr>
        <w:instrText xml:space="preserve"> PAGEREF _Toc236681532 \h </w:instrText>
      </w:r>
      <w:r>
        <w:rPr>
          <w:noProof/>
          <w:webHidden/>
        </w:rPr>
        <w:fldChar w:fldCharType="separate"/>
      </w:r>
      <w:r>
        <w:rPr>
          <w:noProof/>
          <w:webHidden/>
        </w:rPr>
        <w:t>4</w:t>
      </w:r>
      <w:r>
        <w:rPr>
          <w:noProof/>
          <w:webHidden/>
        </w:rPr>
        <w:fldChar w:fldCharType="end"/>
      </w:r>
      <w:r>
        <w:rPr/>
        <w:fldChar w:fldCharType="end"/>
      </w:r>
    </w:p>
    <w:p w14:paraId="20C57171">
      <w:pPr>
        <w:pStyle w:val="style20"/>
        <w:tabs>
          <w:tab w:val="right" w:leader="dot" w:pos="9016"/>
        </w:tabs>
        <w:rPr>
          <w:rFonts w:eastAsia="宋体"/>
          <w:noProof/>
          <w:sz w:val="24"/>
          <w:szCs w:val="24"/>
          <w:lang w:eastAsia="en-IN"/>
        </w:rPr>
      </w:pPr>
      <w:r>
        <w:rPr/>
        <w:fldChar w:fldCharType="begin"/>
      </w:r>
      <w:r>
        <w:instrText xml:space="preserve"> HYPERLINK \l "_Toc236681533" </w:instrText>
      </w:r>
      <w:r>
        <w:rPr/>
        <w:fldChar w:fldCharType="separate"/>
      </w:r>
      <w:r>
        <w:rPr>
          <w:rStyle w:val="style85"/>
          <w:rFonts w:ascii="Times New Roman" w:cs="Times New Roman" w:hAnsi="Times New Roman"/>
          <w:b/>
          <w:bCs/>
          <w:i/>
          <w:iCs/>
          <w:noProof/>
        </w:rPr>
        <w:t>Hofstede: Cultural Divergence</w:t>
      </w:r>
      <w:r>
        <w:rPr>
          <w:noProof/>
          <w:webHidden/>
        </w:rPr>
        <w:tab/>
      </w:r>
      <w:r>
        <w:rPr>
          <w:noProof/>
          <w:webHidden/>
        </w:rPr>
        <w:fldChar w:fldCharType="begin"/>
      </w:r>
      <w:r>
        <w:rPr>
          <w:noProof/>
          <w:webHidden/>
        </w:rPr>
        <w:instrText xml:space="preserve"> PAGEREF _Toc236681533 \h </w:instrText>
      </w:r>
      <w:r>
        <w:rPr>
          <w:noProof/>
          <w:webHidden/>
        </w:rPr>
        <w:fldChar w:fldCharType="separate"/>
      </w:r>
      <w:r>
        <w:rPr>
          <w:noProof/>
          <w:webHidden/>
        </w:rPr>
        <w:t>5</w:t>
      </w:r>
      <w:r>
        <w:rPr>
          <w:noProof/>
          <w:webHidden/>
        </w:rPr>
        <w:fldChar w:fldCharType="end"/>
      </w:r>
      <w:r>
        <w:rPr/>
        <w:fldChar w:fldCharType="end"/>
      </w:r>
    </w:p>
    <w:p w14:paraId="519DBF69">
      <w:pPr>
        <w:pStyle w:val="style19"/>
        <w:tabs>
          <w:tab w:val="right" w:leader="dot" w:pos="9016"/>
        </w:tabs>
        <w:rPr>
          <w:rFonts w:eastAsia="宋体"/>
          <w:noProof/>
          <w:sz w:val="24"/>
          <w:szCs w:val="24"/>
          <w:lang w:eastAsia="en-IN"/>
        </w:rPr>
      </w:pPr>
      <w:r>
        <w:rPr/>
        <w:fldChar w:fldCharType="begin"/>
      </w:r>
      <w:r>
        <w:instrText xml:space="preserve"> HYPERLINK \l "_Toc236681534" </w:instrText>
      </w:r>
      <w:r>
        <w:rPr/>
        <w:fldChar w:fldCharType="separate"/>
      </w:r>
      <w:r>
        <w:rPr>
          <w:rStyle w:val="style85"/>
          <w:rFonts w:ascii="Times New Roman" w:cs="Times New Roman" w:hAnsi="Times New Roman"/>
          <w:b/>
          <w:bCs/>
          <w:noProof/>
        </w:rPr>
        <w:t>A COMPARATIVE ANALYSIS OF STP AND THE INTERNATIONAL MARKETING MIX: CADBURY IN THE UK AND INDIA</w:t>
      </w:r>
      <w:r>
        <w:rPr>
          <w:noProof/>
          <w:webHidden/>
        </w:rPr>
        <w:tab/>
      </w:r>
      <w:r>
        <w:rPr>
          <w:noProof/>
          <w:webHidden/>
        </w:rPr>
        <w:fldChar w:fldCharType="begin"/>
      </w:r>
      <w:r>
        <w:rPr>
          <w:noProof/>
          <w:webHidden/>
        </w:rPr>
        <w:instrText xml:space="preserve"> PAGEREF _Toc236681534 \h </w:instrText>
      </w:r>
      <w:r>
        <w:rPr>
          <w:noProof/>
          <w:webHidden/>
        </w:rPr>
        <w:fldChar w:fldCharType="separate"/>
      </w:r>
      <w:r>
        <w:rPr>
          <w:noProof/>
          <w:webHidden/>
        </w:rPr>
        <w:t>6</w:t>
      </w:r>
      <w:r>
        <w:rPr>
          <w:noProof/>
          <w:webHidden/>
        </w:rPr>
        <w:fldChar w:fldCharType="end"/>
      </w:r>
      <w:r>
        <w:rPr/>
        <w:fldChar w:fldCharType="end"/>
      </w:r>
    </w:p>
    <w:p w14:paraId="2BC5044D">
      <w:pPr>
        <w:pStyle w:val="style20"/>
        <w:tabs>
          <w:tab w:val="right" w:leader="dot" w:pos="9016"/>
        </w:tabs>
        <w:rPr>
          <w:rFonts w:eastAsia="宋体"/>
          <w:noProof/>
          <w:sz w:val="24"/>
          <w:szCs w:val="24"/>
          <w:lang w:eastAsia="en-IN"/>
        </w:rPr>
      </w:pPr>
      <w:r>
        <w:rPr/>
        <w:fldChar w:fldCharType="begin"/>
      </w:r>
      <w:r>
        <w:instrText xml:space="preserve"> HYPERLINK \l "_Toc236681535" </w:instrText>
      </w:r>
      <w:r>
        <w:rPr/>
        <w:fldChar w:fldCharType="separate"/>
      </w:r>
      <w:r>
        <w:rPr>
          <w:rStyle w:val="style85"/>
          <w:rFonts w:ascii="Times New Roman" w:cs="Times New Roman" w:hAnsi="Times New Roman"/>
          <w:b/>
          <w:bCs/>
          <w:i/>
          <w:iCs/>
          <w:noProof/>
        </w:rPr>
        <w:t>Segmentation, Targeting and Positioning</w:t>
      </w:r>
      <w:r>
        <w:rPr>
          <w:noProof/>
          <w:webHidden/>
        </w:rPr>
        <w:tab/>
      </w:r>
      <w:r>
        <w:rPr>
          <w:noProof/>
          <w:webHidden/>
        </w:rPr>
        <w:fldChar w:fldCharType="begin"/>
      </w:r>
      <w:r>
        <w:rPr>
          <w:noProof/>
          <w:webHidden/>
        </w:rPr>
        <w:instrText xml:space="preserve"> PAGEREF _Toc236681535 \h </w:instrText>
      </w:r>
      <w:r>
        <w:rPr>
          <w:noProof/>
          <w:webHidden/>
        </w:rPr>
        <w:fldChar w:fldCharType="separate"/>
      </w:r>
      <w:r>
        <w:rPr>
          <w:noProof/>
          <w:webHidden/>
        </w:rPr>
        <w:t>6</w:t>
      </w:r>
      <w:r>
        <w:rPr>
          <w:noProof/>
          <w:webHidden/>
        </w:rPr>
        <w:fldChar w:fldCharType="end"/>
      </w:r>
      <w:r>
        <w:rPr/>
        <w:fldChar w:fldCharType="end"/>
      </w:r>
    </w:p>
    <w:p w14:paraId="4042B9B1">
      <w:pPr>
        <w:pStyle w:val="style20"/>
        <w:tabs>
          <w:tab w:val="right" w:leader="dot" w:pos="9016"/>
        </w:tabs>
        <w:rPr>
          <w:rFonts w:eastAsia="宋体"/>
          <w:noProof/>
          <w:sz w:val="24"/>
          <w:szCs w:val="24"/>
          <w:lang w:eastAsia="en-IN"/>
        </w:rPr>
      </w:pPr>
      <w:r>
        <w:rPr/>
        <w:fldChar w:fldCharType="begin"/>
      </w:r>
      <w:r>
        <w:instrText xml:space="preserve"> HYPERLINK \l "_Toc236681536" </w:instrText>
      </w:r>
      <w:r>
        <w:rPr/>
        <w:fldChar w:fldCharType="separate"/>
      </w:r>
      <w:r>
        <w:rPr>
          <w:rStyle w:val="style85"/>
          <w:rFonts w:ascii="Times New Roman" w:cs="Times New Roman" w:hAnsi="Times New Roman"/>
          <w:b/>
          <w:bCs/>
          <w:i/>
          <w:iCs/>
          <w:noProof/>
        </w:rPr>
        <w:t>The International Marketing Mix (7Ps)</w:t>
      </w:r>
      <w:r>
        <w:rPr>
          <w:noProof/>
          <w:webHidden/>
        </w:rPr>
        <w:tab/>
      </w:r>
      <w:r>
        <w:rPr>
          <w:noProof/>
          <w:webHidden/>
        </w:rPr>
        <w:fldChar w:fldCharType="begin"/>
      </w:r>
      <w:r>
        <w:rPr>
          <w:noProof/>
          <w:webHidden/>
        </w:rPr>
        <w:instrText xml:space="preserve"> PAGEREF _Toc236681536 \h </w:instrText>
      </w:r>
      <w:r>
        <w:rPr>
          <w:noProof/>
          <w:webHidden/>
        </w:rPr>
        <w:fldChar w:fldCharType="separate"/>
      </w:r>
      <w:r>
        <w:rPr>
          <w:noProof/>
          <w:webHidden/>
        </w:rPr>
        <w:t>7</w:t>
      </w:r>
      <w:r>
        <w:rPr>
          <w:noProof/>
          <w:webHidden/>
        </w:rPr>
        <w:fldChar w:fldCharType="end"/>
      </w:r>
      <w:r>
        <w:rPr/>
        <w:fldChar w:fldCharType="end"/>
      </w:r>
    </w:p>
    <w:p w14:paraId="5ADA8C39">
      <w:pPr>
        <w:pStyle w:val="style20"/>
        <w:tabs>
          <w:tab w:val="right" w:leader="dot" w:pos="9016"/>
        </w:tabs>
        <w:rPr>
          <w:rFonts w:eastAsia="宋体"/>
          <w:noProof/>
          <w:sz w:val="24"/>
          <w:szCs w:val="24"/>
          <w:lang w:eastAsia="en-IN"/>
        </w:rPr>
      </w:pPr>
      <w:r>
        <w:rPr/>
        <w:fldChar w:fldCharType="begin"/>
      </w:r>
      <w:r>
        <w:instrText xml:space="preserve"> HYPERLINK \l "_Toc236681537" </w:instrText>
      </w:r>
      <w:r>
        <w:rPr/>
        <w:fldChar w:fldCharType="separate"/>
      </w:r>
      <w:r>
        <w:rPr>
          <w:rStyle w:val="style85"/>
          <w:rFonts w:ascii="Times New Roman" w:cs="Times New Roman" w:hAnsi="Times New Roman"/>
          <w:b/>
          <w:bCs/>
          <w:i/>
          <w:iCs/>
          <w:noProof/>
        </w:rPr>
        <w:t>Critical Comparison</w:t>
      </w:r>
      <w:r>
        <w:rPr>
          <w:noProof/>
          <w:webHidden/>
        </w:rPr>
        <w:tab/>
      </w:r>
      <w:r>
        <w:rPr>
          <w:noProof/>
          <w:webHidden/>
        </w:rPr>
        <w:fldChar w:fldCharType="begin"/>
      </w:r>
      <w:r>
        <w:rPr>
          <w:noProof/>
          <w:webHidden/>
        </w:rPr>
        <w:instrText xml:space="preserve"> PAGEREF _Toc236681537 \h </w:instrText>
      </w:r>
      <w:r>
        <w:rPr>
          <w:noProof/>
          <w:webHidden/>
        </w:rPr>
        <w:fldChar w:fldCharType="separate"/>
      </w:r>
      <w:r>
        <w:rPr>
          <w:noProof/>
          <w:webHidden/>
        </w:rPr>
        <w:t>8</w:t>
      </w:r>
      <w:r>
        <w:rPr>
          <w:noProof/>
          <w:webHidden/>
        </w:rPr>
        <w:fldChar w:fldCharType="end"/>
      </w:r>
      <w:r>
        <w:rPr/>
        <w:fldChar w:fldCharType="end"/>
      </w:r>
    </w:p>
    <w:p w14:paraId="0D424725">
      <w:pPr>
        <w:pStyle w:val="style19"/>
        <w:tabs>
          <w:tab w:val="right" w:leader="dot" w:pos="9016"/>
        </w:tabs>
        <w:rPr>
          <w:rFonts w:eastAsia="宋体"/>
          <w:noProof/>
          <w:sz w:val="24"/>
          <w:szCs w:val="24"/>
          <w:lang w:eastAsia="en-IN"/>
        </w:rPr>
      </w:pPr>
      <w:r>
        <w:rPr/>
        <w:fldChar w:fldCharType="begin"/>
      </w:r>
      <w:r>
        <w:instrText xml:space="preserve"> HYPERLINK \l "_Toc236681538" </w:instrText>
      </w:r>
      <w:r>
        <w:rPr/>
        <w:fldChar w:fldCharType="separate"/>
      </w:r>
      <w:r>
        <w:rPr>
          <w:rStyle w:val="style85"/>
          <w:rFonts w:ascii="Times New Roman" w:cs="Times New Roman" w:hAnsi="Times New Roman"/>
          <w:b/>
          <w:bCs/>
          <w:noProof/>
        </w:rPr>
        <w:t>MARKET ENTRY STRATEGY ANALYSIS: CADBURY'S ENTRY INTO INDIA</w:t>
      </w:r>
      <w:r>
        <w:rPr>
          <w:noProof/>
          <w:webHidden/>
        </w:rPr>
        <w:tab/>
      </w:r>
      <w:r>
        <w:rPr>
          <w:noProof/>
          <w:webHidden/>
        </w:rPr>
        <w:fldChar w:fldCharType="begin"/>
      </w:r>
      <w:r>
        <w:rPr>
          <w:noProof/>
          <w:webHidden/>
        </w:rPr>
        <w:instrText xml:space="preserve"> PAGEREF _Toc236681538 \h </w:instrText>
      </w:r>
      <w:r>
        <w:rPr>
          <w:noProof/>
          <w:webHidden/>
        </w:rPr>
        <w:fldChar w:fldCharType="separate"/>
      </w:r>
      <w:r>
        <w:rPr>
          <w:noProof/>
          <w:webHidden/>
        </w:rPr>
        <w:t>9</w:t>
      </w:r>
      <w:r>
        <w:rPr>
          <w:noProof/>
          <w:webHidden/>
        </w:rPr>
        <w:fldChar w:fldCharType="end"/>
      </w:r>
      <w:r>
        <w:rPr/>
        <w:fldChar w:fldCharType="end"/>
      </w:r>
    </w:p>
    <w:p w14:paraId="42B00127">
      <w:pPr>
        <w:pStyle w:val="style20"/>
        <w:tabs>
          <w:tab w:val="right" w:leader="dot" w:pos="9016"/>
        </w:tabs>
        <w:rPr>
          <w:rFonts w:eastAsia="宋体"/>
          <w:noProof/>
          <w:sz w:val="24"/>
          <w:szCs w:val="24"/>
          <w:lang w:eastAsia="en-IN"/>
        </w:rPr>
      </w:pPr>
      <w:r>
        <w:rPr/>
        <w:fldChar w:fldCharType="begin"/>
      </w:r>
      <w:r>
        <w:instrText xml:space="preserve"> HYPERLINK \l "_Toc236681539" </w:instrText>
      </w:r>
      <w:r>
        <w:rPr/>
        <w:fldChar w:fldCharType="separate"/>
      </w:r>
      <w:r>
        <w:rPr>
          <w:rStyle w:val="style85"/>
          <w:rFonts w:ascii="Times New Roman" w:cs="Times New Roman" w:hAnsi="Times New Roman"/>
          <w:b/>
          <w:bCs/>
          <w:i/>
          <w:iCs/>
          <w:noProof/>
        </w:rPr>
        <w:t>Overview of Entry Mode</w:t>
      </w:r>
      <w:r>
        <w:rPr>
          <w:noProof/>
          <w:webHidden/>
        </w:rPr>
        <w:tab/>
      </w:r>
      <w:r>
        <w:rPr>
          <w:noProof/>
          <w:webHidden/>
        </w:rPr>
        <w:fldChar w:fldCharType="begin"/>
      </w:r>
      <w:r>
        <w:rPr>
          <w:noProof/>
          <w:webHidden/>
        </w:rPr>
        <w:instrText xml:space="preserve"> PAGEREF _Toc236681539 \h </w:instrText>
      </w:r>
      <w:r>
        <w:rPr>
          <w:noProof/>
          <w:webHidden/>
        </w:rPr>
        <w:fldChar w:fldCharType="separate"/>
      </w:r>
      <w:r>
        <w:rPr>
          <w:noProof/>
          <w:webHidden/>
        </w:rPr>
        <w:t>9</w:t>
      </w:r>
      <w:r>
        <w:rPr>
          <w:noProof/>
          <w:webHidden/>
        </w:rPr>
        <w:fldChar w:fldCharType="end"/>
      </w:r>
      <w:r>
        <w:rPr/>
        <w:fldChar w:fldCharType="end"/>
      </w:r>
    </w:p>
    <w:p w14:paraId="7528FD2C">
      <w:pPr>
        <w:pStyle w:val="style20"/>
        <w:tabs>
          <w:tab w:val="right" w:leader="dot" w:pos="9016"/>
        </w:tabs>
        <w:rPr>
          <w:rFonts w:eastAsia="宋体"/>
          <w:noProof/>
          <w:sz w:val="24"/>
          <w:szCs w:val="24"/>
          <w:lang w:eastAsia="en-IN"/>
        </w:rPr>
      </w:pPr>
      <w:r>
        <w:rPr/>
        <w:fldChar w:fldCharType="begin"/>
      </w:r>
      <w:r>
        <w:instrText xml:space="preserve"> HYPERLINK \l "_Toc236681540" </w:instrText>
      </w:r>
      <w:r>
        <w:rPr/>
        <w:fldChar w:fldCharType="separate"/>
      </w:r>
      <w:r>
        <w:rPr>
          <w:rStyle w:val="style85"/>
          <w:rFonts w:ascii="Times New Roman" w:cs="Times New Roman" w:hAnsi="Times New Roman"/>
          <w:b/>
          <w:bCs/>
          <w:i/>
          <w:iCs/>
          <w:noProof/>
        </w:rPr>
        <w:t>Theoretical Framework: The OLI (Eclectic) Paradigm</w:t>
      </w:r>
      <w:r>
        <w:rPr>
          <w:noProof/>
          <w:webHidden/>
        </w:rPr>
        <w:tab/>
      </w:r>
      <w:r>
        <w:rPr>
          <w:noProof/>
          <w:webHidden/>
        </w:rPr>
        <w:fldChar w:fldCharType="begin"/>
      </w:r>
      <w:r>
        <w:rPr>
          <w:noProof/>
          <w:webHidden/>
        </w:rPr>
        <w:instrText xml:space="preserve"> PAGEREF _Toc236681540 \h </w:instrText>
      </w:r>
      <w:r>
        <w:rPr>
          <w:noProof/>
          <w:webHidden/>
        </w:rPr>
        <w:fldChar w:fldCharType="separate"/>
      </w:r>
      <w:r>
        <w:rPr>
          <w:noProof/>
          <w:webHidden/>
        </w:rPr>
        <w:t>9</w:t>
      </w:r>
      <w:r>
        <w:rPr>
          <w:noProof/>
          <w:webHidden/>
        </w:rPr>
        <w:fldChar w:fldCharType="end"/>
      </w:r>
      <w:r>
        <w:rPr/>
        <w:fldChar w:fldCharType="end"/>
      </w:r>
    </w:p>
    <w:p w14:paraId="4085702E">
      <w:pPr>
        <w:pStyle w:val="style20"/>
        <w:tabs>
          <w:tab w:val="right" w:leader="dot" w:pos="9016"/>
        </w:tabs>
        <w:rPr>
          <w:rFonts w:eastAsia="宋体"/>
          <w:noProof/>
          <w:sz w:val="24"/>
          <w:szCs w:val="24"/>
          <w:lang w:eastAsia="en-IN"/>
        </w:rPr>
      </w:pPr>
      <w:r>
        <w:rPr/>
        <w:fldChar w:fldCharType="begin"/>
      </w:r>
      <w:r>
        <w:instrText xml:space="preserve"> HYPERLINK \l "_Toc236681541" </w:instrText>
      </w:r>
      <w:r>
        <w:rPr/>
        <w:fldChar w:fldCharType="separate"/>
      </w:r>
      <w:r>
        <w:rPr>
          <w:rStyle w:val="style85"/>
          <w:rFonts w:ascii="Times New Roman" w:cs="Times New Roman" w:hAnsi="Times New Roman"/>
          <w:b/>
          <w:bCs/>
          <w:i/>
          <w:iCs/>
          <w:noProof/>
        </w:rPr>
        <w:t>Advantages of the Chosen Entry Mode</w:t>
      </w:r>
      <w:r>
        <w:rPr>
          <w:noProof/>
          <w:webHidden/>
        </w:rPr>
        <w:tab/>
      </w:r>
      <w:r>
        <w:rPr>
          <w:noProof/>
          <w:webHidden/>
        </w:rPr>
        <w:fldChar w:fldCharType="begin"/>
      </w:r>
      <w:r>
        <w:rPr>
          <w:noProof/>
          <w:webHidden/>
        </w:rPr>
        <w:instrText xml:space="preserve"> PAGEREF _Toc236681541 \h </w:instrText>
      </w:r>
      <w:r>
        <w:rPr>
          <w:noProof/>
          <w:webHidden/>
        </w:rPr>
        <w:fldChar w:fldCharType="separate"/>
      </w:r>
      <w:r>
        <w:rPr>
          <w:noProof/>
          <w:webHidden/>
        </w:rPr>
        <w:t>9</w:t>
      </w:r>
      <w:r>
        <w:rPr>
          <w:noProof/>
          <w:webHidden/>
        </w:rPr>
        <w:fldChar w:fldCharType="end"/>
      </w:r>
      <w:r>
        <w:rPr/>
        <w:fldChar w:fldCharType="end"/>
      </w:r>
    </w:p>
    <w:p w14:paraId="5A2D5D77">
      <w:pPr>
        <w:pStyle w:val="style20"/>
        <w:tabs>
          <w:tab w:val="right" w:leader="dot" w:pos="9016"/>
        </w:tabs>
        <w:rPr>
          <w:rFonts w:eastAsia="宋体"/>
          <w:noProof/>
          <w:sz w:val="24"/>
          <w:szCs w:val="24"/>
          <w:lang w:eastAsia="en-IN"/>
        </w:rPr>
      </w:pPr>
      <w:r>
        <w:rPr/>
        <w:fldChar w:fldCharType="begin"/>
      </w:r>
      <w:r>
        <w:instrText xml:space="preserve"> HYPERLINK \l "_Toc236681542" </w:instrText>
      </w:r>
      <w:r>
        <w:rPr/>
        <w:fldChar w:fldCharType="separate"/>
      </w:r>
      <w:r>
        <w:rPr>
          <w:rStyle w:val="style85"/>
          <w:rFonts w:ascii="Times New Roman" w:cs="Times New Roman" w:hAnsi="Times New Roman"/>
          <w:b/>
          <w:bCs/>
          <w:i/>
          <w:iCs/>
          <w:noProof/>
        </w:rPr>
        <w:t>Disadvantages of the Chosen Entry Mode</w:t>
      </w:r>
      <w:r>
        <w:rPr>
          <w:noProof/>
          <w:webHidden/>
        </w:rPr>
        <w:tab/>
      </w:r>
      <w:r>
        <w:rPr>
          <w:noProof/>
          <w:webHidden/>
        </w:rPr>
        <w:fldChar w:fldCharType="begin"/>
      </w:r>
      <w:r>
        <w:rPr>
          <w:noProof/>
          <w:webHidden/>
        </w:rPr>
        <w:instrText xml:space="preserve"> PAGEREF _Toc236681542 \h </w:instrText>
      </w:r>
      <w:r>
        <w:rPr>
          <w:noProof/>
          <w:webHidden/>
        </w:rPr>
        <w:fldChar w:fldCharType="separate"/>
      </w:r>
      <w:r>
        <w:rPr>
          <w:noProof/>
          <w:webHidden/>
        </w:rPr>
        <w:t>10</w:t>
      </w:r>
      <w:r>
        <w:rPr>
          <w:noProof/>
          <w:webHidden/>
        </w:rPr>
        <w:fldChar w:fldCharType="end"/>
      </w:r>
      <w:r>
        <w:rPr/>
        <w:fldChar w:fldCharType="end"/>
      </w:r>
    </w:p>
    <w:p w14:paraId="19678662">
      <w:pPr>
        <w:pStyle w:val="style20"/>
        <w:tabs>
          <w:tab w:val="right" w:leader="dot" w:pos="9016"/>
        </w:tabs>
        <w:rPr>
          <w:rFonts w:eastAsia="宋体"/>
          <w:noProof/>
          <w:sz w:val="24"/>
          <w:szCs w:val="24"/>
          <w:lang w:eastAsia="en-IN"/>
        </w:rPr>
      </w:pPr>
      <w:r>
        <w:rPr/>
        <w:fldChar w:fldCharType="begin"/>
      </w:r>
      <w:r>
        <w:instrText xml:space="preserve"> HYPERLINK \l "_Toc236681543" </w:instrText>
      </w:r>
      <w:r>
        <w:rPr/>
        <w:fldChar w:fldCharType="separate"/>
      </w:r>
      <w:r>
        <w:rPr>
          <w:rStyle w:val="style85"/>
          <w:rFonts w:ascii="Times New Roman" w:cs="Times New Roman" w:hAnsi="Times New Roman"/>
          <w:b/>
          <w:bCs/>
          <w:i/>
          <w:iCs/>
          <w:noProof/>
        </w:rPr>
        <w:t>Critical Evaluation</w:t>
      </w:r>
      <w:r>
        <w:rPr>
          <w:noProof/>
          <w:webHidden/>
        </w:rPr>
        <w:tab/>
      </w:r>
      <w:r>
        <w:rPr>
          <w:noProof/>
          <w:webHidden/>
        </w:rPr>
        <w:fldChar w:fldCharType="begin"/>
      </w:r>
      <w:r>
        <w:rPr>
          <w:noProof/>
          <w:webHidden/>
        </w:rPr>
        <w:instrText xml:space="preserve"> PAGEREF _Toc236681543 \h </w:instrText>
      </w:r>
      <w:r>
        <w:rPr>
          <w:noProof/>
          <w:webHidden/>
        </w:rPr>
        <w:fldChar w:fldCharType="separate"/>
      </w:r>
      <w:r>
        <w:rPr>
          <w:noProof/>
          <w:webHidden/>
        </w:rPr>
        <w:t>10</w:t>
      </w:r>
      <w:r>
        <w:rPr>
          <w:noProof/>
          <w:webHidden/>
        </w:rPr>
        <w:fldChar w:fldCharType="end"/>
      </w:r>
      <w:r>
        <w:rPr/>
        <w:fldChar w:fldCharType="end"/>
      </w:r>
    </w:p>
    <w:p w14:paraId="339B2383">
      <w:pPr>
        <w:pStyle w:val="style19"/>
        <w:tabs>
          <w:tab w:val="right" w:leader="dot" w:pos="9016"/>
        </w:tabs>
        <w:rPr>
          <w:rFonts w:eastAsia="宋体"/>
          <w:noProof/>
          <w:sz w:val="24"/>
          <w:szCs w:val="24"/>
          <w:lang w:eastAsia="en-IN"/>
        </w:rPr>
      </w:pPr>
      <w:r>
        <w:rPr/>
        <w:fldChar w:fldCharType="begin"/>
      </w:r>
      <w:r>
        <w:instrText xml:space="preserve"> HYPERLINK \l "_Toc236681544" </w:instrText>
      </w:r>
      <w:r>
        <w:rPr/>
        <w:fldChar w:fldCharType="separate"/>
      </w:r>
      <w:r>
        <w:rPr>
          <w:rStyle w:val="style85"/>
          <w:rFonts w:ascii="Times New Roman" w:cs="Times New Roman" w:hAnsi="Times New Roman"/>
          <w:b/>
          <w:bCs/>
          <w:noProof/>
        </w:rPr>
        <w:t>AN EVALUATION OF ETHICAL ISSUES IN CADBURY'S MARKETING MIX: THE UNITED KINGDOM</w:t>
      </w:r>
      <w:r>
        <w:rPr>
          <w:noProof/>
          <w:webHidden/>
        </w:rPr>
        <w:tab/>
      </w:r>
      <w:r>
        <w:rPr>
          <w:noProof/>
          <w:webHidden/>
        </w:rPr>
        <w:fldChar w:fldCharType="begin"/>
      </w:r>
      <w:r>
        <w:rPr>
          <w:noProof/>
          <w:webHidden/>
        </w:rPr>
        <w:instrText xml:space="preserve"> PAGEREF _Toc236681544 \h </w:instrText>
      </w:r>
      <w:r>
        <w:rPr>
          <w:noProof/>
          <w:webHidden/>
        </w:rPr>
        <w:fldChar w:fldCharType="separate"/>
      </w:r>
      <w:r>
        <w:rPr>
          <w:noProof/>
          <w:webHidden/>
        </w:rPr>
        <w:t>11</w:t>
      </w:r>
      <w:r>
        <w:rPr>
          <w:noProof/>
          <w:webHidden/>
        </w:rPr>
        <w:fldChar w:fldCharType="end"/>
      </w:r>
      <w:r>
        <w:rPr/>
        <w:fldChar w:fldCharType="end"/>
      </w:r>
    </w:p>
    <w:p w14:paraId="61AE1E1F">
      <w:pPr>
        <w:pStyle w:val="style19"/>
        <w:tabs>
          <w:tab w:val="right" w:leader="dot" w:pos="9016"/>
        </w:tabs>
        <w:rPr>
          <w:rFonts w:eastAsia="宋体"/>
          <w:noProof/>
          <w:sz w:val="24"/>
          <w:szCs w:val="24"/>
          <w:lang w:eastAsia="en-IN"/>
        </w:rPr>
      </w:pPr>
      <w:r>
        <w:rPr/>
        <w:fldChar w:fldCharType="begin"/>
      </w:r>
      <w:r>
        <w:instrText xml:space="preserve"> HYPERLINK \l "_Toc236681545" </w:instrText>
      </w:r>
      <w:r>
        <w:rPr/>
        <w:fldChar w:fldCharType="separate"/>
      </w:r>
      <w:r>
        <w:rPr>
          <w:rStyle w:val="style85"/>
          <w:rFonts w:ascii="Times New Roman" w:cs="Times New Roman" w:hAnsi="Times New Roman"/>
          <w:b/>
          <w:bCs/>
          <w:noProof/>
        </w:rPr>
        <w:t>RECOMMENDATIONS FOR CADBURY'S INTERNATIONAL MARKETING STRATEGY</w:t>
      </w:r>
      <w:r>
        <w:rPr>
          <w:noProof/>
          <w:webHidden/>
        </w:rPr>
        <w:tab/>
      </w:r>
      <w:r>
        <w:rPr>
          <w:noProof/>
          <w:webHidden/>
        </w:rPr>
        <w:fldChar w:fldCharType="begin"/>
      </w:r>
      <w:r>
        <w:rPr>
          <w:noProof/>
          <w:webHidden/>
        </w:rPr>
        <w:instrText xml:space="preserve"> PAGEREF _Toc236681545 \h </w:instrText>
      </w:r>
      <w:r>
        <w:rPr>
          <w:noProof/>
          <w:webHidden/>
        </w:rPr>
        <w:fldChar w:fldCharType="separate"/>
      </w:r>
      <w:r>
        <w:rPr>
          <w:noProof/>
          <w:webHidden/>
        </w:rPr>
        <w:t>12</w:t>
      </w:r>
      <w:r>
        <w:rPr>
          <w:noProof/>
          <w:webHidden/>
        </w:rPr>
        <w:fldChar w:fldCharType="end"/>
      </w:r>
      <w:r>
        <w:rPr/>
        <w:fldChar w:fldCharType="end"/>
      </w:r>
    </w:p>
    <w:p w14:paraId="6FC67AAD">
      <w:pPr>
        <w:pStyle w:val="style19"/>
        <w:tabs>
          <w:tab w:val="right" w:leader="dot" w:pos="9016"/>
        </w:tabs>
        <w:rPr>
          <w:rFonts w:eastAsia="宋体"/>
          <w:noProof/>
          <w:sz w:val="24"/>
          <w:szCs w:val="24"/>
          <w:lang w:eastAsia="en-IN"/>
        </w:rPr>
      </w:pPr>
      <w:r>
        <w:rPr/>
        <w:fldChar w:fldCharType="begin"/>
      </w:r>
      <w:r>
        <w:instrText xml:space="preserve"> HYPERLINK \l "_Toc236681546" </w:instrText>
      </w:r>
      <w:r>
        <w:rPr/>
        <w:fldChar w:fldCharType="separate"/>
      </w:r>
      <w:r>
        <w:rPr>
          <w:rStyle w:val="style85"/>
          <w:rFonts w:ascii="Times New Roman" w:cs="Times New Roman" w:hAnsi="Times New Roman"/>
          <w:b/>
          <w:bCs/>
          <w:noProof/>
        </w:rPr>
        <w:t>REFERENCES</w:t>
      </w:r>
      <w:r>
        <w:rPr>
          <w:noProof/>
          <w:webHidden/>
        </w:rPr>
        <w:tab/>
      </w:r>
      <w:r>
        <w:rPr>
          <w:noProof/>
          <w:webHidden/>
        </w:rPr>
        <w:fldChar w:fldCharType="begin"/>
      </w:r>
      <w:r>
        <w:rPr>
          <w:noProof/>
          <w:webHidden/>
        </w:rPr>
        <w:instrText xml:space="preserve"> PAGEREF _Toc236681546 \h </w:instrText>
      </w:r>
      <w:r>
        <w:rPr>
          <w:noProof/>
          <w:webHidden/>
        </w:rPr>
        <w:fldChar w:fldCharType="separate"/>
      </w:r>
      <w:r>
        <w:rPr>
          <w:noProof/>
          <w:webHidden/>
        </w:rPr>
        <w:t>15</w:t>
      </w:r>
      <w:r>
        <w:rPr>
          <w:noProof/>
          <w:webHidden/>
        </w:rPr>
        <w:fldChar w:fldCharType="end"/>
      </w:r>
      <w:r>
        <w:rPr/>
        <w:fldChar w:fldCharType="end"/>
      </w:r>
    </w:p>
    <w:p w14:paraId="2C5D42DF">
      <w:pPr>
        <w:pStyle w:val="style19"/>
        <w:tabs>
          <w:tab w:val="right" w:leader="dot" w:pos="9016"/>
        </w:tabs>
        <w:rPr>
          <w:rFonts w:eastAsia="宋体"/>
          <w:noProof/>
          <w:sz w:val="24"/>
          <w:szCs w:val="24"/>
          <w:lang w:eastAsia="en-IN"/>
        </w:rPr>
      </w:pPr>
      <w:r>
        <w:rPr/>
        <w:fldChar w:fldCharType="begin"/>
      </w:r>
      <w:r>
        <w:instrText xml:space="preserve"> HYPERLINK \l "_Toc236681547" </w:instrText>
      </w:r>
      <w:r>
        <w:rPr/>
        <w:fldChar w:fldCharType="separate"/>
      </w:r>
      <w:r>
        <w:rPr>
          <w:rStyle w:val="style85"/>
          <w:rFonts w:ascii="Times New Roman" w:cs="Times New Roman" w:hAnsi="Times New Roman"/>
          <w:b/>
          <w:bCs/>
          <w:noProof/>
        </w:rPr>
        <w:t>SECTION 2: REFLECTION</w:t>
      </w:r>
      <w:r>
        <w:rPr>
          <w:noProof/>
          <w:webHidden/>
        </w:rPr>
        <w:tab/>
      </w:r>
      <w:r>
        <w:rPr>
          <w:noProof/>
          <w:webHidden/>
        </w:rPr>
        <w:fldChar w:fldCharType="begin"/>
      </w:r>
      <w:r>
        <w:rPr>
          <w:noProof/>
          <w:webHidden/>
        </w:rPr>
        <w:instrText xml:space="preserve"> PAGEREF _Toc236681547 \h </w:instrText>
      </w:r>
      <w:r>
        <w:rPr>
          <w:noProof/>
          <w:webHidden/>
        </w:rPr>
        <w:fldChar w:fldCharType="separate"/>
      </w:r>
      <w:r>
        <w:rPr>
          <w:noProof/>
          <w:webHidden/>
        </w:rPr>
        <w:t>19</w:t>
      </w:r>
      <w:r>
        <w:rPr>
          <w:noProof/>
          <w:webHidden/>
        </w:rPr>
        <w:fldChar w:fldCharType="end"/>
      </w:r>
      <w:r>
        <w:rPr/>
        <w:fldChar w:fldCharType="end"/>
      </w:r>
    </w:p>
    <w:p w14:paraId="10DB40F4">
      <w:pPr>
        <w:pStyle w:val="style20"/>
        <w:tabs>
          <w:tab w:val="right" w:leader="dot" w:pos="9016"/>
        </w:tabs>
        <w:rPr>
          <w:rFonts w:eastAsia="宋体"/>
          <w:noProof/>
          <w:sz w:val="24"/>
          <w:szCs w:val="24"/>
          <w:lang w:eastAsia="en-IN"/>
        </w:rPr>
      </w:pPr>
      <w:r>
        <w:rPr/>
        <w:fldChar w:fldCharType="begin"/>
      </w:r>
      <w:r>
        <w:instrText xml:space="preserve"> HYPERLINK \l "_Toc236681548" </w:instrText>
      </w:r>
      <w:r>
        <w:rPr/>
        <w:fldChar w:fldCharType="separate"/>
      </w:r>
      <w:r>
        <w:rPr>
          <w:rStyle w:val="style85"/>
          <w:rFonts w:ascii="Times New Roman" w:cs="Times New Roman" w:hAnsi="Times New Roman"/>
          <w:b/>
          <w:bCs/>
          <w:i/>
          <w:iCs/>
          <w:noProof/>
        </w:rPr>
        <w:t>Introduction</w:t>
      </w:r>
      <w:r>
        <w:rPr>
          <w:noProof/>
          <w:webHidden/>
        </w:rPr>
        <w:tab/>
      </w:r>
      <w:r>
        <w:rPr>
          <w:noProof/>
          <w:webHidden/>
        </w:rPr>
        <w:fldChar w:fldCharType="begin"/>
      </w:r>
      <w:r>
        <w:rPr>
          <w:noProof/>
          <w:webHidden/>
        </w:rPr>
        <w:instrText xml:space="preserve"> PAGEREF _Toc236681548 \h </w:instrText>
      </w:r>
      <w:r>
        <w:rPr>
          <w:noProof/>
          <w:webHidden/>
        </w:rPr>
        <w:fldChar w:fldCharType="separate"/>
      </w:r>
      <w:r>
        <w:rPr>
          <w:noProof/>
          <w:webHidden/>
        </w:rPr>
        <w:t>19</w:t>
      </w:r>
      <w:r>
        <w:rPr>
          <w:noProof/>
          <w:webHidden/>
        </w:rPr>
        <w:fldChar w:fldCharType="end"/>
      </w:r>
      <w:r>
        <w:rPr/>
        <w:fldChar w:fldCharType="end"/>
      </w:r>
    </w:p>
    <w:p w14:paraId="46577F3F">
      <w:pPr>
        <w:pStyle w:val="style20"/>
        <w:tabs>
          <w:tab w:val="right" w:leader="dot" w:pos="9016"/>
        </w:tabs>
        <w:rPr>
          <w:rFonts w:eastAsia="宋体"/>
          <w:noProof/>
          <w:sz w:val="24"/>
          <w:szCs w:val="24"/>
          <w:lang w:eastAsia="en-IN"/>
        </w:rPr>
      </w:pPr>
      <w:r>
        <w:rPr/>
        <w:fldChar w:fldCharType="begin"/>
      </w:r>
      <w:r>
        <w:instrText xml:space="preserve"> HYPERLINK \l "_Toc236681549" </w:instrText>
      </w:r>
      <w:r>
        <w:rPr/>
        <w:fldChar w:fldCharType="separate"/>
      </w:r>
      <w:r>
        <w:rPr>
          <w:rStyle w:val="style85"/>
          <w:rFonts w:ascii="Times New Roman" w:cs="Times New Roman" w:hAnsi="Times New Roman"/>
          <w:b/>
          <w:bCs/>
          <w:i/>
          <w:iCs/>
          <w:noProof/>
        </w:rPr>
        <w:t>Description</w:t>
      </w:r>
      <w:r>
        <w:rPr>
          <w:noProof/>
          <w:webHidden/>
        </w:rPr>
        <w:tab/>
      </w:r>
      <w:r>
        <w:rPr>
          <w:noProof/>
          <w:webHidden/>
        </w:rPr>
        <w:fldChar w:fldCharType="begin"/>
      </w:r>
      <w:r>
        <w:rPr>
          <w:noProof/>
          <w:webHidden/>
        </w:rPr>
        <w:instrText xml:space="preserve"> PAGEREF _Toc236681549 \h </w:instrText>
      </w:r>
      <w:r>
        <w:rPr>
          <w:noProof/>
          <w:webHidden/>
        </w:rPr>
        <w:fldChar w:fldCharType="separate"/>
      </w:r>
      <w:r>
        <w:rPr>
          <w:noProof/>
          <w:webHidden/>
        </w:rPr>
        <w:t>19</w:t>
      </w:r>
      <w:r>
        <w:rPr>
          <w:noProof/>
          <w:webHidden/>
        </w:rPr>
        <w:fldChar w:fldCharType="end"/>
      </w:r>
      <w:r>
        <w:rPr/>
        <w:fldChar w:fldCharType="end"/>
      </w:r>
    </w:p>
    <w:p w14:paraId="25B96CFA">
      <w:pPr>
        <w:pStyle w:val="style20"/>
        <w:tabs>
          <w:tab w:val="right" w:leader="dot" w:pos="9016"/>
        </w:tabs>
        <w:rPr>
          <w:rFonts w:eastAsia="宋体"/>
          <w:noProof/>
          <w:sz w:val="24"/>
          <w:szCs w:val="24"/>
          <w:lang w:eastAsia="en-IN"/>
        </w:rPr>
      </w:pPr>
      <w:r>
        <w:rPr/>
        <w:fldChar w:fldCharType="begin"/>
      </w:r>
      <w:r>
        <w:instrText xml:space="preserve"> HYPERLINK \l "_Toc236681550" </w:instrText>
      </w:r>
      <w:r>
        <w:rPr/>
        <w:fldChar w:fldCharType="separate"/>
      </w:r>
      <w:r>
        <w:rPr>
          <w:rStyle w:val="style85"/>
          <w:rFonts w:ascii="Times New Roman" w:cs="Times New Roman" w:hAnsi="Times New Roman"/>
          <w:b/>
          <w:bCs/>
          <w:i/>
          <w:iCs/>
          <w:noProof/>
        </w:rPr>
        <w:t>Feelings</w:t>
      </w:r>
      <w:r>
        <w:rPr>
          <w:noProof/>
          <w:webHidden/>
        </w:rPr>
        <w:tab/>
      </w:r>
      <w:r>
        <w:rPr>
          <w:noProof/>
          <w:webHidden/>
        </w:rPr>
        <w:fldChar w:fldCharType="begin"/>
      </w:r>
      <w:r>
        <w:rPr>
          <w:noProof/>
          <w:webHidden/>
        </w:rPr>
        <w:instrText xml:space="preserve"> PAGEREF _Toc236681550 \h </w:instrText>
      </w:r>
      <w:r>
        <w:rPr>
          <w:noProof/>
          <w:webHidden/>
        </w:rPr>
        <w:fldChar w:fldCharType="separate"/>
      </w:r>
      <w:r>
        <w:rPr>
          <w:noProof/>
          <w:webHidden/>
        </w:rPr>
        <w:t>19</w:t>
      </w:r>
      <w:r>
        <w:rPr>
          <w:noProof/>
          <w:webHidden/>
        </w:rPr>
        <w:fldChar w:fldCharType="end"/>
      </w:r>
      <w:r>
        <w:rPr/>
        <w:fldChar w:fldCharType="end"/>
      </w:r>
    </w:p>
    <w:p w14:paraId="55968B89">
      <w:pPr>
        <w:pStyle w:val="style20"/>
        <w:tabs>
          <w:tab w:val="right" w:leader="dot" w:pos="9016"/>
        </w:tabs>
        <w:rPr>
          <w:rFonts w:eastAsia="宋体"/>
          <w:noProof/>
          <w:sz w:val="24"/>
          <w:szCs w:val="24"/>
          <w:lang w:eastAsia="en-IN"/>
        </w:rPr>
      </w:pPr>
      <w:r>
        <w:rPr/>
        <w:fldChar w:fldCharType="begin"/>
      </w:r>
      <w:r>
        <w:instrText xml:space="preserve"> HYPERLINK \l "_Toc236681551" </w:instrText>
      </w:r>
      <w:r>
        <w:rPr/>
        <w:fldChar w:fldCharType="separate"/>
      </w:r>
      <w:r>
        <w:rPr>
          <w:rStyle w:val="style85"/>
          <w:rFonts w:ascii="Times New Roman" w:cs="Times New Roman" w:hAnsi="Times New Roman"/>
          <w:b/>
          <w:bCs/>
          <w:i/>
          <w:iCs/>
          <w:noProof/>
        </w:rPr>
        <w:t>Evaluation</w:t>
      </w:r>
      <w:r>
        <w:rPr>
          <w:noProof/>
          <w:webHidden/>
        </w:rPr>
        <w:tab/>
      </w:r>
      <w:r>
        <w:rPr>
          <w:noProof/>
          <w:webHidden/>
        </w:rPr>
        <w:fldChar w:fldCharType="begin"/>
      </w:r>
      <w:r>
        <w:rPr>
          <w:noProof/>
          <w:webHidden/>
        </w:rPr>
        <w:instrText xml:space="preserve"> PAGEREF _Toc236681551 \h </w:instrText>
      </w:r>
      <w:r>
        <w:rPr>
          <w:noProof/>
          <w:webHidden/>
        </w:rPr>
        <w:fldChar w:fldCharType="separate"/>
      </w:r>
      <w:r>
        <w:rPr>
          <w:noProof/>
          <w:webHidden/>
        </w:rPr>
        <w:t>20</w:t>
      </w:r>
      <w:r>
        <w:rPr>
          <w:noProof/>
          <w:webHidden/>
        </w:rPr>
        <w:fldChar w:fldCharType="end"/>
      </w:r>
      <w:r>
        <w:rPr/>
        <w:fldChar w:fldCharType="end"/>
      </w:r>
    </w:p>
    <w:p w14:paraId="0B73E303">
      <w:pPr>
        <w:pStyle w:val="style20"/>
        <w:tabs>
          <w:tab w:val="right" w:leader="dot" w:pos="9016"/>
        </w:tabs>
        <w:rPr>
          <w:rFonts w:eastAsia="宋体"/>
          <w:noProof/>
          <w:sz w:val="24"/>
          <w:szCs w:val="24"/>
          <w:lang w:eastAsia="en-IN"/>
        </w:rPr>
      </w:pPr>
      <w:r>
        <w:rPr/>
        <w:fldChar w:fldCharType="begin"/>
      </w:r>
      <w:r>
        <w:instrText xml:space="preserve"> HYPERLINK \l "_Toc236681552" </w:instrText>
      </w:r>
      <w:r>
        <w:rPr/>
        <w:fldChar w:fldCharType="separate"/>
      </w:r>
      <w:r>
        <w:rPr>
          <w:rStyle w:val="style85"/>
          <w:rFonts w:ascii="Times New Roman" w:cs="Times New Roman" w:hAnsi="Times New Roman"/>
          <w:b/>
          <w:bCs/>
          <w:i/>
          <w:iCs/>
          <w:noProof/>
        </w:rPr>
        <w:t>Analysis</w:t>
      </w:r>
      <w:r>
        <w:rPr>
          <w:noProof/>
          <w:webHidden/>
        </w:rPr>
        <w:tab/>
      </w:r>
      <w:r>
        <w:rPr>
          <w:noProof/>
          <w:webHidden/>
        </w:rPr>
        <w:fldChar w:fldCharType="begin"/>
      </w:r>
      <w:r>
        <w:rPr>
          <w:noProof/>
          <w:webHidden/>
        </w:rPr>
        <w:instrText xml:space="preserve"> PAGEREF _Toc236681552 \h </w:instrText>
      </w:r>
      <w:r>
        <w:rPr>
          <w:noProof/>
          <w:webHidden/>
        </w:rPr>
        <w:fldChar w:fldCharType="separate"/>
      </w:r>
      <w:r>
        <w:rPr>
          <w:noProof/>
          <w:webHidden/>
        </w:rPr>
        <w:t>20</w:t>
      </w:r>
      <w:r>
        <w:rPr>
          <w:noProof/>
          <w:webHidden/>
        </w:rPr>
        <w:fldChar w:fldCharType="end"/>
      </w:r>
      <w:r>
        <w:rPr/>
        <w:fldChar w:fldCharType="end"/>
      </w:r>
    </w:p>
    <w:p w14:paraId="77D88E34">
      <w:pPr>
        <w:pStyle w:val="style20"/>
        <w:tabs>
          <w:tab w:val="right" w:leader="dot" w:pos="9016"/>
        </w:tabs>
        <w:rPr>
          <w:rFonts w:eastAsia="宋体"/>
          <w:noProof/>
          <w:sz w:val="24"/>
          <w:szCs w:val="24"/>
          <w:lang w:eastAsia="en-IN"/>
        </w:rPr>
      </w:pPr>
      <w:r>
        <w:rPr/>
        <w:fldChar w:fldCharType="begin"/>
      </w:r>
      <w:r>
        <w:instrText xml:space="preserve"> HYPERLINK \l "_Toc236681553" </w:instrText>
      </w:r>
      <w:r>
        <w:rPr/>
        <w:fldChar w:fldCharType="separate"/>
      </w:r>
      <w:r>
        <w:rPr>
          <w:rStyle w:val="style85"/>
          <w:rFonts w:ascii="Times New Roman" w:cs="Times New Roman" w:hAnsi="Times New Roman"/>
          <w:b/>
          <w:bCs/>
          <w:i/>
          <w:iCs/>
          <w:noProof/>
        </w:rPr>
        <w:t>Conclusion</w:t>
      </w:r>
      <w:r>
        <w:rPr>
          <w:noProof/>
          <w:webHidden/>
        </w:rPr>
        <w:tab/>
      </w:r>
      <w:r>
        <w:rPr>
          <w:noProof/>
          <w:webHidden/>
        </w:rPr>
        <w:fldChar w:fldCharType="begin"/>
      </w:r>
      <w:r>
        <w:rPr>
          <w:noProof/>
          <w:webHidden/>
        </w:rPr>
        <w:instrText xml:space="preserve"> PAGEREF _Toc236681553 \h </w:instrText>
      </w:r>
      <w:r>
        <w:rPr>
          <w:noProof/>
          <w:webHidden/>
        </w:rPr>
        <w:fldChar w:fldCharType="separate"/>
      </w:r>
      <w:r>
        <w:rPr>
          <w:noProof/>
          <w:webHidden/>
        </w:rPr>
        <w:t>20</w:t>
      </w:r>
      <w:r>
        <w:rPr>
          <w:noProof/>
          <w:webHidden/>
        </w:rPr>
        <w:fldChar w:fldCharType="end"/>
      </w:r>
      <w:r>
        <w:rPr/>
        <w:fldChar w:fldCharType="end"/>
      </w:r>
    </w:p>
    <w:p w14:paraId="49D44FDC">
      <w:pPr>
        <w:pStyle w:val="style20"/>
        <w:tabs>
          <w:tab w:val="right" w:leader="dot" w:pos="9016"/>
        </w:tabs>
        <w:rPr>
          <w:rFonts w:eastAsia="宋体"/>
          <w:noProof/>
          <w:sz w:val="24"/>
          <w:szCs w:val="24"/>
          <w:lang w:eastAsia="en-IN"/>
        </w:rPr>
      </w:pPr>
      <w:r>
        <w:rPr/>
        <w:fldChar w:fldCharType="begin"/>
      </w:r>
      <w:r>
        <w:instrText xml:space="preserve"> HYPERLINK \l "_Toc236681554" </w:instrText>
      </w:r>
      <w:r>
        <w:rPr/>
        <w:fldChar w:fldCharType="separate"/>
      </w:r>
      <w:r>
        <w:rPr>
          <w:rStyle w:val="style85"/>
          <w:rFonts w:ascii="Times New Roman" w:cs="Times New Roman" w:hAnsi="Times New Roman"/>
          <w:b/>
          <w:bCs/>
          <w:i/>
          <w:iCs/>
          <w:noProof/>
        </w:rPr>
        <w:t>Action Plan</w:t>
      </w:r>
      <w:r>
        <w:rPr>
          <w:noProof/>
          <w:webHidden/>
        </w:rPr>
        <w:tab/>
      </w:r>
      <w:r>
        <w:rPr>
          <w:noProof/>
          <w:webHidden/>
        </w:rPr>
        <w:fldChar w:fldCharType="begin"/>
      </w:r>
      <w:r>
        <w:rPr>
          <w:noProof/>
          <w:webHidden/>
        </w:rPr>
        <w:instrText xml:space="preserve"> PAGEREF _Toc236681554 \h </w:instrText>
      </w:r>
      <w:r>
        <w:rPr>
          <w:noProof/>
          <w:webHidden/>
        </w:rPr>
        <w:fldChar w:fldCharType="separate"/>
      </w:r>
      <w:r>
        <w:rPr>
          <w:noProof/>
          <w:webHidden/>
        </w:rPr>
        <w:t>21</w:t>
      </w:r>
      <w:r>
        <w:rPr>
          <w:noProof/>
          <w:webHidden/>
        </w:rPr>
        <w:fldChar w:fldCharType="end"/>
      </w:r>
      <w:r>
        <w:rPr/>
        <w:fldChar w:fldCharType="end"/>
      </w:r>
    </w:p>
    <w:p w14:paraId="744743AB">
      <w:pPr>
        <w:pStyle w:val="style0"/>
        <w:rPr/>
      </w:pPr>
      <w:r>
        <w:rPr>
          <w:b/>
          <w:bCs/>
          <w:noProof/>
        </w:rPr>
        <w:fldChar w:fldCharType="end"/>
      </w:r>
    </w:p>
    <w:p w14:paraId="5550461D">
      <w:pPr>
        <w:pStyle w:val="style0"/>
        <w:rPr>
          <w:rFonts w:ascii="Times New Roman" w:cs="Times New Roman" w:eastAsia="宋体" w:hAnsi="Times New Roman"/>
          <w:b/>
          <w:bCs/>
          <w:color w:val="000000"/>
          <w:sz w:val="28"/>
          <w:szCs w:val="28"/>
        </w:rPr>
      </w:pPr>
      <w:r>
        <w:rPr>
          <w:rFonts w:ascii="Times New Roman" w:cs="Times New Roman" w:hAnsi="Times New Roman"/>
          <w:b/>
          <w:bCs/>
          <w:color w:val="000000"/>
          <w:sz w:val="28"/>
          <w:szCs w:val="28"/>
        </w:rPr>
        <w:br w:type="page"/>
      </w:r>
    </w:p>
    <w:bookmarkStart w:id="0" w:name="_Toc236681530"/>
    <w:p w14:paraId="3AA59FD4">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INTRODUCTION</w:t>
      </w:r>
      <w:bookmarkEnd w:id="0"/>
    </w:p>
    <w:p w14:paraId="5ABE5F5A">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The Cadbury brand is one of the oldest and most renowned confectionery brands</w:t>
      </w:r>
      <w:r>
        <w:rPr>
          <w:rFonts w:ascii="Times New Roman" w:cs="Times New Roman" w:hAnsi="Times New Roman"/>
          <w:sz w:val="24"/>
          <w:szCs w:val="24"/>
        </w:rPr>
        <w:t>,</w:t>
      </w:r>
      <w:r>
        <w:rPr>
          <w:rFonts w:ascii="Times New Roman" w:cs="Times New Roman" w:hAnsi="Times New Roman"/>
          <w:sz w:val="24"/>
          <w:szCs w:val="24"/>
        </w:rPr>
        <w:t xml:space="preserve"> which traces its history back to a grocery shop established in 1824 by John Cadbury in the city of Birmingham. Currently, the brand is owned by the multinational company known as Mondelēz International as the main brand of chocolate. The company recorded about $38.5 billion of net income in 2025 and is traded in more than 150 countries (</w:t>
      </w:r>
      <w:r>
        <w:rPr>
          <w:rFonts w:ascii="Times New Roman" w:cs="Times New Roman" w:hAnsi="Times New Roman"/>
          <w:sz w:val="24"/>
          <w:szCs w:val="24"/>
        </w:rPr>
        <w:t>Mondelēz International, 2025</w:t>
      </w:r>
      <w:r>
        <w:rPr>
          <w:rFonts w:ascii="Times New Roman" w:cs="Times New Roman" w:hAnsi="Times New Roman"/>
          <w:sz w:val="24"/>
          <w:szCs w:val="24"/>
        </w:rPr>
        <w:t>; 2026b). The transition of the brand from a family-owned business in Britain to being a global brand under Mondelēz can be seen through recent industry analysis</w:t>
      </w:r>
      <w:r>
        <w:rPr>
          <w:rFonts w:ascii="Times New Roman" w:cs="Times New Roman" w:hAnsi="Times New Roman"/>
          <w:sz w:val="24"/>
          <w:szCs w:val="24"/>
        </w:rPr>
        <w:t>,</w:t>
      </w:r>
      <w:r>
        <w:rPr>
          <w:rFonts w:ascii="Times New Roman" w:cs="Times New Roman" w:hAnsi="Times New Roman"/>
          <w:sz w:val="24"/>
          <w:szCs w:val="24"/>
        </w:rPr>
        <w:t xml:space="preserve"> where the brand is the category leader in foreign confections </w:t>
      </w:r>
      <w:r>
        <w:rPr>
          <w:rFonts w:ascii="Times New Roman" w:cs="Times New Roman" w:hAnsi="Times New Roman"/>
          <w:sz w:val="24"/>
          <w:szCs w:val="24"/>
        </w:rPr>
        <w:t>in</w:t>
      </w:r>
      <w:r>
        <w:rPr>
          <w:rFonts w:ascii="Times New Roman" w:cs="Times New Roman" w:hAnsi="Times New Roman"/>
          <w:sz w:val="24"/>
          <w:szCs w:val="24"/>
        </w:rPr>
        <w:t xml:space="preserve"> India.</w:t>
      </w:r>
    </w:p>
    <w:p w14:paraId="2385D788">
      <w:pPr>
        <w:pStyle w:val="style0"/>
        <w:spacing w:lineRule="auto" w:line="360"/>
        <w:jc w:val="center"/>
        <w:rPr>
          <w:rFonts w:ascii="Times New Roman" w:cs="Times New Roman" w:hAnsi="Times New Roman"/>
          <w:sz w:val="24"/>
          <w:szCs w:val="24"/>
        </w:rPr>
      </w:pPr>
      <w:r>
        <w:rPr>
          <w:noProof/>
        </w:rPr>
        <w:drawing>
          <wp:inline distL="0" distT="0" distB="0" distR="0">
            <wp:extent cx="3219450" cy="1422400"/>
            <wp:effectExtent l="19050" t="0" r="19050" b="444500"/>
            <wp:docPr id="1026" name="Picture 1" descr="Cadbury has made a big change for the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219450" cy="1422400"/>
                    </a:xfrm>
                    <a:prstGeom prst="roundRect">
                      <a:avLst>
                        <a:gd name="adj" fmla="val 8594"/>
                      </a:avLst>
                    </a:prstGeom>
                    <a:solidFill>
                      <a:srgbClr val="ededed"/>
                    </a:solidFill>
                    <a:ln>
                      <a:noFill/>
                    </a:ln>
                    <a:effectLst>
                      <a:reflection blurRad="12700" stA="38000" stPos="0" endA="0" endPos="28000" dist="5000" dir="5400000" fadeDir="5400000" sx="100000" sy="-100000" kx="0" ky="0" algn="bl" rotWithShape="false"/>
                    </a:effectLst>
                  </pic:spPr>
                </pic:pic>
              </a:graphicData>
            </a:graphic>
          </wp:inline>
        </w:drawing>
      </w:r>
    </w:p>
    <w:p w14:paraId="73174776">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In this report, international marketing strategies adopted by Cadbury have been contrasted in two distinct markets </w:t>
      </w:r>
      <w:r>
        <w:rPr>
          <w:rFonts w:ascii="Times New Roman" w:cs="Times New Roman" w:hAnsi="Times New Roman"/>
          <w:sz w:val="24"/>
          <w:szCs w:val="24"/>
        </w:rPr>
        <w:t>-</w:t>
      </w:r>
      <w:r>
        <w:rPr>
          <w:rFonts w:ascii="Times New Roman" w:cs="Times New Roman" w:hAnsi="Times New Roman"/>
          <w:sz w:val="24"/>
          <w:szCs w:val="24"/>
        </w:rPr>
        <w:t xml:space="preserve"> the UK, which is the homeland market of Cadbury</w:t>
      </w:r>
      <w:r>
        <w:rPr>
          <w:rFonts w:ascii="Times New Roman" w:cs="Times New Roman" w:hAnsi="Times New Roman"/>
          <w:sz w:val="24"/>
          <w:szCs w:val="24"/>
        </w:rPr>
        <w:t>,</w:t>
      </w:r>
      <w:r>
        <w:rPr>
          <w:rFonts w:ascii="Times New Roman" w:cs="Times New Roman" w:hAnsi="Times New Roman"/>
          <w:sz w:val="24"/>
          <w:szCs w:val="24"/>
        </w:rPr>
        <w:t xml:space="preserve"> and India, which is the host market that Cadbury has occupied </w:t>
      </w:r>
      <w:r>
        <w:rPr>
          <w:rFonts w:ascii="Times New Roman" w:cs="Times New Roman" w:hAnsi="Times New Roman"/>
          <w:sz w:val="24"/>
          <w:szCs w:val="24"/>
        </w:rPr>
        <w:t>since</w:t>
      </w:r>
      <w:r>
        <w:rPr>
          <w:rFonts w:ascii="Times New Roman" w:cs="Times New Roman" w:hAnsi="Times New Roman"/>
          <w:sz w:val="24"/>
          <w:szCs w:val="24"/>
        </w:rPr>
        <w:t xml:space="preserve"> 1948. These markets have been chosen because there are considerable differences in economic development and consumer behavior between them, which would form a basis for comparison and analysis as follows: there are notable differences in terms of purchasing power and price elasticity of consumers, there are differences in cultural orientation as measured by Hofstede's dimensions, and the challenges posed to Cadbury in each of these markets.</w:t>
      </w:r>
    </w:p>
    <w:p w14:paraId="3FF55620">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The report is structured as follows. Chapter 2 contrasts the macro-environment of the UK and India based on the PESTLE framework and contrasts the national cultures based on Hofstede's model. Chapter 3 contrasts STP. Chapter 4 analyzes the international marketing mix (7Ps). Chapter 5 evaluates Cadbury’s market entry strategy in India. Chapter 6 evaluates ethical issues related to the marketing of Cadbury.</w:t>
      </w:r>
    </w:p>
    <w:bookmarkStart w:id="1" w:name="_Toc236681531"/>
    <w:p w14:paraId="340454C1">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A COMPARATIVE ANALYSIS OF THE UK AND INDIAN MARKETS: PESTEL AND HOFSTEDE</w:t>
      </w:r>
      <w:bookmarkEnd w:id="1"/>
    </w:p>
    <w:bookmarkStart w:id="2" w:name="_Toc236681532"/>
    <w:p w14:paraId="0B5E0DA1">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PESTEL: Divergent Macro-Environments</w:t>
      </w:r>
      <w:bookmarkEnd w:id="2"/>
    </w:p>
    <w:p w14:paraId="47BF3589">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PESTLE analysis shows that Cadbury functions in two </w:t>
      </w:r>
      <w:r>
        <w:rPr>
          <w:rFonts w:ascii="Times New Roman" w:cs="Times New Roman" w:hAnsi="Times New Roman"/>
          <w:sz w:val="24"/>
          <w:szCs w:val="24"/>
        </w:rPr>
        <w:t>macro-environments</w:t>
      </w:r>
      <w:r>
        <w:rPr>
          <w:rFonts w:ascii="Times New Roman" w:cs="Times New Roman" w:hAnsi="Times New Roman"/>
          <w:sz w:val="24"/>
          <w:szCs w:val="24"/>
        </w:rPr>
        <w:t xml:space="preserve">, which have two different types of strategic logics. The first is the mature regulatory environment with margin </w:t>
      </w:r>
      <w:r>
        <w:rPr>
          <w:rFonts w:ascii="Times New Roman" w:cs="Times New Roman" w:hAnsi="Times New Roman"/>
          <w:sz w:val="24"/>
          <w:szCs w:val="24"/>
        </w:rPr>
        <w:t>defence</w:t>
      </w:r>
      <w:r>
        <w:rPr>
          <w:rFonts w:ascii="Times New Roman" w:cs="Times New Roman" w:hAnsi="Times New Roman"/>
          <w:sz w:val="24"/>
          <w:szCs w:val="24"/>
        </w:rPr>
        <w:t xml:space="preserve"> in the UK and category building in India.</w:t>
      </w:r>
    </w:p>
    <w:p w14:paraId="644FDED8">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Political and Legal: </w:t>
      </w:r>
      <w:r>
        <w:rPr>
          <w:rFonts w:ascii="Times New Roman" w:cs="Times New Roman" w:hAnsi="Times New Roman"/>
          <w:sz w:val="24"/>
          <w:szCs w:val="24"/>
        </w:rPr>
        <w:t xml:space="preserve"> It seems that there is a developing tendency of placing more regulations in the UK. Judgements concerning HFSS (high fat, salt, and sugar) advertisement to children under 16 years old from the Advertising Standards Authority (ASA) have restricted the ability of Cadbury to promote its advertisements, especially in July 2025, when ASA rejected advertisement for Cadbury Delights due to unproven claim of "energy reduced"; the product contained 413-415 kcal per 100g in contrast to the necessary 40 kcal per 100g for "low energy" claims (</w:t>
      </w:r>
      <w:r>
        <w:rPr>
          <w:rFonts w:ascii="Times New Roman" w:cs="Times New Roman" w:hAnsi="Times New Roman"/>
          <w:sz w:val="24"/>
          <w:szCs w:val="24"/>
        </w:rPr>
        <w:t>Jha</w:t>
      </w:r>
      <w:r>
        <w:rPr>
          <w:rFonts w:ascii="Times New Roman" w:cs="Times New Roman" w:hAnsi="Times New Roman"/>
          <w:sz w:val="24"/>
          <w:szCs w:val="24"/>
        </w:rPr>
        <w:t xml:space="preserve">, 2025). This is also proved by the recent announcement concerning the policy in </w:t>
      </w:r>
      <w:r>
        <w:rPr>
          <w:rFonts w:ascii="Times New Roman" w:cs="Times New Roman" w:hAnsi="Times New Roman"/>
          <w:sz w:val="24"/>
          <w:szCs w:val="24"/>
        </w:rPr>
        <w:t xml:space="preserve">the </w:t>
      </w:r>
      <w:r>
        <w:rPr>
          <w:rFonts w:ascii="Times New Roman" w:cs="Times New Roman" w:hAnsi="Times New Roman"/>
          <w:sz w:val="24"/>
          <w:szCs w:val="24"/>
        </w:rPr>
        <w:t xml:space="preserve">Autumn 2025 Budget about </w:t>
      </w:r>
      <w:r>
        <w:rPr>
          <w:rFonts w:ascii="Times New Roman" w:cs="Times New Roman" w:hAnsi="Times New Roman"/>
          <w:sz w:val="24"/>
          <w:szCs w:val="24"/>
        </w:rPr>
        <w:t xml:space="preserve">the </w:t>
      </w:r>
      <w:r>
        <w:rPr>
          <w:rFonts w:ascii="Times New Roman" w:cs="Times New Roman" w:hAnsi="Times New Roman"/>
          <w:sz w:val="24"/>
          <w:szCs w:val="24"/>
        </w:rPr>
        <w:t>Soft Drinks Industry Levy</w:t>
      </w:r>
      <w:r>
        <w:rPr>
          <w:rFonts w:ascii="Times New Roman" w:cs="Times New Roman" w:hAnsi="Times New Roman"/>
          <w:sz w:val="24"/>
          <w:szCs w:val="24"/>
        </w:rPr>
        <w:t>,</w:t>
      </w:r>
      <w:r>
        <w:rPr>
          <w:rFonts w:ascii="Times New Roman" w:cs="Times New Roman" w:hAnsi="Times New Roman"/>
          <w:sz w:val="24"/>
          <w:szCs w:val="24"/>
        </w:rPr>
        <w:t xml:space="preserve"> which would be imposed starting from January 2028 on sweetened milk drinks</w:t>
      </w:r>
      <w:r>
        <w:rPr>
          <w:rFonts w:ascii="Times New Roman" w:cs="Times New Roman" w:hAnsi="Times New Roman"/>
          <w:sz w:val="24"/>
          <w:szCs w:val="24"/>
        </w:rPr>
        <w:t>.</w:t>
      </w:r>
    </w:p>
    <w:p w14:paraId="485582DA">
      <w:pPr>
        <w:pStyle w:val="style0"/>
        <w:spacing w:lineRule="auto" w:line="360"/>
        <w:ind w:firstLine="720"/>
        <w:jc w:val="both"/>
        <w:rPr>
          <w:rFonts w:ascii="Times New Roman" w:cs="Times New Roman" w:hAnsi="Times New Roman"/>
          <w:sz w:val="24"/>
          <w:szCs w:val="24"/>
        </w:rPr>
      </w:pPr>
      <w:r>
        <w:rPr>
          <w:rFonts w:ascii="Times New Roman" w:cs="Times New Roman" w:hAnsi="Times New Roman"/>
          <w:sz w:val="24"/>
          <w:szCs w:val="24"/>
        </w:rPr>
        <w:t>M</w:t>
      </w:r>
      <w:r>
        <w:rPr>
          <w:rFonts w:ascii="Times New Roman" w:cs="Times New Roman" w:hAnsi="Times New Roman"/>
          <w:sz w:val="24"/>
          <w:szCs w:val="24"/>
        </w:rPr>
        <w:t>oreover, the sugar threshold will be reduced from 5g to 4.5g per 100ml (</w:t>
      </w:r>
      <w:r>
        <w:rPr>
          <w:rFonts w:ascii="Times New Roman" w:cs="Times New Roman" w:hAnsi="Times New Roman"/>
          <w:sz w:val="24"/>
          <w:szCs w:val="24"/>
        </w:rPr>
        <w:t>Brogaard and Vyas</w:t>
      </w:r>
      <w:r>
        <w:rPr>
          <w:rFonts w:ascii="Times New Roman" w:cs="Times New Roman" w:hAnsi="Times New Roman"/>
          <w:sz w:val="24"/>
          <w:szCs w:val="24"/>
        </w:rPr>
        <w:t>, 2026). As far as India is concerned, the political-legal environment is rather positive for Cadbury</w:t>
      </w:r>
      <w:r>
        <w:rPr>
          <w:rFonts w:ascii="Times New Roman" w:cs="Times New Roman" w:hAnsi="Times New Roman"/>
          <w:sz w:val="24"/>
          <w:szCs w:val="24"/>
        </w:rPr>
        <w:t>. T</w:t>
      </w:r>
      <w:r>
        <w:rPr>
          <w:rFonts w:ascii="Times New Roman" w:cs="Times New Roman" w:hAnsi="Times New Roman"/>
          <w:sz w:val="24"/>
          <w:szCs w:val="24"/>
        </w:rPr>
        <w:t>he FDI regime oriented towards investments enabled Cadbury to set up local manufacturing infrastructure (</w:t>
      </w:r>
      <w:r>
        <w:rPr>
          <w:rFonts w:ascii="Times New Roman" w:cs="Times New Roman" w:hAnsi="Times New Roman"/>
          <w:sz w:val="24"/>
          <w:szCs w:val="24"/>
        </w:rPr>
        <w:t>Hub24, 2026</w:t>
      </w:r>
      <w:r>
        <w:rPr>
          <w:rFonts w:ascii="Times New Roman" w:cs="Times New Roman" w:hAnsi="Times New Roman"/>
          <w:sz w:val="24"/>
          <w:szCs w:val="24"/>
        </w:rPr>
        <w:t>), although the vegetarian labeling policy of the Food Safety and Standards Authority of India led to reputation risks such as the beef scandal in 2022 (</w:t>
      </w:r>
      <w:r>
        <w:rPr>
          <w:rFonts w:ascii="Times New Roman" w:cs="Times New Roman" w:hAnsi="Times New Roman"/>
          <w:sz w:val="24"/>
          <w:szCs w:val="24"/>
        </w:rPr>
        <w:t>Alt News, 2021</w:t>
      </w:r>
      <w:r>
        <w:rPr>
          <w:rFonts w:ascii="Times New Roman" w:cs="Times New Roman" w:hAnsi="Times New Roman"/>
          <w:sz w:val="24"/>
          <w:szCs w:val="24"/>
        </w:rPr>
        <w:t>).</w:t>
      </w:r>
    </w:p>
    <w:p w14:paraId="69C06737">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Economic</w:t>
      </w:r>
      <w:r>
        <w:rPr>
          <w:rFonts w:ascii="Times New Roman" w:cs="Times New Roman" w:hAnsi="Times New Roman"/>
          <w:sz w:val="24"/>
          <w:szCs w:val="24"/>
        </w:rPr>
        <w:t>:</w:t>
      </w:r>
      <w:r>
        <w:rPr>
          <w:rFonts w:ascii="Times New Roman" w:cs="Times New Roman" w:hAnsi="Times New Roman"/>
          <w:sz w:val="24"/>
          <w:szCs w:val="24"/>
        </w:rPr>
        <w:t xml:space="preserve"> The UK confectionery market is mature and price-driven, not volume-driven. There was a cocoa supply shortfall that caused the market to record record-high prices up to 2024-2025, reducing profit margins and causing "shrinkflation," which means using smaller packages at higher prices per unit (</w:t>
      </w:r>
      <w:r>
        <w:rPr>
          <w:rFonts w:ascii="Times New Roman" w:cs="Times New Roman" w:hAnsi="Times New Roman"/>
          <w:sz w:val="24"/>
          <w:szCs w:val="24"/>
        </w:rPr>
        <w:t>Southey, 2024</w:t>
      </w:r>
      <w:r>
        <w:rPr>
          <w:rFonts w:ascii="Times New Roman" w:cs="Times New Roman" w:hAnsi="Times New Roman"/>
          <w:sz w:val="24"/>
          <w:szCs w:val="24"/>
        </w:rPr>
        <w:t xml:space="preserve">; Confectionery News, 2025a). This is evident from Mondelēz's FY2025 financial statements, where the company recorded revenue of about $38.5 billion, but the </w:t>
      </w:r>
      <w:r>
        <w:rPr>
          <w:rFonts w:ascii="Times New Roman" w:cs="Times New Roman" w:hAnsi="Times New Roman"/>
          <w:sz w:val="24"/>
          <w:szCs w:val="24"/>
        </w:rPr>
        <w:t xml:space="preserve">company's </w:t>
      </w:r>
      <w:r>
        <w:rPr>
          <w:rFonts w:ascii="Times New Roman" w:cs="Times New Roman" w:hAnsi="Times New Roman"/>
          <w:sz w:val="24"/>
          <w:szCs w:val="24"/>
        </w:rPr>
        <w:t xml:space="preserve">profits of the company have been severely affected by what it calls "unprecedented cocoa cost headwinds" (Mondelēz International, 2026). On the other hand, the Indian market is one of high growth and price sensitivity, where consumption of chocolate is growing from a very low base; for decades now, Cadbury's project has been to make chocolate a necessity in people's </w:t>
      </w:r>
      <w:r>
        <w:rPr>
          <w:rFonts w:ascii="Times New Roman" w:cs="Times New Roman" w:hAnsi="Times New Roman"/>
          <w:sz w:val="24"/>
          <w:szCs w:val="24"/>
        </w:rPr>
        <w:t>lives</w:t>
      </w:r>
      <w:r>
        <w:rPr>
          <w:rFonts w:ascii="Times New Roman" w:cs="Times New Roman" w:hAnsi="Times New Roman"/>
          <w:sz w:val="24"/>
          <w:szCs w:val="24"/>
        </w:rPr>
        <w:t xml:space="preserve"> (</w:t>
      </w:r>
      <w:r>
        <w:rPr>
          <w:rFonts w:ascii="Times New Roman" w:cs="Times New Roman" w:hAnsi="Times New Roman"/>
          <w:sz w:val="24"/>
          <w:szCs w:val="24"/>
        </w:rPr>
        <w:t>Hub24, 2026</w:t>
      </w:r>
      <w:r>
        <w:rPr>
          <w:rFonts w:ascii="Times New Roman" w:cs="Times New Roman" w:hAnsi="Times New Roman"/>
          <w:sz w:val="24"/>
          <w:szCs w:val="24"/>
        </w:rPr>
        <w:t>).</w:t>
      </w:r>
    </w:p>
    <w:p w14:paraId="2AD18511">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Social, Technology, and Environment</w:t>
      </w:r>
      <w:r>
        <w:rPr>
          <w:rFonts w:ascii="Times New Roman" w:cs="Times New Roman" w:hAnsi="Times New Roman"/>
          <w:sz w:val="24"/>
          <w:szCs w:val="24"/>
        </w:rPr>
        <w:t>:</w:t>
      </w:r>
      <w:r>
        <w:rPr>
          <w:rFonts w:ascii="Times New Roman" w:cs="Times New Roman" w:hAnsi="Times New Roman"/>
          <w:sz w:val="24"/>
          <w:szCs w:val="24"/>
        </w:rPr>
        <w:t xml:space="preserve"> Socially, UK consumers combine traditional brand loyalty with increasing health and ethical sourcing considerations, leading to innovations like low-calorie products, which in turn are regulatory risks themselves</w:t>
      </w:r>
      <w:r>
        <w:rPr>
          <w:rFonts w:ascii="Times New Roman" w:cs="Times New Roman" w:hAnsi="Times New Roman"/>
          <w:sz w:val="24"/>
          <w:szCs w:val="24"/>
        </w:rPr>
        <w:t>,</w:t>
      </w:r>
      <w:r>
        <w:rPr>
          <w:rFonts w:ascii="Times New Roman" w:cs="Times New Roman" w:hAnsi="Times New Roman"/>
          <w:sz w:val="24"/>
          <w:szCs w:val="24"/>
        </w:rPr>
        <w:t xml:space="preserve"> as shown by the Delights case (</w:t>
      </w:r>
      <w:r>
        <w:rPr>
          <w:rFonts w:ascii="Times New Roman" w:cs="Times New Roman" w:hAnsi="Times New Roman"/>
          <w:sz w:val="24"/>
          <w:szCs w:val="24"/>
        </w:rPr>
        <w:t>Jha</w:t>
      </w:r>
      <w:r>
        <w:rPr>
          <w:rFonts w:ascii="Times New Roman" w:cs="Times New Roman" w:hAnsi="Times New Roman"/>
          <w:sz w:val="24"/>
          <w:szCs w:val="24"/>
        </w:rPr>
        <w:t xml:space="preserve">, 2025). Social organization in India is influenced by gift-giving opportunities during festivals (Diwali, Raksha Bandhan) and strict vegetarianism, which influences the product formulation and claims itself. Technologically, quick-commerce is changing both markets, but from different starting points. Environmentally, both are part of the Mondelēz Cocoa Life program, which buys from over 100,000 small-scale farmers in Southern India alone </w:t>
      </w:r>
      <w:r>
        <w:rPr>
          <w:rFonts w:ascii="Times New Roman" w:cs="Times New Roman" w:hAnsi="Times New Roman"/>
          <w:sz w:val="24"/>
          <w:szCs w:val="24"/>
        </w:rPr>
        <w:t>(Mondelēz International, Inc, 2023</w:t>
      </w:r>
      <w:r>
        <w:rPr>
          <w:rFonts w:ascii="Times New Roman" w:cs="Times New Roman" w:hAnsi="Times New Roman"/>
          <w:sz w:val="24"/>
          <w:szCs w:val="24"/>
        </w:rPr>
        <w:t xml:space="preserve">; </w:t>
      </w:r>
      <w:r>
        <w:rPr>
          <w:rFonts w:ascii="Times New Roman" w:cs="Times New Roman" w:hAnsi="Times New Roman"/>
          <w:sz w:val="24"/>
          <w:szCs w:val="24"/>
        </w:rPr>
        <w:t>Cocoa Life, 2024</w:t>
      </w:r>
      <w:r>
        <w:rPr>
          <w:rFonts w:ascii="Times New Roman" w:cs="Times New Roman" w:hAnsi="Times New Roman"/>
          <w:sz w:val="24"/>
          <w:szCs w:val="24"/>
        </w:rPr>
        <w:t>).</w:t>
      </w:r>
    </w:p>
    <w:p w14:paraId="226BC9F2">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Crit</w:t>
      </w:r>
      <w:r>
        <w:rPr>
          <w:rFonts w:ascii="Times New Roman" w:cs="Times New Roman" w:hAnsi="Times New Roman"/>
          <w:sz w:val="24"/>
          <w:szCs w:val="24"/>
        </w:rPr>
        <w:t>ical Synthesis:</w:t>
      </w:r>
      <w:r>
        <w:rPr>
          <w:rFonts w:ascii="Times New Roman" w:cs="Times New Roman" w:hAnsi="Times New Roman"/>
          <w:sz w:val="24"/>
          <w:szCs w:val="24"/>
        </w:rPr>
        <w:t xml:space="preserve"> In both markets, there is one upstream threat, which is the volatility of global cocoa prices, but there is a difference in their strategic implications. The UK is a market where the high income of consumers and their inelastic demand make them susceptible to the cost pass-through in the form of shrinkflation; in India, the low-unit price structure that made it possible for Nestlé to become the leader of the category is at risk due to the same upstream shock (Confectionery News, 2025b).</w:t>
      </w:r>
      <w:r>
        <w:rPr>
          <w:rFonts w:ascii="Times New Roman" w:cs="Times New Roman" w:hAnsi="Times New Roman"/>
          <w:sz w:val="24"/>
          <w:szCs w:val="24"/>
        </w:rPr>
        <w:t xml:space="preserve"> </w:t>
      </w:r>
    </w:p>
    <w:bookmarkStart w:id="3" w:name="_Toc236681533"/>
    <w:p w14:paraId="4DC25F08">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Hofstede: Cultural Divergence</w:t>
      </w:r>
      <w:bookmarkEnd w:id="3"/>
    </w:p>
    <w:p w14:paraId="546FD50B">
      <w:pPr>
        <w:pStyle w:val="style34"/>
        <w:keepNext/>
        <w:rPr/>
      </w:pPr>
      <w:r>
        <w:t xml:space="preserve">Table </w:t>
      </w:r>
      <w:r>
        <w:rPr/>
        <w:fldChar w:fldCharType="begin"/>
      </w:r>
      <w:r>
        <w:instrText xml:space="preserve"> SEQ Table \* ARABIC </w:instrText>
      </w:r>
      <w:r>
        <w:rPr/>
        <w:fldChar w:fldCharType="separate"/>
      </w:r>
      <w:r>
        <w:rPr>
          <w:noProof/>
        </w:rPr>
        <w:t>1</w:t>
      </w:r>
      <w:r>
        <w:rPr/>
        <w:fldChar w:fldCharType="end"/>
      </w:r>
      <w:r>
        <w:t xml:space="preserve">: </w:t>
      </w:r>
      <w:r>
        <w:t>Hofstede cultural dimension comparison, UK and India (</w:t>
      </w:r>
      <w:r>
        <w:t>Hofstede, 2024</w:t>
      </w:r>
      <w:r>
        <w:t>).</w:t>
      </w:r>
    </w:p>
    <w:tbl>
      <w:tblPr>
        <w:tblW w:w="5000" w:type="pct"/>
        <w:tblLook w:val="04A0" w:firstRow="1" w:lastRow="0" w:firstColumn="1" w:lastColumn="0" w:noHBand="0" w:noVBand="1"/>
      </w:tblPr>
      <w:tblGrid>
        <w:gridCol w:w="2134"/>
        <w:gridCol w:w="4284"/>
        <w:gridCol w:w="2598"/>
      </w:tblGrid>
      <w:tr w14:paraId="4FEC9773">
        <w:trPr>
          <w:trHeight w:val="290" w:hRule="atLeast"/>
        </w:trPr>
        <w:tc>
          <w:tcPr>
            <w:tcW w:w="1183" w:type="pct"/>
            <w:tcBorders>
              <w:top w:val="single" w:sz="4" w:space="0" w:color="auto"/>
              <w:left w:val="single" w:sz="4" w:space="0" w:color="auto"/>
              <w:bottom w:val="single" w:sz="4" w:space="0" w:color="auto"/>
              <w:right w:val="single" w:sz="4" w:space="0" w:color="auto"/>
            </w:tcBorders>
            <w:vAlign w:val="center"/>
            <w:hideMark/>
          </w:tcPr>
          <w:p w14:paraId="378F1154">
            <w:pPr>
              <w:pStyle w:val="style0"/>
              <w:spacing w:after="0" w:lineRule="auto" w:line="360"/>
              <w:jc w:val="center"/>
              <w:rPr>
                <w:rFonts w:ascii="Times New Roman" w:cs="Times New Roman" w:eastAsia="Times New Roman" w:hAnsi="Times New Roman"/>
                <w:b/>
                <w:bCs/>
                <w:color w:val="000000"/>
                <w:kern w:val="0"/>
                <w:lang w:eastAsia="en-IN"/>
                <w14:ligatures xmlns:w14="http://schemas.microsoft.com/office/word/2010/wordml" w14:val="none"/>
              </w:rPr>
            </w:pPr>
            <w:r>
              <w:rPr>
                <w:rFonts w:ascii="Times New Roman" w:cs="Times New Roman" w:eastAsia="Times New Roman" w:hAnsi="Times New Roman"/>
                <w:b/>
                <w:bCs/>
                <w:color w:val="000000"/>
                <w:kern w:val="0"/>
                <w:lang w:eastAsia="en-IN"/>
                <w14:ligatures xmlns:w14="http://schemas.microsoft.com/office/word/2010/wordml" w14:val="none"/>
              </w:rPr>
              <w:t>Dimension</w:t>
            </w:r>
          </w:p>
        </w:tc>
        <w:tc>
          <w:tcPr>
            <w:tcW w:w="2376" w:type="pct"/>
            <w:tcBorders>
              <w:top w:val="single" w:sz="4" w:space="0" w:color="auto"/>
              <w:left w:val="nil"/>
              <w:bottom w:val="single" w:sz="4" w:space="0" w:color="auto"/>
              <w:right w:val="single" w:sz="4" w:space="0" w:color="auto"/>
            </w:tcBorders>
            <w:vAlign w:val="center"/>
            <w:hideMark/>
          </w:tcPr>
          <w:p w14:paraId="06989DF5">
            <w:pPr>
              <w:pStyle w:val="style0"/>
              <w:spacing w:after="0" w:lineRule="auto" w:line="360"/>
              <w:jc w:val="center"/>
              <w:rPr>
                <w:rFonts w:ascii="Times New Roman" w:cs="Times New Roman" w:eastAsia="Times New Roman" w:hAnsi="Times New Roman"/>
                <w:b/>
                <w:bCs/>
                <w:color w:val="000000"/>
                <w:kern w:val="0"/>
                <w:lang w:eastAsia="en-IN"/>
                <w14:ligatures xmlns:w14="http://schemas.microsoft.com/office/word/2010/wordml" w14:val="none"/>
              </w:rPr>
            </w:pPr>
            <w:r>
              <w:rPr>
                <w:rFonts w:ascii="Times New Roman" w:cs="Times New Roman" w:eastAsia="Times New Roman" w:hAnsi="Times New Roman"/>
                <w:b/>
                <w:bCs/>
                <w:color w:val="000000"/>
                <w:kern w:val="0"/>
                <w:lang w:eastAsia="en-IN"/>
                <w14:ligatures xmlns:w14="http://schemas.microsoft.com/office/word/2010/wordml" w14:val="none"/>
              </w:rPr>
              <w:t>United Kingdom</w:t>
            </w:r>
          </w:p>
        </w:tc>
        <w:tc>
          <w:tcPr>
            <w:tcW w:w="1441" w:type="pct"/>
            <w:tcBorders>
              <w:top w:val="single" w:sz="4" w:space="0" w:color="auto"/>
              <w:left w:val="nil"/>
              <w:bottom w:val="single" w:sz="4" w:space="0" w:color="auto"/>
              <w:right w:val="single" w:sz="4" w:space="0" w:color="auto"/>
            </w:tcBorders>
            <w:vAlign w:val="center"/>
            <w:hideMark/>
          </w:tcPr>
          <w:p w14:paraId="27F07CB3">
            <w:pPr>
              <w:pStyle w:val="style0"/>
              <w:spacing w:after="0" w:lineRule="auto" w:line="360"/>
              <w:jc w:val="center"/>
              <w:rPr>
                <w:rFonts w:ascii="Times New Roman" w:cs="Times New Roman" w:eastAsia="Times New Roman" w:hAnsi="Times New Roman"/>
                <w:b/>
                <w:bCs/>
                <w:color w:val="000000"/>
                <w:kern w:val="0"/>
                <w:lang w:eastAsia="en-IN"/>
                <w14:ligatures xmlns:w14="http://schemas.microsoft.com/office/word/2010/wordml" w14:val="none"/>
              </w:rPr>
            </w:pPr>
            <w:r>
              <w:rPr>
                <w:rFonts w:ascii="Times New Roman" w:cs="Times New Roman" w:eastAsia="Times New Roman" w:hAnsi="Times New Roman"/>
                <w:b/>
                <w:bCs/>
                <w:color w:val="000000"/>
                <w:kern w:val="0"/>
                <w:lang w:eastAsia="en-IN"/>
                <w14:ligatures xmlns:w14="http://schemas.microsoft.com/office/word/2010/wordml" w14:val="none"/>
              </w:rPr>
              <w:t>India</w:t>
            </w:r>
          </w:p>
        </w:tc>
      </w:tr>
      <w:tr w14:paraId="6D81575E">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427AE800">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Power Distance</w:t>
            </w:r>
          </w:p>
        </w:tc>
        <w:tc>
          <w:tcPr>
            <w:tcW w:w="2376" w:type="pct"/>
            <w:tcBorders>
              <w:top w:val="nil"/>
              <w:left w:val="nil"/>
              <w:bottom w:val="single" w:sz="4" w:space="0" w:color="auto"/>
              <w:right w:val="single" w:sz="4" w:space="0" w:color="auto"/>
            </w:tcBorders>
            <w:vAlign w:val="center"/>
            <w:hideMark/>
          </w:tcPr>
          <w:p w14:paraId="00231DF2">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Low</w:t>
            </w:r>
          </w:p>
        </w:tc>
        <w:tc>
          <w:tcPr>
            <w:tcW w:w="1441" w:type="pct"/>
            <w:tcBorders>
              <w:top w:val="nil"/>
              <w:left w:val="nil"/>
              <w:bottom w:val="single" w:sz="4" w:space="0" w:color="auto"/>
              <w:right w:val="single" w:sz="4" w:space="0" w:color="auto"/>
            </w:tcBorders>
            <w:vAlign w:val="center"/>
            <w:hideMark/>
          </w:tcPr>
          <w:p w14:paraId="5E408D80">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High</w:t>
            </w:r>
          </w:p>
        </w:tc>
      </w:tr>
      <w:tr w14:paraId="1C782525">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1601A0A5">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Individualism</w:t>
            </w:r>
          </w:p>
        </w:tc>
        <w:tc>
          <w:tcPr>
            <w:tcW w:w="2376" w:type="pct"/>
            <w:tcBorders>
              <w:top w:val="nil"/>
              <w:left w:val="nil"/>
              <w:bottom w:val="single" w:sz="4" w:space="0" w:color="auto"/>
              <w:right w:val="single" w:sz="4" w:space="0" w:color="auto"/>
            </w:tcBorders>
            <w:vAlign w:val="center"/>
            <w:hideMark/>
          </w:tcPr>
          <w:p w14:paraId="577C9835">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Very High</w:t>
            </w:r>
          </w:p>
        </w:tc>
        <w:tc>
          <w:tcPr>
            <w:tcW w:w="1441" w:type="pct"/>
            <w:tcBorders>
              <w:top w:val="nil"/>
              <w:left w:val="nil"/>
              <w:bottom w:val="single" w:sz="4" w:space="0" w:color="auto"/>
              <w:right w:val="single" w:sz="4" w:space="0" w:color="auto"/>
            </w:tcBorders>
            <w:vAlign w:val="center"/>
            <w:hideMark/>
          </w:tcPr>
          <w:p w14:paraId="61E800EB">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w:t>
            </w:r>
          </w:p>
        </w:tc>
      </w:tr>
      <w:tr w14:paraId="6226DDEF">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4835B3E3">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Masculinity</w:t>
            </w:r>
          </w:p>
        </w:tc>
        <w:tc>
          <w:tcPr>
            <w:tcW w:w="2376" w:type="pct"/>
            <w:tcBorders>
              <w:top w:val="nil"/>
              <w:left w:val="nil"/>
              <w:bottom w:val="single" w:sz="4" w:space="0" w:color="auto"/>
              <w:right w:val="single" w:sz="4" w:space="0" w:color="auto"/>
            </w:tcBorders>
            <w:vAlign w:val="center"/>
            <w:hideMark/>
          </w:tcPr>
          <w:p w14:paraId="4F42F530">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Moderately High</w:t>
            </w:r>
          </w:p>
        </w:tc>
        <w:tc>
          <w:tcPr>
            <w:tcW w:w="1441" w:type="pct"/>
            <w:tcBorders>
              <w:top w:val="nil"/>
              <w:left w:val="nil"/>
              <w:bottom w:val="single" w:sz="4" w:space="0" w:color="auto"/>
              <w:right w:val="single" w:sz="4" w:space="0" w:color="auto"/>
            </w:tcBorders>
            <w:vAlign w:val="center"/>
            <w:hideMark/>
          </w:tcPr>
          <w:p w14:paraId="56C51797">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 (56)</w:t>
            </w:r>
          </w:p>
        </w:tc>
      </w:tr>
      <w:tr w14:paraId="7A5FED9B">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081D111D">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Uncertainty Avoidance</w:t>
            </w:r>
          </w:p>
        </w:tc>
        <w:tc>
          <w:tcPr>
            <w:tcW w:w="2376" w:type="pct"/>
            <w:tcBorders>
              <w:top w:val="nil"/>
              <w:left w:val="nil"/>
              <w:bottom w:val="single" w:sz="4" w:space="0" w:color="auto"/>
              <w:right w:val="single" w:sz="4" w:space="0" w:color="auto"/>
            </w:tcBorders>
            <w:vAlign w:val="center"/>
            <w:hideMark/>
          </w:tcPr>
          <w:p w14:paraId="5E263F9A">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Low</w:t>
            </w:r>
            <w:r>
              <w:rPr>
                <w:rFonts w:ascii="Times New Roman" w:cs="Times New Roman" w:eastAsia="Times New Roman" w:hAnsi="Times New Roman"/>
                <w:color w:val="000000"/>
                <w:kern w:val="0"/>
                <w:lang w:eastAsia="en-IN"/>
                <w14:ligatures xmlns:w14="http://schemas.microsoft.com/office/word/2010/wordml" w14:val="none"/>
              </w:rPr>
              <w:t>-</w:t>
            </w:r>
            <w:r>
              <w:rPr>
                <w:rFonts w:ascii="Times New Roman" w:cs="Times New Roman" w:eastAsia="Times New Roman" w:hAnsi="Times New Roman"/>
                <w:color w:val="000000"/>
                <w:kern w:val="0"/>
                <w:lang w:eastAsia="en-IN"/>
                <w14:ligatures xmlns:w14="http://schemas.microsoft.com/office/word/2010/wordml" w14:val="none"/>
              </w:rPr>
              <w:t>Moderate</w:t>
            </w:r>
          </w:p>
        </w:tc>
        <w:tc>
          <w:tcPr>
            <w:tcW w:w="1441" w:type="pct"/>
            <w:tcBorders>
              <w:top w:val="nil"/>
              <w:left w:val="nil"/>
              <w:bottom w:val="single" w:sz="4" w:space="0" w:color="auto"/>
              <w:right w:val="single" w:sz="4" w:space="0" w:color="auto"/>
            </w:tcBorders>
            <w:vAlign w:val="center"/>
            <w:hideMark/>
          </w:tcPr>
          <w:p w14:paraId="7C62EE61">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w:t>
            </w:r>
          </w:p>
        </w:tc>
      </w:tr>
      <w:tr w14:paraId="2F24D13A">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4D2B4294">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Long-Term Orientation</w:t>
            </w:r>
          </w:p>
        </w:tc>
        <w:tc>
          <w:tcPr>
            <w:tcW w:w="2376" w:type="pct"/>
            <w:tcBorders>
              <w:top w:val="nil"/>
              <w:left w:val="nil"/>
              <w:bottom w:val="single" w:sz="4" w:space="0" w:color="auto"/>
              <w:right w:val="single" w:sz="4" w:space="0" w:color="auto"/>
            </w:tcBorders>
            <w:vAlign w:val="center"/>
            <w:hideMark/>
          </w:tcPr>
          <w:p w14:paraId="0FA5F791">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w:t>
            </w:r>
          </w:p>
        </w:tc>
        <w:tc>
          <w:tcPr>
            <w:tcW w:w="1441" w:type="pct"/>
            <w:tcBorders>
              <w:top w:val="nil"/>
              <w:left w:val="nil"/>
              <w:bottom w:val="single" w:sz="4" w:space="0" w:color="auto"/>
              <w:right w:val="single" w:sz="4" w:space="0" w:color="auto"/>
            </w:tcBorders>
            <w:vAlign w:val="center"/>
            <w:hideMark/>
          </w:tcPr>
          <w:p w14:paraId="6D173A4F">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Moderate</w:t>
            </w:r>
          </w:p>
        </w:tc>
      </w:tr>
      <w:tr w14:paraId="044DDBE4">
        <w:tblPrEx/>
        <w:trPr>
          <w:trHeight w:val="290" w:hRule="atLeast"/>
        </w:trPr>
        <w:tc>
          <w:tcPr>
            <w:tcW w:w="1183" w:type="pct"/>
            <w:tcBorders>
              <w:top w:val="nil"/>
              <w:left w:val="single" w:sz="4" w:space="0" w:color="auto"/>
              <w:bottom w:val="single" w:sz="4" w:space="0" w:color="auto"/>
              <w:right w:val="single" w:sz="4" w:space="0" w:color="auto"/>
            </w:tcBorders>
            <w:vAlign w:val="center"/>
            <w:hideMark/>
          </w:tcPr>
          <w:p w14:paraId="327B6088">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Indulgence</w:t>
            </w:r>
          </w:p>
        </w:tc>
        <w:tc>
          <w:tcPr>
            <w:tcW w:w="2376" w:type="pct"/>
            <w:tcBorders>
              <w:top w:val="nil"/>
              <w:left w:val="nil"/>
              <w:bottom w:val="single" w:sz="4" w:space="0" w:color="auto"/>
              <w:right w:val="single" w:sz="4" w:space="0" w:color="auto"/>
            </w:tcBorders>
            <w:vAlign w:val="center"/>
            <w:hideMark/>
          </w:tcPr>
          <w:p w14:paraId="42331FAB">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High</w:t>
            </w:r>
          </w:p>
        </w:tc>
        <w:tc>
          <w:tcPr>
            <w:tcW w:w="1441" w:type="pct"/>
            <w:tcBorders>
              <w:top w:val="nil"/>
              <w:left w:val="nil"/>
              <w:bottom w:val="single" w:sz="4" w:space="0" w:color="auto"/>
              <w:right w:val="single" w:sz="4" w:space="0" w:color="auto"/>
            </w:tcBorders>
            <w:vAlign w:val="center"/>
            <w:hideMark/>
          </w:tcPr>
          <w:p w14:paraId="3E52A9EE">
            <w:pPr>
              <w:pStyle w:val="style0"/>
              <w:spacing w:after="0" w:lineRule="auto" w:line="360"/>
              <w:rPr>
                <w:rFonts w:ascii="Times New Roman" w:cs="Times New Roman" w:eastAsia="Times New Roman" w:hAnsi="Times New Roman"/>
                <w:color w:val="000000"/>
                <w:kern w:val="0"/>
                <w:lang w:eastAsia="en-IN"/>
                <w14:ligatures xmlns:w14="http://schemas.microsoft.com/office/word/2010/wordml" w14:val="none"/>
              </w:rPr>
            </w:pPr>
            <w:r>
              <w:rPr>
                <w:rFonts w:ascii="Times New Roman" w:cs="Times New Roman" w:eastAsia="Times New Roman" w:hAnsi="Times New Roman"/>
                <w:color w:val="000000"/>
                <w:kern w:val="0"/>
                <w:lang w:eastAsia="en-IN"/>
                <w14:ligatures xmlns:w14="http://schemas.microsoft.com/office/word/2010/wordml" w14:val="none"/>
              </w:rPr>
              <w:t>Low</w:t>
            </w:r>
          </w:p>
        </w:tc>
      </w:tr>
    </w:tbl>
    <w:p w14:paraId="275C5618">
      <w:pPr>
        <w:pStyle w:val="style0"/>
        <w:spacing w:lineRule="auto" w:line="360"/>
        <w:jc w:val="both"/>
        <w:rPr>
          <w:rFonts w:ascii="Times New Roman" w:cs="Times New Roman" w:hAnsi="Times New Roman"/>
          <w:sz w:val="24"/>
          <w:szCs w:val="24"/>
        </w:rPr>
      </w:pPr>
    </w:p>
    <w:p w14:paraId="0C2ADE68">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According to Hofstede's dimensions (</w:t>
      </w:r>
      <w:r>
        <w:rPr>
          <w:rFonts w:ascii="Times New Roman" w:cs="Times New Roman" w:hAnsi="Times New Roman"/>
          <w:sz w:val="24"/>
          <w:szCs w:val="24"/>
        </w:rPr>
        <w:t>Hofstede, 2024</w:t>
      </w:r>
      <w:r>
        <w:rPr>
          <w:rFonts w:ascii="Times New Roman" w:cs="Times New Roman" w:hAnsi="Times New Roman"/>
          <w:sz w:val="24"/>
          <w:szCs w:val="24"/>
        </w:rPr>
        <w:t xml:space="preserve">), the UK and India appear almost opposites in terms of the two dimensions most important for the marketing of </w:t>
      </w:r>
      <w:r>
        <w:rPr>
          <w:rFonts w:ascii="Times New Roman" w:cs="Times New Roman" w:hAnsi="Times New Roman"/>
          <w:sz w:val="24"/>
          <w:szCs w:val="24"/>
        </w:rPr>
        <w:t>confectionery</w:t>
      </w:r>
      <w:r>
        <w:rPr>
          <w:rFonts w:ascii="Times New Roman" w:cs="Times New Roman" w:hAnsi="Times New Roman"/>
          <w:sz w:val="24"/>
          <w:szCs w:val="24"/>
        </w:rPr>
        <w:t>.</w:t>
      </w:r>
    </w:p>
    <w:p w14:paraId="2052270B">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fact that India has a </w:t>
      </w:r>
      <w:r>
        <w:rPr>
          <w:rFonts w:ascii="Times New Roman" w:cs="Times New Roman" w:hAnsi="Times New Roman"/>
          <w:sz w:val="24"/>
          <w:szCs w:val="24"/>
        </w:rPr>
        <w:t>high-power</w:t>
      </w:r>
      <w:r>
        <w:rPr>
          <w:rFonts w:ascii="Times New Roman" w:cs="Times New Roman" w:hAnsi="Times New Roman"/>
          <w:sz w:val="24"/>
          <w:szCs w:val="24"/>
        </w:rPr>
        <w:t xml:space="preserve"> distance index indicates a society where hierarchy and status differences are well accepted</w:t>
      </w:r>
      <w:r>
        <w:rPr>
          <w:rFonts w:ascii="Times New Roman" w:cs="Times New Roman" w:hAnsi="Times New Roman"/>
          <w:sz w:val="24"/>
          <w:szCs w:val="24"/>
        </w:rPr>
        <w:t>,</w:t>
      </w:r>
      <w:r>
        <w:rPr>
          <w:rFonts w:ascii="Times New Roman" w:cs="Times New Roman" w:hAnsi="Times New Roman"/>
          <w:sz w:val="24"/>
          <w:szCs w:val="24"/>
        </w:rPr>
        <w:t xml:space="preserve"> and that may justify the usage of celebrities for endorsement by Cadbury in India (</w:t>
      </w:r>
      <w:r>
        <w:rPr>
          <w:rFonts w:ascii="Times New Roman" w:cs="Times New Roman" w:hAnsi="Times New Roman"/>
          <w:sz w:val="24"/>
          <w:szCs w:val="24"/>
        </w:rPr>
        <w:t>Hub24, 2026</w:t>
      </w:r>
      <w:r>
        <w:rPr>
          <w:rFonts w:ascii="Times New Roman" w:cs="Times New Roman" w:hAnsi="Times New Roman"/>
          <w:sz w:val="24"/>
          <w:szCs w:val="24"/>
        </w:rPr>
        <w:t xml:space="preserve">). The relatively low individualism index of </w:t>
      </w:r>
      <w:r>
        <w:rPr>
          <w:rFonts w:ascii="Times New Roman" w:cs="Times New Roman" w:hAnsi="Times New Roman"/>
          <w:sz w:val="24"/>
          <w:szCs w:val="24"/>
        </w:rPr>
        <w:t xml:space="preserve">India compared to that of </w:t>
      </w:r>
      <w:r>
        <w:rPr>
          <w:rFonts w:ascii="Times New Roman" w:cs="Times New Roman" w:hAnsi="Times New Roman"/>
          <w:sz w:val="24"/>
          <w:szCs w:val="24"/>
        </w:rPr>
        <w:t xml:space="preserve">the </w:t>
      </w:r>
      <w:r>
        <w:rPr>
          <w:rFonts w:ascii="Times New Roman" w:cs="Times New Roman" w:hAnsi="Times New Roman"/>
          <w:sz w:val="24"/>
          <w:szCs w:val="24"/>
        </w:rPr>
        <w:t>UK</w:t>
      </w:r>
      <w:r>
        <w:rPr>
          <w:rFonts w:ascii="Times New Roman" w:cs="Times New Roman" w:hAnsi="Times New Roman"/>
          <w:sz w:val="24"/>
          <w:szCs w:val="24"/>
        </w:rPr>
        <w:t>,</w:t>
      </w:r>
      <w:r>
        <w:rPr>
          <w:rFonts w:ascii="Times New Roman" w:cs="Times New Roman" w:hAnsi="Times New Roman"/>
          <w:sz w:val="24"/>
          <w:szCs w:val="24"/>
        </w:rPr>
        <w:t xml:space="preserve"> which has an extremely high individualism index</w:t>
      </w:r>
      <w:r>
        <w:rPr>
          <w:rFonts w:ascii="Times New Roman" w:cs="Times New Roman" w:hAnsi="Times New Roman"/>
          <w:sz w:val="24"/>
          <w:szCs w:val="24"/>
        </w:rPr>
        <w:t>,</w:t>
      </w:r>
      <w:r>
        <w:rPr>
          <w:rFonts w:ascii="Times New Roman" w:cs="Times New Roman" w:hAnsi="Times New Roman"/>
          <w:sz w:val="24"/>
          <w:szCs w:val="24"/>
        </w:rPr>
        <w:t xml:space="preserve"> justifies why Cadbury focuses on the aspect of family and occasions in India</w:t>
      </w:r>
      <w:r>
        <w:rPr>
          <w:rFonts w:ascii="Times New Roman" w:cs="Times New Roman" w:hAnsi="Times New Roman"/>
          <w:sz w:val="24"/>
          <w:szCs w:val="24"/>
        </w:rPr>
        <w:t>,</w:t>
      </w:r>
      <w:r>
        <w:rPr>
          <w:rFonts w:ascii="Times New Roman" w:cs="Times New Roman" w:hAnsi="Times New Roman"/>
          <w:sz w:val="24"/>
          <w:szCs w:val="24"/>
        </w:rPr>
        <w:t xml:space="preserve"> whereas the same does not happen in the UK (</w:t>
      </w:r>
      <w:r>
        <w:rPr>
          <w:rFonts w:ascii="Times New Roman" w:cs="Times New Roman" w:hAnsi="Times New Roman"/>
          <w:sz w:val="24"/>
          <w:szCs w:val="24"/>
        </w:rPr>
        <w:t>Hofstede, 2024</w:t>
      </w:r>
      <w:r>
        <w:rPr>
          <w:rFonts w:ascii="Times New Roman" w:cs="Times New Roman" w:hAnsi="Times New Roman"/>
          <w:sz w:val="24"/>
          <w:szCs w:val="24"/>
        </w:rPr>
        <w:t xml:space="preserve">). India's relatively low indulgence index also explains India's </w:t>
      </w:r>
      <w:r>
        <w:rPr>
          <w:rFonts w:ascii="Times New Roman" w:cs="Times New Roman" w:hAnsi="Times New Roman"/>
          <w:sz w:val="24"/>
          <w:szCs w:val="24"/>
        </w:rPr>
        <w:t>occasion-based</w:t>
      </w:r>
      <w:r>
        <w:rPr>
          <w:rFonts w:ascii="Times New Roman" w:cs="Times New Roman" w:hAnsi="Times New Roman"/>
          <w:sz w:val="24"/>
          <w:szCs w:val="24"/>
        </w:rPr>
        <w:t xml:space="preserve"> consumption behavior compared to the immediate gratification aspect of the UK's.</w:t>
      </w:r>
    </w:p>
    <w:p w14:paraId="02E6368A">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Power Distance dimension is low in the UK (35) and high in India (77), corresponding with the use by Cadbury of high-status endorsement from celebrities as a source of credibility in India (</w:t>
      </w:r>
      <w:r>
        <w:rPr>
          <w:rFonts w:ascii="Times New Roman" w:cs="Times New Roman" w:hAnsi="Times New Roman"/>
          <w:sz w:val="24"/>
          <w:szCs w:val="24"/>
        </w:rPr>
        <w:t>Hub24, 2026</w:t>
      </w:r>
      <w:r>
        <w:rPr>
          <w:rFonts w:ascii="Times New Roman" w:cs="Times New Roman" w:hAnsi="Times New Roman"/>
          <w:sz w:val="24"/>
          <w:szCs w:val="24"/>
        </w:rPr>
        <w:t xml:space="preserve">), something that is not so important in the UK market. The Individualism dimension is extremely high in the UK (89) but only moderately high in India (48), reflecting the fact that Cadbury markets </w:t>
      </w:r>
      <w:r>
        <w:rPr>
          <w:rFonts w:ascii="Times New Roman" w:cs="Times New Roman" w:hAnsi="Times New Roman"/>
          <w:sz w:val="24"/>
          <w:szCs w:val="24"/>
        </w:rPr>
        <w:t>confectionery</w:t>
      </w:r>
      <w:r>
        <w:rPr>
          <w:rFonts w:ascii="Times New Roman" w:cs="Times New Roman" w:hAnsi="Times New Roman"/>
          <w:sz w:val="24"/>
          <w:szCs w:val="24"/>
        </w:rPr>
        <w:t xml:space="preserve"> in the UK as a matter of individual enjoyment rather than collectivism (e.g., Kuch Meetha Ho Jaye) in India.</w:t>
      </w:r>
    </w:p>
    <w:p w14:paraId="56B055BD">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Value of the model is found in its empirical robustness and accessibility to practitioners (</w:t>
      </w:r>
      <w:r>
        <w:rPr>
          <w:rFonts w:ascii="Times New Roman" w:cs="Times New Roman" w:hAnsi="Times New Roman"/>
          <w:sz w:val="24"/>
          <w:szCs w:val="24"/>
        </w:rPr>
        <w:t>Hofstede, 2024</w:t>
      </w:r>
      <w:r>
        <w:rPr>
          <w:rFonts w:ascii="Times New Roman" w:cs="Times New Roman" w:hAnsi="Times New Roman"/>
          <w:sz w:val="24"/>
          <w:szCs w:val="24"/>
        </w:rPr>
        <w:t>); however, its weaknesses cannot be ignored: national level scores might end up underestimating the regional, religious and urban-rural diversity within India, and the model has been criticized on account of its western bias and lack of sensitivity to generational shifts (</w:t>
      </w:r>
      <w:r>
        <w:rPr>
          <w:rFonts w:ascii="Times New Roman" w:cs="Times New Roman" w:hAnsi="Times New Roman"/>
          <w:sz w:val="24"/>
          <w:szCs w:val="24"/>
        </w:rPr>
        <w:t>India Free Notes</w:t>
      </w:r>
      <w:r>
        <w:rPr>
          <w:rFonts w:ascii="Times New Roman" w:cs="Times New Roman" w:hAnsi="Times New Roman"/>
          <w:sz w:val="24"/>
          <w:szCs w:val="24"/>
        </w:rPr>
        <w:t xml:space="preserve">, 2024; </w:t>
      </w:r>
      <w:r>
        <w:rPr>
          <w:rFonts w:ascii="Times New Roman" w:cs="Times New Roman" w:hAnsi="Times New Roman"/>
          <w:sz w:val="24"/>
          <w:szCs w:val="24"/>
        </w:rPr>
        <w:t>Nickerson</w:t>
      </w:r>
      <w:r>
        <w:rPr>
          <w:rFonts w:ascii="Times New Roman" w:cs="Times New Roman" w:hAnsi="Times New Roman"/>
          <w:sz w:val="24"/>
          <w:szCs w:val="24"/>
        </w:rPr>
        <w:t xml:space="preserve">, 2025). In turn, national culture scores ought to be seen as a rough approximation of reality that does not necessarily predict consumer behavior </w:t>
      </w:r>
      <w:r>
        <w:rPr>
          <w:rFonts w:ascii="Times New Roman" w:cs="Times New Roman" w:hAnsi="Times New Roman"/>
          <w:sz w:val="24"/>
          <w:szCs w:val="24"/>
        </w:rPr>
        <w:t>-</w:t>
      </w:r>
      <w:r>
        <w:rPr>
          <w:rFonts w:ascii="Times New Roman" w:cs="Times New Roman" w:hAnsi="Times New Roman"/>
          <w:sz w:val="24"/>
          <w:szCs w:val="24"/>
        </w:rPr>
        <w:t xml:space="preserve"> a point with particular relevance for the ability of Cadbury's repositioning in India to be solely explained by cultural factors.</w:t>
      </w:r>
    </w:p>
    <w:bookmarkStart w:id="4" w:name="_Toc236681534"/>
    <w:p w14:paraId="5CEB565A">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A COMPARATIVE ANALYSIS OF STP AND THE INTERNATIONAL MARKETING MIX: CADBURY IN THE UK AND INDIA</w:t>
      </w:r>
      <w:bookmarkEnd w:id="4"/>
    </w:p>
    <w:bookmarkStart w:id="5" w:name="_Toc236681535"/>
    <w:p w14:paraId="72EB554F">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Segmentation, Targeting and Positioning</w:t>
      </w:r>
      <w:bookmarkEnd w:id="5"/>
    </w:p>
    <w:p w14:paraId="00C01AA2">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market segmentation of Cadbury in the UK takes place in an environment that is quite homogeneous and </w:t>
      </w:r>
      <w:r>
        <w:rPr>
          <w:rFonts w:ascii="Times New Roman" w:cs="Times New Roman" w:hAnsi="Times New Roman"/>
          <w:sz w:val="24"/>
          <w:szCs w:val="24"/>
        </w:rPr>
        <w:t>high-income</w:t>
      </w:r>
      <w:r>
        <w:rPr>
          <w:rFonts w:ascii="Times New Roman" w:cs="Times New Roman" w:hAnsi="Times New Roman"/>
          <w:sz w:val="24"/>
          <w:szCs w:val="24"/>
        </w:rPr>
        <w:t xml:space="preserve"> earners, with differentiation being based on age/lifestyle and seasons (Easter, Christmas and everyday snacking). The targeting in this case is general to the mass market but selective to those who are concerned about their health using </w:t>
      </w:r>
      <w:r>
        <w:rPr>
          <w:rFonts w:ascii="Times New Roman" w:cs="Times New Roman" w:hAnsi="Times New Roman"/>
          <w:sz w:val="24"/>
          <w:szCs w:val="24"/>
        </w:rPr>
        <w:t>low-calorie</w:t>
      </w:r>
      <w:r>
        <w:rPr>
          <w:rFonts w:ascii="Times New Roman" w:cs="Times New Roman" w:hAnsi="Times New Roman"/>
          <w:sz w:val="24"/>
          <w:szCs w:val="24"/>
        </w:rPr>
        <w:t xml:space="preserve"> products (</w:t>
      </w:r>
      <w:r>
        <w:rPr>
          <w:rFonts w:ascii="Times New Roman" w:cs="Times New Roman" w:hAnsi="Times New Roman"/>
          <w:sz w:val="24"/>
          <w:szCs w:val="24"/>
        </w:rPr>
        <w:t>Jha</w:t>
      </w:r>
      <w:r>
        <w:rPr>
          <w:rFonts w:ascii="Times New Roman" w:cs="Times New Roman" w:hAnsi="Times New Roman"/>
          <w:sz w:val="24"/>
          <w:szCs w:val="24"/>
        </w:rPr>
        <w:t>, 2025). However, this type of targeting may be problematic since</w:t>
      </w:r>
      <w:r>
        <w:rPr>
          <w:rFonts w:ascii="Times New Roman" w:cs="Times New Roman" w:hAnsi="Times New Roman"/>
          <w:sz w:val="24"/>
          <w:szCs w:val="24"/>
        </w:rPr>
        <w:t>,</w:t>
      </w:r>
      <w:r>
        <w:rPr>
          <w:rFonts w:ascii="Times New Roman" w:cs="Times New Roman" w:hAnsi="Times New Roman"/>
          <w:sz w:val="24"/>
          <w:szCs w:val="24"/>
        </w:rPr>
        <w:t xml:space="preserve"> in July 2025</w:t>
      </w:r>
      <w:r>
        <w:rPr>
          <w:rFonts w:ascii="Times New Roman" w:cs="Times New Roman" w:hAnsi="Times New Roman"/>
          <w:sz w:val="24"/>
          <w:szCs w:val="24"/>
        </w:rPr>
        <w:t>,</w:t>
      </w:r>
      <w:r>
        <w:rPr>
          <w:rFonts w:ascii="Times New Roman" w:cs="Times New Roman" w:hAnsi="Times New Roman"/>
          <w:sz w:val="24"/>
          <w:szCs w:val="24"/>
        </w:rPr>
        <w:t xml:space="preserve"> the Advertising Standards Authority banned the radio advertisement of Cadbury Delights because the advert was making an implied claim of "low energy" when the product contains 413-415 kcal per 100g</w:t>
      </w:r>
      <w:r>
        <w:rPr>
          <w:rFonts w:ascii="Times New Roman" w:cs="Times New Roman" w:hAnsi="Times New Roman"/>
          <w:sz w:val="24"/>
          <w:szCs w:val="24"/>
        </w:rPr>
        <w:t>,</w:t>
      </w:r>
      <w:r>
        <w:rPr>
          <w:rFonts w:ascii="Times New Roman" w:cs="Times New Roman" w:hAnsi="Times New Roman"/>
          <w:sz w:val="24"/>
          <w:szCs w:val="24"/>
        </w:rPr>
        <w:t xml:space="preserve"> which is far higher than the threshold of 40 kcal per 100g (</w:t>
      </w:r>
      <w:r>
        <w:rPr>
          <w:rFonts w:ascii="Times New Roman" w:cs="Times New Roman" w:hAnsi="Times New Roman"/>
          <w:sz w:val="24"/>
          <w:szCs w:val="24"/>
        </w:rPr>
        <w:t>Jha</w:t>
      </w:r>
      <w:r>
        <w:rPr>
          <w:rFonts w:ascii="Times New Roman" w:cs="Times New Roman" w:hAnsi="Times New Roman"/>
          <w:sz w:val="24"/>
          <w:szCs w:val="24"/>
        </w:rPr>
        <w:t>, 2025).</w:t>
      </w:r>
    </w:p>
    <w:p w14:paraId="4C2AE0BE">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The STP approach adopted by India is structurally different from its predecessor; in fact, it is not merely granular but price-segmented as well. Segmentation is based on a price-tier system where impulse-priced packs are for price-sensitive customers, mid-range bars are targeted at the middle-class urban Indians</w:t>
      </w:r>
      <w:r>
        <w:rPr>
          <w:rFonts w:ascii="Times New Roman" w:cs="Times New Roman" w:hAnsi="Times New Roman"/>
          <w:sz w:val="24"/>
          <w:szCs w:val="24"/>
        </w:rPr>
        <w:t>,</w:t>
      </w:r>
      <w:r>
        <w:rPr>
          <w:rFonts w:ascii="Times New Roman" w:cs="Times New Roman" w:hAnsi="Times New Roman"/>
          <w:sz w:val="24"/>
          <w:szCs w:val="24"/>
        </w:rPr>
        <w:t xml:space="preserve"> while premium gift ranges target rich and aspirational customers. Moreover, there is a seasonal aspect of festival timing involved (</w:t>
      </w:r>
      <w:r>
        <w:rPr>
          <w:rFonts w:ascii="Times New Roman" w:cs="Times New Roman" w:hAnsi="Times New Roman"/>
          <w:sz w:val="24"/>
          <w:szCs w:val="24"/>
        </w:rPr>
        <w:t>Hub24, 2026</w:t>
      </w:r>
      <w:r>
        <w:rPr>
          <w:rFonts w:ascii="Times New Roman" w:cs="Times New Roman" w:hAnsi="Times New Roman"/>
          <w:sz w:val="24"/>
          <w:szCs w:val="24"/>
        </w:rPr>
        <w:t>). In targeting, India is multi-tiered as there is a large range of income levels in the country. It requires repositioning, which includes positioning campaigns such as "Kuch Meetha Ho Jaye" and "Shubh Aarambh" that included chocolate in rituals that only used Indian sweets called mithai (</w:t>
      </w:r>
      <w:r>
        <w:rPr>
          <w:rFonts w:ascii="Times New Roman" w:cs="Times New Roman" w:hAnsi="Times New Roman"/>
          <w:sz w:val="24"/>
          <w:szCs w:val="24"/>
        </w:rPr>
        <w:t>Shastri</w:t>
      </w:r>
      <w:r>
        <w:rPr>
          <w:rFonts w:ascii="Times New Roman" w:cs="Times New Roman" w:hAnsi="Times New Roman"/>
          <w:sz w:val="24"/>
          <w:szCs w:val="24"/>
        </w:rPr>
        <w:t>, 2021</w:t>
      </w:r>
      <w:r>
        <w:rPr>
          <w:rFonts w:ascii="Times New Roman" w:cs="Times New Roman" w:hAnsi="Times New Roman"/>
          <w:sz w:val="24"/>
          <w:szCs w:val="24"/>
        </w:rPr>
        <w:t>).</w:t>
      </w:r>
    </w:p>
    <w:bookmarkStart w:id="6" w:name="_Toc236681536"/>
    <w:p w14:paraId="68BABD41">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The International Marketing Mix (7Ps)</w:t>
      </w:r>
      <w:bookmarkEnd w:id="6"/>
    </w:p>
    <w:p w14:paraId="6EC900C6">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Product. There have been recent innovations in the UK products, which include health-related products such as reduced calorie "Delights" bars (</w:t>
      </w:r>
      <w:r>
        <w:rPr>
          <w:rFonts w:ascii="Times New Roman" w:cs="Times New Roman" w:hAnsi="Times New Roman"/>
          <w:sz w:val="24"/>
          <w:szCs w:val="24"/>
        </w:rPr>
        <w:t>Jha</w:t>
      </w:r>
      <w:r>
        <w:rPr>
          <w:rFonts w:ascii="Times New Roman" w:cs="Times New Roman" w:hAnsi="Times New Roman"/>
          <w:sz w:val="24"/>
          <w:szCs w:val="24"/>
        </w:rPr>
        <w:t>, 2025). The India product range has been considerably changed to include India-specific products and complex gift packs designed for festivals based on the Cadbury category development strategy in India (</w:t>
      </w:r>
      <w:r>
        <w:rPr>
          <w:rFonts w:ascii="Times New Roman" w:cs="Times New Roman" w:hAnsi="Times New Roman"/>
          <w:sz w:val="24"/>
          <w:szCs w:val="24"/>
        </w:rPr>
        <w:t>Hub24, 2026</w:t>
      </w:r>
      <w:r>
        <w:rPr>
          <w:rFonts w:ascii="Times New Roman" w:cs="Times New Roman" w:hAnsi="Times New Roman"/>
          <w:sz w:val="24"/>
          <w:szCs w:val="24"/>
        </w:rPr>
        <w:t>).</w:t>
      </w:r>
    </w:p>
    <w:p w14:paraId="2D0046F7">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Pricing.</w:t>
      </w:r>
      <w:r>
        <w:rPr>
          <w:rFonts w:ascii="Times New Roman" w:cs="Times New Roman" w:hAnsi="Times New Roman"/>
          <w:sz w:val="24"/>
          <w:szCs w:val="24"/>
        </w:rPr>
        <w:t xml:space="preserve"> Pricing in the case of </w:t>
      </w:r>
      <w:r>
        <w:rPr>
          <w:rFonts w:ascii="Times New Roman" w:cs="Times New Roman" w:hAnsi="Times New Roman"/>
          <w:sz w:val="24"/>
          <w:szCs w:val="24"/>
        </w:rPr>
        <w:t xml:space="preserve">the </w:t>
      </w:r>
      <w:r>
        <w:rPr>
          <w:rFonts w:ascii="Times New Roman" w:cs="Times New Roman" w:hAnsi="Times New Roman"/>
          <w:sz w:val="24"/>
          <w:szCs w:val="24"/>
        </w:rPr>
        <w:t>UK is an example of an already established market with pressure on costs, where</w:t>
      </w:r>
      <w:r>
        <w:rPr>
          <w:rFonts w:ascii="Times New Roman" w:cs="Times New Roman" w:hAnsi="Times New Roman"/>
          <w:sz w:val="24"/>
          <w:szCs w:val="24"/>
        </w:rPr>
        <w:t>,</w:t>
      </w:r>
      <w:r>
        <w:rPr>
          <w:rFonts w:ascii="Times New Roman" w:cs="Times New Roman" w:hAnsi="Times New Roman"/>
          <w:sz w:val="24"/>
          <w:szCs w:val="24"/>
        </w:rPr>
        <w:t xml:space="preserve"> due to cocoa </w:t>
      </w:r>
      <w:r>
        <w:rPr>
          <w:rFonts w:ascii="Times New Roman" w:cs="Times New Roman" w:hAnsi="Times New Roman"/>
          <w:sz w:val="24"/>
          <w:szCs w:val="24"/>
        </w:rPr>
        <w:t>shortages</w:t>
      </w:r>
      <w:r>
        <w:rPr>
          <w:rFonts w:ascii="Times New Roman" w:cs="Times New Roman" w:hAnsi="Times New Roman"/>
          <w:sz w:val="24"/>
          <w:szCs w:val="24"/>
        </w:rPr>
        <w:t xml:space="preserve"> around the world</w:t>
      </w:r>
      <w:r>
        <w:rPr>
          <w:rFonts w:ascii="Times New Roman" w:cs="Times New Roman" w:hAnsi="Times New Roman"/>
          <w:sz w:val="24"/>
          <w:szCs w:val="24"/>
        </w:rPr>
        <w:t>,</w:t>
      </w:r>
      <w:r>
        <w:rPr>
          <w:rFonts w:ascii="Times New Roman" w:cs="Times New Roman" w:hAnsi="Times New Roman"/>
          <w:sz w:val="24"/>
          <w:szCs w:val="24"/>
        </w:rPr>
        <w:t xml:space="preserve"> prices reached multi-decade highs in the 2024-2025 period, leading to price </w:t>
      </w:r>
      <w:r>
        <w:rPr>
          <w:rFonts w:ascii="Times New Roman" w:cs="Times New Roman" w:hAnsi="Times New Roman"/>
          <w:sz w:val="24"/>
          <w:szCs w:val="24"/>
        </w:rPr>
        <w:t>increases</w:t>
      </w:r>
      <w:r>
        <w:rPr>
          <w:rFonts w:ascii="Times New Roman" w:cs="Times New Roman" w:hAnsi="Times New Roman"/>
          <w:sz w:val="24"/>
          <w:szCs w:val="24"/>
        </w:rPr>
        <w:t xml:space="preserve"> and shrinkflation by lowering pack sizes to maintain </w:t>
      </w:r>
      <w:r>
        <w:rPr>
          <w:rFonts w:ascii="Times New Roman" w:cs="Times New Roman" w:hAnsi="Times New Roman"/>
          <w:sz w:val="24"/>
          <w:szCs w:val="24"/>
        </w:rPr>
        <w:t>margins</w:t>
      </w:r>
      <w:r>
        <w:rPr>
          <w:rFonts w:ascii="Times New Roman" w:cs="Times New Roman" w:hAnsi="Times New Roman"/>
          <w:sz w:val="24"/>
          <w:szCs w:val="24"/>
        </w:rPr>
        <w:t xml:space="preserve"> (</w:t>
      </w:r>
      <w:r>
        <w:rPr>
          <w:rFonts w:ascii="Times New Roman" w:cs="Times New Roman" w:hAnsi="Times New Roman"/>
          <w:sz w:val="24"/>
          <w:szCs w:val="24"/>
        </w:rPr>
        <w:t>Southey, 2024</w:t>
      </w:r>
      <w:r>
        <w:rPr>
          <w:rFonts w:ascii="Times New Roman" w:cs="Times New Roman" w:hAnsi="Times New Roman"/>
          <w:sz w:val="24"/>
          <w:szCs w:val="24"/>
        </w:rPr>
        <w:t xml:space="preserve">; Confectionery News, 2025b). As opposed to </w:t>
      </w:r>
      <w:r>
        <w:rPr>
          <w:rFonts w:ascii="Times New Roman" w:cs="Times New Roman" w:hAnsi="Times New Roman"/>
          <w:sz w:val="24"/>
          <w:szCs w:val="24"/>
        </w:rPr>
        <w:t xml:space="preserve">the </w:t>
      </w:r>
      <w:r>
        <w:rPr>
          <w:rFonts w:ascii="Times New Roman" w:cs="Times New Roman" w:hAnsi="Times New Roman"/>
          <w:sz w:val="24"/>
          <w:szCs w:val="24"/>
        </w:rPr>
        <w:t>UK, the pricing in India is based on low unit price and high volume, being the basis of pricing for the category leader (Confectionery News, 2025b).</w:t>
      </w:r>
    </w:p>
    <w:p w14:paraId="2C116CE5">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Place</w:t>
      </w:r>
      <w:r>
        <w:rPr>
          <w:rFonts w:ascii="Times New Roman" w:cs="Times New Roman" w:hAnsi="Times New Roman"/>
          <w:i/>
          <w:iCs/>
          <w:sz w:val="24"/>
          <w:szCs w:val="24"/>
          <w:u w:val="single"/>
        </w:rPr>
        <w:t>.</w:t>
      </w:r>
      <w:r>
        <w:rPr>
          <w:rFonts w:ascii="Times New Roman" w:cs="Times New Roman" w:hAnsi="Times New Roman"/>
          <w:sz w:val="24"/>
          <w:szCs w:val="24"/>
        </w:rPr>
        <w:t xml:space="preserve"> The UK will be covered through major supermarkets, convenience retailing, and online groceries. For India, it will involve domestic manufacturing as well as a vast distribution network that consists of traditional or kirana stores that have spread out to all parts of India and </w:t>
      </w:r>
      <w:r>
        <w:rPr>
          <w:rFonts w:ascii="Times New Roman" w:cs="Times New Roman" w:hAnsi="Times New Roman"/>
          <w:sz w:val="24"/>
          <w:szCs w:val="24"/>
        </w:rPr>
        <w:t>are</w:t>
      </w:r>
      <w:r>
        <w:rPr>
          <w:rFonts w:ascii="Times New Roman" w:cs="Times New Roman" w:hAnsi="Times New Roman"/>
          <w:sz w:val="24"/>
          <w:szCs w:val="24"/>
        </w:rPr>
        <w:t xml:space="preserve"> being slowly supplemented by fast commerce applications.</w:t>
      </w:r>
    </w:p>
    <w:p w14:paraId="598CC25D">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Promotion.</w:t>
      </w:r>
      <w:r>
        <w:rPr>
          <w:rFonts w:ascii="Times New Roman" w:cs="Times New Roman" w:hAnsi="Times New Roman"/>
          <w:sz w:val="24"/>
          <w:szCs w:val="24"/>
        </w:rPr>
        <w:t xml:space="preserve"> Promotion in the UK is becoming increasingly restricted with HFSS restrictions on marketing to children under 16 years and the continuous interventions by the ASA (O'Brien, 2022; </w:t>
      </w:r>
      <w:r>
        <w:rPr>
          <w:rFonts w:ascii="Times New Roman" w:cs="Times New Roman" w:hAnsi="Times New Roman"/>
          <w:sz w:val="24"/>
          <w:szCs w:val="24"/>
        </w:rPr>
        <w:t>Jha</w:t>
      </w:r>
      <w:r>
        <w:rPr>
          <w:rFonts w:ascii="Times New Roman" w:cs="Times New Roman" w:hAnsi="Times New Roman"/>
          <w:sz w:val="24"/>
          <w:szCs w:val="24"/>
        </w:rPr>
        <w:t xml:space="preserve">, 2025). Promotion in India, however, has taken a more culturally sensitive approach with emotionally appealing </w:t>
      </w:r>
      <w:r>
        <w:rPr>
          <w:rFonts w:ascii="Times New Roman" w:cs="Times New Roman" w:hAnsi="Times New Roman"/>
          <w:sz w:val="24"/>
          <w:szCs w:val="24"/>
        </w:rPr>
        <w:t>festival-based</w:t>
      </w:r>
      <w:r>
        <w:rPr>
          <w:rFonts w:ascii="Times New Roman" w:cs="Times New Roman" w:hAnsi="Times New Roman"/>
          <w:sz w:val="24"/>
          <w:szCs w:val="24"/>
        </w:rPr>
        <w:t xml:space="preserve"> campaigns that place Cadbury in a part of the Indian cultural tradition as opposed to a foreign product. This is in line with India’s high PDI where the endorsement from celebrities is very persuasive (</w:t>
      </w:r>
      <w:r>
        <w:rPr>
          <w:rFonts w:ascii="Times New Roman" w:cs="Times New Roman" w:hAnsi="Times New Roman"/>
          <w:sz w:val="24"/>
          <w:szCs w:val="24"/>
        </w:rPr>
        <w:t>Hub24, 2026</w:t>
      </w:r>
      <w:r>
        <w:rPr>
          <w:rFonts w:ascii="Times New Roman" w:cs="Times New Roman" w:hAnsi="Times New Roman"/>
          <w:sz w:val="24"/>
          <w:szCs w:val="24"/>
        </w:rPr>
        <w:t xml:space="preserve">; </w:t>
      </w:r>
      <w:r>
        <w:rPr>
          <w:rFonts w:ascii="Times New Roman" w:cs="Times New Roman" w:hAnsi="Times New Roman"/>
          <w:sz w:val="24"/>
          <w:szCs w:val="24"/>
        </w:rPr>
        <w:t>Hofstede, 2024</w:t>
      </w:r>
      <w:r>
        <w:rPr>
          <w:rFonts w:ascii="Times New Roman" w:cs="Times New Roman" w:hAnsi="Times New Roman"/>
          <w:sz w:val="24"/>
          <w:szCs w:val="24"/>
        </w:rPr>
        <w:t>).</w:t>
      </w:r>
    </w:p>
    <w:p w14:paraId="4206BED8">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People.</w:t>
      </w:r>
      <w:r>
        <w:rPr>
          <w:rFonts w:ascii="Times New Roman" w:cs="Times New Roman" w:hAnsi="Times New Roman"/>
          <w:sz w:val="24"/>
          <w:szCs w:val="24"/>
        </w:rPr>
        <w:t xml:space="preserve"> In the UK, "people" is communicated largely via brand experience and digital communication with customers. In India, it extends well into the supply chain: "Mondelez India's field teams work with more than 100,000 smallholder cocoa farmers through the Cocoa Life initiative</w:t>
      </w:r>
      <w:r>
        <w:rPr>
          <w:rFonts w:ascii="Times New Roman" w:cs="Times New Roman" w:hAnsi="Times New Roman"/>
          <w:sz w:val="24"/>
          <w:szCs w:val="24"/>
        </w:rPr>
        <w:t xml:space="preserve"> </w:t>
      </w:r>
      <w:r>
        <w:rPr>
          <w:rFonts w:ascii="Times New Roman" w:cs="Times New Roman" w:hAnsi="Times New Roman"/>
          <w:sz w:val="24"/>
          <w:szCs w:val="24"/>
        </w:rPr>
        <w:t>(Mondelēz International, Inc, 2023)</w:t>
      </w:r>
      <w:r>
        <w:rPr>
          <w:rFonts w:ascii="Times New Roman" w:cs="Times New Roman" w:hAnsi="Times New Roman"/>
          <w:sz w:val="24"/>
          <w:szCs w:val="24"/>
        </w:rPr>
        <w:t>." Here, "people" is not only a customer-facing aspect but a sourcing and livelihood issue too.</w:t>
      </w:r>
    </w:p>
    <w:p w14:paraId="3E4D8850">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Process.</w:t>
      </w:r>
      <w:r>
        <w:rPr>
          <w:rFonts w:ascii="Times New Roman" w:cs="Times New Roman" w:hAnsi="Times New Roman"/>
          <w:sz w:val="24"/>
          <w:szCs w:val="24"/>
        </w:rPr>
        <w:t xml:space="preserve"> Both markets provide examples of the two levels of maturity in managing a crisis at various times in the company's development. </w:t>
      </w:r>
      <w:r>
        <w:rPr>
          <w:rFonts w:ascii="Times New Roman" w:cs="Times New Roman" w:hAnsi="Times New Roman"/>
          <w:sz w:val="24"/>
          <w:szCs w:val="24"/>
        </w:rPr>
        <w:t>In</w:t>
      </w:r>
      <w:r>
        <w:rPr>
          <w:rFonts w:ascii="Times New Roman" w:cs="Times New Roman" w:hAnsi="Times New Roman"/>
          <w:sz w:val="24"/>
          <w:szCs w:val="24"/>
        </w:rPr>
        <w:t xml:space="preserve"> May 2023, Müller, which manufactures the brand desserts under license, made a quick announcement of a precautionary recall of six dessert lines due to potential contamination with listeria. The company worked directly with the Food Standards Agency and provided consumer advice on the matter (Confectionery News, 2023; Food Standards Agency, 2023). It is considered to be good practice in process management. A process failure case in India is the "worm scandal" that happened in 2003 when insect contamination in Dairy Milk bars resulted in complete packaging redesign (Journalism University, 202</w:t>
      </w:r>
      <w:r>
        <w:rPr>
          <w:rFonts w:ascii="Times New Roman" w:cs="Times New Roman" w:hAnsi="Times New Roman"/>
          <w:sz w:val="24"/>
          <w:szCs w:val="24"/>
        </w:rPr>
        <w:t>4</w:t>
      </w:r>
      <w:r>
        <w:rPr>
          <w:rFonts w:ascii="Times New Roman" w:cs="Times New Roman" w:hAnsi="Times New Roman"/>
          <w:sz w:val="24"/>
          <w:szCs w:val="24"/>
        </w:rPr>
        <w:t xml:space="preserve">; </w:t>
      </w:r>
      <w:r>
        <w:rPr>
          <w:rFonts w:ascii="Times New Roman" w:cs="Times New Roman" w:hAnsi="Times New Roman"/>
          <w:sz w:val="24"/>
          <w:szCs w:val="24"/>
        </w:rPr>
        <w:t>Meritshot Team</w:t>
      </w:r>
      <w:r>
        <w:rPr>
          <w:rFonts w:ascii="Times New Roman" w:cs="Times New Roman" w:hAnsi="Times New Roman"/>
          <w:sz w:val="24"/>
          <w:szCs w:val="24"/>
        </w:rPr>
        <w:t>, 2026).</w:t>
      </w:r>
    </w:p>
    <w:p w14:paraId="3279E9BE">
      <w:pPr>
        <w:pStyle w:val="style0"/>
        <w:spacing w:lineRule="auto" w:line="360"/>
        <w:jc w:val="both"/>
        <w:rPr>
          <w:rFonts w:ascii="Times New Roman" w:cs="Times New Roman" w:hAnsi="Times New Roman"/>
          <w:sz w:val="24"/>
          <w:szCs w:val="24"/>
        </w:rPr>
      </w:pPr>
      <w:r>
        <w:rPr>
          <w:rFonts w:ascii="Times New Roman" w:cs="Times New Roman" w:hAnsi="Times New Roman"/>
          <w:i/>
          <w:iCs/>
          <w:sz w:val="24"/>
          <w:szCs w:val="24"/>
          <w:u w:val="single"/>
        </w:rPr>
        <w:t>Physical cues.</w:t>
      </w:r>
      <w:r>
        <w:rPr>
          <w:rFonts w:ascii="Times New Roman" w:cs="Times New Roman" w:hAnsi="Times New Roman"/>
          <w:sz w:val="24"/>
          <w:szCs w:val="24"/>
        </w:rPr>
        <w:t xml:space="preserve"> The purple </w:t>
      </w:r>
      <w:r>
        <w:rPr>
          <w:rFonts w:ascii="Times New Roman" w:cs="Times New Roman" w:hAnsi="Times New Roman"/>
          <w:sz w:val="24"/>
          <w:szCs w:val="24"/>
        </w:rPr>
        <w:t>livery has</w:t>
      </w:r>
      <w:r>
        <w:rPr>
          <w:rFonts w:ascii="Times New Roman" w:cs="Times New Roman" w:hAnsi="Times New Roman"/>
          <w:sz w:val="24"/>
          <w:szCs w:val="24"/>
        </w:rPr>
        <w:t xml:space="preserve"> continued to remain a consistent global asset. In the UK, it is communicated through in-store premium display; in India, it has been communicated through tamper-proof sealed </w:t>
      </w:r>
      <w:r>
        <w:rPr>
          <w:rFonts w:ascii="Times New Roman" w:cs="Times New Roman" w:hAnsi="Times New Roman"/>
          <w:sz w:val="24"/>
          <w:szCs w:val="24"/>
        </w:rPr>
        <w:t>packs</w:t>
      </w:r>
      <w:r>
        <w:rPr>
          <w:rFonts w:ascii="Times New Roman" w:cs="Times New Roman" w:hAnsi="Times New Roman"/>
          <w:sz w:val="24"/>
          <w:szCs w:val="24"/>
        </w:rPr>
        <w:t xml:space="preserve"> </w:t>
      </w:r>
      <w:r>
        <w:rPr>
          <w:rFonts w:ascii="Times New Roman" w:cs="Times New Roman" w:hAnsi="Times New Roman"/>
          <w:sz w:val="24"/>
          <w:szCs w:val="24"/>
        </w:rPr>
        <w:t>-</w:t>
      </w:r>
      <w:r>
        <w:rPr>
          <w:rFonts w:ascii="Times New Roman" w:cs="Times New Roman" w:hAnsi="Times New Roman"/>
          <w:sz w:val="24"/>
          <w:szCs w:val="24"/>
        </w:rPr>
        <w:t xml:space="preserve"> an aftermath of the crisis in 2003 </w:t>
      </w:r>
      <w:r>
        <w:rPr>
          <w:rFonts w:ascii="Times New Roman" w:cs="Times New Roman" w:hAnsi="Times New Roman"/>
          <w:sz w:val="24"/>
          <w:szCs w:val="24"/>
        </w:rPr>
        <w:t>-</w:t>
      </w:r>
      <w:r>
        <w:rPr>
          <w:rFonts w:ascii="Times New Roman" w:cs="Times New Roman" w:hAnsi="Times New Roman"/>
          <w:sz w:val="24"/>
          <w:szCs w:val="24"/>
        </w:rPr>
        <w:t xml:space="preserve"> and festival gift box display signifying occasion relevance.</w:t>
      </w:r>
    </w:p>
    <w:bookmarkStart w:id="7" w:name="_Toc236681537"/>
    <w:p w14:paraId="21A9E125">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Critical Comparison</w:t>
      </w:r>
      <w:bookmarkEnd w:id="7"/>
    </w:p>
    <w:p w14:paraId="4C1C1778">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In the context of the 7Ps, the UK combination is defensive and compliance-based, tailored for a saturated market in conditions of regulation and cost pressures, while the Indian combination is expansive and culturally-rooted, designed to transform a foreign good into a local category standard. Importantly, certain aspects of the UK and Indian processes/physical evidence mixes are not independent factors, but a result of past crisis management efforts</w:t>
      </w:r>
      <w:r>
        <w:rPr>
          <w:rFonts w:ascii="Times New Roman" w:cs="Times New Roman" w:hAnsi="Times New Roman"/>
          <w:sz w:val="24"/>
          <w:szCs w:val="24"/>
        </w:rPr>
        <w:t>- the</w:t>
      </w:r>
      <w:r>
        <w:rPr>
          <w:rFonts w:ascii="Times New Roman" w:cs="Times New Roman" w:hAnsi="Times New Roman"/>
          <w:sz w:val="24"/>
          <w:szCs w:val="24"/>
        </w:rPr>
        <w:t xml:space="preserve"> 2023 recall policy and </w:t>
      </w:r>
      <w:r>
        <w:rPr>
          <w:rFonts w:ascii="Times New Roman" w:cs="Times New Roman" w:hAnsi="Times New Roman"/>
          <w:sz w:val="24"/>
          <w:szCs w:val="24"/>
        </w:rPr>
        <w:t xml:space="preserve">the </w:t>
      </w:r>
      <w:r>
        <w:rPr>
          <w:rFonts w:ascii="Times New Roman" w:cs="Times New Roman" w:hAnsi="Times New Roman"/>
          <w:sz w:val="24"/>
          <w:szCs w:val="24"/>
        </w:rPr>
        <w:t>2003 packaging change</w:t>
      </w:r>
      <w:r>
        <w:rPr>
          <w:rFonts w:ascii="Times New Roman" w:cs="Times New Roman" w:hAnsi="Times New Roman"/>
          <w:sz w:val="24"/>
          <w:szCs w:val="24"/>
        </w:rPr>
        <w:t>,</w:t>
      </w:r>
      <w:r>
        <w:rPr>
          <w:rFonts w:ascii="Times New Roman" w:cs="Times New Roman" w:hAnsi="Times New Roman"/>
          <w:sz w:val="24"/>
          <w:szCs w:val="24"/>
        </w:rPr>
        <w:t xml:space="preserve"> respectively </w:t>
      </w:r>
      <w:r>
        <w:rPr>
          <w:rFonts w:ascii="Times New Roman" w:cs="Times New Roman" w:hAnsi="Times New Roman"/>
          <w:sz w:val="24"/>
          <w:szCs w:val="24"/>
        </w:rPr>
        <w:t>-</w:t>
      </w:r>
      <w:r>
        <w:rPr>
          <w:rFonts w:ascii="Times New Roman" w:cs="Times New Roman" w:hAnsi="Times New Roman"/>
          <w:sz w:val="24"/>
          <w:szCs w:val="24"/>
        </w:rPr>
        <w:t xml:space="preserve"> which means that Cadbury’s current level of operational strictness in these markets has a lot to do with institutional experience.</w:t>
      </w:r>
    </w:p>
    <w:bookmarkStart w:id="8" w:name="_Toc236681538"/>
    <w:p w14:paraId="7DE41F97">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MARKET ENTRY STRATEGY ANALYSIS: CADBURY'S ENTRY INTO INDIA</w:t>
      </w:r>
      <w:bookmarkEnd w:id="8"/>
    </w:p>
    <w:bookmarkStart w:id="9" w:name="_Toc236681539"/>
    <w:p w14:paraId="0FC0596A">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Overview of Entry Mode</w:t>
      </w:r>
      <w:bookmarkEnd w:id="9"/>
    </w:p>
    <w:p w14:paraId="682B9691">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Cadbury entered India in 1948, initially exporting finished chocolate products from abroad, then began manufacturing in India and adopted a wholly owned subsidiary strategy, which remains unchanged to date under the name </w:t>
      </w:r>
      <w:r>
        <w:rPr>
          <w:rFonts w:ascii="Times New Roman" w:cs="Times New Roman" w:hAnsi="Times New Roman"/>
          <w:sz w:val="24"/>
          <w:szCs w:val="24"/>
        </w:rPr>
        <w:t>Mondelez India Foods (</w:t>
      </w:r>
      <w:r>
        <w:rPr>
          <w:rFonts w:ascii="Times New Roman" w:cs="Times New Roman" w:hAnsi="Times New Roman"/>
          <w:sz w:val="24"/>
          <w:szCs w:val="24"/>
        </w:rPr>
        <w:t>Hub24, 2026</w:t>
      </w:r>
      <w:r>
        <w:rPr>
          <w:rFonts w:ascii="Times New Roman" w:cs="Times New Roman" w:hAnsi="Times New Roman"/>
          <w:sz w:val="24"/>
          <w:szCs w:val="24"/>
        </w:rPr>
        <w:t xml:space="preserve">; </w:t>
      </w:r>
      <w:r>
        <w:rPr>
          <w:rFonts w:ascii="Times New Roman" w:cs="Times New Roman" w:hAnsi="Times New Roman"/>
          <w:sz w:val="24"/>
          <w:szCs w:val="24"/>
        </w:rPr>
        <w:t>Sruthy Pisharady</w:t>
      </w:r>
      <w:r>
        <w:rPr>
          <w:rFonts w:ascii="Times New Roman" w:cs="Times New Roman" w:hAnsi="Times New Roman"/>
          <w:sz w:val="24"/>
          <w:szCs w:val="24"/>
        </w:rPr>
        <w:t>, 202</w:t>
      </w:r>
      <w:r>
        <w:rPr>
          <w:rFonts w:ascii="Times New Roman" w:cs="Times New Roman" w:hAnsi="Times New Roman"/>
          <w:sz w:val="24"/>
          <w:szCs w:val="24"/>
        </w:rPr>
        <w:t>0</w:t>
      </w:r>
      <w:r>
        <w:rPr>
          <w:rFonts w:ascii="Times New Roman" w:cs="Times New Roman" w:hAnsi="Times New Roman"/>
          <w:sz w:val="24"/>
          <w:szCs w:val="24"/>
        </w:rPr>
        <w:t>). In other words, from export entry to FDI entry, there has been an escalation of commitment on the part of Cadbury.</w:t>
      </w:r>
    </w:p>
    <w:bookmarkStart w:id="10" w:name="_Toc236681540"/>
    <w:p w14:paraId="700D77EC">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Theoretical Framework: The OLI (Eclectic) Paradigm</w:t>
      </w:r>
      <w:bookmarkEnd w:id="10"/>
    </w:p>
    <w:p w14:paraId="6A187476">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The OLI theory proposed by Dunning provides an appropriate tool for analyzing the above-mentioned entry strategy (</w:t>
      </w:r>
      <w:r>
        <w:rPr>
          <w:rFonts w:ascii="Times New Roman" w:cs="Times New Roman" w:hAnsi="Times New Roman"/>
          <w:sz w:val="24"/>
          <w:szCs w:val="24"/>
        </w:rPr>
        <w:t>Ailani</w:t>
      </w:r>
      <w:r>
        <w:rPr>
          <w:rFonts w:ascii="Times New Roman" w:cs="Times New Roman" w:hAnsi="Times New Roman"/>
          <w:sz w:val="24"/>
          <w:szCs w:val="24"/>
        </w:rPr>
        <w:t>, 2024</w:t>
      </w:r>
      <w:r>
        <w:rPr>
          <w:rFonts w:ascii="Times New Roman" w:cs="Times New Roman" w:hAnsi="Times New Roman"/>
          <w:sz w:val="24"/>
          <w:szCs w:val="24"/>
        </w:rPr>
        <w:t xml:space="preserve">; Grokipedia, 2026). This model suggests that FDI is preferred </w:t>
      </w:r>
      <w:r>
        <w:rPr>
          <w:rFonts w:ascii="Times New Roman" w:cs="Times New Roman" w:hAnsi="Times New Roman"/>
          <w:sz w:val="24"/>
          <w:szCs w:val="24"/>
        </w:rPr>
        <w:t>over</w:t>
      </w:r>
      <w:r>
        <w:rPr>
          <w:rFonts w:ascii="Times New Roman" w:cs="Times New Roman" w:hAnsi="Times New Roman"/>
          <w:sz w:val="24"/>
          <w:szCs w:val="24"/>
        </w:rPr>
        <w:t xml:space="preserve"> export and licensing in case a firm enjoys strengths in all three areas.</w:t>
      </w:r>
    </w:p>
    <w:p w14:paraId="6BC72226">
      <w:pPr>
        <w:pStyle w:val="style34"/>
        <w:keepNext/>
        <w:rPr/>
      </w:pPr>
      <w:r>
        <w:t xml:space="preserve">Table </w:t>
      </w:r>
      <w:r>
        <w:rPr/>
        <w:fldChar w:fldCharType="begin"/>
      </w:r>
      <w:r>
        <w:instrText xml:space="preserve"> SEQ Table \* ARABIC </w:instrText>
      </w:r>
      <w:r>
        <w:rPr/>
        <w:fldChar w:fldCharType="separate"/>
      </w:r>
      <w:r>
        <w:rPr>
          <w:noProof/>
        </w:rPr>
        <w:t>2</w:t>
      </w:r>
      <w:r>
        <w:rPr/>
        <w:fldChar w:fldCharType="end"/>
      </w:r>
      <w:r>
        <w:t xml:space="preserve">: </w:t>
      </w:r>
      <w:r>
        <w:t xml:space="preserve">OLI framework applied to Cadbury's India entry (adapted from </w:t>
      </w:r>
      <w:r>
        <w:t>Ailani</w:t>
      </w:r>
      <w:r>
        <w:t xml:space="preserve">, 2024 </w:t>
      </w:r>
      <w:r>
        <w:t>and Grokipedia, 2026).</w:t>
      </w:r>
    </w:p>
    <w:tbl>
      <w:tblPr>
        <w:tblW w:w="9618" w:type="dxa"/>
        <w:tblLook w:val="04A0" w:firstRow="1" w:lastRow="0" w:firstColumn="1" w:lastColumn="0" w:noHBand="0" w:noVBand="1"/>
      </w:tblPr>
      <w:tblGrid>
        <w:gridCol w:w="3197"/>
        <w:gridCol w:w="6421"/>
      </w:tblGrid>
      <w:tr w14:paraId="5AB02691">
        <w:trPr>
          <w:trHeight w:val="312" w:hRule="atLeast"/>
        </w:trPr>
        <w:tc>
          <w:tcPr>
            <w:tcW w:w="3197" w:type="dxa"/>
            <w:tcBorders>
              <w:top w:val="single" w:sz="4" w:space="0" w:color="auto"/>
              <w:left w:val="single" w:sz="4" w:space="0" w:color="auto"/>
              <w:bottom w:val="single" w:sz="4" w:space="0" w:color="auto"/>
              <w:right w:val="single" w:sz="4" w:space="0" w:color="auto"/>
            </w:tcBorders>
            <w:vAlign w:val="center"/>
            <w:hideMark/>
          </w:tcPr>
          <w:p w14:paraId="52D80C00">
            <w:pPr>
              <w:pStyle w:val="style0"/>
              <w:spacing w:after="0" w:lineRule="auto" w:line="360"/>
              <w:jc w:val="center"/>
              <w:rPr>
                <w:rFonts w:ascii="Times New Roman" w:cs="Times New Roman" w:eastAsia="Times New Roman" w:hAnsi="Times New Roman"/>
                <w:b/>
                <w:bCs/>
                <w:color w:val="000000"/>
                <w:kern w:val="0"/>
                <w:sz w:val="24"/>
                <w:szCs w:val="24"/>
                <w:lang w:eastAsia="en-IN"/>
                <w14:ligatures xmlns:w14="http://schemas.microsoft.com/office/word/2010/wordml" w14:val="none"/>
              </w:rPr>
            </w:pPr>
            <w:r>
              <w:rPr>
                <w:rFonts w:ascii="Times New Roman" w:cs="Times New Roman" w:eastAsia="Times New Roman" w:hAnsi="Times New Roman"/>
                <w:b/>
                <w:bCs/>
                <w:color w:val="000000"/>
                <w:kern w:val="0"/>
                <w:sz w:val="24"/>
                <w:szCs w:val="24"/>
                <w:lang w:eastAsia="en-IN"/>
                <w14:ligatures xmlns:w14="http://schemas.microsoft.com/office/word/2010/wordml" w14:val="none"/>
              </w:rPr>
              <w:t>OLI Dimension</w:t>
            </w:r>
          </w:p>
        </w:tc>
        <w:tc>
          <w:tcPr>
            <w:tcW w:w="6421" w:type="dxa"/>
            <w:tcBorders>
              <w:top w:val="single" w:sz="4" w:space="0" w:color="auto"/>
              <w:left w:val="nil"/>
              <w:bottom w:val="single" w:sz="4" w:space="0" w:color="auto"/>
              <w:right w:val="single" w:sz="4" w:space="0" w:color="auto"/>
            </w:tcBorders>
            <w:vAlign w:val="center"/>
            <w:hideMark/>
          </w:tcPr>
          <w:p w14:paraId="45514AD2">
            <w:pPr>
              <w:pStyle w:val="style0"/>
              <w:spacing w:after="0" w:lineRule="auto" w:line="360"/>
              <w:jc w:val="center"/>
              <w:rPr>
                <w:rFonts w:ascii="Times New Roman" w:cs="Times New Roman" w:eastAsia="Times New Roman" w:hAnsi="Times New Roman"/>
                <w:b/>
                <w:bCs/>
                <w:color w:val="000000"/>
                <w:kern w:val="0"/>
                <w:sz w:val="24"/>
                <w:szCs w:val="24"/>
                <w:lang w:eastAsia="en-IN"/>
                <w14:ligatures xmlns:w14="http://schemas.microsoft.com/office/word/2010/wordml" w14:val="none"/>
              </w:rPr>
            </w:pPr>
            <w:r>
              <w:rPr>
                <w:rFonts w:ascii="Times New Roman" w:cs="Times New Roman" w:eastAsia="Times New Roman" w:hAnsi="Times New Roman"/>
                <w:b/>
                <w:bCs/>
                <w:color w:val="000000"/>
                <w:kern w:val="0"/>
                <w:sz w:val="24"/>
                <w:szCs w:val="24"/>
                <w:lang w:eastAsia="en-IN"/>
                <w14:ligatures xmlns:w14="http://schemas.microsoft.com/office/word/2010/wordml" w14:val="none"/>
              </w:rPr>
              <w:t>Applied to Cadbury in India</w:t>
            </w:r>
          </w:p>
        </w:tc>
      </w:tr>
      <w:tr w14:paraId="7296538B">
        <w:tblPrEx/>
        <w:trPr>
          <w:trHeight w:val="967" w:hRule="atLeast"/>
        </w:trPr>
        <w:tc>
          <w:tcPr>
            <w:tcW w:w="3197" w:type="dxa"/>
            <w:tcBorders>
              <w:top w:val="nil"/>
              <w:left w:val="single" w:sz="4" w:space="0" w:color="auto"/>
              <w:bottom w:val="single" w:sz="4" w:space="0" w:color="auto"/>
              <w:right w:val="single" w:sz="4" w:space="0" w:color="auto"/>
            </w:tcBorders>
            <w:vAlign w:val="center"/>
            <w:hideMark/>
          </w:tcPr>
          <w:p w14:paraId="32C45F12">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Ownership advantage</w:t>
            </w:r>
          </w:p>
        </w:tc>
        <w:tc>
          <w:tcPr>
            <w:tcW w:w="6421" w:type="dxa"/>
            <w:tcBorders>
              <w:top w:val="nil"/>
              <w:left w:val="nil"/>
              <w:bottom w:val="single" w:sz="4" w:space="0" w:color="auto"/>
              <w:right w:val="single" w:sz="4" w:space="0" w:color="auto"/>
            </w:tcBorders>
            <w:vAlign w:val="center"/>
            <w:hideMark/>
          </w:tcPr>
          <w:p w14:paraId="327FF993">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An internationally recognised brand, proprietary recipes and established production know-how (</w:t>
            </w:r>
            <w:r>
              <w:rPr>
                <w:rFonts w:ascii="Times New Roman" w:cs="Times New Roman" w:eastAsia="Times New Roman" w:hAnsi="Times New Roman"/>
                <w:color w:val="000000"/>
                <w:kern w:val="0"/>
                <w:sz w:val="24"/>
                <w:szCs w:val="24"/>
                <w:lang w:eastAsia="en-IN"/>
                <w14:ligatures xmlns:w14="http://schemas.microsoft.com/office/word/2010/wordml" w14:val="none"/>
              </w:rPr>
              <w:t>Ailani</w:t>
            </w:r>
            <w:r>
              <w:rPr>
                <w:rFonts w:ascii="Times New Roman" w:cs="Times New Roman" w:eastAsia="Times New Roman" w:hAnsi="Times New Roman"/>
                <w:color w:val="000000"/>
                <w:kern w:val="0"/>
                <w:sz w:val="24"/>
                <w:szCs w:val="24"/>
                <w:lang w:eastAsia="en-IN"/>
                <w14:ligatures xmlns:w14="http://schemas.microsoft.com/office/word/2010/wordml" w14:val="none"/>
              </w:rPr>
              <w:t>, 2024</w:t>
            </w:r>
            <w:r>
              <w:rPr>
                <w:rFonts w:ascii="Times New Roman" w:cs="Times New Roman" w:eastAsia="Times New Roman" w:hAnsi="Times New Roman"/>
                <w:color w:val="000000"/>
                <w:kern w:val="0"/>
                <w:sz w:val="24"/>
                <w:szCs w:val="24"/>
                <w:lang w:eastAsia="en-IN"/>
                <w14:ligatures xmlns:w14="http://schemas.microsoft.com/office/word/2010/wordml" w14:val="none"/>
              </w:rPr>
              <w:t>)</w:t>
            </w:r>
          </w:p>
        </w:tc>
      </w:tr>
      <w:tr w14:paraId="0CE1D342">
        <w:tblPrEx/>
        <w:trPr>
          <w:trHeight w:val="967" w:hRule="atLeast"/>
        </w:trPr>
        <w:tc>
          <w:tcPr>
            <w:tcW w:w="3197" w:type="dxa"/>
            <w:tcBorders>
              <w:top w:val="nil"/>
              <w:left w:val="single" w:sz="4" w:space="0" w:color="auto"/>
              <w:bottom w:val="single" w:sz="4" w:space="0" w:color="auto"/>
              <w:right w:val="single" w:sz="4" w:space="0" w:color="auto"/>
            </w:tcBorders>
            <w:vAlign w:val="center"/>
            <w:hideMark/>
          </w:tcPr>
          <w:p w14:paraId="0C0FDEDB">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Location advantage</w:t>
            </w:r>
          </w:p>
        </w:tc>
        <w:tc>
          <w:tcPr>
            <w:tcW w:w="6421" w:type="dxa"/>
            <w:tcBorders>
              <w:top w:val="nil"/>
              <w:left w:val="nil"/>
              <w:bottom w:val="single" w:sz="4" w:space="0" w:color="auto"/>
              <w:right w:val="single" w:sz="4" w:space="0" w:color="auto"/>
            </w:tcBorders>
            <w:vAlign w:val="center"/>
            <w:hideMark/>
          </w:tcPr>
          <w:p w14:paraId="57E525A3">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A large, underserved population and an increasingly investment-friendly Indian FDI regime (</w:t>
            </w:r>
            <w:r>
              <w:rPr>
                <w:rFonts w:ascii="Times New Roman" w:cs="Times New Roman" w:eastAsia="Times New Roman" w:hAnsi="Times New Roman"/>
                <w:color w:val="000000"/>
                <w:kern w:val="0"/>
                <w:sz w:val="24"/>
                <w:szCs w:val="24"/>
                <w:lang w:eastAsia="en-IN"/>
                <w14:ligatures xmlns:w14="http://schemas.microsoft.com/office/word/2010/wordml" w14:val="none"/>
              </w:rPr>
              <w:t>Hub24, 2026</w:t>
            </w:r>
            <w:r>
              <w:rPr>
                <w:rFonts w:ascii="Times New Roman" w:cs="Times New Roman" w:eastAsia="Times New Roman" w:hAnsi="Times New Roman"/>
                <w:color w:val="000000"/>
                <w:kern w:val="0"/>
                <w:sz w:val="24"/>
                <w:szCs w:val="24"/>
                <w:lang w:eastAsia="en-IN"/>
                <w14:ligatures xmlns:w14="http://schemas.microsoft.com/office/word/2010/wordml" w14:val="none"/>
              </w:rPr>
              <w:t>)</w:t>
            </w:r>
          </w:p>
        </w:tc>
      </w:tr>
      <w:tr w14:paraId="77207D7A">
        <w:tblPrEx/>
        <w:trPr>
          <w:trHeight w:val="1290" w:hRule="atLeast"/>
        </w:trPr>
        <w:tc>
          <w:tcPr>
            <w:tcW w:w="3197" w:type="dxa"/>
            <w:tcBorders>
              <w:top w:val="nil"/>
              <w:left w:val="single" w:sz="4" w:space="0" w:color="auto"/>
              <w:bottom w:val="single" w:sz="4" w:space="0" w:color="auto"/>
              <w:right w:val="single" w:sz="4" w:space="0" w:color="auto"/>
            </w:tcBorders>
            <w:vAlign w:val="center"/>
            <w:hideMark/>
          </w:tcPr>
          <w:p w14:paraId="4E7233D0">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Internalisation advantage</w:t>
            </w:r>
          </w:p>
        </w:tc>
        <w:tc>
          <w:tcPr>
            <w:tcW w:w="6421" w:type="dxa"/>
            <w:tcBorders>
              <w:top w:val="nil"/>
              <w:left w:val="nil"/>
              <w:bottom w:val="single" w:sz="4" w:space="0" w:color="auto"/>
              <w:right w:val="single" w:sz="4" w:space="0" w:color="auto"/>
            </w:tcBorders>
            <w:vAlign w:val="center"/>
            <w:hideMark/>
          </w:tcPr>
          <w:p w14:paraId="0E3A8C2E">
            <w:pPr>
              <w:pStyle w:val="style0"/>
              <w:spacing w:after="0" w:lineRule="auto" w:line="360"/>
              <w:rPr>
                <w:rFonts w:ascii="Times New Roman" w:cs="Times New Roman" w:eastAsia="Times New Roman" w:hAnsi="Times New Roman"/>
                <w:color w:val="000000"/>
                <w:kern w:val="0"/>
                <w:sz w:val="24"/>
                <w:szCs w:val="24"/>
                <w:lang w:eastAsia="en-IN"/>
                <w14:ligatures xmlns:w14="http://schemas.microsoft.com/office/word/2010/wordml" w14:val="none"/>
              </w:rPr>
            </w:pPr>
            <w:r>
              <w:rPr>
                <w:rFonts w:ascii="Times New Roman" w:cs="Times New Roman" w:eastAsia="Times New Roman" w:hAnsi="Times New Roman"/>
                <w:color w:val="000000"/>
                <w:kern w:val="0"/>
                <w:sz w:val="24"/>
                <w:szCs w:val="24"/>
                <w:lang w:eastAsia="en-IN"/>
                <w14:ligatures xmlns:w14="http://schemas.microsoft.com/office/word/2010/wordml" w14:val="none"/>
              </w:rPr>
              <w:t>Wholly owned local production protected intellectual property and enabled full control over quality, pricing and distribution (Grokipedia, 2026)</w:t>
            </w:r>
          </w:p>
        </w:tc>
      </w:tr>
    </w:tbl>
    <w:p w14:paraId="06D4B765">
      <w:pPr>
        <w:pStyle w:val="style0"/>
        <w:spacing w:lineRule="auto" w:line="360"/>
        <w:jc w:val="both"/>
        <w:rPr>
          <w:rFonts w:ascii="Times New Roman" w:cs="Times New Roman" w:hAnsi="Times New Roman"/>
          <w:sz w:val="24"/>
          <w:szCs w:val="24"/>
        </w:rPr>
      </w:pPr>
    </w:p>
    <w:p w14:paraId="3F0AACBD">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this case, Cadbury met all three criteria, and hence, wholly owned FDI became a theoretically expected and empirically successful entry strategy. </w:t>
      </w:r>
    </w:p>
    <w:bookmarkStart w:id="11" w:name="_Toc236681541"/>
    <w:p w14:paraId="2C1FFCD3">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Advantages of the Chosen Entry Mode</w:t>
      </w:r>
      <w:bookmarkEnd w:id="11"/>
    </w:p>
    <w:p w14:paraId="724B47AB">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There were a number of benefits for Cadbury in terms of ownership. First of all, it meant that Cadbury had full control over the business and thus could freely change the recipe, price, and packaging of its products as described in the previous 7Ps analysis without any negotiations with its partners. Second of all, ownership ensured perfect protection of the brand value and intellectual property, which is one of the most important considerations, considering </w:t>
      </w:r>
      <w:r>
        <w:rPr>
          <w:rFonts w:ascii="Times New Roman" w:cs="Times New Roman" w:hAnsi="Times New Roman"/>
          <w:sz w:val="24"/>
          <w:szCs w:val="24"/>
        </w:rPr>
        <w:t xml:space="preserve">the size of the market. And, last but not the least, this full control was necessary for Cadbury twice in its business history in India </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to</w:t>
      </w:r>
      <w:r>
        <w:rPr>
          <w:rFonts w:ascii="Times New Roman" w:cs="Times New Roman" w:hAnsi="Times New Roman"/>
          <w:sz w:val="24"/>
          <w:szCs w:val="24"/>
        </w:rPr>
        <w:t xml:space="preserve"> successfully carry out the long-term repositioning campaign which helped to make Cadbury chocolate an everyday food product and even gift product (</w:t>
      </w:r>
      <w:r>
        <w:rPr>
          <w:rFonts w:ascii="Times New Roman" w:cs="Times New Roman" w:hAnsi="Times New Roman"/>
          <w:sz w:val="24"/>
          <w:szCs w:val="24"/>
        </w:rPr>
        <w:t>Hub24, 2026</w:t>
      </w:r>
      <w:r>
        <w:rPr>
          <w:rFonts w:ascii="Times New Roman" w:cs="Times New Roman" w:hAnsi="Times New Roman"/>
          <w:sz w:val="24"/>
          <w:szCs w:val="24"/>
        </w:rPr>
        <w:t>), and once again in 2003 when it faced the “worms” scandal related to the contamination of Dairy Milk bars by insects and thus complete packaging changes (Journalism University, 202</w:t>
      </w:r>
      <w:r>
        <w:rPr>
          <w:rFonts w:ascii="Times New Roman" w:cs="Times New Roman" w:hAnsi="Times New Roman"/>
          <w:sz w:val="24"/>
          <w:szCs w:val="24"/>
        </w:rPr>
        <w:t>4</w:t>
      </w:r>
      <w:r>
        <w:rPr>
          <w:rFonts w:ascii="Times New Roman" w:cs="Times New Roman" w:hAnsi="Times New Roman"/>
          <w:sz w:val="24"/>
          <w:szCs w:val="24"/>
        </w:rPr>
        <w:t xml:space="preserve">; </w:t>
      </w:r>
      <w:r>
        <w:rPr>
          <w:rFonts w:ascii="Times New Roman" w:cs="Times New Roman" w:hAnsi="Times New Roman"/>
          <w:sz w:val="24"/>
          <w:szCs w:val="24"/>
        </w:rPr>
        <w:t>Meritshot Team</w:t>
      </w:r>
      <w:r>
        <w:rPr>
          <w:rFonts w:ascii="Times New Roman" w:cs="Times New Roman" w:hAnsi="Times New Roman"/>
          <w:sz w:val="24"/>
          <w:szCs w:val="24"/>
        </w:rPr>
        <w:t xml:space="preserve">, 2026). In </w:t>
      </w:r>
      <w:r>
        <w:rPr>
          <w:rFonts w:ascii="Times New Roman" w:cs="Times New Roman" w:hAnsi="Times New Roman"/>
          <w:sz w:val="24"/>
          <w:szCs w:val="24"/>
        </w:rPr>
        <w:t xml:space="preserve">the </w:t>
      </w:r>
      <w:r>
        <w:rPr>
          <w:rFonts w:ascii="Times New Roman" w:cs="Times New Roman" w:hAnsi="Times New Roman"/>
          <w:sz w:val="24"/>
          <w:szCs w:val="24"/>
        </w:rPr>
        <w:t xml:space="preserve">case of </w:t>
      </w:r>
      <w:r>
        <w:rPr>
          <w:rFonts w:ascii="Times New Roman" w:cs="Times New Roman" w:hAnsi="Times New Roman"/>
          <w:sz w:val="24"/>
          <w:szCs w:val="24"/>
        </w:rPr>
        <w:t xml:space="preserve">a </w:t>
      </w:r>
      <w:r>
        <w:rPr>
          <w:rFonts w:ascii="Times New Roman" w:cs="Times New Roman" w:hAnsi="Times New Roman"/>
          <w:sz w:val="24"/>
          <w:szCs w:val="24"/>
        </w:rPr>
        <w:t xml:space="preserve">joint venture structure, the response time would be much longer because decisions in </w:t>
      </w:r>
      <w:r>
        <w:rPr>
          <w:rFonts w:ascii="Times New Roman" w:cs="Times New Roman" w:hAnsi="Times New Roman"/>
          <w:sz w:val="24"/>
          <w:szCs w:val="24"/>
        </w:rPr>
        <w:t>crises</w:t>
      </w:r>
      <w:r>
        <w:rPr>
          <w:rFonts w:ascii="Times New Roman" w:cs="Times New Roman" w:hAnsi="Times New Roman"/>
          <w:sz w:val="24"/>
          <w:szCs w:val="24"/>
        </w:rPr>
        <w:t xml:space="preserve"> require partners’ consensus.</w:t>
      </w:r>
    </w:p>
    <w:bookmarkStart w:id="12" w:name="_Toc236681542"/>
    <w:p w14:paraId="11E78F69">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Disadvantages of the Chosen Entry Mode</w:t>
      </w:r>
      <w:bookmarkEnd w:id="12"/>
    </w:p>
    <w:p w14:paraId="2371E21D">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However, there are some negatives with regard to the mode as well. </w:t>
      </w:r>
      <w:r>
        <w:rPr>
          <w:rFonts w:ascii="Times New Roman" w:cs="Times New Roman" w:hAnsi="Times New Roman"/>
          <w:sz w:val="24"/>
          <w:szCs w:val="24"/>
        </w:rPr>
        <w:t>A fully</w:t>
      </w:r>
      <w:r>
        <w:rPr>
          <w:rFonts w:ascii="Times New Roman" w:cs="Times New Roman" w:hAnsi="Times New Roman"/>
          <w:sz w:val="24"/>
          <w:szCs w:val="24"/>
        </w:rPr>
        <w:t xml:space="preserve"> owned venture demands significant investment at the outset and complete risk of political, regulatory</w:t>
      </w:r>
      <w:r>
        <w:rPr>
          <w:rFonts w:ascii="Times New Roman" w:cs="Times New Roman" w:hAnsi="Times New Roman"/>
          <w:sz w:val="24"/>
          <w:szCs w:val="24"/>
        </w:rPr>
        <w:t>,</w:t>
      </w:r>
      <w:r>
        <w:rPr>
          <w:rFonts w:ascii="Times New Roman" w:cs="Times New Roman" w:hAnsi="Times New Roman"/>
          <w:sz w:val="24"/>
          <w:szCs w:val="24"/>
        </w:rPr>
        <w:t xml:space="preserve"> and exchange rate risk, as there will be no local partner who can take care of this risk for the company. In addition, this mode means that all reputation risks fall solely on Cadbury; as was seen in the case of </w:t>
      </w:r>
      <w:r>
        <w:rPr>
          <w:rFonts w:ascii="Times New Roman" w:cs="Times New Roman" w:hAnsi="Times New Roman"/>
          <w:sz w:val="24"/>
          <w:szCs w:val="24"/>
        </w:rPr>
        <w:t xml:space="preserve">the </w:t>
      </w:r>
      <w:r>
        <w:rPr>
          <w:rFonts w:ascii="Times New Roman" w:cs="Times New Roman" w:hAnsi="Times New Roman"/>
          <w:sz w:val="24"/>
          <w:szCs w:val="24"/>
        </w:rPr>
        <w:t>2003 crisis, in case of failures in a fully owned venture, there is no local partner who can take any of the blame.</w:t>
      </w:r>
    </w:p>
    <w:bookmarkStart w:id="13" w:name="_Toc236681543"/>
    <w:p w14:paraId="17A360D9">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Critical Evaluation</w:t>
      </w:r>
      <w:bookmarkEnd w:id="13"/>
    </w:p>
    <w:p w14:paraId="13EAD2B2">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Considering Cadbury's long-term outlook and the size of the </w:t>
      </w:r>
      <w:r>
        <w:rPr>
          <w:rFonts w:ascii="Times New Roman" w:cs="Times New Roman" w:hAnsi="Times New Roman"/>
          <w:sz w:val="24"/>
          <w:szCs w:val="24"/>
        </w:rPr>
        <w:t>Indian</w:t>
      </w:r>
      <w:r>
        <w:rPr>
          <w:rFonts w:ascii="Times New Roman" w:cs="Times New Roman" w:hAnsi="Times New Roman"/>
          <w:sz w:val="24"/>
          <w:szCs w:val="24"/>
        </w:rPr>
        <w:t xml:space="preserve"> market opportunity, it is possible to say that fully-owned FDI was the right strategic decision, and market leadership results now provide retroactive validation for this choice (</w:t>
      </w:r>
      <w:r>
        <w:rPr>
          <w:rFonts w:ascii="Times New Roman" w:cs="Times New Roman" w:hAnsi="Times New Roman"/>
          <w:sz w:val="24"/>
          <w:szCs w:val="24"/>
        </w:rPr>
        <w:t>Hub24, 2026</w:t>
      </w:r>
      <w:r>
        <w:rPr>
          <w:rFonts w:ascii="Times New Roman" w:cs="Times New Roman" w:hAnsi="Times New Roman"/>
          <w:sz w:val="24"/>
          <w:szCs w:val="24"/>
        </w:rPr>
        <w:t xml:space="preserve">). Joint ventures or licenses would have allowed </w:t>
      </w:r>
      <w:r>
        <w:rPr>
          <w:rFonts w:ascii="Times New Roman" w:cs="Times New Roman" w:hAnsi="Times New Roman"/>
          <w:sz w:val="24"/>
          <w:szCs w:val="24"/>
        </w:rPr>
        <w:t xml:space="preserve">Cadbury to reduce financial and political risks initially and to acquire market knowledge more quickly </w:t>
      </w:r>
      <w:r>
        <w:rPr>
          <w:rFonts w:ascii="Times New Roman" w:cs="Times New Roman" w:hAnsi="Times New Roman"/>
          <w:sz w:val="24"/>
          <w:szCs w:val="24"/>
        </w:rPr>
        <w:t>through the help of local partners. But in all probability, these kinds of strategies would have limited the level of control that the company needed to exercise over its recipes</w:t>
      </w:r>
      <w:r>
        <w:rPr>
          <w:rFonts w:ascii="Times New Roman" w:cs="Times New Roman" w:hAnsi="Times New Roman"/>
          <w:sz w:val="24"/>
          <w:szCs w:val="24"/>
        </w:rPr>
        <w:t>,</w:t>
      </w:r>
      <w:r>
        <w:rPr>
          <w:rFonts w:ascii="Times New Roman" w:cs="Times New Roman" w:hAnsi="Times New Roman"/>
          <w:sz w:val="24"/>
          <w:szCs w:val="24"/>
        </w:rPr>
        <w:t xml:space="preserve"> quality assurance</w:t>
      </w:r>
      <w:r>
        <w:rPr>
          <w:rFonts w:ascii="Times New Roman" w:cs="Times New Roman" w:hAnsi="Times New Roman"/>
          <w:sz w:val="24"/>
          <w:szCs w:val="24"/>
        </w:rPr>
        <w:t>,</w:t>
      </w:r>
      <w:r>
        <w:rPr>
          <w:rFonts w:ascii="Times New Roman" w:cs="Times New Roman" w:hAnsi="Times New Roman"/>
          <w:sz w:val="24"/>
          <w:szCs w:val="24"/>
        </w:rPr>
        <w:t xml:space="preserve"> and positioning to make cultural repositioning successful and overcome </w:t>
      </w:r>
      <w:r>
        <w:rPr>
          <w:rFonts w:ascii="Times New Roman" w:cs="Times New Roman" w:hAnsi="Times New Roman"/>
          <w:sz w:val="24"/>
          <w:szCs w:val="24"/>
        </w:rPr>
        <w:t xml:space="preserve">the </w:t>
      </w:r>
      <w:r>
        <w:rPr>
          <w:rFonts w:ascii="Times New Roman" w:cs="Times New Roman" w:hAnsi="Times New Roman"/>
          <w:sz w:val="24"/>
          <w:szCs w:val="24"/>
        </w:rPr>
        <w:t xml:space="preserve">2003 crisis successfully. This is an important general lesson in international market entry theory: </w:t>
      </w:r>
      <w:r>
        <w:rPr>
          <w:rFonts w:ascii="Times New Roman" w:cs="Times New Roman" w:hAnsi="Times New Roman"/>
          <w:sz w:val="24"/>
          <w:szCs w:val="24"/>
        </w:rPr>
        <w:t>if a company's competitive advantage</w:t>
      </w:r>
      <w:r>
        <w:rPr>
          <w:rFonts w:ascii="Times New Roman" w:cs="Times New Roman" w:hAnsi="Times New Roman"/>
          <w:sz w:val="24"/>
          <w:szCs w:val="24"/>
        </w:rPr>
        <w:t xml:space="preserve"> consists in a high level of product integrity control and brand repositioning (which is important from a long-term perspective), then shared ownership may be too costly from a strategic point of view (Grokipedia, 2026; </w:t>
      </w:r>
      <w:r>
        <w:rPr>
          <w:rFonts w:ascii="Times New Roman" w:cs="Times New Roman" w:hAnsi="Times New Roman"/>
          <w:sz w:val="24"/>
          <w:szCs w:val="24"/>
        </w:rPr>
        <w:t>Ailani</w:t>
      </w:r>
      <w:r>
        <w:rPr>
          <w:rFonts w:ascii="Times New Roman" w:cs="Times New Roman" w:hAnsi="Times New Roman"/>
          <w:sz w:val="24"/>
          <w:szCs w:val="24"/>
        </w:rPr>
        <w:t>, 2024</w:t>
      </w:r>
      <w:r>
        <w:rPr>
          <w:rFonts w:ascii="Times New Roman" w:cs="Times New Roman" w:hAnsi="Times New Roman"/>
          <w:sz w:val="24"/>
          <w:szCs w:val="24"/>
        </w:rPr>
        <w:t>).</w:t>
      </w:r>
    </w:p>
    <w:p w14:paraId="376BD231">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Cadbury example from India is an important illustration of the application of the OLI framework; on the other hand, the Cadbury case is also an example that shows the only limitation of the OLI framework. The OLI framework is able to explain the benefits of FDI in </w:t>
      </w:r>
      <w:r>
        <w:rPr>
          <w:rFonts w:ascii="Times New Roman" w:cs="Times New Roman" w:hAnsi="Times New Roman"/>
          <w:sz w:val="24"/>
          <w:szCs w:val="24"/>
        </w:rPr>
        <w:t>the period of entering the market, but it is not able to explain how the gained control is useful in the future.</w:t>
      </w:r>
    </w:p>
    <w:bookmarkStart w:id="14" w:name="_Toc236681544"/>
    <w:p w14:paraId="1FF5539D">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AN EVALUATION OF ETHICAL ISSUES IN CADBURY'S MARKETING MIX: THE UNITED KINGDOM</w:t>
      </w:r>
      <w:bookmarkEnd w:id="14"/>
    </w:p>
    <w:p w14:paraId="2988CFD0">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Evaluation of whether there are any ethical problems in the marketing mix of the brand must be done by separating malpractice from routine regulation issues. When applied to Cadbury's marketing in the UK, it is evident that ethical problems persistently arise</w:t>
      </w:r>
      <w:r>
        <w:rPr>
          <w:rFonts w:ascii="Times New Roman" w:cs="Times New Roman" w:hAnsi="Times New Roman"/>
          <w:sz w:val="24"/>
          <w:szCs w:val="24"/>
        </w:rPr>
        <w:t>,</w:t>
      </w:r>
      <w:r>
        <w:rPr>
          <w:rFonts w:ascii="Times New Roman" w:cs="Times New Roman" w:hAnsi="Times New Roman"/>
          <w:sz w:val="24"/>
          <w:szCs w:val="24"/>
        </w:rPr>
        <w:t xml:space="preserve"> and in particular in the promotion aspect of the marketing mix.</w:t>
      </w:r>
    </w:p>
    <w:p w14:paraId="7E96FEC6">
      <w:pPr>
        <w:pStyle w:val="style0"/>
        <w:spacing w:lineRule="auto" w:line="360"/>
        <w:jc w:val="both"/>
        <w:rPr>
          <w:rFonts w:ascii="Times New Roman" w:cs="Times New Roman" w:hAnsi="Times New Roman"/>
          <w:i/>
          <w:iCs/>
          <w:sz w:val="24"/>
          <w:szCs w:val="24"/>
          <w:u w:val="single"/>
        </w:rPr>
      </w:pPr>
      <w:r>
        <w:rPr>
          <w:rFonts w:ascii="Times New Roman" w:cs="Times New Roman" w:hAnsi="Times New Roman"/>
          <w:i/>
          <w:iCs/>
          <w:sz w:val="24"/>
          <w:szCs w:val="24"/>
          <w:u w:val="single"/>
        </w:rPr>
        <w:t>Ethical Issue 1: Misleading Nutrition and Calorie Claims</w:t>
      </w:r>
    </w:p>
    <w:p w14:paraId="184E140A">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An ad for Cadbury Delights was banned by the Advertising Standards Authority (ASA), which stated that "only 91 calories." Thus, it was suggested that the snack bar was low in calories, which violates the guidelines of the Great Britain Nutrition and Health Claims Register (</w:t>
      </w:r>
      <w:r>
        <w:rPr>
          <w:rFonts w:ascii="Times New Roman" w:cs="Times New Roman" w:hAnsi="Times New Roman"/>
          <w:sz w:val="24"/>
          <w:szCs w:val="24"/>
        </w:rPr>
        <w:t>Jha</w:t>
      </w:r>
      <w:r>
        <w:rPr>
          <w:rFonts w:ascii="Times New Roman" w:cs="Times New Roman" w:hAnsi="Times New Roman"/>
          <w:sz w:val="24"/>
          <w:szCs w:val="24"/>
        </w:rPr>
        <w:t>, 2025). It mentions that the maximum allowable level of calories in a product when such a claim can be made is 40 kcal per 100g, while the levels of Cadbury Delights amount to 413-415 kcal per 100g (</w:t>
      </w:r>
      <w:r>
        <w:rPr>
          <w:rFonts w:ascii="Times New Roman" w:cs="Times New Roman" w:hAnsi="Times New Roman"/>
          <w:sz w:val="24"/>
          <w:szCs w:val="24"/>
        </w:rPr>
        <w:t>Jha</w:t>
      </w:r>
      <w:r>
        <w:rPr>
          <w:rFonts w:ascii="Times New Roman" w:cs="Times New Roman" w:hAnsi="Times New Roman"/>
          <w:sz w:val="24"/>
          <w:szCs w:val="24"/>
        </w:rPr>
        <w:t xml:space="preserve">, 2025). Moreover, the advert is </w:t>
      </w:r>
      <w:r>
        <w:rPr>
          <w:rFonts w:ascii="Times New Roman" w:cs="Times New Roman" w:hAnsi="Times New Roman"/>
          <w:sz w:val="24"/>
          <w:szCs w:val="24"/>
        </w:rPr>
        <w:t xml:space="preserve">an </w:t>
      </w:r>
      <w:r>
        <w:rPr>
          <w:rFonts w:ascii="Times New Roman" w:cs="Times New Roman" w:hAnsi="Times New Roman"/>
          <w:sz w:val="24"/>
          <w:szCs w:val="24"/>
        </w:rPr>
        <w:t xml:space="preserve">unsubstantiated "energy reduced" claim, since it has no at least 30% lower </w:t>
      </w:r>
      <w:r>
        <w:rPr>
          <w:rFonts w:ascii="Times New Roman" w:cs="Times New Roman" w:hAnsi="Times New Roman"/>
          <w:sz w:val="24"/>
          <w:szCs w:val="24"/>
        </w:rPr>
        <w:t>calorie content</w:t>
      </w:r>
      <w:r>
        <w:rPr>
          <w:rFonts w:ascii="Times New Roman" w:cs="Times New Roman" w:hAnsi="Times New Roman"/>
          <w:sz w:val="24"/>
          <w:szCs w:val="24"/>
        </w:rPr>
        <w:t xml:space="preserve"> than Cadbury's other bars (</w:t>
      </w:r>
      <w:r>
        <w:rPr>
          <w:rFonts w:ascii="Times New Roman" w:cs="Times New Roman" w:hAnsi="Times New Roman"/>
          <w:sz w:val="24"/>
          <w:szCs w:val="24"/>
        </w:rPr>
        <w:t>Niamh Leonard-Bedwell </w:t>
      </w:r>
      <w:r>
        <w:rPr>
          <w:rFonts w:ascii="Times New Roman" w:cs="Times New Roman" w:hAnsi="Times New Roman"/>
          <w:sz w:val="24"/>
          <w:szCs w:val="24"/>
        </w:rPr>
        <w:t>, 2025).</w:t>
      </w:r>
    </w:p>
    <w:p w14:paraId="18FA8532">
      <w:pPr>
        <w:pStyle w:val="style0"/>
        <w:spacing w:lineRule="auto" w:line="360"/>
        <w:jc w:val="both"/>
        <w:rPr>
          <w:rFonts w:ascii="Times New Roman" w:cs="Times New Roman" w:hAnsi="Times New Roman"/>
          <w:i/>
          <w:iCs/>
          <w:sz w:val="24"/>
          <w:szCs w:val="24"/>
          <w:u w:val="single"/>
        </w:rPr>
      </w:pPr>
      <w:r>
        <w:rPr>
          <w:rFonts w:ascii="Times New Roman" w:cs="Times New Roman" w:hAnsi="Times New Roman"/>
          <w:i/>
          <w:iCs/>
          <w:sz w:val="24"/>
          <w:szCs w:val="24"/>
          <w:u w:val="single"/>
        </w:rPr>
        <w:t>Ethical Issue 2: Advertising with Child Appeal</w:t>
      </w:r>
    </w:p>
    <w:p w14:paraId="03AE4D18">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Cadbury campaigns violating HFSS advertising guidelines restricting access to children aged below 16 have been observed in retrospective analysis (O'Brien, 2022). Although Cadbury claims not to market to children, the campaign has frequently been found to violate the guideline as the appeal is sufficient for children. It seems there has always been a conflict between the nostalgic tone used by Cadbury and the regulatory line that protects children from such marketing.</w:t>
      </w:r>
    </w:p>
    <w:p w14:paraId="55D3E37F">
      <w:pPr>
        <w:pStyle w:val="style0"/>
        <w:spacing w:lineRule="auto" w:line="360"/>
        <w:jc w:val="both"/>
        <w:rPr>
          <w:rFonts w:ascii="Times New Roman" w:cs="Times New Roman" w:hAnsi="Times New Roman"/>
          <w:i/>
          <w:iCs/>
          <w:sz w:val="24"/>
          <w:szCs w:val="24"/>
          <w:u w:val="single"/>
        </w:rPr>
      </w:pPr>
      <w:r>
        <w:rPr>
          <w:rFonts w:ascii="Times New Roman" w:cs="Times New Roman" w:hAnsi="Times New Roman"/>
          <w:i/>
          <w:iCs/>
          <w:sz w:val="24"/>
          <w:szCs w:val="24"/>
          <w:u w:val="single"/>
        </w:rPr>
        <w:t>Countervailing Ethical Practice</w:t>
      </w:r>
    </w:p>
    <w:p w14:paraId="50E8F811">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However, all behaviors are not equally problematic. Take, for instance, what happened at Müller </w:t>
      </w:r>
      <w:r>
        <w:rPr>
          <w:rFonts w:ascii="Times New Roman" w:cs="Times New Roman" w:hAnsi="Times New Roman"/>
          <w:sz w:val="24"/>
          <w:szCs w:val="24"/>
        </w:rPr>
        <w:t>-</w:t>
      </w:r>
      <w:r>
        <w:rPr>
          <w:rFonts w:ascii="Times New Roman" w:cs="Times New Roman" w:hAnsi="Times New Roman"/>
          <w:sz w:val="24"/>
          <w:szCs w:val="24"/>
        </w:rPr>
        <w:t xml:space="preserve"> a manufacturer of desserts under the name of Cadbury </w:t>
      </w:r>
      <w:r>
        <w:rPr>
          <w:rFonts w:ascii="Times New Roman" w:cs="Times New Roman" w:hAnsi="Times New Roman"/>
          <w:sz w:val="24"/>
          <w:szCs w:val="24"/>
        </w:rPr>
        <w:t>-</w:t>
      </w:r>
      <w:r>
        <w:rPr>
          <w:rFonts w:ascii="Times New Roman" w:cs="Times New Roman" w:hAnsi="Times New Roman"/>
          <w:sz w:val="24"/>
          <w:szCs w:val="24"/>
        </w:rPr>
        <w:t xml:space="preserve"> in May 2023. The firm made an urgent preventative recall of six types of desserts due to possible Listeria contamination and worked directly with the Food Standards Agency, giving timely information </w:t>
      </w:r>
      <w:r>
        <w:rPr>
          <w:rFonts w:ascii="Times New Roman" w:cs="Times New Roman" w:hAnsi="Times New Roman"/>
          <w:sz w:val="24"/>
          <w:szCs w:val="24"/>
        </w:rPr>
        <w:t>(Confectionery News, 2023). It is considered an exemplary case of crisis communication when ethical issues pertain only to claims.</w:t>
      </w:r>
    </w:p>
    <w:p w14:paraId="7ABC9651">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Critical Evaluation</w:t>
      </w:r>
    </w:p>
    <w:p w14:paraId="1F1B820B">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These cases reflect a real, recurring ethical dilemma, with a clear set of characteristics: marketing claims brought to the brink of legality, rectified only through regulatory action rather than a </w:t>
      </w:r>
      <w:r>
        <w:rPr>
          <w:rFonts w:ascii="Times New Roman" w:cs="Times New Roman" w:hAnsi="Times New Roman"/>
          <w:sz w:val="24"/>
          <w:szCs w:val="24"/>
        </w:rPr>
        <w:t>pre-emptive</w:t>
      </w:r>
      <w:r>
        <w:rPr>
          <w:rFonts w:ascii="Times New Roman" w:cs="Times New Roman" w:hAnsi="Times New Roman"/>
          <w:sz w:val="24"/>
          <w:szCs w:val="24"/>
        </w:rPr>
        <w:t xml:space="preserve"> review. In this way, the duty of consumer protection falls on the external regulating agency, which acts in response to the exposure. As opposed to the 2023 recall, this demonstrates that precautionary processes yield much better results compared to commercial marketing ones.</w:t>
      </w:r>
    </w:p>
    <w:p w14:paraId="12EC757E">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description of these violations as a form of intentional deception would be somewhat exaggerated, since in both cases these were technical violations, and Mondelez has agreed to the corrective measures without additional actions (</w:t>
      </w:r>
      <w:r>
        <w:rPr>
          <w:rFonts w:ascii="Times New Roman" w:cs="Times New Roman" w:hAnsi="Times New Roman"/>
          <w:sz w:val="24"/>
          <w:szCs w:val="24"/>
        </w:rPr>
        <w:t>Jha</w:t>
      </w:r>
      <w:r>
        <w:rPr>
          <w:rFonts w:ascii="Times New Roman" w:cs="Times New Roman" w:hAnsi="Times New Roman"/>
          <w:sz w:val="24"/>
          <w:szCs w:val="24"/>
        </w:rPr>
        <w:t xml:space="preserve">, 2025; O'Brien, 2022). Therefore, it is necessary to identify the issue as a systematic problem of insufficiently cautious marketing activity, caused by commercial interests, rather than as an example of bad faith. Thus, the proper course of action is </w:t>
      </w:r>
      <w:r>
        <w:rPr>
          <w:rFonts w:ascii="Times New Roman" w:cs="Times New Roman" w:hAnsi="Times New Roman"/>
          <w:sz w:val="24"/>
          <w:szCs w:val="24"/>
        </w:rPr>
        <w:t>a</w:t>
      </w:r>
      <w:r>
        <w:rPr>
          <w:rFonts w:ascii="Times New Roman" w:cs="Times New Roman" w:hAnsi="Times New Roman"/>
          <w:sz w:val="24"/>
          <w:szCs w:val="24"/>
        </w:rPr>
        <w:t xml:space="preserve"> thorough internal review process, including checking the claims in the GB Nutrition and Health Claims Register and the HFSS child appeal criteria </w:t>
      </w:r>
      <w:r>
        <w:rPr>
          <w:rFonts w:ascii="Times New Roman" w:cs="Times New Roman" w:hAnsi="Times New Roman"/>
          <w:sz w:val="24"/>
          <w:szCs w:val="24"/>
        </w:rPr>
        <w:t>before</w:t>
      </w:r>
      <w:r>
        <w:rPr>
          <w:rFonts w:ascii="Times New Roman" w:cs="Times New Roman" w:hAnsi="Times New Roman"/>
          <w:sz w:val="24"/>
          <w:szCs w:val="24"/>
        </w:rPr>
        <w:t xml:space="preserve"> broadcast.</w:t>
      </w:r>
    </w:p>
    <w:bookmarkStart w:id="15" w:name="_Toc236681545"/>
    <w:p w14:paraId="1E2D7F7E">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RECOMMENDATIONS FOR CADBURY'S INTERNATIONAL MARKETING STRATEGY</w:t>
      </w:r>
      <w:bookmarkEnd w:id="15"/>
    </w:p>
    <w:p w14:paraId="50FFEBDC">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1: Embed Pre-Clearance Review for UK Advertising</w:t>
      </w:r>
    </w:p>
    <w:p w14:paraId="13C74EEF">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In light of the consistent trend of ASA verdicts against Cadbury regarding its nutritional claims as well as appeals to children (O'Brien, 2022; </w:t>
      </w:r>
      <w:r>
        <w:rPr>
          <w:rFonts w:ascii="Times New Roman" w:cs="Times New Roman" w:hAnsi="Times New Roman"/>
          <w:sz w:val="24"/>
          <w:szCs w:val="24"/>
        </w:rPr>
        <w:t>Jha</w:t>
      </w:r>
      <w:r>
        <w:rPr>
          <w:rFonts w:ascii="Times New Roman" w:cs="Times New Roman" w:hAnsi="Times New Roman"/>
          <w:sz w:val="24"/>
          <w:szCs w:val="24"/>
        </w:rPr>
        <w:t>, 2025), Cadbury needs to build an internal pre-clearance system involving an independent review of nutrition/health claims against the GB Nutrition and Health Claims Register as well as creativity for child appeal against HFSS criteria before airing. This will be significantly less expensive compared to banning campaigns after the fact</w:t>
      </w:r>
      <w:r>
        <w:rPr>
          <w:rFonts w:ascii="Times New Roman" w:cs="Times New Roman" w:hAnsi="Times New Roman"/>
          <w:sz w:val="24"/>
          <w:szCs w:val="24"/>
        </w:rPr>
        <w:t>,</w:t>
      </w:r>
      <w:r>
        <w:rPr>
          <w:rFonts w:ascii="Times New Roman" w:cs="Times New Roman" w:hAnsi="Times New Roman"/>
          <w:sz w:val="24"/>
          <w:szCs w:val="24"/>
        </w:rPr>
        <w:t xml:space="preserve"> as well as the costs related to negative reputation.</w:t>
      </w:r>
    </w:p>
    <w:p w14:paraId="0811EA87">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2: Protect Affordability in India Through Continued Pack Innovation</w:t>
      </w:r>
    </w:p>
    <w:p w14:paraId="292D46AE">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Since the prices of cocoa continue to be high (Confectionery News, 2025b; </w:t>
      </w:r>
      <w:r>
        <w:rPr>
          <w:rFonts w:ascii="Times New Roman" w:cs="Times New Roman" w:hAnsi="Times New Roman"/>
          <w:sz w:val="24"/>
          <w:szCs w:val="24"/>
        </w:rPr>
        <w:t>Southey, 2024</w:t>
      </w:r>
      <w:r>
        <w:rPr>
          <w:rFonts w:ascii="Times New Roman" w:cs="Times New Roman" w:hAnsi="Times New Roman"/>
          <w:sz w:val="24"/>
          <w:szCs w:val="24"/>
        </w:rPr>
        <w:t xml:space="preserve">), Cadbury has no choice but to innovate on its pack sizes and pricing strategy in India and should definitely not consider increasing its prices due to the importance of affordability </w:t>
      </w:r>
      <w:r>
        <w:rPr>
          <w:rFonts w:ascii="Times New Roman" w:cs="Times New Roman" w:hAnsi="Times New Roman"/>
          <w:sz w:val="24"/>
          <w:szCs w:val="24"/>
        </w:rPr>
        <w:t>in helping it maintain the market leadership position it has attained for many years (</w:t>
      </w:r>
      <w:r>
        <w:rPr>
          <w:rFonts w:ascii="Times New Roman" w:cs="Times New Roman" w:hAnsi="Times New Roman"/>
          <w:sz w:val="24"/>
          <w:szCs w:val="24"/>
        </w:rPr>
        <w:t>Hub24, 2026</w:t>
      </w:r>
      <w:r>
        <w:rPr>
          <w:rFonts w:ascii="Times New Roman" w:cs="Times New Roman" w:hAnsi="Times New Roman"/>
          <w:sz w:val="24"/>
          <w:szCs w:val="24"/>
        </w:rPr>
        <w:t>). This is due to the fact that India has high-growth</w:t>
      </w:r>
      <w:r>
        <w:rPr>
          <w:rFonts w:ascii="Times New Roman" w:cs="Times New Roman" w:hAnsi="Times New Roman"/>
          <w:sz w:val="24"/>
          <w:szCs w:val="24"/>
        </w:rPr>
        <w:t>,</w:t>
      </w:r>
      <w:r>
        <w:rPr>
          <w:rFonts w:ascii="Times New Roman" w:cs="Times New Roman" w:hAnsi="Times New Roman"/>
          <w:sz w:val="24"/>
          <w:szCs w:val="24"/>
        </w:rPr>
        <w:t xml:space="preserve"> price-sensitive demand.</w:t>
      </w:r>
    </w:p>
    <w:p w14:paraId="67DBC3FD">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3: Formalise a Global Crisis-Response Playbook</w:t>
      </w:r>
    </w:p>
    <w:p w14:paraId="38408D7B">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The 2023 recall of Müller lollipop products due to listeria contamination was an example of clear, swift crisis communication managed by the FSA (Confectionery News, 2023), whereas the 2003 reformulation of packaging design in India following the "worm controversy" is another example of swift, albeit more gradual, action taken to fix the situation (</w:t>
      </w:r>
      <w:r>
        <w:rPr>
          <w:rFonts w:ascii="Times New Roman" w:cs="Times New Roman" w:hAnsi="Times New Roman"/>
          <w:sz w:val="24"/>
          <w:szCs w:val="24"/>
        </w:rPr>
        <w:t>Meritshot Team</w:t>
      </w:r>
      <w:r>
        <w:rPr>
          <w:rFonts w:ascii="Times New Roman" w:cs="Times New Roman" w:hAnsi="Times New Roman"/>
          <w:sz w:val="24"/>
          <w:szCs w:val="24"/>
        </w:rPr>
        <w:t>, 2026). Cadbury should institutionalize the above examples into a single global crisis management policy for all markets worldwide.</w:t>
      </w:r>
    </w:p>
    <w:p w14:paraId="7B618CB5">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4: Continue Evidence-Based Sustainability Communication</w:t>
      </w:r>
    </w:p>
    <w:p w14:paraId="428FFF1A">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funding provided by Cocoa Life to more than 100,000 small-scale farmers in southern India </w:t>
      </w:r>
      <w:r>
        <w:rPr>
          <w:rFonts w:ascii="Times New Roman" w:cs="Times New Roman" w:hAnsi="Times New Roman"/>
          <w:sz w:val="24"/>
          <w:szCs w:val="24"/>
        </w:rPr>
        <w:t>(Mondelēz International, Inc, 2023)</w:t>
      </w:r>
      <w:r>
        <w:rPr>
          <w:rFonts w:ascii="Times New Roman" w:cs="Times New Roman" w:hAnsi="Times New Roman"/>
          <w:sz w:val="24"/>
          <w:szCs w:val="24"/>
        </w:rPr>
        <w:t>, along with their commitments to combating deforestation and improving livelihoods (</w:t>
      </w:r>
      <w:r>
        <w:rPr>
          <w:rFonts w:ascii="Times New Roman" w:cs="Times New Roman" w:hAnsi="Times New Roman"/>
          <w:sz w:val="24"/>
          <w:szCs w:val="24"/>
        </w:rPr>
        <w:t>Cocoa Life, 2024</w:t>
      </w:r>
      <w:r>
        <w:rPr>
          <w:rFonts w:ascii="Times New Roman" w:cs="Times New Roman" w:hAnsi="Times New Roman"/>
          <w:sz w:val="24"/>
          <w:szCs w:val="24"/>
        </w:rPr>
        <w:t>), constitutes an authentic, systemic strength of ethics. It would be wise for Cadbury to keep publicizing these initiatives supported by independently verified data, as sustainable claims are much more likely to withstand regulation and publicity than aspirational statements, which is what the Delights ruling proves.</w:t>
      </w:r>
    </w:p>
    <w:p w14:paraId="4D560E49">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5: Maintain Cultural Customization Instead of Standardization</w:t>
      </w:r>
    </w:p>
    <w:p w14:paraId="0C6C4140">
      <w:pPr>
        <w:pStyle w:val="style0"/>
        <w:spacing w:lineRule="auto" w:line="360"/>
        <w:ind w:firstLine="720"/>
        <w:jc w:val="both"/>
        <w:rPr>
          <w:rFonts w:ascii="Times New Roman" w:cs="Times New Roman" w:hAnsi="Times New Roman"/>
          <w:sz w:val="24"/>
          <w:szCs w:val="24"/>
        </w:rPr>
      </w:pPr>
      <w:r>
        <w:rPr>
          <w:rFonts w:ascii="Times New Roman" w:cs="Times New Roman" w:hAnsi="Times New Roman"/>
          <w:sz w:val="24"/>
          <w:szCs w:val="24"/>
        </w:rPr>
        <w:t>Approach (a) and (b)'s Hofstede and 7Ps show that consumers in Great Britain and India are influenced by two entirely opposing types of cultural logic, namely the logic of individual indulgence in the former and collective celebration for a certain event in the latter (</w:t>
      </w:r>
      <w:r>
        <w:rPr>
          <w:rFonts w:ascii="Times New Roman" w:cs="Times New Roman" w:hAnsi="Times New Roman"/>
          <w:sz w:val="24"/>
          <w:szCs w:val="24"/>
        </w:rPr>
        <w:t>Hofstede, 2024</w:t>
      </w:r>
      <w:r>
        <w:rPr>
          <w:rFonts w:ascii="Times New Roman" w:cs="Times New Roman" w:hAnsi="Times New Roman"/>
          <w:sz w:val="24"/>
          <w:szCs w:val="24"/>
        </w:rPr>
        <w:t xml:space="preserve">). Cadbury should avoid attempts at standardization of marketing mix components and continue the process of customization of positioning, promotion, and product development to suit the cultural context, maintaining </w:t>
      </w:r>
      <w:r>
        <w:rPr>
          <w:rFonts w:ascii="Times New Roman" w:cs="Times New Roman" w:hAnsi="Times New Roman"/>
          <w:sz w:val="24"/>
          <w:szCs w:val="24"/>
        </w:rPr>
        <w:t xml:space="preserve">the </w:t>
      </w:r>
      <w:r>
        <w:rPr>
          <w:rFonts w:ascii="Times New Roman" w:cs="Times New Roman" w:hAnsi="Times New Roman"/>
          <w:sz w:val="24"/>
          <w:szCs w:val="24"/>
        </w:rPr>
        <w:t xml:space="preserve">purple color palette as the only connection point between all the markets. This recommendation is based on the fact that the success of India was achieved through </w:t>
      </w:r>
      <w:r>
        <w:rPr>
          <w:rFonts w:ascii="Times New Roman" w:cs="Times New Roman" w:hAnsi="Times New Roman"/>
          <w:sz w:val="24"/>
          <w:szCs w:val="24"/>
        </w:rPr>
        <w:t xml:space="preserve">a </w:t>
      </w:r>
      <w:r>
        <w:rPr>
          <w:rFonts w:ascii="Times New Roman" w:cs="Times New Roman" w:hAnsi="Times New Roman"/>
          <w:sz w:val="24"/>
          <w:szCs w:val="24"/>
        </w:rPr>
        <w:t>redesign strategy rather than localization (</w:t>
      </w:r>
      <w:r>
        <w:rPr>
          <w:rFonts w:ascii="Times New Roman" w:cs="Times New Roman" w:hAnsi="Times New Roman"/>
          <w:sz w:val="24"/>
          <w:szCs w:val="24"/>
        </w:rPr>
        <w:t>Hub24, 2026</w:t>
      </w:r>
      <w:r>
        <w:rPr>
          <w:rFonts w:ascii="Times New Roman" w:cs="Times New Roman" w:hAnsi="Times New Roman"/>
          <w:sz w:val="24"/>
          <w:szCs w:val="24"/>
        </w:rPr>
        <w:t>).</w:t>
      </w:r>
    </w:p>
    <w:p w14:paraId="300FDCF0">
      <w:pPr>
        <w:pStyle w:val="style0"/>
        <w:spacing w:lineRule="auto" w:line="360"/>
        <w:jc w:val="both"/>
        <w:rPr>
          <w:rFonts w:ascii="Times New Roman" w:cs="Times New Roman" w:hAnsi="Times New Roman"/>
          <w:b/>
          <w:bCs/>
          <w:i/>
          <w:iCs/>
          <w:sz w:val="24"/>
          <w:szCs w:val="24"/>
        </w:rPr>
      </w:pPr>
      <w:r>
        <w:rPr>
          <w:rFonts w:ascii="Times New Roman" w:cs="Times New Roman" w:hAnsi="Times New Roman"/>
          <w:b/>
          <w:bCs/>
          <w:i/>
          <w:iCs/>
          <w:sz w:val="24"/>
          <w:szCs w:val="24"/>
        </w:rPr>
        <w:t>Recommendation 6: Proactively Monitor SDIL Extension Until 2028</w:t>
      </w:r>
    </w:p>
    <w:p w14:paraId="38754D08">
      <w:pPr>
        <w:pStyle w:val="style0"/>
        <w:spacing w:lineRule="auto" w:line="360"/>
        <w:ind w:firstLine="720"/>
        <w:jc w:val="both"/>
        <w:rPr>
          <w:rFonts w:ascii="Times New Roman" w:cs="Times New Roman" w:hAnsi="Times New Roman"/>
          <w:sz w:val="24"/>
          <w:szCs w:val="24"/>
        </w:rPr>
      </w:pPr>
      <w:r>
        <w:rPr>
          <w:rFonts w:ascii="Times New Roman" w:cs="Times New Roman" w:hAnsi="Times New Roman"/>
          <w:sz w:val="24"/>
          <w:szCs w:val="24"/>
        </w:rPr>
        <w:t>As SDIL is going to affect sweetened milk-based drinks starting January 2028, reducing the threshold of sugar content (</w:t>
      </w:r>
      <w:r>
        <w:rPr>
          <w:rFonts w:ascii="Times New Roman" w:cs="Times New Roman" w:hAnsi="Times New Roman"/>
          <w:sz w:val="24"/>
          <w:szCs w:val="24"/>
        </w:rPr>
        <w:t>Brogaard</w:t>
      </w:r>
      <w:r>
        <w:rPr>
          <w:rFonts w:ascii="Times New Roman" w:cs="Times New Roman" w:hAnsi="Times New Roman"/>
          <w:sz w:val="24"/>
          <w:szCs w:val="24"/>
        </w:rPr>
        <w:t xml:space="preserve"> </w:t>
      </w:r>
      <w:r>
        <w:rPr>
          <w:rFonts w:ascii="Times New Roman" w:cs="Times New Roman" w:hAnsi="Times New Roman"/>
          <w:sz w:val="24"/>
          <w:szCs w:val="24"/>
        </w:rPr>
        <w:t>and Vyas</w:t>
      </w:r>
      <w:r>
        <w:rPr>
          <w:rFonts w:ascii="Times New Roman" w:cs="Times New Roman" w:hAnsi="Times New Roman"/>
          <w:sz w:val="24"/>
          <w:szCs w:val="24"/>
        </w:rPr>
        <w:t xml:space="preserve">, 2026), Cadbury needs to think of product </w:t>
      </w:r>
      <w:r>
        <w:rPr>
          <w:rFonts w:ascii="Times New Roman" w:cs="Times New Roman" w:hAnsi="Times New Roman"/>
          <w:sz w:val="24"/>
          <w:szCs w:val="24"/>
        </w:rPr>
        <w:t>modifications in advance to prevent additional costs and avoid yet another shrinkflation due to the cocoa shortage in 2024-2025.</w:t>
      </w:r>
    </w:p>
    <w:p w14:paraId="6F88E6A9">
      <w:pPr>
        <w:pStyle w:val="style0"/>
        <w:spacing w:lineRule="auto" w:line="360"/>
        <w:jc w:val="both"/>
        <w:rPr>
          <w:rFonts w:ascii="Times New Roman" w:cs="Times New Roman" w:hAnsi="Times New Roman"/>
          <w:b/>
          <w:bCs/>
          <w:sz w:val="24"/>
          <w:szCs w:val="24"/>
        </w:rPr>
      </w:pPr>
      <w:r>
        <w:rPr>
          <w:rFonts w:ascii="Times New Roman" w:cs="Times New Roman" w:hAnsi="Times New Roman"/>
          <w:b/>
          <w:bCs/>
          <w:sz w:val="24"/>
          <w:szCs w:val="24"/>
        </w:rPr>
        <w:t>Concluding Justification</w:t>
      </w:r>
    </w:p>
    <w:p w14:paraId="6AB42F45">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Based on the findings from the current report, Cadbury practices two different yet consistently branded international marketing strategies that have different </w:t>
      </w:r>
      <w:r>
        <w:rPr>
          <w:rFonts w:ascii="Times New Roman" w:cs="Times New Roman" w:hAnsi="Times New Roman"/>
          <w:sz w:val="24"/>
          <w:szCs w:val="24"/>
        </w:rPr>
        <w:t>structures</w:t>
      </w:r>
      <w:r>
        <w:rPr>
          <w:rFonts w:ascii="Times New Roman" w:cs="Times New Roman" w:hAnsi="Times New Roman"/>
          <w:sz w:val="24"/>
          <w:szCs w:val="24"/>
        </w:rPr>
        <w:t xml:space="preserve">. In the UK, Cadbury maintains its </w:t>
      </w:r>
      <w:r>
        <w:rPr>
          <w:rFonts w:ascii="Times New Roman" w:cs="Times New Roman" w:hAnsi="Times New Roman"/>
          <w:sz w:val="24"/>
          <w:szCs w:val="24"/>
        </w:rPr>
        <w:t>mature</w:t>
      </w:r>
      <w:r>
        <w:rPr>
          <w:rFonts w:ascii="Times New Roman" w:cs="Times New Roman" w:hAnsi="Times New Roman"/>
          <w:sz w:val="24"/>
          <w:szCs w:val="24"/>
        </w:rPr>
        <w:t xml:space="preserve"> and regulated domestic market by applying pricing discipline, health innovation, and brand loyalty; however, because of this situation, the company is constantly under threat of promotion ethics issues that could be observed from several consecutive decisions of the ASA concerning nutritional claims and children (O'Brien, 2022; </w:t>
      </w:r>
      <w:r>
        <w:rPr>
          <w:rFonts w:ascii="Times New Roman" w:cs="Times New Roman" w:hAnsi="Times New Roman"/>
          <w:sz w:val="24"/>
          <w:szCs w:val="24"/>
        </w:rPr>
        <w:t>Jha</w:t>
      </w:r>
      <w:r>
        <w:rPr>
          <w:rFonts w:ascii="Times New Roman" w:cs="Times New Roman" w:hAnsi="Times New Roman"/>
          <w:sz w:val="24"/>
          <w:szCs w:val="24"/>
        </w:rPr>
        <w:t>, 2025). On the other hand, in India, Cadbury managed to establish its leadership within the category by means of repositioning, price-based segmentation, and full FDI (</w:t>
      </w:r>
      <w:r>
        <w:rPr>
          <w:rFonts w:ascii="Times New Roman" w:cs="Times New Roman" w:hAnsi="Times New Roman"/>
          <w:sz w:val="24"/>
          <w:szCs w:val="24"/>
        </w:rPr>
        <w:t>Hub24, 2026</w:t>
      </w:r>
      <w:r>
        <w:rPr>
          <w:rFonts w:ascii="Times New Roman" w:cs="Times New Roman" w:hAnsi="Times New Roman"/>
          <w:sz w:val="24"/>
          <w:szCs w:val="24"/>
        </w:rPr>
        <w:t xml:space="preserve">). Nonetheless, there are risks of fluctuations </w:t>
      </w:r>
      <w:r>
        <w:rPr>
          <w:rFonts w:ascii="Times New Roman" w:cs="Times New Roman" w:hAnsi="Times New Roman"/>
          <w:sz w:val="24"/>
          <w:szCs w:val="24"/>
        </w:rPr>
        <w:t>in</w:t>
      </w:r>
      <w:r>
        <w:rPr>
          <w:rFonts w:ascii="Times New Roman" w:cs="Times New Roman" w:hAnsi="Times New Roman"/>
          <w:sz w:val="24"/>
          <w:szCs w:val="24"/>
        </w:rPr>
        <w:t xml:space="preserve"> cocoa prices and reputation in both markets. However, as it was observed recently by the activities of Cadbury, such as transparency during the crisis and confirmation of the company's Cocoa Life project, Cadbury has managed to change its practices. Consequently, further adaptation rather than standardization of practices should be justified by the findings of this report.</w:t>
      </w:r>
    </w:p>
    <w:p w14:paraId="578ADB94">
      <w:pPr>
        <w:pStyle w:val="style0"/>
        <w:rPr>
          <w:rFonts w:ascii="Times New Roman" w:cs="Times New Roman" w:hAnsi="Times New Roman"/>
          <w:sz w:val="24"/>
          <w:szCs w:val="24"/>
        </w:rPr>
      </w:pPr>
      <w:r>
        <w:rPr>
          <w:rFonts w:ascii="Times New Roman" w:cs="Times New Roman" w:hAnsi="Times New Roman"/>
          <w:sz w:val="24"/>
          <w:szCs w:val="24"/>
        </w:rPr>
        <w:br w:type="page"/>
      </w:r>
    </w:p>
    <w:bookmarkStart w:id="16" w:name="_Toc236681546"/>
    <w:p w14:paraId="4299405A">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REFERENCES</w:t>
      </w:r>
      <w:bookmarkEnd w:id="16"/>
    </w:p>
    <w:p w14:paraId="58998EB5">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Ailani, G. (2024). </w:t>
      </w:r>
      <w:r>
        <w:rPr>
          <w:rFonts w:ascii="Times New Roman" w:cs="Times New Roman" w:hAnsi="Times New Roman"/>
          <w:i/>
          <w:iCs/>
          <w:sz w:val="24"/>
          <w:szCs w:val="24"/>
        </w:rPr>
        <w:t>eclectic paradigm</w:t>
      </w:r>
      <w:r>
        <w:rPr>
          <w:rFonts w:ascii="Times New Roman" w:cs="Times New Roman" w:hAnsi="Times New Roman"/>
          <w:sz w:val="24"/>
          <w:szCs w:val="24"/>
        </w:rPr>
        <w:t xml:space="preserve">. [online] </w:t>
      </w:r>
      <w:r>
        <w:rPr>
          <w:rFonts w:ascii="Times New Roman" w:cs="Times New Roman" w:hAnsi="Times New Roman"/>
          <w:i/>
          <w:iCs/>
          <w:sz w:val="24"/>
          <w:szCs w:val="24"/>
        </w:rPr>
        <w:t>Wallstreetmojo.com</w:t>
      </w:r>
      <w:r>
        <w:rPr>
          <w:rFonts w:ascii="Times New Roman" w:cs="Times New Roman" w:hAnsi="Times New Roman"/>
          <w:sz w:val="24"/>
          <w:szCs w:val="24"/>
        </w:rPr>
        <w:t>. WallStreetMojo. Available at: https://www.wallstreetmojo.com/eclectic-paradigm/ [Accessed 3 Aug. 2026].</w:t>
      </w:r>
    </w:p>
    <w:p w14:paraId="16048A5A">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Alt News (2021). </w:t>
      </w:r>
      <w:r>
        <w:rPr>
          <w:rFonts w:ascii="Times New Roman" w:cs="Times New Roman" w:hAnsi="Times New Roman"/>
          <w:i/>
          <w:iCs/>
          <w:sz w:val="24"/>
          <w:szCs w:val="24"/>
        </w:rPr>
        <w:t>Cadbury Australia’s website screenshot shared to claim products with beef sold in India</w:t>
      </w:r>
      <w:r>
        <w:rPr>
          <w:rFonts w:ascii="Times New Roman" w:cs="Times New Roman" w:hAnsi="Times New Roman"/>
          <w:sz w:val="24"/>
          <w:szCs w:val="24"/>
        </w:rPr>
        <w:t>. [online] Alt News. Available at: https://www.altnews.in/cadbury-australias-website-screenshot-shared-to-claim-products-with-beef-sold-in-india/ [Accessed 3 Aug. 2026].</w:t>
      </w:r>
    </w:p>
    <w:p w14:paraId="473C54F1">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ASA (Advertising Standards Authority) (2025). </w:t>
      </w:r>
      <w:r>
        <w:rPr>
          <w:rFonts w:ascii="Times New Roman" w:cs="Times New Roman" w:hAnsi="Times New Roman"/>
          <w:i/>
          <w:iCs/>
          <w:sz w:val="24"/>
          <w:szCs w:val="24"/>
        </w:rPr>
        <w:t>Mondelez UK Ltd</w:t>
      </w:r>
      <w:r>
        <w:rPr>
          <w:rFonts w:ascii="Times New Roman" w:cs="Times New Roman" w:hAnsi="Times New Roman"/>
          <w:sz w:val="24"/>
          <w:szCs w:val="24"/>
        </w:rPr>
        <w:t xml:space="preserve">. [online] </w:t>
      </w:r>
      <w:r>
        <w:rPr>
          <w:rFonts w:ascii="Times New Roman" w:cs="Times New Roman" w:hAnsi="Times New Roman"/>
          <w:i/>
          <w:iCs/>
          <w:sz w:val="24"/>
          <w:szCs w:val="24"/>
        </w:rPr>
        <w:t>Asa.org.uk</w:t>
      </w:r>
      <w:r>
        <w:rPr>
          <w:rFonts w:ascii="Times New Roman" w:cs="Times New Roman" w:hAnsi="Times New Roman"/>
          <w:sz w:val="24"/>
          <w:szCs w:val="24"/>
        </w:rPr>
        <w:t>. Available at: https://www.asa.org.uk/rulings/mondelez-europe-services-gmbh---uk-branch-a25-1276004-mondelez-uk-ltd.html [Accessed 3 Aug. 2026].</w:t>
      </w:r>
    </w:p>
    <w:p w14:paraId="70938EDE">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Brogaard, M. and Vyas, G. (2026). Assessing recent changes to the soft drinks industry levy. [online] doi:10.1920/re.ifs.2026.0023.</w:t>
      </w:r>
    </w:p>
    <w:p w14:paraId="67DCDB60">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Cocoa Life (2024). </w:t>
      </w:r>
      <w:r>
        <w:rPr>
          <w:rFonts w:ascii="Times New Roman" w:cs="Times New Roman" w:hAnsi="Times New Roman"/>
          <w:i/>
          <w:iCs/>
          <w:sz w:val="24"/>
          <w:szCs w:val="24"/>
        </w:rPr>
        <w:t>Why cocoa life?</w:t>
      </w:r>
      <w:r>
        <w:rPr>
          <w:rFonts w:ascii="Times New Roman" w:cs="Times New Roman" w:hAnsi="Times New Roman"/>
          <w:sz w:val="24"/>
          <w:szCs w:val="24"/>
        </w:rPr>
        <w:t xml:space="preserve"> [online] </w:t>
      </w:r>
      <w:r>
        <w:rPr>
          <w:rFonts w:ascii="Times New Roman" w:cs="Times New Roman" w:hAnsi="Times New Roman"/>
          <w:i/>
          <w:iCs/>
          <w:sz w:val="24"/>
          <w:szCs w:val="24"/>
        </w:rPr>
        <w:t>Cocoalife.org</w:t>
      </w:r>
      <w:r>
        <w:rPr>
          <w:rFonts w:ascii="Times New Roman" w:cs="Times New Roman" w:hAnsi="Times New Roman"/>
          <w:sz w:val="24"/>
          <w:szCs w:val="24"/>
        </w:rPr>
        <w:t>. Available at: https://www.cocoalife.org/en/ [Accessed 3 Aug. 2026].</w:t>
      </w:r>
    </w:p>
    <w:p w14:paraId="1ED8CE1D">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Confectionery News (2023). </w:t>
      </w:r>
      <w:r>
        <w:rPr>
          <w:rFonts w:ascii="Times New Roman" w:cs="Times New Roman" w:hAnsi="Times New Roman"/>
          <w:i/>
          <w:iCs/>
          <w:sz w:val="24"/>
          <w:szCs w:val="24"/>
        </w:rPr>
        <w:t>Müller recalls six Cadbury desserts after listeria scare</w:t>
      </w:r>
      <w:r>
        <w:rPr>
          <w:rFonts w:ascii="Times New Roman" w:cs="Times New Roman" w:hAnsi="Times New Roman"/>
          <w:sz w:val="24"/>
          <w:szCs w:val="24"/>
        </w:rPr>
        <w:t>. [online] ConfectioneryNews.com. Available at: https://www.confectionerynews.com/Article/2023/05/03/mueller-recalls-six-cadbury-desserts-after-listeria-scare/ [Accessed 3 Aug. 2026].</w:t>
      </w:r>
    </w:p>
    <w:p w14:paraId="7E67F903">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Confectionery News (2025a). </w:t>
      </w:r>
      <w:r>
        <w:rPr>
          <w:rFonts w:ascii="Times New Roman" w:cs="Times New Roman" w:hAnsi="Times New Roman"/>
          <w:i/>
          <w:iCs/>
          <w:sz w:val="24"/>
          <w:szCs w:val="24"/>
        </w:rPr>
        <w:t>Big-name brands drop their chocolate volume predictions</w:t>
      </w:r>
      <w:r>
        <w:rPr>
          <w:rFonts w:ascii="Times New Roman" w:cs="Times New Roman" w:hAnsi="Times New Roman"/>
          <w:sz w:val="24"/>
          <w:szCs w:val="24"/>
        </w:rPr>
        <w:t xml:space="preserve">. [online] </w:t>
      </w:r>
      <w:r>
        <w:rPr>
          <w:rFonts w:ascii="Times New Roman" w:cs="Times New Roman" w:hAnsi="Times New Roman"/>
          <w:i/>
          <w:iCs/>
          <w:sz w:val="24"/>
          <w:szCs w:val="24"/>
        </w:rPr>
        <w:t>ConfectioneryNews.com</w:t>
      </w:r>
      <w:r>
        <w:rPr>
          <w:rFonts w:ascii="Times New Roman" w:cs="Times New Roman" w:hAnsi="Times New Roman"/>
          <w:sz w:val="24"/>
          <w:szCs w:val="24"/>
        </w:rPr>
        <w:t>. Available at: https://www.confectionerynews.com/Article/2025/05/09/record-cocoa-prices-in-2025-reshape-chocolate-production-and-global-markets/ [Accessed 3 Aug. 2026].</w:t>
      </w:r>
    </w:p>
    <w:p w14:paraId="75C8D70E">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Confectionery News (2025b). </w:t>
      </w:r>
      <w:r>
        <w:rPr>
          <w:rFonts w:ascii="Times New Roman" w:cs="Times New Roman" w:hAnsi="Times New Roman"/>
          <w:i/>
          <w:iCs/>
          <w:sz w:val="24"/>
          <w:szCs w:val="24"/>
        </w:rPr>
        <w:t>How brands are tackling cocoa shortages, shrinkflation, and pricing pressures</w:t>
      </w:r>
      <w:r>
        <w:rPr>
          <w:rFonts w:ascii="Times New Roman" w:cs="Times New Roman" w:hAnsi="Times New Roman"/>
          <w:sz w:val="24"/>
          <w:szCs w:val="24"/>
        </w:rPr>
        <w:t xml:space="preserve">. [online] </w:t>
      </w:r>
      <w:r>
        <w:rPr>
          <w:rFonts w:ascii="Times New Roman" w:cs="Times New Roman" w:hAnsi="Times New Roman"/>
          <w:i/>
          <w:iCs/>
          <w:sz w:val="24"/>
          <w:szCs w:val="24"/>
        </w:rPr>
        <w:t>ConfectioneryNews.com</w:t>
      </w:r>
      <w:r>
        <w:rPr>
          <w:rFonts w:ascii="Times New Roman" w:cs="Times New Roman" w:hAnsi="Times New Roman"/>
          <w:sz w:val="24"/>
          <w:szCs w:val="24"/>
        </w:rPr>
        <w:t>. Available at: https://www.confectionerynews.com/Article/2025/01/31/confectionerys-cost-crisis-cocoa-shortages-shrinkflation-and-pricing-strategies-in-2025/ [Accessed 3 Aug. 2026].</w:t>
      </w:r>
    </w:p>
    <w:p w14:paraId="34EF34BD">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Euronews (2022). </w:t>
      </w:r>
      <w:r>
        <w:rPr>
          <w:rFonts w:ascii="Times New Roman" w:cs="Times New Roman" w:hAnsi="Times New Roman"/>
          <w:i/>
          <w:iCs/>
          <w:sz w:val="24"/>
          <w:szCs w:val="24"/>
        </w:rPr>
        <w:t>Cadbury-maker Mondelez to invest $600 million on sustainable cocoa sourcing</w:t>
      </w:r>
      <w:r>
        <w:rPr>
          <w:rFonts w:ascii="Times New Roman" w:cs="Times New Roman" w:hAnsi="Times New Roman"/>
          <w:sz w:val="24"/>
          <w:szCs w:val="24"/>
        </w:rPr>
        <w:t xml:space="preserve">. [online] </w:t>
      </w:r>
      <w:r>
        <w:rPr>
          <w:rFonts w:ascii="Times New Roman" w:cs="Times New Roman" w:hAnsi="Times New Roman"/>
          <w:i/>
          <w:iCs/>
          <w:sz w:val="24"/>
          <w:szCs w:val="24"/>
        </w:rPr>
        <w:t>euronews</w:t>
      </w:r>
      <w:r>
        <w:rPr>
          <w:rFonts w:ascii="Times New Roman" w:cs="Times New Roman" w:hAnsi="Times New Roman"/>
          <w:sz w:val="24"/>
          <w:szCs w:val="24"/>
        </w:rPr>
        <w:t>. Euronews.com. Available at: https://www.euronews.com/next/2022/10/26/mondelez-cocoa-sustainability [Accessed 3 Aug. 2026].</w:t>
      </w:r>
    </w:p>
    <w:p w14:paraId="57C70BDA">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Food Standards Agency (2023). </w:t>
      </w:r>
      <w:r>
        <w:rPr>
          <w:rFonts w:ascii="Times New Roman" w:cs="Times New Roman" w:hAnsi="Times New Roman"/>
          <w:i/>
          <w:iCs/>
          <w:sz w:val="24"/>
          <w:szCs w:val="24"/>
        </w:rPr>
        <w:t>Müller recalls various Cadbury branded dessert products because of the possible presence of Listeria monocytogenes</w:t>
      </w:r>
      <w:r>
        <w:rPr>
          <w:rFonts w:ascii="Times New Roman" w:cs="Times New Roman" w:hAnsi="Times New Roman"/>
          <w:sz w:val="24"/>
          <w:szCs w:val="24"/>
        </w:rPr>
        <w:t xml:space="preserve">. [online] </w:t>
      </w:r>
      <w:r>
        <w:rPr>
          <w:rFonts w:ascii="Times New Roman" w:cs="Times New Roman" w:hAnsi="Times New Roman"/>
          <w:i/>
          <w:iCs/>
          <w:sz w:val="24"/>
          <w:szCs w:val="24"/>
        </w:rPr>
        <w:t>Food Standards Agency</w:t>
      </w:r>
      <w:r>
        <w:rPr>
          <w:rFonts w:ascii="Times New Roman" w:cs="Times New Roman" w:hAnsi="Times New Roman"/>
          <w:sz w:val="24"/>
          <w:szCs w:val="24"/>
        </w:rPr>
        <w:t>. Available at: https://www.food.gov.uk/news-alerts/alert/fsa-prin-12-2023 [Accessed 3 Aug. 2026].</w:t>
      </w:r>
    </w:p>
    <w:p w14:paraId="0A1E9832">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GOV.UK (2026). </w:t>
      </w:r>
      <w:r>
        <w:rPr>
          <w:rFonts w:ascii="Times New Roman" w:cs="Times New Roman" w:hAnsi="Times New Roman"/>
          <w:i/>
          <w:iCs/>
          <w:sz w:val="24"/>
          <w:szCs w:val="24"/>
        </w:rPr>
        <w:t>Changes to the Soft Drinks Industry Levy — policy paper</w:t>
      </w:r>
      <w:r>
        <w:rPr>
          <w:rFonts w:ascii="Times New Roman" w:cs="Times New Roman" w:hAnsi="Times New Roman"/>
          <w:sz w:val="24"/>
          <w:szCs w:val="24"/>
        </w:rPr>
        <w:t>. [online] GOV.UK. Available at: https://www.gov.uk/government/publications/changes-to-the-soft-drinks-industry-levy/changes-to-the-soft-drinks-industry-levy-policy-paper [Accessed 3 Aug. 2026].</w:t>
      </w:r>
    </w:p>
    <w:p w14:paraId="52C15C27">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Grokipedia. (2026). </w:t>
      </w:r>
      <w:r>
        <w:rPr>
          <w:rFonts w:ascii="Times New Roman" w:cs="Times New Roman" w:hAnsi="Times New Roman"/>
          <w:i/>
          <w:iCs/>
          <w:sz w:val="24"/>
          <w:szCs w:val="24"/>
        </w:rPr>
        <w:t>eclectic paradigm</w:t>
      </w:r>
      <w:r>
        <w:rPr>
          <w:rFonts w:ascii="Times New Roman" w:cs="Times New Roman" w:hAnsi="Times New Roman"/>
          <w:sz w:val="24"/>
          <w:szCs w:val="24"/>
        </w:rPr>
        <w:t>. [online] Available at: https://grokipedia.com/page/Eclectic_paradigm [Accessed 3 Aug. 2026].</w:t>
      </w:r>
    </w:p>
    <w:p w14:paraId="5EF92187">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Hofstede, G. (2024). </w:t>
      </w:r>
      <w:r>
        <w:rPr>
          <w:rFonts w:ascii="Times New Roman" w:cs="Times New Roman" w:hAnsi="Times New Roman"/>
          <w:i/>
          <w:iCs/>
          <w:sz w:val="24"/>
          <w:szCs w:val="24"/>
        </w:rPr>
        <w:t>Country comparison graphs</w:t>
      </w:r>
      <w:r>
        <w:rPr>
          <w:rFonts w:ascii="Times New Roman" w:cs="Times New Roman" w:hAnsi="Times New Roman"/>
          <w:sz w:val="24"/>
          <w:szCs w:val="24"/>
        </w:rPr>
        <w:t xml:space="preserve">. [online] </w:t>
      </w:r>
      <w:r>
        <w:rPr>
          <w:rFonts w:ascii="Times New Roman" w:cs="Times New Roman" w:hAnsi="Times New Roman"/>
          <w:i/>
          <w:iCs/>
          <w:sz w:val="24"/>
          <w:szCs w:val="24"/>
        </w:rPr>
        <w:t>Geert Hofstede</w:t>
      </w:r>
      <w:r>
        <w:rPr>
          <w:rFonts w:ascii="Times New Roman" w:cs="Times New Roman" w:hAnsi="Times New Roman"/>
          <w:sz w:val="24"/>
          <w:szCs w:val="24"/>
        </w:rPr>
        <w:t>. Available at: https://geerthofstede.com/country-comparison-graphs/ [Accessed 3 Aug. 2026].</w:t>
      </w:r>
    </w:p>
    <w:p w14:paraId="16881E53">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Hub24, M. (2026). </w:t>
      </w:r>
      <w:r>
        <w:rPr>
          <w:rFonts w:ascii="Times New Roman" w:cs="Times New Roman" w:hAnsi="Times New Roman"/>
          <w:i/>
          <w:iCs/>
          <w:sz w:val="24"/>
          <w:szCs w:val="24"/>
        </w:rPr>
        <w:t>Cadbury: building India’s chocolate category from ground zero</w:t>
      </w:r>
      <w:r>
        <w:rPr>
          <w:rFonts w:ascii="Times New Roman" w:cs="Times New Roman" w:hAnsi="Times New Roman"/>
          <w:sz w:val="24"/>
          <w:szCs w:val="24"/>
        </w:rPr>
        <w:t xml:space="preserve">. [online] </w:t>
      </w:r>
      <w:r>
        <w:rPr>
          <w:rFonts w:ascii="Times New Roman" w:cs="Times New Roman" w:hAnsi="Times New Roman"/>
          <w:i/>
          <w:iCs/>
          <w:sz w:val="24"/>
          <w:szCs w:val="24"/>
        </w:rPr>
        <w:t>MarkHub24</w:t>
      </w:r>
      <w:r>
        <w:rPr>
          <w:rFonts w:ascii="Times New Roman" w:cs="Times New Roman" w:hAnsi="Times New Roman"/>
          <w:sz w:val="24"/>
          <w:szCs w:val="24"/>
        </w:rPr>
        <w:t>. Available at: https://www.markhub24.com/post/cadbury-building-india-s-chocolate-category-from-ground-zero [Accessed 3 Aug. 2026].</w:t>
      </w:r>
    </w:p>
    <w:p w14:paraId="7F00074D">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India Free Notes (2024). </w:t>
      </w:r>
      <w:r>
        <w:rPr>
          <w:rFonts w:ascii="Times New Roman" w:cs="Times New Roman" w:hAnsi="Times New Roman"/>
          <w:i/>
          <w:iCs/>
          <w:sz w:val="24"/>
          <w:szCs w:val="24"/>
        </w:rPr>
        <w:t>Hofstede’s cultural dimension, applications and implications, criticisms and limitations</w:t>
      </w:r>
      <w:r>
        <w:rPr>
          <w:rFonts w:ascii="Times New Roman" w:cs="Times New Roman" w:hAnsi="Times New Roman"/>
          <w:sz w:val="24"/>
          <w:szCs w:val="24"/>
        </w:rPr>
        <w:t xml:space="preserve">. [online] </w:t>
      </w:r>
      <w:r>
        <w:rPr>
          <w:rFonts w:ascii="Times New Roman" w:cs="Times New Roman" w:hAnsi="Times New Roman"/>
          <w:i/>
          <w:iCs/>
          <w:sz w:val="24"/>
          <w:szCs w:val="24"/>
        </w:rPr>
        <w:t>india free notes.com</w:t>
      </w:r>
      <w:r>
        <w:rPr>
          <w:rFonts w:ascii="Times New Roman" w:cs="Times New Roman" w:hAnsi="Times New Roman"/>
          <w:sz w:val="24"/>
          <w:szCs w:val="24"/>
        </w:rPr>
        <w:t>. Available at: https://indiafreenotes.com/hofstedes-cultural-dimension-applications-and-implications-criticisms-and-limitations/ [Accessed 3 Aug. 2026].</w:t>
      </w:r>
    </w:p>
    <w:p w14:paraId="3F251B2B">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Jha (2025). </w:t>
      </w:r>
      <w:r>
        <w:rPr>
          <w:rFonts w:ascii="Times New Roman" w:cs="Times New Roman" w:hAnsi="Times New Roman"/>
          <w:i/>
          <w:iCs/>
          <w:sz w:val="24"/>
          <w:szCs w:val="24"/>
        </w:rPr>
        <w:t>UK watchdog bans cadbury ad over calorie claim</w:t>
      </w:r>
      <w:r>
        <w:rPr>
          <w:rFonts w:ascii="Times New Roman" w:cs="Times New Roman" w:hAnsi="Times New Roman"/>
          <w:sz w:val="24"/>
          <w:szCs w:val="24"/>
        </w:rPr>
        <w:t xml:space="preserve">. [online] </w:t>
      </w:r>
      <w:r>
        <w:rPr>
          <w:rFonts w:ascii="Times New Roman" w:cs="Times New Roman" w:hAnsi="Times New Roman"/>
          <w:i/>
          <w:iCs/>
          <w:sz w:val="24"/>
          <w:szCs w:val="24"/>
        </w:rPr>
        <w:t>Just Food</w:t>
      </w:r>
      <w:r>
        <w:rPr>
          <w:rFonts w:ascii="Times New Roman" w:cs="Times New Roman" w:hAnsi="Times New Roman"/>
          <w:sz w:val="24"/>
          <w:szCs w:val="24"/>
        </w:rPr>
        <w:t>. Available at: https://www.just-food.com/news/uk-bans-cadbury-ad-over-calorie-claim/ [Accessed 3 Aug. 2026].</w:t>
      </w:r>
    </w:p>
    <w:p w14:paraId="0D9026C0">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Journalism University (2024). </w:t>
      </w:r>
      <w:r>
        <w:rPr>
          <w:rFonts w:ascii="Times New Roman" w:cs="Times New Roman" w:hAnsi="Times New Roman"/>
          <w:i/>
          <w:iCs/>
          <w:sz w:val="24"/>
          <w:szCs w:val="24"/>
        </w:rPr>
        <w:t>Cadbury’s Crisis and Comeback: Managing the Worm Infestation Scandal • Journalism University</w:t>
      </w:r>
      <w:r>
        <w:rPr>
          <w:rFonts w:ascii="Times New Roman" w:cs="Times New Roman" w:hAnsi="Times New Roman"/>
          <w:sz w:val="24"/>
          <w:szCs w:val="24"/>
        </w:rPr>
        <w:t xml:space="preserve">. [online] </w:t>
      </w:r>
      <w:r>
        <w:rPr>
          <w:rFonts w:ascii="Times New Roman" w:cs="Times New Roman" w:hAnsi="Times New Roman"/>
          <w:i/>
          <w:iCs/>
          <w:sz w:val="24"/>
          <w:szCs w:val="24"/>
        </w:rPr>
        <w:t>Journalism &amp; Mass Communication Hub</w:t>
      </w:r>
      <w:r>
        <w:rPr>
          <w:rFonts w:ascii="Times New Roman" w:cs="Times New Roman" w:hAnsi="Times New Roman"/>
          <w:sz w:val="24"/>
          <w:szCs w:val="24"/>
        </w:rPr>
        <w:t>. Available at: https://journalism.university/media-ethics-and-laws/cadbury-crisis-comeback-worm-infestation-management/ [Accessed 3 Aug. 2026].</w:t>
      </w:r>
    </w:p>
    <w:p w14:paraId="6E2B5D54">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Mae, A. (2026). </w:t>
      </w:r>
      <w:r>
        <w:rPr>
          <w:rFonts w:ascii="Times New Roman" w:cs="Times New Roman" w:hAnsi="Times New Roman"/>
          <w:i/>
          <w:iCs/>
          <w:sz w:val="24"/>
          <w:szCs w:val="24"/>
        </w:rPr>
        <w:t>Gibbs’ Reflective Cycle: A Guide With Examples (+ Template)</w:t>
      </w:r>
      <w:r>
        <w:rPr>
          <w:rFonts w:ascii="Times New Roman" w:cs="Times New Roman" w:hAnsi="Times New Roman"/>
          <w:sz w:val="24"/>
          <w:szCs w:val="24"/>
        </w:rPr>
        <w:t>. [online] ResearchProspect. Available at: https://www.researchprospect.com/gibbs-reflective-cycle/ [Accessed 3 Aug. 2026].</w:t>
      </w:r>
    </w:p>
    <w:p w14:paraId="10A84798">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McLeod, S. (2025). </w:t>
      </w:r>
      <w:r>
        <w:rPr>
          <w:rFonts w:ascii="Times New Roman" w:cs="Times New Roman" w:hAnsi="Times New Roman"/>
          <w:i/>
          <w:iCs/>
          <w:sz w:val="24"/>
          <w:szCs w:val="24"/>
        </w:rPr>
        <w:t>gibbs reflective cycle</w:t>
      </w:r>
      <w:r>
        <w:rPr>
          <w:rFonts w:ascii="Times New Roman" w:cs="Times New Roman" w:hAnsi="Times New Roman"/>
          <w:sz w:val="24"/>
          <w:szCs w:val="24"/>
        </w:rPr>
        <w:t xml:space="preserve">. [online] </w:t>
      </w:r>
      <w:r>
        <w:rPr>
          <w:rFonts w:ascii="Times New Roman" w:cs="Times New Roman" w:hAnsi="Times New Roman"/>
          <w:i/>
          <w:iCs/>
          <w:sz w:val="24"/>
          <w:szCs w:val="24"/>
        </w:rPr>
        <w:t>Simply Psychology</w:t>
      </w:r>
      <w:r>
        <w:rPr>
          <w:rFonts w:ascii="Times New Roman" w:cs="Times New Roman" w:hAnsi="Times New Roman"/>
          <w:sz w:val="24"/>
          <w:szCs w:val="24"/>
        </w:rPr>
        <w:t>. Available at: https://www.simplypsychology.org/gibbs-reflective-cycle.html [Accessed 3 Aug. 2026].</w:t>
      </w:r>
    </w:p>
    <w:p w14:paraId="22CF513C">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Meritshot Team (2026). </w:t>
      </w:r>
      <w:r>
        <w:rPr>
          <w:rFonts w:ascii="Times New Roman" w:cs="Times New Roman" w:hAnsi="Times New Roman"/>
          <w:i/>
          <w:iCs/>
          <w:sz w:val="24"/>
          <w:szCs w:val="24"/>
        </w:rPr>
        <w:t>Cadbury Case Study — The 2003 Worm Crisis That Rewrote FMCG Crisis Management in India</w:t>
      </w:r>
      <w:r>
        <w:rPr>
          <w:rFonts w:ascii="Times New Roman" w:cs="Times New Roman" w:hAnsi="Times New Roman"/>
          <w:sz w:val="24"/>
          <w:szCs w:val="24"/>
        </w:rPr>
        <w:t>. [online] Meritshot. Available at: https://www.meritshot.com/cadbury-case-study [Accessed 3 Aug. 2026].</w:t>
      </w:r>
    </w:p>
    <w:p w14:paraId="066C3B6C">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Mondelez International (2025). </w:t>
      </w:r>
      <w:r>
        <w:rPr>
          <w:rFonts w:ascii="Times New Roman" w:cs="Times New Roman" w:hAnsi="Times New Roman"/>
          <w:i/>
          <w:iCs/>
          <w:sz w:val="24"/>
          <w:szCs w:val="24"/>
        </w:rPr>
        <w:t>Mondelēz International, Inc. - Home</w:t>
      </w:r>
      <w:r>
        <w:rPr>
          <w:rFonts w:ascii="Times New Roman" w:cs="Times New Roman" w:hAnsi="Times New Roman"/>
          <w:sz w:val="24"/>
          <w:szCs w:val="24"/>
        </w:rPr>
        <w:t xml:space="preserve">. [online] </w:t>
      </w:r>
      <w:r>
        <w:rPr>
          <w:rFonts w:ascii="Times New Roman" w:cs="Times New Roman" w:hAnsi="Times New Roman"/>
          <w:i/>
          <w:iCs/>
          <w:sz w:val="24"/>
          <w:szCs w:val="24"/>
        </w:rPr>
        <w:t>Mondelezinternational.com</w:t>
      </w:r>
      <w:r>
        <w:rPr>
          <w:rFonts w:ascii="Times New Roman" w:cs="Times New Roman" w:hAnsi="Times New Roman"/>
          <w:sz w:val="24"/>
          <w:szCs w:val="24"/>
        </w:rPr>
        <w:t>. Available at: https://www.mondelezinternational.com/ [Accessed 3 Aug. 2026].</w:t>
      </w:r>
    </w:p>
    <w:p w14:paraId="013062CC">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Mondelēz International (2025). </w:t>
      </w:r>
      <w:r>
        <w:rPr>
          <w:rFonts w:ascii="Times New Roman" w:cs="Times New Roman" w:hAnsi="Times New Roman"/>
          <w:i/>
          <w:iCs/>
          <w:sz w:val="24"/>
          <w:szCs w:val="24"/>
        </w:rPr>
        <w:t>Mondelēz international reports Q4 and FY 2025 results | mondelēz international, inc.</w:t>
      </w:r>
      <w:r>
        <w:rPr>
          <w:rFonts w:ascii="Times New Roman" w:cs="Times New Roman" w:hAnsi="Times New Roman"/>
          <w:sz w:val="24"/>
          <w:szCs w:val="24"/>
        </w:rPr>
        <w:t xml:space="preserve"> [online] </w:t>
      </w:r>
      <w:r>
        <w:rPr>
          <w:rFonts w:ascii="Times New Roman" w:cs="Times New Roman" w:hAnsi="Times New Roman"/>
          <w:i/>
          <w:iCs/>
          <w:sz w:val="24"/>
          <w:szCs w:val="24"/>
        </w:rPr>
        <w:t>Mondelēz International, Inc.</w:t>
      </w:r>
      <w:r>
        <w:rPr>
          <w:rFonts w:ascii="Times New Roman" w:cs="Times New Roman" w:hAnsi="Times New Roman"/>
          <w:sz w:val="24"/>
          <w:szCs w:val="24"/>
        </w:rPr>
        <w:t xml:space="preserve"> Available at: https://ir.mondelezinternational.com/news-releases/news-release-details/mondelez-international-reports-q4-and-fy-2025-results [Accessed 3 Aug. 2026].</w:t>
      </w:r>
    </w:p>
    <w:p w14:paraId="384AE74E">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Mondelēz International, Inc. (2023). [online] </w:t>
      </w:r>
      <w:r>
        <w:rPr>
          <w:rFonts w:ascii="Times New Roman" w:cs="Times New Roman" w:hAnsi="Times New Roman"/>
          <w:i/>
          <w:iCs/>
          <w:sz w:val="24"/>
          <w:szCs w:val="24"/>
        </w:rPr>
        <w:t>Mondelezinternational.com</w:t>
      </w:r>
      <w:r>
        <w:rPr>
          <w:rFonts w:ascii="Times New Roman" w:cs="Times New Roman" w:hAnsi="Times New Roman"/>
          <w:sz w:val="24"/>
          <w:szCs w:val="24"/>
        </w:rPr>
        <w:t>. Available at: https://www.mondelezinternational.com/india/india-business/cocoa-life/ [Accessed 3 Aug. 2026].</w:t>
      </w:r>
    </w:p>
    <w:p w14:paraId="2C9861D9">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Niamh Leonard-Bedwell (2025). </w:t>
      </w:r>
      <w:r>
        <w:rPr>
          <w:rFonts w:ascii="Times New Roman" w:cs="Times New Roman" w:hAnsi="Times New Roman"/>
          <w:i/>
          <w:iCs/>
          <w:sz w:val="24"/>
          <w:szCs w:val="24"/>
        </w:rPr>
        <w:t>Cadbury chocolate bar ad banned for reduced calorie claim</w:t>
      </w:r>
      <w:r>
        <w:rPr>
          <w:rFonts w:ascii="Times New Roman" w:cs="Times New Roman" w:hAnsi="Times New Roman"/>
          <w:sz w:val="24"/>
          <w:szCs w:val="24"/>
        </w:rPr>
        <w:t xml:space="preserve">. [online] </w:t>
      </w:r>
      <w:r>
        <w:rPr>
          <w:rFonts w:ascii="Times New Roman" w:cs="Times New Roman" w:hAnsi="Times New Roman"/>
          <w:i/>
          <w:iCs/>
          <w:sz w:val="24"/>
          <w:szCs w:val="24"/>
        </w:rPr>
        <w:t>The Grocer</w:t>
      </w:r>
      <w:r>
        <w:rPr>
          <w:rFonts w:ascii="Times New Roman" w:cs="Times New Roman" w:hAnsi="Times New Roman"/>
          <w:sz w:val="24"/>
          <w:szCs w:val="24"/>
        </w:rPr>
        <w:t>. Available at: https://www.thegrocer.co.uk/news/cadbury-chocolate-bar-ad-banned-for-reduced-calorie-claim/706352.article [Accessed 3 Aug. 2026].</w:t>
      </w:r>
    </w:p>
    <w:p w14:paraId="6CEE7DD9">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Nickerson, C. (2025). </w:t>
      </w:r>
      <w:r>
        <w:rPr>
          <w:rFonts w:ascii="Times New Roman" w:cs="Times New Roman" w:hAnsi="Times New Roman"/>
          <w:i/>
          <w:iCs/>
          <w:sz w:val="24"/>
          <w:szCs w:val="24"/>
        </w:rPr>
        <w:t>Hofstede’s cultural dimensions theory &amp; examples</w:t>
      </w:r>
      <w:r>
        <w:rPr>
          <w:rFonts w:ascii="Times New Roman" w:cs="Times New Roman" w:hAnsi="Times New Roman"/>
          <w:sz w:val="24"/>
          <w:szCs w:val="24"/>
        </w:rPr>
        <w:t xml:space="preserve">. [online] </w:t>
      </w:r>
      <w:r>
        <w:rPr>
          <w:rFonts w:ascii="Times New Roman" w:cs="Times New Roman" w:hAnsi="Times New Roman"/>
          <w:i/>
          <w:iCs/>
          <w:sz w:val="24"/>
          <w:szCs w:val="24"/>
        </w:rPr>
        <w:t>Simply Psychology</w:t>
      </w:r>
      <w:r>
        <w:rPr>
          <w:rFonts w:ascii="Times New Roman" w:cs="Times New Roman" w:hAnsi="Times New Roman"/>
          <w:sz w:val="24"/>
          <w:szCs w:val="24"/>
        </w:rPr>
        <w:t>. Available at: https://www.simplypsychology.org/hofstedes-cultural-dimensions-theory.html [Accessed 3 Aug. 2026].</w:t>
      </w:r>
    </w:p>
    <w:p w14:paraId="145EDAA2">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O’Brien, S. (2022). </w:t>
      </w:r>
      <w:r>
        <w:rPr>
          <w:rFonts w:ascii="Times New Roman" w:cs="Times New Roman" w:hAnsi="Times New Roman"/>
          <w:i/>
          <w:iCs/>
          <w:sz w:val="24"/>
          <w:szCs w:val="24"/>
        </w:rPr>
        <w:t>Cadbury Falls Afoul of ASA’s HFSS Advertising Rules</w:t>
      </w:r>
      <w:r>
        <w:rPr>
          <w:rFonts w:ascii="Times New Roman" w:cs="Times New Roman" w:hAnsi="Times New Roman"/>
          <w:sz w:val="24"/>
          <w:szCs w:val="24"/>
        </w:rPr>
        <w:t>. [online] A Blog by Sarah OBrien. Available at: https://sarahobrienmedia.wordpress.com/2022/10/31/cadbury-falls-afoul-of-asas-hfss-advertising-rules/ [Accessed 3 Aug. 2026].</w:t>
      </w:r>
    </w:p>
    <w:p w14:paraId="15F62271">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Shastri, A. (2021). </w:t>
      </w:r>
      <w:r>
        <w:rPr>
          <w:rFonts w:ascii="Times New Roman" w:cs="Times New Roman" w:hAnsi="Times New Roman"/>
          <w:i/>
          <w:iCs/>
          <w:sz w:val="24"/>
          <w:szCs w:val="24"/>
        </w:rPr>
        <w:t>Marketing Strategy of Cadbury - A Case Study | IIDE</w:t>
      </w:r>
      <w:r>
        <w:rPr>
          <w:rFonts w:ascii="Times New Roman" w:cs="Times New Roman" w:hAnsi="Times New Roman"/>
          <w:sz w:val="24"/>
          <w:szCs w:val="24"/>
        </w:rPr>
        <w:t xml:space="preserve">. [online] </w:t>
      </w:r>
      <w:r>
        <w:rPr>
          <w:rFonts w:ascii="Times New Roman" w:cs="Times New Roman" w:hAnsi="Times New Roman"/>
          <w:i/>
          <w:iCs/>
          <w:sz w:val="24"/>
          <w:szCs w:val="24"/>
        </w:rPr>
        <w:t>iide</w:t>
      </w:r>
      <w:r>
        <w:rPr>
          <w:rFonts w:ascii="Times New Roman" w:cs="Times New Roman" w:hAnsi="Times New Roman"/>
          <w:sz w:val="24"/>
          <w:szCs w:val="24"/>
        </w:rPr>
        <w:t>. Available at: https://iide.co/case-studies/cadbury-marketing-strategy/ [Accessed 3 Aug. 2026].</w:t>
      </w:r>
    </w:p>
    <w:p w14:paraId="1E93F543">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Southey, F. (2024). </w:t>
      </w:r>
      <w:r>
        <w:rPr>
          <w:rFonts w:ascii="Times New Roman" w:cs="Times New Roman" w:hAnsi="Times New Roman"/>
          <w:i/>
          <w:iCs/>
          <w:sz w:val="24"/>
          <w:szCs w:val="24"/>
        </w:rPr>
        <w:t>Cocoa crisis hits chocolate: which companies can weather the storm, financially?</w:t>
      </w:r>
      <w:r>
        <w:rPr>
          <w:rFonts w:ascii="Times New Roman" w:cs="Times New Roman" w:hAnsi="Times New Roman"/>
          <w:sz w:val="24"/>
          <w:szCs w:val="24"/>
        </w:rPr>
        <w:t xml:space="preserve"> [online] </w:t>
      </w:r>
      <w:r>
        <w:rPr>
          <w:rFonts w:ascii="Times New Roman" w:cs="Times New Roman" w:hAnsi="Times New Roman"/>
          <w:i/>
          <w:iCs/>
          <w:sz w:val="24"/>
          <w:szCs w:val="24"/>
        </w:rPr>
        <w:t>FoodNavigator.com</w:t>
      </w:r>
      <w:r>
        <w:rPr>
          <w:rFonts w:ascii="Times New Roman" w:cs="Times New Roman" w:hAnsi="Times New Roman"/>
          <w:sz w:val="24"/>
          <w:szCs w:val="24"/>
        </w:rPr>
        <w:t xml:space="preserve">. Available at: </w:t>
      </w:r>
      <w:r>
        <w:rPr>
          <w:rFonts w:ascii="Times New Roman" w:cs="Times New Roman" w:hAnsi="Times New Roman"/>
          <w:sz w:val="24"/>
          <w:szCs w:val="24"/>
        </w:rPr>
        <w:t>https://www.foodnavigator.com/Article/2024/04/04/cocoa-crisis-hits-chocolate-which-companies-will-survive/ [Accessed 3 Aug. 2026].</w:t>
      </w:r>
    </w:p>
    <w:p w14:paraId="2D34C543">
      <w:pPr>
        <w:pStyle w:val="style0"/>
        <w:spacing w:lineRule="auto" w:line="360"/>
        <w:ind w:left="567" w:hanging="567"/>
        <w:jc w:val="both"/>
        <w:rPr>
          <w:rFonts w:ascii="Times New Roman" w:cs="Times New Roman" w:hAnsi="Times New Roman"/>
          <w:sz w:val="24"/>
          <w:szCs w:val="24"/>
        </w:rPr>
      </w:pPr>
      <w:r>
        <w:rPr>
          <w:rFonts w:ascii="Times New Roman" w:cs="Times New Roman" w:hAnsi="Times New Roman"/>
          <w:sz w:val="24"/>
          <w:szCs w:val="24"/>
        </w:rPr>
        <w:t xml:space="preserve">Sruthy Pisharady (2020). </w:t>
      </w:r>
      <w:r>
        <w:rPr>
          <w:rFonts w:ascii="Times New Roman" w:cs="Times New Roman" w:hAnsi="Times New Roman"/>
          <w:i/>
          <w:iCs/>
          <w:sz w:val="24"/>
          <w:szCs w:val="24"/>
        </w:rPr>
        <w:t>1948 To Today: The Sweet Story Of Mondelez India - Sruthy Pisharady - Medium</w:t>
      </w:r>
      <w:r>
        <w:rPr>
          <w:rFonts w:ascii="Times New Roman" w:cs="Times New Roman" w:hAnsi="Times New Roman"/>
          <w:sz w:val="24"/>
          <w:szCs w:val="24"/>
        </w:rPr>
        <w:t xml:space="preserve">. [online] </w:t>
      </w:r>
      <w:r>
        <w:rPr>
          <w:rFonts w:ascii="Times New Roman" w:cs="Times New Roman" w:hAnsi="Times New Roman"/>
          <w:i/>
          <w:iCs/>
          <w:sz w:val="24"/>
          <w:szCs w:val="24"/>
        </w:rPr>
        <w:t>Medium</w:t>
      </w:r>
      <w:r>
        <w:rPr>
          <w:rFonts w:ascii="Times New Roman" w:cs="Times New Roman" w:hAnsi="Times New Roman"/>
          <w:sz w:val="24"/>
          <w:szCs w:val="24"/>
        </w:rPr>
        <w:t>. Available at: https://medium.com/@sruthypisharady/1948-to-today-the-sweet-story-of-mondelez-india-480319a1498c [Accessed 3 Aug. 2026].</w:t>
      </w:r>
    </w:p>
    <w:p w14:paraId="0A99BC7D">
      <w:pPr>
        <w:pStyle w:val="style0"/>
        <w:rPr>
          <w:rFonts w:ascii="Times New Roman" w:cs="Times New Roman" w:hAnsi="Times New Roman"/>
          <w:sz w:val="24"/>
          <w:szCs w:val="24"/>
        </w:rPr>
      </w:pPr>
      <w:r>
        <w:rPr>
          <w:rFonts w:ascii="Times New Roman" w:cs="Times New Roman" w:hAnsi="Times New Roman"/>
          <w:sz w:val="24"/>
          <w:szCs w:val="24"/>
        </w:rPr>
        <w:br w:type="page"/>
      </w:r>
    </w:p>
    <w:bookmarkStart w:id="17" w:name="_Toc236681547"/>
    <w:p w14:paraId="3AA8C13F">
      <w:pPr>
        <w:pStyle w:val="style1"/>
        <w:spacing w:lineRule="auto" w:line="360"/>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SECTION 2: REFLECTION</w:t>
      </w:r>
      <w:bookmarkEnd w:id="17"/>
    </w:p>
    <w:bookmarkStart w:id="18" w:name="_Toc236681548"/>
    <w:p w14:paraId="7D3554E5">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Introduction</w:t>
      </w:r>
      <w:bookmarkEnd w:id="18"/>
    </w:p>
    <w:p w14:paraId="134F92C9">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In this reflective piece, Gibbs' (1988) six-step model of reflection, which involves description, feelings, evaluation, analysis, conclusion, and action plan, will be used to critically reflect on the process that I adopted in conducting research and writing the comparative report of Cadbury's international marketing strategy in the UK and India (</w:t>
      </w:r>
      <w:r>
        <w:rPr>
          <w:rFonts w:ascii="Times New Roman" w:cs="Times New Roman" w:hAnsi="Times New Roman"/>
          <w:sz w:val="24"/>
          <w:szCs w:val="24"/>
        </w:rPr>
        <w:t>McLeod, 2025</w:t>
      </w:r>
      <w:r>
        <w:rPr>
          <w:rFonts w:ascii="Times New Roman" w:cs="Times New Roman" w:hAnsi="Times New Roman"/>
          <w:sz w:val="24"/>
          <w:szCs w:val="24"/>
        </w:rPr>
        <w:t xml:space="preserve">; </w:t>
      </w:r>
      <w:r>
        <w:rPr>
          <w:rFonts w:ascii="Times New Roman" w:cs="Times New Roman" w:hAnsi="Times New Roman"/>
          <w:sz w:val="24"/>
          <w:szCs w:val="24"/>
        </w:rPr>
        <w:t>Mae</w:t>
      </w:r>
      <w:r>
        <w:rPr>
          <w:rFonts w:ascii="Times New Roman" w:cs="Times New Roman" w:hAnsi="Times New Roman"/>
          <w:sz w:val="24"/>
          <w:szCs w:val="24"/>
        </w:rPr>
        <w:t>, 2026).</w:t>
      </w:r>
    </w:p>
    <w:bookmarkStart w:id="19" w:name="_Toc236681549"/>
    <w:p w14:paraId="74644A99">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Description</w:t>
      </w:r>
      <w:bookmarkEnd w:id="19"/>
    </w:p>
    <w:p w14:paraId="16E5046A">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assignment asked me to conduct a comparative analysis of Cadbury's marketing strategy within two different markets, using PESTLE and Hofstede's cultural dimensions to analyze the macro-environment, compare STP and 7Ps marketing mix, evaluate Cadbury's market entry strategy in India, assess the ethics involved in its marketing practices in the UK, and come up with recommendations based on the findings. All along, I was supposed to identify reliable sources of information that were relevant and recent, mostly those that had been published in the past five years, use more than one theoretical model consistently for both markets, and cite all claims made in the report through in-text </w:t>
      </w:r>
      <w:r>
        <w:rPr>
          <w:rFonts w:ascii="Times New Roman" w:cs="Times New Roman" w:hAnsi="Times New Roman"/>
          <w:sz w:val="24"/>
          <w:szCs w:val="24"/>
        </w:rPr>
        <w:t>citations</w:t>
      </w:r>
      <w:r>
        <w:rPr>
          <w:rFonts w:ascii="Times New Roman" w:cs="Times New Roman" w:hAnsi="Times New Roman"/>
          <w:sz w:val="24"/>
          <w:szCs w:val="24"/>
        </w:rPr>
        <w:t xml:space="preserve"> and references in the Harvard format.</w:t>
      </w:r>
    </w:p>
    <w:bookmarkStart w:id="20" w:name="_Toc236681550"/>
    <w:p w14:paraId="74986526">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Feelings</w:t>
      </w:r>
      <w:bookmarkEnd w:id="20"/>
    </w:p>
    <w:p w14:paraId="1704D1C2">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In the early stages of the assignment, I found myself somewhat unsure about going from a theoretical knowledge of frameworks like PESTLE and Hofstede to applying the framework in an evidence-based way to a brand that is actually trading. On the one hand, it was one thing to have a grasp of how a PESTLE analysis is supposed to work in theory; it was another thing entirely to find specific data for each cell of that analysis in a way that is timely and correct rather than simply assumed. The uncertainty increased as I drafted, because in my initial drafts, I took some information and figures at face value (e.g., the annual turnover of Mondelēz) without cross-checking those against an official source. In later fact-checking, I discovered that while one figure turned out to be slightly out of date, and the other claim (i.e., the extension of the UK sugar tax) turned out to be worded incorrectly as if it were already in effect when in reality it had merely been announced but not put into effect, I could feel a sense of both concern and relief.</w:t>
      </w:r>
      <w:r>
        <w:rPr>
          <w:rFonts w:ascii="Times New Roman" w:cs="Times New Roman" w:hAnsi="Times New Roman"/>
          <w:sz w:val="24"/>
          <w:szCs w:val="24"/>
        </w:rPr>
        <w:t xml:space="preserve"> </w:t>
      </w:r>
    </w:p>
    <w:p w14:paraId="69DF0485">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As my verification process went on and I obtained some really good, up-to-date sources, including primary regulatory rulings and firm financial filings, my belief that the report was based on facts increased significantly.</w:t>
      </w:r>
    </w:p>
    <w:bookmarkStart w:id="21" w:name="_Toc236681551"/>
    <w:p w14:paraId="36F57105">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Evaluation</w:t>
      </w:r>
      <w:bookmarkEnd w:id="21"/>
    </w:p>
    <w:p w14:paraId="47A4E0FD">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Where things went well was simply in how easy it was to find recent, well-sourced materials about both Cadbury and Mondelēz: from current cocoa crisis news articles, to actual rulings of the ASA, to official financial results, to the primary documents themselves (such as the Food Standards Agency's own recall notice), it was possible to build up an actual and current body of evidence, rather than just an aspirational one. The trickier thing was the need to be rigorous about </w:t>
      </w:r>
      <w:r>
        <w:rPr>
          <w:rFonts w:ascii="Times New Roman" w:cs="Times New Roman" w:hAnsi="Times New Roman"/>
          <w:sz w:val="24"/>
          <w:szCs w:val="24"/>
        </w:rPr>
        <w:t>fact-checking</w:t>
      </w:r>
      <w:r>
        <w:rPr>
          <w:rFonts w:ascii="Times New Roman" w:cs="Times New Roman" w:hAnsi="Times New Roman"/>
          <w:sz w:val="24"/>
          <w:szCs w:val="24"/>
        </w:rPr>
        <w:t xml:space="preserve"> throughout, rather than just at the stage of first drafting. It seems that there were certain claims which sounded quite plausible, and which fitted in well with the general picture I knew about the brand, but which turned out to be subtly inaccurate, whether about a superseded figure for revenues or a past policy being reported using </w:t>
      </w:r>
      <w:r>
        <w:rPr>
          <w:rFonts w:ascii="Times New Roman" w:cs="Times New Roman" w:hAnsi="Times New Roman"/>
          <w:sz w:val="24"/>
          <w:szCs w:val="24"/>
        </w:rPr>
        <w:t xml:space="preserve">the </w:t>
      </w:r>
      <w:r>
        <w:rPr>
          <w:rFonts w:ascii="Times New Roman" w:cs="Times New Roman" w:hAnsi="Times New Roman"/>
          <w:sz w:val="24"/>
          <w:szCs w:val="24"/>
        </w:rPr>
        <w:t>present perfect tense when it was in fact a prospective one.</w:t>
      </w:r>
    </w:p>
    <w:bookmarkStart w:id="22" w:name="_Toc236681552"/>
    <w:p w14:paraId="13735DD0">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Analysis</w:t>
      </w:r>
      <w:bookmarkEnd w:id="22"/>
    </w:p>
    <w:p w14:paraId="6A9841F9">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The difficulty with spotting these errors probably stems from the natural inclination to believe material that has been written coherently, as opposed to asking whether there is coherence on the one hand and accuracy on the other. This involved making a conscious effort to double-check every specific, verifiable statement </w:t>
      </w:r>
      <w:r>
        <w:rPr>
          <w:rFonts w:ascii="Times New Roman" w:cs="Times New Roman" w:hAnsi="Times New Roman"/>
          <w:sz w:val="24"/>
          <w:szCs w:val="24"/>
        </w:rPr>
        <w:t>-</w:t>
      </w:r>
      <w:r>
        <w:rPr>
          <w:rFonts w:ascii="Times New Roman" w:cs="Times New Roman" w:hAnsi="Times New Roman"/>
          <w:sz w:val="24"/>
          <w:szCs w:val="24"/>
        </w:rPr>
        <w:t xml:space="preserve"> a statistic, a date, the legal standing of something </w:t>
      </w:r>
      <w:r>
        <w:rPr>
          <w:rFonts w:ascii="Times New Roman" w:cs="Times New Roman" w:hAnsi="Times New Roman"/>
          <w:sz w:val="24"/>
          <w:szCs w:val="24"/>
        </w:rPr>
        <w:t>-</w:t>
      </w:r>
      <w:r>
        <w:rPr>
          <w:rFonts w:ascii="Times New Roman" w:cs="Times New Roman" w:hAnsi="Times New Roman"/>
          <w:sz w:val="24"/>
          <w:szCs w:val="24"/>
        </w:rPr>
        <w:t xml:space="preserve"> against a secondary or ideally a primary source before accepting it, rather than assuming its truth on the basis of only one secondary source. This was especially true for specific claims about legal or regulatory matters, like the precise calorie count mentioned in the ruling on Cadbury Delights by the ASA. Another aspect that I learned is to make a distinction between a policy that has been announced and a policy that is in place </w:t>
      </w:r>
      <w:r>
        <w:rPr>
          <w:rFonts w:ascii="Times New Roman" w:cs="Times New Roman" w:hAnsi="Times New Roman"/>
          <w:sz w:val="24"/>
          <w:szCs w:val="24"/>
        </w:rPr>
        <w:t>-</w:t>
      </w:r>
      <w:r>
        <w:rPr>
          <w:rFonts w:ascii="Times New Roman" w:cs="Times New Roman" w:hAnsi="Times New Roman"/>
          <w:sz w:val="24"/>
          <w:szCs w:val="24"/>
        </w:rPr>
        <w:t xml:space="preserve"> a difference that I had initially not made.</w:t>
      </w:r>
    </w:p>
    <w:bookmarkStart w:id="23" w:name="_Toc236681553"/>
    <w:p w14:paraId="42E4AD8D">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Conclusion</w:t>
      </w:r>
      <w:bookmarkEnd w:id="23"/>
    </w:p>
    <w:p w14:paraId="02746F74">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This entire exercise helped me appreciate the nuances of international marketing theories in practical decision-making and improved my skills in constructing an evidence-driven, critical comparison, with stringent rules on source currency and fact accuracy. I have realized that making </w:t>
      </w:r>
      <w:r>
        <w:rPr>
          <w:rFonts w:ascii="Times New Roman" w:cs="Times New Roman" w:hAnsi="Times New Roman"/>
          <w:sz w:val="24"/>
          <w:szCs w:val="24"/>
        </w:rPr>
        <w:t>fact-checking</w:t>
      </w:r>
      <w:r>
        <w:rPr>
          <w:rFonts w:ascii="Times New Roman" w:cs="Times New Roman" w:hAnsi="Times New Roman"/>
          <w:sz w:val="24"/>
          <w:szCs w:val="24"/>
        </w:rPr>
        <w:t xml:space="preserve"> a unique phase in the research exercise, distinct from initial writing, helps prevent the occurrence of inadvertent errors, and </w:t>
      </w:r>
      <w:r>
        <w:rPr>
          <w:rFonts w:ascii="Times New Roman" w:cs="Times New Roman" w:hAnsi="Times New Roman"/>
          <w:sz w:val="24"/>
          <w:szCs w:val="24"/>
        </w:rPr>
        <w:t>fact-checking</w:t>
      </w:r>
      <w:r>
        <w:rPr>
          <w:rFonts w:ascii="Times New Roman" w:cs="Times New Roman" w:hAnsi="Times New Roman"/>
          <w:sz w:val="24"/>
          <w:szCs w:val="24"/>
        </w:rPr>
        <w:t xml:space="preserve"> specific figures, </w:t>
      </w:r>
      <w:r>
        <w:rPr>
          <w:rFonts w:ascii="Times New Roman" w:cs="Times New Roman" w:hAnsi="Times New Roman"/>
          <w:sz w:val="24"/>
          <w:szCs w:val="24"/>
        </w:rPr>
        <w:t>dates</w:t>
      </w:r>
      <w:r>
        <w:rPr>
          <w:rFonts w:ascii="Times New Roman" w:cs="Times New Roman" w:hAnsi="Times New Roman"/>
          <w:sz w:val="24"/>
          <w:szCs w:val="24"/>
        </w:rPr>
        <w:t>,</w:t>
      </w:r>
      <w:r>
        <w:rPr>
          <w:rFonts w:ascii="Times New Roman" w:cs="Times New Roman" w:hAnsi="Times New Roman"/>
          <w:sz w:val="24"/>
          <w:szCs w:val="24"/>
        </w:rPr>
        <w:t xml:space="preserve"> and regulations against primary sources is not mere diligence, but a basic necessity of academic work.</w:t>
      </w:r>
    </w:p>
    <w:bookmarkStart w:id="24" w:name="_Toc236681554"/>
    <w:p w14:paraId="01DB199F">
      <w:pPr>
        <w:pStyle w:val="style2"/>
        <w:spacing w:lineRule="auto" w:line="360"/>
        <w:jc w:val="both"/>
        <w:rPr>
          <w:rFonts w:ascii="Times New Roman" w:cs="Times New Roman" w:hAnsi="Times New Roman"/>
          <w:b/>
          <w:bCs/>
          <w:i/>
          <w:iCs/>
          <w:color w:val="000000"/>
          <w:sz w:val="24"/>
          <w:szCs w:val="24"/>
          <w:u w:val="single"/>
        </w:rPr>
      </w:pPr>
      <w:r>
        <w:rPr>
          <w:rFonts w:ascii="Times New Roman" w:cs="Times New Roman" w:hAnsi="Times New Roman"/>
          <w:b/>
          <w:bCs/>
          <w:i/>
          <w:iCs/>
          <w:color w:val="000000"/>
          <w:sz w:val="24"/>
          <w:szCs w:val="24"/>
          <w:u w:val="single"/>
        </w:rPr>
        <w:t>Action Plan</w:t>
      </w:r>
      <w:bookmarkEnd w:id="24"/>
    </w:p>
    <w:p w14:paraId="51AE40B3">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b/>
      </w:r>
      <w:r>
        <w:rPr>
          <w:rFonts w:ascii="Times New Roman" w:cs="Times New Roman" w:hAnsi="Times New Roman"/>
          <w:sz w:val="24"/>
          <w:szCs w:val="24"/>
        </w:rPr>
        <w:t xml:space="preserve">In </w:t>
      </w:r>
      <w:r>
        <w:rPr>
          <w:rFonts w:ascii="Times New Roman" w:cs="Times New Roman" w:hAnsi="Times New Roman"/>
          <w:sz w:val="24"/>
          <w:szCs w:val="24"/>
        </w:rPr>
        <w:t xml:space="preserve">the </w:t>
      </w:r>
      <w:r>
        <w:rPr>
          <w:rFonts w:ascii="Times New Roman" w:cs="Times New Roman" w:hAnsi="Times New Roman"/>
          <w:sz w:val="24"/>
          <w:szCs w:val="24"/>
        </w:rPr>
        <w:t>future, I will create a systematic source verification log for all research-oriented tasks from the very beginning and record there each specific statement, its source, its date of publication</w:t>
      </w:r>
      <w:r>
        <w:rPr>
          <w:rFonts w:ascii="Times New Roman" w:cs="Times New Roman" w:hAnsi="Times New Roman"/>
          <w:sz w:val="24"/>
          <w:szCs w:val="24"/>
        </w:rPr>
        <w:t>,</w:t>
      </w:r>
      <w:r>
        <w:rPr>
          <w:rFonts w:ascii="Times New Roman" w:cs="Times New Roman" w:hAnsi="Times New Roman"/>
          <w:sz w:val="24"/>
          <w:szCs w:val="24"/>
        </w:rPr>
        <w:t xml:space="preserve"> and the fact whether it has been independently verified in relation to a primary source. Verification will be treated by me as a separate process that needs to take place after I have completed the first draft of my work, not as something that has to happen simultaneously with writing the first draft. I will be especially careful with using correct tenses and stating the legal status of any new policy or regulation </w:t>
      </w:r>
      <w:r>
        <w:rPr>
          <w:rFonts w:ascii="Times New Roman" w:cs="Times New Roman" w:hAnsi="Times New Roman"/>
          <w:sz w:val="24"/>
          <w:szCs w:val="24"/>
        </w:rPr>
        <w:t>-</w:t>
      </w:r>
      <w:r>
        <w:rPr>
          <w:rFonts w:ascii="Times New Roman" w:cs="Times New Roman" w:hAnsi="Times New Roman"/>
          <w:sz w:val="24"/>
          <w:szCs w:val="24"/>
        </w:rPr>
        <w:t xml:space="preserve"> whether it has been proposed or is already in effect. Finally, I will continue to use PESTLE, Hofstede’s and 7Ps models in my future </w:t>
      </w:r>
      <w:r>
        <w:rPr>
          <w:rFonts w:ascii="Times New Roman" w:cs="Times New Roman" w:hAnsi="Times New Roman"/>
          <w:sz w:val="24"/>
          <w:szCs w:val="24"/>
        </w:rPr>
        <w:t>work</w:t>
      </w:r>
      <w:r>
        <w:rPr>
          <w:rFonts w:ascii="Times New Roman" w:cs="Times New Roman" w:hAnsi="Times New Roman"/>
          <w:sz w:val="24"/>
          <w:szCs w:val="24"/>
        </w:rPr>
        <w:t xml:space="preserve"> and will be aware of the shortcomings of the approach.</w:t>
      </w:r>
    </w:p>
    <w:sectPr>
      <w:footerReference w:type="default" r:id="rId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4002EFF" w:usb1="C200247B" w:usb2="00000009" w:usb3="00000000" w:csb0="000001FF" w:csb1="00000000"/>
  </w:font>
  <w:font w:name="Times New Roman">
    <w:altName w:val="Times New Roman"/>
    <w:panose1 w:val="02020603050004020304"/>
    <w:charset w:val="00"/>
    <w:family w:val="roman"/>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2F8358B">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14:paraId="77E3326D">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2"/>
        <w:szCs w:val="22"/>
        <w:lang w:val="en-IN"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Calibri Light" w:cs="宋体" w:eastAsia="宋体" w:hAnsi="Calibri Light"/>
      <w:color w:val="2f5496"/>
      <w:sz w:val="40"/>
      <w:szCs w:val="40"/>
    </w:rPr>
  </w:style>
  <w:style w:type="paragraph" w:styleId="style2">
    <w:name w:val="heading 2"/>
    <w:basedOn w:val="style0"/>
    <w:next w:val="style0"/>
    <w:link w:val="style4098"/>
    <w:qFormat/>
    <w:uiPriority w:val="9"/>
    <w:pPr>
      <w:keepNext/>
      <w:keepLines/>
      <w:spacing w:before="160" w:after="80"/>
      <w:outlineLvl w:val="1"/>
    </w:pPr>
    <w:rPr>
      <w:rFonts w:ascii="Calibri Light" w:cs="宋体" w:eastAsia="宋体" w:hAnsi="Calibri Light"/>
      <w:color w:val="2f5496"/>
      <w:sz w:val="32"/>
      <w:szCs w:val="32"/>
    </w:rPr>
  </w:style>
  <w:style w:type="paragraph" w:styleId="style3">
    <w:name w:val="heading 3"/>
    <w:basedOn w:val="style0"/>
    <w:next w:val="style0"/>
    <w:link w:val="style4099"/>
    <w:qFormat/>
    <w:uiPriority w:val="9"/>
    <w:pPr>
      <w:keepNext/>
      <w:keepLines/>
      <w:spacing w:before="160" w:after="80"/>
      <w:outlineLvl w:val="2"/>
    </w:pPr>
    <w:rPr>
      <w:rFonts w:cs="宋体" w:eastAsia="宋体"/>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cs="宋体" w:eastAsia="宋体"/>
      <w:i/>
      <w:iCs/>
      <w:color w:val="2f5496"/>
    </w:rPr>
  </w:style>
  <w:style w:type="paragraph" w:styleId="style5">
    <w:name w:val="heading 5"/>
    <w:basedOn w:val="style0"/>
    <w:next w:val="style0"/>
    <w:link w:val="style4101"/>
    <w:qFormat/>
    <w:uiPriority w:val="9"/>
    <w:pPr>
      <w:keepNext/>
      <w:keepLines/>
      <w:spacing w:before="80" w:after="40"/>
      <w:outlineLvl w:val="4"/>
    </w:pPr>
    <w:rPr>
      <w:rFonts w:cs="宋体" w:eastAsia="宋体"/>
      <w:color w:val="2f5496"/>
    </w:rPr>
  </w:style>
  <w:style w:type="paragraph" w:styleId="style6">
    <w:name w:val="heading 6"/>
    <w:basedOn w:val="style0"/>
    <w:next w:val="style0"/>
    <w:link w:val="style4102"/>
    <w:qFormat/>
    <w:uiPriority w:val="9"/>
    <w:pPr>
      <w:keepNext/>
      <w:keepLines/>
      <w:spacing w:before="40" w:after="0"/>
      <w:outlineLvl w:val="5"/>
    </w:pPr>
    <w:rPr>
      <w:rFonts w:cs="宋体"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宋体" w:eastAsia="宋体"/>
      <w:color w:val="595959"/>
    </w:rPr>
  </w:style>
  <w:style w:type="paragraph" w:styleId="style8">
    <w:name w:val="heading 8"/>
    <w:basedOn w:val="style0"/>
    <w:next w:val="style0"/>
    <w:link w:val="style4104"/>
    <w:qFormat/>
    <w:uiPriority w:val="9"/>
    <w:pPr>
      <w:keepNext/>
      <w:keepLines/>
      <w:spacing w:after="0"/>
      <w:outlineLvl w:val="7"/>
    </w:pPr>
    <w:rPr>
      <w:rFonts w:cs="宋体" w:eastAsia="宋体"/>
      <w:i/>
      <w:iCs/>
      <w:color w:val="272727"/>
    </w:rPr>
  </w:style>
  <w:style w:type="paragraph" w:styleId="style9">
    <w:name w:val="heading 9"/>
    <w:basedOn w:val="style0"/>
    <w:next w:val="style0"/>
    <w:link w:val="style4105"/>
    <w:qFormat/>
    <w:uiPriority w:val="9"/>
    <w:pPr>
      <w:keepNext/>
      <w:keepLines/>
      <w:spacing w:after="0"/>
      <w:outlineLvl w:val="8"/>
    </w:pPr>
    <w:rPr>
      <w:rFonts w:cs="宋体"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c54042b3-5bc8-46a3-abfc-15ef60f522fa"/>
    <w:basedOn w:val="style65"/>
    <w:next w:val="style4097"/>
    <w:link w:val="style1"/>
    <w:uiPriority w:val="9"/>
    <w:rPr>
      <w:rFonts w:ascii="Calibri Light" w:cs="宋体" w:eastAsia="宋体" w:hAnsi="Calibri Light"/>
      <w:color w:val="2f5496"/>
      <w:sz w:val="40"/>
      <w:szCs w:val="40"/>
    </w:rPr>
  </w:style>
  <w:style w:type="character" w:customStyle="1" w:styleId="style4098">
    <w:name w:val="Heading 2 Char_d175f1a2-8043-4e3b-92a4-e6214fed5087"/>
    <w:basedOn w:val="style65"/>
    <w:next w:val="style4098"/>
    <w:link w:val="style2"/>
    <w:uiPriority w:val="9"/>
    <w:rPr>
      <w:rFonts w:ascii="Calibri Light" w:cs="宋体" w:eastAsia="宋体" w:hAnsi="Calibri Light"/>
      <w:color w:val="2f5496"/>
      <w:sz w:val="32"/>
      <w:szCs w:val="32"/>
    </w:rPr>
  </w:style>
  <w:style w:type="character" w:customStyle="1" w:styleId="style4099">
    <w:name w:val="Heading 3 Char_40cac320-c171-479c-9d2f-7940c2f2828a"/>
    <w:basedOn w:val="style65"/>
    <w:next w:val="style4099"/>
    <w:link w:val="style3"/>
    <w:uiPriority w:val="9"/>
    <w:rPr>
      <w:rFonts w:cs="宋体" w:eastAsia="宋体"/>
      <w:color w:val="2f5496"/>
      <w:sz w:val="28"/>
      <w:szCs w:val="28"/>
    </w:rPr>
  </w:style>
  <w:style w:type="character" w:customStyle="1" w:styleId="style4100">
    <w:name w:val="Heading 4 Char_518580f0-da28-460a-8483-a96ea003e9b9"/>
    <w:basedOn w:val="style65"/>
    <w:next w:val="style4100"/>
    <w:link w:val="style4"/>
    <w:uiPriority w:val="9"/>
    <w:rPr>
      <w:rFonts w:cs="宋体" w:eastAsia="宋体"/>
      <w:i/>
      <w:iCs/>
      <w:color w:val="2f5496"/>
    </w:rPr>
  </w:style>
  <w:style w:type="character" w:customStyle="1" w:styleId="style4101">
    <w:name w:val="Heading 5 Char_f1d3cdb1-daa3-45f0-bfdd-dd644456513f"/>
    <w:basedOn w:val="style65"/>
    <w:next w:val="style4101"/>
    <w:link w:val="style5"/>
    <w:uiPriority w:val="9"/>
    <w:rPr>
      <w:rFonts w:cs="宋体" w:eastAsia="宋体"/>
      <w:color w:val="2f5496"/>
    </w:rPr>
  </w:style>
  <w:style w:type="character" w:customStyle="1" w:styleId="style4102">
    <w:name w:val="Heading 6 Char_946c61dc-07fd-4fed-91cb-3c3b27e51cbb"/>
    <w:basedOn w:val="style65"/>
    <w:next w:val="style4102"/>
    <w:link w:val="style6"/>
    <w:uiPriority w:val="9"/>
    <w:rPr>
      <w:rFonts w:cs="宋体" w:eastAsia="宋体"/>
      <w:i/>
      <w:iCs/>
      <w:color w:val="595959"/>
    </w:rPr>
  </w:style>
  <w:style w:type="character" w:customStyle="1" w:styleId="style4103">
    <w:name w:val="Heading 7 Char_c386a4f6-0c7f-4a7f-8ad6-6ae74c8716a0"/>
    <w:basedOn w:val="style65"/>
    <w:next w:val="style4103"/>
    <w:link w:val="style7"/>
    <w:uiPriority w:val="9"/>
    <w:rPr>
      <w:rFonts w:cs="宋体" w:eastAsia="宋体"/>
      <w:color w:val="595959"/>
    </w:rPr>
  </w:style>
  <w:style w:type="character" w:customStyle="1" w:styleId="style4104">
    <w:name w:val="Heading 8 Char_bd067938-4a39-4933-8fbf-7d0e63249197"/>
    <w:basedOn w:val="style65"/>
    <w:next w:val="style4104"/>
    <w:link w:val="style8"/>
    <w:uiPriority w:val="9"/>
    <w:rPr>
      <w:rFonts w:cs="宋体" w:eastAsia="宋体"/>
      <w:i/>
      <w:iCs/>
      <w:color w:val="272727"/>
    </w:rPr>
  </w:style>
  <w:style w:type="character" w:customStyle="1" w:styleId="style4105">
    <w:name w:val="Heading 9 Char_0f1b0dbe-870c-46e1-82f1-8b576f20b101"/>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宋体" w:eastAsia="宋体" w:hAnsi="Calibri Light"/>
      <w:spacing w:val="-10"/>
      <w:kern w:val="28"/>
      <w:sz w:val="56"/>
      <w:szCs w:val="56"/>
    </w:rPr>
  </w:style>
  <w:style w:type="character" w:customStyle="1" w:styleId="style4106">
    <w:name w:val="Title Char_fd859fc8-de07-4976-b376-f9a213abeaae"/>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cs="宋体" w:eastAsia="宋体"/>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71b16b4-4ace-4bd3-8214-a35f23110dc8"/>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86086e6a-d141-4086-82ec-bc85ec7dd15d"/>
    <w:basedOn w:val="style65"/>
    <w:next w:val="style4109"/>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paragraph" w:styleId="style34">
    <w:name w:val="caption"/>
    <w:basedOn w:val="style0"/>
    <w:next w:val="style0"/>
    <w:qFormat/>
    <w:uiPriority w:val="35"/>
    <w:pPr>
      <w:spacing w:after="200" w:lineRule="auto" w:line="240"/>
    </w:pPr>
    <w:rPr>
      <w:i/>
      <w:iCs/>
      <w:color w:val="44546a"/>
      <w:sz w:val="18"/>
      <w:szCs w:val="18"/>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e3caf0be-ad34-49b8-a0f7-048b1b074e53"/>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9c2e4d65-bffc-423b-9a18-6a5eae4c2f62"/>
    <w:basedOn w:val="style65"/>
    <w:next w:val="style4111"/>
    <w:link w:val="style32"/>
    <w:uiPriority w:val="99"/>
  </w:style>
  <w:style w:type="paragraph" w:styleId="style266">
    <w:name w:val="TOC Heading"/>
    <w:basedOn w:val="style1"/>
    <w:next w:val="style0"/>
    <w:qFormat/>
    <w:uiPriority w:val="39"/>
    <w:pPr>
      <w:spacing w:before="240" w:after="0"/>
      <w:outlineLvl w:val="9"/>
    </w:pPr>
    <w:rPr>
      <w:kern w:val="0"/>
      <w:sz w:val="32"/>
      <w:szCs w:val="32"/>
      <w:lang w:val="en-US"/>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121F6-9283-47D2-B10A-1C69D74B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5655</Words>
  <Pages>21</Pages>
  <Characters>33976</Characters>
  <Application>WPS Office</Application>
  <DocSecurity>0</DocSecurity>
  <Paragraphs>206</Paragraphs>
  <ScaleCrop>false</ScaleCrop>
  <LinksUpToDate>false</LinksUpToDate>
  <CharactersWithSpaces>39487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2026-08-13T16:31:18Z</dcterms:created>
  <dc:creator>Jerin abraham</dc:creator>
  <lastModifiedBy>24117RN76E</lastModifiedBy>
  <dcterms:modified xsi:type="dcterms:W3CDTF">2026-08-13T16:31:18Z</dcterms:modified>
  <revision>141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e566fede-bf2f-4b4a-a0af-603b7e9c094f</vt:lpwstr>
  </property>
  <property fmtid="{D5CDD505-2E9C-101B-9397-08002B2CF9AE}" pid="3" name="ICV">
    <vt:lpwstr>3935eea495d447819139a5ebd4a2ef30_23</vt:lpwstr>
  </property>
</Properties>
</file>