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1231120684"/>
        <w:docPartObj>
          <w:docPartGallery w:val="Cover Pages"/>
          <w:docPartUnique/>
        </w:docPartObj>
      </w:sdtPr>
      <w:sdtEndPr>
        <w:rPr>
          <w:color w:val="auto"/>
        </w:rPr>
      </w:sdtEndPr>
      <w:sdtContent>
        <w:p w14:paraId="25119640" w14:textId="3F2FB7F5" w:rsidR="003C1019" w:rsidRDefault="003C1019">
          <w:pPr>
            <w:pStyle w:val="NoSpacing"/>
            <w:spacing w:before="1540" w:after="240"/>
            <w:jc w:val="center"/>
            <w:rPr>
              <w:color w:val="156082" w:themeColor="accent1"/>
            </w:rPr>
          </w:pPr>
          <w:r>
            <w:rPr>
              <w:noProof/>
              <w:color w:val="156082" w:themeColor="accent1"/>
            </w:rPr>
            <w:drawing>
              <wp:inline distT="0" distB="0" distL="0" distR="0" wp14:anchorId="07AE249F" wp14:editId="3EBF8B0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80"/>
              <w:szCs w:val="80"/>
            </w:rPr>
            <w:alias w:val="Title"/>
            <w:tag w:val=""/>
            <w:id w:val="1735040861"/>
            <w:placeholder>
              <w:docPart w:val="A0B079E660D24698A0BAEF67B61EA5F5"/>
            </w:placeholder>
            <w:dataBinding w:prefixMappings="xmlns:ns0='http://purl.org/dc/elements/1.1/' xmlns:ns1='http://schemas.openxmlformats.org/package/2006/metadata/core-properties' " w:xpath="/ns1:coreProperties[1]/ns0:title[1]" w:storeItemID="{6C3C8BC8-F283-45AE-878A-BAB7291924A1}"/>
            <w:text/>
          </w:sdtPr>
          <w:sdtContent>
            <w:p w14:paraId="428810B5" w14:textId="36B3D123" w:rsidR="003C1019" w:rsidRPr="004F5035" w:rsidRDefault="00335CC8" w:rsidP="004F5035">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4F5035">
                <w:rPr>
                  <w:rFonts w:asciiTheme="majorHAnsi" w:eastAsiaTheme="majorEastAsia" w:hAnsiTheme="majorHAnsi" w:cstheme="majorBidi"/>
                  <w:caps/>
                  <w:color w:val="156082" w:themeColor="accent1"/>
                  <w:sz w:val="80"/>
                  <w:szCs w:val="80"/>
                </w:rPr>
                <w:t>PORTFOLIO 2 TASK</w:t>
              </w:r>
            </w:p>
          </w:sdtContent>
        </w:sdt>
        <w:p w14:paraId="78F5C5B2" w14:textId="2B1DB135" w:rsidR="003C1019" w:rsidRDefault="003C1019">
          <w:pPr>
            <w:pStyle w:val="NoSpacing"/>
            <w:spacing w:before="480"/>
            <w:jc w:val="center"/>
            <w:rPr>
              <w:color w:val="156082" w:themeColor="accent1"/>
            </w:rPr>
          </w:pPr>
          <w:r>
            <w:rPr>
              <w:noProof/>
              <w:color w:val="156082" w:themeColor="accent1"/>
            </w:rPr>
            <w:drawing>
              <wp:inline distT="0" distB="0" distL="0" distR="0" wp14:anchorId="48163FFE" wp14:editId="2D24120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221D1F5" w14:textId="77777777" w:rsidR="001040B3" w:rsidRDefault="00513829" w:rsidP="00AE3900">
          <w:pPr>
            <w:spacing w:line="360" w:lineRule="auto"/>
          </w:pPr>
          <w:proofErr w:type="gramStart"/>
          <w:r>
            <w:t>Document</w:t>
          </w:r>
          <w:r w:rsidR="0033479B">
            <w:t xml:space="preserve"> :</w:t>
          </w:r>
          <w:proofErr w:type="gramEnd"/>
          <w:r w:rsidR="0033479B">
            <w:t xml:space="preserve"> Portfolio</w:t>
          </w:r>
          <w:r w:rsidR="001040B3">
            <w:t xml:space="preserve"> </w:t>
          </w:r>
          <w:proofErr w:type="gramStart"/>
          <w:r w:rsidR="001040B3">
            <w:t xml:space="preserve">2 </w:t>
          </w:r>
          <w:r w:rsidR="0033479B">
            <w:t xml:space="preserve"> Task</w:t>
          </w:r>
          <w:proofErr w:type="gramEnd"/>
          <w:r w:rsidR="0033479B">
            <w:t xml:space="preserve"> </w:t>
          </w:r>
        </w:p>
        <w:p w14:paraId="01859E10" w14:textId="77777777" w:rsidR="008973FD" w:rsidRDefault="008973FD" w:rsidP="00AE3900">
          <w:pPr>
            <w:spacing w:line="360" w:lineRule="auto"/>
          </w:pPr>
          <w:r>
            <w:t>Module: Introduction to Health and Social Care</w:t>
          </w:r>
        </w:p>
        <w:p w14:paraId="194D36CA" w14:textId="77777777" w:rsidR="001C2121" w:rsidRDefault="001C2121" w:rsidP="00AE3900">
          <w:pPr>
            <w:spacing w:line="360" w:lineRule="auto"/>
          </w:pPr>
          <w:r>
            <w:t>Student Name: Zoe Porter</w:t>
          </w:r>
        </w:p>
        <w:p w14:paraId="4BF102ED" w14:textId="77777777" w:rsidR="0044606D" w:rsidRDefault="00992DC2" w:rsidP="00AE3900">
          <w:pPr>
            <w:spacing w:line="360" w:lineRule="auto"/>
          </w:pPr>
          <w:r>
            <w:t>Student</w:t>
          </w:r>
          <w:r w:rsidR="00335CC8">
            <w:t>:</w:t>
          </w:r>
          <w:r w:rsidR="0044606D">
            <w:t>2528253</w:t>
          </w:r>
        </w:p>
        <w:p w14:paraId="521BC15E" w14:textId="77777777" w:rsidR="00F97B56" w:rsidRDefault="0044606D" w:rsidP="00AE3900">
          <w:pPr>
            <w:spacing w:line="360" w:lineRule="auto"/>
          </w:pPr>
          <w:proofErr w:type="gramStart"/>
          <w:r>
            <w:t>Lecturer :Daniel</w:t>
          </w:r>
          <w:proofErr w:type="gramEnd"/>
          <w:r w:rsidR="00F97B56">
            <w:t xml:space="preserve"> Haruna</w:t>
          </w:r>
        </w:p>
        <w:p w14:paraId="7B5BFCA3" w14:textId="1D999BD3" w:rsidR="006837C5" w:rsidRDefault="00F97B56" w:rsidP="00AE3900">
          <w:pPr>
            <w:spacing w:line="360" w:lineRule="auto"/>
            <w:sectPr w:rsidR="006837C5" w:rsidSect="003C1019">
              <w:pgSz w:w="11906" w:h="16838"/>
              <w:pgMar w:top="1440" w:right="1440" w:bottom="1440" w:left="1440" w:header="708" w:footer="708" w:gutter="0"/>
              <w:pgNumType w:start="0"/>
              <w:cols w:space="708"/>
              <w:titlePg/>
              <w:docGrid w:linePitch="360"/>
            </w:sectPr>
          </w:pPr>
          <w:r>
            <w:t>Date:</w:t>
          </w:r>
          <w:r w:rsidR="00394524">
            <w:t>15</w:t>
          </w:r>
          <w:r w:rsidR="00394524" w:rsidRPr="00394524">
            <w:rPr>
              <w:vertAlign w:val="superscript"/>
            </w:rPr>
            <w:t>th</w:t>
          </w:r>
          <w:r w:rsidR="00394524">
            <w:t xml:space="preserve"> June 2026</w:t>
          </w:r>
          <w:r w:rsidR="00992DC2">
            <w:t xml:space="preserve"> </w:t>
          </w:r>
          <w:r w:rsidR="003C1019">
            <w:br w:type="page"/>
          </w:r>
        </w:p>
        <w:p w14:paraId="284C2C68" w14:textId="3A1F769A" w:rsidR="00154372" w:rsidRDefault="00B84DAE" w:rsidP="00154372">
          <w:pPr>
            <w:spacing w:line="360" w:lineRule="auto"/>
            <w:rPr>
              <w:rFonts w:ascii="Arial" w:hAnsi="Arial" w:cs="Arial"/>
              <w:sz w:val="22"/>
              <w:szCs w:val="22"/>
            </w:rPr>
          </w:pPr>
          <w:r w:rsidRPr="008761D3">
            <w:rPr>
              <w:rFonts w:ascii="Arial" w:hAnsi="Arial" w:cs="Arial"/>
              <w:noProof/>
              <w:sz w:val="22"/>
              <w:szCs w:val="22"/>
            </w:rPr>
            <w:lastRenderedPageBreak/>
            <mc:AlternateContent>
              <mc:Choice Requires="wps">
                <w:drawing>
                  <wp:anchor distT="45720" distB="45720" distL="114300" distR="114300" simplePos="0" relativeHeight="251694080" behindDoc="0" locked="0" layoutInCell="1" allowOverlap="1" wp14:anchorId="5AD03077" wp14:editId="34208538">
                    <wp:simplePos x="0" y="0"/>
                    <wp:positionH relativeFrom="page">
                      <wp:posOffset>6409562</wp:posOffset>
                    </wp:positionH>
                    <wp:positionV relativeFrom="paragraph">
                      <wp:posOffset>11755</wp:posOffset>
                    </wp:positionV>
                    <wp:extent cx="4079875" cy="3408680"/>
                    <wp:effectExtent l="0" t="0" r="0" b="1270"/>
                    <wp:wrapSquare wrapText="bothSides"/>
                    <wp:docPr id="21326790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9875" cy="3408680"/>
                            </a:xfrm>
                            <a:prstGeom prst="rect">
                              <a:avLst/>
                            </a:prstGeom>
                            <a:noFill/>
                            <a:ln w="9525">
                              <a:noFill/>
                              <a:miter lim="800000"/>
                              <a:headEnd/>
                              <a:tailEnd/>
                            </a:ln>
                          </wps:spPr>
                          <wps:txbx>
                            <w:txbxContent>
                              <w:p w14:paraId="02218739" w14:textId="115F3A74" w:rsidR="00777045" w:rsidRPr="005D2238" w:rsidRDefault="00777045" w:rsidP="00777045">
                                <w:pPr>
                                  <w:spacing w:after="0" w:line="240" w:lineRule="auto"/>
                                  <w:rPr>
                                    <w:rFonts w:ascii="Arial" w:hAnsi="Arial" w:cs="Arial"/>
                                    <w:b/>
                                    <w:bCs/>
                                    <w:sz w:val="16"/>
                                    <w:szCs w:val="16"/>
                                  </w:rPr>
                                </w:pPr>
                                <w:r w:rsidRPr="005D2238">
                                  <w:rPr>
                                    <w:rFonts w:ascii="Arial" w:hAnsi="Arial" w:cs="Arial"/>
                                    <w:b/>
                                    <w:bCs/>
                                    <w:sz w:val="16"/>
                                    <w:szCs w:val="16"/>
                                    <w:highlight w:val="yellow"/>
                                  </w:rPr>
                                  <w:t xml:space="preserve">Challenge </w:t>
                                </w:r>
                                <w:r w:rsidR="000C7928">
                                  <w:rPr>
                                    <w:rFonts w:ascii="Arial" w:hAnsi="Arial" w:cs="Arial"/>
                                    <w:b/>
                                    <w:bCs/>
                                    <w:sz w:val="16"/>
                                    <w:szCs w:val="16"/>
                                    <w:highlight w:val="yellow"/>
                                  </w:rPr>
                                  <w:t>1</w:t>
                                </w:r>
                                <w:r w:rsidRPr="005D2238">
                                  <w:rPr>
                                    <w:rFonts w:ascii="Arial" w:hAnsi="Arial" w:cs="Arial"/>
                                    <w:b/>
                                    <w:bCs/>
                                    <w:sz w:val="16"/>
                                    <w:szCs w:val="16"/>
                                    <w:highlight w:val="yellow"/>
                                  </w:rPr>
                                  <w:t>: Access to NHS dentistry</w:t>
                                </w:r>
                              </w:p>
                              <w:p w14:paraId="5B4D53F9" w14:textId="77777777" w:rsidR="00777045" w:rsidRPr="00777045" w:rsidRDefault="00777045" w:rsidP="00777045">
                                <w:pPr>
                                  <w:spacing w:after="0" w:line="240" w:lineRule="auto"/>
                                  <w:rPr>
                                    <w:rFonts w:ascii="Arial" w:hAnsi="Arial" w:cs="Arial"/>
                                    <w:sz w:val="16"/>
                                    <w:szCs w:val="16"/>
                                  </w:rPr>
                                </w:pPr>
                                <w:r w:rsidRPr="00777045">
                                  <w:rPr>
                                    <w:rFonts w:ascii="Arial" w:hAnsi="Arial" w:cs="Arial"/>
                                    <w:sz w:val="16"/>
                                    <w:szCs w:val="16"/>
                                  </w:rPr>
                                  <w:t xml:space="preserve">Access to NHS dentistry is a major problem in England, with an estimated </w:t>
                                </w:r>
                                <w:proofErr w:type="gramStart"/>
                                <w:r w:rsidRPr="00777045">
                                  <w:rPr>
                                    <w:rFonts w:ascii="Arial" w:hAnsi="Arial" w:cs="Arial"/>
                                    <w:sz w:val="16"/>
                                    <w:szCs w:val="16"/>
                                  </w:rPr>
                                  <w:t>13</w:t>
                                </w:r>
                                <w:proofErr w:type="gramEnd"/>
                                <w:r w:rsidRPr="00777045">
                                  <w:rPr>
                                    <w:rFonts w:ascii="Arial" w:hAnsi="Arial" w:cs="Arial"/>
                                    <w:sz w:val="16"/>
                                    <w:szCs w:val="16"/>
                                  </w:rPr>
                                  <w:t xml:space="preserve"> million adults (about 28% of the adult population) having an unmet need for NHS dental care. </w:t>
                                </w:r>
                                <w:proofErr w:type="gramStart"/>
                                <w:r w:rsidRPr="00777045">
                                  <w:rPr>
                                    <w:rFonts w:ascii="Arial" w:hAnsi="Arial" w:cs="Arial"/>
                                    <w:sz w:val="16"/>
                                    <w:szCs w:val="16"/>
                                  </w:rPr>
                                  <w:t>Many</w:t>
                                </w:r>
                                <w:proofErr w:type="gramEnd"/>
                                <w:r w:rsidRPr="00777045">
                                  <w:rPr>
                                    <w:rFonts w:ascii="Arial" w:hAnsi="Arial" w:cs="Arial"/>
                                    <w:sz w:val="16"/>
                                    <w:szCs w:val="16"/>
                                  </w:rPr>
                                  <w:t xml:space="preserve"> people either try and fail to get an NHS appointment or do not even try because they believe they will not be seen, and national bodies now describe this as an “access crisis” in NHS dentistry (British Dental Association, 2024).</w:t>
                                </w:r>
                              </w:p>
                              <w:p w14:paraId="409B4F20" w14:textId="77777777" w:rsidR="00777045" w:rsidRPr="00777045" w:rsidRDefault="00777045" w:rsidP="00777045">
                                <w:pPr>
                                  <w:spacing w:after="0" w:line="240" w:lineRule="auto"/>
                                  <w:rPr>
                                    <w:sz w:val="16"/>
                                    <w:szCs w:val="16"/>
                                  </w:rPr>
                                </w:pPr>
                              </w:p>
                              <w:p w14:paraId="21375D09" w14:textId="77777777" w:rsidR="00777045" w:rsidRPr="00777045" w:rsidRDefault="00777045" w:rsidP="00777045">
                                <w:pPr>
                                  <w:spacing w:after="0" w:line="240" w:lineRule="auto"/>
                                  <w:rPr>
                                    <w:sz w:val="16"/>
                                    <w:szCs w:val="16"/>
                                  </w:rPr>
                                </w:pPr>
                                <w:r w:rsidRPr="00777045">
                                  <w:rPr>
                                    <w:noProof/>
                                    <w:sz w:val="16"/>
                                    <w:szCs w:val="16"/>
                                  </w:rPr>
                                  <w:drawing>
                                    <wp:inline distT="0" distB="0" distL="0" distR="0" wp14:anchorId="612918A3" wp14:editId="6C52C977">
                                      <wp:extent cx="3097530" cy="1965649"/>
                                      <wp:effectExtent l="0" t="0" r="7620" b="15875"/>
                                      <wp:docPr id="175471454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3F8F703" w14:textId="77777777" w:rsidR="00777045" w:rsidRPr="00777045" w:rsidRDefault="00777045" w:rsidP="00777045">
                                <w:pPr>
                                  <w:spacing w:after="0" w:line="240" w:lineRule="auto"/>
                                  <w:rPr>
                                    <w:rFonts w:ascii="Arial" w:hAnsi="Arial" w:cs="Arial"/>
                                    <w:sz w:val="16"/>
                                    <w:szCs w:val="16"/>
                                  </w:rPr>
                                </w:pPr>
                                <w:r w:rsidRPr="00777045">
                                  <w:rPr>
                                    <w:rFonts w:ascii="Arial" w:hAnsi="Arial" w:cs="Arial"/>
                                    <w:sz w:val="16"/>
                                    <w:szCs w:val="16"/>
                                  </w:rPr>
                                  <w:t xml:space="preserve">Unmet need for NHS dentistry is estimated at </w:t>
                                </w:r>
                                <w:proofErr w:type="gramStart"/>
                                <w:r w:rsidRPr="00777045">
                                  <w:rPr>
                                    <w:rFonts w:ascii="Arial" w:hAnsi="Arial" w:cs="Arial"/>
                                    <w:sz w:val="16"/>
                                    <w:szCs w:val="16"/>
                                  </w:rPr>
                                  <w:t>13</w:t>
                                </w:r>
                                <w:proofErr w:type="gramEnd"/>
                                <w:r w:rsidRPr="00777045">
                                  <w:rPr>
                                    <w:rFonts w:ascii="Arial" w:hAnsi="Arial" w:cs="Arial"/>
                                    <w:sz w:val="16"/>
                                    <w:szCs w:val="16"/>
                                  </w:rPr>
                                  <w:t xml:space="preserve"> million adults in England (about 28% of the adult population) (British Dental Association,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D03077" id="_x0000_t202" coordsize="21600,21600" o:spt="202" path="m,l,21600r21600,l21600,xe">
                    <v:stroke joinstyle="miter"/>
                    <v:path gradientshapeok="t" o:connecttype="rect"/>
                  </v:shapetype>
                  <v:shape id="Text Box 2" o:spid="_x0000_s1026" type="#_x0000_t202" style="position:absolute;margin-left:504.7pt;margin-top:.95pt;width:321.25pt;height:268.4pt;z-index:2516940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" filled="f" stroked="f">
                    <v:textbox>
                      <w:txbxContent>
                        <w:p w14:paraId="02218739" w14:textId="115F3A74" w:rsidR="00777045" w:rsidRPr="005D2238" w:rsidRDefault="00777045" w:rsidP="00777045">
                          <w:pPr>
                            <w:spacing w:after="0" w:line="240" w:lineRule="auto"/>
                            <w:rPr>
                              <w:rFonts w:ascii="Arial" w:hAnsi="Arial" w:cs="Arial"/>
                              <w:b/>
                              <w:bCs/>
                              <w:sz w:val="16"/>
                              <w:szCs w:val="16"/>
                            </w:rPr>
                          </w:pPr>
                          <w:r w:rsidRPr="005D2238">
                            <w:rPr>
                              <w:rFonts w:ascii="Arial" w:hAnsi="Arial" w:cs="Arial"/>
                              <w:b/>
                              <w:bCs/>
                              <w:sz w:val="16"/>
                              <w:szCs w:val="16"/>
                              <w:highlight w:val="yellow"/>
                            </w:rPr>
                            <w:t xml:space="preserve">Challenge </w:t>
                          </w:r>
                          <w:r w:rsidR="000C7928">
                            <w:rPr>
                              <w:rFonts w:ascii="Arial" w:hAnsi="Arial" w:cs="Arial"/>
                              <w:b/>
                              <w:bCs/>
                              <w:sz w:val="16"/>
                              <w:szCs w:val="16"/>
                              <w:highlight w:val="yellow"/>
                            </w:rPr>
                            <w:t>1</w:t>
                          </w:r>
                          <w:r w:rsidRPr="005D2238">
                            <w:rPr>
                              <w:rFonts w:ascii="Arial" w:hAnsi="Arial" w:cs="Arial"/>
                              <w:b/>
                              <w:bCs/>
                              <w:sz w:val="16"/>
                              <w:szCs w:val="16"/>
                              <w:highlight w:val="yellow"/>
                            </w:rPr>
                            <w:t>: Access to NHS dentistry</w:t>
                          </w:r>
                        </w:p>
                        <w:p w14:paraId="5B4D53F9" w14:textId="77777777" w:rsidR="00777045" w:rsidRPr="00777045" w:rsidRDefault="00777045" w:rsidP="00777045">
                          <w:pPr>
                            <w:spacing w:after="0" w:line="240" w:lineRule="auto"/>
                            <w:rPr>
                              <w:rFonts w:ascii="Arial" w:hAnsi="Arial" w:cs="Arial"/>
                              <w:sz w:val="16"/>
                              <w:szCs w:val="16"/>
                            </w:rPr>
                          </w:pPr>
                          <w:r w:rsidRPr="00777045">
                            <w:rPr>
                              <w:rFonts w:ascii="Arial" w:hAnsi="Arial" w:cs="Arial"/>
                              <w:sz w:val="16"/>
                              <w:szCs w:val="16"/>
                            </w:rPr>
                            <w:t xml:space="preserve">Access to NHS dentistry is a major problem in England, with an estimated </w:t>
                          </w:r>
                          <w:proofErr w:type="gramStart"/>
                          <w:r w:rsidRPr="00777045">
                            <w:rPr>
                              <w:rFonts w:ascii="Arial" w:hAnsi="Arial" w:cs="Arial"/>
                              <w:sz w:val="16"/>
                              <w:szCs w:val="16"/>
                            </w:rPr>
                            <w:t>13</w:t>
                          </w:r>
                          <w:proofErr w:type="gramEnd"/>
                          <w:r w:rsidRPr="00777045">
                            <w:rPr>
                              <w:rFonts w:ascii="Arial" w:hAnsi="Arial" w:cs="Arial"/>
                              <w:sz w:val="16"/>
                              <w:szCs w:val="16"/>
                            </w:rPr>
                            <w:t xml:space="preserve"> million adults (about 28% of the adult population) having an unmet need for NHS dental care. </w:t>
                          </w:r>
                          <w:proofErr w:type="gramStart"/>
                          <w:r w:rsidRPr="00777045">
                            <w:rPr>
                              <w:rFonts w:ascii="Arial" w:hAnsi="Arial" w:cs="Arial"/>
                              <w:sz w:val="16"/>
                              <w:szCs w:val="16"/>
                            </w:rPr>
                            <w:t>Many</w:t>
                          </w:r>
                          <w:proofErr w:type="gramEnd"/>
                          <w:r w:rsidRPr="00777045">
                            <w:rPr>
                              <w:rFonts w:ascii="Arial" w:hAnsi="Arial" w:cs="Arial"/>
                              <w:sz w:val="16"/>
                              <w:szCs w:val="16"/>
                            </w:rPr>
                            <w:t xml:space="preserve"> people either try and fail to get an NHS appointment or do not even try because they believe they will not be seen, and national bodies now describe this as an “access crisis” in NHS dentistry (British Dental Association, 2024).</w:t>
                          </w:r>
                        </w:p>
                        <w:p w14:paraId="409B4F20" w14:textId="77777777" w:rsidR="00777045" w:rsidRPr="00777045" w:rsidRDefault="00777045" w:rsidP="00777045">
                          <w:pPr>
                            <w:spacing w:after="0" w:line="240" w:lineRule="auto"/>
                            <w:rPr>
                              <w:sz w:val="16"/>
                              <w:szCs w:val="16"/>
                            </w:rPr>
                          </w:pPr>
                        </w:p>
                        <w:p w14:paraId="21375D09" w14:textId="77777777" w:rsidR="00777045" w:rsidRPr="00777045" w:rsidRDefault="00777045" w:rsidP="00777045">
                          <w:pPr>
                            <w:spacing w:after="0" w:line="240" w:lineRule="auto"/>
                            <w:rPr>
                              <w:sz w:val="16"/>
                              <w:szCs w:val="16"/>
                            </w:rPr>
                          </w:pPr>
                          <w:r w:rsidRPr="00777045">
                            <w:rPr>
                              <w:noProof/>
                              <w:sz w:val="16"/>
                              <w:szCs w:val="16"/>
                            </w:rPr>
                            <w:drawing>
                              <wp:inline distT="0" distB="0" distL="0" distR="0" wp14:anchorId="612918A3" wp14:editId="6C52C977">
                                <wp:extent cx="3097530" cy="1965649"/>
                                <wp:effectExtent l="0" t="0" r="7620" b="15875"/>
                                <wp:docPr id="175471454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3F8F703" w14:textId="77777777" w:rsidR="00777045" w:rsidRPr="00777045" w:rsidRDefault="00777045" w:rsidP="00777045">
                          <w:pPr>
                            <w:spacing w:after="0" w:line="240" w:lineRule="auto"/>
                            <w:rPr>
                              <w:rFonts w:ascii="Arial" w:hAnsi="Arial" w:cs="Arial"/>
                              <w:sz w:val="16"/>
                              <w:szCs w:val="16"/>
                            </w:rPr>
                          </w:pPr>
                          <w:r w:rsidRPr="00777045">
                            <w:rPr>
                              <w:rFonts w:ascii="Arial" w:hAnsi="Arial" w:cs="Arial"/>
                              <w:sz w:val="16"/>
                              <w:szCs w:val="16"/>
                            </w:rPr>
                            <w:t xml:space="preserve">Unmet need for NHS dentistry is estimated at </w:t>
                          </w:r>
                          <w:proofErr w:type="gramStart"/>
                          <w:r w:rsidRPr="00777045">
                            <w:rPr>
                              <w:rFonts w:ascii="Arial" w:hAnsi="Arial" w:cs="Arial"/>
                              <w:sz w:val="16"/>
                              <w:szCs w:val="16"/>
                            </w:rPr>
                            <w:t>13</w:t>
                          </w:r>
                          <w:proofErr w:type="gramEnd"/>
                          <w:r w:rsidRPr="00777045">
                            <w:rPr>
                              <w:rFonts w:ascii="Arial" w:hAnsi="Arial" w:cs="Arial"/>
                              <w:sz w:val="16"/>
                              <w:szCs w:val="16"/>
                            </w:rPr>
                            <w:t xml:space="preserve"> million adults in England (about 28% of the adult population) (British Dental Association, 2024).</w:t>
                          </w:r>
                        </w:p>
                      </w:txbxContent>
                    </v:textbox>
                    <w10:wrap type="square" anchorx="page"/>
                  </v:shape>
                </w:pict>
              </mc:Fallback>
            </mc:AlternateContent>
          </w:r>
          <w:r w:rsidR="00AF106B">
            <w:rPr>
              <w:noProof/>
            </w:rPr>
            <w:drawing>
              <wp:anchor distT="0" distB="0" distL="114300" distR="114300" simplePos="0" relativeHeight="251706368" behindDoc="1" locked="0" layoutInCell="1" allowOverlap="1" wp14:anchorId="205A7684" wp14:editId="213E4096">
                <wp:simplePos x="0" y="0"/>
                <wp:positionH relativeFrom="margin">
                  <wp:posOffset>1978793</wp:posOffset>
                </wp:positionH>
                <wp:positionV relativeFrom="paragraph">
                  <wp:posOffset>199</wp:posOffset>
                </wp:positionV>
                <wp:extent cx="1057275" cy="900430"/>
                <wp:effectExtent l="0" t="0" r="9525" b="0"/>
                <wp:wrapTight wrapText="bothSides">
                  <wp:wrapPolygon edited="0">
                    <wp:start x="0" y="0"/>
                    <wp:lineTo x="0" y="21021"/>
                    <wp:lineTo x="21405" y="21021"/>
                    <wp:lineTo x="21405" y="0"/>
                    <wp:lineTo x="0" y="0"/>
                  </wp:wrapPolygon>
                </wp:wrapTight>
                <wp:docPr id="144558259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57275" cy="900430"/>
                        </a:xfrm>
                        <a:prstGeom prst="rect">
                          <a:avLst/>
                        </a:prstGeom>
                        <a:noFill/>
                      </pic:spPr>
                    </pic:pic>
                  </a:graphicData>
                </a:graphic>
                <wp14:sizeRelH relativeFrom="page">
                  <wp14:pctWidth>0</wp14:pctWidth>
                </wp14:sizeRelH>
                <wp14:sizeRelV relativeFrom="page">
                  <wp14:pctHeight>0</wp14:pctHeight>
                </wp14:sizeRelV>
              </wp:anchor>
            </w:drawing>
          </w:r>
          <w:r w:rsidR="00AF106B" w:rsidRPr="0056370B">
            <w:rPr>
              <w:rFonts w:ascii="Arial" w:hAnsi="Arial" w:cs="Arial"/>
              <w:noProof/>
              <w:sz w:val="22"/>
              <w:szCs w:val="22"/>
            </w:rPr>
            <mc:AlternateContent>
              <mc:Choice Requires="wps">
                <w:drawing>
                  <wp:anchor distT="45720" distB="45720" distL="114300" distR="114300" simplePos="0" relativeHeight="251687936" behindDoc="1" locked="0" layoutInCell="1" allowOverlap="1" wp14:anchorId="40019426" wp14:editId="5245DC68">
                    <wp:simplePos x="0" y="0"/>
                    <wp:positionH relativeFrom="column">
                      <wp:posOffset>-343213</wp:posOffset>
                    </wp:positionH>
                    <wp:positionV relativeFrom="paragraph">
                      <wp:posOffset>238058</wp:posOffset>
                    </wp:positionV>
                    <wp:extent cx="2360930" cy="1958975"/>
                    <wp:effectExtent l="0" t="0" r="0" b="3175"/>
                    <wp:wrapThrough wrapText="bothSides">
                      <wp:wrapPolygon edited="0">
                        <wp:start x="348" y="0"/>
                        <wp:lineTo x="348" y="21425"/>
                        <wp:lineTo x="21240" y="21425"/>
                        <wp:lineTo x="21240" y="0"/>
                        <wp:lineTo x="348" y="0"/>
                      </wp:wrapPolygon>
                    </wp:wrapThrough>
                    <wp:docPr id="17717315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958975"/>
                            </a:xfrm>
                            <a:prstGeom prst="rect">
                              <a:avLst/>
                            </a:prstGeom>
                            <a:noFill/>
                            <a:ln w="9525">
                              <a:noFill/>
                              <a:miter lim="800000"/>
                              <a:headEnd/>
                              <a:tailEnd/>
                            </a:ln>
                          </wps:spPr>
                          <wps:txbx>
                            <w:txbxContent>
                              <w:p w14:paraId="3E750835" w14:textId="77777777" w:rsidR="00154372" w:rsidRPr="00301E64" w:rsidRDefault="00154372" w:rsidP="00A077D0">
                                <w:pPr>
                                  <w:spacing w:after="0" w:line="240" w:lineRule="auto"/>
                                  <w:rPr>
                                    <w:rFonts w:ascii="Arial" w:hAnsi="Arial" w:cs="Arial"/>
                                    <w:sz w:val="16"/>
                                    <w:szCs w:val="16"/>
                                  </w:rPr>
                                </w:pPr>
                                <w:r w:rsidRPr="00301E64">
                                  <w:rPr>
                                    <w:rFonts w:ascii="Arial" w:hAnsi="Arial" w:cs="Arial"/>
                                    <w:b/>
                                    <w:bCs/>
                                    <w:sz w:val="16"/>
                                    <w:szCs w:val="16"/>
                                  </w:rPr>
                                  <w:t>What is NHS Dentistry</w:t>
                                </w:r>
                                <w:r w:rsidRPr="00301E64">
                                  <w:rPr>
                                    <w:rFonts w:ascii="Arial" w:hAnsi="Arial" w:cs="Arial"/>
                                    <w:sz w:val="16"/>
                                    <w:szCs w:val="16"/>
                                  </w:rPr>
                                  <w:t>?</w:t>
                                </w:r>
                              </w:p>
                              <w:p w14:paraId="092A382E"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 xml:space="preserve">NHS dentistry provides essential, </w:t>
                                </w:r>
                                <w:proofErr w:type="gramStart"/>
                                <w:r w:rsidRPr="00301E64">
                                  <w:rPr>
                                    <w:rFonts w:ascii="Arial" w:hAnsi="Arial" w:cs="Arial"/>
                                    <w:sz w:val="16"/>
                                    <w:szCs w:val="16"/>
                                  </w:rPr>
                                  <w:t>clinically</w:t>
                                </w:r>
                                <w:proofErr w:type="gramEnd"/>
                                <w:r w:rsidRPr="00301E64">
                                  <w:rPr>
                                    <w:rFonts w:ascii="Arial" w:hAnsi="Arial" w:cs="Arial"/>
                                    <w:sz w:val="16"/>
                                    <w:szCs w:val="16"/>
                                  </w:rPr>
                                  <w:t xml:space="preserve"> </w:t>
                                </w:r>
                              </w:p>
                              <w:p w14:paraId="6AEF654B"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necessary treatment to keep your teeth, gums,</w:t>
                                </w:r>
                              </w:p>
                              <w:p w14:paraId="178AA5AB"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 xml:space="preserve"> and mouth healthy and free from pain </w:t>
                                </w:r>
                              </w:p>
                              <w:p w14:paraId="1E1C5014"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(NHS, 2020). It usually covers routine check</w:t>
                                </w:r>
                                <w:r w:rsidRPr="00301E64">
                                  <w:rPr>
                                    <w:rFonts w:ascii="Cambria Math" w:hAnsi="Cambria Math" w:cs="Cambria Math"/>
                                    <w:sz w:val="16"/>
                                    <w:szCs w:val="16"/>
                                  </w:rPr>
                                  <w:t>‑</w:t>
                                </w:r>
                                <w:proofErr w:type="gramStart"/>
                                <w:r w:rsidRPr="00301E64">
                                  <w:rPr>
                                    <w:rFonts w:ascii="Arial" w:hAnsi="Arial" w:cs="Arial"/>
                                    <w:sz w:val="16"/>
                                    <w:szCs w:val="16"/>
                                  </w:rPr>
                                  <w:t>ups</w:t>
                                </w:r>
                                <w:proofErr w:type="gramEnd"/>
                              </w:p>
                              <w:p w14:paraId="687AE933"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 X</w:t>
                                </w:r>
                                <w:r w:rsidRPr="00301E64">
                                  <w:rPr>
                                    <w:rFonts w:ascii="Cambria Math" w:hAnsi="Cambria Math" w:cs="Cambria Math"/>
                                    <w:sz w:val="16"/>
                                    <w:szCs w:val="16"/>
                                  </w:rPr>
                                  <w:t>‑</w:t>
                                </w:r>
                                <w:r w:rsidRPr="00301E64">
                                  <w:rPr>
                                    <w:rFonts w:ascii="Arial" w:hAnsi="Arial" w:cs="Arial"/>
                                    <w:sz w:val="16"/>
                                    <w:szCs w:val="16"/>
                                  </w:rPr>
                                  <w:t xml:space="preserve">rays, fillings, and extractions, but not </w:t>
                                </w:r>
                              </w:p>
                              <w:p w14:paraId="2AC8B6D7" w14:textId="1B4CB2FA" w:rsidR="00154372" w:rsidRPr="00301E64" w:rsidRDefault="00154372" w:rsidP="00A077D0">
                                <w:pPr>
                                  <w:spacing w:after="0" w:line="240" w:lineRule="auto"/>
                                  <w:rPr>
                                    <w:rFonts w:ascii="Arial" w:hAnsi="Arial" w:cs="Arial"/>
                                    <w:sz w:val="16"/>
                                    <w:szCs w:val="16"/>
                                  </w:rPr>
                                </w:pPr>
                                <w:r w:rsidRPr="00301E64">
                                  <w:rPr>
                                    <w:rFonts w:ascii="Arial" w:hAnsi="Arial" w:cs="Arial"/>
                                    <w:sz w:val="16"/>
                                    <w:szCs w:val="16"/>
                                  </w:rPr>
                                  <w:t xml:space="preserve">cosmetic treatments like tooth whitening. </w:t>
                                </w:r>
                              </w:p>
                              <w:tbl>
                                <w:tblPr>
                                  <w:tblStyle w:val="GridTable4-Accent2"/>
                                  <w:tblW w:w="0" w:type="auto"/>
                                  <w:tblLook w:val="04A0" w:firstRow="1" w:lastRow="0" w:firstColumn="1" w:lastColumn="0" w:noHBand="0" w:noVBand="1"/>
                                </w:tblPr>
                                <w:tblGrid>
                                  <w:gridCol w:w="959"/>
                                  <w:gridCol w:w="1377"/>
                                  <w:gridCol w:w="1085"/>
                                </w:tblGrid>
                                <w:tr w:rsidR="00154372" w:rsidRPr="00301E64" w14:paraId="48AA1D9D" w14:textId="77777777" w:rsidTr="00D77D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2" w:type="dxa"/>
                                    </w:tcPr>
                                    <w:p w14:paraId="711B2AEC" w14:textId="77777777" w:rsidR="00154372" w:rsidRPr="00301E64" w:rsidRDefault="00154372" w:rsidP="00A077D0">
                                      <w:pPr>
                                        <w:rPr>
                                          <w:rFonts w:ascii="Arial" w:hAnsi="Arial" w:cs="Arial"/>
                                          <w:sz w:val="16"/>
                                          <w:szCs w:val="16"/>
                                        </w:rPr>
                                      </w:pPr>
                                      <w:r w:rsidRPr="00301E64">
                                        <w:rPr>
                                          <w:rFonts w:ascii="Arial" w:hAnsi="Arial" w:cs="Arial"/>
                                          <w:sz w:val="16"/>
                                          <w:szCs w:val="16"/>
                                        </w:rPr>
                                        <w:t xml:space="preserve">Band </w:t>
                                      </w:r>
                                      <w:proofErr w:type="gramStart"/>
                                      <w:r w:rsidRPr="00301E64">
                                        <w:rPr>
                                          <w:rFonts w:ascii="Arial" w:hAnsi="Arial" w:cs="Arial"/>
                                          <w:sz w:val="16"/>
                                          <w:szCs w:val="16"/>
                                        </w:rPr>
                                        <w:t>1</w:t>
                                      </w:r>
                                      <w:proofErr w:type="gramEnd"/>
                                    </w:p>
                                  </w:tc>
                                  <w:tc>
                                    <w:tcPr>
                                      <w:tcW w:w="1762" w:type="dxa"/>
                                    </w:tcPr>
                                    <w:p w14:paraId="3A4A9140" w14:textId="77777777" w:rsidR="00154372" w:rsidRPr="00301E64" w:rsidRDefault="00154372" w:rsidP="00A077D0">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301E64">
                                        <w:rPr>
                                          <w:rFonts w:ascii="Arial" w:hAnsi="Arial" w:cs="Arial"/>
                                          <w:sz w:val="16"/>
                                          <w:szCs w:val="16"/>
                                        </w:rPr>
                                        <w:t>Examination, Xray, scale &amp; polish</w:t>
                                      </w:r>
                                    </w:p>
                                  </w:tc>
                                  <w:tc>
                                    <w:tcPr>
                                      <w:tcW w:w="1762" w:type="dxa"/>
                                    </w:tcPr>
                                    <w:p w14:paraId="59B32548" w14:textId="77777777" w:rsidR="00154372" w:rsidRPr="00301E64" w:rsidRDefault="00154372" w:rsidP="00A077D0">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301E64">
                                        <w:rPr>
                                          <w:rFonts w:ascii="Arial" w:hAnsi="Arial" w:cs="Arial"/>
                                          <w:sz w:val="16"/>
                                          <w:szCs w:val="16"/>
                                        </w:rPr>
                                        <w:t>£27.40</w:t>
                                      </w:r>
                                    </w:p>
                                  </w:tc>
                                </w:tr>
                                <w:tr w:rsidR="00154372" w:rsidRPr="00301E64" w14:paraId="6342CB50" w14:textId="77777777" w:rsidTr="00D77D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2" w:type="dxa"/>
                                    </w:tcPr>
                                    <w:p w14:paraId="413EDD70" w14:textId="77777777" w:rsidR="00154372" w:rsidRPr="00301E64" w:rsidRDefault="00154372" w:rsidP="00A077D0">
                                      <w:pPr>
                                        <w:rPr>
                                          <w:rFonts w:ascii="Arial" w:hAnsi="Arial" w:cs="Arial"/>
                                          <w:sz w:val="16"/>
                                          <w:szCs w:val="16"/>
                                        </w:rPr>
                                      </w:pPr>
                                      <w:r w:rsidRPr="00301E64">
                                        <w:rPr>
                                          <w:rFonts w:ascii="Arial" w:hAnsi="Arial" w:cs="Arial"/>
                                          <w:sz w:val="16"/>
                                          <w:szCs w:val="16"/>
                                        </w:rPr>
                                        <w:t xml:space="preserve">Band </w:t>
                                      </w:r>
                                      <w:proofErr w:type="gramStart"/>
                                      <w:r w:rsidRPr="00301E64">
                                        <w:rPr>
                                          <w:rFonts w:ascii="Arial" w:hAnsi="Arial" w:cs="Arial"/>
                                          <w:sz w:val="16"/>
                                          <w:szCs w:val="16"/>
                                        </w:rPr>
                                        <w:t>2</w:t>
                                      </w:r>
                                      <w:proofErr w:type="gramEnd"/>
                                      <w:r w:rsidRPr="00301E64">
                                        <w:rPr>
                                          <w:rFonts w:ascii="Arial" w:hAnsi="Arial" w:cs="Arial"/>
                                          <w:sz w:val="16"/>
                                          <w:szCs w:val="16"/>
                                        </w:rPr>
                                        <w:t xml:space="preserve"> </w:t>
                                      </w:r>
                                    </w:p>
                                  </w:tc>
                                  <w:tc>
                                    <w:tcPr>
                                      <w:tcW w:w="1762" w:type="dxa"/>
                                    </w:tcPr>
                                    <w:p w14:paraId="23C1DD84" w14:textId="77777777" w:rsidR="00154372" w:rsidRPr="00301E64" w:rsidRDefault="00154372" w:rsidP="00A077D0">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01E64">
                                        <w:rPr>
                                          <w:rFonts w:ascii="Arial" w:hAnsi="Arial" w:cs="Arial"/>
                                          <w:sz w:val="16"/>
                                          <w:szCs w:val="16"/>
                                        </w:rPr>
                                        <w:t>Including Band 1 + Fillings, root canal, extraction</w:t>
                                      </w:r>
                                    </w:p>
                                  </w:tc>
                                  <w:tc>
                                    <w:tcPr>
                                      <w:tcW w:w="1762" w:type="dxa"/>
                                    </w:tcPr>
                                    <w:p w14:paraId="5F5BE3E6" w14:textId="77777777" w:rsidR="00154372" w:rsidRPr="00301E64" w:rsidRDefault="00154372" w:rsidP="00A077D0">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01E64">
                                        <w:rPr>
                                          <w:rFonts w:ascii="Arial" w:hAnsi="Arial" w:cs="Arial"/>
                                          <w:sz w:val="16"/>
                                          <w:szCs w:val="16"/>
                                        </w:rPr>
                                        <w:t>£75.30</w:t>
                                      </w:r>
                                    </w:p>
                                  </w:tc>
                                </w:tr>
                                <w:tr w:rsidR="00154372" w:rsidRPr="00301E64" w14:paraId="421B5B8C" w14:textId="77777777" w:rsidTr="00D77D5D">
                                  <w:tc>
                                    <w:tcPr>
                                      <w:cnfStyle w:val="001000000000" w:firstRow="0" w:lastRow="0" w:firstColumn="1" w:lastColumn="0" w:oddVBand="0" w:evenVBand="0" w:oddHBand="0" w:evenHBand="0" w:firstRowFirstColumn="0" w:firstRowLastColumn="0" w:lastRowFirstColumn="0" w:lastRowLastColumn="0"/>
                                      <w:tcW w:w="1762" w:type="dxa"/>
                                    </w:tcPr>
                                    <w:p w14:paraId="147EB753" w14:textId="77777777" w:rsidR="00154372" w:rsidRPr="00301E64" w:rsidRDefault="00154372" w:rsidP="00A077D0">
                                      <w:pPr>
                                        <w:rPr>
                                          <w:rFonts w:ascii="Arial" w:hAnsi="Arial" w:cs="Arial"/>
                                          <w:sz w:val="16"/>
                                          <w:szCs w:val="16"/>
                                        </w:rPr>
                                      </w:pPr>
                                      <w:r w:rsidRPr="00301E64">
                                        <w:rPr>
                                          <w:rFonts w:ascii="Arial" w:hAnsi="Arial" w:cs="Arial"/>
                                          <w:sz w:val="16"/>
                                          <w:szCs w:val="16"/>
                                        </w:rPr>
                                        <w:t xml:space="preserve">Band </w:t>
                                      </w:r>
                                      <w:proofErr w:type="gramStart"/>
                                      <w:r w:rsidRPr="00301E64">
                                        <w:rPr>
                                          <w:rFonts w:ascii="Arial" w:hAnsi="Arial" w:cs="Arial"/>
                                          <w:sz w:val="16"/>
                                          <w:szCs w:val="16"/>
                                        </w:rPr>
                                        <w:t>3</w:t>
                                      </w:r>
                                      <w:proofErr w:type="gramEnd"/>
                                    </w:p>
                                  </w:tc>
                                  <w:tc>
                                    <w:tcPr>
                                      <w:tcW w:w="1762" w:type="dxa"/>
                                    </w:tcPr>
                                    <w:p w14:paraId="5C4B96E9" w14:textId="77777777" w:rsidR="00154372" w:rsidRPr="00301E64" w:rsidRDefault="00154372" w:rsidP="00A077D0">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01E64">
                                        <w:rPr>
                                          <w:rFonts w:ascii="Arial" w:hAnsi="Arial" w:cs="Arial"/>
                                          <w:sz w:val="16"/>
                                          <w:szCs w:val="16"/>
                                        </w:rPr>
                                        <w:t>Including band 2 + Crowns, dentures, bridges</w:t>
                                      </w:r>
                                    </w:p>
                                  </w:tc>
                                  <w:tc>
                                    <w:tcPr>
                                      <w:tcW w:w="1762" w:type="dxa"/>
                                    </w:tcPr>
                                    <w:p w14:paraId="5AE9457B" w14:textId="77777777" w:rsidR="00154372" w:rsidRPr="00301E64" w:rsidRDefault="00154372" w:rsidP="00A077D0">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01E64">
                                        <w:rPr>
                                          <w:rFonts w:ascii="Arial" w:hAnsi="Arial" w:cs="Arial"/>
                                          <w:sz w:val="16"/>
                                          <w:szCs w:val="16"/>
                                        </w:rPr>
                                        <w:t>£326.70</w:t>
                                      </w:r>
                                    </w:p>
                                  </w:tc>
                                </w:tr>
                              </w:tbl>
                              <w:p w14:paraId="2E93D7DC" w14:textId="77777777" w:rsidR="00154372" w:rsidRPr="007935C3" w:rsidRDefault="00154372" w:rsidP="00A077D0">
                                <w:pPr>
                                  <w:spacing w:after="0" w:line="240" w:lineRule="auto"/>
                                  <w:rPr>
                                    <w:sz w:val="18"/>
                                    <w:szCs w:val="18"/>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0019426" id="_x0000_s1027" type="#_x0000_t202" style="position:absolute;margin-left:-27pt;margin-top:18.75pt;width:185.9pt;height:154.25pt;z-index:-25162854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" filled="f" stroked="f">
                    <v:textbox>
                      <w:txbxContent>
                        <w:p w14:paraId="3E750835" w14:textId="77777777" w:rsidR="00154372" w:rsidRPr="00301E64" w:rsidRDefault="00154372" w:rsidP="00A077D0">
                          <w:pPr>
                            <w:spacing w:after="0" w:line="240" w:lineRule="auto"/>
                            <w:rPr>
                              <w:rFonts w:ascii="Arial" w:hAnsi="Arial" w:cs="Arial"/>
                              <w:sz w:val="16"/>
                              <w:szCs w:val="16"/>
                            </w:rPr>
                          </w:pPr>
                          <w:r w:rsidRPr="00301E64">
                            <w:rPr>
                              <w:rFonts w:ascii="Arial" w:hAnsi="Arial" w:cs="Arial"/>
                              <w:b/>
                              <w:bCs/>
                              <w:sz w:val="16"/>
                              <w:szCs w:val="16"/>
                            </w:rPr>
                            <w:t>What is NHS Dentistry</w:t>
                          </w:r>
                          <w:r w:rsidRPr="00301E64">
                            <w:rPr>
                              <w:rFonts w:ascii="Arial" w:hAnsi="Arial" w:cs="Arial"/>
                              <w:sz w:val="16"/>
                              <w:szCs w:val="16"/>
                            </w:rPr>
                            <w:t>?</w:t>
                          </w:r>
                        </w:p>
                        <w:p w14:paraId="092A382E"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 xml:space="preserve">NHS dentistry provides essential, </w:t>
                          </w:r>
                          <w:proofErr w:type="gramStart"/>
                          <w:r w:rsidRPr="00301E64">
                            <w:rPr>
                              <w:rFonts w:ascii="Arial" w:hAnsi="Arial" w:cs="Arial"/>
                              <w:sz w:val="16"/>
                              <w:szCs w:val="16"/>
                            </w:rPr>
                            <w:t>clinically</w:t>
                          </w:r>
                          <w:proofErr w:type="gramEnd"/>
                          <w:r w:rsidRPr="00301E64">
                            <w:rPr>
                              <w:rFonts w:ascii="Arial" w:hAnsi="Arial" w:cs="Arial"/>
                              <w:sz w:val="16"/>
                              <w:szCs w:val="16"/>
                            </w:rPr>
                            <w:t xml:space="preserve"> </w:t>
                          </w:r>
                        </w:p>
                        <w:p w14:paraId="6AEF654B"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necessary treatment to keep your teeth, gums,</w:t>
                          </w:r>
                        </w:p>
                        <w:p w14:paraId="178AA5AB"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 xml:space="preserve"> and mouth healthy and free from pain </w:t>
                          </w:r>
                        </w:p>
                        <w:p w14:paraId="1E1C5014"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(NHS, 2020). It usually covers routine check</w:t>
                          </w:r>
                          <w:r w:rsidRPr="00301E64">
                            <w:rPr>
                              <w:rFonts w:ascii="Cambria Math" w:hAnsi="Cambria Math" w:cs="Cambria Math"/>
                              <w:sz w:val="16"/>
                              <w:szCs w:val="16"/>
                            </w:rPr>
                            <w:t>‑</w:t>
                          </w:r>
                          <w:proofErr w:type="gramStart"/>
                          <w:r w:rsidRPr="00301E64">
                            <w:rPr>
                              <w:rFonts w:ascii="Arial" w:hAnsi="Arial" w:cs="Arial"/>
                              <w:sz w:val="16"/>
                              <w:szCs w:val="16"/>
                            </w:rPr>
                            <w:t>ups</w:t>
                          </w:r>
                          <w:proofErr w:type="gramEnd"/>
                        </w:p>
                        <w:p w14:paraId="687AE933" w14:textId="77777777" w:rsidR="00301E64" w:rsidRDefault="00154372" w:rsidP="00A077D0">
                          <w:pPr>
                            <w:spacing w:after="0" w:line="240" w:lineRule="auto"/>
                            <w:rPr>
                              <w:rFonts w:ascii="Arial" w:hAnsi="Arial" w:cs="Arial"/>
                              <w:sz w:val="16"/>
                              <w:szCs w:val="16"/>
                            </w:rPr>
                          </w:pPr>
                          <w:r w:rsidRPr="00301E64">
                            <w:rPr>
                              <w:rFonts w:ascii="Arial" w:hAnsi="Arial" w:cs="Arial"/>
                              <w:sz w:val="16"/>
                              <w:szCs w:val="16"/>
                            </w:rPr>
                            <w:t>, X</w:t>
                          </w:r>
                          <w:r w:rsidRPr="00301E64">
                            <w:rPr>
                              <w:rFonts w:ascii="Cambria Math" w:hAnsi="Cambria Math" w:cs="Cambria Math"/>
                              <w:sz w:val="16"/>
                              <w:szCs w:val="16"/>
                            </w:rPr>
                            <w:t>‑</w:t>
                          </w:r>
                          <w:r w:rsidRPr="00301E64">
                            <w:rPr>
                              <w:rFonts w:ascii="Arial" w:hAnsi="Arial" w:cs="Arial"/>
                              <w:sz w:val="16"/>
                              <w:szCs w:val="16"/>
                            </w:rPr>
                            <w:t xml:space="preserve">rays, fillings, and extractions, but not </w:t>
                          </w:r>
                        </w:p>
                        <w:p w14:paraId="2AC8B6D7" w14:textId="1B4CB2FA" w:rsidR="00154372" w:rsidRPr="00301E64" w:rsidRDefault="00154372" w:rsidP="00A077D0">
                          <w:pPr>
                            <w:spacing w:after="0" w:line="240" w:lineRule="auto"/>
                            <w:rPr>
                              <w:rFonts w:ascii="Arial" w:hAnsi="Arial" w:cs="Arial"/>
                              <w:sz w:val="16"/>
                              <w:szCs w:val="16"/>
                            </w:rPr>
                          </w:pPr>
                          <w:r w:rsidRPr="00301E64">
                            <w:rPr>
                              <w:rFonts w:ascii="Arial" w:hAnsi="Arial" w:cs="Arial"/>
                              <w:sz w:val="16"/>
                              <w:szCs w:val="16"/>
                            </w:rPr>
                            <w:t xml:space="preserve">cosmetic treatments like tooth whitening. </w:t>
                          </w:r>
                        </w:p>
                        <w:tbl>
                          <w:tblPr>
                            <w:tblStyle w:val="GridTable4-Accent2"/>
                            <w:tblW w:w="0" w:type="auto"/>
                            <w:tblLook w:val="04A0" w:firstRow="1" w:lastRow="0" w:firstColumn="1" w:lastColumn="0" w:noHBand="0" w:noVBand="1"/>
                          </w:tblPr>
                          <w:tblGrid>
                            <w:gridCol w:w="959"/>
                            <w:gridCol w:w="1377"/>
                            <w:gridCol w:w="1085"/>
                          </w:tblGrid>
                          <w:tr w:rsidR="00154372" w:rsidRPr="00301E64" w14:paraId="48AA1D9D" w14:textId="77777777" w:rsidTr="00D77D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2" w:type="dxa"/>
                              </w:tcPr>
                              <w:p w14:paraId="711B2AEC" w14:textId="77777777" w:rsidR="00154372" w:rsidRPr="00301E64" w:rsidRDefault="00154372" w:rsidP="00A077D0">
                                <w:pPr>
                                  <w:rPr>
                                    <w:rFonts w:ascii="Arial" w:hAnsi="Arial" w:cs="Arial"/>
                                    <w:sz w:val="16"/>
                                    <w:szCs w:val="16"/>
                                  </w:rPr>
                                </w:pPr>
                                <w:r w:rsidRPr="00301E64">
                                  <w:rPr>
                                    <w:rFonts w:ascii="Arial" w:hAnsi="Arial" w:cs="Arial"/>
                                    <w:sz w:val="16"/>
                                    <w:szCs w:val="16"/>
                                  </w:rPr>
                                  <w:t xml:space="preserve">Band </w:t>
                                </w:r>
                                <w:proofErr w:type="gramStart"/>
                                <w:r w:rsidRPr="00301E64">
                                  <w:rPr>
                                    <w:rFonts w:ascii="Arial" w:hAnsi="Arial" w:cs="Arial"/>
                                    <w:sz w:val="16"/>
                                    <w:szCs w:val="16"/>
                                  </w:rPr>
                                  <w:t>1</w:t>
                                </w:r>
                                <w:proofErr w:type="gramEnd"/>
                              </w:p>
                            </w:tc>
                            <w:tc>
                              <w:tcPr>
                                <w:tcW w:w="1762" w:type="dxa"/>
                              </w:tcPr>
                              <w:p w14:paraId="3A4A9140" w14:textId="77777777" w:rsidR="00154372" w:rsidRPr="00301E64" w:rsidRDefault="00154372" w:rsidP="00A077D0">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301E64">
                                  <w:rPr>
                                    <w:rFonts w:ascii="Arial" w:hAnsi="Arial" w:cs="Arial"/>
                                    <w:sz w:val="16"/>
                                    <w:szCs w:val="16"/>
                                  </w:rPr>
                                  <w:t>Examination, Xray, scale &amp; polish</w:t>
                                </w:r>
                              </w:p>
                            </w:tc>
                            <w:tc>
                              <w:tcPr>
                                <w:tcW w:w="1762" w:type="dxa"/>
                              </w:tcPr>
                              <w:p w14:paraId="59B32548" w14:textId="77777777" w:rsidR="00154372" w:rsidRPr="00301E64" w:rsidRDefault="00154372" w:rsidP="00A077D0">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301E64">
                                  <w:rPr>
                                    <w:rFonts w:ascii="Arial" w:hAnsi="Arial" w:cs="Arial"/>
                                    <w:sz w:val="16"/>
                                    <w:szCs w:val="16"/>
                                  </w:rPr>
                                  <w:t>£27.40</w:t>
                                </w:r>
                              </w:p>
                            </w:tc>
                          </w:tr>
                          <w:tr w:rsidR="00154372" w:rsidRPr="00301E64" w14:paraId="6342CB50" w14:textId="77777777" w:rsidTr="00D77D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2" w:type="dxa"/>
                              </w:tcPr>
                              <w:p w14:paraId="413EDD70" w14:textId="77777777" w:rsidR="00154372" w:rsidRPr="00301E64" w:rsidRDefault="00154372" w:rsidP="00A077D0">
                                <w:pPr>
                                  <w:rPr>
                                    <w:rFonts w:ascii="Arial" w:hAnsi="Arial" w:cs="Arial"/>
                                    <w:sz w:val="16"/>
                                    <w:szCs w:val="16"/>
                                  </w:rPr>
                                </w:pPr>
                                <w:r w:rsidRPr="00301E64">
                                  <w:rPr>
                                    <w:rFonts w:ascii="Arial" w:hAnsi="Arial" w:cs="Arial"/>
                                    <w:sz w:val="16"/>
                                    <w:szCs w:val="16"/>
                                  </w:rPr>
                                  <w:t xml:space="preserve">Band </w:t>
                                </w:r>
                                <w:proofErr w:type="gramStart"/>
                                <w:r w:rsidRPr="00301E64">
                                  <w:rPr>
                                    <w:rFonts w:ascii="Arial" w:hAnsi="Arial" w:cs="Arial"/>
                                    <w:sz w:val="16"/>
                                    <w:szCs w:val="16"/>
                                  </w:rPr>
                                  <w:t>2</w:t>
                                </w:r>
                                <w:proofErr w:type="gramEnd"/>
                                <w:r w:rsidRPr="00301E64">
                                  <w:rPr>
                                    <w:rFonts w:ascii="Arial" w:hAnsi="Arial" w:cs="Arial"/>
                                    <w:sz w:val="16"/>
                                    <w:szCs w:val="16"/>
                                  </w:rPr>
                                  <w:t xml:space="preserve"> </w:t>
                                </w:r>
                              </w:p>
                            </w:tc>
                            <w:tc>
                              <w:tcPr>
                                <w:tcW w:w="1762" w:type="dxa"/>
                              </w:tcPr>
                              <w:p w14:paraId="23C1DD84" w14:textId="77777777" w:rsidR="00154372" w:rsidRPr="00301E64" w:rsidRDefault="00154372" w:rsidP="00A077D0">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01E64">
                                  <w:rPr>
                                    <w:rFonts w:ascii="Arial" w:hAnsi="Arial" w:cs="Arial"/>
                                    <w:sz w:val="16"/>
                                    <w:szCs w:val="16"/>
                                  </w:rPr>
                                  <w:t>Including Band 1 + Fillings, root canal, extraction</w:t>
                                </w:r>
                              </w:p>
                            </w:tc>
                            <w:tc>
                              <w:tcPr>
                                <w:tcW w:w="1762" w:type="dxa"/>
                              </w:tcPr>
                              <w:p w14:paraId="5F5BE3E6" w14:textId="77777777" w:rsidR="00154372" w:rsidRPr="00301E64" w:rsidRDefault="00154372" w:rsidP="00A077D0">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01E64">
                                  <w:rPr>
                                    <w:rFonts w:ascii="Arial" w:hAnsi="Arial" w:cs="Arial"/>
                                    <w:sz w:val="16"/>
                                    <w:szCs w:val="16"/>
                                  </w:rPr>
                                  <w:t>£75.30</w:t>
                                </w:r>
                              </w:p>
                            </w:tc>
                          </w:tr>
                          <w:tr w:rsidR="00154372" w:rsidRPr="00301E64" w14:paraId="421B5B8C" w14:textId="77777777" w:rsidTr="00D77D5D">
                            <w:tc>
                              <w:tcPr>
                                <w:cnfStyle w:val="001000000000" w:firstRow="0" w:lastRow="0" w:firstColumn="1" w:lastColumn="0" w:oddVBand="0" w:evenVBand="0" w:oddHBand="0" w:evenHBand="0" w:firstRowFirstColumn="0" w:firstRowLastColumn="0" w:lastRowFirstColumn="0" w:lastRowLastColumn="0"/>
                                <w:tcW w:w="1762" w:type="dxa"/>
                              </w:tcPr>
                              <w:p w14:paraId="147EB753" w14:textId="77777777" w:rsidR="00154372" w:rsidRPr="00301E64" w:rsidRDefault="00154372" w:rsidP="00A077D0">
                                <w:pPr>
                                  <w:rPr>
                                    <w:rFonts w:ascii="Arial" w:hAnsi="Arial" w:cs="Arial"/>
                                    <w:sz w:val="16"/>
                                    <w:szCs w:val="16"/>
                                  </w:rPr>
                                </w:pPr>
                                <w:r w:rsidRPr="00301E64">
                                  <w:rPr>
                                    <w:rFonts w:ascii="Arial" w:hAnsi="Arial" w:cs="Arial"/>
                                    <w:sz w:val="16"/>
                                    <w:szCs w:val="16"/>
                                  </w:rPr>
                                  <w:t xml:space="preserve">Band </w:t>
                                </w:r>
                                <w:proofErr w:type="gramStart"/>
                                <w:r w:rsidRPr="00301E64">
                                  <w:rPr>
                                    <w:rFonts w:ascii="Arial" w:hAnsi="Arial" w:cs="Arial"/>
                                    <w:sz w:val="16"/>
                                    <w:szCs w:val="16"/>
                                  </w:rPr>
                                  <w:t>3</w:t>
                                </w:r>
                                <w:proofErr w:type="gramEnd"/>
                              </w:p>
                            </w:tc>
                            <w:tc>
                              <w:tcPr>
                                <w:tcW w:w="1762" w:type="dxa"/>
                              </w:tcPr>
                              <w:p w14:paraId="5C4B96E9" w14:textId="77777777" w:rsidR="00154372" w:rsidRPr="00301E64" w:rsidRDefault="00154372" w:rsidP="00A077D0">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01E64">
                                  <w:rPr>
                                    <w:rFonts w:ascii="Arial" w:hAnsi="Arial" w:cs="Arial"/>
                                    <w:sz w:val="16"/>
                                    <w:szCs w:val="16"/>
                                  </w:rPr>
                                  <w:t>Including band 2 + Crowns, dentures, bridges</w:t>
                                </w:r>
                              </w:p>
                            </w:tc>
                            <w:tc>
                              <w:tcPr>
                                <w:tcW w:w="1762" w:type="dxa"/>
                              </w:tcPr>
                              <w:p w14:paraId="5AE9457B" w14:textId="77777777" w:rsidR="00154372" w:rsidRPr="00301E64" w:rsidRDefault="00154372" w:rsidP="00A077D0">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01E64">
                                  <w:rPr>
                                    <w:rFonts w:ascii="Arial" w:hAnsi="Arial" w:cs="Arial"/>
                                    <w:sz w:val="16"/>
                                    <w:szCs w:val="16"/>
                                  </w:rPr>
                                  <w:t>£326.70</w:t>
                                </w:r>
                              </w:p>
                            </w:tc>
                          </w:tr>
                        </w:tbl>
                        <w:p w14:paraId="2E93D7DC" w14:textId="77777777" w:rsidR="00154372" w:rsidRPr="007935C3" w:rsidRDefault="00154372" w:rsidP="00A077D0">
                          <w:pPr>
                            <w:spacing w:after="0" w:line="240" w:lineRule="auto"/>
                            <w:rPr>
                              <w:sz w:val="18"/>
                              <w:szCs w:val="18"/>
                            </w:rPr>
                          </w:pPr>
                        </w:p>
                      </w:txbxContent>
                    </v:textbox>
                    <w10:wrap type="through"/>
                  </v:shape>
                </w:pict>
              </mc:Fallback>
            </mc:AlternateContent>
          </w:r>
          <w:r w:rsidR="004F63A1" w:rsidRPr="00BE7311">
            <w:rPr>
              <w:rFonts w:ascii="Arial" w:hAnsi="Arial" w:cs="Arial"/>
              <w:noProof/>
              <w:sz w:val="22"/>
              <w:szCs w:val="22"/>
            </w:rPr>
            <mc:AlternateContent>
              <mc:Choice Requires="wps">
                <w:drawing>
                  <wp:anchor distT="45720" distB="45720" distL="114300" distR="114300" simplePos="0" relativeHeight="251686912" behindDoc="0" locked="0" layoutInCell="1" allowOverlap="1" wp14:anchorId="7EE4581D" wp14:editId="4D0248C0">
                    <wp:simplePos x="0" y="0"/>
                    <wp:positionH relativeFrom="margin">
                      <wp:posOffset>3319521</wp:posOffset>
                    </wp:positionH>
                    <wp:positionV relativeFrom="paragraph">
                      <wp:posOffset>52</wp:posOffset>
                    </wp:positionV>
                    <wp:extent cx="316420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4205" cy="1404620"/>
                            </a:xfrm>
                            <a:prstGeom prst="rect">
                              <a:avLst/>
                            </a:prstGeom>
                            <a:noFill/>
                            <a:ln w="9525">
                              <a:noFill/>
                              <a:miter lim="800000"/>
                              <a:headEnd/>
                              <a:tailEnd/>
                            </a:ln>
                          </wps:spPr>
                          <wps:txbx>
                            <w:txbxContent>
                              <w:p w14:paraId="7F7D41C2" w14:textId="1DA54DD1" w:rsidR="00154372" w:rsidRPr="00205042" w:rsidRDefault="00154372" w:rsidP="00154372">
                                <w:pPr>
                                  <w:rPr>
                                    <w:b/>
                                    <w:bCs/>
                                    <w:sz w:val="36"/>
                                    <w:szCs w:val="36"/>
                                  </w:rPr>
                                </w:pPr>
                                <w:r w:rsidRPr="00205042">
                                  <w:rPr>
                                    <w:b/>
                                    <w:bCs/>
                                    <w:sz w:val="36"/>
                                    <w:szCs w:val="36"/>
                                  </w:rPr>
                                  <w:t>NHS Dentistry Services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EE4581D" id="_x0000_s1028" type="#_x0000_t202" style="position:absolute;margin-left:261.4pt;margin-top:0;width:249.15pt;height:110.6pt;z-index:2516869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" filled="f" stroked="f">
                    <v:textbox style="mso-fit-shape-to-text:t">
                      <w:txbxContent>
                        <w:p w14:paraId="7F7D41C2" w14:textId="1DA54DD1" w:rsidR="00154372" w:rsidRPr="00205042" w:rsidRDefault="00154372" w:rsidP="00154372">
                          <w:pPr>
                            <w:rPr>
                              <w:b/>
                              <w:bCs/>
                              <w:sz w:val="36"/>
                              <w:szCs w:val="36"/>
                            </w:rPr>
                          </w:pPr>
                          <w:r w:rsidRPr="00205042">
                            <w:rPr>
                              <w:b/>
                              <w:bCs/>
                              <w:sz w:val="36"/>
                              <w:szCs w:val="36"/>
                            </w:rPr>
                            <w:t>NHS Dentistry Services</w:t>
                          </w:r>
                        </w:p>
                      </w:txbxContent>
                    </v:textbox>
                    <w10:wrap type="square" anchorx="margin"/>
                  </v:shape>
                </w:pict>
              </mc:Fallback>
            </mc:AlternateContent>
          </w:r>
        </w:p>
        <w:p w14:paraId="5C1654A4" w14:textId="4B8B3C8C" w:rsidR="003C1019" w:rsidRDefault="007A6DF6">
          <w:r>
            <w:rPr>
              <w:noProof/>
            </w:rPr>
            <mc:AlternateContent>
              <mc:Choice Requires="wps">
                <w:drawing>
                  <wp:anchor distT="0" distB="0" distL="114300" distR="114300" simplePos="0" relativeHeight="251709440" behindDoc="0" locked="0" layoutInCell="1" allowOverlap="1" wp14:anchorId="670E159A" wp14:editId="7FDF7154">
                    <wp:simplePos x="0" y="0"/>
                    <wp:positionH relativeFrom="column">
                      <wp:posOffset>1961318</wp:posOffset>
                    </wp:positionH>
                    <wp:positionV relativeFrom="paragraph">
                      <wp:posOffset>382606</wp:posOffset>
                    </wp:positionV>
                    <wp:extent cx="1241946" cy="341194"/>
                    <wp:effectExtent l="0" t="0" r="0" b="1905"/>
                    <wp:wrapNone/>
                    <wp:docPr id="900625116" name="Text Box 20"/>
                    <wp:cNvGraphicFramePr/>
                    <a:graphic xmlns:a="http://schemas.openxmlformats.org/drawingml/2006/main">
                      <a:graphicData uri="http://schemas.microsoft.com/office/word/2010/wordprocessingShape">
                        <wps:wsp>
                          <wps:cNvSpPr txBox="1"/>
                          <wps:spPr>
                            <a:xfrm>
                              <a:off x="0" y="0"/>
                              <a:ext cx="1241946" cy="341194"/>
                            </a:xfrm>
                            <a:prstGeom prst="rect">
                              <a:avLst/>
                            </a:prstGeom>
                            <a:noFill/>
                            <a:ln w="6350">
                              <a:noFill/>
                            </a:ln>
                          </wps:spPr>
                          <wps:txbx>
                            <w:txbxContent>
                              <w:p w14:paraId="1C8DD5C4" w14:textId="0181F863" w:rsidR="002354EE" w:rsidRPr="00AF106B" w:rsidRDefault="002354EE">
                                <w:pPr>
                                  <w:rPr>
                                    <w:sz w:val="18"/>
                                    <w:szCs w:val="18"/>
                                  </w:rPr>
                                </w:pPr>
                                <w:r w:rsidRPr="00AF106B">
                                  <w:rPr>
                                    <w:rFonts w:ascii="Arial" w:hAnsi="Arial" w:cs="Arial"/>
                                    <w:sz w:val="16"/>
                                    <w:szCs w:val="16"/>
                                  </w:rPr>
                                  <w:t>Tunbridge Wells Dental Care (no</w:t>
                                </w:r>
                                <w:r w:rsidRPr="00AF106B">
                                  <w:rPr>
                                    <w:sz w:val="16"/>
                                    <w:szCs w:val="16"/>
                                  </w:rPr>
                                  <w:t xml:space="preserve"> </w:t>
                                </w:r>
                                <w:r w:rsidRPr="00AF106B">
                                  <w:rPr>
                                    <w:sz w:val="18"/>
                                    <w:szCs w:val="18"/>
                                  </w:rPr>
                                  <w:t>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0E159A" id="Text Box 20" o:spid="_x0000_s1029" type="#_x0000_t202" style="position:absolute;margin-left:154.45pt;margin-top:30.15pt;width:97.8pt;height:26.8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" filled="f" stroked="f" strokeweight=".5pt">
                    <v:textbox>
                      <w:txbxContent>
                        <w:p w14:paraId="1C8DD5C4" w14:textId="0181F863" w:rsidR="002354EE" w:rsidRPr="00AF106B" w:rsidRDefault="002354EE">
                          <w:pPr>
                            <w:rPr>
                              <w:sz w:val="18"/>
                              <w:szCs w:val="18"/>
                            </w:rPr>
                          </w:pPr>
                          <w:r w:rsidRPr="00AF106B">
                            <w:rPr>
                              <w:rFonts w:ascii="Arial" w:hAnsi="Arial" w:cs="Arial"/>
                              <w:sz w:val="16"/>
                              <w:szCs w:val="16"/>
                            </w:rPr>
                            <w:t>Tunbridge Wells Dental Care (no</w:t>
                          </w:r>
                          <w:r w:rsidRPr="00AF106B">
                            <w:rPr>
                              <w:sz w:val="16"/>
                              <w:szCs w:val="16"/>
                            </w:rPr>
                            <w:t xml:space="preserve"> </w:t>
                          </w:r>
                          <w:r w:rsidRPr="00AF106B">
                            <w:rPr>
                              <w:sz w:val="18"/>
                              <w:szCs w:val="18"/>
                            </w:rPr>
                            <w:t>date)</w:t>
                          </w:r>
                        </w:p>
                      </w:txbxContent>
                    </v:textbox>
                  </v:shape>
                </w:pict>
              </mc:Fallback>
            </mc:AlternateContent>
          </w:r>
          <w:r w:rsidR="004F63A1">
            <w:rPr>
              <w:rFonts w:ascii="Arial" w:hAnsi="Arial" w:cs="Arial"/>
              <w:noProof/>
              <w:sz w:val="22"/>
              <w:szCs w:val="22"/>
            </w:rPr>
            <mc:AlternateContent>
              <mc:Choice Requires="wps">
                <w:drawing>
                  <wp:anchor distT="0" distB="0" distL="114300" distR="114300" simplePos="0" relativeHeight="251691008" behindDoc="0" locked="0" layoutInCell="1" allowOverlap="1" wp14:anchorId="62990AE4" wp14:editId="28FCFB34">
                    <wp:simplePos x="0" y="0"/>
                    <wp:positionH relativeFrom="margin">
                      <wp:posOffset>3430270</wp:posOffset>
                    </wp:positionH>
                    <wp:positionV relativeFrom="paragraph">
                      <wp:posOffset>238669</wp:posOffset>
                    </wp:positionV>
                    <wp:extent cx="2413518" cy="311021"/>
                    <wp:effectExtent l="0" t="0" r="0" b="0"/>
                    <wp:wrapNone/>
                    <wp:docPr id="1662278325" name="Text Box 8"/>
                    <wp:cNvGraphicFramePr/>
                    <a:graphic xmlns:a="http://schemas.openxmlformats.org/drawingml/2006/main">
                      <a:graphicData uri="http://schemas.microsoft.com/office/word/2010/wordprocessingShape">
                        <wps:wsp>
                          <wps:cNvSpPr txBox="1"/>
                          <wps:spPr>
                            <a:xfrm>
                              <a:off x="0" y="0"/>
                              <a:ext cx="2413518" cy="311021"/>
                            </a:xfrm>
                            <a:prstGeom prst="rect">
                              <a:avLst/>
                            </a:prstGeom>
                            <a:noFill/>
                            <a:ln w="6350">
                              <a:noFill/>
                            </a:ln>
                          </wps:spPr>
                          <wps:txbx>
                            <w:txbxContent>
                              <w:p w14:paraId="0350B647" w14:textId="77777777" w:rsidR="00154372" w:rsidRPr="00957551" w:rsidRDefault="00154372" w:rsidP="00154372">
                                <w:pPr>
                                  <w:rPr>
                                    <w:rFonts w:ascii="Arial" w:hAnsi="Arial" w:cs="Arial"/>
                                    <w:b/>
                                    <w:bCs/>
                                    <w:sz w:val="22"/>
                                    <w:szCs w:val="22"/>
                                  </w:rPr>
                                </w:pPr>
                                <w:r w:rsidRPr="00957551">
                                  <w:rPr>
                                    <w:rFonts w:ascii="Arial" w:hAnsi="Arial" w:cs="Arial"/>
                                    <w:b/>
                                    <w:bCs/>
                                    <w:sz w:val="22"/>
                                    <w:szCs w:val="22"/>
                                  </w:rPr>
                                  <w:t>How NHS Dentistry Works Today</w:t>
                                </w:r>
                              </w:p>
                              <w:p w14:paraId="4A6D6C94" w14:textId="76E47C11" w:rsidR="00154372" w:rsidRDefault="00154372" w:rsidP="00317E5C">
                                <w:pPr>
                                  <w:spacing w:after="0" w:line="240" w:lineRule="auto"/>
                                </w:pPr>
                              </w:p>
                              <w:p w14:paraId="62EB38BE" w14:textId="77777777" w:rsidR="00154372" w:rsidRDefault="00154372" w:rsidP="00154372"/>
                              <w:p w14:paraId="74ECACBC" w14:textId="77777777" w:rsidR="00154372" w:rsidRPr="002D019B" w:rsidRDefault="00154372" w:rsidP="00154372">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990AE4" id="Text Box 8" o:spid="_x0000_s1030" type="#_x0000_t202" style="position:absolute;margin-left:270.1pt;margin-top:18.8pt;width:190.05pt;height:24.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" filled="f" stroked="f" strokeweight=".5pt">
                    <v:textbox>
                      <w:txbxContent>
                        <w:p w14:paraId="0350B647" w14:textId="77777777" w:rsidR="00154372" w:rsidRPr="00957551" w:rsidRDefault="00154372" w:rsidP="00154372">
                          <w:pPr>
                            <w:rPr>
                              <w:rFonts w:ascii="Arial" w:hAnsi="Arial" w:cs="Arial"/>
                              <w:b/>
                              <w:bCs/>
                              <w:sz w:val="22"/>
                              <w:szCs w:val="22"/>
                            </w:rPr>
                          </w:pPr>
                          <w:r w:rsidRPr="00957551">
                            <w:rPr>
                              <w:rFonts w:ascii="Arial" w:hAnsi="Arial" w:cs="Arial"/>
                              <w:b/>
                              <w:bCs/>
                              <w:sz w:val="22"/>
                              <w:szCs w:val="22"/>
                            </w:rPr>
                            <w:t>How NHS Dentistry Works Today</w:t>
                          </w:r>
                        </w:p>
                        <w:p w14:paraId="4A6D6C94" w14:textId="76E47C11" w:rsidR="00154372" w:rsidRDefault="00154372" w:rsidP="00317E5C">
                          <w:pPr>
                            <w:spacing w:after="0" w:line="240" w:lineRule="auto"/>
                          </w:pPr>
                        </w:p>
                        <w:p w14:paraId="62EB38BE" w14:textId="77777777" w:rsidR="00154372" w:rsidRDefault="00154372" w:rsidP="00154372"/>
                        <w:p w14:paraId="74ECACBC" w14:textId="77777777" w:rsidR="00154372" w:rsidRPr="002D019B" w:rsidRDefault="00154372" w:rsidP="00154372">
                          <w:pPr>
                            <w:rPr>
                              <w:b/>
                              <w:bCs/>
                            </w:rPr>
                          </w:pPr>
                        </w:p>
                      </w:txbxContent>
                    </v:textbox>
                    <w10:wrap anchorx="margin"/>
                  </v:shape>
                </w:pict>
              </mc:Fallback>
            </mc:AlternateContent>
          </w:r>
        </w:p>
      </w:sdtContent>
    </w:sdt>
    <w:p w14:paraId="116FDC20" w14:textId="294EB53A" w:rsidR="0054337B" w:rsidRDefault="0054337B" w:rsidP="00552A79"/>
    <w:p w14:paraId="769652CF" w14:textId="78450FAB" w:rsidR="0054337B" w:rsidRDefault="00B84DAE" w:rsidP="00552A79">
      <w:r>
        <w:rPr>
          <w:rFonts w:ascii="Arial" w:hAnsi="Arial" w:cs="Arial"/>
          <w:noProof/>
          <w:sz w:val="22"/>
          <w:szCs w:val="22"/>
        </w:rPr>
        <mc:AlternateContent>
          <mc:Choice Requires="wps">
            <w:drawing>
              <wp:anchor distT="0" distB="0" distL="114300" distR="114300" simplePos="0" relativeHeight="251688960" behindDoc="0" locked="0" layoutInCell="1" allowOverlap="1" wp14:anchorId="53355618" wp14:editId="4BCF22DF">
                <wp:simplePos x="0" y="0"/>
                <wp:positionH relativeFrom="column">
                  <wp:posOffset>-338839</wp:posOffset>
                </wp:positionH>
                <wp:positionV relativeFrom="paragraph">
                  <wp:posOffset>984746</wp:posOffset>
                </wp:positionV>
                <wp:extent cx="3417881" cy="1681596"/>
                <wp:effectExtent l="19050" t="0" r="30480" b="280670"/>
                <wp:wrapNone/>
                <wp:docPr id="754026355" name="Thought Bubble: Cloud 6"/>
                <wp:cNvGraphicFramePr/>
                <a:graphic xmlns:a="http://schemas.openxmlformats.org/drawingml/2006/main">
                  <a:graphicData uri="http://schemas.microsoft.com/office/word/2010/wordprocessingShape">
                    <wps:wsp>
                      <wps:cNvSpPr/>
                      <wps:spPr>
                        <a:xfrm>
                          <a:off x="0" y="0"/>
                          <a:ext cx="3417881" cy="1681596"/>
                        </a:xfrm>
                        <a:prstGeom prst="cloudCallou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06E6EEDC" w14:textId="77777777" w:rsidR="00154372" w:rsidRDefault="00154372" w:rsidP="00154372">
                            <w:pPr>
                              <w:jc w:val="center"/>
                            </w:pPr>
                            <w:r>
                              <w:t>22.1 million</w:t>
                            </w:r>
                          </w:p>
                          <w:p w14:paraId="64662A63" w14:textId="77777777" w:rsidR="00154372" w:rsidRDefault="00154372" w:rsidP="00154372">
                            <w:pPr>
                              <w:jc w:val="center"/>
                            </w:pPr>
                            <w:r>
                              <w:t>NHS dental patient contacts in England (2022–23)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355618"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6" o:spid="_x0000_s1031" type="#_x0000_t106" style="position:absolute;margin-left:-26.7pt;margin-top:77.55pt;width:269.1pt;height:132.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" adj="6300,24300" fillcolor="#e97132 [3205]" strokecolor="#030e13 [484]" strokeweight="1.5pt">
                <v:stroke joinstyle="miter"/>
                <v:textbox>
                  <w:txbxContent>
                    <w:p w14:paraId="06E6EEDC" w14:textId="77777777" w:rsidR="00154372" w:rsidRDefault="00154372" w:rsidP="00154372">
                      <w:pPr>
                        <w:jc w:val="center"/>
                      </w:pPr>
                      <w:r>
                        <w:t>22.1 million</w:t>
                      </w:r>
                    </w:p>
                    <w:p w14:paraId="64662A63" w14:textId="77777777" w:rsidR="00154372" w:rsidRDefault="00154372" w:rsidP="00154372">
                      <w:pPr>
                        <w:jc w:val="center"/>
                      </w:pPr>
                      <w:r>
                        <w:t>NHS dental patient contacts in England (2022–23)</w:t>
                      </w:r>
                    </w:p>
                  </w:txbxContent>
                </v:textbox>
              </v:shape>
            </w:pict>
          </mc:Fallback>
        </mc:AlternateContent>
      </w:r>
      <w:r w:rsidR="00916FFD">
        <w:rPr>
          <w:noProof/>
        </w:rPr>
        <w:drawing>
          <wp:anchor distT="0" distB="0" distL="114300" distR="114300" simplePos="0" relativeHeight="251701248" behindDoc="0" locked="0" layoutInCell="1" allowOverlap="1" wp14:anchorId="1D0E5BDF" wp14:editId="72C52996">
            <wp:simplePos x="0" y="0"/>
            <wp:positionH relativeFrom="column">
              <wp:posOffset>3393739</wp:posOffset>
            </wp:positionH>
            <wp:positionV relativeFrom="paragraph">
              <wp:posOffset>84312</wp:posOffset>
            </wp:positionV>
            <wp:extent cx="2182495" cy="2823210"/>
            <wp:effectExtent l="19050" t="19050" r="46355" b="34290"/>
            <wp:wrapSquare wrapText="bothSides"/>
            <wp:docPr id="34859507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page">
              <wp14:pctWidth>0</wp14:pctWidth>
            </wp14:sizeRelH>
            <wp14:sizeRelV relativeFrom="page">
              <wp14:pctHeight>0</wp14:pctHeight>
            </wp14:sizeRelV>
          </wp:anchor>
        </w:drawing>
      </w:r>
    </w:p>
    <w:p w14:paraId="37DB4130" w14:textId="3D69057A" w:rsidR="0054337B" w:rsidRDefault="0054337B" w:rsidP="002354EE"/>
    <w:p w14:paraId="20D7637D" w14:textId="780BD05A" w:rsidR="0054337B" w:rsidRDefault="0054337B" w:rsidP="00552A79"/>
    <w:p w14:paraId="4D68E15F" w14:textId="77D65590" w:rsidR="0054337B" w:rsidRDefault="00B84DAE" w:rsidP="00552A79">
      <w:r>
        <w:rPr>
          <w:noProof/>
        </w:rPr>
        <mc:AlternateContent>
          <mc:Choice Requires="wps">
            <w:drawing>
              <wp:anchor distT="0" distB="0" distL="114300" distR="114300" simplePos="0" relativeHeight="251697152" behindDoc="0" locked="0" layoutInCell="1" allowOverlap="1" wp14:anchorId="75A90089" wp14:editId="0BF2CD7D">
                <wp:simplePos x="0" y="0"/>
                <wp:positionH relativeFrom="column">
                  <wp:posOffset>5513294</wp:posOffset>
                </wp:positionH>
                <wp:positionV relativeFrom="paragraph">
                  <wp:posOffset>8576</wp:posOffset>
                </wp:positionV>
                <wp:extent cx="2412450" cy="2766252"/>
                <wp:effectExtent l="0" t="0" r="0" b="0"/>
                <wp:wrapNone/>
                <wp:docPr id="454433119" name="Text Box 16"/>
                <wp:cNvGraphicFramePr/>
                <a:graphic xmlns:a="http://schemas.openxmlformats.org/drawingml/2006/main">
                  <a:graphicData uri="http://schemas.microsoft.com/office/word/2010/wordprocessingShape">
                    <wps:wsp>
                      <wps:cNvSpPr txBox="1"/>
                      <wps:spPr>
                        <a:xfrm>
                          <a:off x="0" y="0"/>
                          <a:ext cx="2412450" cy="2766252"/>
                        </a:xfrm>
                        <a:prstGeom prst="rect">
                          <a:avLst/>
                        </a:prstGeom>
                        <a:noFill/>
                        <a:ln w="6350">
                          <a:noFill/>
                        </a:ln>
                      </wps:spPr>
                      <wps:txbx>
                        <w:txbxContent>
                          <w:p w14:paraId="04F397F9" w14:textId="24424483" w:rsidR="00597CF1" w:rsidRPr="005D2238" w:rsidRDefault="00597CF1" w:rsidP="00597CF1">
                            <w:pPr>
                              <w:spacing w:after="0" w:line="240" w:lineRule="auto"/>
                              <w:ind w:left="720" w:hanging="360"/>
                              <w:rPr>
                                <w:rFonts w:ascii="Arial" w:hAnsi="Arial" w:cs="Arial"/>
                                <w:b/>
                                <w:bCs/>
                                <w:sz w:val="16"/>
                                <w:szCs w:val="16"/>
                              </w:rPr>
                            </w:pPr>
                            <w:r w:rsidRPr="00CA3B13">
                              <w:rPr>
                                <w:rFonts w:ascii="Arial" w:hAnsi="Arial" w:cs="Arial"/>
                                <w:b/>
                                <w:bCs/>
                                <w:sz w:val="16"/>
                                <w:szCs w:val="16"/>
                                <w:highlight w:val="yellow"/>
                              </w:rPr>
                              <w:t xml:space="preserve">Challenge </w:t>
                            </w:r>
                            <w:r w:rsidR="000C7928">
                              <w:rPr>
                                <w:rFonts w:ascii="Arial" w:hAnsi="Arial" w:cs="Arial"/>
                                <w:b/>
                                <w:bCs/>
                                <w:sz w:val="16"/>
                                <w:szCs w:val="16"/>
                                <w:highlight w:val="yellow"/>
                              </w:rPr>
                              <w:t>2</w:t>
                            </w:r>
                            <w:r w:rsidRPr="00CA3B13">
                              <w:rPr>
                                <w:rFonts w:ascii="Arial" w:hAnsi="Arial" w:cs="Arial"/>
                                <w:b/>
                                <w:bCs/>
                                <w:sz w:val="16"/>
                                <w:szCs w:val="16"/>
                                <w:highlight w:val="yellow"/>
                              </w:rPr>
                              <w:t>: Oral health inequalities</w:t>
                            </w:r>
                          </w:p>
                          <w:p w14:paraId="51B657E0" w14:textId="7C4BB7CD" w:rsidR="00DA7437" w:rsidRPr="00DA7437" w:rsidRDefault="002E49E8" w:rsidP="00DA7437">
                            <w:pPr>
                              <w:pStyle w:val="ListParagraph"/>
                              <w:numPr>
                                <w:ilvl w:val="0"/>
                                <w:numId w:val="1"/>
                              </w:numPr>
                              <w:spacing w:after="0" w:line="240" w:lineRule="auto"/>
                              <w:rPr>
                                <w:rFonts w:ascii="Arial" w:hAnsi="Arial" w:cs="Arial"/>
                                <w:sz w:val="16"/>
                                <w:szCs w:val="16"/>
                              </w:rPr>
                            </w:pPr>
                            <w:r w:rsidRPr="00DA7437">
                              <w:rPr>
                                <w:rFonts w:ascii="Arial" w:hAnsi="Arial" w:cs="Arial"/>
                                <w:sz w:val="16"/>
                                <w:szCs w:val="16"/>
                              </w:rPr>
                              <w:t>Tooth decay is much more common in people who live in the poorest parts of England than in people living in the most advantaged areas.</w:t>
                            </w:r>
                          </w:p>
                          <w:p w14:paraId="73D40B3C" w14:textId="77777777" w:rsidR="002E49E8" w:rsidRPr="00DA7437" w:rsidRDefault="002E49E8" w:rsidP="002E49E8">
                            <w:pPr>
                              <w:pStyle w:val="ListParagraph"/>
                              <w:numPr>
                                <w:ilvl w:val="0"/>
                                <w:numId w:val="1"/>
                              </w:numPr>
                              <w:spacing w:after="0" w:line="240" w:lineRule="auto"/>
                              <w:rPr>
                                <w:rFonts w:ascii="Arial" w:hAnsi="Arial" w:cs="Arial"/>
                                <w:sz w:val="16"/>
                                <w:szCs w:val="16"/>
                              </w:rPr>
                            </w:pPr>
                            <w:r w:rsidRPr="00DA7437">
                              <w:rPr>
                                <w:rFonts w:ascii="Arial" w:hAnsi="Arial" w:cs="Arial"/>
                                <w:sz w:val="16"/>
                                <w:szCs w:val="16"/>
                              </w:rPr>
                              <w:t>Children from low</w:t>
                            </w:r>
                            <w:r w:rsidRPr="00DA7437">
                              <w:rPr>
                                <w:rFonts w:ascii="Cambria Math" w:hAnsi="Cambria Math" w:cs="Cambria Math"/>
                                <w:sz w:val="16"/>
                                <w:szCs w:val="16"/>
                              </w:rPr>
                              <w:t>‑</w:t>
                            </w:r>
                            <w:r w:rsidRPr="00DA7437">
                              <w:rPr>
                                <w:rFonts w:ascii="Arial" w:hAnsi="Arial" w:cs="Arial"/>
                                <w:sz w:val="16"/>
                                <w:szCs w:val="16"/>
                              </w:rPr>
                              <w:t>income communities are more than twice as likely to have had dental decay as children from better</w:t>
                            </w:r>
                            <w:r w:rsidRPr="00DA7437">
                              <w:rPr>
                                <w:rFonts w:ascii="Cambria Math" w:hAnsi="Cambria Math" w:cs="Cambria Math"/>
                                <w:sz w:val="16"/>
                                <w:szCs w:val="16"/>
                              </w:rPr>
                              <w:t>‑</w:t>
                            </w:r>
                            <w:r w:rsidRPr="00DA7437">
                              <w:rPr>
                                <w:rFonts w:ascii="Arial" w:hAnsi="Arial" w:cs="Arial"/>
                                <w:sz w:val="16"/>
                                <w:szCs w:val="16"/>
                              </w:rPr>
                              <w:t>off communities.</w:t>
                            </w:r>
                          </w:p>
                          <w:p w14:paraId="6D7B62D7" w14:textId="480C8FB8" w:rsidR="002E49E8" w:rsidRPr="00DA7437" w:rsidRDefault="00DA7437" w:rsidP="00DA7437">
                            <w:pPr>
                              <w:pStyle w:val="ListParagraph"/>
                              <w:numPr>
                                <w:ilvl w:val="0"/>
                                <w:numId w:val="1"/>
                              </w:numPr>
                              <w:spacing w:after="0" w:line="240" w:lineRule="auto"/>
                              <w:rPr>
                                <w:rFonts w:ascii="Arial" w:hAnsi="Arial" w:cs="Arial"/>
                                <w:sz w:val="16"/>
                                <w:szCs w:val="16"/>
                              </w:rPr>
                            </w:pPr>
                            <w:r w:rsidRPr="00DA7437">
                              <w:rPr>
                                <w:rFonts w:ascii="Arial" w:hAnsi="Arial" w:cs="Arial"/>
                                <w:sz w:val="16"/>
                                <w:szCs w:val="16"/>
                              </w:rPr>
                              <w:t>Adults living in poorer areas are more likely to have serious dental problems and toothache. Their oral health has a bigger impact on everyday activities, and they are less likely to attend routine dental appointments than adults in better</w:t>
                            </w:r>
                            <w:r w:rsidRPr="00DA7437">
                              <w:rPr>
                                <w:rFonts w:ascii="Cambria Math" w:hAnsi="Cambria Math" w:cs="Cambria Math"/>
                                <w:sz w:val="16"/>
                                <w:szCs w:val="16"/>
                              </w:rPr>
                              <w:t>‑</w:t>
                            </w:r>
                            <w:r w:rsidRPr="00DA7437">
                              <w:rPr>
                                <w:rFonts w:ascii="Arial" w:hAnsi="Arial" w:cs="Arial"/>
                                <w:sz w:val="16"/>
                                <w:szCs w:val="16"/>
                              </w:rPr>
                              <w:t>off areas.</w:t>
                            </w:r>
                          </w:p>
                          <w:p w14:paraId="4D556EA3" w14:textId="5C0957D5" w:rsidR="00597CF1" w:rsidRPr="00DA7437" w:rsidRDefault="00597CF1" w:rsidP="00597CF1">
                            <w:pPr>
                              <w:pStyle w:val="ListParagraph"/>
                              <w:numPr>
                                <w:ilvl w:val="0"/>
                                <w:numId w:val="1"/>
                              </w:numPr>
                              <w:spacing w:after="0" w:line="240" w:lineRule="auto"/>
                              <w:rPr>
                                <w:rFonts w:ascii="Arial" w:hAnsi="Arial" w:cs="Arial"/>
                                <w:sz w:val="16"/>
                                <w:szCs w:val="16"/>
                              </w:rPr>
                            </w:pPr>
                            <w:r w:rsidRPr="00DA7437">
                              <w:rPr>
                                <w:rFonts w:ascii="Arial" w:hAnsi="Arial" w:cs="Arial"/>
                                <w:sz w:val="16"/>
                                <w:szCs w:val="16"/>
                              </w:rPr>
                              <w:t xml:space="preserve">These patterns show that poor oral health and limited access to dental care are </w:t>
                            </w:r>
                            <w:proofErr w:type="gramStart"/>
                            <w:r w:rsidRPr="00DA7437">
                              <w:rPr>
                                <w:rFonts w:ascii="Arial" w:hAnsi="Arial" w:cs="Arial"/>
                                <w:sz w:val="16"/>
                                <w:szCs w:val="16"/>
                              </w:rPr>
                              <w:t>closely linked</w:t>
                            </w:r>
                            <w:proofErr w:type="gramEnd"/>
                            <w:r w:rsidRPr="00DA7437">
                              <w:rPr>
                                <w:rFonts w:ascii="Arial" w:hAnsi="Arial" w:cs="Arial"/>
                                <w:sz w:val="16"/>
                                <w:szCs w:val="16"/>
                              </w:rPr>
                              <w:t xml:space="preserve"> to poverty and disadvantage (Office for Health Improvement and Disparities, 2021).</w:t>
                            </w:r>
                          </w:p>
                          <w:p w14:paraId="18689E34" w14:textId="26B49EB6" w:rsidR="00597CF1" w:rsidRPr="00DA7437" w:rsidRDefault="00597CF1" w:rsidP="00B84DAE">
                            <w:pPr>
                              <w:pStyle w:val="ListParagraph"/>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A90089" id="Text Box 16" o:spid="_x0000_s1032" type="#_x0000_t202" style="position:absolute;margin-left:434.1pt;margin-top:.7pt;width:189.95pt;height:217.8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" filled="f" stroked="f" strokeweight=".5pt">
                <v:textbox>
                  <w:txbxContent>
                    <w:p w14:paraId="04F397F9" w14:textId="24424483" w:rsidR="00597CF1" w:rsidRPr="005D2238" w:rsidRDefault="00597CF1" w:rsidP="00597CF1">
                      <w:pPr>
                        <w:spacing w:after="0" w:line="240" w:lineRule="auto"/>
                        <w:ind w:left="720" w:hanging="360"/>
                        <w:rPr>
                          <w:rFonts w:ascii="Arial" w:hAnsi="Arial" w:cs="Arial"/>
                          <w:b/>
                          <w:bCs/>
                          <w:sz w:val="16"/>
                          <w:szCs w:val="16"/>
                        </w:rPr>
                      </w:pPr>
                      <w:r w:rsidRPr="00CA3B13">
                        <w:rPr>
                          <w:rFonts w:ascii="Arial" w:hAnsi="Arial" w:cs="Arial"/>
                          <w:b/>
                          <w:bCs/>
                          <w:sz w:val="16"/>
                          <w:szCs w:val="16"/>
                          <w:highlight w:val="yellow"/>
                        </w:rPr>
                        <w:t xml:space="preserve">Challenge </w:t>
                      </w:r>
                      <w:r w:rsidR="000C7928">
                        <w:rPr>
                          <w:rFonts w:ascii="Arial" w:hAnsi="Arial" w:cs="Arial"/>
                          <w:b/>
                          <w:bCs/>
                          <w:sz w:val="16"/>
                          <w:szCs w:val="16"/>
                          <w:highlight w:val="yellow"/>
                        </w:rPr>
                        <w:t>2</w:t>
                      </w:r>
                      <w:r w:rsidRPr="00CA3B13">
                        <w:rPr>
                          <w:rFonts w:ascii="Arial" w:hAnsi="Arial" w:cs="Arial"/>
                          <w:b/>
                          <w:bCs/>
                          <w:sz w:val="16"/>
                          <w:szCs w:val="16"/>
                          <w:highlight w:val="yellow"/>
                        </w:rPr>
                        <w:t>: Oral health inequalities</w:t>
                      </w:r>
                    </w:p>
                    <w:p w14:paraId="51B657E0" w14:textId="7C4BB7CD" w:rsidR="00DA7437" w:rsidRPr="00DA7437" w:rsidRDefault="002E49E8" w:rsidP="00DA7437">
                      <w:pPr>
                        <w:pStyle w:val="ListParagraph"/>
                        <w:numPr>
                          <w:ilvl w:val="0"/>
                          <w:numId w:val="1"/>
                        </w:numPr>
                        <w:spacing w:after="0" w:line="240" w:lineRule="auto"/>
                        <w:rPr>
                          <w:rFonts w:ascii="Arial" w:hAnsi="Arial" w:cs="Arial"/>
                          <w:sz w:val="16"/>
                          <w:szCs w:val="16"/>
                        </w:rPr>
                      </w:pPr>
                      <w:r w:rsidRPr="00DA7437">
                        <w:rPr>
                          <w:rFonts w:ascii="Arial" w:hAnsi="Arial" w:cs="Arial"/>
                          <w:sz w:val="16"/>
                          <w:szCs w:val="16"/>
                        </w:rPr>
                        <w:t>Tooth decay is much more common in people who live in the poorest parts of England than in people living in the most advantaged areas.</w:t>
                      </w:r>
                    </w:p>
                    <w:p w14:paraId="73D40B3C" w14:textId="77777777" w:rsidR="002E49E8" w:rsidRPr="00DA7437" w:rsidRDefault="002E49E8" w:rsidP="002E49E8">
                      <w:pPr>
                        <w:pStyle w:val="ListParagraph"/>
                        <w:numPr>
                          <w:ilvl w:val="0"/>
                          <w:numId w:val="1"/>
                        </w:numPr>
                        <w:spacing w:after="0" w:line="240" w:lineRule="auto"/>
                        <w:rPr>
                          <w:rFonts w:ascii="Arial" w:hAnsi="Arial" w:cs="Arial"/>
                          <w:sz w:val="16"/>
                          <w:szCs w:val="16"/>
                        </w:rPr>
                      </w:pPr>
                      <w:r w:rsidRPr="00DA7437">
                        <w:rPr>
                          <w:rFonts w:ascii="Arial" w:hAnsi="Arial" w:cs="Arial"/>
                          <w:sz w:val="16"/>
                          <w:szCs w:val="16"/>
                        </w:rPr>
                        <w:t>Children from low</w:t>
                      </w:r>
                      <w:r w:rsidRPr="00DA7437">
                        <w:rPr>
                          <w:rFonts w:ascii="Cambria Math" w:hAnsi="Cambria Math" w:cs="Cambria Math"/>
                          <w:sz w:val="16"/>
                          <w:szCs w:val="16"/>
                        </w:rPr>
                        <w:t>‑</w:t>
                      </w:r>
                      <w:r w:rsidRPr="00DA7437">
                        <w:rPr>
                          <w:rFonts w:ascii="Arial" w:hAnsi="Arial" w:cs="Arial"/>
                          <w:sz w:val="16"/>
                          <w:szCs w:val="16"/>
                        </w:rPr>
                        <w:t>income communities are more than twice as likely to have had dental decay as children from better</w:t>
                      </w:r>
                      <w:r w:rsidRPr="00DA7437">
                        <w:rPr>
                          <w:rFonts w:ascii="Cambria Math" w:hAnsi="Cambria Math" w:cs="Cambria Math"/>
                          <w:sz w:val="16"/>
                          <w:szCs w:val="16"/>
                        </w:rPr>
                        <w:t>‑</w:t>
                      </w:r>
                      <w:r w:rsidRPr="00DA7437">
                        <w:rPr>
                          <w:rFonts w:ascii="Arial" w:hAnsi="Arial" w:cs="Arial"/>
                          <w:sz w:val="16"/>
                          <w:szCs w:val="16"/>
                        </w:rPr>
                        <w:t>off communities.</w:t>
                      </w:r>
                    </w:p>
                    <w:p w14:paraId="6D7B62D7" w14:textId="480C8FB8" w:rsidR="002E49E8" w:rsidRPr="00DA7437" w:rsidRDefault="00DA7437" w:rsidP="00DA7437">
                      <w:pPr>
                        <w:pStyle w:val="ListParagraph"/>
                        <w:numPr>
                          <w:ilvl w:val="0"/>
                          <w:numId w:val="1"/>
                        </w:numPr>
                        <w:spacing w:after="0" w:line="240" w:lineRule="auto"/>
                        <w:rPr>
                          <w:rFonts w:ascii="Arial" w:hAnsi="Arial" w:cs="Arial"/>
                          <w:sz w:val="16"/>
                          <w:szCs w:val="16"/>
                        </w:rPr>
                      </w:pPr>
                      <w:r w:rsidRPr="00DA7437">
                        <w:rPr>
                          <w:rFonts w:ascii="Arial" w:hAnsi="Arial" w:cs="Arial"/>
                          <w:sz w:val="16"/>
                          <w:szCs w:val="16"/>
                        </w:rPr>
                        <w:t>Adults living in poorer areas are more likely to have serious dental problems and toothache. Their oral health has a bigger impact on everyday activities, and they are less likely to attend routine dental appointments than adults in better</w:t>
                      </w:r>
                      <w:r w:rsidRPr="00DA7437">
                        <w:rPr>
                          <w:rFonts w:ascii="Cambria Math" w:hAnsi="Cambria Math" w:cs="Cambria Math"/>
                          <w:sz w:val="16"/>
                          <w:szCs w:val="16"/>
                        </w:rPr>
                        <w:t>‑</w:t>
                      </w:r>
                      <w:r w:rsidRPr="00DA7437">
                        <w:rPr>
                          <w:rFonts w:ascii="Arial" w:hAnsi="Arial" w:cs="Arial"/>
                          <w:sz w:val="16"/>
                          <w:szCs w:val="16"/>
                        </w:rPr>
                        <w:t>off areas.</w:t>
                      </w:r>
                    </w:p>
                    <w:p w14:paraId="4D556EA3" w14:textId="5C0957D5" w:rsidR="00597CF1" w:rsidRPr="00DA7437" w:rsidRDefault="00597CF1" w:rsidP="00597CF1">
                      <w:pPr>
                        <w:pStyle w:val="ListParagraph"/>
                        <w:numPr>
                          <w:ilvl w:val="0"/>
                          <w:numId w:val="1"/>
                        </w:numPr>
                        <w:spacing w:after="0" w:line="240" w:lineRule="auto"/>
                        <w:rPr>
                          <w:rFonts w:ascii="Arial" w:hAnsi="Arial" w:cs="Arial"/>
                          <w:sz w:val="16"/>
                          <w:szCs w:val="16"/>
                        </w:rPr>
                      </w:pPr>
                      <w:r w:rsidRPr="00DA7437">
                        <w:rPr>
                          <w:rFonts w:ascii="Arial" w:hAnsi="Arial" w:cs="Arial"/>
                          <w:sz w:val="16"/>
                          <w:szCs w:val="16"/>
                        </w:rPr>
                        <w:t xml:space="preserve">These patterns show that poor oral health and limited access to dental care are </w:t>
                      </w:r>
                      <w:proofErr w:type="gramStart"/>
                      <w:r w:rsidRPr="00DA7437">
                        <w:rPr>
                          <w:rFonts w:ascii="Arial" w:hAnsi="Arial" w:cs="Arial"/>
                          <w:sz w:val="16"/>
                          <w:szCs w:val="16"/>
                        </w:rPr>
                        <w:t>closely linked</w:t>
                      </w:r>
                      <w:proofErr w:type="gramEnd"/>
                      <w:r w:rsidRPr="00DA7437">
                        <w:rPr>
                          <w:rFonts w:ascii="Arial" w:hAnsi="Arial" w:cs="Arial"/>
                          <w:sz w:val="16"/>
                          <w:szCs w:val="16"/>
                        </w:rPr>
                        <w:t xml:space="preserve"> to poverty and disadvantage (Office for Health Improvement and Disparities, 2021).</w:t>
                      </w:r>
                    </w:p>
                    <w:p w14:paraId="18689E34" w14:textId="26B49EB6" w:rsidR="00597CF1" w:rsidRPr="00DA7437" w:rsidRDefault="00597CF1" w:rsidP="00B84DAE">
                      <w:pPr>
                        <w:pStyle w:val="ListParagraph"/>
                        <w:rPr>
                          <w:rFonts w:ascii="Arial" w:hAnsi="Arial" w:cs="Arial"/>
                          <w:sz w:val="16"/>
                          <w:szCs w:val="16"/>
                        </w:rPr>
                      </w:pPr>
                    </w:p>
                  </w:txbxContent>
                </v:textbox>
              </v:shape>
            </w:pict>
          </mc:Fallback>
        </mc:AlternateContent>
      </w:r>
      <w:r>
        <w:rPr>
          <w:noProof/>
        </w:rPr>
        <w:drawing>
          <wp:anchor distT="0" distB="0" distL="114300" distR="114300" simplePos="0" relativeHeight="251698176" behindDoc="0" locked="0" layoutInCell="1" allowOverlap="1" wp14:anchorId="468326B4" wp14:editId="2874B707">
            <wp:simplePos x="0" y="0"/>
            <wp:positionH relativeFrom="margin">
              <wp:posOffset>7874950</wp:posOffset>
            </wp:positionH>
            <wp:positionV relativeFrom="paragraph">
              <wp:posOffset>254635</wp:posOffset>
            </wp:positionV>
            <wp:extent cx="2170430" cy="1791335"/>
            <wp:effectExtent l="0" t="0" r="1270" b="18415"/>
            <wp:wrapThrough wrapText="bothSides">
              <wp:wrapPolygon edited="0">
                <wp:start x="0" y="0"/>
                <wp:lineTo x="0" y="21592"/>
                <wp:lineTo x="21423" y="21592"/>
                <wp:lineTo x="21423" y="0"/>
                <wp:lineTo x="0" y="0"/>
              </wp:wrapPolygon>
            </wp:wrapThrough>
            <wp:docPr id="951371358"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113D233F" w14:textId="69B9AEB5" w:rsidR="0054337B" w:rsidRDefault="0054337B" w:rsidP="00552A79"/>
    <w:p w14:paraId="07BC4946" w14:textId="0FDC33C3" w:rsidR="0054337B" w:rsidRDefault="0054337B" w:rsidP="00552A79"/>
    <w:p w14:paraId="71FFF9B9" w14:textId="66D8C96F" w:rsidR="0054337B" w:rsidRDefault="00B84DAE" w:rsidP="00552A79">
      <w:r>
        <w:rPr>
          <w:noProof/>
        </w:rPr>
        <w:drawing>
          <wp:anchor distT="0" distB="0" distL="114300" distR="114300" simplePos="0" relativeHeight="251705344" behindDoc="0" locked="0" layoutInCell="1" allowOverlap="1" wp14:anchorId="4FCCE8E3" wp14:editId="5505F97A">
            <wp:simplePos x="0" y="0"/>
            <wp:positionH relativeFrom="margin">
              <wp:posOffset>4083813</wp:posOffset>
            </wp:positionH>
            <wp:positionV relativeFrom="paragraph">
              <wp:posOffset>86803</wp:posOffset>
            </wp:positionV>
            <wp:extent cx="1221740" cy="1127760"/>
            <wp:effectExtent l="0" t="0" r="0" b="0"/>
            <wp:wrapSquare wrapText="bothSides"/>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flipH="1">
                      <a:off x="0" y="0"/>
                      <a:ext cx="1221740" cy="112776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sz w:val="22"/>
          <w:szCs w:val="22"/>
        </w:rPr>
        <mc:AlternateContent>
          <mc:Choice Requires="wps">
            <w:drawing>
              <wp:anchor distT="0" distB="0" distL="114300" distR="114300" simplePos="0" relativeHeight="251689984" behindDoc="0" locked="0" layoutInCell="1" allowOverlap="1" wp14:anchorId="06CA359D" wp14:editId="511CE071">
                <wp:simplePos x="0" y="0"/>
                <wp:positionH relativeFrom="column">
                  <wp:posOffset>-371699</wp:posOffset>
                </wp:positionH>
                <wp:positionV relativeFrom="paragraph">
                  <wp:posOffset>323765</wp:posOffset>
                </wp:positionV>
                <wp:extent cx="3268980" cy="2413350"/>
                <wp:effectExtent l="0" t="0" r="0" b="6350"/>
                <wp:wrapNone/>
                <wp:docPr id="982013643" name="Text Box 7"/>
                <wp:cNvGraphicFramePr/>
                <a:graphic xmlns:a="http://schemas.openxmlformats.org/drawingml/2006/main">
                  <a:graphicData uri="http://schemas.microsoft.com/office/word/2010/wordprocessingShape">
                    <wps:wsp>
                      <wps:cNvSpPr txBox="1"/>
                      <wps:spPr>
                        <a:xfrm>
                          <a:off x="0" y="0"/>
                          <a:ext cx="3268980" cy="2413350"/>
                        </a:xfrm>
                        <a:prstGeom prst="rect">
                          <a:avLst/>
                        </a:prstGeom>
                        <a:noFill/>
                        <a:ln w="6350">
                          <a:noFill/>
                        </a:ln>
                      </wps:spPr>
                      <wps:txbx>
                        <w:txbxContent>
                          <w:p w14:paraId="1D5A28A2" w14:textId="77777777" w:rsidR="00154372" w:rsidRPr="0008557B" w:rsidRDefault="00154372" w:rsidP="00154372">
                            <w:pPr>
                              <w:jc w:val="center"/>
                              <w:rPr>
                                <w:rFonts w:ascii="Arial" w:hAnsi="Arial" w:cs="Arial"/>
                                <w:b/>
                                <w:bCs/>
                                <w:sz w:val="18"/>
                                <w:szCs w:val="18"/>
                              </w:rPr>
                            </w:pPr>
                            <w:r w:rsidRPr="0008557B">
                              <w:rPr>
                                <w:rFonts w:ascii="Arial" w:hAnsi="Arial" w:cs="Arial"/>
                                <w:b/>
                                <w:bCs/>
                                <w:sz w:val="18"/>
                                <w:szCs w:val="18"/>
                              </w:rPr>
                              <w:t>History</w:t>
                            </w:r>
                          </w:p>
                          <w:p w14:paraId="26D59476"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 xml:space="preserve">1948 </w:t>
                            </w:r>
                            <w:r w:rsidRPr="0008557B">
                              <w:rPr>
                                <w:rFonts w:ascii="Arial" w:hAnsi="Arial" w:cs="Arial"/>
                                <w:sz w:val="18"/>
                                <w:szCs w:val="18"/>
                              </w:rPr>
                              <w:t>– NHS starts and dental care is free for everyone.</w:t>
                            </w:r>
                          </w:p>
                          <w:p w14:paraId="6AAD42E3"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 xml:space="preserve">1951 </w:t>
                            </w:r>
                            <w:r w:rsidRPr="0008557B">
                              <w:rPr>
                                <w:rFonts w:ascii="Arial" w:hAnsi="Arial" w:cs="Arial"/>
                                <w:sz w:val="18"/>
                                <w:szCs w:val="18"/>
                              </w:rPr>
                              <w:t xml:space="preserve">– Patient charges are brought in for </w:t>
                            </w:r>
                            <w:proofErr w:type="gramStart"/>
                            <w:r w:rsidRPr="0008557B">
                              <w:rPr>
                                <w:rFonts w:ascii="Arial" w:hAnsi="Arial" w:cs="Arial"/>
                                <w:sz w:val="18"/>
                                <w:szCs w:val="18"/>
                              </w:rPr>
                              <w:t>some</w:t>
                            </w:r>
                            <w:proofErr w:type="gramEnd"/>
                            <w:r w:rsidRPr="0008557B">
                              <w:rPr>
                                <w:rFonts w:ascii="Arial" w:hAnsi="Arial" w:cs="Arial"/>
                                <w:sz w:val="18"/>
                                <w:szCs w:val="18"/>
                              </w:rPr>
                              <w:t xml:space="preserve"> dental treatments.</w:t>
                            </w:r>
                          </w:p>
                          <w:p w14:paraId="13EBFE5F"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 xml:space="preserve">1956 </w:t>
                            </w:r>
                            <w:r w:rsidRPr="0008557B">
                              <w:rPr>
                                <w:rFonts w:ascii="Arial" w:hAnsi="Arial" w:cs="Arial"/>
                                <w:sz w:val="18"/>
                                <w:szCs w:val="18"/>
                              </w:rPr>
                              <w:t>– The General Dental Council (GDC) is created to regulate dentists and protect patients.</w:t>
                            </w:r>
                          </w:p>
                          <w:p w14:paraId="5F8A384F"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1948–1990</w:t>
                            </w:r>
                            <w:r w:rsidRPr="0008557B">
                              <w:rPr>
                                <w:rFonts w:ascii="Arial" w:hAnsi="Arial" w:cs="Arial"/>
                                <w:sz w:val="18"/>
                                <w:szCs w:val="18"/>
                              </w:rPr>
                              <w:t xml:space="preserve"> – Dentists are paid per item of treatment, which is criticised as a “treadmill” system.</w:t>
                            </w:r>
                          </w:p>
                          <w:p w14:paraId="549F1892"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1990</w:t>
                            </w:r>
                            <w:r w:rsidRPr="0008557B">
                              <w:rPr>
                                <w:rFonts w:ascii="Arial" w:hAnsi="Arial" w:cs="Arial"/>
                                <w:sz w:val="18"/>
                                <w:szCs w:val="18"/>
                              </w:rPr>
                              <w:t xml:space="preserve"> – Contract changes place more focus on prevention and patient registration.</w:t>
                            </w:r>
                          </w:p>
                          <w:p w14:paraId="767E8C20"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2006</w:t>
                            </w:r>
                            <w:r w:rsidRPr="0008557B">
                              <w:rPr>
                                <w:rFonts w:ascii="Arial" w:hAnsi="Arial" w:cs="Arial"/>
                                <w:sz w:val="18"/>
                                <w:szCs w:val="18"/>
                              </w:rPr>
                              <w:t xml:space="preserve"> – A new contract in England introduces Units of Dental Activity (UDAs) and three charge bands.</w:t>
                            </w:r>
                          </w:p>
                          <w:p w14:paraId="6FD2A7D3"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 xml:space="preserve">2020s </w:t>
                            </w:r>
                            <w:r w:rsidRPr="0008557B">
                              <w:rPr>
                                <w:rFonts w:ascii="Arial" w:hAnsi="Arial" w:cs="Arial"/>
                                <w:sz w:val="18"/>
                                <w:szCs w:val="18"/>
                              </w:rPr>
                              <w:t>– Further reforms aim to improve access to NHS dentists and the quality of care (NCBI,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CA359D" id="Text Box 7" o:spid="_x0000_s1033" type="#_x0000_t202" style="position:absolute;margin-left:-29.25pt;margin-top:25.5pt;width:257.4pt;height:190.0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" filled="f" stroked="f" strokeweight=".5pt">
                <v:textbox>
                  <w:txbxContent>
                    <w:p w14:paraId="1D5A28A2" w14:textId="77777777" w:rsidR="00154372" w:rsidRPr="0008557B" w:rsidRDefault="00154372" w:rsidP="00154372">
                      <w:pPr>
                        <w:jc w:val="center"/>
                        <w:rPr>
                          <w:rFonts w:ascii="Arial" w:hAnsi="Arial" w:cs="Arial"/>
                          <w:b/>
                          <w:bCs/>
                          <w:sz w:val="18"/>
                          <w:szCs w:val="18"/>
                        </w:rPr>
                      </w:pPr>
                      <w:r w:rsidRPr="0008557B">
                        <w:rPr>
                          <w:rFonts w:ascii="Arial" w:hAnsi="Arial" w:cs="Arial"/>
                          <w:b/>
                          <w:bCs/>
                          <w:sz w:val="18"/>
                          <w:szCs w:val="18"/>
                        </w:rPr>
                        <w:t>History</w:t>
                      </w:r>
                    </w:p>
                    <w:p w14:paraId="26D59476"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 xml:space="preserve">1948 </w:t>
                      </w:r>
                      <w:r w:rsidRPr="0008557B">
                        <w:rPr>
                          <w:rFonts w:ascii="Arial" w:hAnsi="Arial" w:cs="Arial"/>
                          <w:sz w:val="18"/>
                          <w:szCs w:val="18"/>
                        </w:rPr>
                        <w:t>– NHS starts and dental care is free for everyone.</w:t>
                      </w:r>
                    </w:p>
                    <w:p w14:paraId="6AAD42E3"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 xml:space="preserve">1951 </w:t>
                      </w:r>
                      <w:r w:rsidRPr="0008557B">
                        <w:rPr>
                          <w:rFonts w:ascii="Arial" w:hAnsi="Arial" w:cs="Arial"/>
                          <w:sz w:val="18"/>
                          <w:szCs w:val="18"/>
                        </w:rPr>
                        <w:t xml:space="preserve">– Patient charges are brought in for </w:t>
                      </w:r>
                      <w:proofErr w:type="gramStart"/>
                      <w:r w:rsidRPr="0008557B">
                        <w:rPr>
                          <w:rFonts w:ascii="Arial" w:hAnsi="Arial" w:cs="Arial"/>
                          <w:sz w:val="18"/>
                          <w:szCs w:val="18"/>
                        </w:rPr>
                        <w:t>some</w:t>
                      </w:r>
                      <w:proofErr w:type="gramEnd"/>
                      <w:r w:rsidRPr="0008557B">
                        <w:rPr>
                          <w:rFonts w:ascii="Arial" w:hAnsi="Arial" w:cs="Arial"/>
                          <w:sz w:val="18"/>
                          <w:szCs w:val="18"/>
                        </w:rPr>
                        <w:t xml:space="preserve"> dental treatments.</w:t>
                      </w:r>
                    </w:p>
                    <w:p w14:paraId="13EBFE5F"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 xml:space="preserve">1956 </w:t>
                      </w:r>
                      <w:r w:rsidRPr="0008557B">
                        <w:rPr>
                          <w:rFonts w:ascii="Arial" w:hAnsi="Arial" w:cs="Arial"/>
                          <w:sz w:val="18"/>
                          <w:szCs w:val="18"/>
                        </w:rPr>
                        <w:t>– The General Dental Council (GDC) is created to regulate dentists and protect patients.</w:t>
                      </w:r>
                    </w:p>
                    <w:p w14:paraId="5F8A384F"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1948–1990</w:t>
                      </w:r>
                      <w:r w:rsidRPr="0008557B">
                        <w:rPr>
                          <w:rFonts w:ascii="Arial" w:hAnsi="Arial" w:cs="Arial"/>
                          <w:sz w:val="18"/>
                          <w:szCs w:val="18"/>
                        </w:rPr>
                        <w:t xml:space="preserve"> – Dentists are paid per item of treatment, which is criticised as a “treadmill” system.</w:t>
                      </w:r>
                    </w:p>
                    <w:p w14:paraId="549F1892"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1990</w:t>
                      </w:r>
                      <w:r w:rsidRPr="0008557B">
                        <w:rPr>
                          <w:rFonts w:ascii="Arial" w:hAnsi="Arial" w:cs="Arial"/>
                          <w:sz w:val="18"/>
                          <w:szCs w:val="18"/>
                        </w:rPr>
                        <w:t xml:space="preserve"> – Contract changes place more focus on prevention and patient registration.</w:t>
                      </w:r>
                    </w:p>
                    <w:p w14:paraId="767E8C20"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2006</w:t>
                      </w:r>
                      <w:r w:rsidRPr="0008557B">
                        <w:rPr>
                          <w:rFonts w:ascii="Arial" w:hAnsi="Arial" w:cs="Arial"/>
                          <w:sz w:val="18"/>
                          <w:szCs w:val="18"/>
                        </w:rPr>
                        <w:t xml:space="preserve"> – A new contract in England introduces Units of Dental Activity (UDAs) and three charge bands.</w:t>
                      </w:r>
                    </w:p>
                    <w:p w14:paraId="6FD2A7D3" w14:textId="77777777" w:rsidR="00154372" w:rsidRPr="0008557B" w:rsidRDefault="00154372" w:rsidP="00A077D0">
                      <w:pPr>
                        <w:spacing w:after="0" w:line="240" w:lineRule="auto"/>
                        <w:rPr>
                          <w:rFonts w:ascii="Arial" w:hAnsi="Arial" w:cs="Arial"/>
                          <w:sz w:val="18"/>
                          <w:szCs w:val="18"/>
                        </w:rPr>
                      </w:pPr>
                      <w:r w:rsidRPr="0008557B">
                        <w:rPr>
                          <w:rFonts w:ascii="Arial" w:hAnsi="Arial" w:cs="Arial"/>
                          <w:b/>
                          <w:bCs/>
                          <w:sz w:val="18"/>
                          <w:szCs w:val="18"/>
                        </w:rPr>
                        <w:t xml:space="preserve">2020s </w:t>
                      </w:r>
                      <w:r w:rsidRPr="0008557B">
                        <w:rPr>
                          <w:rFonts w:ascii="Arial" w:hAnsi="Arial" w:cs="Arial"/>
                          <w:sz w:val="18"/>
                          <w:szCs w:val="18"/>
                        </w:rPr>
                        <w:t>– Further reforms aim to improve access to NHS dentists and the quality of care (NCBI, 2016).</w:t>
                      </w:r>
                    </w:p>
                  </w:txbxContent>
                </v:textbox>
              </v:shape>
            </w:pict>
          </mc:Fallback>
        </mc:AlternateContent>
      </w:r>
    </w:p>
    <w:p w14:paraId="4683D708" w14:textId="30FE9F52" w:rsidR="0054337B" w:rsidRDefault="00B84DAE" w:rsidP="00552A79">
      <w:r w:rsidRPr="00B8512A">
        <w:rPr>
          <w:rFonts w:ascii="Arial" w:hAnsi="Arial" w:cs="Arial"/>
          <w:noProof/>
          <w:sz w:val="22"/>
          <w:szCs w:val="22"/>
        </w:rPr>
        <mc:AlternateContent>
          <mc:Choice Requires="wps">
            <w:drawing>
              <wp:anchor distT="45720" distB="45720" distL="114300" distR="114300" simplePos="0" relativeHeight="251708416" behindDoc="0" locked="0" layoutInCell="1" allowOverlap="1" wp14:anchorId="3B4A5BF9" wp14:editId="5735E071">
                <wp:simplePos x="0" y="0"/>
                <wp:positionH relativeFrom="margin">
                  <wp:posOffset>2977515</wp:posOffset>
                </wp:positionH>
                <wp:positionV relativeFrom="paragraph">
                  <wp:posOffset>8255</wp:posOffset>
                </wp:positionV>
                <wp:extent cx="1044575" cy="408940"/>
                <wp:effectExtent l="0" t="0" r="0" b="0"/>
                <wp:wrapSquare wrapText="bothSides"/>
                <wp:docPr id="16154521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4575" cy="408940"/>
                        </a:xfrm>
                        <a:prstGeom prst="rect">
                          <a:avLst/>
                        </a:prstGeom>
                        <a:noFill/>
                        <a:ln w="9525">
                          <a:noFill/>
                          <a:miter lim="800000"/>
                          <a:headEnd/>
                          <a:tailEnd/>
                        </a:ln>
                      </wps:spPr>
                      <wps:txbx>
                        <w:txbxContent>
                          <w:p w14:paraId="3FA3516C" w14:textId="33553476" w:rsidR="00B8512A" w:rsidRPr="002354EE" w:rsidRDefault="00B8512A">
                            <w:pPr>
                              <w:rPr>
                                <w:sz w:val="18"/>
                                <w:szCs w:val="18"/>
                              </w:rPr>
                            </w:pPr>
                            <w:r w:rsidRPr="002354EE">
                              <w:rPr>
                                <w:sz w:val="18"/>
                                <w:szCs w:val="18"/>
                              </w:rPr>
                              <w:t>Tunbridge Wells Dental Care (no date)</w:t>
                            </w:r>
                          </w:p>
                          <w:p w14:paraId="6E31A13E" w14:textId="77777777" w:rsidR="002354EE" w:rsidRDefault="002354E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4A5BF9" id="_x0000_s1034" type="#_x0000_t202" style="position:absolute;margin-left:234.45pt;margin-top:.65pt;width:82.25pt;height:32.2pt;z-index:2517084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" filled="f" stroked="f">
                <v:textbox>
                  <w:txbxContent>
                    <w:p w14:paraId="3FA3516C" w14:textId="33553476" w:rsidR="00B8512A" w:rsidRPr="002354EE" w:rsidRDefault="00B8512A">
                      <w:pPr>
                        <w:rPr>
                          <w:sz w:val="18"/>
                          <w:szCs w:val="18"/>
                        </w:rPr>
                      </w:pPr>
                      <w:r w:rsidRPr="002354EE">
                        <w:rPr>
                          <w:sz w:val="18"/>
                          <w:szCs w:val="18"/>
                        </w:rPr>
                        <w:t>Tunbridge Wells Dental Care (no date)</w:t>
                      </w:r>
                    </w:p>
                    <w:p w14:paraId="6E31A13E" w14:textId="77777777" w:rsidR="002354EE" w:rsidRDefault="002354EE"/>
                  </w:txbxContent>
                </v:textbox>
                <w10:wrap type="square" anchorx="margin"/>
              </v:shape>
            </w:pict>
          </mc:Fallback>
        </mc:AlternateContent>
      </w:r>
    </w:p>
    <w:p w14:paraId="21AF3789" w14:textId="4AB756B4" w:rsidR="0054337B" w:rsidRDefault="007A6DF6" w:rsidP="008E1D90">
      <w:pPr>
        <w:tabs>
          <w:tab w:val="left" w:pos="4163"/>
        </w:tabs>
      </w:pPr>
      <w:r w:rsidRPr="008D2BEB">
        <w:rPr>
          <w:rFonts w:ascii="Arial" w:hAnsi="Arial" w:cs="Arial"/>
          <w:noProof/>
          <w:sz w:val="22"/>
          <w:szCs w:val="22"/>
        </w:rPr>
        <mc:AlternateContent>
          <mc:Choice Requires="wps">
            <w:drawing>
              <wp:anchor distT="45720" distB="45720" distL="114300" distR="114300" simplePos="0" relativeHeight="251703296" behindDoc="0" locked="0" layoutInCell="1" allowOverlap="1" wp14:anchorId="45839950" wp14:editId="41EDBD44">
                <wp:simplePos x="0" y="0"/>
                <wp:positionH relativeFrom="margin">
                  <wp:align>right</wp:align>
                </wp:positionH>
                <wp:positionV relativeFrom="paragraph">
                  <wp:posOffset>1012190</wp:posOffset>
                </wp:positionV>
                <wp:extent cx="3849370" cy="814705"/>
                <wp:effectExtent l="0" t="0" r="0" b="0"/>
                <wp:wrapSquare wrapText="bothSides"/>
                <wp:docPr id="9232361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9370" cy="814705"/>
                        </a:xfrm>
                        <a:prstGeom prst="rect">
                          <a:avLst/>
                        </a:prstGeom>
                        <a:noFill/>
                        <a:ln w="19050" cap="flat" cmpd="sng" algn="ctr">
                          <a:noFill/>
                          <a:prstDash val="solid"/>
                          <a:miter lim="800000"/>
                          <a:headEnd/>
                          <a:tailEnd/>
                        </a:ln>
                        <a:effectLst/>
                      </wps:spPr>
                      <wps:txbx>
                        <w:txbxContent>
                          <w:p w14:paraId="1E4E33B6" w14:textId="77777777" w:rsidR="002311E5" w:rsidRPr="002311E5" w:rsidRDefault="002311E5" w:rsidP="002311E5">
                            <w:pPr>
                              <w:rPr>
                                <w:rFonts w:ascii="Arial" w:hAnsi="Arial" w:cs="Arial"/>
                                <w:sz w:val="18"/>
                                <w:szCs w:val="18"/>
                              </w:rPr>
                            </w:pPr>
                            <w:r w:rsidRPr="002311E5">
                              <w:rPr>
                                <w:rFonts w:ascii="Arial" w:hAnsi="Arial" w:cs="Arial"/>
                                <w:b/>
                                <w:bCs/>
                                <w:sz w:val="18"/>
                                <w:szCs w:val="18"/>
                                <w:highlight w:val="yellow"/>
                              </w:rPr>
                              <w:t>5.6 million</w:t>
                            </w:r>
                            <w:r w:rsidRPr="002311E5">
                              <w:rPr>
                                <w:rFonts w:ascii="Arial" w:hAnsi="Arial" w:cs="Arial"/>
                                <w:sz w:val="18"/>
                                <w:szCs w:val="18"/>
                              </w:rPr>
                              <w:t xml:space="preserve"> adults tried but could not get an NHS dental appointment in the last two years.</w:t>
                            </w:r>
                          </w:p>
                          <w:p w14:paraId="39227FD8" w14:textId="77777777" w:rsidR="002311E5" w:rsidRPr="002311E5" w:rsidRDefault="002311E5" w:rsidP="002311E5">
                            <w:pPr>
                              <w:rPr>
                                <w:sz w:val="18"/>
                                <w:szCs w:val="18"/>
                              </w:rPr>
                            </w:pPr>
                            <w:r w:rsidRPr="002311E5">
                              <w:rPr>
                                <w:rFonts w:ascii="Arial" w:hAnsi="Arial" w:cs="Arial"/>
                                <w:sz w:val="18"/>
                                <w:szCs w:val="18"/>
                              </w:rPr>
                              <w:t xml:space="preserve">Around </w:t>
                            </w:r>
                            <w:r w:rsidRPr="002311E5">
                              <w:rPr>
                                <w:rFonts w:ascii="Arial" w:hAnsi="Arial" w:cs="Arial"/>
                                <w:b/>
                                <w:bCs/>
                                <w:sz w:val="18"/>
                                <w:szCs w:val="18"/>
                                <w:highlight w:val="yellow"/>
                              </w:rPr>
                              <w:t>22–27%</w:t>
                            </w:r>
                            <w:r w:rsidRPr="002311E5">
                              <w:rPr>
                                <w:rFonts w:ascii="Arial" w:hAnsi="Arial" w:cs="Arial"/>
                                <w:sz w:val="18"/>
                                <w:szCs w:val="18"/>
                              </w:rPr>
                              <w:t xml:space="preserve"> of </w:t>
                            </w:r>
                            <w:proofErr w:type="gramStart"/>
                            <w:r w:rsidRPr="002311E5">
                              <w:rPr>
                                <w:rFonts w:ascii="Arial" w:hAnsi="Arial" w:cs="Arial"/>
                                <w:sz w:val="18"/>
                                <w:szCs w:val="18"/>
                              </w:rPr>
                              <w:t>5</w:t>
                            </w:r>
                            <w:proofErr w:type="gramEnd"/>
                            <w:r w:rsidRPr="002311E5">
                              <w:rPr>
                                <w:rFonts w:ascii="Cambria Math" w:hAnsi="Cambria Math" w:cs="Cambria Math"/>
                                <w:sz w:val="18"/>
                                <w:szCs w:val="18"/>
                              </w:rPr>
                              <w:t>‑</w:t>
                            </w:r>
                            <w:r w:rsidRPr="002311E5">
                              <w:rPr>
                                <w:rFonts w:ascii="Arial" w:hAnsi="Arial" w:cs="Arial"/>
                                <w:sz w:val="18"/>
                                <w:szCs w:val="18"/>
                              </w:rPr>
                              <w:t>year</w:t>
                            </w:r>
                            <w:r w:rsidRPr="002311E5">
                              <w:rPr>
                                <w:rFonts w:ascii="Cambria Math" w:hAnsi="Cambria Math" w:cs="Cambria Math"/>
                                <w:sz w:val="18"/>
                                <w:szCs w:val="18"/>
                              </w:rPr>
                              <w:t>‑</w:t>
                            </w:r>
                            <w:r w:rsidRPr="002311E5">
                              <w:rPr>
                                <w:rFonts w:ascii="Arial" w:hAnsi="Arial" w:cs="Arial"/>
                                <w:sz w:val="18"/>
                                <w:szCs w:val="18"/>
                              </w:rPr>
                              <w:t>olds in England have tooth decay in at least one tooth</w:t>
                            </w:r>
                            <w:r w:rsidRPr="002311E5">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839950" id="_x0000_s1035" type="#_x0000_t202" style="position:absolute;margin-left:251.9pt;margin-top:79.7pt;width:303.1pt;height:64.15pt;z-index:2517032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" filled="f" stroked="f" strokeweight="1.5pt">
                <v:textbox>
                  <w:txbxContent>
                    <w:p w14:paraId="1E4E33B6" w14:textId="77777777" w:rsidR="002311E5" w:rsidRPr="002311E5" w:rsidRDefault="002311E5" w:rsidP="002311E5">
                      <w:pPr>
                        <w:rPr>
                          <w:rFonts w:ascii="Arial" w:hAnsi="Arial" w:cs="Arial"/>
                          <w:sz w:val="18"/>
                          <w:szCs w:val="18"/>
                        </w:rPr>
                      </w:pPr>
                      <w:r w:rsidRPr="002311E5">
                        <w:rPr>
                          <w:rFonts w:ascii="Arial" w:hAnsi="Arial" w:cs="Arial"/>
                          <w:b/>
                          <w:bCs/>
                          <w:sz w:val="18"/>
                          <w:szCs w:val="18"/>
                          <w:highlight w:val="yellow"/>
                        </w:rPr>
                        <w:t>5.6 million</w:t>
                      </w:r>
                      <w:r w:rsidRPr="002311E5">
                        <w:rPr>
                          <w:rFonts w:ascii="Arial" w:hAnsi="Arial" w:cs="Arial"/>
                          <w:sz w:val="18"/>
                          <w:szCs w:val="18"/>
                        </w:rPr>
                        <w:t xml:space="preserve"> adults tried but could not get an NHS dental appointment in the last two years.</w:t>
                      </w:r>
                    </w:p>
                    <w:p w14:paraId="39227FD8" w14:textId="77777777" w:rsidR="002311E5" w:rsidRPr="002311E5" w:rsidRDefault="002311E5" w:rsidP="002311E5">
                      <w:pPr>
                        <w:rPr>
                          <w:sz w:val="18"/>
                          <w:szCs w:val="18"/>
                        </w:rPr>
                      </w:pPr>
                      <w:r w:rsidRPr="002311E5">
                        <w:rPr>
                          <w:rFonts w:ascii="Arial" w:hAnsi="Arial" w:cs="Arial"/>
                          <w:sz w:val="18"/>
                          <w:szCs w:val="18"/>
                        </w:rPr>
                        <w:t xml:space="preserve">Around </w:t>
                      </w:r>
                      <w:r w:rsidRPr="002311E5">
                        <w:rPr>
                          <w:rFonts w:ascii="Arial" w:hAnsi="Arial" w:cs="Arial"/>
                          <w:b/>
                          <w:bCs/>
                          <w:sz w:val="18"/>
                          <w:szCs w:val="18"/>
                          <w:highlight w:val="yellow"/>
                        </w:rPr>
                        <w:t>22–27%</w:t>
                      </w:r>
                      <w:r w:rsidRPr="002311E5">
                        <w:rPr>
                          <w:rFonts w:ascii="Arial" w:hAnsi="Arial" w:cs="Arial"/>
                          <w:sz w:val="18"/>
                          <w:szCs w:val="18"/>
                        </w:rPr>
                        <w:t xml:space="preserve"> of </w:t>
                      </w:r>
                      <w:proofErr w:type="gramStart"/>
                      <w:r w:rsidRPr="002311E5">
                        <w:rPr>
                          <w:rFonts w:ascii="Arial" w:hAnsi="Arial" w:cs="Arial"/>
                          <w:sz w:val="18"/>
                          <w:szCs w:val="18"/>
                        </w:rPr>
                        <w:t>5</w:t>
                      </w:r>
                      <w:proofErr w:type="gramEnd"/>
                      <w:r w:rsidRPr="002311E5">
                        <w:rPr>
                          <w:rFonts w:ascii="Cambria Math" w:hAnsi="Cambria Math" w:cs="Cambria Math"/>
                          <w:sz w:val="18"/>
                          <w:szCs w:val="18"/>
                        </w:rPr>
                        <w:t>‑</w:t>
                      </w:r>
                      <w:r w:rsidRPr="002311E5">
                        <w:rPr>
                          <w:rFonts w:ascii="Arial" w:hAnsi="Arial" w:cs="Arial"/>
                          <w:sz w:val="18"/>
                          <w:szCs w:val="18"/>
                        </w:rPr>
                        <w:t>year</w:t>
                      </w:r>
                      <w:r w:rsidRPr="002311E5">
                        <w:rPr>
                          <w:rFonts w:ascii="Cambria Math" w:hAnsi="Cambria Math" w:cs="Cambria Math"/>
                          <w:sz w:val="18"/>
                          <w:szCs w:val="18"/>
                        </w:rPr>
                        <w:t>‑</w:t>
                      </w:r>
                      <w:r w:rsidRPr="002311E5">
                        <w:rPr>
                          <w:rFonts w:ascii="Arial" w:hAnsi="Arial" w:cs="Arial"/>
                          <w:sz w:val="18"/>
                          <w:szCs w:val="18"/>
                        </w:rPr>
                        <w:t>olds in England have tooth decay in at least one tooth</w:t>
                      </w:r>
                      <w:r w:rsidRPr="002311E5">
                        <w:rPr>
                          <w:sz w:val="18"/>
                          <w:szCs w:val="18"/>
                        </w:rPr>
                        <w:t>.</w:t>
                      </w:r>
                    </w:p>
                  </w:txbxContent>
                </v:textbox>
                <w10:wrap type="square" anchorx="margin"/>
              </v:shape>
            </w:pict>
          </mc:Fallback>
        </mc:AlternateContent>
      </w:r>
      <w:r w:rsidR="009D1CB2">
        <w:rPr>
          <w:rFonts w:ascii="Arial" w:hAnsi="Arial" w:cs="Arial"/>
          <w:noProof/>
          <w:sz w:val="22"/>
          <w:szCs w:val="22"/>
        </w:rPr>
        <mc:AlternateContent>
          <mc:Choice Requires="wps">
            <w:drawing>
              <wp:anchor distT="0" distB="0" distL="114300" distR="114300" simplePos="0" relativeHeight="251710464" behindDoc="1" locked="0" layoutInCell="1" allowOverlap="1" wp14:anchorId="76E70FD3" wp14:editId="170B3B06">
                <wp:simplePos x="0" y="0"/>
                <wp:positionH relativeFrom="column">
                  <wp:posOffset>5774167</wp:posOffset>
                </wp:positionH>
                <wp:positionV relativeFrom="paragraph">
                  <wp:posOffset>819769</wp:posOffset>
                </wp:positionV>
                <wp:extent cx="4133637" cy="1029660"/>
                <wp:effectExtent l="0" t="0" r="19685" b="18415"/>
                <wp:wrapNone/>
                <wp:docPr id="170921486" name="Flowchart: Punched Tape 23"/>
                <wp:cNvGraphicFramePr/>
                <a:graphic xmlns:a="http://schemas.openxmlformats.org/drawingml/2006/main">
                  <a:graphicData uri="http://schemas.microsoft.com/office/word/2010/wordprocessingShape">
                    <wps:wsp>
                      <wps:cNvSpPr/>
                      <wps:spPr>
                        <a:xfrm>
                          <a:off x="0" y="0"/>
                          <a:ext cx="4133637" cy="1029660"/>
                        </a:xfrm>
                        <a:prstGeom prst="flowChartPunchedTape">
                          <a:avLst/>
                        </a:prstGeom>
                        <a:ln>
                          <a:solidFill>
                            <a:schemeClr val="accent2"/>
                          </a:solidFill>
                        </a:ln>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4699410"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Flowchart: Punched Tape 23" o:spid="_x0000_s1026" type="#_x0000_t122" style="position:absolute;margin-left:454.65pt;margin-top:64.55pt;width:325.5pt;height:81.1pt;z-index:-251606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" fillcolor="#e97132 [3205]" strokecolor="#e97132 [3205]" strokeweight="1.5pt"/>
            </w:pict>
          </mc:Fallback>
        </mc:AlternateContent>
      </w:r>
      <w:r w:rsidR="00B84DAE" w:rsidRPr="00704B1B">
        <w:rPr>
          <w:rFonts w:ascii="Arial" w:hAnsi="Arial" w:cs="Arial"/>
          <w:noProof/>
          <w:sz w:val="22"/>
          <w:szCs w:val="22"/>
        </w:rPr>
        <mc:AlternateContent>
          <mc:Choice Requires="wps">
            <w:drawing>
              <wp:anchor distT="45720" distB="45720" distL="114300" distR="114300" simplePos="0" relativeHeight="251700224" behindDoc="0" locked="0" layoutInCell="1" allowOverlap="1" wp14:anchorId="1DDB039B" wp14:editId="47F2DC6A">
                <wp:simplePos x="0" y="0"/>
                <wp:positionH relativeFrom="margin">
                  <wp:posOffset>2932286</wp:posOffset>
                </wp:positionH>
                <wp:positionV relativeFrom="paragraph">
                  <wp:posOffset>335552</wp:posOffset>
                </wp:positionV>
                <wp:extent cx="2292350" cy="1491615"/>
                <wp:effectExtent l="0" t="0" r="0" b="0"/>
                <wp:wrapThrough wrapText="bothSides">
                  <wp:wrapPolygon edited="0">
                    <wp:start x="539" y="0"/>
                    <wp:lineTo x="539" y="21241"/>
                    <wp:lineTo x="21002" y="21241"/>
                    <wp:lineTo x="21002" y="0"/>
                    <wp:lineTo x="539" y="0"/>
                  </wp:wrapPolygon>
                </wp:wrapThrough>
                <wp:docPr id="7469067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1491615"/>
                        </a:xfrm>
                        <a:prstGeom prst="rect">
                          <a:avLst/>
                        </a:prstGeom>
                        <a:noFill/>
                        <a:ln w="9525">
                          <a:noFill/>
                          <a:miter lim="800000"/>
                          <a:headEnd/>
                          <a:tailEnd/>
                        </a:ln>
                      </wps:spPr>
                      <wps:txbx>
                        <w:txbxContent>
                          <w:p w14:paraId="5F120913" w14:textId="77777777" w:rsidR="006A0BD8" w:rsidRDefault="006A0BD8" w:rsidP="0057591F">
                            <w:pPr>
                              <w:spacing w:after="0" w:line="240" w:lineRule="auto"/>
                              <w:rPr>
                                <w:rFonts w:ascii="Arial" w:hAnsi="Arial" w:cs="Arial"/>
                                <w:b/>
                                <w:bCs/>
                                <w:sz w:val="16"/>
                                <w:szCs w:val="16"/>
                              </w:rPr>
                            </w:pPr>
                            <w:r w:rsidRPr="005D2238">
                              <w:rPr>
                                <w:rFonts w:ascii="Arial" w:hAnsi="Arial" w:cs="Arial"/>
                                <w:b/>
                                <w:bCs/>
                                <w:sz w:val="16"/>
                                <w:szCs w:val="16"/>
                                <w:highlight w:val="yellow"/>
                              </w:rPr>
                              <w:t>Conclusion</w:t>
                            </w:r>
                          </w:p>
                          <w:p w14:paraId="28A3E93E" w14:textId="77777777" w:rsidR="005D2238" w:rsidRPr="005D2238" w:rsidRDefault="005D2238" w:rsidP="0057591F">
                            <w:pPr>
                              <w:spacing w:after="0" w:line="240" w:lineRule="auto"/>
                              <w:rPr>
                                <w:rFonts w:ascii="Arial" w:hAnsi="Arial" w:cs="Arial"/>
                                <w:b/>
                                <w:bCs/>
                                <w:sz w:val="16"/>
                                <w:szCs w:val="16"/>
                              </w:rPr>
                            </w:pPr>
                          </w:p>
                          <w:p w14:paraId="51F319D6" w14:textId="77777777" w:rsidR="006A0BD8" w:rsidRPr="001B6FDB" w:rsidRDefault="006A0BD8" w:rsidP="0057591F">
                            <w:pPr>
                              <w:spacing w:after="0" w:line="240" w:lineRule="auto"/>
                              <w:rPr>
                                <w:rFonts w:ascii="Arial" w:hAnsi="Arial" w:cs="Arial"/>
                                <w:color w:val="FFFFFF" w:themeColor="background1"/>
                                <w:sz w:val="16"/>
                                <w:szCs w:val="16"/>
                              </w:rPr>
                            </w:pPr>
                            <w:r w:rsidRPr="00B52A97">
                              <w:rPr>
                                <w:rFonts w:ascii="Arial" w:hAnsi="Arial" w:cs="Arial"/>
                                <w:sz w:val="16"/>
                                <w:szCs w:val="16"/>
                              </w:rPr>
                              <w:t xml:space="preserve">NHS dentistry provides essential treatment but is under serious strain. Access is poor for </w:t>
                            </w:r>
                            <w:proofErr w:type="gramStart"/>
                            <w:r w:rsidRPr="00B52A97">
                              <w:rPr>
                                <w:rFonts w:ascii="Arial" w:hAnsi="Arial" w:cs="Arial"/>
                                <w:sz w:val="16"/>
                                <w:szCs w:val="16"/>
                              </w:rPr>
                              <w:t>many</w:t>
                            </w:r>
                            <w:proofErr w:type="gramEnd"/>
                            <w:r w:rsidRPr="00B52A97">
                              <w:rPr>
                                <w:rFonts w:ascii="Arial" w:hAnsi="Arial" w:cs="Arial"/>
                                <w:sz w:val="16"/>
                                <w:szCs w:val="16"/>
                              </w:rPr>
                              <w:t xml:space="preserve"> adults, and children in deprived areas still have </w:t>
                            </w:r>
                            <w:proofErr w:type="gramStart"/>
                            <w:r w:rsidRPr="00B52A97">
                              <w:rPr>
                                <w:rFonts w:ascii="Arial" w:hAnsi="Arial" w:cs="Arial"/>
                                <w:sz w:val="16"/>
                                <w:szCs w:val="16"/>
                              </w:rPr>
                              <w:t>much</w:t>
                            </w:r>
                            <w:proofErr w:type="gramEnd"/>
                            <w:r w:rsidRPr="00B52A97">
                              <w:rPr>
                                <w:rFonts w:ascii="Arial" w:hAnsi="Arial" w:cs="Arial"/>
                                <w:sz w:val="16"/>
                                <w:szCs w:val="16"/>
                              </w:rPr>
                              <w:t xml:space="preserve"> worse oral health than those in better</w:t>
                            </w:r>
                            <w:r w:rsidRPr="00B52A97">
                              <w:rPr>
                                <w:rFonts w:ascii="Cambria Math" w:hAnsi="Cambria Math" w:cs="Cambria Math"/>
                                <w:sz w:val="16"/>
                                <w:szCs w:val="16"/>
                              </w:rPr>
                              <w:t>‑</w:t>
                            </w:r>
                            <w:r w:rsidRPr="00B52A97">
                              <w:rPr>
                                <w:rFonts w:ascii="Arial" w:hAnsi="Arial" w:cs="Arial"/>
                                <w:sz w:val="16"/>
                                <w:szCs w:val="16"/>
                              </w:rPr>
                              <w:t xml:space="preserve">off areas, so there is a clear need for better access, more prevention, and fairer </w:t>
                            </w:r>
                            <w:r w:rsidRPr="001B6FDB">
                              <w:rPr>
                                <w:rFonts w:ascii="Arial" w:hAnsi="Arial" w:cs="Arial"/>
                                <w:color w:val="FFFFFF" w:themeColor="background1"/>
                                <w:sz w:val="16"/>
                                <w:szCs w:val="16"/>
                              </w:rPr>
                              <w:t>services (British Dental Association,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DB039B" id="_x0000_s1036" type="#_x0000_t202" style="position:absolute;margin-left:230.9pt;margin-top:26.4pt;width:180.5pt;height:117.45pt;z-index:2517002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" filled="f" stroked="f">
                <v:textbox>
                  <w:txbxContent>
                    <w:p w14:paraId="5F120913" w14:textId="77777777" w:rsidR="006A0BD8" w:rsidRDefault="006A0BD8" w:rsidP="0057591F">
                      <w:pPr>
                        <w:spacing w:after="0" w:line="240" w:lineRule="auto"/>
                        <w:rPr>
                          <w:rFonts w:ascii="Arial" w:hAnsi="Arial" w:cs="Arial"/>
                          <w:b/>
                          <w:bCs/>
                          <w:sz w:val="16"/>
                          <w:szCs w:val="16"/>
                        </w:rPr>
                      </w:pPr>
                      <w:r w:rsidRPr="005D2238">
                        <w:rPr>
                          <w:rFonts w:ascii="Arial" w:hAnsi="Arial" w:cs="Arial"/>
                          <w:b/>
                          <w:bCs/>
                          <w:sz w:val="16"/>
                          <w:szCs w:val="16"/>
                          <w:highlight w:val="yellow"/>
                        </w:rPr>
                        <w:t>Conclusion</w:t>
                      </w:r>
                    </w:p>
                    <w:p w14:paraId="28A3E93E" w14:textId="77777777" w:rsidR="005D2238" w:rsidRPr="005D2238" w:rsidRDefault="005D2238" w:rsidP="0057591F">
                      <w:pPr>
                        <w:spacing w:after="0" w:line="240" w:lineRule="auto"/>
                        <w:rPr>
                          <w:rFonts w:ascii="Arial" w:hAnsi="Arial" w:cs="Arial"/>
                          <w:b/>
                          <w:bCs/>
                          <w:sz w:val="16"/>
                          <w:szCs w:val="16"/>
                        </w:rPr>
                      </w:pPr>
                    </w:p>
                    <w:p w14:paraId="51F319D6" w14:textId="77777777" w:rsidR="006A0BD8" w:rsidRPr="001B6FDB" w:rsidRDefault="006A0BD8" w:rsidP="0057591F">
                      <w:pPr>
                        <w:spacing w:after="0" w:line="240" w:lineRule="auto"/>
                        <w:rPr>
                          <w:rFonts w:ascii="Arial" w:hAnsi="Arial" w:cs="Arial"/>
                          <w:color w:val="FFFFFF" w:themeColor="background1"/>
                          <w:sz w:val="16"/>
                          <w:szCs w:val="16"/>
                        </w:rPr>
                      </w:pPr>
                      <w:r w:rsidRPr="00B52A97">
                        <w:rPr>
                          <w:rFonts w:ascii="Arial" w:hAnsi="Arial" w:cs="Arial"/>
                          <w:sz w:val="16"/>
                          <w:szCs w:val="16"/>
                        </w:rPr>
                        <w:t xml:space="preserve">NHS dentistry provides essential treatment but is under serious strain. Access is poor for </w:t>
                      </w:r>
                      <w:proofErr w:type="gramStart"/>
                      <w:r w:rsidRPr="00B52A97">
                        <w:rPr>
                          <w:rFonts w:ascii="Arial" w:hAnsi="Arial" w:cs="Arial"/>
                          <w:sz w:val="16"/>
                          <w:szCs w:val="16"/>
                        </w:rPr>
                        <w:t>many</w:t>
                      </w:r>
                      <w:proofErr w:type="gramEnd"/>
                      <w:r w:rsidRPr="00B52A97">
                        <w:rPr>
                          <w:rFonts w:ascii="Arial" w:hAnsi="Arial" w:cs="Arial"/>
                          <w:sz w:val="16"/>
                          <w:szCs w:val="16"/>
                        </w:rPr>
                        <w:t xml:space="preserve"> adults, and children in deprived areas still have </w:t>
                      </w:r>
                      <w:proofErr w:type="gramStart"/>
                      <w:r w:rsidRPr="00B52A97">
                        <w:rPr>
                          <w:rFonts w:ascii="Arial" w:hAnsi="Arial" w:cs="Arial"/>
                          <w:sz w:val="16"/>
                          <w:szCs w:val="16"/>
                        </w:rPr>
                        <w:t>much</w:t>
                      </w:r>
                      <w:proofErr w:type="gramEnd"/>
                      <w:r w:rsidRPr="00B52A97">
                        <w:rPr>
                          <w:rFonts w:ascii="Arial" w:hAnsi="Arial" w:cs="Arial"/>
                          <w:sz w:val="16"/>
                          <w:szCs w:val="16"/>
                        </w:rPr>
                        <w:t xml:space="preserve"> worse oral health than those in better</w:t>
                      </w:r>
                      <w:r w:rsidRPr="00B52A97">
                        <w:rPr>
                          <w:rFonts w:ascii="Cambria Math" w:hAnsi="Cambria Math" w:cs="Cambria Math"/>
                          <w:sz w:val="16"/>
                          <w:szCs w:val="16"/>
                        </w:rPr>
                        <w:t>‑</w:t>
                      </w:r>
                      <w:r w:rsidRPr="00B52A97">
                        <w:rPr>
                          <w:rFonts w:ascii="Arial" w:hAnsi="Arial" w:cs="Arial"/>
                          <w:sz w:val="16"/>
                          <w:szCs w:val="16"/>
                        </w:rPr>
                        <w:t xml:space="preserve">off areas, so there is a clear need for better access, more prevention, and fairer </w:t>
                      </w:r>
                      <w:r w:rsidRPr="001B6FDB">
                        <w:rPr>
                          <w:rFonts w:ascii="Arial" w:hAnsi="Arial" w:cs="Arial"/>
                          <w:color w:val="FFFFFF" w:themeColor="background1"/>
                          <w:sz w:val="16"/>
                          <w:szCs w:val="16"/>
                        </w:rPr>
                        <w:t>services (British Dental Association, 2024)</w:t>
                      </w:r>
                    </w:p>
                  </w:txbxContent>
                </v:textbox>
                <w10:wrap type="through" anchorx="margin"/>
              </v:shape>
            </w:pict>
          </mc:Fallback>
        </mc:AlternateContent>
      </w:r>
      <w:r w:rsidR="008E1D90">
        <w:tab/>
      </w:r>
    </w:p>
    <w:p w14:paraId="46534AD6" w14:textId="5AE197CD" w:rsidR="006837C5" w:rsidRDefault="006837C5" w:rsidP="00B52A97">
      <w:pPr>
        <w:tabs>
          <w:tab w:val="left" w:pos="4284"/>
        </w:tabs>
        <w:sectPr w:rsidR="006837C5" w:rsidSect="00FB31E8">
          <w:pgSz w:w="16838" w:h="11906" w:orient="landscape"/>
          <w:pgMar w:top="720" w:right="720" w:bottom="720" w:left="720" w:header="708" w:footer="708" w:gutter="0"/>
          <w:pgNumType w:start="0"/>
          <w:cols w:space="708"/>
          <w:titlePg/>
          <w:docGrid w:linePitch="360"/>
        </w:sectPr>
      </w:pPr>
    </w:p>
    <w:p w14:paraId="4B42CFF2" w14:textId="5F943BB2" w:rsidR="00BE49DC" w:rsidRDefault="00C30BEC" w:rsidP="006837C5">
      <w:pPr>
        <w:rPr>
          <w:rFonts w:ascii="Arial" w:hAnsi="Arial" w:cs="Arial"/>
          <w:sz w:val="22"/>
          <w:szCs w:val="22"/>
        </w:rPr>
      </w:pPr>
      <w:r>
        <w:rPr>
          <w:rFonts w:ascii="Arial" w:hAnsi="Arial" w:cs="Arial"/>
          <w:sz w:val="22"/>
          <w:szCs w:val="22"/>
        </w:rPr>
        <w:lastRenderedPageBreak/>
        <w:t>C</w:t>
      </w:r>
      <w:r w:rsidR="00BE49DC">
        <w:rPr>
          <w:rFonts w:ascii="Arial" w:hAnsi="Arial" w:cs="Arial"/>
          <w:sz w:val="22"/>
          <w:szCs w:val="22"/>
        </w:rPr>
        <w:t>0MMUNITY DISABILITY SERVICES</w:t>
      </w:r>
    </w:p>
    <w:p w14:paraId="60BD0087" w14:textId="77777777" w:rsidR="00890224" w:rsidRDefault="00890224" w:rsidP="00C31C3F">
      <w:pPr>
        <w:spacing w:line="360" w:lineRule="auto"/>
      </w:pPr>
      <w:r w:rsidRPr="0054337B">
        <w:rPr>
          <w:rFonts w:ascii="Arial" w:hAnsi="Arial" w:cs="Arial"/>
          <w:sz w:val="22"/>
          <w:szCs w:val="22"/>
        </w:rPr>
        <w:t xml:space="preserve">Community disability services in the United Kingdom have developed from long-stay institutional care to person-centred support in ordinary community settings. This </w:t>
      </w:r>
      <w:r>
        <w:rPr>
          <w:rFonts w:ascii="Arial" w:hAnsi="Arial" w:cs="Arial"/>
          <w:sz w:val="22"/>
          <w:szCs w:val="22"/>
        </w:rPr>
        <w:t>change</w:t>
      </w:r>
      <w:r w:rsidRPr="0054337B">
        <w:rPr>
          <w:rFonts w:ascii="Arial" w:hAnsi="Arial" w:cs="Arial"/>
          <w:sz w:val="22"/>
          <w:szCs w:val="22"/>
        </w:rPr>
        <w:t xml:space="preserve"> reflects </w:t>
      </w:r>
      <w:r>
        <w:rPr>
          <w:rFonts w:ascii="Arial" w:hAnsi="Arial" w:cs="Arial"/>
          <w:sz w:val="22"/>
          <w:szCs w:val="22"/>
        </w:rPr>
        <w:t xml:space="preserve">a broader shift </w:t>
      </w:r>
      <w:r w:rsidRPr="0054337B">
        <w:rPr>
          <w:rFonts w:ascii="Arial" w:hAnsi="Arial" w:cs="Arial"/>
          <w:sz w:val="22"/>
          <w:szCs w:val="22"/>
        </w:rPr>
        <w:t>in health and social care</w:t>
      </w:r>
      <w:r>
        <w:rPr>
          <w:rFonts w:ascii="Arial" w:hAnsi="Arial" w:cs="Arial"/>
          <w:sz w:val="22"/>
          <w:szCs w:val="22"/>
        </w:rPr>
        <w:t xml:space="preserve"> thinking, shaped by</w:t>
      </w:r>
      <w:r w:rsidRPr="0054337B">
        <w:rPr>
          <w:rFonts w:ascii="Arial" w:hAnsi="Arial" w:cs="Arial"/>
          <w:sz w:val="22"/>
          <w:szCs w:val="22"/>
        </w:rPr>
        <w:t xml:space="preserve"> the social model of disability and the independent living movement. Rather than viewing disabled people as passive recipients of care, these approaches argue that services should promote choice, control, and participation in everyday life (Glasby, 20</w:t>
      </w:r>
      <w:r>
        <w:rPr>
          <w:rFonts w:ascii="Arial" w:hAnsi="Arial" w:cs="Arial"/>
          <w:sz w:val="22"/>
          <w:szCs w:val="22"/>
        </w:rPr>
        <w:t>2</w:t>
      </w:r>
      <w:r w:rsidRPr="0054337B">
        <w:rPr>
          <w:rFonts w:ascii="Arial" w:hAnsi="Arial" w:cs="Arial"/>
          <w:sz w:val="22"/>
          <w:szCs w:val="22"/>
        </w:rPr>
        <w:t>6, pp. 95–99).</w:t>
      </w:r>
    </w:p>
    <w:p w14:paraId="328B1801" w14:textId="77777777" w:rsidR="006A1B5E" w:rsidRDefault="006A1B5E">
      <w:pPr>
        <w:spacing w:line="360" w:lineRule="auto"/>
      </w:pPr>
      <w:r w:rsidRPr="0054337B">
        <w:rPr>
          <w:rFonts w:ascii="Arial" w:hAnsi="Arial" w:cs="Arial"/>
          <w:sz w:val="22"/>
          <w:szCs w:val="22"/>
        </w:rPr>
        <w:t xml:space="preserve">For </w:t>
      </w:r>
      <w:proofErr w:type="gramStart"/>
      <w:r w:rsidRPr="0054337B">
        <w:rPr>
          <w:rFonts w:ascii="Arial" w:hAnsi="Arial" w:cs="Arial"/>
          <w:sz w:val="22"/>
          <w:szCs w:val="22"/>
        </w:rPr>
        <w:t>much</w:t>
      </w:r>
      <w:proofErr w:type="gramEnd"/>
      <w:r w:rsidRPr="0054337B">
        <w:rPr>
          <w:rFonts w:ascii="Arial" w:hAnsi="Arial" w:cs="Arial"/>
          <w:sz w:val="22"/>
          <w:szCs w:val="22"/>
        </w:rPr>
        <w:t xml:space="preserve"> of the twentieth century, people with learning disabilities were </w:t>
      </w:r>
      <w:r>
        <w:rPr>
          <w:rFonts w:ascii="Arial" w:hAnsi="Arial" w:cs="Arial"/>
          <w:sz w:val="22"/>
          <w:szCs w:val="22"/>
        </w:rPr>
        <w:t xml:space="preserve">cared for </w:t>
      </w:r>
      <w:r w:rsidRPr="0054337B">
        <w:rPr>
          <w:rFonts w:ascii="Arial" w:hAnsi="Arial" w:cs="Arial"/>
          <w:sz w:val="22"/>
          <w:szCs w:val="22"/>
        </w:rPr>
        <w:t xml:space="preserve">in large hospitals and segregated settings under a medical and custodial </w:t>
      </w:r>
      <w:r>
        <w:rPr>
          <w:rFonts w:ascii="Arial" w:hAnsi="Arial" w:cs="Arial"/>
          <w:sz w:val="22"/>
          <w:szCs w:val="22"/>
        </w:rPr>
        <w:t>approach.</w:t>
      </w:r>
      <w:r w:rsidRPr="0054337B">
        <w:rPr>
          <w:rFonts w:ascii="Arial" w:hAnsi="Arial" w:cs="Arial"/>
          <w:sz w:val="22"/>
          <w:szCs w:val="22"/>
        </w:rPr>
        <w:t xml:space="preserve"> This meant that </w:t>
      </w:r>
      <w:proofErr w:type="gramStart"/>
      <w:r w:rsidRPr="0054337B">
        <w:rPr>
          <w:rFonts w:ascii="Arial" w:hAnsi="Arial" w:cs="Arial"/>
          <w:sz w:val="22"/>
          <w:szCs w:val="22"/>
        </w:rPr>
        <w:t>many</w:t>
      </w:r>
      <w:proofErr w:type="gramEnd"/>
      <w:r w:rsidRPr="0054337B">
        <w:rPr>
          <w:rFonts w:ascii="Arial" w:hAnsi="Arial" w:cs="Arial"/>
          <w:sz w:val="22"/>
          <w:szCs w:val="22"/>
        </w:rPr>
        <w:t xml:space="preserve"> people were separated from family life, local communities, and opportunities for independence. From the 1970s onwards, this model was increasingly criticised, and there was a gradual movement towards normalisation and community living. Policy changes, supported by the NHS and Community Care Act 1990, encouraged the development of local services, care management, and more individualised packages of support. These changes helped create the basis for community learning disability teams, supported housing and more flexible forms of care (Department of Health, 2001; Glasby, 20</w:t>
      </w:r>
      <w:r>
        <w:rPr>
          <w:rFonts w:ascii="Arial" w:hAnsi="Arial" w:cs="Arial"/>
          <w:sz w:val="22"/>
          <w:szCs w:val="22"/>
        </w:rPr>
        <w:t>2</w:t>
      </w:r>
      <w:r w:rsidRPr="0054337B">
        <w:rPr>
          <w:rFonts w:ascii="Arial" w:hAnsi="Arial" w:cs="Arial"/>
          <w:sz w:val="22"/>
          <w:szCs w:val="22"/>
        </w:rPr>
        <w:t>6).</w:t>
      </w:r>
    </w:p>
    <w:p w14:paraId="06C3D9CF" w14:textId="77777777" w:rsidR="0054337B" w:rsidRPr="0054337B" w:rsidRDefault="0054337B" w:rsidP="0054337B">
      <w:pPr>
        <w:spacing w:line="360" w:lineRule="auto"/>
        <w:rPr>
          <w:rFonts w:ascii="Arial" w:hAnsi="Arial" w:cs="Arial"/>
          <w:sz w:val="22"/>
          <w:szCs w:val="22"/>
        </w:rPr>
      </w:pPr>
    </w:p>
    <w:p w14:paraId="447B6138" w14:textId="52F2C446" w:rsidR="0054337B" w:rsidRPr="0054337B" w:rsidRDefault="0054337B" w:rsidP="0054337B">
      <w:pPr>
        <w:spacing w:line="360" w:lineRule="auto"/>
        <w:rPr>
          <w:rFonts w:ascii="Arial" w:hAnsi="Arial" w:cs="Arial"/>
          <w:sz w:val="22"/>
          <w:szCs w:val="22"/>
        </w:rPr>
      </w:pPr>
      <w:r w:rsidRPr="0054337B">
        <w:rPr>
          <w:rFonts w:ascii="Arial" w:hAnsi="Arial" w:cs="Arial"/>
          <w:sz w:val="22"/>
          <w:szCs w:val="22"/>
        </w:rPr>
        <w:t xml:space="preserve">Later policy developments strengthened this direction. Valuing People and Valuing People Now placed greater emphasis on rights, independence, </w:t>
      </w:r>
      <w:r w:rsidR="008673A8" w:rsidRPr="0054337B">
        <w:rPr>
          <w:rFonts w:ascii="Arial" w:hAnsi="Arial" w:cs="Arial"/>
          <w:sz w:val="22"/>
          <w:szCs w:val="22"/>
        </w:rPr>
        <w:t>choice,</w:t>
      </w:r>
      <w:r w:rsidRPr="0054337B">
        <w:rPr>
          <w:rFonts w:ascii="Arial" w:hAnsi="Arial" w:cs="Arial"/>
          <w:sz w:val="22"/>
          <w:szCs w:val="22"/>
        </w:rPr>
        <w:t xml:space="preserve"> and inclusion for people with learning disabilities (Department of Health, 2001; Department of Health, 2009). Glasby argues that this policy shift reflects the social model of disability because it focuses on removing barriers and supporting independent living rather than assuming that disabled people are naturally dependent on services (Glasby, 20</w:t>
      </w:r>
      <w:r>
        <w:rPr>
          <w:rFonts w:ascii="Arial" w:hAnsi="Arial" w:cs="Arial"/>
          <w:sz w:val="22"/>
          <w:szCs w:val="22"/>
        </w:rPr>
        <w:t>2</w:t>
      </w:r>
      <w:r w:rsidRPr="0054337B">
        <w:rPr>
          <w:rFonts w:ascii="Arial" w:hAnsi="Arial" w:cs="Arial"/>
          <w:sz w:val="22"/>
          <w:szCs w:val="22"/>
        </w:rPr>
        <w:t>6, pp. 95–99). This is important because it explains why community disability services were developed not only to replace institutions, but also to improve equality and social participation.</w:t>
      </w:r>
    </w:p>
    <w:p w14:paraId="0A1F8982" w14:textId="3D70AD61" w:rsidR="0054337B" w:rsidRPr="0054337B" w:rsidRDefault="0054337B" w:rsidP="0054337B">
      <w:pPr>
        <w:spacing w:line="360" w:lineRule="auto"/>
        <w:rPr>
          <w:rFonts w:ascii="Arial" w:hAnsi="Arial" w:cs="Arial"/>
          <w:sz w:val="22"/>
          <w:szCs w:val="22"/>
        </w:rPr>
      </w:pPr>
      <w:r w:rsidRPr="0054337B">
        <w:rPr>
          <w:rFonts w:ascii="Arial" w:hAnsi="Arial" w:cs="Arial"/>
          <w:sz w:val="22"/>
          <w:szCs w:val="22"/>
        </w:rPr>
        <w:t xml:space="preserve">Today, community disability services for adults with learning disabilities are usually delivered through integrated health and social care arrangements. Support is commonly provided in people’s own homes, supported living schemes and other local settings rather than institutions. In practice, this often involves multidisciplinary teams made up of social workers, community nurses, occupational therapists, </w:t>
      </w:r>
      <w:r w:rsidR="008673A8" w:rsidRPr="0054337B">
        <w:rPr>
          <w:rFonts w:ascii="Arial" w:hAnsi="Arial" w:cs="Arial"/>
          <w:sz w:val="22"/>
          <w:szCs w:val="22"/>
        </w:rPr>
        <w:t>psychologists,</w:t>
      </w:r>
      <w:r w:rsidRPr="0054337B">
        <w:rPr>
          <w:rFonts w:ascii="Arial" w:hAnsi="Arial" w:cs="Arial"/>
          <w:sz w:val="22"/>
          <w:szCs w:val="22"/>
        </w:rPr>
        <w:t xml:space="preserve"> and voluntary-sector providers. Their role is to address health needs, practical support, daily living </w:t>
      </w:r>
      <w:r w:rsidR="008673A8" w:rsidRPr="0054337B">
        <w:rPr>
          <w:rFonts w:ascii="Arial" w:hAnsi="Arial" w:cs="Arial"/>
          <w:sz w:val="22"/>
          <w:szCs w:val="22"/>
        </w:rPr>
        <w:t>skills,</w:t>
      </w:r>
      <w:r w:rsidRPr="0054337B">
        <w:rPr>
          <w:rFonts w:ascii="Arial" w:hAnsi="Arial" w:cs="Arial"/>
          <w:sz w:val="22"/>
          <w:szCs w:val="22"/>
        </w:rPr>
        <w:t xml:space="preserve"> and wider social wellbeing (Glasby, 20</w:t>
      </w:r>
      <w:r>
        <w:rPr>
          <w:rFonts w:ascii="Arial" w:hAnsi="Arial" w:cs="Arial"/>
          <w:sz w:val="22"/>
          <w:szCs w:val="22"/>
        </w:rPr>
        <w:t>2</w:t>
      </w:r>
      <w:r w:rsidRPr="0054337B">
        <w:rPr>
          <w:rFonts w:ascii="Arial" w:hAnsi="Arial" w:cs="Arial"/>
          <w:sz w:val="22"/>
          <w:szCs w:val="22"/>
        </w:rPr>
        <w:t xml:space="preserve">6). Salt argues that services aiming to be outstanding must be safe, effective, caring, </w:t>
      </w:r>
      <w:r w:rsidR="008673A8" w:rsidRPr="0054337B">
        <w:rPr>
          <w:rFonts w:ascii="Arial" w:hAnsi="Arial" w:cs="Arial"/>
          <w:sz w:val="22"/>
          <w:szCs w:val="22"/>
        </w:rPr>
        <w:t>responsive,</w:t>
      </w:r>
      <w:r w:rsidRPr="0054337B">
        <w:rPr>
          <w:rFonts w:ascii="Arial" w:hAnsi="Arial" w:cs="Arial"/>
          <w:sz w:val="22"/>
          <w:szCs w:val="22"/>
        </w:rPr>
        <w:t xml:space="preserve"> and well led. This suggests that community disability services should not be judged only on whether support exists, but on the quality, </w:t>
      </w:r>
      <w:r w:rsidR="008673A8" w:rsidRPr="0054337B">
        <w:rPr>
          <w:rFonts w:ascii="Arial" w:hAnsi="Arial" w:cs="Arial"/>
          <w:sz w:val="22"/>
          <w:szCs w:val="22"/>
        </w:rPr>
        <w:t>consistency,</w:t>
      </w:r>
      <w:r w:rsidRPr="0054337B">
        <w:rPr>
          <w:rFonts w:ascii="Arial" w:hAnsi="Arial" w:cs="Arial"/>
          <w:sz w:val="22"/>
          <w:szCs w:val="22"/>
        </w:rPr>
        <w:t xml:space="preserve"> and person-centred nature of that support (Salt, 2021).</w:t>
      </w:r>
    </w:p>
    <w:p w14:paraId="3A836253" w14:textId="77777777" w:rsidR="008971B9" w:rsidRDefault="008971B9">
      <w:pPr>
        <w:spacing w:line="360" w:lineRule="auto"/>
      </w:pPr>
      <w:r w:rsidRPr="0054337B">
        <w:rPr>
          <w:rFonts w:ascii="Arial" w:hAnsi="Arial" w:cs="Arial"/>
          <w:sz w:val="22"/>
          <w:szCs w:val="22"/>
        </w:rPr>
        <w:lastRenderedPageBreak/>
        <w:t xml:space="preserve">However, community disability services also face important challenges. Glasby and Dickinson (2014, pp. 56–57) argue that partnership working and integrated structures do not automatically lead to better outcomes. </w:t>
      </w:r>
      <w:r>
        <w:rPr>
          <w:rFonts w:ascii="Arial" w:hAnsi="Arial" w:cs="Arial"/>
          <w:sz w:val="22"/>
          <w:szCs w:val="22"/>
        </w:rPr>
        <w:t>Their research</w:t>
      </w:r>
      <w:r w:rsidRPr="0054337B">
        <w:rPr>
          <w:rFonts w:ascii="Arial" w:hAnsi="Arial" w:cs="Arial"/>
          <w:sz w:val="22"/>
          <w:szCs w:val="22"/>
        </w:rPr>
        <w:t xml:space="preserve"> into learning </w:t>
      </w:r>
      <w:r>
        <w:rPr>
          <w:rFonts w:ascii="Arial" w:hAnsi="Arial" w:cs="Arial"/>
          <w:sz w:val="22"/>
          <w:szCs w:val="22"/>
        </w:rPr>
        <w:t>disability services shows</w:t>
      </w:r>
      <w:r w:rsidRPr="0054337B">
        <w:rPr>
          <w:rFonts w:ascii="Arial" w:hAnsi="Arial" w:cs="Arial"/>
          <w:sz w:val="22"/>
          <w:szCs w:val="22"/>
        </w:rPr>
        <w:t xml:space="preserve"> that </w:t>
      </w:r>
      <w:r>
        <w:rPr>
          <w:rFonts w:ascii="Arial" w:hAnsi="Arial" w:cs="Arial"/>
          <w:sz w:val="22"/>
          <w:szCs w:val="22"/>
        </w:rPr>
        <w:t>difficulties</w:t>
      </w:r>
      <w:r w:rsidRPr="0054337B">
        <w:rPr>
          <w:rFonts w:ascii="Arial" w:hAnsi="Arial" w:cs="Arial"/>
          <w:sz w:val="22"/>
          <w:szCs w:val="22"/>
        </w:rPr>
        <w:t xml:space="preserve"> with coordination, accountability and inappropriate placements can </w:t>
      </w:r>
      <w:r>
        <w:rPr>
          <w:rFonts w:ascii="Arial" w:hAnsi="Arial" w:cs="Arial"/>
          <w:sz w:val="22"/>
          <w:szCs w:val="22"/>
        </w:rPr>
        <w:t>continue</w:t>
      </w:r>
      <w:r w:rsidRPr="0054337B">
        <w:rPr>
          <w:rFonts w:ascii="Arial" w:hAnsi="Arial" w:cs="Arial"/>
          <w:sz w:val="22"/>
          <w:szCs w:val="22"/>
        </w:rPr>
        <w:t xml:space="preserve"> even </w:t>
      </w:r>
      <w:r>
        <w:rPr>
          <w:rFonts w:ascii="Arial" w:hAnsi="Arial" w:cs="Arial"/>
          <w:sz w:val="22"/>
          <w:szCs w:val="22"/>
        </w:rPr>
        <w:t>when</w:t>
      </w:r>
      <w:r w:rsidRPr="0054337B">
        <w:rPr>
          <w:rFonts w:ascii="Arial" w:hAnsi="Arial" w:cs="Arial"/>
          <w:sz w:val="22"/>
          <w:szCs w:val="22"/>
        </w:rPr>
        <w:t xml:space="preserve"> partnership </w:t>
      </w:r>
      <w:r>
        <w:rPr>
          <w:rFonts w:ascii="Arial" w:hAnsi="Arial" w:cs="Arial"/>
          <w:sz w:val="22"/>
          <w:szCs w:val="22"/>
        </w:rPr>
        <w:t xml:space="preserve">systems </w:t>
      </w:r>
      <w:r w:rsidRPr="0054337B">
        <w:rPr>
          <w:rFonts w:ascii="Arial" w:hAnsi="Arial" w:cs="Arial"/>
          <w:sz w:val="22"/>
          <w:szCs w:val="22"/>
        </w:rPr>
        <w:t xml:space="preserve">are </w:t>
      </w:r>
      <w:r>
        <w:rPr>
          <w:rFonts w:ascii="Arial" w:hAnsi="Arial" w:cs="Arial"/>
          <w:sz w:val="22"/>
          <w:szCs w:val="22"/>
        </w:rPr>
        <w:t xml:space="preserve">formally </w:t>
      </w:r>
      <w:r w:rsidRPr="0054337B">
        <w:rPr>
          <w:rFonts w:ascii="Arial" w:hAnsi="Arial" w:cs="Arial"/>
          <w:sz w:val="22"/>
          <w:szCs w:val="22"/>
        </w:rPr>
        <w:t>in place. Towers (2023) also points out that people described as vulnerable may distrust services because of stigma and unequal power relations. This means that effective community disability services depend not only on systems and structures, but also on trust, listening, and respectful relationships.</w:t>
      </w:r>
    </w:p>
    <w:p w14:paraId="6A90F8B1" w14:textId="77777777" w:rsidR="0054337B" w:rsidRPr="0054337B" w:rsidRDefault="0054337B" w:rsidP="0054337B">
      <w:pPr>
        <w:spacing w:line="360" w:lineRule="auto"/>
        <w:rPr>
          <w:rFonts w:ascii="Arial" w:hAnsi="Arial" w:cs="Arial"/>
          <w:sz w:val="22"/>
          <w:szCs w:val="22"/>
        </w:rPr>
      </w:pPr>
    </w:p>
    <w:p w14:paraId="36D2CA20" w14:textId="77777777" w:rsidR="00A55219" w:rsidRDefault="00A55219">
      <w:pPr>
        <w:spacing w:line="360" w:lineRule="auto"/>
      </w:pPr>
      <w:r w:rsidRPr="0054337B">
        <w:rPr>
          <w:rFonts w:ascii="Arial" w:hAnsi="Arial" w:cs="Arial"/>
          <w:sz w:val="22"/>
          <w:szCs w:val="22"/>
        </w:rPr>
        <w:t>The significance of community disability services lies in their potential to improve quality of life. When support is properly resourced and person-centred, it can increase opportunities for choice, social contact, meaningful activity, and greater independence (Glasby, 20</w:t>
      </w:r>
      <w:r>
        <w:rPr>
          <w:rFonts w:ascii="Arial" w:hAnsi="Arial" w:cs="Arial"/>
          <w:sz w:val="22"/>
          <w:szCs w:val="22"/>
        </w:rPr>
        <w:t>2</w:t>
      </w:r>
      <w:r w:rsidRPr="0054337B">
        <w:rPr>
          <w:rFonts w:ascii="Arial" w:hAnsi="Arial" w:cs="Arial"/>
          <w:sz w:val="22"/>
          <w:szCs w:val="22"/>
        </w:rPr>
        <w:t xml:space="preserve">6). Good engagement can also help service users feel valued and more involved in decisions about their lives, which may improve wellbeing and confidence (Towers, 2023). Overall, the </w:t>
      </w:r>
      <w:r>
        <w:rPr>
          <w:rFonts w:ascii="Arial" w:hAnsi="Arial" w:cs="Arial"/>
          <w:sz w:val="22"/>
          <w:szCs w:val="22"/>
        </w:rPr>
        <w:t>shift</w:t>
      </w:r>
      <w:r w:rsidRPr="0054337B">
        <w:rPr>
          <w:rFonts w:ascii="Arial" w:hAnsi="Arial" w:cs="Arial"/>
          <w:sz w:val="22"/>
          <w:szCs w:val="22"/>
        </w:rPr>
        <w:t xml:space="preserve"> from institutional care to integrated community-based </w:t>
      </w:r>
      <w:r>
        <w:rPr>
          <w:rFonts w:ascii="Arial" w:hAnsi="Arial" w:cs="Arial"/>
          <w:sz w:val="22"/>
          <w:szCs w:val="22"/>
        </w:rPr>
        <w:t>support</w:t>
      </w:r>
      <w:r w:rsidRPr="0054337B">
        <w:rPr>
          <w:rFonts w:ascii="Arial" w:hAnsi="Arial" w:cs="Arial"/>
          <w:sz w:val="22"/>
          <w:szCs w:val="22"/>
        </w:rPr>
        <w:t xml:space="preserve"> has </w:t>
      </w:r>
      <w:r>
        <w:rPr>
          <w:rFonts w:ascii="Arial" w:hAnsi="Arial" w:cs="Arial"/>
          <w:sz w:val="22"/>
          <w:szCs w:val="22"/>
        </w:rPr>
        <w:t>enhanced</w:t>
      </w:r>
      <w:r w:rsidRPr="0054337B">
        <w:rPr>
          <w:rFonts w:ascii="Arial" w:hAnsi="Arial" w:cs="Arial"/>
          <w:sz w:val="22"/>
          <w:szCs w:val="22"/>
        </w:rPr>
        <w:t xml:space="preserve"> the lives of </w:t>
      </w:r>
      <w:proofErr w:type="gramStart"/>
      <w:r w:rsidRPr="0054337B">
        <w:rPr>
          <w:rFonts w:ascii="Arial" w:hAnsi="Arial" w:cs="Arial"/>
          <w:sz w:val="22"/>
          <w:szCs w:val="22"/>
        </w:rPr>
        <w:t>many</w:t>
      </w:r>
      <w:proofErr w:type="gramEnd"/>
      <w:r w:rsidRPr="0054337B">
        <w:rPr>
          <w:rFonts w:ascii="Arial" w:hAnsi="Arial" w:cs="Arial"/>
          <w:sz w:val="22"/>
          <w:szCs w:val="22"/>
        </w:rPr>
        <w:t xml:space="preserve"> people with learning disabilities. Nevertheless, the literature suggests that continued attention to service quality, leadership and genuine co-production is still needed if community disability services are to fully meet their aims (Glasby, 20</w:t>
      </w:r>
      <w:r>
        <w:rPr>
          <w:rFonts w:ascii="Arial" w:hAnsi="Arial" w:cs="Arial"/>
          <w:sz w:val="22"/>
          <w:szCs w:val="22"/>
        </w:rPr>
        <w:t>2</w:t>
      </w:r>
      <w:r w:rsidRPr="0054337B">
        <w:rPr>
          <w:rFonts w:ascii="Arial" w:hAnsi="Arial" w:cs="Arial"/>
          <w:sz w:val="22"/>
          <w:szCs w:val="22"/>
        </w:rPr>
        <w:t>6; Glasby and Dickinson, 2014).</w:t>
      </w:r>
    </w:p>
    <w:p w14:paraId="769FCFDC" w14:textId="77777777" w:rsidR="0054337B" w:rsidRPr="0054337B" w:rsidRDefault="0054337B" w:rsidP="0054337B">
      <w:pPr>
        <w:spacing w:line="360" w:lineRule="auto"/>
        <w:rPr>
          <w:rFonts w:ascii="Arial" w:hAnsi="Arial" w:cs="Arial"/>
          <w:sz w:val="22"/>
          <w:szCs w:val="22"/>
        </w:rPr>
      </w:pPr>
    </w:p>
    <w:p w14:paraId="5F42CC8A" w14:textId="77777777" w:rsidR="0054337B" w:rsidRPr="0054337B" w:rsidRDefault="0054337B" w:rsidP="0054337B">
      <w:pPr>
        <w:spacing w:line="360" w:lineRule="auto"/>
        <w:rPr>
          <w:rFonts w:ascii="Arial" w:hAnsi="Arial" w:cs="Arial"/>
          <w:sz w:val="22"/>
          <w:szCs w:val="22"/>
        </w:rPr>
      </w:pPr>
    </w:p>
    <w:p w14:paraId="41474FD1" w14:textId="77777777" w:rsidR="0054337B" w:rsidRPr="0054337B" w:rsidRDefault="0054337B" w:rsidP="0054337B">
      <w:pPr>
        <w:spacing w:line="360" w:lineRule="auto"/>
        <w:rPr>
          <w:rFonts w:ascii="Arial" w:hAnsi="Arial" w:cs="Arial"/>
          <w:sz w:val="22"/>
          <w:szCs w:val="22"/>
        </w:rPr>
      </w:pPr>
    </w:p>
    <w:p w14:paraId="615D8610" w14:textId="77777777" w:rsidR="0054337B" w:rsidRPr="0054337B" w:rsidRDefault="0054337B" w:rsidP="0054337B">
      <w:pPr>
        <w:spacing w:line="360" w:lineRule="auto"/>
        <w:rPr>
          <w:rFonts w:ascii="Arial" w:hAnsi="Arial" w:cs="Arial"/>
          <w:sz w:val="22"/>
          <w:szCs w:val="22"/>
        </w:rPr>
      </w:pPr>
    </w:p>
    <w:p w14:paraId="2B886FCA" w14:textId="77777777" w:rsidR="0054337B" w:rsidRPr="0054337B" w:rsidRDefault="0054337B" w:rsidP="0054337B">
      <w:pPr>
        <w:spacing w:line="360" w:lineRule="auto"/>
        <w:rPr>
          <w:rFonts w:ascii="Arial" w:hAnsi="Arial" w:cs="Arial"/>
          <w:sz w:val="22"/>
          <w:szCs w:val="22"/>
        </w:rPr>
      </w:pPr>
    </w:p>
    <w:p w14:paraId="17B11A4C" w14:textId="77777777" w:rsidR="0054337B" w:rsidRPr="0054337B" w:rsidRDefault="0054337B" w:rsidP="0054337B">
      <w:pPr>
        <w:spacing w:line="360" w:lineRule="auto"/>
        <w:rPr>
          <w:rFonts w:ascii="Arial" w:hAnsi="Arial" w:cs="Arial"/>
          <w:sz w:val="22"/>
          <w:szCs w:val="22"/>
        </w:rPr>
      </w:pPr>
    </w:p>
    <w:p w14:paraId="4987BF7D" w14:textId="77777777" w:rsidR="0054337B" w:rsidRPr="0054337B" w:rsidRDefault="0054337B" w:rsidP="0054337B">
      <w:pPr>
        <w:spacing w:line="360" w:lineRule="auto"/>
        <w:rPr>
          <w:rFonts w:ascii="Arial" w:hAnsi="Arial" w:cs="Arial"/>
          <w:sz w:val="22"/>
          <w:szCs w:val="22"/>
        </w:rPr>
      </w:pPr>
    </w:p>
    <w:p w14:paraId="3A73DA8F" w14:textId="77777777" w:rsidR="00235737" w:rsidRDefault="00235737" w:rsidP="0054337B">
      <w:pPr>
        <w:spacing w:line="360" w:lineRule="auto"/>
        <w:rPr>
          <w:rFonts w:ascii="Arial" w:hAnsi="Arial" w:cs="Arial"/>
          <w:sz w:val="22"/>
          <w:szCs w:val="22"/>
        </w:rPr>
      </w:pPr>
    </w:p>
    <w:p w14:paraId="03CA7F8E" w14:textId="77777777" w:rsidR="00B679D6" w:rsidRDefault="00B679D6" w:rsidP="0054337B">
      <w:pPr>
        <w:spacing w:line="360" w:lineRule="auto"/>
        <w:rPr>
          <w:rFonts w:ascii="Arial" w:hAnsi="Arial" w:cs="Arial"/>
          <w:sz w:val="22"/>
          <w:szCs w:val="22"/>
          <w:u w:val="single"/>
        </w:rPr>
      </w:pPr>
    </w:p>
    <w:p w14:paraId="3F1EDE51" w14:textId="77777777" w:rsidR="00B679D6" w:rsidRDefault="00B679D6" w:rsidP="0054337B">
      <w:pPr>
        <w:spacing w:line="360" w:lineRule="auto"/>
        <w:rPr>
          <w:rFonts w:ascii="Arial" w:hAnsi="Arial" w:cs="Arial"/>
          <w:sz w:val="22"/>
          <w:szCs w:val="22"/>
          <w:u w:val="single"/>
        </w:rPr>
      </w:pPr>
    </w:p>
    <w:p w14:paraId="23E51015" w14:textId="77777777" w:rsidR="00091633" w:rsidRDefault="00091633" w:rsidP="0054337B">
      <w:pPr>
        <w:spacing w:line="360" w:lineRule="auto"/>
        <w:rPr>
          <w:rFonts w:ascii="Arial" w:hAnsi="Arial" w:cs="Arial"/>
          <w:sz w:val="22"/>
          <w:szCs w:val="22"/>
          <w:u w:val="single"/>
        </w:rPr>
      </w:pPr>
    </w:p>
    <w:p w14:paraId="05CF0131" w14:textId="77777777" w:rsidR="00091633" w:rsidRDefault="00091633" w:rsidP="0054337B">
      <w:pPr>
        <w:spacing w:line="360" w:lineRule="auto"/>
        <w:rPr>
          <w:rFonts w:ascii="Arial" w:hAnsi="Arial" w:cs="Arial"/>
          <w:sz w:val="22"/>
          <w:szCs w:val="22"/>
          <w:u w:val="single"/>
        </w:rPr>
      </w:pPr>
    </w:p>
    <w:p w14:paraId="7BC71A0E" w14:textId="25A6A9DB" w:rsidR="0054337B" w:rsidRPr="0054337B" w:rsidRDefault="0054337B" w:rsidP="0054337B">
      <w:pPr>
        <w:spacing w:line="360" w:lineRule="auto"/>
        <w:rPr>
          <w:rFonts w:ascii="Arial" w:hAnsi="Arial" w:cs="Arial"/>
          <w:sz w:val="22"/>
          <w:szCs w:val="22"/>
          <w:u w:val="single"/>
        </w:rPr>
      </w:pPr>
      <w:r w:rsidRPr="0054337B">
        <w:rPr>
          <w:rFonts w:ascii="Arial" w:hAnsi="Arial" w:cs="Arial"/>
          <w:sz w:val="22"/>
          <w:szCs w:val="22"/>
          <w:u w:val="single"/>
        </w:rPr>
        <w:lastRenderedPageBreak/>
        <w:t>Reference List</w:t>
      </w:r>
    </w:p>
    <w:p w14:paraId="3FBE53D7" w14:textId="77777777" w:rsidR="0054337B" w:rsidRPr="0054337B" w:rsidRDefault="0054337B" w:rsidP="0054337B">
      <w:pPr>
        <w:spacing w:line="360" w:lineRule="auto"/>
        <w:rPr>
          <w:rFonts w:ascii="Arial" w:hAnsi="Arial" w:cs="Arial"/>
          <w:sz w:val="22"/>
          <w:szCs w:val="22"/>
        </w:rPr>
      </w:pPr>
    </w:p>
    <w:p w14:paraId="5DB8722C" w14:textId="77777777" w:rsidR="00552B7B" w:rsidRDefault="00552B7B">
      <w:pPr>
        <w:spacing w:line="360" w:lineRule="auto"/>
        <w:rPr>
          <w:lang w:eastAsia="en-GB"/>
        </w:rPr>
      </w:pPr>
      <w:r>
        <w:rPr>
          <w:rFonts w:ascii="Arial" w:hAnsi="Arial" w:cs="Arial"/>
          <w:sz w:val="22"/>
          <w:szCs w:val="22"/>
        </w:rPr>
        <w:t>Barnard, A., Calabria, V. and Griffiths, L. (eds) (2023) Key themes in health and social care: a companion to learning. Second edition. London: Routledge.</w:t>
      </w:r>
    </w:p>
    <w:p w14:paraId="4001209B" w14:textId="77777777" w:rsidR="00552B7B" w:rsidRDefault="00552B7B">
      <w:pPr>
        <w:spacing w:line="360" w:lineRule="auto"/>
        <w:rPr>
          <w:lang w:eastAsia="en-GB"/>
        </w:rPr>
      </w:pPr>
      <w:r>
        <w:rPr>
          <w:rFonts w:ascii="Arial" w:hAnsi="Arial" w:cs="Arial"/>
          <w:sz w:val="22"/>
          <w:szCs w:val="22"/>
        </w:rPr>
        <w:t>British Dental Association (2024) thirteen million unable to access NHS dentistry. Available at: https://www.bda.org/media-centre/13-million-unable-to-access-nhs-dentistry/ (Accessed 05 June 2026).</w:t>
      </w:r>
    </w:p>
    <w:p w14:paraId="7E7B5DE6" w14:textId="77777777" w:rsidR="00552B7B" w:rsidRDefault="00552B7B">
      <w:pPr>
        <w:spacing w:line="360" w:lineRule="auto"/>
        <w:rPr>
          <w:lang w:eastAsia="en-GB"/>
        </w:rPr>
      </w:pPr>
      <w:r>
        <w:rPr>
          <w:rFonts w:ascii="Arial" w:hAnsi="Arial" w:cs="Arial"/>
          <w:sz w:val="22"/>
          <w:szCs w:val="22"/>
        </w:rPr>
        <w:t>Department of Health (2001) Valuing people: a new strategy for learning disability for the 21st century. London: The Stationery Office.</w:t>
      </w:r>
    </w:p>
    <w:p w14:paraId="5736A033" w14:textId="77777777" w:rsidR="00552B7B" w:rsidRDefault="00552B7B">
      <w:pPr>
        <w:spacing w:line="360" w:lineRule="auto"/>
        <w:rPr>
          <w:lang w:eastAsia="en-GB"/>
        </w:rPr>
      </w:pPr>
      <w:r>
        <w:rPr>
          <w:rFonts w:ascii="Arial" w:hAnsi="Arial" w:cs="Arial"/>
          <w:sz w:val="22"/>
          <w:szCs w:val="22"/>
        </w:rPr>
        <w:t>Department of Health (2009) Valuing people now: a three-year strategy for people with learning disabilities. London: Department of Health.</w:t>
      </w:r>
    </w:p>
    <w:p w14:paraId="66FAE148" w14:textId="77777777" w:rsidR="00552B7B" w:rsidRDefault="00552B7B">
      <w:pPr>
        <w:spacing w:line="360" w:lineRule="auto"/>
        <w:rPr>
          <w:lang w:eastAsia="en-GB"/>
        </w:rPr>
      </w:pPr>
      <w:r>
        <w:rPr>
          <w:rFonts w:ascii="Arial" w:hAnsi="Arial" w:cs="Arial"/>
          <w:sz w:val="22"/>
          <w:szCs w:val="22"/>
        </w:rPr>
        <w:t xml:space="preserve">Department of Health and Social Care (2025) Oral health survey of </w:t>
      </w:r>
      <w:proofErr w:type="gramStart"/>
      <w:r>
        <w:rPr>
          <w:rFonts w:ascii="Arial" w:hAnsi="Arial" w:cs="Arial"/>
          <w:sz w:val="22"/>
          <w:szCs w:val="22"/>
        </w:rPr>
        <w:t>5</w:t>
      </w:r>
      <w:proofErr w:type="gramEnd"/>
      <w:r>
        <w:rPr>
          <w:rFonts w:ascii="Cambria Math" w:hAnsi="Cambria Math"/>
          <w:sz w:val="22"/>
          <w:szCs w:val="22"/>
        </w:rPr>
        <w:noBreakHyphen/>
      </w:r>
      <w:r>
        <w:rPr>
          <w:rFonts w:ascii="Arial" w:hAnsi="Arial" w:cs="Arial"/>
          <w:sz w:val="22"/>
          <w:szCs w:val="22"/>
        </w:rPr>
        <w:t>year</w:t>
      </w:r>
      <w:r>
        <w:rPr>
          <w:rFonts w:ascii="Cambria Math" w:hAnsi="Cambria Math"/>
          <w:sz w:val="22"/>
          <w:szCs w:val="22"/>
        </w:rPr>
        <w:noBreakHyphen/>
      </w:r>
      <w:r>
        <w:rPr>
          <w:rFonts w:ascii="Arial" w:hAnsi="Arial" w:cs="Arial"/>
          <w:sz w:val="22"/>
          <w:szCs w:val="22"/>
        </w:rPr>
        <w:t>old schoolchildren 2024: England. National Dental Epidemiology Programme. Available aJhttps://www.gov.uk/government/statistics/oral-health-survey-of-5-year-old-schoolchildren-2024 (Accessed 08 June 2026).</w:t>
      </w:r>
    </w:p>
    <w:p w14:paraId="21CFEBD9" w14:textId="77777777" w:rsidR="00552B7B" w:rsidRDefault="00552B7B">
      <w:pPr>
        <w:spacing w:line="360" w:lineRule="auto"/>
        <w:rPr>
          <w:lang w:eastAsia="en-GB"/>
        </w:rPr>
      </w:pPr>
      <w:r>
        <w:rPr>
          <w:rFonts w:ascii="Arial" w:hAnsi="Arial" w:cs="Arial"/>
          <w:sz w:val="22"/>
          <w:szCs w:val="22"/>
        </w:rPr>
        <w:t>Glasby, J. (2026) Understanding health and social care. Fourth edition. Bristol: Policy Press.</w:t>
      </w:r>
    </w:p>
    <w:p w14:paraId="099D30B1" w14:textId="77777777" w:rsidR="00552B7B" w:rsidRDefault="00552B7B">
      <w:pPr>
        <w:spacing w:line="360" w:lineRule="auto"/>
        <w:rPr>
          <w:lang w:eastAsia="en-GB"/>
        </w:rPr>
      </w:pPr>
      <w:r>
        <w:rPr>
          <w:rFonts w:ascii="Arial" w:hAnsi="Arial" w:cs="Arial"/>
          <w:sz w:val="22"/>
          <w:szCs w:val="22"/>
        </w:rPr>
        <w:t>Glasby, J. and Dickinson, H. (2014) Partnership working in health and social care: what is integrated care and how can we deliver it? Second edition. Bristol: Policy Press.</w:t>
      </w:r>
    </w:p>
    <w:p w14:paraId="525C4DB3" w14:textId="77777777" w:rsidR="00552B7B" w:rsidRDefault="00552B7B">
      <w:pPr>
        <w:spacing w:line="360" w:lineRule="auto"/>
        <w:rPr>
          <w:lang w:eastAsia="en-GB"/>
        </w:rPr>
      </w:pPr>
      <w:r>
        <w:rPr>
          <w:rFonts w:ascii="Arial" w:hAnsi="Arial" w:cs="Arial"/>
          <w:sz w:val="22"/>
          <w:szCs w:val="22"/>
        </w:rPr>
        <w:t>NCBI (2016) Organisation of NHS dentistry in primary care. National Centre for Biotechnology Information. Available at: https://www.ncbi.nlm.nih.gov/books/NBK378807/ (Accessed 08June 2026).</w:t>
      </w:r>
    </w:p>
    <w:p w14:paraId="76B90CAE" w14:textId="77777777" w:rsidR="00552B7B" w:rsidRDefault="00552B7B">
      <w:pPr>
        <w:spacing w:line="360" w:lineRule="auto"/>
        <w:rPr>
          <w:lang w:eastAsia="en-GB"/>
        </w:rPr>
      </w:pPr>
      <w:r>
        <w:rPr>
          <w:rFonts w:ascii="Arial" w:hAnsi="Arial" w:cs="Arial"/>
          <w:sz w:val="22"/>
          <w:szCs w:val="22"/>
        </w:rPr>
        <w:t>NHS Digital (2022) Children's Dental Health Survey 2022. Available at: https://digital.nhs.uk/data-and-information/publications/statistical/children-s-dental-health-survey (Accessed: 08 June 2026).</w:t>
      </w:r>
    </w:p>
    <w:p w14:paraId="4C3A7292" w14:textId="77777777" w:rsidR="00552B7B" w:rsidRDefault="00552B7B">
      <w:pPr>
        <w:spacing w:line="360" w:lineRule="auto"/>
        <w:rPr>
          <w:lang w:eastAsia="en-GB"/>
        </w:rPr>
      </w:pPr>
      <w:r>
        <w:rPr>
          <w:rFonts w:ascii="Arial" w:hAnsi="Arial" w:cs="Arial"/>
          <w:sz w:val="22"/>
          <w:szCs w:val="22"/>
        </w:rPr>
        <w:t>NHS England (2023) NHS Dental Statistics for England, 2022–23. Available at: england.nhs.uk/statistics</w:t>
      </w:r>
    </w:p>
    <w:p w14:paraId="79ACD217" w14:textId="77777777" w:rsidR="00552B7B" w:rsidRDefault="00552B7B">
      <w:pPr>
        <w:spacing w:line="360" w:lineRule="auto"/>
        <w:rPr>
          <w:lang w:eastAsia="en-GB"/>
        </w:rPr>
      </w:pPr>
      <w:r>
        <w:rPr>
          <w:rFonts w:ascii="Arial" w:hAnsi="Arial" w:cs="Arial"/>
          <w:sz w:val="22"/>
          <w:szCs w:val="22"/>
        </w:rPr>
        <w:t>Office for Health Improvement and Disparities (2021) Inequalities in oral health in England. Public Health England. Available at: https://www.gov.uk/government/publications/inequalities-in-oral-health-in-england (Accessed 08 June 2026)</w:t>
      </w:r>
    </w:p>
    <w:p w14:paraId="27234F59" w14:textId="77777777" w:rsidR="00552B7B" w:rsidRDefault="00552B7B">
      <w:pPr>
        <w:spacing w:line="360" w:lineRule="auto"/>
        <w:rPr>
          <w:lang w:eastAsia="en-GB"/>
        </w:rPr>
      </w:pPr>
      <w:r>
        <w:rPr>
          <w:rFonts w:ascii="Arial" w:hAnsi="Arial" w:cs="Arial"/>
          <w:sz w:val="22"/>
          <w:szCs w:val="22"/>
        </w:rPr>
        <w:lastRenderedPageBreak/>
        <w:t>Royal College of Paediatrics and Child Health (2025) Briefing: oral health inequalities in young children. Available at: https://www.rcpch.ac.uk/news-events/news/rcpch-responds-alarming-health-inqualities-oral-health-young-children (Accessed 08 June 2026</w:t>
      </w:r>
    </w:p>
    <w:p w14:paraId="3693414A" w14:textId="77777777" w:rsidR="00552B7B" w:rsidRDefault="00552B7B">
      <w:pPr>
        <w:spacing w:line="360" w:lineRule="auto"/>
        <w:rPr>
          <w:lang w:eastAsia="en-GB"/>
        </w:rPr>
      </w:pPr>
      <w:r>
        <w:rPr>
          <w:rFonts w:ascii="Arial" w:hAnsi="Arial" w:cs="Arial"/>
          <w:sz w:val="22"/>
          <w:szCs w:val="22"/>
        </w:rPr>
        <w:t>Salt, T. (2021) Towards outstanding: a guide to excellence in health and social care. West Sussex: Pavilion Publishing and Media Ltd.</w:t>
      </w:r>
    </w:p>
    <w:p w14:paraId="4B685878" w14:textId="77777777" w:rsidR="00552B7B" w:rsidRDefault="00552B7B">
      <w:pPr>
        <w:spacing w:line="360" w:lineRule="auto"/>
        <w:rPr>
          <w:lang w:eastAsia="en-GB"/>
        </w:rPr>
      </w:pPr>
      <w:r>
        <w:rPr>
          <w:rFonts w:ascii="Arial" w:hAnsi="Arial" w:cs="Arial"/>
          <w:sz w:val="22"/>
          <w:szCs w:val="22"/>
        </w:rPr>
        <w:t>The King’s Fund (2023) NHS dentistry in England explained. Available at: https://www.kingsfund.org.uk/insight-and-analysis/long-reads/dentistry-england-explained (Accessed 07June 2026).</w:t>
      </w:r>
    </w:p>
    <w:p w14:paraId="0753ED63" w14:textId="77777777" w:rsidR="00552B7B" w:rsidRDefault="00552B7B">
      <w:pPr>
        <w:spacing w:line="360" w:lineRule="auto"/>
        <w:rPr>
          <w:lang w:eastAsia="en-GB"/>
        </w:rPr>
      </w:pPr>
      <w:r>
        <w:rPr>
          <w:rFonts w:ascii="Arial" w:hAnsi="Arial" w:cs="Arial"/>
          <w:sz w:val="22"/>
          <w:szCs w:val="22"/>
        </w:rPr>
        <w:t>Towers, C. (2023) ‘Engaging vulnerable groups’, in Barnard, A., Calabria, V. and Griffiths, L. (eds) Key themes in health and social care: a companion to learning. second edition. London: Routledge.</w:t>
      </w:r>
    </w:p>
    <w:p w14:paraId="60B79D27" w14:textId="3D522E5B" w:rsidR="003A1A15" w:rsidRPr="00521C3A" w:rsidRDefault="00552B7B" w:rsidP="00701ABC">
      <w:pPr>
        <w:spacing w:line="360" w:lineRule="auto"/>
        <w:rPr>
          <w:lang w:eastAsia="en-GB"/>
        </w:rPr>
        <w:sectPr w:rsidR="003A1A15" w:rsidRPr="00521C3A" w:rsidSect="006837C5">
          <w:pgSz w:w="11906" w:h="16838"/>
          <w:pgMar w:top="1440" w:right="1440" w:bottom="1440" w:left="1440" w:header="708" w:footer="708" w:gutter="0"/>
          <w:pgNumType w:start="0"/>
          <w:cols w:space="708"/>
          <w:titlePg/>
          <w:docGrid w:linePitch="360"/>
        </w:sectPr>
      </w:pPr>
      <w:r>
        <w:rPr>
          <w:rFonts w:ascii="Arial" w:hAnsi="Arial" w:cs="Arial"/>
          <w:sz w:val="22"/>
          <w:szCs w:val="22"/>
        </w:rPr>
        <w:t xml:space="preserve">Tunbridge Wells Dental Care (no date) NHS dentist – Tunbridge Wells Dental Care. Available at: https://www.tunbridgewellsdental.co.uk/nhs-dentist/ (Accessed 19 </w:t>
      </w:r>
      <w:proofErr w:type="gramStart"/>
      <w:r>
        <w:rPr>
          <w:rFonts w:ascii="Arial" w:hAnsi="Arial" w:cs="Arial"/>
          <w:sz w:val="22"/>
          <w:szCs w:val="22"/>
        </w:rPr>
        <w:t xml:space="preserve">June </w:t>
      </w:r>
      <w:r w:rsidR="00521C3A">
        <w:rPr>
          <w:rFonts w:ascii="Arial" w:hAnsi="Arial" w:cs="Arial"/>
          <w:sz w:val="22"/>
          <w:szCs w:val="22"/>
        </w:rPr>
        <w:t xml:space="preserve"> 2026</w:t>
      </w:r>
      <w:proofErr w:type="gramEnd"/>
    </w:p>
    <w:p w14:paraId="0E2161DB" w14:textId="0CA4E2BF" w:rsidR="00331E32" w:rsidRDefault="00331E32" w:rsidP="0054337B">
      <w:pPr>
        <w:spacing w:line="360" w:lineRule="auto"/>
        <w:rPr>
          <w:rFonts w:ascii="Arial" w:hAnsi="Arial" w:cs="Arial"/>
          <w:sz w:val="22"/>
          <w:szCs w:val="22"/>
        </w:rPr>
        <w:sectPr w:rsidR="00331E32" w:rsidSect="0056370B">
          <w:pgSz w:w="16838" w:h="11906" w:orient="landscape"/>
          <w:pgMar w:top="1440" w:right="1440" w:bottom="1440" w:left="1440" w:header="708" w:footer="708" w:gutter="0"/>
          <w:cols w:num="3" w:space="708"/>
          <w:docGrid w:linePitch="360"/>
        </w:sectPr>
      </w:pPr>
    </w:p>
    <w:p w14:paraId="33F1CC1E" w14:textId="25E507DC" w:rsidR="006E0624" w:rsidRDefault="006E0624" w:rsidP="000C7928"/>
    <w:sectPr w:rsidR="006E0624" w:rsidSect="006E0624">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3"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8D18AB" w14:textId="77777777" w:rsidR="0037142C" w:rsidRDefault="0037142C" w:rsidP="00D04B19">
      <w:pPr>
        <w:spacing w:after="0" w:line="240" w:lineRule="auto"/>
      </w:pPr>
      <w:r>
        <w:separator/>
      </w:r>
    </w:p>
  </w:endnote>
  <w:endnote w:type="continuationSeparator" w:id="0">
    <w:p w14:paraId="148E367F" w14:textId="77777777" w:rsidR="0037142C" w:rsidRDefault="0037142C" w:rsidP="00D04B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4A2234" w14:textId="77777777" w:rsidR="0037142C" w:rsidRDefault="0037142C" w:rsidP="00D04B19">
      <w:pPr>
        <w:spacing w:after="0" w:line="240" w:lineRule="auto"/>
      </w:pPr>
      <w:r>
        <w:separator/>
      </w:r>
    </w:p>
  </w:footnote>
  <w:footnote w:type="continuationSeparator" w:id="0">
    <w:p w14:paraId="7180A972" w14:textId="77777777" w:rsidR="0037142C" w:rsidRDefault="0037142C" w:rsidP="00D04B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08686F"/>
    <w:multiLevelType w:val="multilevel"/>
    <w:tmpl w:val="95485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8B7C66"/>
    <w:multiLevelType w:val="hybridMultilevel"/>
    <w:tmpl w:val="66F8A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662998">
    <w:abstractNumId w:val="1"/>
  </w:num>
  <w:num w:numId="2" w16cid:durableId="648024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83D"/>
    <w:rsid w:val="0007360A"/>
    <w:rsid w:val="0008557B"/>
    <w:rsid w:val="00091633"/>
    <w:rsid w:val="000A342C"/>
    <w:rsid w:val="000C20DC"/>
    <w:rsid w:val="000C44A1"/>
    <w:rsid w:val="000C7928"/>
    <w:rsid w:val="000D3832"/>
    <w:rsid w:val="001040B3"/>
    <w:rsid w:val="00124751"/>
    <w:rsid w:val="00140CA5"/>
    <w:rsid w:val="001463BE"/>
    <w:rsid w:val="00154372"/>
    <w:rsid w:val="00156C1E"/>
    <w:rsid w:val="001826C8"/>
    <w:rsid w:val="0019730A"/>
    <w:rsid w:val="001A1FDB"/>
    <w:rsid w:val="001B6FDB"/>
    <w:rsid w:val="001C2121"/>
    <w:rsid w:val="001C450C"/>
    <w:rsid w:val="001C7CD3"/>
    <w:rsid w:val="001D0B45"/>
    <w:rsid w:val="001E27AD"/>
    <w:rsid w:val="001E63EC"/>
    <w:rsid w:val="001F2CA0"/>
    <w:rsid w:val="001F78DC"/>
    <w:rsid w:val="00203068"/>
    <w:rsid w:val="00205042"/>
    <w:rsid w:val="0021306C"/>
    <w:rsid w:val="002311E5"/>
    <w:rsid w:val="002312B4"/>
    <w:rsid w:val="002354EE"/>
    <w:rsid w:val="00235737"/>
    <w:rsid w:val="00244A35"/>
    <w:rsid w:val="00247856"/>
    <w:rsid w:val="0025472E"/>
    <w:rsid w:val="00256B99"/>
    <w:rsid w:val="00264BAC"/>
    <w:rsid w:val="002663ED"/>
    <w:rsid w:val="002848DE"/>
    <w:rsid w:val="002930B8"/>
    <w:rsid w:val="002D019B"/>
    <w:rsid w:val="002D2559"/>
    <w:rsid w:val="002E49E8"/>
    <w:rsid w:val="00301E64"/>
    <w:rsid w:val="0031242E"/>
    <w:rsid w:val="00315F2E"/>
    <w:rsid w:val="00317E5C"/>
    <w:rsid w:val="00331E32"/>
    <w:rsid w:val="0033479B"/>
    <w:rsid w:val="00335CC8"/>
    <w:rsid w:val="003425AF"/>
    <w:rsid w:val="003512DD"/>
    <w:rsid w:val="003612EB"/>
    <w:rsid w:val="0037142C"/>
    <w:rsid w:val="003724D7"/>
    <w:rsid w:val="00390782"/>
    <w:rsid w:val="00391E2A"/>
    <w:rsid w:val="00394524"/>
    <w:rsid w:val="00395109"/>
    <w:rsid w:val="003A1A15"/>
    <w:rsid w:val="003C1019"/>
    <w:rsid w:val="003C6218"/>
    <w:rsid w:val="003E00F5"/>
    <w:rsid w:val="00412ABB"/>
    <w:rsid w:val="00430646"/>
    <w:rsid w:val="00445F3C"/>
    <w:rsid w:val="0044606D"/>
    <w:rsid w:val="004463D0"/>
    <w:rsid w:val="0045228C"/>
    <w:rsid w:val="004655B4"/>
    <w:rsid w:val="004662F3"/>
    <w:rsid w:val="00485B43"/>
    <w:rsid w:val="004A7451"/>
    <w:rsid w:val="004B1659"/>
    <w:rsid w:val="004C2BFE"/>
    <w:rsid w:val="004D3484"/>
    <w:rsid w:val="004F5035"/>
    <w:rsid w:val="004F63A1"/>
    <w:rsid w:val="00513829"/>
    <w:rsid w:val="00521C3A"/>
    <w:rsid w:val="0052271B"/>
    <w:rsid w:val="0054337B"/>
    <w:rsid w:val="005461D8"/>
    <w:rsid w:val="00552A79"/>
    <w:rsid w:val="00552B7B"/>
    <w:rsid w:val="0056370B"/>
    <w:rsid w:val="005649CF"/>
    <w:rsid w:val="005726C8"/>
    <w:rsid w:val="0057591F"/>
    <w:rsid w:val="00586EBA"/>
    <w:rsid w:val="00597CF1"/>
    <w:rsid w:val="005C218E"/>
    <w:rsid w:val="005D2238"/>
    <w:rsid w:val="005E0AB4"/>
    <w:rsid w:val="005E1186"/>
    <w:rsid w:val="005E5CC2"/>
    <w:rsid w:val="005E66A8"/>
    <w:rsid w:val="005F0B44"/>
    <w:rsid w:val="005F1704"/>
    <w:rsid w:val="005F443F"/>
    <w:rsid w:val="005F5CD8"/>
    <w:rsid w:val="006041C3"/>
    <w:rsid w:val="00613B0E"/>
    <w:rsid w:val="00627018"/>
    <w:rsid w:val="0063314F"/>
    <w:rsid w:val="006374EA"/>
    <w:rsid w:val="006837C5"/>
    <w:rsid w:val="006A0BD8"/>
    <w:rsid w:val="006A1B5E"/>
    <w:rsid w:val="006E0624"/>
    <w:rsid w:val="006F46FA"/>
    <w:rsid w:val="006F4E31"/>
    <w:rsid w:val="00701ABC"/>
    <w:rsid w:val="00704B1B"/>
    <w:rsid w:val="00725000"/>
    <w:rsid w:val="0073550D"/>
    <w:rsid w:val="00753658"/>
    <w:rsid w:val="00753EE9"/>
    <w:rsid w:val="00755D22"/>
    <w:rsid w:val="00757E8D"/>
    <w:rsid w:val="00763A0D"/>
    <w:rsid w:val="00777045"/>
    <w:rsid w:val="007774D0"/>
    <w:rsid w:val="00783FF9"/>
    <w:rsid w:val="007935C3"/>
    <w:rsid w:val="007A6DF6"/>
    <w:rsid w:val="007B1AB9"/>
    <w:rsid w:val="007C13F7"/>
    <w:rsid w:val="007C6032"/>
    <w:rsid w:val="007D69FF"/>
    <w:rsid w:val="007D7CDA"/>
    <w:rsid w:val="0080554A"/>
    <w:rsid w:val="00816EF6"/>
    <w:rsid w:val="008447C0"/>
    <w:rsid w:val="00860A30"/>
    <w:rsid w:val="008673A8"/>
    <w:rsid w:val="008761D3"/>
    <w:rsid w:val="008824D8"/>
    <w:rsid w:val="00884556"/>
    <w:rsid w:val="00887BD6"/>
    <w:rsid w:val="00890224"/>
    <w:rsid w:val="0089362A"/>
    <w:rsid w:val="008971B9"/>
    <w:rsid w:val="008973FD"/>
    <w:rsid w:val="008A0FFD"/>
    <w:rsid w:val="008A6051"/>
    <w:rsid w:val="008B6550"/>
    <w:rsid w:val="008B7280"/>
    <w:rsid w:val="008C5EEC"/>
    <w:rsid w:val="008C6411"/>
    <w:rsid w:val="008D2BEB"/>
    <w:rsid w:val="008D4C13"/>
    <w:rsid w:val="008E1D90"/>
    <w:rsid w:val="008E7054"/>
    <w:rsid w:val="00915723"/>
    <w:rsid w:val="00916FFD"/>
    <w:rsid w:val="0091726F"/>
    <w:rsid w:val="00937A55"/>
    <w:rsid w:val="00951055"/>
    <w:rsid w:val="00957551"/>
    <w:rsid w:val="00962139"/>
    <w:rsid w:val="0097238F"/>
    <w:rsid w:val="00983258"/>
    <w:rsid w:val="009915FD"/>
    <w:rsid w:val="009925C4"/>
    <w:rsid w:val="00992DC2"/>
    <w:rsid w:val="009C1E8F"/>
    <w:rsid w:val="009C307E"/>
    <w:rsid w:val="009C364F"/>
    <w:rsid w:val="009D1CB2"/>
    <w:rsid w:val="009D4351"/>
    <w:rsid w:val="009D73F2"/>
    <w:rsid w:val="009E5F0B"/>
    <w:rsid w:val="00A049EC"/>
    <w:rsid w:val="00A077D0"/>
    <w:rsid w:val="00A21517"/>
    <w:rsid w:val="00A403E7"/>
    <w:rsid w:val="00A53844"/>
    <w:rsid w:val="00A54491"/>
    <w:rsid w:val="00A55219"/>
    <w:rsid w:val="00A7165E"/>
    <w:rsid w:val="00A72275"/>
    <w:rsid w:val="00A766BC"/>
    <w:rsid w:val="00A825D2"/>
    <w:rsid w:val="00A93D6D"/>
    <w:rsid w:val="00AA13A6"/>
    <w:rsid w:val="00AB0D0D"/>
    <w:rsid w:val="00AB2865"/>
    <w:rsid w:val="00AC2734"/>
    <w:rsid w:val="00AD1154"/>
    <w:rsid w:val="00AE3900"/>
    <w:rsid w:val="00AF07B0"/>
    <w:rsid w:val="00AF106B"/>
    <w:rsid w:val="00B144C0"/>
    <w:rsid w:val="00B2545A"/>
    <w:rsid w:val="00B33ACE"/>
    <w:rsid w:val="00B33EC2"/>
    <w:rsid w:val="00B45FC4"/>
    <w:rsid w:val="00B46D49"/>
    <w:rsid w:val="00B52A97"/>
    <w:rsid w:val="00B61834"/>
    <w:rsid w:val="00B679D6"/>
    <w:rsid w:val="00B755B5"/>
    <w:rsid w:val="00B77968"/>
    <w:rsid w:val="00B84DAE"/>
    <w:rsid w:val="00B8512A"/>
    <w:rsid w:val="00BA7D23"/>
    <w:rsid w:val="00BB1DFC"/>
    <w:rsid w:val="00BC483D"/>
    <w:rsid w:val="00BE49DC"/>
    <w:rsid w:val="00BE7311"/>
    <w:rsid w:val="00BF4036"/>
    <w:rsid w:val="00BF70AF"/>
    <w:rsid w:val="00C060C4"/>
    <w:rsid w:val="00C21D79"/>
    <w:rsid w:val="00C30BEC"/>
    <w:rsid w:val="00C31C3F"/>
    <w:rsid w:val="00C4064C"/>
    <w:rsid w:val="00C45404"/>
    <w:rsid w:val="00C57A07"/>
    <w:rsid w:val="00C61C6B"/>
    <w:rsid w:val="00C745FC"/>
    <w:rsid w:val="00C855A6"/>
    <w:rsid w:val="00C87C33"/>
    <w:rsid w:val="00CA3B13"/>
    <w:rsid w:val="00CC3D00"/>
    <w:rsid w:val="00CE6C74"/>
    <w:rsid w:val="00CE70F6"/>
    <w:rsid w:val="00CF3A92"/>
    <w:rsid w:val="00D04B19"/>
    <w:rsid w:val="00D0704B"/>
    <w:rsid w:val="00D170E7"/>
    <w:rsid w:val="00D34322"/>
    <w:rsid w:val="00D37A94"/>
    <w:rsid w:val="00D4177E"/>
    <w:rsid w:val="00D4670C"/>
    <w:rsid w:val="00D46955"/>
    <w:rsid w:val="00D536B2"/>
    <w:rsid w:val="00D73EBA"/>
    <w:rsid w:val="00D77A1B"/>
    <w:rsid w:val="00D77D5D"/>
    <w:rsid w:val="00D85115"/>
    <w:rsid w:val="00D92407"/>
    <w:rsid w:val="00D93F50"/>
    <w:rsid w:val="00D962DB"/>
    <w:rsid w:val="00DA7437"/>
    <w:rsid w:val="00DB079D"/>
    <w:rsid w:val="00DD51D5"/>
    <w:rsid w:val="00DF340D"/>
    <w:rsid w:val="00E038C0"/>
    <w:rsid w:val="00E05FC1"/>
    <w:rsid w:val="00E32EC2"/>
    <w:rsid w:val="00E54FAF"/>
    <w:rsid w:val="00E60FF2"/>
    <w:rsid w:val="00E717AE"/>
    <w:rsid w:val="00E75AA4"/>
    <w:rsid w:val="00EA6434"/>
    <w:rsid w:val="00EC0D1B"/>
    <w:rsid w:val="00EC2592"/>
    <w:rsid w:val="00EE61DB"/>
    <w:rsid w:val="00EE6A4B"/>
    <w:rsid w:val="00EE6CA2"/>
    <w:rsid w:val="00EF256C"/>
    <w:rsid w:val="00F44285"/>
    <w:rsid w:val="00F50BDD"/>
    <w:rsid w:val="00F717D4"/>
    <w:rsid w:val="00F75AAC"/>
    <w:rsid w:val="00F80242"/>
    <w:rsid w:val="00F80544"/>
    <w:rsid w:val="00F96EF7"/>
    <w:rsid w:val="00F97B56"/>
    <w:rsid w:val="00FA195B"/>
    <w:rsid w:val="00FA6757"/>
    <w:rsid w:val="00FB31E8"/>
    <w:rsid w:val="00FB628B"/>
    <w:rsid w:val="00FC2012"/>
    <w:rsid w:val="00FE0D9D"/>
    <w:rsid w:val="00FE707A"/>
    <w:rsid w:val="00FF7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95F85"/>
  <w15:chartTrackingRefBased/>
  <w15:docId w15:val="{AAABF0CD-CAF4-4F3E-8D19-E8B7FB4C3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48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48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48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48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48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48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48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48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48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8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48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48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48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48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48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48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48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483D"/>
    <w:rPr>
      <w:rFonts w:eastAsiaTheme="majorEastAsia" w:cstheme="majorBidi"/>
      <w:color w:val="272727" w:themeColor="text1" w:themeTint="D8"/>
    </w:rPr>
  </w:style>
  <w:style w:type="paragraph" w:styleId="Title">
    <w:name w:val="Title"/>
    <w:basedOn w:val="Normal"/>
    <w:next w:val="Normal"/>
    <w:link w:val="TitleChar"/>
    <w:uiPriority w:val="10"/>
    <w:qFormat/>
    <w:rsid w:val="00BC48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48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48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48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483D"/>
    <w:pPr>
      <w:spacing w:before="160"/>
      <w:jc w:val="center"/>
    </w:pPr>
    <w:rPr>
      <w:i/>
      <w:iCs/>
      <w:color w:val="404040" w:themeColor="text1" w:themeTint="BF"/>
    </w:rPr>
  </w:style>
  <w:style w:type="character" w:customStyle="1" w:styleId="QuoteChar">
    <w:name w:val="Quote Char"/>
    <w:basedOn w:val="DefaultParagraphFont"/>
    <w:link w:val="Quote"/>
    <w:uiPriority w:val="29"/>
    <w:rsid w:val="00BC483D"/>
    <w:rPr>
      <w:i/>
      <w:iCs/>
      <w:color w:val="404040" w:themeColor="text1" w:themeTint="BF"/>
    </w:rPr>
  </w:style>
  <w:style w:type="paragraph" w:styleId="ListParagraph">
    <w:name w:val="List Paragraph"/>
    <w:basedOn w:val="Normal"/>
    <w:uiPriority w:val="34"/>
    <w:qFormat/>
    <w:rsid w:val="00BC483D"/>
    <w:pPr>
      <w:ind w:left="720"/>
      <w:contextualSpacing/>
    </w:pPr>
  </w:style>
  <w:style w:type="character" w:styleId="IntenseEmphasis">
    <w:name w:val="Intense Emphasis"/>
    <w:basedOn w:val="DefaultParagraphFont"/>
    <w:uiPriority w:val="21"/>
    <w:qFormat/>
    <w:rsid w:val="00BC483D"/>
    <w:rPr>
      <w:i/>
      <w:iCs/>
      <w:color w:val="0F4761" w:themeColor="accent1" w:themeShade="BF"/>
    </w:rPr>
  </w:style>
  <w:style w:type="paragraph" w:styleId="IntenseQuote">
    <w:name w:val="Intense Quote"/>
    <w:basedOn w:val="Normal"/>
    <w:next w:val="Normal"/>
    <w:link w:val="IntenseQuoteChar"/>
    <w:uiPriority w:val="30"/>
    <w:qFormat/>
    <w:rsid w:val="00BC48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483D"/>
    <w:rPr>
      <w:i/>
      <w:iCs/>
      <w:color w:val="0F4761" w:themeColor="accent1" w:themeShade="BF"/>
    </w:rPr>
  </w:style>
  <w:style w:type="character" w:styleId="IntenseReference">
    <w:name w:val="Intense Reference"/>
    <w:basedOn w:val="DefaultParagraphFont"/>
    <w:uiPriority w:val="32"/>
    <w:qFormat/>
    <w:rsid w:val="00BC483D"/>
    <w:rPr>
      <w:b/>
      <w:bCs/>
      <w:smallCaps/>
      <w:color w:val="0F4761" w:themeColor="accent1" w:themeShade="BF"/>
      <w:spacing w:val="5"/>
    </w:rPr>
  </w:style>
  <w:style w:type="table" w:customStyle="1" w:styleId="TableGrid">
    <w:name w:val="TableGrid"/>
    <w:rsid w:val="0025472E"/>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156C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2">
    <w:name w:val="Grid Table 2 Accent 2"/>
    <w:basedOn w:val="TableNormal"/>
    <w:uiPriority w:val="47"/>
    <w:rsid w:val="00D77D5D"/>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5">
    <w:name w:val="Grid Table 4 Accent 5"/>
    <w:basedOn w:val="TableNormal"/>
    <w:uiPriority w:val="49"/>
    <w:rsid w:val="00D77D5D"/>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2">
    <w:name w:val="Grid Table 4 Accent 2"/>
    <w:basedOn w:val="TableNormal"/>
    <w:uiPriority w:val="49"/>
    <w:rsid w:val="00D77D5D"/>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Header">
    <w:name w:val="header"/>
    <w:basedOn w:val="Normal"/>
    <w:link w:val="HeaderChar"/>
    <w:uiPriority w:val="99"/>
    <w:unhideWhenUsed/>
    <w:rsid w:val="00D04B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B19"/>
  </w:style>
  <w:style w:type="paragraph" w:styleId="Footer">
    <w:name w:val="footer"/>
    <w:basedOn w:val="Normal"/>
    <w:link w:val="FooterChar"/>
    <w:uiPriority w:val="99"/>
    <w:unhideWhenUsed/>
    <w:rsid w:val="00D04B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B19"/>
  </w:style>
  <w:style w:type="character" w:styleId="Hyperlink">
    <w:name w:val="Hyperlink"/>
    <w:basedOn w:val="DefaultParagraphFont"/>
    <w:uiPriority w:val="99"/>
    <w:unhideWhenUsed/>
    <w:rsid w:val="006041C3"/>
    <w:rPr>
      <w:color w:val="467886" w:themeColor="hyperlink"/>
      <w:u w:val="single"/>
    </w:rPr>
  </w:style>
  <w:style w:type="character" w:styleId="UnresolvedMention">
    <w:name w:val="Unresolved Mention"/>
    <w:basedOn w:val="DefaultParagraphFont"/>
    <w:uiPriority w:val="99"/>
    <w:semiHidden/>
    <w:unhideWhenUsed/>
    <w:rsid w:val="006041C3"/>
    <w:rPr>
      <w:color w:val="605E5C"/>
      <w:shd w:val="clear" w:color="auto" w:fill="E1DFDD"/>
    </w:rPr>
  </w:style>
  <w:style w:type="paragraph" w:styleId="NoSpacing">
    <w:name w:val="No Spacing"/>
    <w:link w:val="NoSpacingChar"/>
    <w:uiPriority w:val="1"/>
    <w:qFormat/>
    <w:rsid w:val="003C101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C1019"/>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chart" Target="charts/chart2.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adults</c:v>
                </c:pt>
              </c:strCache>
            </c:strRef>
          </c:tx>
          <c:spPr>
            <a:solidFill>
              <a:schemeClr val="accent6"/>
            </a:solidFill>
            <a:ln>
              <a:noFill/>
            </a:ln>
            <a:effectLst/>
          </c:spPr>
          <c:invertIfNegative val="0"/>
          <c:cat>
            <c:strRef>
              <c:f>Sheet1!$A$2:$A$3</c:f>
              <c:strCache>
                <c:ptCount val="2"/>
                <c:pt idx="0">
                  <c:v>Adults with unmet need</c:v>
                </c:pt>
                <c:pt idx="1">
                  <c:v>Adults without unmet need</c:v>
                </c:pt>
              </c:strCache>
            </c:strRef>
          </c:cat>
          <c:val>
            <c:numRef>
              <c:f>Sheet1!$B$2:$B$3</c:f>
              <c:numCache>
                <c:formatCode>General</c:formatCode>
                <c:ptCount val="2"/>
                <c:pt idx="0">
                  <c:v>13</c:v>
                </c:pt>
                <c:pt idx="1">
                  <c:v>33</c:v>
                </c:pt>
              </c:numCache>
            </c:numRef>
          </c:val>
          <c:extLst>
            <c:ext xmlns:c16="http://schemas.microsoft.com/office/drawing/2014/chart" uri="{C3380CC4-5D6E-409C-BE32-E72D297353CC}">
              <c16:uniqueId val="{00000000-5747-4C60-95FD-7B926DF1256C}"/>
            </c:ext>
          </c:extLst>
        </c:ser>
        <c:dLbls>
          <c:showLegendKey val="0"/>
          <c:showVal val="0"/>
          <c:showCatName val="0"/>
          <c:showSerName val="0"/>
          <c:showPercent val="0"/>
          <c:showBubbleSize val="0"/>
        </c:dLbls>
        <c:gapWidth val="219"/>
        <c:overlap val="-27"/>
        <c:axId val="1317375407"/>
        <c:axId val="1317374447"/>
      </c:barChart>
      <c:catAx>
        <c:axId val="13173754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7374447"/>
        <c:crosses val="autoZero"/>
        <c:auto val="1"/>
        <c:lblAlgn val="ctr"/>
        <c:lblOffset val="100"/>
        <c:noMultiLvlLbl val="0"/>
      </c:catAx>
      <c:valAx>
        <c:axId val="13173744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73754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US"/>
              <a:t>Tooth Decay in 5 year olds by Deprivation ( England) </a:t>
            </a:r>
          </a:p>
        </c:rich>
      </c:tx>
      <c:layout>
        <c:manualLayout>
          <c:xMode val="edge"/>
          <c:yMode val="edge"/>
          <c:x val="0.21225087924970693"/>
          <c:y val="5.4440285811500511E-2"/>
        </c:manualLayout>
      </c:layout>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Tooth Decay in 5 year olds by Deprivation ( England)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A81-4516-AFD3-F866BF5B596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A81-4516-AFD3-F866BF5B596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A81-4516-AFD3-F866BF5B596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A81-4516-AFD3-F866BF5B596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A81-4516-AFD3-F866BF5B596B}"/>
              </c:ext>
            </c:extLst>
          </c:dPt>
          <c:cat>
            <c:strRef>
              <c:f>Sheet1!$A$2:$A$6</c:f>
              <c:strCache>
                <c:ptCount val="5"/>
                <c:pt idx="0">
                  <c:v>Most Deprived </c:v>
                </c:pt>
                <c:pt idx="1">
                  <c:v>2nd Most Deprived </c:v>
                </c:pt>
                <c:pt idx="2">
                  <c:v>Middle </c:v>
                </c:pt>
                <c:pt idx="3">
                  <c:v>2nd Least Deprived</c:v>
                </c:pt>
                <c:pt idx="4">
                  <c:v>Least Deprived </c:v>
                </c:pt>
              </c:strCache>
            </c:strRef>
          </c:cat>
          <c:val>
            <c:numRef>
              <c:f>Sheet1!$B$2:$B$6</c:f>
              <c:numCache>
                <c:formatCode>General</c:formatCode>
                <c:ptCount val="5"/>
                <c:pt idx="0">
                  <c:v>35</c:v>
                </c:pt>
                <c:pt idx="1">
                  <c:v>26</c:v>
                </c:pt>
                <c:pt idx="2">
                  <c:v>22</c:v>
                </c:pt>
                <c:pt idx="3">
                  <c:v>14</c:v>
                </c:pt>
                <c:pt idx="4">
                  <c:v>3</c:v>
                </c:pt>
              </c:numCache>
            </c:numRef>
          </c:val>
          <c:extLst>
            <c:ext xmlns:c16="http://schemas.microsoft.com/office/drawing/2014/chart" uri="{C3380CC4-5D6E-409C-BE32-E72D297353CC}">
              <c16:uniqueId val="{0000000A-6A81-4516-AFD3-F866BF5B596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49E55DE-FDB9-4648-BAFB-2E78362A94B4}" type="doc">
      <dgm:prSet loTypeId="urn:microsoft.com/office/officeart/2005/8/layout/vList6" loCatId="list" qsTypeId="urn:microsoft.com/office/officeart/2005/8/quickstyle/simple1" qsCatId="simple" csTypeId="urn:microsoft.com/office/officeart/2005/8/colors/colorful2" csCatId="colorful" phldr="1"/>
      <dgm:spPr/>
      <dgm:t>
        <a:bodyPr/>
        <a:lstStyle/>
        <a:p>
          <a:endParaRPr lang="en-GB"/>
        </a:p>
      </dgm:t>
    </dgm:pt>
    <dgm:pt modelId="{12D16680-E78A-465B-8BCB-2AFE9E7020D2}">
      <dgm:prSet phldrT="[Text]"/>
      <dgm:spPr/>
      <dgm:t>
        <a:bodyPr/>
        <a:lstStyle/>
        <a:p>
          <a:r>
            <a:rPr lang="en-GB"/>
            <a:t>Registration </a:t>
          </a:r>
        </a:p>
      </dgm:t>
    </dgm:pt>
    <dgm:pt modelId="{1C8D0291-C9D0-4834-A3FB-90ED9FFA1CB5}" type="parTrans" cxnId="{01B8FB15-F2D7-4195-A506-B8A0A3F9D443}">
      <dgm:prSet/>
      <dgm:spPr/>
      <dgm:t>
        <a:bodyPr/>
        <a:lstStyle/>
        <a:p>
          <a:endParaRPr lang="en-GB"/>
        </a:p>
      </dgm:t>
    </dgm:pt>
    <dgm:pt modelId="{E0C810F6-ADD2-42F8-8285-D3641A60D195}" type="sibTrans" cxnId="{01B8FB15-F2D7-4195-A506-B8A0A3F9D443}">
      <dgm:prSet phldrT="01" phldr="0"/>
      <dgm:spPr/>
    </dgm:pt>
    <dgm:pt modelId="{180B23B3-F554-4DDB-A172-D8429D0B8364}">
      <dgm:prSet phldrT="[Text]"/>
      <dgm:spPr/>
      <dgm:t>
        <a:bodyPr/>
        <a:lstStyle/>
        <a:p>
          <a:pPr>
            <a:buNone/>
          </a:pPr>
          <a:r>
            <a:rPr lang="en-GB"/>
            <a:t>Patient registers with an NHS dental practice</a:t>
          </a:r>
        </a:p>
      </dgm:t>
    </dgm:pt>
    <dgm:pt modelId="{4CD8324C-7F63-4E29-AE6A-B9645E3CE8E5}" type="parTrans" cxnId="{B02C10C1-D81B-4D58-921A-B205E2ADAA28}">
      <dgm:prSet/>
      <dgm:spPr/>
      <dgm:t>
        <a:bodyPr/>
        <a:lstStyle/>
        <a:p>
          <a:endParaRPr lang="en-GB"/>
        </a:p>
      </dgm:t>
    </dgm:pt>
    <dgm:pt modelId="{7ABE8A8B-95DE-4024-9833-8EBEEF3620D7}" type="sibTrans" cxnId="{B02C10C1-D81B-4D58-921A-B205E2ADAA28}">
      <dgm:prSet/>
      <dgm:spPr/>
      <dgm:t>
        <a:bodyPr/>
        <a:lstStyle/>
        <a:p>
          <a:endParaRPr lang="en-GB"/>
        </a:p>
      </dgm:t>
    </dgm:pt>
    <dgm:pt modelId="{5E8880DF-F37B-423C-8D47-91D2E767A4D6}">
      <dgm:prSet phldrT="[Text]"/>
      <dgm:spPr/>
      <dgm:t>
        <a:bodyPr/>
        <a:lstStyle/>
        <a:p>
          <a:pPr>
            <a:buNone/>
          </a:pPr>
          <a:r>
            <a:rPr lang="en-GB"/>
            <a:t>Dentist assesses clinical need and urgency</a:t>
          </a:r>
        </a:p>
      </dgm:t>
    </dgm:pt>
    <dgm:pt modelId="{B36C8A81-ED42-4D8D-8D0B-D0AD3D2ABAA7}" type="parTrans" cxnId="{FACBC086-2AE1-46E3-8BD1-92FFEEE592D3}">
      <dgm:prSet/>
      <dgm:spPr/>
      <dgm:t>
        <a:bodyPr/>
        <a:lstStyle/>
        <a:p>
          <a:endParaRPr lang="en-GB"/>
        </a:p>
      </dgm:t>
    </dgm:pt>
    <dgm:pt modelId="{57799F11-13A6-4E41-B5B9-72F4E220783B}" type="sibTrans" cxnId="{FACBC086-2AE1-46E3-8BD1-92FFEEE592D3}">
      <dgm:prSet/>
      <dgm:spPr/>
      <dgm:t>
        <a:bodyPr/>
        <a:lstStyle/>
        <a:p>
          <a:endParaRPr lang="en-GB"/>
        </a:p>
      </dgm:t>
    </dgm:pt>
    <dgm:pt modelId="{62C502EB-B160-4F5C-B47C-052369D3218A}">
      <dgm:prSet phldrT="[Text]"/>
      <dgm:spPr/>
      <dgm:t>
        <a:bodyPr/>
        <a:lstStyle/>
        <a:p>
          <a:r>
            <a:rPr lang="en-GB"/>
            <a:t>Triage and Assessment </a:t>
          </a:r>
        </a:p>
      </dgm:t>
    </dgm:pt>
    <dgm:pt modelId="{495F413C-69E2-4D72-AC7F-1F593F7B565C}" type="sibTrans" cxnId="{C79D08E1-21F4-4349-AE62-98BA9C966C7F}">
      <dgm:prSet phldrT="02" phldr="0"/>
      <dgm:spPr/>
    </dgm:pt>
    <dgm:pt modelId="{4848CA3D-3C57-4B4E-8277-E30FA92AD5F4}" type="parTrans" cxnId="{C79D08E1-21F4-4349-AE62-98BA9C966C7F}">
      <dgm:prSet/>
      <dgm:spPr/>
      <dgm:t>
        <a:bodyPr/>
        <a:lstStyle/>
        <a:p>
          <a:endParaRPr lang="en-GB"/>
        </a:p>
      </dgm:t>
    </dgm:pt>
    <dgm:pt modelId="{995DD4EA-B472-4487-925D-F8C6C22C699A}">
      <dgm:prSet phldrT="[Text]"/>
      <dgm:spPr/>
      <dgm:t>
        <a:bodyPr/>
        <a:lstStyle/>
        <a:p>
          <a:r>
            <a:rPr lang="en-GB"/>
            <a:t>Treatment Plan </a:t>
          </a:r>
        </a:p>
      </dgm:t>
    </dgm:pt>
    <dgm:pt modelId="{B9C4B90B-4756-40B2-85B1-D625777716AE}" type="parTrans" cxnId="{551BE879-5506-461C-9E2D-BD0CA5833DDA}">
      <dgm:prSet/>
      <dgm:spPr/>
      <dgm:t>
        <a:bodyPr/>
        <a:lstStyle/>
        <a:p>
          <a:endParaRPr lang="en-GB"/>
        </a:p>
      </dgm:t>
    </dgm:pt>
    <dgm:pt modelId="{357EBEB6-4CEC-4849-AB7B-D7185BC82D2B}" type="sibTrans" cxnId="{551BE879-5506-461C-9E2D-BD0CA5833DDA}">
      <dgm:prSet/>
      <dgm:spPr/>
      <dgm:t>
        <a:bodyPr/>
        <a:lstStyle/>
        <a:p>
          <a:endParaRPr lang="en-GB"/>
        </a:p>
      </dgm:t>
    </dgm:pt>
    <dgm:pt modelId="{AAB09616-28A7-4C19-ACCA-90FE6149C0B2}">
      <dgm:prSet phldrT="[Text]"/>
      <dgm:spPr/>
      <dgm:t>
        <a:bodyPr/>
        <a:lstStyle/>
        <a:p>
          <a:r>
            <a:rPr lang="en-GB"/>
            <a:t>Treament Delivered</a:t>
          </a:r>
        </a:p>
      </dgm:t>
    </dgm:pt>
    <dgm:pt modelId="{EDCB606B-BEAE-4331-82A3-1A401694B7E1}" type="parTrans" cxnId="{E7F91048-61A6-46BA-BA5D-63ABFA3FA194}">
      <dgm:prSet/>
      <dgm:spPr/>
      <dgm:t>
        <a:bodyPr/>
        <a:lstStyle/>
        <a:p>
          <a:endParaRPr lang="en-GB"/>
        </a:p>
      </dgm:t>
    </dgm:pt>
    <dgm:pt modelId="{AB458DB0-2571-4BE5-99FE-B02B74372A61}" type="sibTrans" cxnId="{E7F91048-61A6-46BA-BA5D-63ABFA3FA194}">
      <dgm:prSet/>
      <dgm:spPr/>
      <dgm:t>
        <a:bodyPr/>
        <a:lstStyle/>
        <a:p>
          <a:endParaRPr lang="en-GB"/>
        </a:p>
      </dgm:t>
    </dgm:pt>
    <dgm:pt modelId="{18C1E453-C7EF-445C-87C5-6ED3DD12F5D5}">
      <dgm:prSet/>
      <dgm:spPr/>
      <dgm:t>
        <a:bodyPr/>
        <a:lstStyle/>
        <a:p>
          <a:pPr>
            <a:buNone/>
          </a:pPr>
          <a:r>
            <a:rPr lang="en-GB"/>
            <a:t>Treatment placed into Band 1, 2, or 3</a:t>
          </a:r>
        </a:p>
      </dgm:t>
    </dgm:pt>
    <dgm:pt modelId="{B320F23B-8A29-45F4-A015-2F99F475FB9B}" type="parTrans" cxnId="{DBC65E6C-78F5-4927-A512-29C99E44E097}">
      <dgm:prSet/>
      <dgm:spPr/>
      <dgm:t>
        <a:bodyPr/>
        <a:lstStyle/>
        <a:p>
          <a:endParaRPr lang="en-GB"/>
        </a:p>
      </dgm:t>
    </dgm:pt>
    <dgm:pt modelId="{0A1035AA-3B3B-4CE8-9641-ADA7E38B1E00}" type="sibTrans" cxnId="{DBC65E6C-78F5-4927-A512-29C99E44E097}">
      <dgm:prSet/>
      <dgm:spPr/>
      <dgm:t>
        <a:bodyPr/>
        <a:lstStyle/>
        <a:p>
          <a:endParaRPr lang="en-GB"/>
        </a:p>
      </dgm:t>
    </dgm:pt>
    <dgm:pt modelId="{0DA4FFF6-E41F-4C5B-AD2C-5B8EBF37CFE4}">
      <dgm:prSet phldrT="[Text]"/>
      <dgm:spPr/>
      <dgm:t>
        <a:bodyPr/>
        <a:lstStyle/>
        <a:p>
          <a:r>
            <a:rPr lang="en-GB"/>
            <a:t>Review and Recall</a:t>
          </a:r>
        </a:p>
      </dgm:t>
    </dgm:pt>
    <dgm:pt modelId="{EF1D1FD3-34E0-4BBC-884C-4EE8FE6D8CDE}" type="parTrans" cxnId="{12DC0289-578F-42A1-B376-E50CFF5E88CF}">
      <dgm:prSet/>
      <dgm:spPr/>
      <dgm:t>
        <a:bodyPr/>
        <a:lstStyle/>
        <a:p>
          <a:endParaRPr lang="en-GB"/>
        </a:p>
      </dgm:t>
    </dgm:pt>
    <dgm:pt modelId="{124BD01E-B931-4171-BB9D-2E2A23853FE2}" type="sibTrans" cxnId="{12DC0289-578F-42A1-B376-E50CFF5E88CF}">
      <dgm:prSet/>
      <dgm:spPr/>
      <dgm:t>
        <a:bodyPr/>
        <a:lstStyle/>
        <a:p>
          <a:endParaRPr lang="en-GB"/>
        </a:p>
      </dgm:t>
    </dgm:pt>
    <dgm:pt modelId="{6EC986E8-5434-4A04-AD00-5600E67E8EC1}">
      <dgm:prSet/>
      <dgm:spPr/>
      <dgm:t>
        <a:bodyPr/>
        <a:lstStyle/>
        <a:p>
          <a:pPr>
            <a:buNone/>
          </a:pPr>
          <a:r>
            <a:rPr lang="en-GB"/>
            <a:t>Care given; patient pays the fixed band charge</a:t>
          </a:r>
        </a:p>
      </dgm:t>
    </dgm:pt>
    <dgm:pt modelId="{0A5679C7-5292-42E5-A23C-97AC6A10E8DF}" type="parTrans" cxnId="{30087111-942E-4C82-81B6-5513BD5D637F}">
      <dgm:prSet/>
      <dgm:spPr/>
      <dgm:t>
        <a:bodyPr/>
        <a:lstStyle/>
        <a:p>
          <a:endParaRPr lang="en-GB"/>
        </a:p>
      </dgm:t>
    </dgm:pt>
    <dgm:pt modelId="{118C3921-AF5F-4AA9-8AD6-1D09EF43B2C6}" type="sibTrans" cxnId="{30087111-942E-4C82-81B6-5513BD5D637F}">
      <dgm:prSet/>
      <dgm:spPr/>
      <dgm:t>
        <a:bodyPr/>
        <a:lstStyle/>
        <a:p>
          <a:endParaRPr lang="en-GB"/>
        </a:p>
      </dgm:t>
    </dgm:pt>
    <dgm:pt modelId="{C982A356-3986-4347-AE23-311388D21D45}">
      <dgm:prSet/>
      <dgm:spPr/>
      <dgm:t>
        <a:bodyPr/>
        <a:lstStyle/>
        <a:p>
          <a:pPr>
            <a:buNone/>
          </a:pPr>
          <a:r>
            <a:rPr lang="en-GB"/>
            <a:t>Recall set by individual risk level (1–24 months)</a:t>
          </a:r>
        </a:p>
      </dgm:t>
    </dgm:pt>
    <dgm:pt modelId="{7EAB3ADB-C854-4AF0-BC59-E6C31F0F5945}" type="parTrans" cxnId="{57538788-5600-4667-A6F6-44B3C9444BBB}">
      <dgm:prSet/>
      <dgm:spPr/>
      <dgm:t>
        <a:bodyPr/>
        <a:lstStyle/>
        <a:p>
          <a:endParaRPr lang="en-GB"/>
        </a:p>
      </dgm:t>
    </dgm:pt>
    <dgm:pt modelId="{AC4F87C7-6482-4DC7-AC30-97D2A0DA5DDF}" type="sibTrans" cxnId="{57538788-5600-4667-A6F6-44B3C9444BBB}">
      <dgm:prSet/>
      <dgm:spPr/>
      <dgm:t>
        <a:bodyPr/>
        <a:lstStyle/>
        <a:p>
          <a:endParaRPr lang="en-GB"/>
        </a:p>
      </dgm:t>
    </dgm:pt>
    <dgm:pt modelId="{86C97A5B-1C78-4CC0-8CEE-542882DC78D3}" type="pres">
      <dgm:prSet presAssocID="{A49E55DE-FDB9-4648-BAFB-2E78362A94B4}" presName="Name0" presStyleCnt="0">
        <dgm:presLayoutVars>
          <dgm:dir/>
          <dgm:animLvl val="lvl"/>
          <dgm:resizeHandles/>
        </dgm:presLayoutVars>
      </dgm:prSet>
      <dgm:spPr/>
    </dgm:pt>
    <dgm:pt modelId="{43DEE476-5A3D-4E0F-92F4-BAF74E066742}" type="pres">
      <dgm:prSet presAssocID="{12D16680-E78A-465B-8BCB-2AFE9E7020D2}" presName="linNode" presStyleCnt="0"/>
      <dgm:spPr/>
    </dgm:pt>
    <dgm:pt modelId="{7015E2FB-C463-458D-87A6-5A6CFD44F291}" type="pres">
      <dgm:prSet presAssocID="{12D16680-E78A-465B-8BCB-2AFE9E7020D2}" presName="parentShp" presStyleLbl="node1" presStyleIdx="0" presStyleCnt="5">
        <dgm:presLayoutVars>
          <dgm:bulletEnabled val="1"/>
        </dgm:presLayoutVars>
      </dgm:prSet>
      <dgm:spPr/>
    </dgm:pt>
    <dgm:pt modelId="{E8953DC4-D8F1-49AF-B7C9-D23469CCC961}" type="pres">
      <dgm:prSet presAssocID="{12D16680-E78A-465B-8BCB-2AFE9E7020D2}" presName="childShp" presStyleLbl="bgAccFollowNode1" presStyleIdx="0" presStyleCnt="5">
        <dgm:presLayoutVars>
          <dgm:bulletEnabled val="1"/>
        </dgm:presLayoutVars>
      </dgm:prSet>
      <dgm:spPr/>
    </dgm:pt>
    <dgm:pt modelId="{668D7EB0-0969-4CA6-B8EA-19D09EF800A4}" type="pres">
      <dgm:prSet presAssocID="{E0C810F6-ADD2-42F8-8285-D3641A60D195}" presName="spacing" presStyleCnt="0"/>
      <dgm:spPr/>
    </dgm:pt>
    <dgm:pt modelId="{45ADA61A-FFE8-4184-8780-0D5CACD311E8}" type="pres">
      <dgm:prSet presAssocID="{62C502EB-B160-4F5C-B47C-052369D3218A}" presName="linNode" presStyleCnt="0"/>
      <dgm:spPr/>
    </dgm:pt>
    <dgm:pt modelId="{528D4B64-A764-4C4F-B12D-06C9F4653B53}" type="pres">
      <dgm:prSet presAssocID="{62C502EB-B160-4F5C-B47C-052369D3218A}" presName="parentShp" presStyleLbl="node1" presStyleIdx="1" presStyleCnt="5">
        <dgm:presLayoutVars>
          <dgm:bulletEnabled val="1"/>
        </dgm:presLayoutVars>
      </dgm:prSet>
      <dgm:spPr/>
    </dgm:pt>
    <dgm:pt modelId="{8329A10A-7C84-45D3-B938-F0D4D71A973A}" type="pres">
      <dgm:prSet presAssocID="{62C502EB-B160-4F5C-B47C-052369D3218A}" presName="childShp" presStyleLbl="bgAccFollowNode1" presStyleIdx="1" presStyleCnt="5">
        <dgm:presLayoutVars>
          <dgm:bulletEnabled val="1"/>
        </dgm:presLayoutVars>
      </dgm:prSet>
      <dgm:spPr/>
    </dgm:pt>
    <dgm:pt modelId="{8D3893C7-7B4A-40A6-B83E-C7B5463B4426}" type="pres">
      <dgm:prSet presAssocID="{495F413C-69E2-4D72-AC7F-1F593F7B565C}" presName="spacing" presStyleCnt="0"/>
      <dgm:spPr/>
    </dgm:pt>
    <dgm:pt modelId="{C59B4F5E-DA64-49AF-ACC7-FBF358BEC0CE}" type="pres">
      <dgm:prSet presAssocID="{995DD4EA-B472-4487-925D-F8C6C22C699A}" presName="linNode" presStyleCnt="0"/>
      <dgm:spPr/>
    </dgm:pt>
    <dgm:pt modelId="{938FA97B-816A-41C9-A2E1-5A06D498F986}" type="pres">
      <dgm:prSet presAssocID="{995DD4EA-B472-4487-925D-F8C6C22C699A}" presName="parentShp" presStyleLbl="node1" presStyleIdx="2" presStyleCnt="5">
        <dgm:presLayoutVars>
          <dgm:bulletEnabled val="1"/>
        </dgm:presLayoutVars>
      </dgm:prSet>
      <dgm:spPr/>
    </dgm:pt>
    <dgm:pt modelId="{514FE9E7-F2CE-4676-A040-7A9E4B974071}" type="pres">
      <dgm:prSet presAssocID="{995DD4EA-B472-4487-925D-F8C6C22C699A}" presName="childShp" presStyleLbl="bgAccFollowNode1" presStyleIdx="2" presStyleCnt="5">
        <dgm:presLayoutVars>
          <dgm:bulletEnabled val="1"/>
        </dgm:presLayoutVars>
      </dgm:prSet>
      <dgm:spPr/>
    </dgm:pt>
    <dgm:pt modelId="{82A3836A-EC75-4DD0-93DB-AC1516BEDCF2}" type="pres">
      <dgm:prSet presAssocID="{357EBEB6-4CEC-4849-AB7B-D7185BC82D2B}" presName="spacing" presStyleCnt="0"/>
      <dgm:spPr/>
    </dgm:pt>
    <dgm:pt modelId="{473CE313-6BED-425A-80BA-82E1FA1382CB}" type="pres">
      <dgm:prSet presAssocID="{AAB09616-28A7-4C19-ACCA-90FE6149C0B2}" presName="linNode" presStyleCnt="0"/>
      <dgm:spPr/>
    </dgm:pt>
    <dgm:pt modelId="{96C155A4-EF9F-4B8D-89EC-B73EF04DE0BC}" type="pres">
      <dgm:prSet presAssocID="{AAB09616-28A7-4C19-ACCA-90FE6149C0B2}" presName="parentShp" presStyleLbl="node1" presStyleIdx="3" presStyleCnt="5">
        <dgm:presLayoutVars>
          <dgm:bulletEnabled val="1"/>
        </dgm:presLayoutVars>
      </dgm:prSet>
      <dgm:spPr/>
    </dgm:pt>
    <dgm:pt modelId="{02819E5B-17F9-4325-A92C-9FC8F1AE2C8A}" type="pres">
      <dgm:prSet presAssocID="{AAB09616-28A7-4C19-ACCA-90FE6149C0B2}" presName="childShp" presStyleLbl="bgAccFollowNode1" presStyleIdx="3" presStyleCnt="5">
        <dgm:presLayoutVars>
          <dgm:bulletEnabled val="1"/>
        </dgm:presLayoutVars>
      </dgm:prSet>
      <dgm:spPr/>
    </dgm:pt>
    <dgm:pt modelId="{E3F696B9-4DF7-42BF-AD83-229C6CB8FF59}" type="pres">
      <dgm:prSet presAssocID="{AB458DB0-2571-4BE5-99FE-B02B74372A61}" presName="spacing" presStyleCnt="0"/>
      <dgm:spPr/>
    </dgm:pt>
    <dgm:pt modelId="{1E32E39E-FDFC-4F9F-BABC-B786E1B61A7E}" type="pres">
      <dgm:prSet presAssocID="{0DA4FFF6-E41F-4C5B-AD2C-5B8EBF37CFE4}" presName="linNode" presStyleCnt="0"/>
      <dgm:spPr/>
    </dgm:pt>
    <dgm:pt modelId="{A6F9224E-F337-40EF-8DE7-31D344070F9E}" type="pres">
      <dgm:prSet presAssocID="{0DA4FFF6-E41F-4C5B-AD2C-5B8EBF37CFE4}" presName="parentShp" presStyleLbl="node1" presStyleIdx="4" presStyleCnt="5">
        <dgm:presLayoutVars>
          <dgm:bulletEnabled val="1"/>
        </dgm:presLayoutVars>
      </dgm:prSet>
      <dgm:spPr/>
    </dgm:pt>
    <dgm:pt modelId="{B45CE6D7-E648-4104-A035-20DABBEFF911}" type="pres">
      <dgm:prSet presAssocID="{0DA4FFF6-E41F-4C5B-AD2C-5B8EBF37CFE4}" presName="childShp" presStyleLbl="bgAccFollowNode1" presStyleIdx="4" presStyleCnt="5">
        <dgm:presLayoutVars>
          <dgm:bulletEnabled val="1"/>
        </dgm:presLayoutVars>
      </dgm:prSet>
      <dgm:spPr/>
    </dgm:pt>
  </dgm:ptLst>
  <dgm:cxnLst>
    <dgm:cxn modelId="{82F96808-A5C5-4F90-80F0-E9AA07D944A1}" type="presOf" srcId="{995DD4EA-B472-4487-925D-F8C6C22C699A}" destId="{938FA97B-816A-41C9-A2E1-5A06D498F986}" srcOrd="0" destOrd="0" presId="urn:microsoft.com/office/officeart/2005/8/layout/vList6"/>
    <dgm:cxn modelId="{30087111-942E-4C82-81B6-5513BD5D637F}" srcId="{AAB09616-28A7-4C19-ACCA-90FE6149C0B2}" destId="{6EC986E8-5434-4A04-AD00-5600E67E8EC1}" srcOrd="0" destOrd="0" parTransId="{0A5679C7-5292-42E5-A23C-97AC6A10E8DF}" sibTransId="{118C3921-AF5F-4AA9-8AD6-1D09EF43B2C6}"/>
    <dgm:cxn modelId="{01B8FB15-F2D7-4195-A506-B8A0A3F9D443}" srcId="{A49E55DE-FDB9-4648-BAFB-2E78362A94B4}" destId="{12D16680-E78A-465B-8BCB-2AFE9E7020D2}" srcOrd="0" destOrd="0" parTransId="{1C8D0291-C9D0-4834-A3FB-90ED9FFA1CB5}" sibTransId="{E0C810F6-ADD2-42F8-8285-D3641A60D195}"/>
    <dgm:cxn modelId="{E7F91048-61A6-46BA-BA5D-63ABFA3FA194}" srcId="{A49E55DE-FDB9-4648-BAFB-2E78362A94B4}" destId="{AAB09616-28A7-4C19-ACCA-90FE6149C0B2}" srcOrd="3" destOrd="0" parTransId="{EDCB606B-BEAE-4331-82A3-1A401694B7E1}" sibTransId="{AB458DB0-2571-4BE5-99FE-B02B74372A61}"/>
    <dgm:cxn modelId="{DBC65E6C-78F5-4927-A512-29C99E44E097}" srcId="{995DD4EA-B472-4487-925D-F8C6C22C699A}" destId="{18C1E453-C7EF-445C-87C5-6ED3DD12F5D5}" srcOrd="0" destOrd="0" parTransId="{B320F23B-8A29-45F4-A015-2F99F475FB9B}" sibTransId="{0A1035AA-3B3B-4CE8-9641-ADA7E38B1E00}"/>
    <dgm:cxn modelId="{551BE879-5506-461C-9E2D-BD0CA5833DDA}" srcId="{A49E55DE-FDB9-4648-BAFB-2E78362A94B4}" destId="{995DD4EA-B472-4487-925D-F8C6C22C699A}" srcOrd="2" destOrd="0" parTransId="{B9C4B90B-4756-40B2-85B1-D625777716AE}" sibTransId="{357EBEB6-4CEC-4849-AB7B-D7185BC82D2B}"/>
    <dgm:cxn modelId="{FACBC086-2AE1-46E3-8BD1-92FFEEE592D3}" srcId="{62C502EB-B160-4F5C-B47C-052369D3218A}" destId="{5E8880DF-F37B-423C-8D47-91D2E767A4D6}" srcOrd="0" destOrd="0" parTransId="{B36C8A81-ED42-4D8D-8D0B-D0AD3D2ABAA7}" sibTransId="{57799F11-13A6-4E41-B5B9-72F4E220783B}"/>
    <dgm:cxn modelId="{83126488-4AAC-4FD6-A890-B1076668439D}" type="presOf" srcId="{C982A356-3986-4347-AE23-311388D21D45}" destId="{B45CE6D7-E648-4104-A035-20DABBEFF911}" srcOrd="0" destOrd="0" presId="urn:microsoft.com/office/officeart/2005/8/layout/vList6"/>
    <dgm:cxn modelId="{57538788-5600-4667-A6F6-44B3C9444BBB}" srcId="{0DA4FFF6-E41F-4C5B-AD2C-5B8EBF37CFE4}" destId="{C982A356-3986-4347-AE23-311388D21D45}" srcOrd="0" destOrd="0" parTransId="{7EAB3ADB-C854-4AF0-BC59-E6C31F0F5945}" sibTransId="{AC4F87C7-6482-4DC7-AC30-97D2A0DA5DDF}"/>
    <dgm:cxn modelId="{12DC0289-578F-42A1-B376-E50CFF5E88CF}" srcId="{A49E55DE-FDB9-4648-BAFB-2E78362A94B4}" destId="{0DA4FFF6-E41F-4C5B-AD2C-5B8EBF37CFE4}" srcOrd="4" destOrd="0" parTransId="{EF1D1FD3-34E0-4BBC-884C-4EE8FE6D8CDE}" sibTransId="{124BD01E-B931-4171-BB9D-2E2A23853FE2}"/>
    <dgm:cxn modelId="{60C5BA8A-AC58-4A1D-AEA8-AC4631A70820}" type="presOf" srcId="{180B23B3-F554-4DDB-A172-D8429D0B8364}" destId="{E8953DC4-D8F1-49AF-B7C9-D23469CCC961}" srcOrd="0" destOrd="0" presId="urn:microsoft.com/office/officeart/2005/8/layout/vList6"/>
    <dgm:cxn modelId="{4A382DA5-278E-4638-992E-7F0EC329E6C8}" type="presOf" srcId="{18C1E453-C7EF-445C-87C5-6ED3DD12F5D5}" destId="{514FE9E7-F2CE-4676-A040-7A9E4B974071}" srcOrd="0" destOrd="0" presId="urn:microsoft.com/office/officeart/2005/8/layout/vList6"/>
    <dgm:cxn modelId="{13EA4FAB-E624-4ECA-84F1-9D0EBB36FC01}" type="presOf" srcId="{0DA4FFF6-E41F-4C5B-AD2C-5B8EBF37CFE4}" destId="{A6F9224E-F337-40EF-8DE7-31D344070F9E}" srcOrd="0" destOrd="0" presId="urn:microsoft.com/office/officeart/2005/8/layout/vList6"/>
    <dgm:cxn modelId="{5BB3ABB7-3810-4FA9-8424-327D87F62040}" type="presOf" srcId="{AAB09616-28A7-4C19-ACCA-90FE6149C0B2}" destId="{96C155A4-EF9F-4B8D-89EC-B73EF04DE0BC}" srcOrd="0" destOrd="0" presId="urn:microsoft.com/office/officeart/2005/8/layout/vList6"/>
    <dgm:cxn modelId="{FA315EBB-04BA-424F-AE16-FEF1B2240E39}" type="presOf" srcId="{12D16680-E78A-465B-8BCB-2AFE9E7020D2}" destId="{7015E2FB-C463-458D-87A6-5A6CFD44F291}" srcOrd="0" destOrd="0" presId="urn:microsoft.com/office/officeart/2005/8/layout/vList6"/>
    <dgm:cxn modelId="{D63C31BC-3581-4811-8756-5458A5FE008C}" type="presOf" srcId="{5E8880DF-F37B-423C-8D47-91D2E767A4D6}" destId="{8329A10A-7C84-45D3-B938-F0D4D71A973A}" srcOrd="0" destOrd="0" presId="urn:microsoft.com/office/officeart/2005/8/layout/vList6"/>
    <dgm:cxn modelId="{B02C10C1-D81B-4D58-921A-B205E2ADAA28}" srcId="{12D16680-E78A-465B-8BCB-2AFE9E7020D2}" destId="{180B23B3-F554-4DDB-A172-D8429D0B8364}" srcOrd="0" destOrd="0" parTransId="{4CD8324C-7F63-4E29-AE6A-B9645E3CE8E5}" sibTransId="{7ABE8A8B-95DE-4024-9833-8EBEEF3620D7}"/>
    <dgm:cxn modelId="{30AEA8C8-3ED0-47E9-B8DA-9E49302C7099}" type="presOf" srcId="{6EC986E8-5434-4A04-AD00-5600E67E8EC1}" destId="{02819E5B-17F9-4325-A92C-9FC8F1AE2C8A}" srcOrd="0" destOrd="0" presId="urn:microsoft.com/office/officeart/2005/8/layout/vList6"/>
    <dgm:cxn modelId="{C79D08E1-21F4-4349-AE62-98BA9C966C7F}" srcId="{A49E55DE-FDB9-4648-BAFB-2E78362A94B4}" destId="{62C502EB-B160-4F5C-B47C-052369D3218A}" srcOrd="1" destOrd="0" parTransId="{4848CA3D-3C57-4B4E-8277-E30FA92AD5F4}" sibTransId="{495F413C-69E2-4D72-AC7F-1F593F7B565C}"/>
    <dgm:cxn modelId="{9FD67EE6-E131-4B07-8EBE-CEA271BD7374}" type="presOf" srcId="{62C502EB-B160-4F5C-B47C-052369D3218A}" destId="{528D4B64-A764-4C4F-B12D-06C9F4653B53}" srcOrd="0" destOrd="0" presId="urn:microsoft.com/office/officeart/2005/8/layout/vList6"/>
    <dgm:cxn modelId="{2CF2CEF6-0765-4B0C-B769-6EAEDBDE4E68}" type="presOf" srcId="{A49E55DE-FDB9-4648-BAFB-2E78362A94B4}" destId="{86C97A5B-1C78-4CC0-8CEE-542882DC78D3}" srcOrd="0" destOrd="0" presId="urn:microsoft.com/office/officeart/2005/8/layout/vList6"/>
    <dgm:cxn modelId="{E71F1B29-B302-49E1-89E1-8B4334A1F4BC}" type="presParOf" srcId="{86C97A5B-1C78-4CC0-8CEE-542882DC78D3}" destId="{43DEE476-5A3D-4E0F-92F4-BAF74E066742}" srcOrd="0" destOrd="0" presId="urn:microsoft.com/office/officeart/2005/8/layout/vList6"/>
    <dgm:cxn modelId="{B4B2FDC1-A916-4D3F-82EB-637B55E79A3C}" type="presParOf" srcId="{43DEE476-5A3D-4E0F-92F4-BAF74E066742}" destId="{7015E2FB-C463-458D-87A6-5A6CFD44F291}" srcOrd="0" destOrd="0" presId="urn:microsoft.com/office/officeart/2005/8/layout/vList6"/>
    <dgm:cxn modelId="{83DEA14C-506C-4F2A-9E88-7DA04C4B923E}" type="presParOf" srcId="{43DEE476-5A3D-4E0F-92F4-BAF74E066742}" destId="{E8953DC4-D8F1-49AF-B7C9-D23469CCC961}" srcOrd="1" destOrd="0" presId="urn:microsoft.com/office/officeart/2005/8/layout/vList6"/>
    <dgm:cxn modelId="{86D465B2-BAD0-40EC-9226-7E7A4832E6E8}" type="presParOf" srcId="{86C97A5B-1C78-4CC0-8CEE-542882DC78D3}" destId="{668D7EB0-0969-4CA6-B8EA-19D09EF800A4}" srcOrd="1" destOrd="0" presId="urn:microsoft.com/office/officeart/2005/8/layout/vList6"/>
    <dgm:cxn modelId="{4FAC4B1A-A89F-4378-8633-8866C85C6B5D}" type="presParOf" srcId="{86C97A5B-1C78-4CC0-8CEE-542882DC78D3}" destId="{45ADA61A-FFE8-4184-8780-0D5CACD311E8}" srcOrd="2" destOrd="0" presId="urn:microsoft.com/office/officeart/2005/8/layout/vList6"/>
    <dgm:cxn modelId="{4851B19A-F76C-4F89-9550-E8F7D5B0F648}" type="presParOf" srcId="{45ADA61A-FFE8-4184-8780-0D5CACD311E8}" destId="{528D4B64-A764-4C4F-B12D-06C9F4653B53}" srcOrd="0" destOrd="0" presId="urn:microsoft.com/office/officeart/2005/8/layout/vList6"/>
    <dgm:cxn modelId="{A7FEBF65-8836-4EFC-92F9-E2DB05D69267}" type="presParOf" srcId="{45ADA61A-FFE8-4184-8780-0D5CACD311E8}" destId="{8329A10A-7C84-45D3-B938-F0D4D71A973A}" srcOrd="1" destOrd="0" presId="urn:microsoft.com/office/officeart/2005/8/layout/vList6"/>
    <dgm:cxn modelId="{2E220F0F-1412-4AA5-AEBB-A1C4336325C8}" type="presParOf" srcId="{86C97A5B-1C78-4CC0-8CEE-542882DC78D3}" destId="{8D3893C7-7B4A-40A6-B83E-C7B5463B4426}" srcOrd="3" destOrd="0" presId="urn:microsoft.com/office/officeart/2005/8/layout/vList6"/>
    <dgm:cxn modelId="{8296B1D1-C20D-47D0-8E15-63302ABFE8A2}" type="presParOf" srcId="{86C97A5B-1C78-4CC0-8CEE-542882DC78D3}" destId="{C59B4F5E-DA64-49AF-ACC7-FBF358BEC0CE}" srcOrd="4" destOrd="0" presId="urn:microsoft.com/office/officeart/2005/8/layout/vList6"/>
    <dgm:cxn modelId="{09E1C92B-DEE3-428A-B4AD-D665F53BF2F5}" type="presParOf" srcId="{C59B4F5E-DA64-49AF-ACC7-FBF358BEC0CE}" destId="{938FA97B-816A-41C9-A2E1-5A06D498F986}" srcOrd="0" destOrd="0" presId="urn:microsoft.com/office/officeart/2005/8/layout/vList6"/>
    <dgm:cxn modelId="{14249EA4-CDF8-4CB9-9051-2F197ED129ED}" type="presParOf" srcId="{C59B4F5E-DA64-49AF-ACC7-FBF358BEC0CE}" destId="{514FE9E7-F2CE-4676-A040-7A9E4B974071}" srcOrd="1" destOrd="0" presId="urn:microsoft.com/office/officeart/2005/8/layout/vList6"/>
    <dgm:cxn modelId="{4BB1C463-BE28-4936-953B-538875545904}" type="presParOf" srcId="{86C97A5B-1C78-4CC0-8CEE-542882DC78D3}" destId="{82A3836A-EC75-4DD0-93DB-AC1516BEDCF2}" srcOrd="5" destOrd="0" presId="urn:microsoft.com/office/officeart/2005/8/layout/vList6"/>
    <dgm:cxn modelId="{8AF8A381-8003-4FA4-AD5B-C064FF29529E}" type="presParOf" srcId="{86C97A5B-1C78-4CC0-8CEE-542882DC78D3}" destId="{473CE313-6BED-425A-80BA-82E1FA1382CB}" srcOrd="6" destOrd="0" presId="urn:microsoft.com/office/officeart/2005/8/layout/vList6"/>
    <dgm:cxn modelId="{C0EFFCA6-F51E-4938-8397-1AAA7CEC52B0}" type="presParOf" srcId="{473CE313-6BED-425A-80BA-82E1FA1382CB}" destId="{96C155A4-EF9F-4B8D-89EC-B73EF04DE0BC}" srcOrd="0" destOrd="0" presId="urn:microsoft.com/office/officeart/2005/8/layout/vList6"/>
    <dgm:cxn modelId="{B8A36A52-4789-4F6B-ACF1-7C7E5F41DCE7}" type="presParOf" srcId="{473CE313-6BED-425A-80BA-82E1FA1382CB}" destId="{02819E5B-17F9-4325-A92C-9FC8F1AE2C8A}" srcOrd="1" destOrd="0" presId="urn:microsoft.com/office/officeart/2005/8/layout/vList6"/>
    <dgm:cxn modelId="{4C15E6DA-3726-4FCB-B551-00FB345DEAAF}" type="presParOf" srcId="{86C97A5B-1C78-4CC0-8CEE-542882DC78D3}" destId="{E3F696B9-4DF7-42BF-AD83-229C6CB8FF59}" srcOrd="7" destOrd="0" presId="urn:microsoft.com/office/officeart/2005/8/layout/vList6"/>
    <dgm:cxn modelId="{F7DD5AE9-D359-42FA-965A-05A1CE5EC04C}" type="presParOf" srcId="{86C97A5B-1C78-4CC0-8CEE-542882DC78D3}" destId="{1E32E39E-FDFC-4F9F-BABC-B786E1B61A7E}" srcOrd="8" destOrd="0" presId="urn:microsoft.com/office/officeart/2005/8/layout/vList6"/>
    <dgm:cxn modelId="{0890C4FE-4554-412D-A312-CEE5523A4223}" type="presParOf" srcId="{1E32E39E-FDFC-4F9F-BABC-B786E1B61A7E}" destId="{A6F9224E-F337-40EF-8DE7-31D344070F9E}" srcOrd="0" destOrd="0" presId="urn:microsoft.com/office/officeart/2005/8/layout/vList6"/>
    <dgm:cxn modelId="{88771935-2F0C-46AB-A2A6-A26FE1AF5F3C}" type="presParOf" srcId="{1E32E39E-FDFC-4F9F-BABC-B786E1B61A7E}" destId="{B45CE6D7-E648-4104-A035-20DABBEFF911}" srcOrd="1" destOrd="0" presId="urn:microsoft.com/office/officeart/2005/8/layout/vList6"/>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953DC4-D8F1-49AF-B7C9-D23469CCC961}">
      <dsp:nvSpPr>
        <dsp:cNvPr id="0" name=""/>
        <dsp:cNvSpPr/>
      </dsp:nvSpPr>
      <dsp:spPr>
        <a:xfrm>
          <a:off x="872997" y="964"/>
          <a:ext cx="1309497" cy="522459"/>
        </a:xfrm>
        <a:prstGeom prst="rightArrow">
          <a:avLst>
            <a:gd name="adj1" fmla="val 75000"/>
            <a:gd name="adj2" fmla="val 50000"/>
          </a:avLst>
        </a:prstGeom>
        <a:solidFill>
          <a:schemeClr val="accent2">
            <a:tint val="40000"/>
            <a:alpha val="90000"/>
            <a:hueOff val="0"/>
            <a:satOff val="0"/>
            <a:lumOff val="0"/>
            <a:alphaOff val="0"/>
          </a:schemeClr>
        </a:solidFill>
        <a:ln w="1905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None/>
          </a:pPr>
          <a:r>
            <a:rPr lang="en-GB" sz="900" kern="1200"/>
            <a:t>Patient registers with an NHS dental practice</a:t>
          </a:r>
        </a:p>
      </dsp:txBody>
      <dsp:txXfrm>
        <a:off x="872997" y="66271"/>
        <a:ext cx="1113575" cy="391845"/>
      </dsp:txXfrm>
    </dsp:sp>
    <dsp:sp modelId="{7015E2FB-C463-458D-87A6-5A6CFD44F291}">
      <dsp:nvSpPr>
        <dsp:cNvPr id="0" name=""/>
        <dsp:cNvSpPr/>
      </dsp:nvSpPr>
      <dsp:spPr>
        <a:xfrm>
          <a:off x="0" y="964"/>
          <a:ext cx="872998" cy="522459"/>
        </a:xfrm>
        <a:prstGeom prst="round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GB" sz="1000" kern="1200"/>
            <a:t>Registration </a:t>
          </a:r>
        </a:p>
      </dsp:txBody>
      <dsp:txXfrm>
        <a:off x="25504" y="26468"/>
        <a:ext cx="821990" cy="471451"/>
      </dsp:txXfrm>
    </dsp:sp>
    <dsp:sp modelId="{8329A10A-7C84-45D3-B938-F0D4D71A973A}">
      <dsp:nvSpPr>
        <dsp:cNvPr id="0" name=""/>
        <dsp:cNvSpPr/>
      </dsp:nvSpPr>
      <dsp:spPr>
        <a:xfrm>
          <a:off x="872997" y="575670"/>
          <a:ext cx="1309497" cy="522459"/>
        </a:xfrm>
        <a:prstGeom prst="rightArrow">
          <a:avLst>
            <a:gd name="adj1" fmla="val 75000"/>
            <a:gd name="adj2" fmla="val 50000"/>
          </a:avLst>
        </a:prstGeom>
        <a:solidFill>
          <a:schemeClr val="accent2">
            <a:tint val="40000"/>
            <a:alpha val="90000"/>
            <a:hueOff val="1683680"/>
            <a:satOff val="-15558"/>
            <a:lumOff val="-1754"/>
            <a:alphaOff val="0"/>
          </a:schemeClr>
        </a:solidFill>
        <a:ln w="19050" cap="flat" cmpd="sng" algn="ctr">
          <a:solidFill>
            <a:schemeClr val="accent2">
              <a:tint val="40000"/>
              <a:alpha val="90000"/>
              <a:hueOff val="1683680"/>
              <a:satOff val="-15558"/>
              <a:lumOff val="-175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None/>
          </a:pPr>
          <a:r>
            <a:rPr lang="en-GB" sz="900" kern="1200"/>
            <a:t>Dentist assesses clinical need and urgency</a:t>
          </a:r>
        </a:p>
      </dsp:txBody>
      <dsp:txXfrm>
        <a:off x="872997" y="640977"/>
        <a:ext cx="1113575" cy="391845"/>
      </dsp:txXfrm>
    </dsp:sp>
    <dsp:sp modelId="{528D4B64-A764-4C4F-B12D-06C9F4653B53}">
      <dsp:nvSpPr>
        <dsp:cNvPr id="0" name=""/>
        <dsp:cNvSpPr/>
      </dsp:nvSpPr>
      <dsp:spPr>
        <a:xfrm>
          <a:off x="0" y="575670"/>
          <a:ext cx="872998" cy="522459"/>
        </a:xfrm>
        <a:prstGeom prst="roundRect">
          <a:avLst/>
        </a:prstGeom>
        <a:solidFill>
          <a:schemeClr val="accent2">
            <a:hueOff val="1610903"/>
            <a:satOff val="-4623"/>
            <a:lumOff val="-7402"/>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GB" sz="1000" kern="1200"/>
            <a:t>Triage and Assessment </a:t>
          </a:r>
        </a:p>
      </dsp:txBody>
      <dsp:txXfrm>
        <a:off x="25504" y="601174"/>
        <a:ext cx="821990" cy="471451"/>
      </dsp:txXfrm>
    </dsp:sp>
    <dsp:sp modelId="{514FE9E7-F2CE-4676-A040-7A9E4B974071}">
      <dsp:nvSpPr>
        <dsp:cNvPr id="0" name=""/>
        <dsp:cNvSpPr/>
      </dsp:nvSpPr>
      <dsp:spPr>
        <a:xfrm>
          <a:off x="872997" y="1150375"/>
          <a:ext cx="1309497" cy="522459"/>
        </a:xfrm>
        <a:prstGeom prst="rightArrow">
          <a:avLst>
            <a:gd name="adj1" fmla="val 75000"/>
            <a:gd name="adj2" fmla="val 50000"/>
          </a:avLst>
        </a:prstGeom>
        <a:solidFill>
          <a:schemeClr val="accent2">
            <a:tint val="40000"/>
            <a:alpha val="90000"/>
            <a:hueOff val="3367359"/>
            <a:satOff val="-31116"/>
            <a:lumOff val="-3508"/>
            <a:alphaOff val="0"/>
          </a:schemeClr>
        </a:solidFill>
        <a:ln w="19050" cap="flat" cmpd="sng" algn="ctr">
          <a:solidFill>
            <a:schemeClr val="accent2">
              <a:tint val="40000"/>
              <a:alpha val="90000"/>
              <a:hueOff val="3367359"/>
              <a:satOff val="-31116"/>
              <a:lumOff val="-350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None/>
          </a:pPr>
          <a:r>
            <a:rPr lang="en-GB" sz="900" kern="1200"/>
            <a:t>Treatment placed into Band 1, 2, or 3</a:t>
          </a:r>
        </a:p>
      </dsp:txBody>
      <dsp:txXfrm>
        <a:off x="872997" y="1215682"/>
        <a:ext cx="1113575" cy="391845"/>
      </dsp:txXfrm>
    </dsp:sp>
    <dsp:sp modelId="{938FA97B-816A-41C9-A2E1-5A06D498F986}">
      <dsp:nvSpPr>
        <dsp:cNvPr id="0" name=""/>
        <dsp:cNvSpPr/>
      </dsp:nvSpPr>
      <dsp:spPr>
        <a:xfrm>
          <a:off x="0" y="1150375"/>
          <a:ext cx="872998" cy="522459"/>
        </a:xfrm>
        <a:prstGeom prst="roundRect">
          <a:avLst/>
        </a:prstGeom>
        <a:solidFill>
          <a:schemeClr val="accent2">
            <a:hueOff val="3221807"/>
            <a:satOff val="-9246"/>
            <a:lumOff val="-14805"/>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GB" sz="1000" kern="1200"/>
            <a:t>Treatment Plan </a:t>
          </a:r>
        </a:p>
      </dsp:txBody>
      <dsp:txXfrm>
        <a:off x="25504" y="1175879"/>
        <a:ext cx="821990" cy="471451"/>
      </dsp:txXfrm>
    </dsp:sp>
    <dsp:sp modelId="{02819E5B-17F9-4325-A92C-9FC8F1AE2C8A}">
      <dsp:nvSpPr>
        <dsp:cNvPr id="0" name=""/>
        <dsp:cNvSpPr/>
      </dsp:nvSpPr>
      <dsp:spPr>
        <a:xfrm>
          <a:off x="872997" y="1725080"/>
          <a:ext cx="1309497" cy="522459"/>
        </a:xfrm>
        <a:prstGeom prst="rightArrow">
          <a:avLst>
            <a:gd name="adj1" fmla="val 75000"/>
            <a:gd name="adj2" fmla="val 50000"/>
          </a:avLst>
        </a:prstGeom>
        <a:solidFill>
          <a:schemeClr val="accent2">
            <a:tint val="40000"/>
            <a:alpha val="90000"/>
            <a:hueOff val="5051039"/>
            <a:satOff val="-46674"/>
            <a:lumOff val="-5261"/>
            <a:alphaOff val="0"/>
          </a:schemeClr>
        </a:solidFill>
        <a:ln w="19050" cap="flat" cmpd="sng" algn="ctr">
          <a:solidFill>
            <a:schemeClr val="accent2">
              <a:tint val="40000"/>
              <a:alpha val="90000"/>
              <a:hueOff val="5051039"/>
              <a:satOff val="-46674"/>
              <a:lumOff val="-526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None/>
          </a:pPr>
          <a:r>
            <a:rPr lang="en-GB" sz="900" kern="1200"/>
            <a:t>Care given; patient pays the fixed band charge</a:t>
          </a:r>
        </a:p>
      </dsp:txBody>
      <dsp:txXfrm>
        <a:off x="872997" y="1790387"/>
        <a:ext cx="1113575" cy="391845"/>
      </dsp:txXfrm>
    </dsp:sp>
    <dsp:sp modelId="{96C155A4-EF9F-4B8D-89EC-B73EF04DE0BC}">
      <dsp:nvSpPr>
        <dsp:cNvPr id="0" name=""/>
        <dsp:cNvSpPr/>
      </dsp:nvSpPr>
      <dsp:spPr>
        <a:xfrm>
          <a:off x="0" y="1725080"/>
          <a:ext cx="872998" cy="522459"/>
        </a:xfrm>
        <a:prstGeom prst="roundRect">
          <a:avLst/>
        </a:prstGeom>
        <a:solidFill>
          <a:schemeClr val="accent2">
            <a:hueOff val="4832710"/>
            <a:satOff val="-13870"/>
            <a:lumOff val="-22207"/>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GB" sz="1000" kern="1200"/>
            <a:t>Treament Delivered</a:t>
          </a:r>
        </a:p>
      </dsp:txBody>
      <dsp:txXfrm>
        <a:off x="25504" y="1750584"/>
        <a:ext cx="821990" cy="471451"/>
      </dsp:txXfrm>
    </dsp:sp>
    <dsp:sp modelId="{B45CE6D7-E648-4104-A035-20DABBEFF911}">
      <dsp:nvSpPr>
        <dsp:cNvPr id="0" name=""/>
        <dsp:cNvSpPr/>
      </dsp:nvSpPr>
      <dsp:spPr>
        <a:xfrm>
          <a:off x="872997" y="2299785"/>
          <a:ext cx="1309497" cy="522459"/>
        </a:xfrm>
        <a:prstGeom prst="rightArrow">
          <a:avLst>
            <a:gd name="adj1" fmla="val 75000"/>
            <a:gd name="adj2" fmla="val 50000"/>
          </a:avLst>
        </a:prstGeom>
        <a:solidFill>
          <a:schemeClr val="accent2">
            <a:tint val="40000"/>
            <a:alpha val="90000"/>
            <a:hueOff val="6734718"/>
            <a:satOff val="-62232"/>
            <a:lumOff val="-7015"/>
            <a:alphaOff val="0"/>
          </a:schemeClr>
        </a:solidFill>
        <a:ln w="19050" cap="flat" cmpd="sng" algn="ctr">
          <a:solidFill>
            <a:schemeClr val="accent2">
              <a:tint val="40000"/>
              <a:alpha val="90000"/>
              <a:hueOff val="6734718"/>
              <a:satOff val="-62232"/>
              <a:lumOff val="-701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None/>
          </a:pPr>
          <a:r>
            <a:rPr lang="en-GB" sz="900" kern="1200"/>
            <a:t>Recall set by individual risk level (1–24 months)</a:t>
          </a:r>
        </a:p>
      </dsp:txBody>
      <dsp:txXfrm>
        <a:off x="872997" y="2365092"/>
        <a:ext cx="1113575" cy="391845"/>
      </dsp:txXfrm>
    </dsp:sp>
    <dsp:sp modelId="{A6F9224E-F337-40EF-8DE7-31D344070F9E}">
      <dsp:nvSpPr>
        <dsp:cNvPr id="0" name=""/>
        <dsp:cNvSpPr/>
      </dsp:nvSpPr>
      <dsp:spPr>
        <a:xfrm>
          <a:off x="0" y="2299785"/>
          <a:ext cx="872998" cy="522459"/>
        </a:xfrm>
        <a:prstGeom prst="roundRect">
          <a:avLst/>
        </a:prstGeom>
        <a:solidFill>
          <a:schemeClr val="accent2">
            <a:hueOff val="6443614"/>
            <a:satOff val="-18493"/>
            <a:lumOff val="-29609"/>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GB" sz="1000" kern="1200"/>
            <a:t>Review and Recall</a:t>
          </a:r>
        </a:p>
      </dsp:txBody>
      <dsp:txXfrm>
        <a:off x="25504" y="2325289"/>
        <a:ext cx="821990" cy="471451"/>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0B079E660D24698A0BAEF67B61EA5F5"/>
        <w:category>
          <w:name w:val="General"/>
          <w:gallery w:val="placeholder"/>
        </w:category>
        <w:types>
          <w:type w:val="bbPlcHdr"/>
        </w:types>
        <w:behaviors>
          <w:behavior w:val="content"/>
        </w:behaviors>
        <w:guid w:val="{F8B6E7C7-EE8A-410D-80F5-B5EABF3205DD}"/>
      </w:docPartPr>
      <w:docPartBody>
        <w:p w:rsidR="003F693D" w:rsidRDefault="00BE41EE" w:rsidP="00BE41EE">
          <w:pPr>
            <w:pStyle w:val="A0B079E660D24698A0BAEF67B61EA5F5"/>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1EE"/>
    <w:rsid w:val="00315F2E"/>
    <w:rsid w:val="003F693D"/>
    <w:rsid w:val="0052271B"/>
    <w:rsid w:val="00BA78DF"/>
    <w:rsid w:val="00BE41EE"/>
    <w:rsid w:val="00CC74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B079E660D24698A0BAEF67B61EA5F5">
    <w:name w:val="A0B079E660D24698A0BAEF67B61EA5F5"/>
    <w:rsid w:val="00BE41EE"/>
  </w:style>
  <w:style w:type="paragraph" w:customStyle="1" w:styleId="69C393BB86D942AA99B33C10BA58639A">
    <w:name w:val="69C393BB86D942AA99B33C10BA58639A"/>
    <w:rsid w:val="00BE41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3BA7D26-40B2-4B18-9811-9861F8C8B036}">
  <we:reference id="wa200000368" version="1.0.0.0" store="en-US" storeType="OMEX"/>
  <we:alternateReferences>
    <we:reference id="WA200000368" version="1.0.0.0" store="" storeType="OMEX"/>
  </we:alternateReferences>
  <we:properties>
    <we:property name="documentId" value="&quot;044e4747bc0b17c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63F330-62E5-4362-A048-DC2FF95C48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1837</TotalTime>
  <Pages>8</Pages>
  <Words>969</Words>
  <Characters>6547</Characters>
  <Application>Microsoft Office Word</Application>
  <DocSecurity>0</DocSecurity>
  <Lines>139</Lines>
  <Paragraphs>36</Paragraphs>
  <ScaleCrop>false</ScaleCrop>
  <HeadingPairs>
    <vt:vector size="2" baseType="variant">
      <vt:variant>
        <vt:lpstr>Title</vt:lpstr>
      </vt:variant>
      <vt:variant>
        <vt:i4>1</vt:i4>
      </vt:variant>
    </vt:vector>
  </HeadingPairs>
  <TitlesOfParts>
    <vt:vector size="1" baseType="lpstr">
      <vt:lpstr>PORTFOLIO 2 TASK</vt:lpstr>
    </vt:vector>
  </TitlesOfParts>
  <Company/>
  <LinksUpToDate>false</LinksUpToDate>
  <CharactersWithSpaces>7480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2 TASK</dc:title>
  <dc:subject/>
  <dc:creator>zoe porter</dc:creator>
  <cp:keywords/>
  <dc:description/>
  <cp:lastModifiedBy>zoe porter</cp:lastModifiedBy>
  <cp:revision>109</cp:revision>
  <dcterms:created xsi:type="dcterms:W3CDTF">2026-06-14T23:34:00Z</dcterms:created>
  <dcterms:modified xsi:type="dcterms:W3CDTF">2026-06-19T21:15:00Z</dcterms:modified>
</cp:coreProperties>
</file>