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C0BB6" w14:textId="526B1195" w:rsidR="00410E27" w:rsidRDefault="00410E27">
      <w:pPr>
        <w:spacing w:after="60"/>
        <w:jc w:val="center"/>
        <w:rPr>
          <w:b/>
          <w:bCs/>
          <w:sz w:val="28"/>
          <w:szCs w:val="28"/>
        </w:rPr>
      </w:pPr>
      <w:r>
        <w:rPr>
          <w:b/>
          <w:bCs/>
          <w:sz w:val="28"/>
          <w:szCs w:val="28"/>
        </w:rPr>
        <w:t xml:space="preserve">Marian Raducanu </w:t>
      </w:r>
    </w:p>
    <w:p w14:paraId="66CAC1BE" w14:textId="77777777" w:rsidR="00410E27" w:rsidRDefault="00410E27">
      <w:pPr>
        <w:spacing w:after="60"/>
        <w:jc w:val="center"/>
        <w:rPr>
          <w:b/>
          <w:bCs/>
          <w:sz w:val="28"/>
          <w:szCs w:val="28"/>
        </w:rPr>
      </w:pPr>
    </w:p>
    <w:p w14:paraId="0A34ED2A" w14:textId="78DA3907" w:rsidR="00651E68" w:rsidRDefault="00E9254B">
      <w:pPr>
        <w:spacing w:after="60"/>
        <w:jc w:val="center"/>
      </w:pPr>
      <w:r>
        <w:rPr>
          <w:b/>
          <w:bCs/>
          <w:sz w:val="28"/>
          <w:szCs w:val="28"/>
        </w:rPr>
        <w:t>HPRS4903: Introduction to Christian Theology</w:t>
      </w:r>
    </w:p>
    <w:p w14:paraId="5F9F9B96" w14:textId="77777777" w:rsidR="00410E27" w:rsidRDefault="00410E27">
      <w:pPr>
        <w:spacing w:after="240"/>
        <w:jc w:val="center"/>
        <w:rPr>
          <w:i/>
          <w:iCs/>
        </w:rPr>
      </w:pPr>
    </w:p>
    <w:p w14:paraId="2B7B12DD" w14:textId="1B1A6BA0" w:rsidR="00651E68" w:rsidRDefault="00E9254B">
      <w:pPr>
        <w:spacing w:after="240"/>
        <w:jc w:val="center"/>
      </w:pPr>
      <w:r>
        <w:rPr>
          <w:i/>
          <w:iCs/>
        </w:rPr>
        <w:t>A Reflective Review of Five Set Readings</w:t>
      </w:r>
    </w:p>
    <w:p w14:paraId="2B8F8160" w14:textId="44D05DEC" w:rsidR="00651E68" w:rsidRDefault="00E9254B">
      <w:pPr>
        <w:spacing w:after="120" w:line="360" w:lineRule="auto"/>
        <w:ind w:firstLine="480"/>
        <w:jc w:val="both"/>
      </w:pPr>
      <w:r>
        <w:t xml:space="preserve">The five readings reviewed below trace the central arc of Christian theology as it moves from the diagnosis of human disorder to the hope of cosmic renewal. Augustine and the Pelagian controversy frame the problem of sin and grace; the Philippian hymn and Anselm supply the </w:t>
      </w:r>
      <w:r w:rsidR="00410E27">
        <w:t>Christological</w:t>
      </w:r>
      <w:r>
        <w:t xml:space="preserve"> and soteriological centre; and </w:t>
      </w:r>
      <w:proofErr w:type="spellStart"/>
      <w:r>
        <w:t>Moltmann</w:t>
      </w:r>
      <w:proofErr w:type="spellEnd"/>
      <w:r>
        <w:t xml:space="preserve"> reorients the whole toward eschatology. Each is assessed for the character of its argument and its usefulness for theological study.</w:t>
      </w:r>
    </w:p>
    <w:p w14:paraId="3B631897" w14:textId="77777777" w:rsidR="00651E68" w:rsidRPr="00410E27" w:rsidRDefault="00E9254B">
      <w:pPr>
        <w:pStyle w:val="Heading2"/>
        <w:spacing w:before="240" w:after="120"/>
        <w:rPr>
          <w:color w:val="auto"/>
        </w:rPr>
      </w:pPr>
      <w:r w:rsidRPr="00410E27">
        <w:rPr>
          <w:b/>
          <w:bCs/>
          <w:color w:val="auto"/>
        </w:rPr>
        <w:t>Augustine, Confessions, Book VII (Chapters 1–16)</w:t>
      </w:r>
    </w:p>
    <w:p w14:paraId="63B33517" w14:textId="77777777" w:rsidR="00651E68" w:rsidRDefault="00E9254B">
      <w:pPr>
        <w:spacing w:after="120" w:line="360" w:lineRule="auto"/>
        <w:ind w:firstLine="480"/>
        <w:jc w:val="both"/>
      </w:pPr>
      <w:r>
        <w:t xml:space="preserve">Book VII of the </w:t>
      </w:r>
      <w:r>
        <w:rPr>
          <w:i/>
          <w:iCs/>
        </w:rPr>
        <w:t>Confessions</w:t>
      </w:r>
      <w:r>
        <w:t xml:space="preserve"> records the intellectual crisis that preceded Augustine’s conversion, and it is above all an account of how he learned to think about God without imagining God as a body extended in space.</w:t>
      </w:r>
      <w:r>
        <w:rPr>
          <w:vertAlign w:val="superscript"/>
        </w:rPr>
        <w:t>1</w:t>
      </w:r>
      <w:r>
        <w:t xml:space="preserve"> The young Augustine, still shaped by Manichaean materialism, could not conceive of a substance that was real yet incorporeal, and so he could not conceive of God except as an infinite luminous mass diffused through the universe. The turning point comes through his encounter with “certain books of the Platonists,” which taught him that reality is not exhausted by the corporeal and that the mind can ascend to an immutable, spiritual truth.</w:t>
      </w:r>
    </w:p>
    <w:p w14:paraId="6D08A432" w14:textId="77777777" w:rsidR="00651E68" w:rsidRDefault="00E9254B">
      <w:pPr>
        <w:spacing w:after="120" w:line="360" w:lineRule="auto"/>
        <w:ind w:firstLine="480"/>
        <w:jc w:val="both"/>
      </w:pPr>
      <w:r>
        <w:t xml:space="preserve">The philosophical breakthrough is inseparable from Augustine’s solution to the problem of evil, which forms the theological heart of these chapters. Against the Manichaean dualism that posited an independent principle of evil coeternal with the good, Augustine argues that evil has no substance of its own. Whatever exists, insofar as it exists, is good, because it is willed and sustained by God; evil is therefore </w:t>
      </w:r>
      <w:proofErr w:type="spellStart"/>
      <w:r>
        <w:rPr>
          <w:i/>
          <w:iCs/>
        </w:rPr>
        <w:t>privatio</w:t>
      </w:r>
      <w:proofErr w:type="spellEnd"/>
      <w:r>
        <w:rPr>
          <w:i/>
          <w:iCs/>
        </w:rPr>
        <w:t xml:space="preserve"> </w:t>
      </w:r>
      <w:proofErr w:type="spellStart"/>
      <w:r>
        <w:rPr>
          <w:i/>
          <w:iCs/>
        </w:rPr>
        <w:t>boni</w:t>
      </w:r>
      <w:proofErr w:type="spellEnd"/>
      <w:r>
        <w:t>, a privation or corruption of a good that ought to be present.</w:t>
      </w:r>
      <w:r>
        <w:rPr>
          <w:vertAlign w:val="superscript"/>
        </w:rPr>
        <w:t>2</w:t>
      </w:r>
      <w:r>
        <w:t xml:space="preserve"> This move allows Augustine to preserve both the goodness of creation and the reality of moral wrong, locating the origin of evil not in matter but in the disordered movement of the created will away from the supreme good.</w:t>
      </w:r>
    </w:p>
    <w:p w14:paraId="7F900121" w14:textId="77777777" w:rsidR="00651E68" w:rsidRDefault="00E9254B">
      <w:pPr>
        <w:spacing w:after="120" w:line="360" w:lineRule="auto"/>
        <w:ind w:firstLine="480"/>
        <w:jc w:val="both"/>
      </w:pPr>
      <w:r>
        <w:t xml:space="preserve">What gives Book VII its enduring importance is the honesty with which Augustine records the limits of philosophy. The Platonists showed him the goal but not the way; they enabled him to glimpse the eternal in a fleeting moment of contemplation, yet he lacked the strength to remain there. He famously observes that in these books he read much that resembled the </w:t>
      </w:r>
      <w:r>
        <w:lastRenderedPageBreak/>
        <w:t>prologue of John’s Gospel, but nowhere that the Word became flesh and dwelt among us.</w:t>
      </w:r>
      <w:r>
        <w:rPr>
          <w:vertAlign w:val="superscript"/>
        </w:rPr>
        <w:t>3</w:t>
      </w:r>
      <w:r>
        <w:t xml:space="preserve"> The missing element is the humility of the Incarnation, the mediator who descends to those who cannot ascend.</w:t>
      </w:r>
    </w:p>
    <w:p w14:paraId="52884FA4" w14:textId="77777777" w:rsidR="00651E68" w:rsidRDefault="00E9254B">
      <w:pPr>
        <w:spacing w:after="120" w:line="360" w:lineRule="auto"/>
        <w:ind w:firstLine="480"/>
        <w:jc w:val="both"/>
      </w:pPr>
      <w:r>
        <w:t>For theological study the passage is doubly instructive. It models theology as a practice bound up with autobiography, prayer, and the reordering of desire rather than detached speculation, and it establishes a grammar for speaking of God, creation, and evil that would govern Western theology for a millennium. The chief limitation for the modern reader is that Augustine’s Neoplatonic framework can seem to intellectualise sin, though the later books correct this by exposing the bondage of the will. Read alon</w:t>
      </w:r>
      <w:r>
        <w:t>gside the plain-language rendering, Book VII remains an unrivalled introduction to the conviction that thinking rightly about God and living rightly before God cannot finally be separated.</w:t>
      </w:r>
    </w:p>
    <w:p w14:paraId="52641BC5" w14:textId="77777777" w:rsidR="00651E68" w:rsidRPr="00410E27" w:rsidRDefault="00E9254B">
      <w:pPr>
        <w:pStyle w:val="Heading2"/>
        <w:spacing w:before="240" w:after="120"/>
        <w:rPr>
          <w:color w:val="auto"/>
        </w:rPr>
      </w:pPr>
      <w:r w:rsidRPr="00410E27">
        <w:rPr>
          <w:b/>
          <w:bCs/>
          <w:color w:val="auto"/>
        </w:rPr>
        <w:t xml:space="preserve">Mathijs Lamberigts, ‘Pelagius and </w:t>
      </w:r>
      <w:proofErr w:type="spellStart"/>
      <w:r w:rsidRPr="00410E27">
        <w:rPr>
          <w:b/>
          <w:bCs/>
          <w:color w:val="auto"/>
        </w:rPr>
        <w:t>Pelagians</w:t>
      </w:r>
      <w:proofErr w:type="spellEnd"/>
      <w:r w:rsidRPr="00410E27">
        <w:rPr>
          <w:b/>
          <w:bCs/>
          <w:color w:val="auto"/>
        </w:rPr>
        <w:t>’</w:t>
      </w:r>
    </w:p>
    <w:p w14:paraId="658A428F" w14:textId="77777777" w:rsidR="00651E68" w:rsidRDefault="00E9254B">
      <w:pPr>
        <w:spacing w:after="120" w:line="360" w:lineRule="auto"/>
        <w:ind w:firstLine="480"/>
        <w:jc w:val="both"/>
      </w:pPr>
      <w:proofErr w:type="spellStart"/>
      <w:r>
        <w:t>Lamberigts’s</w:t>
      </w:r>
      <w:proofErr w:type="spellEnd"/>
      <w:r>
        <w:t xml:space="preserve"> essay offers a historically careful account of Pelagius and the movement associated with his name, and its central argument is revisionist: much of what has traditionally been called “Pelagianism” is a construction of its opponents, above all Augustine, rather than a faithful summary of Pelagius’s own teaching.</w:t>
      </w:r>
      <w:r>
        <w:rPr>
          <w:vertAlign w:val="superscript"/>
        </w:rPr>
        <w:t>4</w:t>
      </w:r>
      <w:r>
        <w:t xml:space="preserve"> </w:t>
      </w:r>
      <w:proofErr w:type="spellStart"/>
      <w:r>
        <w:t>Lamberigts</w:t>
      </w:r>
      <w:proofErr w:type="spellEnd"/>
      <w:r>
        <w:t xml:space="preserve"> reconstructs Pelagius as a serious ascetic reformer, concerned above all that Christians should take moral responsibility seriously and not excuse sin by appeal to the weakness of human nature.</w:t>
      </w:r>
    </w:p>
    <w:p w14:paraId="04285AAB" w14:textId="143BFBCE" w:rsidR="00651E68" w:rsidRDefault="00E9254B">
      <w:pPr>
        <w:spacing w:after="120" w:line="360" w:lineRule="auto"/>
        <w:ind w:firstLine="480"/>
        <w:jc w:val="both"/>
      </w:pPr>
      <w:r>
        <w:t xml:space="preserve">The key characteristics of the argument are its attention to sources and its refusal to flatten a complex debate into a simple contest between grace and works. </w:t>
      </w:r>
      <w:proofErr w:type="spellStart"/>
      <w:r>
        <w:t>Lamberigts</w:t>
      </w:r>
      <w:proofErr w:type="spellEnd"/>
      <w:r>
        <w:t xml:space="preserve"> distinguishes the views of Pelagius himself from those of later associates such as Caelestius and Julian of </w:t>
      </w:r>
      <w:proofErr w:type="spellStart"/>
      <w:r>
        <w:t>Eclanum</w:t>
      </w:r>
      <w:proofErr w:type="spellEnd"/>
      <w:r>
        <w:t xml:space="preserve">, whose more combative formulations hardened the controversy. He shows that Pelagius affirmed </w:t>
      </w:r>
      <w:r w:rsidR="00410E27">
        <w:t>grace but</w:t>
      </w:r>
      <w:r>
        <w:t xml:space="preserve"> understood it chiefly as the gift of created human nature, the law, and the example and teaching of Christ, rather than as an interior transformation of the will.</w:t>
      </w:r>
      <w:r>
        <w:rPr>
          <w:vertAlign w:val="superscript"/>
        </w:rPr>
        <w:t>5</w:t>
      </w:r>
      <w:r>
        <w:t xml:space="preserve"> The dispute, on this reading, turns less on whether grace is necessary than on what grace is and how it operates.</w:t>
      </w:r>
    </w:p>
    <w:p w14:paraId="1B2B091F" w14:textId="77777777" w:rsidR="00651E68" w:rsidRDefault="00E9254B">
      <w:pPr>
        <w:spacing w:after="120" w:line="360" w:lineRule="auto"/>
        <w:ind w:firstLine="480"/>
        <w:jc w:val="both"/>
      </w:pPr>
      <w:r>
        <w:t>This matters theologically because it clarifies what was genuinely at stake in one of the formative controversies of Western Christianity. Augustine’s doctrines of original sin, the bondage of the will, and prevenient grace were forged in this conflict, and the Councils of Carthage and later Orange settled the question in his favour.</w:t>
      </w:r>
      <w:r>
        <w:rPr>
          <w:vertAlign w:val="superscript"/>
        </w:rPr>
        <w:t>6</w:t>
      </w:r>
      <w:r>
        <w:t xml:space="preserve"> Yet </w:t>
      </w:r>
      <w:proofErr w:type="spellStart"/>
      <w:r>
        <w:t>Lamberigts</w:t>
      </w:r>
      <w:proofErr w:type="spellEnd"/>
      <w:r>
        <w:t xml:space="preserve"> helps the student see that the caricature of Pelagius as a proud advocate of self-salvation obscures a legitimate pastoral concern that moral effort should not be dismissed as pointless.</w:t>
      </w:r>
    </w:p>
    <w:p w14:paraId="5D09AA2D" w14:textId="77777777" w:rsidR="00651E68" w:rsidRDefault="00E9254B">
      <w:pPr>
        <w:spacing w:after="120" w:line="360" w:lineRule="auto"/>
        <w:ind w:firstLine="480"/>
        <w:jc w:val="both"/>
      </w:pPr>
      <w:r>
        <w:lastRenderedPageBreak/>
        <w:t xml:space="preserve">For theological study the essay is valuable precisely as a corrective to received narratives. It teaches methodological caution: doctrines are often defined against an opponent, and the victor writes the history. Its limitation is that, in rehabilitating Pelagius, it can underplay the coherence of Augustine’s deeper insight into the will’s incapacity to heal itself, an insight that Book VII of the </w:t>
      </w:r>
      <w:r>
        <w:rPr>
          <w:i/>
          <w:iCs/>
        </w:rPr>
        <w:t>Confessions</w:t>
      </w:r>
      <w:r>
        <w:t xml:space="preserve"> had already </w:t>
      </w:r>
      <w:proofErr w:type="spellStart"/>
      <w:r>
        <w:t>dramatised</w:t>
      </w:r>
      <w:proofErr w:type="spellEnd"/>
      <w:r>
        <w:t xml:space="preserve">. Read together, Augustine and </w:t>
      </w:r>
      <w:proofErr w:type="spellStart"/>
      <w:r>
        <w:t>Lamberigts</w:t>
      </w:r>
      <w:proofErr w:type="spellEnd"/>
      <w:r>
        <w:t xml:space="preserve"> frame the enduring theological question of how divine grace and human freedom are related, a question that no subsequent account of salvation can avoid.</w:t>
      </w:r>
    </w:p>
    <w:p w14:paraId="56D257DD" w14:textId="77777777" w:rsidR="00651E68" w:rsidRPr="00410E27" w:rsidRDefault="00E9254B">
      <w:pPr>
        <w:pStyle w:val="Heading2"/>
        <w:spacing w:before="240" w:after="120"/>
        <w:rPr>
          <w:color w:val="auto"/>
        </w:rPr>
      </w:pPr>
      <w:r w:rsidRPr="00410E27">
        <w:rPr>
          <w:b/>
          <w:bCs/>
          <w:color w:val="auto"/>
        </w:rPr>
        <w:t>Philippians 2 (The Christ Hymn)</w:t>
      </w:r>
    </w:p>
    <w:p w14:paraId="5E81991E" w14:textId="77777777" w:rsidR="00651E68" w:rsidRDefault="00E9254B">
      <w:pPr>
        <w:spacing w:after="120" w:line="360" w:lineRule="auto"/>
        <w:ind w:firstLine="480"/>
        <w:jc w:val="both"/>
      </w:pPr>
      <w:r>
        <w:t xml:space="preserve">Philippians 2.5–11, commonly called the Carmen Christi, is among the earliest and most influential </w:t>
      </w:r>
      <w:proofErr w:type="spellStart"/>
      <w:r>
        <w:t>christological</w:t>
      </w:r>
      <w:proofErr w:type="spellEnd"/>
      <w:r>
        <w:t xml:space="preserve"> texts in the New Testament, very probably a pre-Pauline hymn that Paul incorporates into a pastoral appeal.</w:t>
      </w:r>
      <w:r>
        <w:rPr>
          <w:vertAlign w:val="superscript"/>
        </w:rPr>
        <w:t>7</w:t>
      </w:r>
      <w:r>
        <w:t xml:space="preserve"> The passage narrates a movement of descent and exaltation: the one who was in the form of God did not grasp at equality with God but emptied himself, taking the form of a servant and becoming obedient to death, even death on a cross; therefore God has highly exalted him and given him the name above every name.</w:t>
      </w:r>
    </w:p>
    <w:p w14:paraId="2CDBF9F4" w14:textId="77777777" w:rsidR="00651E68" w:rsidRDefault="00E9254B">
      <w:pPr>
        <w:spacing w:after="120" w:line="360" w:lineRule="auto"/>
        <w:ind w:firstLine="480"/>
        <w:jc w:val="both"/>
      </w:pPr>
      <w:r>
        <w:t xml:space="preserve">The central characteristic of the text is that it presents a narrative Christology rather than a set of abstract predicates. Its key term, </w:t>
      </w:r>
      <w:r>
        <w:rPr>
          <w:i/>
          <w:iCs/>
        </w:rPr>
        <w:t>kenosis</w:t>
      </w:r>
      <w:r>
        <w:t xml:space="preserve"> (self-emptying), has generated centuries of debate about what precisely the pre-existent Christ set aside, and whether the hymn presupposes his divine pre-existence or speaks primarily of the human Jesus as a second Adam who reverses the grasping of the first.</w:t>
      </w:r>
      <w:r>
        <w:rPr>
          <w:vertAlign w:val="superscript"/>
        </w:rPr>
        <w:t>8</w:t>
      </w:r>
      <w:r>
        <w:t xml:space="preserve"> Whatever exegetical decision one reaches, the hymn binds together the highest claims about Christ’s status with the deepest abasement of the cross.</w:t>
      </w:r>
    </w:p>
    <w:p w14:paraId="0E10C841" w14:textId="77777777" w:rsidR="00651E68" w:rsidRDefault="00E9254B">
      <w:pPr>
        <w:spacing w:after="120" w:line="360" w:lineRule="auto"/>
        <w:ind w:firstLine="480"/>
        <w:jc w:val="both"/>
      </w:pPr>
      <w:r>
        <w:t xml:space="preserve">The theological importance of the passage can hardly be overstated. It supplied essential vocabulary for the later </w:t>
      </w:r>
      <w:proofErr w:type="spellStart"/>
      <w:r>
        <w:t>christological</w:t>
      </w:r>
      <w:proofErr w:type="spellEnd"/>
      <w:r>
        <w:t xml:space="preserve"> councils, which had to reconcile the affirmation that Christ is “in the form of God” with the confession that he genuinely suffered and died. It also grounds the crucial Christian claim that the character of God is revealed precisely in self-giving humility, so that the cross is not a contradiction of divinity but its disclosure.</w:t>
      </w:r>
      <w:r>
        <w:rPr>
          <w:vertAlign w:val="superscript"/>
        </w:rPr>
        <w:t>9</w:t>
      </w:r>
      <w:r>
        <w:t xml:space="preserve"> Paul’s pastoral use of the hymn, urging the Philippians to have this mind among themselves, further shows that Christology and ethics are inseparable: the doctrine of Christ funds a manner of life.</w:t>
      </w:r>
    </w:p>
    <w:p w14:paraId="34DF2B73" w14:textId="77777777" w:rsidR="00651E68" w:rsidRDefault="00E9254B">
      <w:pPr>
        <w:spacing w:after="120" w:line="360" w:lineRule="auto"/>
        <w:ind w:firstLine="480"/>
        <w:jc w:val="both"/>
      </w:pPr>
      <w:r>
        <w:t xml:space="preserve">For theological study the hymn is indispensable as a primary witness to how the earliest Christians already worshipped Jesus in terms proper to God while narrating his full humanity. Its compression is both its strength and its difficulty; every phrase has borne enormous doctrinal weight, and the student must resist reading later conciliar precision back into a </w:t>
      </w:r>
      <w:r>
        <w:lastRenderedPageBreak/>
        <w:t>liturgical poem. Read as the seed from which patristic Christology grew, Philippians 2 anchors the entire course’s question of who Jesus is.</w:t>
      </w:r>
    </w:p>
    <w:p w14:paraId="70929957" w14:textId="77777777" w:rsidR="00651E68" w:rsidRPr="00410E27" w:rsidRDefault="00E9254B">
      <w:pPr>
        <w:pStyle w:val="Heading2"/>
        <w:spacing w:before="240" w:after="120"/>
        <w:rPr>
          <w:color w:val="auto"/>
        </w:rPr>
      </w:pPr>
      <w:r w:rsidRPr="00410E27">
        <w:rPr>
          <w:b/>
          <w:bCs/>
          <w:color w:val="auto"/>
        </w:rPr>
        <w:t>Anselm, Cur Deus Homo, Book I (Chapters 11–15)</w:t>
      </w:r>
    </w:p>
    <w:p w14:paraId="43119225" w14:textId="77777777" w:rsidR="00651E68" w:rsidRDefault="00E9254B">
      <w:pPr>
        <w:spacing w:after="120" w:line="360" w:lineRule="auto"/>
        <w:ind w:firstLine="480"/>
        <w:jc w:val="both"/>
      </w:pPr>
      <w:r>
        <w:t xml:space="preserve">Anselm’s </w:t>
      </w:r>
      <w:r>
        <w:rPr>
          <w:i/>
          <w:iCs/>
        </w:rPr>
        <w:t>Cur Deus Homo</w:t>
      </w:r>
      <w:r>
        <w:t xml:space="preserve"> (“Why God Became Man”) is the classic statement of the satisfaction theory of the atonement, and chapters 11 to 15 of Book I contain the argument’s decisive steps.</w:t>
      </w:r>
      <w:r>
        <w:rPr>
          <w:vertAlign w:val="superscript"/>
        </w:rPr>
        <w:t>10</w:t>
      </w:r>
      <w:r>
        <w:t xml:space="preserve"> Anselm defines sin as failing to render God the honour that is his due: “to sin is nothing other than not to render to God what is owed.” The one who sins takes from God what belongs to him and dishonours him, and justice requires that this debt be repaid with something over and above what was owed.</w:t>
      </w:r>
    </w:p>
    <w:p w14:paraId="142072E1" w14:textId="77777777" w:rsidR="00651E68" w:rsidRDefault="00E9254B">
      <w:pPr>
        <w:spacing w:after="120" w:line="360" w:lineRule="auto"/>
        <w:ind w:firstLine="480"/>
        <w:jc w:val="both"/>
      </w:pPr>
      <w:r>
        <w:t xml:space="preserve">The argument proceeds with a rigorously logical, quasi-legal character that reflects Anselm’s aim to prove the necessity of the Incarnation </w:t>
      </w:r>
      <w:proofErr w:type="spellStart"/>
      <w:r>
        <w:rPr>
          <w:i/>
          <w:iCs/>
        </w:rPr>
        <w:t>remoto</w:t>
      </w:r>
      <w:proofErr w:type="spellEnd"/>
      <w:r>
        <w:rPr>
          <w:i/>
          <w:iCs/>
        </w:rPr>
        <w:t xml:space="preserve"> Christo</w:t>
      </w:r>
      <w:r>
        <w:t>, that is, by reason alone without presupposing Christ.</w:t>
      </w:r>
      <w:r>
        <w:rPr>
          <w:vertAlign w:val="superscript"/>
        </w:rPr>
        <w:t>11</w:t>
      </w:r>
      <w:r>
        <w:t xml:space="preserve"> In these chapters he insists that God cannot simply overlook sin, for to leave sin unpunished and unsatisfied would be to treat the just and the unjust alike, which is unfitting for God’s ordered justice. The disorder introduced by sin must be set right if the beauty of the created order is to be preserved.</w:t>
      </w:r>
    </w:p>
    <w:p w14:paraId="3BE3E89F" w14:textId="65FF3DB1" w:rsidR="00651E68" w:rsidRDefault="00E9254B">
      <w:pPr>
        <w:spacing w:after="120" w:line="360" w:lineRule="auto"/>
        <w:ind w:firstLine="480"/>
        <w:jc w:val="both"/>
      </w:pPr>
      <w:r>
        <w:t>The dilemma Anselm constructs is the engine of the whole work. The satisfaction owed is infinite, because it is offered to the infinite God, and so no mere creature can pay it; yet the debt is owed by humanity, and so it must be paid by a human being. The conclusion, drawn in Book II, is that satisfaction can be made only by one who is both God and man.</w:t>
      </w:r>
      <w:r>
        <w:rPr>
          <w:vertAlign w:val="superscript"/>
        </w:rPr>
        <w:t>12</w:t>
      </w:r>
      <w:r>
        <w:t xml:space="preserve"> The </w:t>
      </w:r>
      <w:r w:rsidR="00410E27">
        <w:t>Christological</w:t>
      </w:r>
      <w:r>
        <w:t xml:space="preserve"> confession of the earlier tradition is thus given a soteriological rationale: the </w:t>
      </w:r>
      <w:proofErr w:type="gramStart"/>
      <w:r>
        <w:t>God-man</w:t>
      </w:r>
      <w:proofErr w:type="gramEnd"/>
      <w:r>
        <w:t xml:space="preserve"> alone can restore what sin has disordered.</w:t>
      </w:r>
    </w:p>
    <w:p w14:paraId="315FEF28" w14:textId="77777777" w:rsidR="00651E68" w:rsidRDefault="00E9254B">
      <w:pPr>
        <w:spacing w:after="120" w:line="360" w:lineRule="auto"/>
        <w:ind w:firstLine="480"/>
        <w:jc w:val="both"/>
      </w:pPr>
      <w:r>
        <w:t>The theological importance of the treatise lies in its systematic linking of sin, justice, and Incarnation, and it has shaped Western soteriology, both Catholic and Protestant, ever since. Its limitations are equally instructive: critics have argued that the feudal categories of honour and satisfaction are historically conditioned, that the scheme can appear to set the Son against the Father, and that it underplays the resurrection and the transforming, participatory dimension of salvation.</w:t>
      </w:r>
      <w:r>
        <w:rPr>
          <w:vertAlign w:val="superscript"/>
        </w:rPr>
        <w:t>13</w:t>
      </w:r>
      <w:r>
        <w:t xml:space="preserve"> For theological study the value of Anselm is not that his theory is the last word, but that it states the problem of atonement with unmatched clarity and forces every alternative account to answer the questions he raises.</w:t>
      </w:r>
    </w:p>
    <w:p w14:paraId="4866B1BD" w14:textId="77777777" w:rsidR="00651E68" w:rsidRPr="00410E27" w:rsidRDefault="00E9254B">
      <w:pPr>
        <w:pStyle w:val="Heading2"/>
        <w:spacing w:before="240" w:after="120"/>
        <w:rPr>
          <w:color w:val="auto"/>
        </w:rPr>
      </w:pPr>
      <w:r w:rsidRPr="00410E27">
        <w:rPr>
          <w:b/>
          <w:bCs/>
          <w:color w:val="auto"/>
        </w:rPr>
        <w:t>Jürgen Moltmann, Theology of Hope</w:t>
      </w:r>
    </w:p>
    <w:p w14:paraId="26BD8231" w14:textId="77777777" w:rsidR="00651E68" w:rsidRDefault="00E9254B">
      <w:pPr>
        <w:spacing w:after="120" w:line="360" w:lineRule="auto"/>
        <w:ind w:firstLine="480"/>
        <w:jc w:val="both"/>
      </w:pPr>
      <w:proofErr w:type="spellStart"/>
      <w:r>
        <w:lastRenderedPageBreak/>
        <w:t>Moltmann’s</w:t>
      </w:r>
      <w:proofErr w:type="spellEnd"/>
      <w:r>
        <w:t xml:space="preserve"> </w:t>
      </w:r>
      <w:r>
        <w:rPr>
          <w:i/>
          <w:iCs/>
        </w:rPr>
        <w:t>Theology of Hope</w:t>
      </w:r>
      <w:r>
        <w:t xml:space="preserve"> (1964) reorients Christian theology around eschatology, arguing that hope is not one doctrine among others, appended at the end of the system, but the medium in which all Christian theology is done.</w:t>
      </w:r>
      <w:r>
        <w:rPr>
          <w:vertAlign w:val="superscript"/>
        </w:rPr>
        <w:t>14</w:t>
      </w:r>
      <w:r>
        <w:t xml:space="preserve"> His programmatic claim is that eschatology is the doctrine of Christian hope, and that from first to last, and not merely in the epilogue, Christianity is eschatology, is hope, forward looking and forward moving, and therefore also revolutionising and transforming the present.</w:t>
      </w:r>
    </w:p>
    <w:p w14:paraId="4F38662B" w14:textId="77777777" w:rsidR="00651E68" w:rsidRDefault="00E9254B">
      <w:pPr>
        <w:spacing w:after="120" w:line="360" w:lineRule="auto"/>
        <w:ind w:firstLine="480"/>
        <w:jc w:val="both"/>
      </w:pPr>
      <w:r>
        <w:t xml:space="preserve">The key characteristic of the argument is its grounding of hope in the resurrection of the crucified Christ, understood as God’s promise for the future of all reality. Drawing on the biblical category of promise, </w:t>
      </w:r>
      <w:proofErr w:type="spellStart"/>
      <w:r>
        <w:t>Moltmann</w:t>
      </w:r>
      <w:proofErr w:type="spellEnd"/>
      <w:r>
        <w:t xml:space="preserve"> contends that the God of the Exodus and the resurrection is a God whose faithfulness lies ahead, in a future that stands in contradiction to present suffering and death.</w:t>
      </w:r>
      <w:r>
        <w:rPr>
          <w:vertAlign w:val="superscript"/>
        </w:rPr>
        <w:t>15</w:t>
      </w:r>
      <w:r>
        <w:t xml:space="preserve"> Hope is therefore not passive expectation but a restless, critical force that refuses to accept the present order as final and impels the Church into mission and social engagement.</w:t>
      </w:r>
    </w:p>
    <w:p w14:paraId="41B46DB1" w14:textId="77777777" w:rsidR="00651E68" w:rsidRDefault="00E9254B">
      <w:pPr>
        <w:spacing w:after="120" w:line="360" w:lineRule="auto"/>
        <w:ind w:firstLine="480"/>
        <w:jc w:val="both"/>
      </w:pPr>
      <w:proofErr w:type="spellStart"/>
      <w:r>
        <w:t>Moltmann</w:t>
      </w:r>
      <w:proofErr w:type="spellEnd"/>
      <w:r>
        <w:t xml:space="preserve"> writes in explicit dialogue with the Marxist philosopher Ernst Bloch, whose </w:t>
      </w:r>
      <w:r>
        <w:rPr>
          <w:i/>
          <w:iCs/>
        </w:rPr>
        <w:t>Principle of Hope</w:t>
      </w:r>
      <w:r>
        <w:t xml:space="preserve"> had recovered the category of the “not yet,” and he seeks to give this secular utopianism a theological ground in the promises of God.</w:t>
      </w:r>
      <w:r>
        <w:rPr>
          <w:vertAlign w:val="superscript"/>
        </w:rPr>
        <w:t>16</w:t>
      </w:r>
      <w:r>
        <w:t xml:space="preserve"> The result is a theology that is intensely practical: because the future belongs to God, the present is opened up, and the believer is set against every settled arrangement that treats injustice and death as permanent.</w:t>
      </w:r>
    </w:p>
    <w:p w14:paraId="41E0F29F" w14:textId="77777777" w:rsidR="00651E68" w:rsidRDefault="00E9254B">
      <w:pPr>
        <w:spacing w:after="120" w:line="360" w:lineRule="auto"/>
        <w:ind w:firstLine="480"/>
        <w:jc w:val="both"/>
      </w:pPr>
      <w:r>
        <w:t>The importance of the work for our understanding of theology is that it recovers the future tense of Christian faith and shows that salvation, as the course has framed it, concerns not merely the individual soul but the transformation of the whole creation. It thereby connects the earlier themes of the course, sin, Christ, and atonement, to a horizon of cosmic renewal.</w:t>
      </w:r>
      <w:r>
        <w:rPr>
          <w:vertAlign w:val="superscript"/>
        </w:rPr>
        <w:t>17</w:t>
      </w:r>
      <w:r>
        <w:t xml:space="preserve"> Its limitations are that the emphasis on the future can seem to slight the presence of God in the here and now, a criticism </w:t>
      </w:r>
      <w:proofErr w:type="spellStart"/>
      <w:r>
        <w:t>Moltmann</w:t>
      </w:r>
      <w:proofErr w:type="spellEnd"/>
      <w:r>
        <w:t xml:space="preserve"> himself later addressed through his theology of the Spirit. For theological study it stands as the pre-eminent modern statement that Christianity is, at its heart, a religion of hope, and that to think about God is finally to think about the promised future of all things.</w:t>
      </w:r>
    </w:p>
    <w:p w14:paraId="6DC89700" w14:textId="77777777" w:rsidR="00651E68" w:rsidRDefault="00E9254B">
      <w:r>
        <w:br w:type="page"/>
      </w:r>
    </w:p>
    <w:p w14:paraId="4355C1A7" w14:textId="77777777" w:rsidR="00651E68" w:rsidRDefault="00E9254B">
      <w:pPr>
        <w:spacing w:after="120"/>
      </w:pPr>
      <w:r>
        <w:rPr>
          <w:b/>
          <w:bCs/>
          <w:sz w:val="26"/>
          <w:szCs w:val="26"/>
        </w:rPr>
        <w:lastRenderedPageBreak/>
        <w:t>Notes</w:t>
      </w:r>
    </w:p>
    <w:p w14:paraId="4BF2F7D0" w14:textId="77777777" w:rsidR="00651E68" w:rsidRDefault="00E9254B">
      <w:pPr>
        <w:spacing w:after="60" w:line="276" w:lineRule="auto"/>
        <w:ind w:left="360" w:hanging="360"/>
      </w:pPr>
      <w:r>
        <w:rPr>
          <w:sz w:val="22"/>
          <w:szCs w:val="22"/>
        </w:rPr>
        <w:t xml:space="preserve">1. </w:t>
      </w:r>
      <w:r>
        <w:rPr>
          <w:sz w:val="22"/>
          <w:szCs w:val="22"/>
        </w:rPr>
        <w:t>Augustine, Confessions, trans. by Henry Chadwick (Oxford: Oxford University Press, 1991), Book VII. References follow the standard chapter divisions.</w:t>
      </w:r>
    </w:p>
    <w:p w14:paraId="4319BFBA" w14:textId="77777777" w:rsidR="00651E68" w:rsidRDefault="00E9254B">
      <w:pPr>
        <w:spacing w:after="60" w:line="276" w:lineRule="auto"/>
        <w:ind w:left="360" w:hanging="360"/>
      </w:pPr>
      <w:r>
        <w:rPr>
          <w:sz w:val="22"/>
          <w:szCs w:val="22"/>
        </w:rPr>
        <w:t>2. The privation account is developed at Confessions VII.12; compare Augustine, Enchiridion, 11, where evil is defined as the absence of good.</w:t>
      </w:r>
    </w:p>
    <w:p w14:paraId="4DDD2241" w14:textId="77777777" w:rsidR="00651E68" w:rsidRDefault="00E9254B">
      <w:pPr>
        <w:spacing w:after="60" w:line="276" w:lineRule="auto"/>
        <w:ind w:left="360" w:hanging="360"/>
      </w:pPr>
      <w:r>
        <w:rPr>
          <w:sz w:val="22"/>
          <w:szCs w:val="22"/>
        </w:rPr>
        <w:t>3. Confessions VII.9. The contrast between Platonist ascent and the incarnation is the pivot on which Book VII turns.</w:t>
      </w:r>
    </w:p>
    <w:p w14:paraId="3777EFBB" w14:textId="77777777" w:rsidR="00651E68" w:rsidRDefault="00E9254B">
      <w:pPr>
        <w:spacing w:after="60" w:line="276" w:lineRule="auto"/>
        <w:ind w:left="360" w:hanging="360"/>
      </w:pPr>
      <w:r>
        <w:rPr>
          <w:sz w:val="22"/>
          <w:szCs w:val="22"/>
        </w:rPr>
        <w:t xml:space="preserve">4. </w:t>
      </w:r>
      <w:r>
        <w:rPr>
          <w:sz w:val="22"/>
          <w:szCs w:val="22"/>
        </w:rPr>
        <w:t xml:space="preserve">Mathijs Lamberigts, ‘Pelagius and the </w:t>
      </w:r>
      <w:proofErr w:type="spellStart"/>
      <w:r>
        <w:rPr>
          <w:sz w:val="22"/>
          <w:szCs w:val="22"/>
        </w:rPr>
        <w:t>Pelagians</w:t>
      </w:r>
      <w:proofErr w:type="spellEnd"/>
      <w:r>
        <w:rPr>
          <w:sz w:val="22"/>
          <w:szCs w:val="22"/>
        </w:rPr>
        <w:t>’, in The Cambridge History of Christianity, ed. by Augustine Casiday and Frederick W. Norris (Cambridge: Cambridge University Press, 2007), II, pp. 258–79.</w:t>
      </w:r>
    </w:p>
    <w:p w14:paraId="0F34A3CA" w14:textId="77777777" w:rsidR="00651E68" w:rsidRDefault="00E9254B">
      <w:pPr>
        <w:spacing w:after="60" w:line="276" w:lineRule="auto"/>
        <w:ind w:left="360" w:hanging="360"/>
      </w:pPr>
      <w:r>
        <w:rPr>
          <w:sz w:val="22"/>
          <w:szCs w:val="22"/>
        </w:rPr>
        <w:t xml:space="preserve">5. </w:t>
      </w:r>
      <w:proofErr w:type="spellStart"/>
      <w:r>
        <w:rPr>
          <w:sz w:val="22"/>
          <w:szCs w:val="22"/>
        </w:rPr>
        <w:t>Lamberigts</w:t>
      </w:r>
      <w:proofErr w:type="spellEnd"/>
      <w:r>
        <w:rPr>
          <w:sz w:val="22"/>
          <w:szCs w:val="22"/>
        </w:rPr>
        <w:t>, pp. 262–67, on the several senses of gratia at issue between Pelagius and Augustine.</w:t>
      </w:r>
    </w:p>
    <w:p w14:paraId="717C4177" w14:textId="77777777" w:rsidR="00651E68" w:rsidRDefault="00E9254B">
      <w:pPr>
        <w:spacing w:after="60" w:line="276" w:lineRule="auto"/>
        <w:ind w:left="360" w:hanging="360"/>
      </w:pPr>
      <w:r>
        <w:rPr>
          <w:sz w:val="22"/>
          <w:szCs w:val="22"/>
        </w:rPr>
        <w:t>6. The Council of Carthage (418) and the Second Council of Orange (529) affirmed the necessity of interior grace against positions labelled Pelagian and semi-Pelagian.</w:t>
      </w:r>
    </w:p>
    <w:p w14:paraId="46E85E34" w14:textId="77777777" w:rsidR="00651E68" w:rsidRDefault="00E9254B">
      <w:pPr>
        <w:spacing w:after="60" w:line="276" w:lineRule="auto"/>
        <w:ind w:left="360" w:hanging="360"/>
      </w:pPr>
      <w:r>
        <w:rPr>
          <w:sz w:val="22"/>
          <w:szCs w:val="22"/>
        </w:rPr>
        <w:t xml:space="preserve">7. </w:t>
      </w:r>
      <w:r>
        <w:rPr>
          <w:sz w:val="22"/>
          <w:szCs w:val="22"/>
        </w:rPr>
        <w:t>Philippians 2.5–11. On the hymn’s pre-Pauline origin and structure see Ralph P. Martin, A Hymn of Christ: Philippians 2:5–11 in Recent Interpretation (Downers Grove, IL: InterVarsity Press, 1997).</w:t>
      </w:r>
    </w:p>
    <w:p w14:paraId="5B72C0FD" w14:textId="77777777" w:rsidR="00651E68" w:rsidRDefault="00E9254B">
      <w:pPr>
        <w:spacing w:after="60" w:line="276" w:lineRule="auto"/>
        <w:ind w:left="360" w:hanging="360"/>
      </w:pPr>
      <w:r>
        <w:rPr>
          <w:sz w:val="22"/>
          <w:szCs w:val="22"/>
        </w:rPr>
        <w:t xml:space="preserve">8. The Adam-Christology reading is associated with James D. G. Dunn, Christology in the Making, 2nd </w:t>
      </w:r>
      <w:proofErr w:type="spellStart"/>
      <w:r>
        <w:rPr>
          <w:sz w:val="22"/>
          <w:szCs w:val="22"/>
        </w:rPr>
        <w:t>edn</w:t>
      </w:r>
      <w:proofErr w:type="spellEnd"/>
      <w:r>
        <w:rPr>
          <w:sz w:val="22"/>
          <w:szCs w:val="22"/>
        </w:rPr>
        <w:t xml:space="preserve"> (London: SCM Press, 1989); the pre-existence reading remains the majority view.</w:t>
      </w:r>
    </w:p>
    <w:p w14:paraId="5C628A6B" w14:textId="77777777" w:rsidR="00651E68" w:rsidRDefault="00E9254B">
      <w:pPr>
        <w:spacing w:after="60" w:line="276" w:lineRule="auto"/>
        <w:ind w:left="360" w:hanging="360"/>
      </w:pPr>
      <w:r>
        <w:rPr>
          <w:sz w:val="22"/>
          <w:szCs w:val="22"/>
        </w:rPr>
        <w:t xml:space="preserve">9. </w:t>
      </w:r>
      <w:r>
        <w:rPr>
          <w:sz w:val="22"/>
          <w:szCs w:val="22"/>
        </w:rPr>
        <w:t xml:space="preserve">This insight is developed </w:t>
      </w:r>
      <w:proofErr w:type="spellStart"/>
      <w:r>
        <w:rPr>
          <w:sz w:val="22"/>
          <w:szCs w:val="22"/>
        </w:rPr>
        <w:t>christologically</w:t>
      </w:r>
      <w:proofErr w:type="spellEnd"/>
      <w:r>
        <w:rPr>
          <w:sz w:val="22"/>
          <w:szCs w:val="22"/>
        </w:rPr>
        <w:t xml:space="preserve"> at Nicaea and Chalcedon and, in the modern period, in the theologies of the cross of Luther and, later, Moltmann.</w:t>
      </w:r>
    </w:p>
    <w:p w14:paraId="4B6502E9" w14:textId="77777777" w:rsidR="00651E68" w:rsidRDefault="00E9254B">
      <w:pPr>
        <w:spacing w:after="60" w:line="276" w:lineRule="auto"/>
        <w:ind w:left="360" w:hanging="360"/>
      </w:pPr>
      <w:r>
        <w:rPr>
          <w:sz w:val="22"/>
          <w:szCs w:val="22"/>
        </w:rPr>
        <w:t>10. Anselm of Canterbury, Cur Deus Homo, in Anselm: Basic Writings, trans. by Thomas Williams (Indianapolis, IN: Hackett, 2007), Book I, chs. 11–15.</w:t>
      </w:r>
    </w:p>
    <w:p w14:paraId="7D2D8EE4" w14:textId="77777777" w:rsidR="00651E68" w:rsidRDefault="00E9254B">
      <w:pPr>
        <w:spacing w:after="60" w:line="276" w:lineRule="auto"/>
        <w:ind w:left="360" w:hanging="360"/>
      </w:pPr>
      <w:r>
        <w:rPr>
          <w:sz w:val="22"/>
          <w:szCs w:val="22"/>
        </w:rPr>
        <w:t>11. Cur Deus Homo, Preface and I.10. The method of ‘necessary reasons’ is characteristic of Anselm’s theology as ‘faith seeking understanding’.</w:t>
      </w:r>
    </w:p>
    <w:p w14:paraId="57CFB065" w14:textId="77777777" w:rsidR="00651E68" w:rsidRDefault="00E9254B">
      <w:pPr>
        <w:spacing w:after="60" w:line="276" w:lineRule="auto"/>
        <w:ind w:left="360" w:hanging="360"/>
      </w:pPr>
      <w:r>
        <w:rPr>
          <w:sz w:val="22"/>
          <w:szCs w:val="22"/>
        </w:rPr>
        <w:t xml:space="preserve">12. </w:t>
      </w:r>
      <w:r>
        <w:rPr>
          <w:sz w:val="22"/>
          <w:szCs w:val="22"/>
        </w:rPr>
        <w:t>The formal resolution appears at Cur Deus Homo II.6, but its necessity is established by the account of sin and satisfaction in Book I.</w:t>
      </w:r>
    </w:p>
    <w:p w14:paraId="55AEFE5D" w14:textId="77777777" w:rsidR="00651E68" w:rsidRDefault="00E9254B">
      <w:pPr>
        <w:spacing w:after="60" w:line="276" w:lineRule="auto"/>
        <w:ind w:left="360" w:hanging="360"/>
      </w:pPr>
      <w:r>
        <w:rPr>
          <w:sz w:val="22"/>
          <w:szCs w:val="22"/>
        </w:rPr>
        <w:t xml:space="preserve">13. For a survey of these criticisms and the modern retrieval and revision of Anselm see the discussion in McGrath and </w:t>
      </w:r>
      <w:proofErr w:type="spellStart"/>
      <w:r>
        <w:rPr>
          <w:sz w:val="22"/>
          <w:szCs w:val="22"/>
        </w:rPr>
        <w:t>Pogin</w:t>
      </w:r>
      <w:proofErr w:type="spellEnd"/>
      <w:r>
        <w:rPr>
          <w:sz w:val="22"/>
          <w:szCs w:val="22"/>
        </w:rPr>
        <w:t xml:space="preserve"> among the set readings.</w:t>
      </w:r>
    </w:p>
    <w:p w14:paraId="3561104D" w14:textId="77777777" w:rsidR="00651E68" w:rsidRDefault="00E9254B">
      <w:pPr>
        <w:spacing w:after="60" w:line="276" w:lineRule="auto"/>
        <w:ind w:left="360" w:hanging="360"/>
      </w:pPr>
      <w:r>
        <w:rPr>
          <w:sz w:val="22"/>
          <w:szCs w:val="22"/>
        </w:rPr>
        <w:t>14. Jürgen Moltmann, Theology of Hope: On the Ground and the Implications of a Christian Eschatology, trans. by James W. Leitch (London: SCM Press, 1967).</w:t>
      </w:r>
    </w:p>
    <w:p w14:paraId="67BB1DA1" w14:textId="77777777" w:rsidR="00651E68" w:rsidRDefault="00E9254B">
      <w:pPr>
        <w:spacing w:after="60" w:line="276" w:lineRule="auto"/>
        <w:ind w:left="360" w:hanging="360"/>
      </w:pPr>
      <w:r>
        <w:rPr>
          <w:sz w:val="22"/>
          <w:szCs w:val="22"/>
        </w:rPr>
        <w:t xml:space="preserve">15. </w:t>
      </w:r>
      <w:r>
        <w:rPr>
          <w:sz w:val="22"/>
          <w:szCs w:val="22"/>
        </w:rPr>
        <w:t>Moltmann, Theology of Hope, chs. 2–3, on the theology of promise and the resurrection as promissory event.</w:t>
      </w:r>
    </w:p>
    <w:p w14:paraId="106CAA85" w14:textId="77777777" w:rsidR="00651E68" w:rsidRDefault="00E9254B">
      <w:pPr>
        <w:spacing w:after="60" w:line="276" w:lineRule="auto"/>
        <w:ind w:left="360" w:hanging="360"/>
      </w:pPr>
      <w:r>
        <w:rPr>
          <w:sz w:val="22"/>
          <w:szCs w:val="22"/>
        </w:rPr>
        <w:t xml:space="preserve">16. The engagement with Ernst Bloch is acknowledged throughout; see </w:t>
      </w:r>
      <w:proofErr w:type="spellStart"/>
      <w:r>
        <w:rPr>
          <w:sz w:val="22"/>
          <w:szCs w:val="22"/>
        </w:rPr>
        <w:t>Moltmann</w:t>
      </w:r>
      <w:proofErr w:type="spellEnd"/>
      <w:r>
        <w:rPr>
          <w:sz w:val="22"/>
          <w:szCs w:val="22"/>
        </w:rPr>
        <w:t>, Theology of Hope, Introduction.</w:t>
      </w:r>
    </w:p>
    <w:p w14:paraId="33D65B8D" w14:textId="77777777" w:rsidR="00651E68" w:rsidRDefault="00E9254B">
      <w:pPr>
        <w:spacing w:after="60" w:line="276" w:lineRule="auto"/>
        <w:ind w:left="360" w:hanging="360"/>
      </w:pPr>
      <w:r>
        <w:rPr>
          <w:sz w:val="22"/>
          <w:szCs w:val="22"/>
        </w:rPr>
        <w:t xml:space="preserve">17. Compare the eschatological vision of Revelation 21–22, also among the set readings, which </w:t>
      </w:r>
      <w:proofErr w:type="spellStart"/>
      <w:r>
        <w:rPr>
          <w:sz w:val="22"/>
          <w:szCs w:val="22"/>
        </w:rPr>
        <w:t>Moltmann’s</w:t>
      </w:r>
      <w:proofErr w:type="spellEnd"/>
      <w:r>
        <w:rPr>
          <w:sz w:val="22"/>
          <w:szCs w:val="22"/>
        </w:rPr>
        <w:t xml:space="preserve"> theology takes as paradigmatic.</w:t>
      </w:r>
    </w:p>
    <w:p w14:paraId="418302A5" w14:textId="77777777" w:rsidR="00651E68" w:rsidRDefault="00E9254B">
      <w:r>
        <w:br w:type="page"/>
      </w:r>
    </w:p>
    <w:p w14:paraId="5A094649" w14:textId="77777777" w:rsidR="00651E68" w:rsidRDefault="00E9254B">
      <w:pPr>
        <w:spacing w:after="120"/>
      </w:pPr>
      <w:r>
        <w:rPr>
          <w:b/>
          <w:bCs/>
          <w:sz w:val="26"/>
          <w:szCs w:val="26"/>
        </w:rPr>
        <w:lastRenderedPageBreak/>
        <w:t>Bibliography</w:t>
      </w:r>
    </w:p>
    <w:p w14:paraId="30DA5043" w14:textId="77777777" w:rsidR="00651E68" w:rsidRDefault="00E9254B">
      <w:pPr>
        <w:spacing w:after="120" w:line="276" w:lineRule="auto"/>
        <w:ind w:left="480" w:hanging="480"/>
      </w:pPr>
      <w:r>
        <w:t xml:space="preserve">Anselm of Canterbury, </w:t>
      </w:r>
      <w:r>
        <w:rPr>
          <w:i/>
          <w:iCs/>
        </w:rPr>
        <w:t>Cur Deus Homo</w:t>
      </w:r>
      <w:r>
        <w:t>, in Anselm: Basic Writings, trans. by Thomas Williams (Indianapolis, IN: Hackett, 2007)</w:t>
      </w:r>
    </w:p>
    <w:p w14:paraId="4245E9D7" w14:textId="77777777" w:rsidR="00651E68" w:rsidRDefault="00E9254B">
      <w:pPr>
        <w:spacing w:after="120" w:line="276" w:lineRule="auto"/>
        <w:ind w:left="480" w:hanging="480"/>
      </w:pPr>
      <w:r>
        <w:t xml:space="preserve">Augustine, </w:t>
      </w:r>
      <w:r>
        <w:rPr>
          <w:i/>
          <w:iCs/>
        </w:rPr>
        <w:t>Confessions</w:t>
      </w:r>
      <w:r>
        <w:t>, trans. by Henry Chadwick (Oxford: Oxford University Press, 1991)</w:t>
      </w:r>
    </w:p>
    <w:p w14:paraId="0F28AC3C" w14:textId="77777777" w:rsidR="00651E68" w:rsidRDefault="00E9254B">
      <w:pPr>
        <w:spacing w:after="120" w:line="276" w:lineRule="auto"/>
        <w:ind w:left="480" w:hanging="480"/>
      </w:pPr>
      <w:r>
        <w:t xml:space="preserve">Augustine, </w:t>
      </w:r>
      <w:r>
        <w:rPr>
          <w:i/>
          <w:iCs/>
        </w:rPr>
        <w:t>Enchiridion on Faith, Hope and Love</w:t>
      </w:r>
      <w:r>
        <w:t>, trans. by Albert C. Outler (London: SCM Press, 1955)</w:t>
      </w:r>
    </w:p>
    <w:p w14:paraId="26642615" w14:textId="77777777" w:rsidR="00651E68" w:rsidRDefault="00E9254B">
      <w:pPr>
        <w:spacing w:after="120" w:line="276" w:lineRule="auto"/>
        <w:ind w:left="480" w:hanging="480"/>
      </w:pPr>
      <w:r>
        <w:t xml:space="preserve">Dunn, James D. G., </w:t>
      </w:r>
      <w:r>
        <w:rPr>
          <w:i/>
          <w:iCs/>
        </w:rPr>
        <w:t>Christology in the Making</w:t>
      </w:r>
      <w:r>
        <w:t xml:space="preserve">, 2nd </w:t>
      </w:r>
      <w:proofErr w:type="spellStart"/>
      <w:r>
        <w:t>edn</w:t>
      </w:r>
      <w:proofErr w:type="spellEnd"/>
      <w:r>
        <w:t xml:space="preserve"> (London: SCM Press, 1989)</w:t>
      </w:r>
    </w:p>
    <w:p w14:paraId="6B15B484" w14:textId="77777777" w:rsidR="00651E68" w:rsidRDefault="00E9254B">
      <w:pPr>
        <w:spacing w:after="120" w:line="276" w:lineRule="auto"/>
        <w:ind w:left="480" w:hanging="480"/>
      </w:pPr>
      <w:proofErr w:type="spellStart"/>
      <w:r>
        <w:t>Lamberigts</w:t>
      </w:r>
      <w:proofErr w:type="spellEnd"/>
      <w:r>
        <w:t xml:space="preserve">, Mathijs, ‘Pelagius and the </w:t>
      </w:r>
      <w:proofErr w:type="spellStart"/>
      <w:r>
        <w:t>Pelagians</w:t>
      </w:r>
      <w:proofErr w:type="spellEnd"/>
      <w:r>
        <w:t xml:space="preserve">’, in </w:t>
      </w:r>
      <w:r>
        <w:rPr>
          <w:i/>
          <w:iCs/>
        </w:rPr>
        <w:t>The Cambridge History of Christianity</w:t>
      </w:r>
      <w:r>
        <w:t>, ed. by Augustine Casiday and Frederick W. Norris (Cambridge: Cambridge University Press, 2007), II, pp. 258–79</w:t>
      </w:r>
    </w:p>
    <w:p w14:paraId="3ABB1155" w14:textId="77777777" w:rsidR="00651E68" w:rsidRDefault="00E9254B">
      <w:pPr>
        <w:spacing w:after="120" w:line="276" w:lineRule="auto"/>
        <w:ind w:left="480" w:hanging="480"/>
      </w:pPr>
      <w:r>
        <w:t xml:space="preserve">Martin, Ralph P., </w:t>
      </w:r>
      <w:r>
        <w:rPr>
          <w:i/>
          <w:iCs/>
        </w:rPr>
        <w:t>A Hymn of Christ: Philippians 2:5–11 in Recent Interpretation</w:t>
      </w:r>
      <w:r>
        <w:t xml:space="preserve"> (Downers Grove, IL: InterVarsity Press, 1997)</w:t>
      </w:r>
    </w:p>
    <w:p w14:paraId="3594BA94" w14:textId="77777777" w:rsidR="00651E68" w:rsidRDefault="00E9254B">
      <w:pPr>
        <w:spacing w:after="120" w:line="276" w:lineRule="auto"/>
        <w:ind w:left="480" w:hanging="480"/>
      </w:pPr>
      <w:r>
        <w:t xml:space="preserve">Moltmann, Jürgen, </w:t>
      </w:r>
      <w:r>
        <w:rPr>
          <w:i/>
          <w:iCs/>
        </w:rPr>
        <w:t>Theology of Hope: On the Ground and the Implications of a Christian Eschatology</w:t>
      </w:r>
      <w:r>
        <w:t>, trans. by James W. Leitch (London: SCM Press, 1967)</w:t>
      </w:r>
    </w:p>
    <w:p w14:paraId="25C68B4C" w14:textId="77777777" w:rsidR="00651E68" w:rsidRDefault="00E9254B">
      <w:pPr>
        <w:spacing w:after="120" w:line="276" w:lineRule="auto"/>
        <w:ind w:left="480" w:hanging="480"/>
      </w:pPr>
      <w:r>
        <w:rPr>
          <w:i/>
          <w:iCs/>
        </w:rPr>
        <w:t>The Holy Bible</w:t>
      </w:r>
      <w:r>
        <w:t>, New Revised Standard Version (Philippians 2; Revelation 21–22)</w:t>
      </w:r>
    </w:p>
    <w:sectPr w:rsidR="00651E6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78C75" w14:textId="77777777" w:rsidR="00E9254B" w:rsidRDefault="00E9254B" w:rsidP="00F150D7">
      <w:r>
        <w:separator/>
      </w:r>
    </w:p>
  </w:endnote>
  <w:endnote w:type="continuationSeparator" w:id="0">
    <w:p w14:paraId="032FC6ED" w14:textId="77777777" w:rsidR="00E9254B" w:rsidRDefault="00E9254B" w:rsidP="00F15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7EA46" w14:textId="77777777" w:rsidR="00E9254B" w:rsidRDefault="00E9254B" w:rsidP="00F150D7">
      <w:r>
        <w:separator/>
      </w:r>
    </w:p>
  </w:footnote>
  <w:footnote w:type="continuationSeparator" w:id="0">
    <w:p w14:paraId="00398531" w14:textId="77777777" w:rsidR="00E9254B" w:rsidRDefault="00E9254B" w:rsidP="00F150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712779"/>
    <w:multiLevelType w:val="hybridMultilevel"/>
    <w:tmpl w:val="3C3046E4"/>
    <w:lvl w:ilvl="0" w:tplc="FB42DEAE">
      <w:start w:val="1"/>
      <w:numFmt w:val="bullet"/>
      <w:lvlText w:val="●"/>
      <w:lvlJc w:val="left"/>
      <w:pPr>
        <w:ind w:left="720" w:hanging="360"/>
      </w:pPr>
    </w:lvl>
    <w:lvl w:ilvl="1" w:tplc="71BA6D10">
      <w:start w:val="1"/>
      <w:numFmt w:val="bullet"/>
      <w:lvlText w:val="○"/>
      <w:lvlJc w:val="left"/>
      <w:pPr>
        <w:ind w:left="1440" w:hanging="360"/>
      </w:pPr>
    </w:lvl>
    <w:lvl w:ilvl="2" w:tplc="A04C1B20">
      <w:start w:val="1"/>
      <w:numFmt w:val="bullet"/>
      <w:lvlText w:val="■"/>
      <w:lvlJc w:val="left"/>
      <w:pPr>
        <w:ind w:left="2160" w:hanging="360"/>
      </w:pPr>
    </w:lvl>
    <w:lvl w:ilvl="3" w:tplc="E3329F3C">
      <w:start w:val="1"/>
      <w:numFmt w:val="bullet"/>
      <w:lvlText w:val="●"/>
      <w:lvlJc w:val="left"/>
      <w:pPr>
        <w:ind w:left="2880" w:hanging="360"/>
      </w:pPr>
    </w:lvl>
    <w:lvl w:ilvl="4" w:tplc="4D4A6BFA">
      <w:start w:val="1"/>
      <w:numFmt w:val="bullet"/>
      <w:lvlText w:val="○"/>
      <w:lvlJc w:val="left"/>
      <w:pPr>
        <w:ind w:left="3600" w:hanging="360"/>
      </w:pPr>
    </w:lvl>
    <w:lvl w:ilvl="5" w:tplc="C1C42640">
      <w:start w:val="1"/>
      <w:numFmt w:val="bullet"/>
      <w:lvlText w:val="■"/>
      <w:lvlJc w:val="left"/>
      <w:pPr>
        <w:ind w:left="4320" w:hanging="360"/>
      </w:pPr>
    </w:lvl>
    <w:lvl w:ilvl="6" w:tplc="AA4CB452">
      <w:start w:val="1"/>
      <w:numFmt w:val="bullet"/>
      <w:lvlText w:val="●"/>
      <w:lvlJc w:val="left"/>
      <w:pPr>
        <w:ind w:left="5040" w:hanging="360"/>
      </w:pPr>
    </w:lvl>
    <w:lvl w:ilvl="7" w:tplc="46E2E3C8">
      <w:start w:val="1"/>
      <w:numFmt w:val="bullet"/>
      <w:lvlText w:val="●"/>
      <w:lvlJc w:val="left"/>
      <w:pPr>
        <w:ind w:left="5760" w:hanging="360"/>
      </w:pPr>
    </w:lvl>
    <w:lvl w:ilvl="8" w:tplc="1F0C9826">
      <w:start w:val="1"/>
      <w:numFmt w:val="bullet"/>
      <w:lvlText w:val="●"/>
      <w:lvlJc w:val="left"/>
      <w:pPr>
        <w:ind w:left="6480" w:hanging="360"/>
      </w:pPr>
    </w:lvl>
  </w:abstractNum>
  <w:num w:numId="1" w16cid:durableId="43112664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E68"/>
    <w:rsid w:val="00410E27"/>
    <w:rsid w:val="00494DC5"/>
    <w:rsid w:val="00651E68"/>
    <w:rsid w:val="00E9254B"/>
    <w:rsid w:val="00F15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46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F150D7"/>
    <w:pPr>
      <w:tabs>
        <w:tab w:val="center" w:pos="4513"/>
        <w:tab w:val="right" w:pos="9026"/>
      </w:tabs>
    </w:pPr>
  </w:style>
  <w:style w:type="character" w:customStyle="1" w:styleId="HeaderChar">
    <w:name w:val="Header Char"/>
    <w:basedOn w:val="DefaultParagraphFont"/>
    <w:link w:val="Header"/>
    <w:uiPriority w:val="99"/>
    <w:rsid w:val="00F150D7"/>
  </w:style>
  <w:style w:type="paragraph" w:styleId="Footer">
    <w:name w:val="footer"/>
    <w:basedOn w:val="Normal"/>
    <w:link w:val="FooterChar"/>
    <w:uiPriority w:val="99"/>
    <w:unhideWhenUsed/>
    <w:rsid w:val="00F150D7"/>
    <w:pPr>
      <w:tabs>
        <w:tab w:val="center" w:pos="4513"/>
        <w:tab w:val="right" w:pos="9026"/>
      </w:tabs>
    </w:pPr>
  </w:style>
  <w:style w:type="character" w:customStyle="1" w:styleId="FooterChar">
    <w:name w:val="Footer Char"/>
    <w:basedOn w:val="DefaultParagraphFont"/>
    <w:link w:val="Footer"/>
    <w:uiPriority w:val="99"/>
    <w:rsid w:val="00F15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2564</Words>
  <Characters>13540</Characters>
  <Application>Microsoft Office Word</Application>
  <DocSecurity>0</DocSecurity>
  <Lines>205</Lines>
  <Paragraphs>66</Paragraphs>
  <ScaleCrop>false</ScaleCrop>
  <Company/>
  <LinksUpToDate>false</LinksUpToDate>
  <CharactersWithSpaces>16038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2026-07-22T17:50:00Z</dcterms:created>
  <dcterms:modified xsi:type="dcterms:W3CDTF">2026-07-22T17:50:00Z</dcterms:modified>
</cp:coreProperties>
</file>