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966BE7" w14:textId="7FFDB2D1" w:rsidR="007A33A5" w:rsidRPr="00A9412F" w:rsidRDefault="007A33A5" w:rsidP="007A33A5">
      <w:pPr>
        <w:pStyle w:val="Heading1"/>
        <w:rPr>
          <w:rFonts w:asciiTheme="minorBidi" w:hAnsiTheme="minorBidi" w:cstheme="minorBidi"/>
          <w:color w:val="000000" w:themeColor="text1"/>
          <w:sz w:val="44"/>
          <w:szCs w:val="44"/>
        </w:rPr>
      </w:pPr>
      <w:r w:rsidRPr="00A9412F">
        <w:rPr>
          <w:rFonts w:asciiTheme="minorBidi" w:hAnsiTheme="minorBidi" w:cstheme="minorBidi"/>
          <w:color w:val="000000" w:themeColor="text1"/>
          <w:sz w:val="44"/>
          <w:szCs w:val="44"/>
        </w:rPr>
        <w:t xml:space="preserve">Effective Communication, Record Keeping, and Collaborative Practice in the Case of </w:t>
      </w:r>
      <w:proofErr w:type="spellStart"/>
      <w:r w:rsidRPr="00A9412F">
        <w:rPr>
          <w:rFonts w:asciiTheme="minorBidi" w:hAnsiTheme="minorBidi" w:cstheme="minorBidi"/>
          <w:color w:val="000000" w:themeColor="text1"/>
          <w:sz w:val="44"/>
          <w:szCs w:val="44"/>
        </w:rPr>
        <w:t>Mrs</w:t>
      </w:r>
      <w:proofErr w:type="spellEnd"/>
      <w:r w:rsidRPr="00A9412F">
        <w:rPr>
          <w:rFonts w:asciiTheme="minorBidi" w:hAnsiTheme="minorBidi" w:cstheme="minorBidi"/>
          <w:color w:val="000000" w:themeColor="text1"/>
          <w:sz w:val="44"/>
          <w:szCs w:val="44"/>
        </w:rPr>
        <w:t xml:space="preserve"> Mann</w:t>
      </w:r>
    </w:p>
    <w:p w14:paraId="07996D3F" w14:textId="77777777" w:rsidR="009B6B04" w:rsidRPr="009B6B04" w:rsidRDefault="009B6B04" w:rsidP="009B6B04"/>
    <w:p w14:paraId="49B668DA" w14:textId="77777777" w:rsidR="007A33A5" w:rsidRPr="001A47EB" w:rsidRDefault="007A33A5" w:rsidP="007A33A5">
      <w:pPr>
        <w:rPr>
          <w:rFonts w:asciiTheme="minorBidi" w:hAnsiTheme="minorBidi"/>
          <w:sz w:val="48"/>
          <w:szCs w:val="48"/>
        </w:rPr>
      </w:pPr>
      <w:r w:rsidRPr="001A47EB">
        <w:rPr>
          <w:rFonts w:asciiTheme="minorBidi" w:hAnsiTheme="minorBidi"/>
          <w:sz w:val="48"/>
          <w:szCs w:val="48"/>
        </w:rPr>
        <w:t>Name: Huma Ali</w:t>
      </w:r>
    </w:p>
    <w:p w14:paraId="75E15307" w14:textId="77777777" w:rsidR="007A33A5" w:rsidRPr="001A47EB" w:rsidRDefault="007A33A5" w:rsidP="007A33A5">
      <w:pPr>
        <w:rPr>
          <w:rFonts w:asciiTheme="minorBidi" w:hAnsiTheme="minorBidi"/>
          <w:sz w:val="48"/>
          <w:szCs w:val="48"/>
        </w:rPr>
      </w:pPr>
      <w:r w:rsidRPr="001A47EB">
        <w:rPr>
          <w:rFonts w:asciiTheme="minorBidi" w:hAnsiTheme="minorBidi"/>
          <w:sz w:val="48"/>
          <w:szCs w:val="48"/>
        </w:rPr>
        <w:t>Student Number: 2437892</w:t>
      </w:r>
    </w:p>
    <w:p w14:paraId="603B1998" w14:textId="77777777" w:rsidR="007A33A5" w:rsidRPr="001A47EB" w:rsidRDefault="007A33A5" w:rsidP="007A33A5">
      <w:pPr>
        <w:rPr>
          <w:rFonts w:asciiTheme="minorBidi" w:hAnsiTheme="minorBidi"/>
          <w:sz w:val="48"/>
          <w:szCs w:val="48"/>
        </w:rPr>
      </w:pPr>
      <w:r w:rsidRPr="001A47EB">
        <w:rPr>
          <w:rFonts w:asciiTheme="minorBidi" w:hAnsiTheme="minorBidi"/>
          <w:sz w:val="48"/>
          <w:szCs w:val="48"/>
        </w:rPr>
        <w:t xml:space="preserve">Module Code and Title: </w:t>
      </w:r>
      <w:r w:rsidRPr="001A47EB">
        <w:rPr>
          <w:rFonts w:ascii="Arial" w:hAnsi="Arial" w:cs="Arial"/>
          <w:sz w:val="48"/>
          <w:szCs w:val="48"/>
        </w:rPr>
        <w:t>LCHS4003 Introduction to Health and Social Care</w:t>
      </w:r>
    </w:p>
    <w:p w14:paraId="5651C558" w14:textId="77777777" w:rsidR="007A33A5" w:rsidRPr="001A47EB" w:rsidRDefault="007A33A5" w:rsidP="007A33A5">
      <w:pPr>
        <w:rPr>
          <w:rFonts w:asciiTheme="minorBidi" w:hAnsiTheme="minorBidi"/>
          <w:sz w:val="48"/>
          <w:szCs w:val="48"/>
        </w:rPr>
      </w:pPr>
      <w:r w:rsidRPr="001A47EB">
        <w:rPr>
          <w:rFonts w:asciiTheme="minorBidi" w:hAnsiTheme="minorBidi"/>
          <w:sz w:val="48"/>
          <w:szCs w:val="48"/>
        </w:rPr>
        <w:t>Lecturer’s Name: Mumtaz Goolam</w:t>
      </w:r>
    </w:p>
    <w:p w14:paraId="1A0C94BE" w14:textId="77777777" w:rsidR="007A33A5" w:rsidRPr="001A47EB" w:rsidRDefault="007A33A5" w:rsidP="007A33A5">
      <w:pPr>
        <w:rPr>
          <w:rFonts w:asciiTheme="minorBidi" w:hAnsiTheme="minorBidi"/>
          <w:sz w:val="48"/>
          <w:szCs w:val="48"/>
        </w:rPr>
      </w:pPr>
      <w:r w:rsidRPr="001A47EB">
        <w:rPr>
          <w:rFonts w:asciiTheme="minorBidi" w:hAnsiTheme="minorBidi"/>
          <w:sz w:val="48"/>
          <w:szCs w:val="48"/>
        </w:rPr>
        <w:t>Assignment Title: Written Assignment</w:t>
      </w:r>
    </w:p>
    <w:p w14:paraId="3DF0DF31" w14:textId="77777777" w:rsidR="007552A6" w:rsidRDefault="00F6455C">
      <w:r>
        <w:br/>
      </w:r>
    </w:p>
    <w:p w14:paraId="22F1836B" w14:textId="77777777" w:rsidR="007A33A5" w:rsidRDefault="007A33A5"/>
    <w:p w14:paraId="37E53429" w14:textId="77777777" w:rsidR="007A33A5" w:rsidRDefault="007A33A5"/>
    <w:p w14:paraId="29C0F099" w14:textId="77777777" w:rsidR="007A33A5" w:rsidRDefault="007A33A5"/>
    <w:p w14:paraId="0F8F44B4" w14:textId="77777777" w:rsidR="007A33A5" w:rsidRDefault="007A33A5"/>
    <w:p w14:paraId="167F22ED" w14:textId="77777777" w:rsidR="007A33A5" w:rsidRDefault="007A33A5"/>
    <w:p w14:paraId="07048E5B" w14:textId="77777777" w:rsidR="007A33A5" w:rsidRDefault="007A33A5"/>
    <w:p w14:paraId="2D16DE7F" w14:textId="77777777" w:rsidR="007A33A5" w:rsidRDefault="007A33A5"/>
    <w:p w14:paraId="1932F416" w14:textId="77777777" w:rsidR="007A33A5" w:rsidRDefault="007A33A5"/>
    <w:p w14:paraId="43444063" w14:textId="77777777" w:rsidR="007A33A5" w:rsidRDefault="007A33A5"/>
    <w:p w14:paraId="02B19308" w14:textId="6CCEE235" w:rsidR="007A33A5" w:rsidRPr="000F63DE" w:rsidRDefault="00A67BBD">
      <w:pPr>
        <w:rPr>
          <w:rFonts w:asciiTheme="minorBidi" w:hAnsiTheme="minorBidi"/>
        </w:rPr>
      </w:pPr>
      <w:r w:rsidRPr="000F63DE">
        <w:rPr>
          <w:rFonts w:asciiTheme="minorBidi" w:hAnsiTheme="minorBidi"/>
        </w:rPr>
        <w:lastRenderedPageBreak/>
        <w:t>Contents</w:t>
      </w:r>
      <w:r w:rsidR="00EA309B">
        <w:rPr>
          <w:rFonts w:asciiTheme="minorBidi" w:hAnsiTheme="minorBidi"/>
        </w:rPr>
        <w:t>:</w:t>
      </w:r>
    </w:p>
    <w:p w14:paraId="5E3D4B2A" w14:textId="7FBDDBF5" w:rsidR="0016288D" w:rsidRPr="000F63DE" w:rsidRDefault="0016288D">
      <w:pPr>
        <w:rPr>
          <w:rFonts w:asciiTheme="minorBidi" w:hAnsiTheme="minorBidi"/>
        </w:rPr>
      </w:pPr>
      <w:proofErr w:type="gramStart"/>
      <w:r w:rsidRPr="000F63DE">
        <w:rPr>
          <w:rFonts w:asciiTheme="minorBidi" w:hAnsiTheme="minorBidi"/>
        </w:rPr>
        <w:t>Introduction</w:t>
      </w:r>
      <w:r w:rsidR="003E5F34">
        <w:rPr>
          <w:rFonts w:asciiTheme="minorBidi" w:hAnsiTheme="minorBidi"/>
        </w:rPr>
        <w:t>..</w:t>
      </w:r>
      <w:proofErr w:type="gramEnd"/>
      <w:r w:rsidR="003C5730" w:rsidRPr="000F63DE">
        <w:rPr>
          <w:rFonts w:asciiTheme="minorBidi" w:hAnsiTheme="minorBidi"/>
        </w:rPr>
        <w:t>…………………………………………………………………………</w:t>
      </w:r>
      <w:r w:rsidR="00EA309B">
        <w:rPr>
          <w:rFonts w:asciiTheme="minorBidi" w:hAnsiTheme="minorBidi"/>
        </w:rPr>
        <w:t>…</w:t>
      </w:r>
      <w:proofErr w:type="gramStart"/>
      <w:r w:rsidR="003C5730" w:rsidRPr="000F63DE">
        <w:rPr>
          <w:rFonts w:asciiTheme="minorBidi" w:hAnsiTheme="minorBidi"/>
        </w:rPr>
        <w:t>…</w:t>
      </w:r>
      <w:r w:rsidR="009D27E7" w:rsidRPr="000F63DE">
        <w:rPr>
          <w:rFonts w:asciiTheme="minorBidi" w:hAnsiTheme="minorBidi"/>
        </w:rPr>
        <w:t>.</w:t>
      </w:r>
      <w:r w:rsidR="000F63DE" w:rsidRPr="000F63DE">
        <w:rPr>
          <w:rFonts w:asciiTheme="minorBidi" w:hAnsiTheme="minorBidi"/>
        </w:rPr>
        <w:t>P</w:t>
      </w:r>
      <w:r w:rsidR="003C7F90" w:rsidRPr="000F63DE">
        <w:rPr>
          <w:rFonts w:asciiTheme="minorBidi" w:hAnsiTheme="minorBidi"/>
        </w:rPr>
        <w:t>age</w:t>
      </w:r>
      <w:proofErr w:type="gramEnd"/>
      <w:r w:rsidR="003C7F90" w:rsidRPr="000F63DE">
        <w:rPr>
          <w:rFonts w:asciiTheme="minorBidi" w:hAnsiTheme="minorBidi"/>
        </w:rPr>
        <w:t xml:space="preserve"> 3</w:t>
      </w:r>
    </w:p>
    <w:p w14:paraId="731B5EC9" w14:textId="51DF0A5A" w:rsidR="0016288D" w:rsidRPr="000F63DE" w:rsidRDefault="0016288D" w:rsidP="0016288D">
      <w:pPr>
        <w:rPr>
          <w:rFonts w:asciiTheme="minorBidi" w:hAnsiTheme="minorBidi"/>
        </w:rPr>
      </w:pPr>
      <w:r w:rsidRPr="000F63DE">
        <w:rPr>
          <w:rFonts w:asciiTheme="minorBidi" w:hAnsiTheme="minorBidi"/>
        </w:rPr>
        <w:t>1. Effective Communication</w:t>
      </w:r>
      <w:r w:rsidR="003C7F90" w:rsidRPr="000F63DE">
        <w:rPr>
          <w:rFonts w:asciiTheme="minorBidi" w:hAnsiTheme="minorBidi"/>
        </w:rPr>
        <w:t>…………………………………………………</w:t>
      </w:r>
      <w:r w:rsidR="003E74B3">
        <w:rPr>
          <w:rFonts w:asciiTheme="minorBidi" w:hAnsiTheme="minorBidi"/>
        </w:rPr>
        <w:t>.</w:t>
      </w:r>
      <w:r w:rsidR="003E5F34">
        <w:rPr>
          <w:rFonts w:asciiTheme="minorBidi" w:hAnsiTheme="minorBidi"/>
        </w:rPr>
        <w:t>.</w:t>
      </w:r>
      <w:r w:rsidR="003E74B3">
        <w:rPr>
          <w:rFonts w:asciiTheme="minorBidi" w:hAnsiTheme="minorBidi"/>
        </w:rPr>
        <w:t>..</w:t>
      </w:r>
      <w:proofErr w:type="gramStart"/>
      <w:r w:rsidR="003C7F90" w:rsidRPr="000F63DE">
        <w:rPr>
          <w:rFonts w:asciiTheme="minorBidi" w:hAnsiTheme="minorBidi"/>
        </w:rPr>
        <w:t>…</w:t>
      </w:r>
      <w:r w:rsidR="009D27E7" w:rsidRPr="000F63DE">
        <w:rPr>
          <w:rFonts w:asciiTheme="minorBidi" w:hAnsiTheme="minorBidi"/>
        </w:rPr>
        <w:t>.</w:t>
      </w:r>
      <w:r w:rsidR="000F63DE" w:rsidRPr="000F63DE">
        <w:rPr>
          <w:rFonts w:asciiTheme="minorBidi" w:hAnsiTheme="minorBidi"/>
        </w:rPr>
        <w:t>P</w:t>
      </w:r>
      <w:r w:rsidR="003C7F90" w:rsidRPr="000F63DE">
        <w:rPr>
          <w:rFonts w:asciiTheme="minorBidi" w:hAnsiTheme="minorBidi"/>
        </w:rPr>
        <w:t>ages</w:t>
      </w:r>
      <w:proofErr w:type="gramEnd"/>
      <w:r w:rsidR="003C7F90" w:rsidRPr="000F63DE">
        <w:rPr>
          <w:rFonts w:asciiTheme="minorBidi" w:hAnsiTheme="minorBidi"/>
        </w:rPr>
        <w:t xml:space="preserve"> 3 &amp; 4</w:t>
      </w:r>
    </w:p>
    <w:p w14:paraId="0A8A549B" w14:textId="082F78B2" w:rsidR="000D2718" w:rsidRPr="000F63DE" w:rsidRDefault="000D2718" w:rsidP="000D2718">
      <w:pPr>
        <w:rPr>
          <w:rFonts w:asciiTheme="minorBidi" w:hAnsiTheme="minorBidi"/>
        </w:rPr>
      </w:pPr>
      <w:r w:rsidRPr="000F63DE">
        <w:rPr>
          <w:rFonts w:asciiTheme="minorBidi" w:hAnsiTheme="minorBidi"/>
        </w:rPr>
        <w:t>2. Administrative Skills and Record Keeping</w:t>
      </w:r>
      <w:r w:rsidR="003C7F90" w:rsidRPr="000F63DE">
        <w:rPr>
          <w:rFonts w:asciiTheme="minorBidi" w:hAnsiTheme="minorBidi"/>
        </w:rPr>
        <w:t>…………………………</w:t>
      </w:r>
      <w:r w:rsidR="003E5F34">
        <w:rPr>
          <w:rFonts w:asciiTheme="minorBidi" w:hAnsiTheme="minorBidi"/>
        </w:rPr>
        <w:t xml:space="preserve"> </w:t>
      </w:r>
      <w:r w:rsidR="00F37EF3">
        <w:rPr>
          <w:rFonts w:asciiTheme="minorBidi" w:hAnsiTheme="minorBidi"/>
        </w:rPr>
        <w:t>…</w:t>
      </w:r>
      <w:r w:rsidR="003C7F90" w:rsidRPr="000F63DE">
        <w:rPr>
          <w:rFonts w:asciiTheme="minorBidi" w:hAnsiTheme="minorBidi"/>
        </w:rPr>
        <w:t>……</w:t>
      </w:r>
      <w:proofErr w:type="gramStart"/>
      <w:r w:rsidR="003C7F90" w:rsidRPr="000F63DE">
        <w:rPr>
          <w:rFonts w:asciiTheme="minorBidi" w:hAnsiTheme="minorBidi"/>
        </w:rPr>
        <w:t>.</w:t>
      </w:r>
      <w:r w:rsidR="009D27E7" w:rsidRPr="000F63DE">
        <w:rPr>
          <w:rFonts w:asciiTheme="minorBidi" w:hAnsiTheme="minorBidi"/>
        </w:rPr>
        <w:t>..</w:t>
      </w:r>
      <w:r w:rsidR="003C7F90" w:rsidRPr="000F63DE">
        <w:rPr>
          <w:rFonts w:asciiTheme="minorBidi" w:hAnsiTheme="minorBidi"/>
        </w:rPr>
        <w:t>.</w:t>
      </w:r>
      <w:r w:rsidR="000F63DE" w:rsidRPr="000F63DE">
        <w:rPr>
          <w:rFonts w:asciiTheme="minorBidi" w:hAnsiTheme="minorBidi"/>
        </w:rPr>
        <w:t>P</w:t>
      </w:r>
      <w:r w:rsidR="0010520C" w:rsidRPr="000F63DE">
        <w:rPr>
          <w:rFonts w:asciiTheme="minorBidi" w:hAnsiTheme="minorBidi"/>
        </w:rPr>
        <w:t>ages</w:t>
      </w:r>
      <w:proofErr w:type="gramEnd"/>
      <w:r w:rsidR="0010520C" w:rsidRPr="000F63DE">
        <w:rPr>
          <w:rFonts w:asciiTheme="minorBidi" w:hAnsiTheme="minorBidi"/>
        </w:rPr>
        <w:t xml:space="preserve"> 4 </w:t>
      </w:r>
      <w:r w:rsidR="009D27E7" w:rsidRPr="000F63DE">
        <w:rPr>
          <w:rFonts w:asciiTheme="minorBidi" w:hAnsiTheme="minorBidi"/>
        </w:rPr>
        <w:t>&amp; 5</w:t>
      </w:r>
    </w:p>
    <w:p w14:paraId="35A98A60" w14:textId="378462CB" w:rsidR="00544087" w:rsidRPr="000F63DE" w:rsidRDefault="00544087" w:rsidP="00544087">
      <w:pPr>
        <w:rPr>
          <w:rFonts w:asciiTheme="minorBidi" w:hAnsiTheme="minorBidi"/>
        </w:rPr>
      </w:pPr>
      <w:r w:rsidRPr="000F63DE">
        <w:rPr>
          <w:rFonts w:asciiTheme="minorBidi" w:hAnsiTheme="minorBidi"/>
        </w:rPr>
        <w:t>3. Collaborative Practice</w:t>
      </w:r>
      <w:r w:rsidR="009D27E7" w:rsidRPr="000F63DE">
        <w:rPr>
          <w:rFonts w:asciiTheme="minorBidi" w:hAnsiTheme="minorBidi"/>
        </w:rPr>
        <w:t>……………………………………………………</w:t>
      </w:r>
      <w:r w:rsidR="00F37EF3">
        <w:rPr>
          <w:rFonts w:asciiTheme="minorBidi" w:hAnsiTheme="minorBidi"/>
        </w:rPr>
        <w:t>…</w:t>
      </w:r>
      <w:r w:rsidR="009D27E7" w:rsidRPr="000F63DE">
        <w:rPr>
          <w:rFonts w:asciiTheme="minorBidi" w:hAnsiTheme="minorBidi"/>
        </w:rPr>
        <w:t>…...</w:t>
      </w:r>
      <w:r w:rsidR="000F63DE" w:rsidRPr="000F63DE">
        <w:rPr>
          <w:rFonts w:asciiTheme="minorBidi" w:hAnsiTheme="minorBidi"/>
        </w:rPr>
        <w:t>P</w:t>
      </w:r>
      <w:r w:rsidR="009D27E7" w:rsidRPr="000F63DE">
        <w:rPr>
          <w:rFonts w:asciiTheme="minorBidi" w:hAnsiTheme="minorBidi"/>
        </w:rPr>
        <w:t>ages 5 &amp; 6</w:t>
      </w:r>
    </w:p>
    <w:p w14:paraId="293F340B" w14:textId="6F901513" w:rsidR="00D07062" w:rsidRPr="000F63DE" w:rsidRDefault="00D07062" w:rsidP="00D07062">
      <w:pPr>
        <w:rPr>
          <w:rFonts w:asciiTheme="minorBidi" w:hAnsiTheme="minorBidi"/>
        </w:rPr>
      </w:pPr>
      <w:r w:rsidRPr="000F63DE">
        <w:rPr>
          <w:rFonts w:asciiTheme="minorBidi" w:hAnsiTheme="minorBidi"/>
        </w:rPr>
        <w:t>Conclusion</w:t>
      </w:r>
      <w:r w:rsidR="009D27E7" w:rsidRPr="000F63DE">
        <w:rPr>
          <w:rFonts w:asciiTheme="minorBidi" w:hAnsiTheme="minorBidi"/>
        </w:rPr>
        <w:t>…………………………………………………………………………</w:t>
      </w:r>
      <w:r w:rsidR="00C1308B" w:rsidRPr="000F63DE">
        <w:rPr>
          <w:rFonts w:asciiTheme="minorBidi" w:hAnsiTheme="minorBidi"/>
        </w:rPr>
        <w:t>……</w:t>
      </w:r>
      <w:proofErr w:type="gramStart"/>
      <w:r w:rsidR="004655B2" w:rsidRPr="000F63DE">
        <w:rPr>
          <w:rFonts w:asciiTheme="minorBidi" w:hAnsiTheme="minorBidi"/>
        </w:rPr>
        <w:t>.</w:t>
      </w:r>
      <w:r w:rsidR="00C1308B" w:rsidRPr="000F63DE">
        <w:rPr>
          <w:rFonts w:asciiTheme="minorBidi" w:hAnsiTheme="minorBidi"/>
        </w:rPr>
        <w:t>..</w:t>
      </w:r>
      <w:r w:rsidR="00433DC4" w:rsidRPr="000F63DE">
        <w:rPr>
          <w:rFonts w:asciiTheme="minorBidi" w:hAnsiTheme="minorBidi"/>
        </w:rPr>
        <w:t>.</w:t>
      </w:r>
      <w:r w:rsidR="00C1308B" w:rsidRPr="000F63DE">
        <w:rPr>
          <w:rFonts w:asciiTheme="minorBidi" w:hAnsiTheme="minorBidi"/>
        </w:rPr>
        <w:t>Page</w:t>
      </w:r>
      <w:proofErr w:type="gramEnd"/>
      <w:r w:rsidR="00C1308B" w:rsidRPr="000F63DE">
        <w:rPr>
          <w:rFonts w:asciiTheme="minorBidi" w:hAnsiTheme="minorBidi"/>
        </w:rPr>
        <w:t xml:space="preserve"> 6</w:t>
      </w:r>
    </w:p>
    <w:p w14:paraId="6C415BC6" w14:textId="4B313058" w:rsidR="0016288D" w:rsidRPr="000F63DE" w:rsidRDefault="000A0647">
      <w:pPr>
        <w:rPr>
          <w:rFonts w:asciiTheme="minorBidi" w:hAnsiTheme="minorBidi"/>
        </w:rPr>
      </w:pPr>
      <w:r w:rsidRPr="000F63DE">
        <w:rPr>
          <w:rFonts w:asciiTheme="minorBidi" w:hAnsiTheme="minorBidi"/>
        </w:rPr>
        <w:t>References</w:t>
      </w:r>
      <w:r w:rsidR="00C1308B" w:rsidRPr="000F63DE">
        <w:rPr>
          <w:rFonts w:asciiTheme="minorBidi" w:hAnsiTheme="minorBidi"/>
        </w:rPr>
        <w:t>……………………………………………</w:t>
      </w:r>
      <w:r w:rsidR="00F37EF3">
        <w:rPr>
          <w:rFonts w:asciiTheme="minorBidi" w:hAnsiTheme="minorBidi"/>
        </w:rPr>
        <w:t>...</w:t>
      </w:r>
      <w:r w:rsidR="00C1308B" w:rsidRPr="000F63DE">
        <w:rPr>
          <w:rFonts w:asciiTheme="minorBidi" w:hAnsiTheme="minorBidi"/>
        </w:rPr>
        <w:t>………………………………</w:t>
      </w:r>
      <w:proofErr w:type="gramStart"/>
      <w:r w:rsidR="004655B2" w:rsidRPr="000F63DE">
        <w:rPr>
          <w:rFonts w:asciiTheme="minorBidi" w:hAnsiTheme="minorBidi"/>
        </w:rPr>
        <w:t>...</w:t>
      </w:r>
      <w:r w:rsidR="00C1308B" w:rsidRPr="000F63DE">
        <w:rPr>
          <w:rFonts w:asciiTheme="minorBidi" w:hAnsiTheme="minorBidi"/>
        </w:rPr>
        <w:t>.Page</w:t>
      </w:r>
      <w:proofErr w:type="gramEnd"/>
      <w:r w:rsidR="00C1308B" w:rsidRPr="000F63DE">
        <w:rPr>
          <w:rFonts w:asciiTheme="minorBidi" w:hAnsiTheme="minorBidi"/>
        </w:rPr>
        <w:t xml:space="preserve"> 7</w:t>
      </w:r>
    </w:p>
    <w:p w14:paraId="2220364D" w14:textId="77777777" w:rsidR="000A0647" w:rsidRPr="000F63DE" w:rsidRDefault="000A0647">
      <w:pPr>
        <w:rPr>
          <w:rFonts w:asciiTheme="minorBidi" w:hAnsiTheme="minorBidi"/>
        </w:rPr>
      </w:pPr>
    </w:p>
    <w:p w14:paraId="6C0B1AF4" w14:textId="77777777" w:rsidR="000A0647" w:rsidRDefault="000A0647"/>
    <w:p w14:paraId="3FAC815D" w14:textId="77777777" w:rsidR="000A0647" w:rsidRDefault="000A0647"/>
    <w:p w14:paraId="05924EB5" w14:textId="77777777" w:rsidR="000A0647" w:rsidRDefault="000A0647"/>
    <w:p w14:paraId="7526E731" w14:textId="77777777" w:rsidR="000A0647" w:rsidRDefault="000A0647"/>
    <w:p w14:paraId="029A5A7F" w14:textId="77777777" w:rsidR="000A0647" w:rsidRDefault="000A0647"/>
    <w:p w14:paraId="4EE80A8A" w14:textId="77777777" w:rsidR="000A0647" w:rsidRDefault="000A0647"/>
    <w:p w14:paraId="2B3838E8" w14:textId="77777777" w:rsidR="000A0647" w:rsidRDefault="000A0647"/>
    <w:p w14:paraId="408B0BC5" w14:textId="77777777" w:rsidR="000A0647" w:rsidRDefault="000A0647"/>
    <w:p w14:paraId="4A396C3B" w14:textId="77777777" w:rsidR="000A0647" w:rsidRDefault="000A0647"/>
    <w:p w14:paraId="6D40C35F" w14:textId="77777777" w:rsidR="000A0647" w:rsidRDefault="000A0647"/>
    <w:p w14:paraId="10C887A2" w14:textId="77777777" w:rsidR="000A0647" w:rsidRDefault="000A0647"/>
    <w:p w14:paraId="6548AA21" w14:textId="77777777" w:rsidR="000A0647" w:rsidRDefault="000A0647"/>
    <w:p w14:paraId="16B0CB8D" w14:textId="77777777" w:rsidR="000A0647" w:rsidRDefault="000A0647"/>
    <w:p w14:paraId="4AC2A73B" w14:textId="77777777" w:rsidR="000A0647" w:rsidRDefault="000A0647"/>
    <w:p w14:paraId="299E4F47" w14:textId="77777777" w:rsidR="000A0647" w:rsidRDefault="000A0647"/>
    <w:p w14:paraId="6C64D955" w14:textId="77777777" w:rsidR="000A0647" w:rsidRDefault="000A0647"/>
    <w:p w14:paraId="3B96047B" w14:textId="77777777" w:rsidR="000A0647" w:rsidRDefault="000A0647"/>
    <w:p w14:paraId="37D18044" w14:textId="77777777" w:rsidR="000A0647" w:rsidRDefault="000A0647"/>
    <w:p w14:paraId="5CAF3E87" w14:textId="2C66E6D0" w:rsidR="007552A6" w:rsidRPr="00F6455C" w:rsidRDefault="00F6455C">
      <w:pPr>
        <w:rPr>
          <w:rFonts w:asciiTheme="minorBidi" w:hAnsiTheme="minorBidi"/>
          <w:b/>
          <w:bCs/>
        </w:rPr>
      </w:pPr>
      <w:r w:rsidRPr="00F6455C">
        <w:rPr>
          <w:rFonts w:asciiTheme="minorBidi" w:hAnsiTheme="minorBidi"/>
          <w:b/>
          <w:bCs/>
        </w:rPr>
        <w:lastRenderedPageBreak/>
        <w:t>Introduction</w:t>
      </w:r>
    </w:p>
    <w:p w14:paraId="49FEB82E" w14:textId="77777777" w:rsidR="007552A6" w:rsidRPr="007A33A5" w:rsidRDefault="00F6455C">
      <w:pPr>
        <w:rPr>
          <w:rFonts w:asciiTheme="minorBidi" w:hAnsiTheme="minorBidi"/>
        </w:rPr>
      </w:pPr>
      <w:r w:rsidRPr="007A33A5">
        <w:rPr>
          <w:rFonts w:asciiTheme="minorBidi" w:hAnsiTheme="minorBidi"/>
        </w:rPr>
        <w:t>Effective communication, accurate record keeping, and collaborative practice are fundamental to high-quality health and social care. This report explores these aspects in the case of Mrs Mann, a 72-year-old woman recently discharged from hospital following hip replacement surgery. Mrs Mann lives alone and receives domiciliary care visits twice daily, with additional support from her general practitioner (GP) and a community physiotherapist. As Mrs Mann’s first language is Urdu and her English is limited, he</w:t>
      </w:r>
      <w:r w:rsidRPr="007A33A5">
        <w:rPr>
          <w:rFonts w:asciiTheme="minorBidi" w:hAnsiTheme="minorBidi"/>
        </w:rPr>
        <w:t>r daughter often interprets on her behalf. Recently, a communication lapse led to inconsistent documentation and a delay in medication adjustment, prompting internal review. Using this case, the report examines the importance of effective communication with service users and families in line with the Equality Act 2010, discusses the principles of good administrative practice under the Data Protection Act 2018, and explores interprofessional collaboration as a mechanism to ensure safe, person-centred care.</w:t>
      </w:r>
    </w:p>
    <w:p w14:paraId="48824BAE" w14:textId="658AF5A5" w:rsidR="009B3F70" w:rsidRPr="00F6455C" w:rsidRDefault="00F6455C" w:rsidP="00F6455C">
      <w:pPr>
        <w:rPr>
          <w:rFonts w:asciiTheme="minorBidi" w:hAnsiTheme="minorBidi"/>
          <w:b/>
          <w:bCs/>
        </w:rPr>
      </w:pPr>
      <w:r w:rsidRPr="00F6455C">
        <w:rPr>
          <w:rFonts w:asciiTheme="minorBidi" w:hAnsiTheme="minorBidi"/>
          <w:b/>
          <w:bCs/>
        </w:rPr>
        <w:t xml:space="preserve">1. </w:t>
      </w:r>
      <w:r w:rsidRPr="00F6455C">
        <w:rPr>
          <w:rFonts w:asciiTheme="minorBidi" w:hAnsiTheme="minorBidi"/>
          <w:b/>
          <w:bCs/>
        </w:rPr>
        <w:t>Effective Communication</w:t>
      </w:r>
    </w:p>
    <w:p w14:paraId="4D3EBD91" w14:textId="040C9AC1" w:rsidR="007552A6" w:rsidRPr="009B3F70" w:rsidRDefault="00F6455C" w:rsidP="009B3F70">
      <w:pPr>
        <w:rPr>
          <w:rFonts w:asciiTheme="minorBidi" w:hAnsiTheme="minorBidi"/>
        </w:rPr>
      </w:pPr>
      <w:r w:rsidRPr="009B3F70">
        <w:rPr>
          <w:rFonts w:asciiTheme="minorBidi" w:hAnsiTheme="minorBidi"/>
        </w:rPr>
        <w:t>Effective communication is central to person-centred care and is a professional obligation within health and social care practice (Nursing and Midwifery Council [NMC], 2018). Communication enables practitioners to build trusting relationships, convey information clearly, and ensure that the service user’s preferences and needs are fully understood. In Mrs Mann’s case, language and cultural barriers present significant challenges that must be addressed to maintain safety and dignity in care delivery.</w:t>
      </w:r>
      <w:r w:rsidRPr="009B3F70">
        <w:rPr>
          <w:rFonts w:asciiTheme="minorBidi" w:hAnsiTheme="minorBidi"/>
        </w:rPr>
        <w:br/>
      </w:r>
      <w:r w:rsidRPr="009B3F70">
        <w:rPr>
          <w:rFonts w:asciiTheme="minorBidi" w:hAnsiTheme="minorBidi"/>
        </w:rPr>
        <w:br/>
        <w:t xml:space="preserve">Given that Mrs Mann speaks limited English, communication should be adapted to her linguistic and cultural context. The Department of Health and Social Care (DHSC, 2022) Accessible Information Standard requires providers to identify and meet communication needs related to language and disability. Using professional interpreters rather than relying solely on family members supports accuracy and confidentiality, ensuring Mrs Mann can express her preferences directly. However, her daughter’s involvement can </w:t>
      </w:r>
      <w:r w:rsidRPr="009B3F70">
        <w:rPr>
          <w:rFonts w:asciiTheme="minorBidi" w:hAnsiTheme="minorBidi"/>
        </w:rPr>
        <w:t>still be valuable for emotional support and cultural understanding if boundaries and consent are clearly defined.</w:t>
      </w:r>
      <w:r w:rsidRPr="009B3F70">
        <w:rPr>
          <w:rFonts w:asciiTheme="minorBidi" w:hAnsiTheme="minorBidi"/>
        </w:rPr>
        <w:br/>
      </w:r>
      <w:r w:rsidRPr="009B3F70">
        <w:rPr>
          <w:rFonts w:asciiTheme="minorBidi" w:hAnsiTheme="minorBidi"/>
        </w:rPr>
        <w:br/>
        <w:t xml:space="preserve">Non-verbal communication such as gestures, tone, and facial expressions </w:t>
      </w:r>
      <w:proofErr w:type="gramStart"/>
      <w:r w:rsidRPr="009B3F70">
        <w:rPr>
          <w:rFonts w:asciiTheme="minorBidi" w:hAnsiTheme="minorBidi"/>
        </w:rPr>
        <w:t>are</w:t>
      </w:r>
      <w:proofErr w:type="gramEnd"/>
      <w:r w:rsidRPr="009B3F70">
        <w:rPr>
          <w:rFonts w:asciiTheme="minorBidi" w:hAnsiTheme="minorBidi"/>
        </w:rPr>
        <w:t xml:space="preserve"> equally important. Care staff can use simple phrases, visual prompts, or translation cards to enhance comprehension. Active listening and patience foster trust, while feedback loops</w:t>
      </w:r>
      <w:r w:rsidR="005B4DA7" w:rsidRPr="009B3F70">
        <w:rPr>
          <w:rFonts w:asciiTheme="minorBidi" w:hAnsiTheme="minorBidi"/>
        </w:rPr>
        <w:t xml:space="preserve">, </w:t>
      </w:r>
      <w:r w:rsidRPr="009B3F70">
        <w:rPr>
          <w:rFonts w:asciiTheme="minorBidi" w:hAnsiTheme="minorBidi"/>
        </w:rPr>
        <w:t xml:space="preserve">asking </w:t>
      </w:r>
      <w:proofErr w:type="spellStart"/>
      <w:r w:rsidR="005B4DA7" w:rsidRPr="009B3F70">
        <w:rPr>
          <w:rFonts w:asciiTheme="minorBidi" w:hAnsiTheme="minorBidi"/>
        </w:rPr>
        <w:t>Mrs</w:t>
      </w:r>
      <w:proofErr w:type="spellEnd"/>
      <w:r w:rsidR="005B4DA7" w:rsidRPr="009B3F70">
        <w:rPr>
          <w:rFonts w:asciiTheme="minorBidi" w:hAnsiTheme="minorBidi"/>
        </w:rPr>
        <w:t xml:space="preserve"> </w:t>
      </w:r>
      <w:r w:rsidRPr="009B3F70">
        <w:rPr>
          <w:rFonts w:asciiTheme="minorBidi" w:hAnsiTheme="minorBidi"/>
        </w:rPr>
        <w:t>Mann to repeat or demonstrate understanding</w:t>
      </w:r>
      <w:r w:rsidR="005B4DA7" w:rsidRPr="009B3F70">
        <w:rPr>
          <w:rFonts w:asciiTheme="minorBidi" w:hAnsiTheme="minorBidi"/>
        </w:rPr>
        <w:t xml:space="preserve">, </w:t>
      </w:r>
      <w:r w:rsidRPr="009B3F70">
        <w:rPr>
          <w:rFonts w:asciiTheme="minorBidi" w:hAnsiTheme="minorBidi"/>
        </w:rPr>
        <w:t>help confirm accurate information exchange.</w:t>
      </w:r>
      <w:r w:rsidRPr="009B3F70">
        <w:rPr>
          <w:rFonts w:asciiTheme="minorBidi" w:hAnsiTheme="minorBidi"/>
        </w:rPr>
        <w:br/>
      </w:r>
      <w:r w:rsidRPr="009B3F70">
        <w:rPr>
          <w:rFonts w:asciiTheme="minorBidi" w:hAnsiTheme="minorBidi"/>
        </w:rPr>
        <w:br/>
        <w:t>The Equality Act 2010 provides a lega</w:t>
      </w:r>
      <w:r w:rsidRPr="009B3F70">
        <w:rPr>
          <w:rFonts w:asciiTheme="minorBidi" w:hAnsiTheme="minorBidi"/>
        </w:rPr>
        <w:t>l framework that protects individuals from discrimination based on protected characteristics, including age, race, and disability. It imposes a duty on care providers to make reasonable adjustments to meet individuals’ specific needs. In Mrs Mann’s case, this involves ensuring equitable access to information, culturally sensitive care, and support mechanisms that remove language-</w:t>
      </w:r>
      <w:r w:rsidRPr="009B3F70">
        <w:rPr>
          <w:rFonts w:asciiTheme="minorBidi" w:hAnsiTheme="minorBidi"/>
        </w:rPr>
        <w:lastRenderedPageBreak/>
        <w:t>related barriers. Adhering to these principles promotes inclusion and respect for diversity, essential values in person-centred ca</w:t>
      </w:r>
      <w:r w:rsidRPr="009B3F70">
        <w:rPr>
          <w:rFonts w:asciiTheme="minorBidi" w:hAnsiTheme="minorBidi"/>
        </w:rPr>
        <w:t>re (Lishman, 2018).</w:t>
      </w:r>
      <w:r w:rsidRPr="009B3F70">
        <w:rPr>
          <w:rFonts w:asciiTheme="minorBidi" w:hAnsiTheme="minorBidi"/>
        </w:rPr>
        <w:br/>
      </w:r>
      <w:r w:rsidRPr="009B3F70">
        <w:rPr>
          <w:rFonts w:asciiTheme="minorBidi" w:hAnsiTheme="minorBidi"/>
        </w:rPr>
        <w:br/>
        <w:t>Berlo’s (1960) SMCR model</w:t>
      </w:r>
      <w:r w:rsidR="004F564B" w:rsidRPr="009B3F70">
        <w:rPr>
          <w:rFonts w:asciiTheme="minorBidi" w:hAnsiTheme="minorBidi"/>
        </w:rPr>
        <w:t xml:space="preserve"> </w:t>
      </w:r>
      <w:r w:rsidR="00AB5C4A" w:rsidRPr="009B3F70">
        <w:rPr>
          <w:rFonts w:asciiTheme="minorBidi" w:hAnsiTheme="minorBidi"/>
        </w:rPr>
        <w:t>(</w:t>
      </w:r>
      <w:r w:rsidRPr="009B3F70">
        <w:rPr>
          <w:rFonts w:asciiTheme="minorBidi" w:hAnsiTheme="minorBidi"/>
        </w:rPr>
        <w:t>Source, Message, Channel, Receiver</w:t>
      </w:r>
      <w:r w:rsidR="00AB5C4A" w:rsidRPr="009B3F70">
        <w:rPr>
          <w:rFonts w:asciiTheme="minorBidi" w:hAnsiTheme="minorBidi"/>
        </w:rPr>
        <w:t>)</w:t>
      </w:r>
      <w:r w:rsidR="004F564B" w:rsidRPr="009B3F70">
        <w:rPr>
          <w:rFonts w:asciiTheme="minorBidi" w:hAnsiTheme="minorBidi"/>
        </w:rPr>
        <w:t xml:space="preserve"> </w:t>
      </w:r>
      <w:r w:rsidRPr="009B3F70">
        <w:rPr>
          <w:rFonts w:asciiTheme="minorBidi" w:hAnsiTheme="minorBidi"/>
        </w:rPr>
        <w:t>provides a useful framework for analysing communication in this context. The source (care worker) encodes the message (care instructions), transmitted via a channel (spoken, written, or visual) to the receiver (Mrs Mann). For communication to succeed, the receiver must decode and understand the message accurately. Language differences or unclear documentation can distort the message, as occurred in Mrs Mann’s missed medicati</w:t>
      </w:r>
      <w:r w:rsidRPr="009B3F70">
        <w:rPr>
          <w:rFonts w:asciiTheme="minorBidi" w:hAnsiTheme="minorBidi"/>
        </w:rPr>
        <w:t>on adjustment. Applying Berlo’s model encourages practitioners to ensure clarity at each stage, verify understanding, and use appropriate feedback mechanisms.</w:t>
      </w:r>
      <w:r w:rsidRPr="009B3F70">
        <w:rPr>
          <w:rFonts w:asciiTheme="minorBidi" w:hAnsiTheme="minorBidi"/>
        </w:rPr>
        <w:br/>
      </w:r>
      <w:r w:rsidRPr="009B3F70">
        <w:rPr>
          <w:rFonts w:asciiTheme="minorBidi" w:hAnsiTheme="minorBidi"/>
        </w:rPr>
        <w:br/>
        <w:t xml:space="preserve">Effective communication directly influences safety and quality of care. Poor communication is a major contributor to adverse incidents (World Health Organization [WHO], 2021). In Mrs Mann’s situation, miscommunication between professionals led to a delayed medication change. Implementing structured communication methods, such as the SBAR (Situation, </w:t>
      </w:r>
      <w:r w:rsidRPr="009B3F70">
        <w:rPr>
          <w:rFonts w:asciiTheme="minorBidi" w:hAnsiTheme="minorBidi"/>
        </w:rPr>
        <w:t>Background, Assessment, Recommendation) tool, can standardise information exchange and reduce risks. Overall, communication that is inclusive, respectful, and adapted to the service user’s needs is essential to uphold professional standards and deliver high-quality, person-centred support.</w:t>
      </w:r>
    </w:p>
    <w:p w14:paraId="7AFB514B" w14:textId="77777777" w:rsidR="007552A6" w:rsidRPr="002A2BBD" w:rsidRDefault="00F6455C">
      <w:pPr>
        <w:rPr>
          <w:rFonts w:asciiTheme="minorBidi" w:hAnsiTheme="minorBidi"/>
          <w:b/>
          <w:bCs/>
        </w:rPr>
      </w:pPr>
      <w:r w:rsidRPr="002A2BBD">
        <w:rPr>
          <w:rFonts w:asciiTheme="minorBidi" w:hAnsiTheme="minorBidi"/>
          <w:b/>
          <w:bCs/>
        </w:rPr>
        <w:t>2</w:t>
      </w:r>
      <w:r w:rsidRPr="002A2BBD">
        <w:rPr>
          <w:rFonts w:asciiTheme="minorBidi" w:hAnsiTheme="minorBidi"/>
          <w:b/>
          <w:bCs/>
        </w:rPr>
        <w:t>. Administrative Skills and Record Keeping</w:t>
      </w:r>
    </w:p>
    <w:p w14:paraId="166AA07C" w14:textId="32A9DDEB" w:rsidR="007552A6" w:rsidRPr="007A33A5" w:rsidRDefault="00F6455C">
      <w:pPr>
        <w:rPr>
          <w:rFonts w:asciiTheme="minorBidi" w:hAnsiTheme="minorBidi"/>
        </w:rPr>
      </w:pPr>
      <w:r w:rsidRPr="007A33A5">
        <w:rPr>
          <w:rFonts w:asciiTheme="minorBidi" w:hAnsiTheme="minorBidi"/>
        </w:rPr>
        <w:t>Accurate and consistent record keeping is a cornerstone of safe and effective care. It ensures continuity between professionals, supports accountability, and provides legal evidence of care delivered. The issue of inconsistent documentation in Mrs Mann’s records highlights the potential consequences of poor administrative practice.</w:t>
      </w:r>
      <w:r w:rsidRPr="007A33A5">
        <w:rPr>
          <w:rFonts w:asciiTheme="minorBidi" w:hAnsiTheme="minorBidi"/>
        </w:rPr>
        <w:br/>
      </w:r>
      <w:r w:rsidRPr="007A33A5">
        <w:rPr>
          <w:rFonts w:asciiTheme="minorBidi" w:hAnsiTheme="minorBidi"/>
        </w:rPr>
        <w:br/>
        <w:t>According to the NMC Code (2018), practitioners must “keep clear and accurate records relevant to their practice.” Records should be factual, contemporaneous, and objective, avoiding speculation or ambiguous language. They must include date, time, signature, and details of any care delivered or changes observed. The Care Quality Commission (CQC, 2021) emphasises that records must demonstrate person-centred planning and document consent, risk assessments, and outcomes.</w:t>
      </w:r>
      <w:r w:rsidRPr="007A33A5">
        <w:rPr>
          <w:rFonts w:asciiTheme="minorBidi" w:hAnsiTheme="minorBidi"/>
        </w:rPr>
        <w:br/>
      </w:r>
      <w:r w:rsidRPr="007A33A5">
        <w:rPr>
          <w:rFonts w:asciiTheme="minorBidi" w:hAnsiTheme="minorBidi"/>
        </w:rPr>
        <w:br/>
        <w:t>In Mrs Mann’s care, both domiciliary</w:t>
      </w:r>
      <w:r w:rsidRPr="007A33A5">
        <w:rPr>
          <w:rFonts w:asciiTheme="minorBidi" w:hAnsiTheme="minorBidi"/>
        </w:rPr>
        <w:t xml:space="preserve"> carers and the physiotherapist must document interventions such as assistance with mobility, exercise routines, and pain management. Inconsistent entries or omissions could lead to duplication, medication errors, or delays in treatment</w:t>
      </w:r>
      <w:r w:rsidR="001E74AC">
        <w:rPr>
          <w:rFonts w:asciiTheme="minorBidi" w:hAnsiTheme="minorBidi"/>
        </w:rPr>
        <w:t xml:space="preserve">; </w:t>
      </w:r>
      <w:r w:rsidRPr="007A33A5">
        <w:rPr>
          <w:rFonts w:asciiTheme="minorBidi" w:hAnsiTheme="minorBidi"/>
        </w:rPr>
        <w:t>issues that compromise safety and continuity.</w:t>
      </w:r>
      <w:r w:rsidRPr="007A33A5">
        <w:rPr>
          <w:rFonts w:asciiTheme="minorBidi" w:hAnsiTheme="minorBidi"/>
        </w:rPr>
        <w:br/>
      </w:r>
      <w:r w:rsidRPr="007A33A5">
        <w:rPr>
          <w:rFonts w:asciiTheme="minorBidi" w:hAnsiTheme="minorBidi"/>
        </w:rPr>
        <w:br/>
        <w:t>The Data Protection Act 2018 (incorporating the UK General Data Protection Regulation) provides a legal framework for handling personal data in health and social care. It establishes six key principles: lawfulness, fairness, an</w:t>
      </w:r>
      <w:r w:rsidRPr="007A33A5">
        <w:rPr>
          <w:rFonts w:asciiTheme="minorBidi" w:hAnsiTheme="minorBidi"/>
        </w:rPr>
        <w:t xml:space="preserve">d transparency; purpose limitation; data minimisation; accuracy; storage limitation; and integrity and confidentiality. In practice, care agencies must use password-protected systems and lock paper records </w:t>
      </w:r>
      <w:r w:rsidRPr="007A33A5">
        <w:rPr>
          <w:rFonts w:asciiTheme="minorBidi" w:hAnsiTheme="minorBidi"/>
        </w:rPr>
        <w:lastRenderedPageBreak/>
        <w:t>securely. Staff must receive training on confidentiality and data sharing. Consent should be sought before sharing information with family or professionals, except in safeguarding or public interest circumstances.</w:t>
      </w:r>
      <w:r w:rsidRPr="007A33A5">
        <w:rPr>
          <w:rFonts w:asciiTheme="minorBidi" w:hAnsiTheme="minorBidi"/>
        </w:rPr>
        <w:br/>
      </w:r>
      <w:r w:rsidRPr="007A33A5">
        <w:rPr>
          <w:rFonts w:asciiTheme="minorBidi" w:hAnsiTheme="minorBidi"/>
        </w:rPr>
        <w:br/>
        <w:t>The Caldicott Principles (Department of Health, 2020) reinforce confidentiality and require</w:t>
      </w:r>
      <w:r w:rsidRPr="007A33A5">
        <w:rPr>
          <w:rFonts w:asciiTheme="minorBidi" w:hAnsiTheme="minorBidi"/>
        </w:rPr>
        <w:t xml:space="preserve"> justification for any information sharing. The Care Act 2014 further mandates that care planning and record keeping remain person-centred and outcome-focused. The Health and Social Care Act 2012 encourages integrated electronic records to promote multi-agency coordination, reducing duplication and error.</w:t>
      </w:r>
      <w:r w:rsidRPr="007A33A5">
        <w:rPr>
          <w:rFonts w:asciiTheme="minorBidi" w:hAnsiTheme="minorBidi"/>
        </w:rPr>
        <w:br/>
      </w:r>
      <w:r w:rsidRPr="007A33A5">
        <w:rPr>
          <w:rFonts w:asciiTheme="minorBidi" w:hAnsiTheme="minorBidi"/>
        </w:rPr>
        <w:br/>
        <w:t>For Mrs Mann, record keeping should integrate digital and paper systems between the care agency, physiotherapist, and GP. Shared access to a centralised record system can ensure medication changes or mobi</w:t>
      </w:r>
      <w:r w:rsidRPr="007A33A5">
        <w:rPr>
          <w:rFonts w:asciiTheme="minorBidi" w:hAnsiTheme="minorBidi"/>
        </w:rPr>
        <w:t>lity assessments are communicated promptly. Regular auditing and supervision can improve accuracy and consistency. Administrative competence, therefore, not only meets legal requirements but also directly impacts patient safety, continuity, and trust in care services.</w:t>
      </w:r>
    </w:p>
    <w:p w14:paraId="139B80CD" w14:textId="77777777" w:rsidR="007552A6" w:rsidRPr="002A2BBD" w:rsidRDefault="00F6455C">
      <w:pPr>
        <w:rPr>
          <w:rFonts w:asciiTheme="minorBidi" w:hAnsiTheme="minorBidi"/>
          <w:b/>
          <w:bCs/>
        </w:rPr>
      </w:pPr>
      <w:r w:rsidRPr="002A2BBD">
        <w:rPr>
          <w:rFonts w:asciiTheme="minorBidi" w:hAnsiTheme="minorBidi"/>
          <w:b/>
          <w:bCs/>
        </w:rPr>
        <w:t>3. Collaborative Practice</w:t>
      </w:r>
    </w:p>
    <w:p w14:paraId="4FA90473" w14:textId="13345FE6" w:rsidR="007552A6" w:rsidRPr="007A33A5" w:rsidRDefault="00F6455C">
      <w:pPr>
        <w:rPr>
          <w:rFonts w:asciiTheme="minorBidi" w:hAnsiTheme="minorBidi"/>
        </w:rPr>
      </w:pPr>
      <w:r w:rsidRPr="007A33A5">
        <w:rPr>
          <w:rFonts w:asciiTheme="minorBidi" w:hAnsiTheme="minorBidi"/>
        </w:rPr>
        <w:t>Collaboration between health and social care professionals is vital to delivering seamless, person-centred support, particularly for older adults with complex needs. In Mrs Mann’s case, the physiotherapist, GP, and domiciliary carers each play distinct roles that must integrate effectively to promote recovery and independence.</w:t>
      </w:r>
      <w:r w:rsidRPr="007A33A5">
        <w:rPr>
          <w:rFonts w:asciiTheme="minorBidi" w:hAnsiTheme="minorBidi"/>
        </w:rPr>
        <w:br/>
      </w:r>
      <w:r w:rsidRPr="007A33A5">
        <w:rPr>
          <w:rFonts w:asciiTheme="minorBidi" w:hAnsiTheme="minorBidi"/>
        </w:rPr>
        <w:br/>
        <w:t>Interprofessional collaboration involves shared goals, open communication, and mutual respect among professionals (WHO, 2021). Regular multidisciplinary meetings, joint care planning, and shared documentation systems enable consistent understanding of Mrs Mann’s progress and needs. The SBAR communication framework can be used for structured updates, ensuring clarity and efficiency during handovers.</w:t>
      </w:r>
      <w:r w:rsidRPr="007A33A5">
        <w:rPr>
          <w:rFonts w:asciiTheme="minorBidi" w:hAnsiTheme="minorBidi"/>
        </w:rPr>
        <w:br/>
      </w:r>
      <w:r w:rsidRPr="007A33A5">
        <w:rPr>
          <w:rFonts w:asciiTheme="minorBidi" w:hAnsiTheme="minorBidi"/>
        </w:rPr>
        <w:br/>
        <w:t>Role clarity is essential. The GP oversees medical management, the physiotherapist supports rehabilitation,</w:t>
      </w:r>
      <w:r w:rsidRPr="007A33A5">
        <w:rPr>
          <w:rFonts w:asciiTheme="minorBidi" w:hAnsiTheme="minorBidi"/>
        </w:rPr>
        <w:t xml:space="preserve"> and care workers assist with daily activities. Recognising these complementary roles reduces duplication and fosters accountability. Digital care plans accessible to all professionals</w:t>
      </w:r>
      <w:r w:rsidR="000F163A">
        <w:rPr>
          <w:rFonts w:asciiTheme="minorBidi" w:hAnsiTheme="minorBidi"/>
        </w:rPr>
        <w:t xml:space="preserve">, </w:t>
      </w:r>
      <w:r w:rsidRPr="007A33A5">
        <w:rPr>
          <w:rFonts w:asciiTheme="minorBidi" w:hAnsiTheme="minorBidi"/>
        </w:rPr>
        <w:t xml:space="preserve">with </w:t>
      </w:r>
      <w:proofErr w:type="spellStart"/>
      <w:r w:rsidRPr="007A33A5">
        <w:rPr>
          <w:rFonts w:asciiTheme="minorBidi" w:hAnsiTheme="minorBidi"/>
        </w:rPr>
        <w:t>Mrs</w:t>
      </w:r>
      <w:proofErr w:type="spellEnd"/>
      <w:r w:rsidRPr="007A33A5">
        <w:rPr>
          <w:rFonts w:asciiTheme="minorBidi" w:hAnsiTheme="minorBidi"/>
        </w:rPr>
        <w:t xml:space="preserve"> Mann’s consent</w:t>
      </w:r>
      <w:r w:rsidR="001F1FF0">
        <w:rPr>
          <w:rFonts w:asciiTheme="minorBidi" w:hAnsiTheme="minorBidi"/>
        </w:rPr>
        <w:t xml:space="preserve">, </w:t>
      </w:r>
      <w:r w:rsidRPr="007A33A5">
        <w:rPr>
          <w:rFonts w:asciiTheme="minorBidi" w:hAnsiTheme="minorBidi"/>
        </w:rPr>
        <w:t>enable timely updates and coordinated interventions.</w:t>
      </w:r>
      <w:r w:rsidRPr="007A33A5">
        <w:rPr>
          <w:rFonts w:asciiTheme="minorBidi" w:hAnsiTheme="minorBidi"/>
        </w:rPr>
        <w:br/>
      </w:r>
      <w:r w:rsidRPr="007A33A5">
        <w:rPr>
          <w:rFonts w:asciiTheme="minorBidi" w:hAnsiTheme="minorBidi"/>
        </w:rPr>
        <w:br/>
        <w:t>Challenges such as differing professional cultures, time pressures, and communication barriers can hinder collaboration. In Mrs Mann’s case, language differences and inconsistent documentation have already contributed to a breakdown in coordinatio</w:t>
      </w:r>
      <w:r w:rsidRPr="007A33A5">
        <w:rPr>
          <w:rFonts w:asciiTheme="minorBidi" w:hAnsiTheme="minorBidi"/>
        </w:rPr>
        <w:t>n. Strategies to overcome these issues include appointing a key worker or care coordinator to manage communication, conducting joint reviews, and using interpreter services when necessary. Reflective practice sessions and inter-agency training also promote understanding of each team’s responsibilities and enhance trust.</w:t>
      </w:r>
      <w:r w:rsidRPr="007A33A5">
        <w:rPr>
          <w:rFonts w:asciiTheme="minorBidi" w:hAnsiTheme="minorBidi"/>
        </w:rPr>
        <w:br/>
      </w:r>
      <w:r w:rsidRPr="007A33A5">
        <w:rPr>
          <w:rFonts w:asciiTheme="minorBidi" w:hAnsiTheme="minorBidi"/>
        </w:rPr>
        <w:br/>
        <w:t xml:space="preserve">Effective collaboration improves continuity, reduces hospital readmissions, and </w:t>
      </w:r>
      <w:r w:rsidRPr="007A33A5">
        <w:rPr>
          <w:rFonts w:asciiTheme="minorBidi" w:hAnsiTheme="minorBidi"/>
        </w:rPr>
        <w:lastRenderedPageBreak/>
        <w:t>enhances patient satisfaction. It ensures that Mrs Mann’s physical rehabilitation aligns with her care plan a</w:t>
      </w:r>
      <w:r w:rsidRPr="007A33A5">
        <w:rPr>
          <w:rFonts w:asciiTheme="minorBidi" w:hAnsiTheme="minorBidi"/>
        </w:rPr>
        <w:t>nd medication management. Ultimately, multi-agency teamwork exemplifies holistic, person-centred care and reflects the values of partnership and professionalism embedded within health and social care policy.</w:t>
      </w:r>
    </w:p>
    <w:p w14:paraId="221C90A9" w14:textId="77777777" w:rsidR="007552A6" w:rsidRPr="00D20E8C" w:rsidRDefault="00F6455C">
      <w:pPr>
        <w:rPr>
          <w:rFonts w:asciiTheme="minorBidi" w:hAnsiTheme="minorBidi"/>
          <w:b/>
          <w:bCs/>
        </w:rPr>
      </w:pPr>
      <w:r w:rsidRPr="00D20E8C">
        <w:rPr>
          <w:rFonts w:asciiTheme="minorBidi" w:hAnsiTheme="minorBidi"/>
          <w:b/>
          <w:bCs/>
        </w:rPr>
        <w:t>Conclusion</w:t>
      </w:r>
    </w:p>
    <w:p w14:paraId="3CE677EA" w14:textId="77777777" w:rsidR="007552A6" w:rsidRDefault="00F6455C">
      <w:pPr>
        <w:rPr>
          <w:rFonts w:asciiTheme="minorBidi" w:hAnsiTheme="minorBidi"/>
        </w:rPr>
      </w:pPr>
      <w:r w:rsidRPr="007A33A5">
        <w:rPr>
          <w:rFonts w:asciiTheme="minorBidi" w:hAnsiTheme="minorBidi"/>
        </w:rPr>
        <w:t>Mrs Mann’s case demonstrates that effective communication, precise record keeping, and collaborative working are interdependent components of safe, person-centred care. Communication adapted to linguistic and cultural needs, in line with the Equality Act 2010, ensures that Mrs Mann is fully informed and empowered in her care decisions. Accurate and lawful record keeping under the Data Protection Act 2018 upholds confidentiality and accountability, while collaborative practice among the care team, physiother</w:t>
      </w:r>
      <w:r w:rsidRPr="007A33A5">
        <w:rPr>
          <w:rFonts w:asciiTheme="minorBidi" w:hAnsiTheme="minorBidi"/>
        </w:rPr>
        <w:t xml:space="preserve">apist, and GP promotes coordinated recovery and continuity. The incident of delayed medication adjustment underscores the critical importance of these practices in preventing harm and ensuring quality. By embedding equality, professionalism, and teamwork in daily practice, health and social care professionals can enhance outcomes, uphold ethical standards, and deliver compassionate, inclusive support for individuals like </w:t>
      </w:r>
      <w:proofErr w:type="spellStart"/>
      <w:r w:rsidRPr="007A33A5">
        <w:rPr>
          <w:rFonts w:asciiTheme="minorBidi" w:hAnsiTheme="minorBidi"/>
        </w:rPr>
        <w:t>Mrs</w:t>
      </w:r>
      <w:proofErr w:type="spellEnd"/>
      <w:r w:rsidRPr="007A33A5">
        <w:rPr>
          <w:rFonts w:asciiTheme="minorBidi" w:hAnsiTheme="minorBidi"/>
        </w:rPr>
        <w:t xml:space="preserve"> Mann.</w:t>
      </w:r>
    </w:p>
    <w:p w14:paraId="628D424B" w14:textId="77777777" w:rsidR="007A33A5" w:rsidRDefault="007A33A5">
      <w:pPr>
        <w:rPr>
          <w:rFonts w:asciiTheme="minorBidi" w:hAnsiTheme="minorBidi"/>
        </w:rPr>
      </w:pPr>
    </w:p>
    <w:p w14:paraId="704D3A1C" w14:textId="77777777" w:rsidR="007A33A5" w:rsidRDefault="007A33A5">
      <w:pPr>
        <w:rPr>
          <w:rFonts w:asciiTheme="minorBidi" w:hAnsiTheme="minorBidi"/>
        </w:rPr>
      </w:pPr>
    </w:p>
    <w:p w14:paraId="6FD9DB0E" w14:textId="77777777" w:rsidR="007A33A5" w:rsidRDefault="007A33A5">
      <w:pPr>
        <w:rPr>
          <w:rFonts w:asciiTheme="minorBidi" w:hAnsiTheme="minorBidi"/>
        </w:rPr>
      </w:pPr>
    </w:p>
    <w:p w14:paraId="3B64CC4A" w14:textId="77777777" w:rsidR="007A33A5" w:rsidRDefault="007A33A5">
      <w:pPr>
        <w:rPr>
          <w:rFonts w:asciiTheme="minorBidi" w:hAnsiTheme="minorBidi"/>
        </w:rPr>
      </w:pPr>
    </w:p>
    <w:p w14:paraId="3E07ABBD" w14:textId="77777777" w:rsidR="007A33A5" w:rsidRDefault="007A33A5">
      <w:pPr>
        <w:rPr>
          <w:rFonts w:asciiTheme="minorBidi" w:hAnsiTheme="minorBidi"/>
        </w:rPr>
      </w:pPr>
    </w:p>
    <w:p w14:paraId="0599B96E" w14:textId="77777777" w:rsidR="007A33A5" w:rsidRDefault="007A33A5">
      <w:pPr>
        <w:rPr>
          <w:rFonts w:asciiTheme="minorBidi" w:hAnsiTheme="minorBidi"/>
        </w:rPr>
      </w:pPr>
    </w:p>
    <w:p w14:paraId="32CB1BF1" w14:textId="77777777" w:rsidR="007A33A5" w:rsidRDefault="007A33A5">
      <w:pPr>
        <w:rPr>
          <w:rFonts w:asciiTheme="minorBidi" w:hAnsiTheme="minorBidi"/>
        </w:rPr>
      </w:pPr>
    </w:p>
    <w:p w14:paraId="35C3AC5E" w14:textId="77777777" w:rsidR="007A33A5" w:rsidRDefault="007A33A5">
      <w:pPr>
        <w:rPr>
          <w:rFonts w:asciiTheme="minorBidi" w:hAnsiTheme="minorBidi"/>
        </w:rPr>
      </w:pPr>
    </w:p>
    <w:p w14:paraId="75050FB7" w14:textId="77777777" w:rsidR="007A33A5" w:rsidRDefault="007A33A5">
      <w:pPr>
        <w:rPr>
          <w:rFonts w:asciiTheme="minorBidi" w:hAnsiTheme="minorBidi"/>
        </w:rPr>
      </w:pPr>
    </w:p>
    <w:p w14:paraId="46B650A6" w14:textId="77777777" w:rsidR="007A33A5" w:rsidRDefault="007A33A5">
      <w:pPr>
        <w:rPr>
          <w:rFonts w:asciiTheme="minorBidi" w:hAnsiTheme="minorBidi"/>
        </w:rPr>
      </w:pPr>
    </w:p>
    <w:p w14:paraId="60301842" w14:textId="77777777" w:rsidR="007A33A5" w:rsidRDefault="007A33A5">
      <w:pPr>
        <w:rPr>
          <w:rFonts w:asciiTheme="minorBidi" w:hAnsiTheme="minorBidi"/>
        </w:rPr>
      </w:pPr>
    </w:p>
    <w:p w14:paraId="43A9B112" w14:textId="77777777" w:rsidR="007A33A5" w:rsidRDefault="007A33A5">
      <w:pPr>
        <w:rPr>
          <w:rFonts w:asciiTheme="minorBidi" w:hAnsiTheme="minorBidi"/>
        </w:rPr>
      </w:pPr>
    </w:p>
    <w:p w14:paraId="341C1F4D" w14:textId="77777777" w:rsidR="007A33A5" w:rsidRDefault="007A33A5">
      <w:pPr>
        <w:rPr>
          <w:rFonts w:asciiTheme="minorBidi" w:hAnsiTheme="minorBidi"/>
        </w:rPr>
      </w:pPr>
    </w:p>
    <w:p w14:paraId="5E60FA5D" w14:textId="77777777" w:rsidR="007A33A5" w:rsidRDefault="007A33A5"/>
    <w:p w14:paraId="09BE1760" w14:textId="6EBF0046" w:rsidR="008A0EBD" w:rsidRPr="00563A49" w:rsidRDefault="00F6455C" w:rsidP="00563A49">
      <w:pPr>
        <w:pStyle w:val="Heading2"/>
        <w:rPr>
          <w:rFonts w:asciiTheme="minorBidi" w:hAnsiTheme="minorBidi" w:cstheme="minorBidi"/>
          <w:color w:val="000000" w:themeColor="text1"/>
          <w:sz w:val="22"/>
          <w:szCs w:val="22"/>
        </w:rPr>
      </w:pPr>
      <w:r w:rsidRPr="00B479B1">
        <w:rPr>
          <w:rFonts w:asciiTheme="minorBidi" w:hAnsiTheme="minorBidi" w:cstheme="minorBidi"/>
          <w:color w:val="000000" w:themeColor="text1"/>
          <w:sz w:val="22"/>
          <w:szCs w:val="22"/>
        </w:rPr>
        <w:lastRenderedPageBreak/>
        <w:t>References</w:t>
      </w:r>
    </w:p>
    <w:p w14:paraId="613E50FB" w14:textId="4926CBA3" w:rsidR="008A0EBD" w:rsidRPr="008A0EBD" w:rsidRDefault="008A0EBD" w:rsidP="008A0EBD">
      <w:pPr>
        <w:rPr>
          <w:rFonts w:asciiTheme="minorBidi" w:hAnsiTheme="minorBidi"/>
          <w:lang w:val="en-GB"/>
        </w:rPr>
      </w:pPr>
      <w:r w:rsidRPr="008A0EBD">
        <w:rPr>
          <w:rFonts w:asciiTheme="minorBidi" w:hAnsiTheme="minorBidi"/>
          <w:lang w:val="en-GB"/>
        </w:rPr>
        <w:t xml:space="preserve">Berlo, D.K. (1960) </w:t>
      </w:r>
      <w:r w:rsidRPr="008A0EBD">
        <w:rPr>
          <w:rFonts w:asciiTheme="minorBidi" w:hAnsiTheme="minorBidi"/>
          <w:i/>
          <w:iCs/>
          <w:lang w:val="en-GB"/>
        </w:rPr>
        <w:t>The Process of Communication: An Introduction to Theory and Practice.</w:t>
      </w:r>
      <w:r w:rsidRPr="008A0EBD">
        <w:rPr>
          <w:rFonts w:asciiTheme="minorBidi" w:hAnsiTheme="minorBidi"/>
          <w:lang w:val="en-GB"/>
        </w:rPr>
        <w:t xml:space="preserve"> Holt, Rinehart and Winston.</w:t>
      </w:r>
    </w:p>
    <w:p w14:paraId="2EB5A705" w14:textId="77777777" w:rsidR="008A0EBD" w:rsidRPr="008A0EBD" w:rsidRDefault="008A0EBD" w:rsidP="008A0EBD">
      <w:pPr>
        <w:rPr>
          <w:rFonts w:asciiTheme="minorBidi" w:hAnsiTheme="minorBidi"/>
          <w:lang w:val="en-GB"/>
        </w:rPr>
      </w:pPr>
      <w:r w:rsidRPr="008A0EBD">
        <w:rPr>
          <w:rFonts w:asciiTheme="minorBidi" w:hAnsiTheme="minorBidi"/>
          <w:lang w:val="en-GB"/>
        </w:rPr>
        <w:t xml:space="preserve">Care Quality Commission (CQC) (2021) </w:t>
      </w:r>
      <w:r w:rsidRPr="008A0EBD">
        <w:rPr>
          <w:rFonts w:asciiTheme="minorBidi" w:hAnsiTheme="minorBidi"/>
          <w:i/>
          <w:iCs/>
          <w:lang w:val="en-GB"/>
        </w:rPr>
        <w:t>Guidance on Record Keeping and Information Sharing in Health and Social Care.</w:t>
      </w:r>
      <w:r w:rsidRPr="008A0EBD">
        <w:rPr>
          <w:rFonts w:asciiTheme="minorBidi" w:hAnsiTheme="minorBidi"/>
          <w:lang w:val="en-GB"/>
        </w:rPr>
        <w:t xml:space="preserve"> London: Care Quality Commission.</w:t>
      </w:r>
      <w:r w:rsidRPr="008A0EBD">
        <w:rPr>
          <w:rFonts w:asciiTheme="minorBidi" w:hAnsiTheme="minorBidi"/>
          <w:lang w:val="en-GB"/>
        </w:rPr>
        <w:br/>
        <w:t>Available at: https://www.cqc.org.uk/guidance-providers/records (Accessed: 2 November 2025).</w:t>
      </w:r>
    </w:p>
    <w:p w14:paraId="09D52BA2" w14:textId="77777777" w:rsidR="008A0EBD" w:rsidRPr="008A0EBD" w:rsidRDefault="008A0EBD" w:rsidP="008A0EBD">
      <w:pPr>
        <w:rPr>
          <w:rFonts w:asciiTheme="minorBidi" w:hAnsiTheme="minorBidi"/>
          <w:lang w:val="en-GB"/>
        </w:rPr>
      </w:pPr>
      <w:r w:rsidRPr="008A0EBD">
        <w:rPr>
          <w:rFonts w:asciiTheme="minorBidi" w:hAnsiTheme="minorBidi"/>
          <w:lang w:val="en-GB"/>
        </w:rPr>
        <w:t xml:space="preserve">Department of Health and Social Care (DHSC) (2020) </w:t>
      </w:r>
      <w:r w:rsidRPr="008A0EBD">
        <w:rPr>
          <w:rFonts w:asciiTheme="minorBidi" w:hAnsiTheme="minorBidi"/>
          <w:i/>
          <w:iCs/>
          <w:lang w:val="en-GB"/>
        </w:rPr>
        <w:t>The Caldicott Principles.</w:t>
      </w:r>
      <w:r w:rsidRPr="008A0EBD">
        <w:rPr>
          <w:rFonts w:asciiTheme="minorBidi" w:hAnsiTheme="minorBidi"/>
          <w:lang w:val="en-GB"/>
        </w:rPr>
        <w:t xml:space="preserve"> London: DHSC.</w:t>
      </w:r>
      <w:r w:rsidRPr="008A0EBD">
        <w:rPr>
          <w:rFonts w:asciiTheme="minorBidi" w:hAnsiTheme="minorBidi"/>
          <w:lang w:val="en-GB"/>
        </w:rPr>
        <w:br/>
        <w:t xml:space="preserve">Available at: </w:t>
      </w:r>
      <w:hyperlink r:id="rId8" w:tgtFrame="_new" w:history="1">
        <w:r w:rsidRPr="008A0EBD">
          <w:rPr>
            <w:rStyle w:val="Hyperlink"/>
            <w:rFonts w:asciiTheme="minorBidi" w:hAnsiTheme="minorBidi"/>
            <w:lang w:val="en-GB"/>
          </w:rPr>
          <w:t>https://www.gov.uk/government/publications/the-caldicott-principles</w:t>
        </w:r>
      </w:hyperlink>
      <w:r w:rsidRPr="008A0EBD">
        <w:rPr>
          <w:rFonts w:asciiTheme="minorBidi" w:hAnsiTheme="minorBidi"/>
          <w:lang w:val="en-GB"/>
        </w:rPr>
        <w:t xml:space="preserve"> (Accessed: 2 November 2025).</w:t>
      </w:r>
    </w:p>
    <w:p w14:paraId="51F79DE6" w14:textId="77777777" w:rsidR="008A0EBD" w:rsidRPr="008A0EBD" w:rsidRDefault="008A0EBD" w:rsidP="008A0EBD">
      <w:pPr>
        <w:rPr>
          <w:rFonts w:asciiTheme="minorBidi" w:hAnsiTheme="minorBidi"/>
          <w:lang w:val="en-GB"/>
        </w:rPr>
      </w:pPr>
      <w:r w:rsidRPr="008A0EBD">
        <w:rPr>
          <w:rFonts w:asciiTheme="minorBidi" w:hAnsiTheme="minorBidi"/>
          <w:lang w:val="en-GB"/>
        </w:rPr>
        <w:t xml:space="preserve">Department of Health and Social Care (DHSC) (2022) </w:t>
      </w:r>
      <w:r w:rsidRPr="008A0EBD">
        <w:rPr>
          <w:rFonts w:asciiTheme="minorBidi" w:hAnsiTheme="minorBidi"/>
          <w:i/>
          <w:iCs/>
          <w:lang w:val="en-GB"/>
        </w:rPr>
        <w:t>Accessible Information Standard.</w:t>
      </w:r>
      <w:r w:rsidRPr="008A0EBD">
        <w:rPr>
          <w:rFonts w:asciiTheme="minorBidi" w:hAnsiTheme="minorBidi"/>
          <w:lang w:val="en-GB"/>
        </w:rPr>
        <w:t xml:space="preserve"> London: DHSC.</w:t>
      </w:r>
      <w:r w:rsidRPr="008A0EBD">
        <w:rPr>
          <w:rFonts w:asciiTheme="minorBidi" w:hAnsiTheme="minorBidi"/>
          <w:lang w:val="en-GB"/>
        </w:rPr>
        <w:br/>
        <w:t>Available at: https://www.england.nhs.uk/ais/ (Accessed: 2 November 2025).</w:t>
      </w:r>
    </w:p>
    <w:p w14:paraId="2371554D" w14:textId="77777777" w:rsidR="008A0EBD" w:rsidRPr="008A0EBD" w:rsidRDefault="008A0EBD" w:rsidP="008A0EBD">
      <w:pPr>
        <w:rPr>
          <w:rFonts w:asciiTheme="minorBidi" w:hAnsiTheme="minorBidi"/>
          <w:lang w:val="en-GB"/>
        </w:rPr>
      </w:pPr>
      <w:r w:rsidRPr="008A0EBD">
        <w:rPr>
          <w:rFonts w:asciiTheme="minorBidi" w:hAnsiTheme="minorBidi"/>
          <w:lang w:val="en-GB"/>
        </w:rPr>
        <w:t>Equality Act 2010 (UK).</w:t>
      </w:r>
      <w:r w:rsidRPr="008A0EBD">
        <w:rPr>
          <w:rFonts w:asciiTheme="minorBidi" w:hAnsiTheme="minorBidi"/>
          <w:lang w:val="en-GB"/>
        </w:rPr>
        <w:br/>
        <w:t xml:space="preserve">Available at: </w:t>
      </w:r>
      <w:hyperlink r:id="rId9" w:tgtFrame="_new" w:history="1">
        <w:r w:rsidRPr="008A0EBD">
          <w:rPr>
            <w:rStyle w:val="Hyperlink"/>
            <w:rFonts w:asciiTheme="minorBidi" w:hAnsiTheme="minorBidi"/>
            <w:lang w:val="en-GB"/>
          </w:rPr>
          <w:t>https://www.legislation.gov.uk/ukpga/2010/15/contents</w:t>
        </w:r>
      </w:hyperlink>
      <w:r w:rsidRPr="008A0EBD">
        <w:rPr>
          <w:rFonts w:asciiTheme="minorBidi" w:hAnsiTheme="minorBidi"/>
          <w:lang w:val="en-GB"/>
        </w:rPr>
        <w:t xml:space="preserve"> (Accessed: 2 November 2025).</w:t>
      </w:r>
    </w:p>
    <w:p w14:paraId="4DE22F28" w14:textId="2F8DA5CC" w:rsidR="008A0EBD" w:rsidRPr="008A0EBD" w:rsidRDefault="008A0EBD" w:rsidP="008A0EBD">
      <w:pPr>
        <w:rPr>
          <w:rFonts w:asciiTheme="minorBidi" w:hAnsiTheme="minorBidi"/>
          <w:lang w:val="en-GB"/>
        </w:rPr>
      </w:pPr>
      <w:r w:rsidRPr="008A0EBD">
        <w:rPr>
          <w:rFonts w:asciiTheme="minorBidi" w:hAnsiTheme="minorBidi"/>
          <w:lang w:val="en-GB"/>
        </w:rPr>
        <w:t xml:space="preserve">Lishman, J. (2018) </w:t>
      </w:r>
      <w:r w:rsidRPr="008A0EBD">
        <w:rPr>
          <w:rFonts w:asciiTheme="minorBidi" w:hAnsiTheme="minorBidi"/>
          <w:i/>
          <w:iCs/>
          <w:lang w:val="en-GB"/>
        </w:rPr>
        <w:t>Communication in Social Work.</w:t>
      </w:r>
      <w:r w:rsidRPr="008A0EBD">
        <w:rPr>
          <w:rFonts w:asciiTheme="minorBidi" w:hAnsiTheme="minorBidi"/>
          <w:lang w:val="en-GB"/>
        </w:rPr>
        <w:t xml:space="preserve"> 2nd </w:t>
      </w:r>
      <w:proofErr w:type="spellStart"/>
      <w:r w:rsidRPr="008A0EBD">
        <w:rPr>
          <w:rFonts w:asciiTheme="minorBidi" w:hAnsiTheme="minorBidi"/>
          <w:lang w:val="en-GB"/>
        </w:rPr>
        <w:t>edn</w:t>
      </w:r>
      <w:proofErr w:type="spellEnd"/>
      <w:r w:rsidRPr="008A0EBD">
        <w:rPr>
          <w:rFonts w:asciiTheme="minorBidi" w:hAnsiTheme="minorBidi"/>
          <w:lang w:val="en-GB"/>
        </w:rPr>
        <w:t>. Palgrave Macmillan.</w:t>
      </w:r>
    </w:p>
    <w:p w14:paraId="7937F69B" w14:textId="77777777" w:rsidR="008A0EBD" w:rsidRPr="008A0EBD" w:rsidRDefault="008A0EBD" w:rsidP="008A0EBD">
      <w:pPr>
        <w:rPr>
          <w:rFonts w:asciiTheme="minorBidi" w:hAnsiTheme="minorBidi"/>
          <w:lang w:val="en-GB"/>
        </w:rPr>
      </w:pPr>
      <w:r w:rsidRPr="008A0EBD">
        <w:rPr>
          <w:rFonts w:asciiTheme="minorBidi" w:hAnsiTheme="minorBidi"/>
          <w:lang w:val="en-GB"/>
        </w:rPr>
        <w:t xml:space="preserve">Nursing and Midwifery Council (NMC) (2018) </w:t>
      </w:r>
      <w:r w:rsidRPr="008A0EBD">
        <w:rPr>
          <w:rFonts w:asciiTheme="minorBidi" w:hAnsiTheme="minorBidi"/>
          <w:i/>
          <w:iCs/>
          <w:lang w:val="en-GB"/>
        </w:rPr>
        <w:t>The Code: Professional Standards of Practice and Behaviour for Nurses, Midwives and Nursing Associates.</w:t>
      </w:r>
      <w:r w:rsidRPr="008A0EBD">
        <w:rPr>
          <w:rFonts w:asciiTheme="minorBidi" w:hAnsiTheme="minorBidi"/>
          <w:lang w:val="en-GB"/>
        </w:rPr>
        <w:t xml:space="preserve"> London: NMC.</w:t>
      </w:r>
      <w:r w:rsidRPr="008A0EBD">
        <w:rPr>
          <w:rFonts w:asciiTheme="minorBidi" w:hAnsiTheme="minorBidi"/>
          <w:lang w:val="en-GB"/>
        </w:rPr>
        <w:br/>
        <w:t xml:space="preserve">Available at: </w:t>
      </w:r>
      <w:hyperlink r:id="rId10" w:tgtFrame="_new" w:history="1">
        <w:r w:rsidRPr="008A0EBD">
          <w:rPr>
            <w:rStyle w:val="Hyperlink"/>
            <w:rFonts w:asciiTheme="minorBidi" w:hAnsiTheme="minorBidi"/>
            <w:lang w:val="en-GB"/>
          </w:rPr>
          <w:t>https://www.nmc.org.uk/standards/code/</w:t>
        </w:r>
      </w:hyperlink>
      <w:r w:rsidRPr="008A0EBD">
        <w:rPr>
          <w:rFonts w:asciiTheme="minorBidi" w:hAnsiTheme="minorBidi"/>
          <w:lang w:val="en-GB"/>
        </w:rPr>
        <w:t xml:space="preserve"> (Accessed: 2 November 2025).</w:t>
      </w:r>
    </w:p>
    <w:p w14:paraId="72FC99C8" w14:textId="77777777" w:rsidR="008A0EBD" w:rsidRPr="008A0EBD" w:rsidRDefault="008A0EBD" w:rsidP="008A0EBD">
      <w:pPr>
        <w:rPr>
          <w:rFonts w:asciiTheme="minorBidi" w:hAnsiTheme="minorBidi"/>
          <w:lang w:val="en-GB"/>
        </w:rPr>
      </w:pPr>
      <w:r w:rsidRPr="008A0EBD">
        <w:rPr>
          <w:rFonts w:asciiTheme="minorBidi" w:hAnsiTheme="minorBidi"/>
          <w:lang w:val="en-GB"/>
        </w:rPr>
        <w:t xml:space="preserve">World Health Organization (WHO) (2021) </w:t>
      </w:r>
      <w:r w:rsidRPr="008A0EBD">
        <w:rPr>
          <w:rFonts w:asciiTheme="minorBidi" w:hAnsiTheme="minorBidi"/>
          <w:i/>
          <w:iCs/>
          <w:lang w:val="en-GB"/>
        </w:rPr>
        <w:t>Framework for Action on Interprofessional Education and Collaborative Practice.</w:t>
      </w:r>
      <w:r w:rsidRPr="008A0EBD">
        <w:rPr>
          <w:rFonts w:asciiTheme="minorBidi" w:hAnsiTheme="minorBidi"/>
          <w:lang w:val="en-GB"/>
        </w:rPr>
        <w:t xml:space="preserve"> Geneva: World Health Organization.</w:t>
      </w:r>
      <w:r w:rsidRPr="008A0EBD">
        <w:rPr>
          <w:rFonts w:asciiTheme="minorBidi" w:hAnsiTheme="minorBidi"/>
          <w:lang w:val="en-GB"/>
        </w:rPr>
        <w:br/>
        <w:t xml:space="preserve">Available at: </w:t>
      </w:r>
      <w:hyperlink r:id="rId11" w:tgtFrame="_new" w:history="1">
        <w:r w:rsidRPr="008A0EBD">
          <w:rPr>
            <w:rStyle w:val="Hyperlink"/>
            <w:rFonts w:asciiTheme="minorBidi" w:hAnsiTheme="minorBidi"/>
            <w:lang w:val="en-GB"/>
          </w:rPr>
          <w:t>https://www.who.int/publications/i/item/framework-for-action-on-interprofessional-education-collaborative-practice</w:t>
        </w:r>
      </w:hyperlink>
      <w:r w:rsidRPr="008A0EBD">
        <w:rPr>
          <w:rFonts w:asciiTheme="minorBidi" w:hAnsiTheme="minorBidi"/>
          <w:lang w:val="en-GB"/>
        </w:rPr>
        <w:t xml:space="preserve"> (Accessed: 2 November 2025).</w:t>
      </w:r>
    </w:p>
    <w:p w14:paraId="2292574A" w14:textId="77777777" w:rsidR="008A0EBD" w:rsidRPr="00B479B1" w:rsidRDefault="008A0EBD">
      <w:pPr>
        <w:rPr>
          <w:rFonts w:asciiTheme="minorBidi" w:hAnsiTheme="minorBidi"/>
        </w:rPr>
      </w:pPr>
    </w:p>
    <w:sectPr w:rsidR="008A0EBD" w:rsidRPr="00B479B1" w:rsidSect="0058356A">
      <w:footerReference w:type="default" r:id="rId12"/>
      <w:pgSz w:w="12240" w:h="15840"/>
      <w:pgMar w:top="1440" w:right="1800" w:bottom="1440" w:left="1800" w:header="510" w:footer="34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50B9C6" w14:textId="77777777" w:rsidR="0089779C" w:rsidRDefault="0089779C" w:rsidP="0089779C">
      <w:pPr>
        <w:spacing w:after="0" w:line="240" w:lineRule="auto"/>
      </w:pPr>
      <w:r>
        <w:separator/>
      </w:r>
    </w:p>
  </w:endnote>
  <w:endnote w:type="continuationSeparator" w:id="0">
    <w:p w14:paraId="6D918F1F" w14:textId="77777777" w:rsidR="0089779C" w:rsidRDefault="0089779C" w:rsidP="008977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69660445"/>
      <w:docPartObj>
        <w:docPartGallery w:val="Page Numbers (Bottom of Page)"/>
        <w:docPartUnique/>
      </w:docPartObj>
    </w:sdtPr>
    <w:sdtEndPr>
      <w:rPr>
        <w:noProof/>
      </w:rPr>
    </w:sdtEndPr>
    <w:sdtContent>
      <w:p w14:paraId="3022A725" w14:textId="6817A43D" w:rsidR="0089779C" w:rsidRDefault="0089779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C2FC5DD" w14:textId="77777777" w:rsidR="0089779C" w:rsidRDefault="008977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786010" w14:textId="77777777" w:rsidR="0089779C" w:rsidRDefault="0089779C" w:rsidP="0089779C">
      <w:pPr>
        <w:spacing w:after="0" w:line="240" w:lineRule="auto"/>
      </w:pPr>
      <w:r>
        <w:separator/>
      </w:r>
    </w:p>
  </w:footnote>
  <w:footnote w:type="continuationSeparator" w:id="0">
    <w:p w14:paraId="595662E9" w14:textId="77777777" w:rsidR="0089779C" w:rsidRDefault="0089779C" w:rsidP="008977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18A64469"/>
    <w:multiLevelType w:val="hybridMultilevel"/>
    <w:tmpl w:val="72325C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95A105A"/>
    <w:multiLevelType w:val="hybridMultilevel"/>
    <w:tmpl w:val="EE3287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9700C44"/>
    <w:multiLevelType w:val="hybridMultilevel"/>
    <w:tmpl w:val="696CC9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04284658">
    <w:abstractNumId w:val="8"/>
  </w:num>
  <w:num w:numId="2" w16cid:durableId="780493175">
    <w:abstractNumId w:val="6"/>
  </w:num>
  <w:num w:numId="3" w16cid:durableId="1485469037">
    <w:abstractNumId w:val="5"/>
  </w:num>
  <w:num w:numId="4" w16cid:durableId="25757361">
    <w:abstractNumId w:val="4"/>
  </w:num>
  <w:num w:numId="5" w16cid:durableId="1665814551">
    <w:abstractNumId w:val="7"/>
  </w:num>
  <w:num w:numId="6" w16cid:durableId="1526140249">
    <w:abstractNumId w:val="3"/>
  </w:num>
  <w:num w:numId="7" w16cid:durableId="1678262565">
    <w:abstractNumId w:val="2"/>
  </w:num>
  <w:num w:numId="8" w16cid:durableId="2035305844">
    <w:abstractNumId w:val="1"/>
  </w:num>
  <w:num w:numId="9" w16cid:durableId="910506232">
    <w:abstractNumId w:val="0"/>
  </w:num>
  <w:num w:numId="10" w16cid:durableId="434404268">
    <w:abstractNumId w:val="9"/>
  </w:num>
  <w:num w:numId="11" w16cid:durableId="1119490510">
    <w:abstractNumId w:val="11"/>
  </w:num>
  <w:num w:numId="12" w16cid:durableId="136039941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A0647"/>
    <w:rsid w:val="000D2718"/>
    <w:rsid w:val="000F163A"/>
    <w:rsid w:val="000F63DE"/>
    <w:rsid w:val="0010520C"/>
    <w:rsid w:val="00132EE7"/>
    <w:rsid w:val="0015074B"/>
    <w:rsid w:val="0016288D"/>
    <w:rsid w:val="001E74AC"/>
    <w:rsid w:val="001F1FF0"/>
    <w:rsid w:val="001F4C45"/>
    <w:rsid w:val="0029639D"/>
    <w:rsid w:val="002A2BBD"/>
    <w:rsid w:val="002B7F60"/>
    <w:rsid w:val="00326F90"/>
    <w:rsid w:val="003C5730"/>
    <w:rsid w:val="003C7F90"/>
    <w:rsid w:val="003E5F34"/>
    <w:rsid w:val="003E74B3"/>
    <w:rsid w:val="00424BFE"/>
    <w:rsid w:val="00433DC4"/>
    <w:rsid w:val="004655B2"/>
    <w:rsid w:val="004F564B"/>
    <w:rsid w:val="00544087"/>
    <w:rsid w:val="00563A49"/>
    <w:rsid w:val="0058356A"/>
    <w:rsid w:val="00590E37"/>
    <w:rsid w:val="005B4DA7"/>
    <w:rsid w:val="006003C8"/>
    <w:rsid w:val="00686397"/>
    <w:rsid w:val="006A364F"/>
    <w:rsid w:val="007552A6"/>
    <w:rsid w:val="007A33A5"/>
    <w:rsid w:val="0089779C"/>
    <w:rsid w:val="008A0EBD"/>
    <w:rsid w:val="008D272A"/>
    <w:rsid w:val="009B3F70"/>
    <w:rsid w:val="009B6B04"/>
    <w:rsid w:val="009D27E7"/>
    <w:rsid w:val="00A67BBD"/>
    <w:rsid w:val="00A73FCB"/>
    <w:rsid w:val="00A9412F"/>
    <w:rsid w:val="00AA1D8D"/>
    <w:rsid w:val="00AB5C4A"/>
    <w:rsid w:val="00B34FB8"/>
    <w:rsid w:val="00B47730"/>
    <w:rsid w:val="00B479B1"/>
    <w:rsid w:val="00B66E5B"/>
    <w:rsid w:val="00BD2EFF"/>
    <w:rsid w:val="00C11E55"/>
    <w:rsid w:val="00C1308B"/>
    <w:rsid w:val="00CA4AFA"/>
    <w:rsid w:val="00CB0664"/>
    <w:rsid w:val="00D07062"/>
    <w:rsid w:val="00D20E8C"/>
    <w:rsid w:val="00DB3D6A"/>
    <w:rsid w:val="00DE6924"/>
    <w:rsid w:val="00E40DBA"/>
    <w:rsid w:val="00EA309B"/>
    <w:rsid w:val="00F37EF3"/>
    <w:rsid w:val="00F6455C"/>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381BE2C"/>
  <w14:defaultImageDpi w14:val="300"/>
  <w15:docId w15:val="{2B1C310B-2E34-4E4F-854E-A2B1792E67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8A0EBD"/>
    <w:rPr>
      <w:color w:val="0000FF" w:themeColor="hyperlink"/>
      <w:u w:val="single"/>
    </w:rPr>
  </w:style>
  <w:style w:type="character" w:styleId="UnresolvedMention">
    <w:name w:val="Unresolved Mention"/>
    <w:basedOn w:val="DefaultParagraphFont"/>
    <w:uiPriority w:val="99"/>
    <w:semiHidden/>
    <w:unhideWhenUsed/>
    <w:rsid w:val="008A0EB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the-caldicott-principles"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who.int/publications/i/item/framework-for-action-on-interprofessional-education-collaborative-practice" TargetMode="External"/><Relationship Id="rId5" Type="http://schemas.openxmlformats.org/officeDocument/2006/relationships/webSettings" Target="webSettings.xml"/><Relationship Id="rId10" Type="http://schemas.openxmlformats.org/officeDocument/2006/relationships/hyperlink" Target="https://www.nmc.org.uk/standards/code/?utm_source=chatgpt.com" TargetMode="External"/><Relationship Id="rId4" Type="http://schemas.openxmlformats.org/officeDocument/2006/relationships/settings" Target="settings.xml"/><Relationship Id="rId9" Type="http://schemas.openxmlformats.org/officeDocument/2006/relationships/hyperlink" Target="https://www.legislation.gov.uk/ukpga/2010/15/content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18214</TotalTime>
  <Pages>7</Pages>
  <Words>1703</Words>
  <Characters>11041</Characters>
  <Application>Microsoft Office Word</Application>
  <DocSecurity>0</DocSecurity>
  <Lines>190</Lines>
  <Paragraphs>72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12672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Huma Ali</cp:lastModifiedBy>
  <cp:revision>53</cp:revision>
  <dcterms:created xsi:type="dcterms:W3CDTF">2025-11-02T18:58:00Z</dcterms:created>
  <dcterms:modified xsi:type="dcterms:W3CDTF">2025-11-16T22:06:00Z</dcterms:modified>
  <cp:category/>
</cp:coreProperties>
</file>