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97DAA" w14:textId="7D76BEC4" w:rsidR="002D49D4" w:rsidRDefault="002D49D4"/>
    <w:p w14:paraId="28DD10D0" w14:textId="5958A406" w:rsidR="001A2616" w:rsidRDefault="002D49D4" w:rsidP="00444886">
      <w:pPr>
        <w:spacing w:line="360" w:lineRule="auto"/>
      </w:pPr>
      <w:r>
        <w:t xml:space="preserve">The study of power relations is a murky territory which </w:t>
      </w:r>
      <w:r w:rsidR="00BD5951">
        <w:t xml:space="preserve">is </w:t>
      </w:r>
      <w:r>
        <w:t xml:space="preserve">often prone to be obfuscated </w:t>
      </w:r>
      <w:r w:rsidR="00BD5951">
        <w:t>by the plethora of heterogenous factors that compose the entire dynamic. Studying the totality of power dynamics</w:t>
      </w:r>
      <w:r w:rsidR="00714547">
        <w:t xml:space="preserve"> is not a viable undertaking, however, restricting the scope of investigation to more concise phenomena, such as ‘the body’, can yield some penetrating insights. This essay</w:t>
      </w:r>
      <w:r w:rsidR="00641724">
        <w:t xml:space="preserve"> will examine and analyse the ways in which focusing on ‘the body’ can provide insights into the nature and the nuances of power dynamics. </w:t>
      </w:r>
      <w:r w:rsidR="007B665D">
        <w:t xml:space="preserve">A pertinent preliminary question arises: </w:t>
      </w:r>
      <w:r w:rsidR="00553DB5">
        <w:t>‘</w:t>
      </w:r>
      <w:r w:rsidR="007B665D">
        <w:t>What is ‘the body’ t</w:t>
      </w:r>
      <w:r w:rsidR="00553DB5">
        <w:t>hat is being referred to in this essay?’. Scheper-Hughes and Lock (1987, p.</w:t>
      </w:r>
      <w:r w:rsidR="00C5050B">
        <w:t xml:space="preserve">7-8) compartmentalize the analysable body into three levels of analysis: The putative and self-evident ‘individual body’, understood through the experience of embodiment; </w:t>
      </w:r>
      <w:r w:rsidR="00BC70B7">
        <w:t>t</w:t>
      </w:r>
      <w:r w:rsidR="00C5050B">
        <w:t>he social body</w:t>
      </w:r>
      <w:r w:rsidR="00BC70B7">
        <w:t>, which refers to the view of the body as a natural symbol which aids in understanding society and culture; the body politic, which refers to the regulation, surveillance, and control of</w:t>
      </w:r>
      <w:r w:rsidR="00BC70B7" w:rsidRPr="00BC70B7">
        <w:t xml:space="preserve"> </w:t>
      </w:r>
      <w:r w:rsidR="00BC70B7">
        <w:t>individual and collective  bodies.</w:t>
      </w:r>
      <w:r w:rsidR="005B526F">
        <w:t xml:space="preserve"> This essay will focus </w:t>
      </w:r>
      <w:r w:rsidR="00444886">
        <w:t xml:space="preserve">mainly </w:t>
      </w:r>
      <w:r w:rsidR="005B526F">
        <w:t xml:space="preserve">on the latter category of the ‘body politic’; the ways in which bodies are </w:t>
      </w:r>
      <w:r w:rsidR="001A2616">
        <w:t>manipulate</w:t>
      </w:r>
      <w:r w:rsidR="00520F74">
        <w:t>d, controlled, and moulded by individuals and institutions</w:t>
      </w:r>
      <w:r w:rsidR="00444886">
        <w:t>, however the ‘body as symbol’ will also be hinted towards</w:t>
      </w:r>
      <w:r w:rsidR="00520F74">
        <w:t>. This essay</w:t>
      </w:r>
      <w:r w:rsidR="005B526F">
        <w:t xml:space="preserve"> will explore a number of</w:t>
      </w:r>
      <w:r w:rsidR="00520F74">
        <w:t xml:space="preserve"> case studies which assume a particular focus on the body</w:t>
      </w:r>
      <w:r w:rsidR="005B526F">
        <w:t xml:space="preserve"> </w:t>
      </w:r>
      <w:r w:rsidR="0082076D">
        <w:t>and</w:t>
      </w:r>
      <w:r w:rsidR="00520F74">
        <w:t xml:space="preserve"> will attempt to</w:t>
      </w:r>
      <w:r w:rsidR="0082076D">
        <w:t xml:space="preserve"> ascertain what the</w:t>
      </w:r>
      <w:r w:rsidR="00520F74">
        <w:t>se case studies</w:t>
      </w:r>
      <w:r w:rsidR="0082076D">
        <w:t xml:space="preserve"> can tell us about </w:t>
      </w:r>
      <w:r w:rsidR="00520F74">
        <w:t>dynamics of power involved; at the end of each case, an analysis will be given, followed by a conclusion at the end, judging the extent of the utility and fecundity of analysing and focusing on the body</w:t>
      </w:r>
      <w:r w:rsidR="0082076D">
        <w:t xml:space="preserve">. </w:t>
      </w:r>
    </w:p>
    <w:p w14:paraId="76AFA1AC" w14:textId="41DAAA40" w:rsidR="0087205B" w:rsidRDefault="00263F34" w:rsidP="00444886">
      <w:pPr>
        <w:spacing w:line="360" w:lineRule="auto"/>
      </w:pPr>
      <w:r>
        <w:t xml:space="preserve">In </w:t>
      </w:r>
      <w:r>
        <w:rPr>
          <w:i/>
        </w:rPr>
        <w:t>Discipline and Punish: The Birth of the Prison</w:t>
      </w:r>
      <w:r>
        <w:t>, Michel Foucault (1991)</w:t>
      </w:r>
      <w:r w:rsidR="00614F52">
        <w:t xml:space="preserve"> documents the s</w:t>
      </w:r>
      <w:r>
        <w:t>hift from the power of the sovereign to that of what one can consider disciplinary power.</w:t>
      </w:r>
      <w:r w:rsidR="0087205B">
        <w:t xml:space="preserve"> </w:t>
      </w:r>
      <w:r w:rsidR="00ED66AE">
        <w:t>Prior to the penal reforms and the rise of the prison</w:t>
      </w:r>
      <w:r w:rsidR="00520F74">
        <w:t>,</w:t>
      </w:r>
      <w:r w:rsidR="00ED66AE">
        <w:t xml:space="preserve"> punishment was characterized by physical brutality and torture, where the convicted criminals were publicly tortured and killed often in a slow and painful way, and their death and whatever remains of the body would be publicly displayed for everyone to see.</w:t>
      </w:r>
      <w:r w:rsidR="00077659">
        <w:t xml:space="preserve"> </w:t>
      </w:r>
      <w:r w:rsidR="00ED66AE">
        <w:t xml:space="preserve">Foucault </w:t>
      </w:r>
      <w:r w:rsidR="00BF43B6">
        <w:t xml:space="preserve">(1991, p.50) </w:t>
      </w:r>
      <w:r w:rsidR="00ED66AE">
        <w:t>argues th</w:t>
      </w:r>
      <w:r w:rsidR="00520F74">
        <w:t>a</w:t>
      </w:r>
      <w:r w:rsidR="00ED66AE">
        <w:t>t these public executions were</w:t>
      </w:r>
      <w:r w:rsidR="00E94CB6">
        <w:t xml:space="preserve"> not merely act</w:t>
      </w:r>
      <w:r w:rsidR="00520F74">
        <w:t>s</w:t>
      </w:r>
      <w:r w:rsidR="00E94CB6">
        <w:t xml:space="preserve"> of justice, they were</w:t>
      </w:r>
      <w:r w:rsidR="00ED66AE">
        <w:t xml:space="preserve"> </w:t>
      </w:r>
      <w:r w:rsidR="00BF43B6">
        <w:t xml:space="preserve">manifestations of force, </w:t>
      </w:r>
      <w:r w:rsidR="00ED66AE">
        <w:t>spectacle</w:t>
      </w:r>
      <w:r w:rsidR="00BF43B6">
        <w:t>s</w:t>
      </w:r>
      <w:r w:rsidR="00ED66AE">
        <w:t xml:space="preserve"> </w:t>
      </w:r>
      <w:r w:rsidR="00BF43B6">
        <w:t xml:space="preserve">which displayed the power relations that gave the sovereigns force to the law. An </w:t>
      </w:r>
      <w:r w:rsidR="0087205B">
        <w:t xml:space="preserve">essential part of the public executions was the dissymmetry of power between the powerful sovereign and the impotent criminal: </w:t>
      </w:r>
    </w:p>
    <w:p w14:paraId="4616CBDD" w14:textId="21189BE9" w:rsidR="0087205B" w:rsidRDefault="0087205B" w:rsidP="00444886">
      <w:pPr>
        <w:spacing w:line="360" w:lineRule="auto"/>
        <w:rPr>
          <w:i/>
        </w:rPr>
      </w:pPr>
      <w:r>
        <w:rPr>
          <w:i/>
        </w:rPr>
        <w:t>“A body effaced, reduced to dust and thrown to the winds, a body destroyed piece by piece by the infinite power of the sovereign constituted not only the ideal, but the real limit of punishment” (Ibid).</w:t>
      </w:r>
    </w:p>
    <w:p w14:paraId="67826508" w14:textId="31E503D0" w:rsidR="003250E1" w:rsidRDefault="00196B87" w:rsidP="00444886">
      <w:pPr>
        <w:spacing w:line="360" w:lineRule="auto"/>
      </w:pPr>
      <w:r>
        <w:t>In this tumultuous scene of gore, violence and clamour, the relations of power are not evident. If one focuses on the interaction of the crowd with the executioner,</w:t>
      </w:r>
      <w:r w:rsidR="00A615D7">
        <w:t xml:space="preserve"> the results of the analysis will be inconsistent, as sometimes the crowd would cheer the criminal and see them as a hero, but at other </w:t>
      </w:r>
      <w:r w:rsidR="00A615D7">
        <w:lastRenderedPageBreak/>
        <w:t>times they would vilify and express anger and contempt towards them (Foucault, 1991). However, If the focus is shifted on</w:t>
      </w:r>
      <w:r w:rsidR="00520F74">
        <w:t>to</w:t>
      </w:r>
      <w:r w:rsidR="00A615D7">
        <w:t xml:space="preserve"> the body as the object</w:t>
      </w:r>
      <w:r w:rsidR="00BF43B6">
        <w:t xml:space="preserve"> </w:t>
      </w:r>
      <w:r w:rsidR="00A615D7">
        <w:t>of analysis, the power relations become illuminated, it becomes clear that the power</w:t>
      </w:r>
      <w:r w:rsidR="002847C8">
        <w:t xml:space="preserve"> of the sovereign is being exercised on the body of the convicted criminal. The spectacular nature of the punishment expresses the sovereigns desire for his power </w:t>
      </w:r>
      <w:r w:rsidR="00444886">
        <w:t xml:space="preserve">to </w:t>
      </w:r>
      <w:r w:rsidR="002847C8">
        <w:t>be seen by all and known to all. The ability of the sovereign to reduce the body of the convicted criminal to dust, illustrates the grossly dissymmetrical nature of the power relations in this situation.</w:t>
      </w:r>
    </w:p>
    <w:p w14:paraId="106AE310" w14:textId="48AC1DD5" w:rsidR="003250E1" w:rsidRDefault="00077659" w:rsidP="00ED4D61">
      <w:pPr>
        <w:spacing w:line="360" w:lineRule="auto"/>
      </w:pPr>
      <w:r>
        <w:t>At the end of the 18</w:t>
      </w:r>
      <w:r w:rsidRPr="00077659">
        <w:rPr>
          <w:vertAlign w:val="superscript"/>
        </w:rPr>
        <w:t>th</w:t>
      </w:r>
      <w:r>
        <w:t xml:space="preserve"> century and the beginning of the 19</w:t>
      </w:r>
      <w:r w:rsidRPr="00077659">
        <w:rPr>
          <w:vertAlign w:val="superscript"/>
        </w:rPr>
        <w:t>th</w:t>
      </w:r>
      <w:r>
        <w:t xml:space="preserve"> century this display of power changed</w:t>
      </w:r>
      <w:r w:rsidR="000A13FA">
        <w:t>, it no longer consisted of the ostentatious display of the sovereigns might to the vociferous crowd. In the prison, the workings of power were hidden from the public view</w:t>
      </w:r>
      <w:r w:rsidR="005279BE">
        <w:t>; the exercise of power was conducted through subtle means of coercion and normalization</w:t>
      </w:r>
      <w:r w:rsidR="0053582F">
        <w:t>. This s</w:t>
      </w:r>
      <w:r w:rsidR="003250E1">
        <w:t xml:space="preserve">hift </w:t>
      </w:r>
      <w:r w:rsidR="0053582F">
        <w:t xml:space="preserve">from public executions </w:t>
      </w:r>
      <w:r w:rsidR="003250E1">
        <w:t xml:space="preserve">towards </w:t>
      </w:r>
      <w:r w:rsidR="0053582F">
        <w:t xml:space="preserve">the </w:t>
      </w:r>
      <w:r w:rsidR="003250E1">
        <w:t>prison was a result of the new technology of discipline and the new ontology of ‘man the machine’.</w:t>
      </w:r>
      <w:r w:rsidR="0053582F">
        <w:t xml:space="preserve"> The cartesian dichotomy of the incorporeal soul and the mechanistic </w:t>
      </w:r>
      <w:r w:rsidR="00FB3959">
        <w:t xml:space="preserve">body took precedent. The body was seen as a machine, and discipline was the </w:t>
      </w:r>
      <w:r w:rsidR="00675862">
        <w:t>most economic and efficient</w:t>
      </w:r>
      <w:r w:rsidR="00FB3959">
        <w:t xml:space="preserve"> </w:t>
      </w:r>
      <w:r w:rsidR="006031A5">
        <w:t>way of controlling it.</w:t>
      </w:r>
    </w:p>
    <w:p w14:paraId="0486BDEE" w14:textId="20B6DFA3" w:rsidR="007B65C1" w:rsidRDefault="007B65C1" w:rsidP="009B0C0E">
      <w:pPr>
        <w:spacing w:line="360" w:lineRule="auto"/>
      </w:pPr>
      <w:r>
        <w:t xml:space="preserve">Central to disciplinary power is the idea of </w:t>
      </w:r>
      <w:r w:rsidR="00675862">
        <w:t>the</w:t>
      </w:r>
      <w:r>
        <w:t xml:space="preserve"> ‘docile body’. </w:t>
      </w:r>
      <w:r w:rsidR="001A2616">
        <w:t xml:space="preserve">The docile body refers to a body that </w:t>
      </w:r>
      <w:r w:rsidR="00263F34">
        <w:t>can be “subjected, used, transformed and improved”</w:t>
      </w:r>
      <w:r w:rsidR="00614F52">
        <w:t>, it is a body that is pliable and manipulatable</w:t>
      </w:r>
      <w:r w:rsidR="00263F34">
        <w:t xml:space="preserve"> (</w:t>
      </w:r>
      <w:r>
        <w:t>Foucault, 1991, p.126</w:t>
      </w:r>
      <w:r w:rsidR="00263F34">
        <w:t>)</w:t>
      </w:r>
      <w:r w:rsidR="00614F52">
        <w:t>.</w:t>
      </w:r>
      <w:r w:rsidR="001A2616">
        <w:t xml:space="preserve"> </w:t>
      </w:r>
      <w:r w:rsidR="002E2AD5">
        <w:t>Discipline</w:t>
      </w:r>
      <w:r w:rsidR="00675862">
        <w:t xml:space="preserve"> </w:t>
      </w:r>
      <w:r w:rsidR="002E2AD5">
        <w:t>creates the docile body, which is useful for the industrial age and capitalism</w:t>
      </w:r>
      <w:r w:rsidR="00A972BF">
        <w:t xml:space="preserve"> and the governing of a large number of people. It is extremely pervasive and is exercised through the various institutions of society; The barracks, the hospital, the school, the prison. Fouca</w:t>
      </w:r>
      <w:r w:rsidR="007622A1">
        <w:t>u</w:t>
      </w:r>
      <w:r w:rsidR="00A972BF">
        <w:t>lt (1991, p.26) calls this the “micro-physics of power”; the power that i</w:t>
      </w:r>
      <w:r>
        <w:t>s</w:t>
      </w:r>
      <w:r w:rsidR="00A972BF">
        <w:t xml:space="preserve"> exercised</w:t>
      </w:r>
      <w:r>
        <w:t>,</w:t>
      </w:r>
      <w:r w:rsidR="00A972BF">
        <w:t xml:space="preserve"> through the supposedly neutral institutions</w:t>
      </w:r>
      <w:r>
        <w:t>,</w:t>
      </w:r>
      <w:r w:rsidR="00A972BF">
        <w:t xml:space="preserve"> in subtle ways onto the body</w:t>
      </w:r>
      <w:r w:rsidR="00490A80">
        <w:t xml:space="preserve">. Foucault (Ibid) argues that the study of the ‘micro-physics of power’ makes a number of presuppositions about the nature of power, it sees </w:t>
      </w:r>
      <w:r w:rsidR="009971B0">
        <w:t xml:space="preserve">that power is not a property, but rather that it is a strategy that is exercised rather than possessed, and whose effect of domination is attributed not to appropriation but to dispositions, tactics, techniques, functioning; it is not a privilege of the dominant class, but the “overall effect of its strategic positions – an effect that is manifested and sometimes extended by the position of those who are dominated” (Foucault, 1991, p.26). </w:t>
      </w:r>
    </w:p>
    <w:p w14:paraId="485FE5C0" w14:textId="6F8C08BB" w:rsidR="00F941FA" w:rsidRDefault="007B65C1" w:rsidP="009B0C0E">
      <w:pPr>
        <w:spacing w:line="360" w:lineRule="auto"/>
      </w:pPr>
      <w:r>
        <w:t xml:space="preserve">‘Docility’, according to Foucault (1991, p.136), “joins the analysable body to the manipulatable body”. What this means is that the body is also manipulated through the process of analysis, which compartmentalizes the body and focuses on training of the individual components to increase their efficiency, but also the efficiency of the body as a whole in respect to how it follows and performs desirable tasks; analysis is thus an intrinsic part of </w:t>
      </w:r>
      <w:r w:rsidR="00675862">
        <w:t>discipline</w:t>
      </w:r>
      <w:r>
        <w:t xml:space="preserve">. </w:t>
      </w:r>
    </w:p>
    <w:p w14:paraId="71A1976E" w14:textId="6877A5DA" w:rsidR="00BC70E8" w:rsidRDefault="00EF4B33" w:rsidP="009B0C0E">
      <w:pPr>
        <w:spacing w:line="360" w:lineRule="auto"/>
      </w:pPr>
      <w:r>
        <w:lastRenderedPageBreak/>
        <w:t>N</w:t>
      </w:r>
      <w:r w:rsidR="005279BE">
        <w:t>ormalization</w:t>
      </w:r>
      <w:r w:rsidR="008C2511">
        <w:t xml:space="preserve"> is an ensemble of tactics designed to discipline the body and increase its docility, it refers to the c</w:t>
      </w:r>
      <w:r>
        <w:t>onstruction of an idealized form of conduct.</w:t>
      </w:r>
      <w:r w:rsidR="008C2511">
        <w:t xml:space="preserve"> Normalization works through: Defining which kinds of acts are permissible, the ideal way of conducting those acts</w:t>
      </w:r>
      <w:r w:rsidR="000C1879">
        <w:t xml:space="preserve"> defined down to minute details</w:t>
      </w:r>
      <w:r w:rsidR="008C2511">
        <w:t xml:space="preserve"> </w:t>
      </w:r>
      <w:r w:rsidR="000C1879">
        <w:t>and punishing or rewarding individuals in respect to conformity or deviation from the ideal (Foucault, 1991). Foucault (1991</w:t>
      </w:r>
      <w:r w:rsidR="001463BE">
        <w:t>, p.135</w:t>
      </w:r>
      <w:r w:rsidR="000C1879">
        <w:t>) uses an example of the soldier</w:t>
      </w:r>
      <w:r w:rsidR="003B40C2">
        <w:t>, who by the 18</w:t>
      </w:r>
      <w:r w:rsidR="003B40C2" w:rsidRPr="003B40C2">
        <w:rPr>
          <w:vertAlign w:val="superscript"/>
        </w:rPr>
        <w:t>th</w:t>
      </w:r>
      <w:r w:rsidR="003B40C2">
        <w:t xml:space="preserve"> century was something that could be made</w:t>
      </w:r>
      <w:r w:rsidR="001463BE">
        <w:t>. The machine-body of the soldier was constructed through a gradual correction of posture and a calculated constraint that “runs slowly through each part of the body, mastering it, making it pliable, ready at all times, turning silently into the automatism of habit” (</w:t>
      </w:r>
      <w:r w:rsidR="00480C9C">
        <w:t>Ibid). Recruits are taught to look straight ahead and not lose focus, remain motionless until order is given, and march with a bold step (Foucault, 1991, p.136). All of these techniques of coercing the body make it more docile, and by increasing its docility, make it more useful and economic.</w:t>
      </w:r>
      <w:r w:rsidR="00675862">
        <w:t xml:space="preserve"> Close surveillance of the body and its conduct is essential for normalization to work, the teacher, the warder, the army general, the psychiatrist, all carefully survey the </w:t>
      </w:r>
      <w:r w:rsidR="009F4929">
        <w:t xml:space="preserve">way the body performs the tasks it is given to perform and determine whether the body is progressing or not, and to help with this judgement, regular examination is </w:t>
      </w:r>
      <w:r w:rsidR="009B0C0E">
        <w:t xml:space="preserve">used </w:t>
      </w:r>
      <w:r w:rsidR="009F4929">
        <w:t>(Foucault, 1991).</w:t>
      </w:r>
      <w:r w:rsidR="001463BE">
        <w:t xml:space="preserve"> </w:t>
      </w:r>
    </w:p>
    <w:p w14:paraId="404670E5" w14:textId="56251415" w:rsidR="009F4929" w:rsidRDefault="009F4929" w:rsidP="009B0C0E">
      <w:pPr>
        <w:spacing w:line="360" w:lineRule="auto"/>
      </w:pPr>
      <w:r>
        <w:t>To sum up, discipline compartmentalizes components of the machine-body, separating, analysing, manipulating them, forcing the body to perform tasks and assume certain postures and positions</w:t>
      </w:r>
      <w:r w:rsidR="00C61B6F">
        <w:t>, building up its strength and concentration, whilst constantly surveying and testing it</w:t>
      </w:r>
      <w:r>
        <w:t>. These activities make the body more docile, not only turning the tasks and activities into automatic responses</w:t>
      </w:r>
      <w:r w:rsidR="00C61B6F">
        <w:t xml:space="preserve"> performed with ease</w:t>
      </w:r>
      <w:r>
        <w:t>, but also increas</w:t>
      </w:r>
      <w:r w:rsidR="00C61B6F">
        <w:t>ing</w:t>
      </w:r>
      <w:r>
        <w:t xml:space="preserve"> the general eas</w:t>
      </w:r>
      <w:r w:rsidR="00C61B6F">
        <w:t>e</w:t>
      </w:r>
      <w:r>
        <w:t xml:space="preserve"> with which th</w:t>
      </w:r>
      <w:r w:rsidR="00C61B6F">
        <w:t>e</w:t>
      </w:r>
      <w:r>
        <w:t xml:space="preserve"> </w:t>
      </w:r>
      <w:r w:rsidR="00C61B6F">
        <w:t xml:space="preserve">disciplined </w:t>
      </w:r>
      <w:r>
        <w:t>body can be controlled.</w:t>
      </w:r>
    </w:p>
    <w:p w14:paraId="52EC21C2" w14:textId="706FFFEC" w:rsidR="005542EE" w:rsidRDefault="00130AD2" w:rsidP="009B0C0E">
      <w:pPr>
        <w:spacing w:line="360" w:lineRule="auto"/>
      </w:pPr>
      <w:r>
        <w:t>Just as this disciplinary power is exercised through a number of different and separate institutions, within those institutions, it is also exercised through a heterogeneity of different specialists. Although it</w:t>
      </w:r>
      <w:r w:rsidR="009B0C0E">
        <w:t>’</w:t>
      </w:r>
      <w:r>
        <w:t>s the justice system that defines and dispenses the sentence to the offender, there is an elaborate network of different ‘subsidiary authorities’ (doctors, educators, nurses, psychologists, psychiatrists, warders) who judge and exert penal and disciplinary power in circumstances in which the penalties and security measures defined by the court are not absolutely and unequivocally determined (Foucault, 1991, p.21). The whole penal operation has taken on extra-juridical elements and personnel, thus, the power to punish derives its bases, justifications and rules, from a scientifico-legal complex</w:t>
      </w:r>
      <w:r w:rsidR="009B0C0E">
        <w:t>”</w:t>
      </w:r>
      <w:r>
        <w:t xml:space="preserve"> (Foucault, 1991, p.21-22).</w:t>
      </w:r>
      <w:r w:rsidR="00C22579">
        <w:t xml:space="preserve"> </w:t>
      </w:r>
    </w:p>
    <w:p w14:paraId="12A50657" w14:textId="099FFF6A" w:rsidR="005542EE" w:rsidRDefault="005542EE" w:rsidP="009B0C0E">
      <w:pPr>
        <w:spacing w:line="360" w:lineRule="auto"/>
      </w:pPr>
      <w:r>
        <w:t xml:space="preserve">Disciplinary power can be situated within what Foucault (1998, p.140) the era of “bio-power”. Whereas </w:t>
      </w:r>
      <w:r w:rsidR="00D80D01">
        <w:t xml:space="preserve">the old power of the sovereign was a power deductive in its nature, this new type of power </w:t>
      </w:r>
      <w:r w:rsidR="009B0C0E">
        <w:lastRenderedPageBreak/>
        <w:t>is one</w:t>
      </w:r>
      <w:r w:rsidR="00D80D01">
        <w:t xml:space="preserve"> that invests in</w:t>
      </w:r>
      <w:r w:rsidR="008425D0">
        <w:t>,</w:t>
      </w:r>
      <w:r w:rsidR="00D80D01">
        <w:t xml:space="preserve"> fosters </w:t>
      </w:r>
      <w:r w:rsidR="008425D0">
        <w:t>and administers life</w:t>
      </w:r>
      <w:r w:rsidR="00D80D01">
        <w:t>,</w:t>
      </w:r>
      <w:r w:rsidR="008425D0">
        <w:t xml:space="preserve"> it generates forces, makes them grow and orders them (Foucault, 1991). This power over life evolved in two forms, the first form centred on the body as a machin</w:t>
      </w:r>
      <w:r w:rsidR="006A0A46">
        <w:t>e: it’s disciplining, optimization of its operations and increase in utility, as discussed earlier. The second form concerned the body of the species, which was a basis of the biological processes such as birth and mortality, level of health, life expectancy, etc., and all the conditions that cause them to vary (Ibid). The supervision of these processes was a series of interventions and regulations which Foucault (1991, p.139) called the “bio-politics of the population. Foucault (19</w:t>
      </w:r>
      <w:r w:rsidR="00C70290">
        <w:t>91, p.139) argues that this “bipolar technology” functioned not to kill, but to “invest life through and through”.</w:t>
      </w:r>
    </w:p>
    <w:p w14:paraId="6DE73EBD" w14:textId="77777777" w:rsidR="00B92D90" w:rsidRDefault="00B83125" w:rsidP="00B92D90">
      <w:pPr>
        <w:spacing w:line="360" w:lineRule="auto"/>
      </w:pPr>
      <w:r>
        <w:t xml:space="preserve">Analytical concepts such as the ‘docile body’ provide crucial insights into the dynamics of power. Firstly, understanding how institutions create docile bodies in order to use them for various ends exposes the apparent neutrality of these institutions to be </w:t>
      </w:r>
      <w:r w:rsidR="004E2225">
        <w:t>a façade, an illusion maintained by the fact that the practice of discipline feels natural because it is so embedded in disciplinary societies. By focusing on the body, one can challenge what is commonly taken for granted</w:t>
      </w:r>
      <w:r w:rsidR="00130AD2">
        <w:t xml:space="preserve"> </w:t>
      </w:r>
      <w:r w:rsidR="004E2225">
        <w:t xml:space="preserve">almost as </w:t>
      </w:r>
      <w:r w:rsidR="00130AD2">
        <w:t xml:space="preserve">if </w:t>
      </w:r>
      <w:r w:rsidR="004E2225">
        <w:t xml:space="preserve">it were human </w:t>
      </w:r>
      <w:r w:rsidR="00130AD2">
        <w:t>nature and</w:t>
      </w:r>
      <w:r w:rsidR="004E2225">
        <w:t xml:space="preserve"> </w:t>
      </w:r>
      <w:r w:rsidR="009B0C0E">
        <w:t>expose the</w:t>
      </w:r>
      <w:r w:rsidR="004E2225">
        <w:t xml:space="preserve"> distinct power relations in these circumstances. Using the docile body as a tool for analysis exposes various supposedly neutral interactions </w:t>
      </w:r>
      <w:r w:rsidR="00130AD2">
        <w:t>such as those between a patient and a psychologist, psychiatrist, doctor</w:t>
      </w:r>
      <w:r w:rsidR="009B0C0E">
        <w:t xml:space="preserve"> to be interactions in which power is exercised</w:t>
      </w:r>
      <w:r w:rsidR="00130AD2">
        <w:t>. The docile body also uncovers the direct points of interaction through which power is exercised onto the body, for example the posture or marching of the soldier.</w:t>
      </w:r>
      <w:r w:rsidR="00C70290">
        <w:t xml:space="preserve"> The bio-politics of the population also provide</w:t>
      </w:r>
      <w:r w:rsidR="009B0C0E">
        <w:t>s</w:t>
      </w:r>
      <w:r w:rsidR="00C70290">
        <w:t xml:space="preserve"> insights into how power is exercised through investment rather than outright physical domination</w:t>
      </w:r>
      <w:r w:rsidR="00B92D90">
        <w:t>. I</w:t>
      </w:r>
      <w:r w:rsidR="00C70290">
        <w:t xml:space="preserve">t illustrates how institutions </w:t>
      </w:r>
      <w:r w:rsidR="00B92D90">
        <w:t xml:space="preserve">and states </w:t>
      </w:r>
      <w:r w:rsidR="00C70290">
        <w:t>concerned with health</w:t>
      </w:r>
      <w:r w:rsidR="00B92D90">
        <w:t xml:space="preserve"> </w:t>
      </w:r>
      <w:r w:rsidR="00C70290">
        <w:t xml:space="preserve">which appear </w:t>
      </w:r>
      <w:r w:rsidR="009B0C0E">
        <w:t>to</w:t>
      </w:r>
      <w:r w:rsidR="00C70290">
        <w:t xml:space="preserve"> act </w:t>
      </w:r>
      <w:r w:rsidR="009B0C0E">
        <w:t xml:space="preserve">out </w:t>
      </w:r>
      <w:r w:rsidR="00C70290">
        <w:t xml:space="preserve">of charity and benevolence, </w:t>
      </w:r>
      <w:r w:rsidR="009B0C0E">
        <w:t xml:space="preserve">are </w:t>
      </w:r>
      <w:r w:rsidR="00C70290">
        <w:t xml:space="preserve">actually instrumental to the exercise of power and the control of populations of bodies. </w:t>
      </w:r>
    </w:p>
    <w:p w14:paraId="158F0CBF" w14:textId="587BAA35" w:rsidR="008B1B36" w:rsidRDefault="0045190A" w:rsidP="00B92D90">
      <w:pPr>
        <w:spacing w:line="360" w:lineRule="auto"/>
      </w:pPr>
      <w:r>
        <w:t xml:space="preserve">This essay has so far been concerned with </w:t>
      </w:r>
      <w:r w:rsidR="00230998">
        <w:t xml:space="preserve">a rather broad view of the power dynamics surrounding the body, however, it will explore a more specific, ethnographic example to see how that can aid in the understanding of power dynamics. Before delving into the example, it is useful to contextualize the example in structuralist analyses of Mary Douglas (1978, p.93) who notes that the individual, physical body is intimately intertwined with the social body, and that there is a constant exchange of meanings between the two so that each reinforces the categories of the other. Douglas (2002) also argues that individuals understand the world, and societies model the world, through a system of categorization; a society is a closed system composed of a configuration of a set of categories, and </w:t>
      </w:r>
      <w:r w:rsidR="00B92D90">
        <w:t xml:space="preserve">that </w:t>
      </w:r>
      <w:r w:rsidR="002814EF">
        <w:t>pollution, and to a large extent morality, can be understood through the transgression of these boundaries. Thus the body is expected to relate with the world in certain way</w:t>
      </w:r>
      <w:r w:rsidR="00B92D90">
        <w:t>s</w:t>
      </w:r>
      <w:r w:rsidR="002814EF">
        <w:t xml:space="preserve"> depending on the </w:t>
      </w:r>
      <w:r w:rsidR="002814EF">
        <w:lastRenderedPageBreak/>
        <w:t>culture it is embedded within</w:t>
      </w:r>
      <w:r w:rsidR="00B92D90">
        <w:t xml:space="preserve">; </w:t>
      </w:r>
      <w:r w:rsidR="002814EF">
        <w:t>there are certain things that can come into the body and come out of the body, and the way in which they come in and out of the body is regulated, sometimes strictly, in other cases not so, depending on the culture (Douglas, 1978 and 2002).</w:t>
      </w:r>
      <w:r w:rsidR="001D2C34">
        <w:t xml:space="preserve"> The following ethnographic examples draws on the themes of boundary transgression.</w:t>
      </w:r>
    </w:p>
    <w:p w14:paraId="25044F33" w14:textId="3A2986D0" w:rsidR="00764871" w:rsidRDefault="008B1B36" w:rsidP="00B92D90">
      <w:pPr>
        <w:spacing w:line="360" w:lineRule="auto"/>
      </w:pPr>
      <w:r>
        <w:t>Ong (1988)</w:t>
      </w:r>
      <w:r w:rsidR="009B157A">
        <w:t xml:space="preserve"> </w:t>
      </w:r>
      <w:r w:rsidR="004D2EDA">
        <w:t xml:space="preserve">has conducted ethnographic fieldwork among young females from </w:t>
      </w:r>
      <w:r w:rsidR="009B157A">
        <w:t xml:space="preserve">Sungai </w:t>
      </w:r>
      <w:proofErr w:type="spellStart"/>
      <w:r w:rsidR="009B157A">
        <w:t>Jawa</w:t>
      </w:r>
      <w:proofErr w:type="spellEnd"/>
      <w:r w:rsidR="009B157A">
        <w:t>, a village in the Kuala Langat district</w:t>
      </w:r>
      <w:r w:rsidR="004D2EDA">
        <w:t>, working in factories owned by multinational corporations. Ong (1988) studied the phenomenon of spirit possession (</w:t>
      </w:r>
      <w:proofErr w:type="spellStart"/>
      <w:r w:rsidR="004D2EDA" w:rsidRPr="004D2EDA">
        <w:rPr>
          <w:i/>
        </w:rPr>
        <w:t>kena</w:t>
      </w:r>
      <w:proofErr w:type="spellEnd"/>
      <w:r w:rsidR="004D2EDA" w:rsidRPr="004D2EDA">
        <w:rPr>
          <w:i/>
        </w:rPr>
        <w:t xml:space="preserve"> </w:t>
      </w:r>
      <w:proofErr w:type="spellStart"/>
      <w:r w:rsidR="004D2EDA" w:rsidRPr="004D2EDA">
        <w:rPr>
          <w:i/>
        </w:rPr>
        <w:t>hantu</w:t>
      </w:r>
      <w:proofErr w:type="spellEnd"/>
      <w:r w:rsidR="004D2EDA">
        <w:t>) amongst the young female workers which occurred with remarkable prevalence.</w:t>
      </w:r>
      <w:r w:rsidR="009529ED">
        <w:t xml:space="preserve"> </w:t>
      </w:r>
      <w:r w:rsidR="00457DD4">
        <w:t>S</w:t>
      </w:r>
      <w:r w:rsidR="009529ED">
        <w:t>pirit possession is traditionally associated with married women in Malay cultures; with widows or divorcees, however ever since the insertion of young female workers into the factory environments, spirit possession was almost instantly experienced by the young females</w:t>
      </w:r>
      <w:r w:rsidR="00457DD4">
        <w:t xml:space="preserve"> (Ong, 1988).</w:t>
      </w:r>
      <w:r w:rsidR="009529ED">
        <w:t xml:space="preserve"> Amongst the</w:t>
      </w:r>
      <w:r w:rsidR="00457DD4">
        <w:t xml:space="preserve"> people of</w:t>
      </w:r>
      <w:r w:rsidR="009529ED">
        <w:t xml:space="preserve"> Sungai </w:t>
      </w:r>
      <w:proofErr w:type="spellStart"/>
      <w:r w:rsidR="009529ED">
        <w:t>Jawa</w:t>
      </w:r>
      <w:proofErr w:type="spellEnd"/>
      <w:r w:rsidR="009529ED">
        <w:t>, the spirits that can possess</w:t>
      </w:r>
      <w:r w:rsidR="009C4BC8">
        <w:t>, the ‘free spirits’</w:t>
      </w:r>
      <w:r w:rsidR="001D1105">
        <w:t>,</w:t>
      </w:r>
      <w:r w:rsidR="009529ED">
        <w:t xml:space="preserve"> are associated with special sites or objects which mark the boundary between the human</w:t>
      </w:r>
      <w:r w:rsidR="009C4BC8">
        <w:t xml:space="preserve"> and natural spaces such as burial grounds or oddly shaped natural features with revered ancestral figures; “as the gatekeepers of social boundaries, [these] spirits guard against human transgressions into amoral spaces” (Ong, 1988, p.31). Ong (1988) explains the phenomenon of this spirit possession by situating it in the ontology of the female workers. In local culture, women are seen to have a spiritually frail, polluting and exotic nature which makes them more likely to transgress social boundaries</w:t>
      </w:r>
      <w:r w:rsidR="00835368">
        <w:t xml:space="preserve">, thus making them more susceptible to spirit attacks. They are most susceptible when passing from one phase of life to another, which before industrialization happened to women who were married </w:t>
      </w:r>
      <w:r w:rsidR="00457DD4">
        <w:t>around</w:t>
      </w:r>
      <w:r w:rsidR="00835368">
        <w:t xml:space="preserve"> events such as childbirth which in village-life w</w:t>
      </w:r>
      <w:r w:rsidR="001D1105">
        <w:t>as</w:t>
      </w:r>
      <w:r w:rsidR="00835368">
        <w:t xml:space="preserve"> the first </w:t>
      </w:r>
      <w:r w:rsidR="00457DD4">
        <w:t xml:space="preserve">real </w:t>
      </w:r>
      <w:r w:rsidR="00835368">
        <w:t>traumatic event in a woman’s life.</w:t>
      </w:r>
      <w:r w:rsidR="006167A1">
        <w:t xml:space="preserve"> During industrialization, young females were inserted into the factory, an environment </w:t>
      </w:r>
      <w:r w:rsidR="00B92D90">
        <w:t xml:space="preserve">that was novel, and </w:t>
      </w:r>
      <w:r w:rsidR="001D1105">
        <w:t xml:space="preserve">morally dubious </w:t>
      </w:r>
      <w:r w:rsidR="00A07B3C">
        <w:t>because</w:t>
      </w:r>
      <w:r w:rsidR="0098327E">
        <w:t xml:space="preserve"> it</w:t>
      </w:r>
      <w:r w:rsidR="00A07B3C">
        <w:t xml:space="preserve"> transgresses boundaries</w:t>
      </w:r>
      <w:r w:rsidR="0098327E">
        <w:t xml:space="preserve"> by</w:t>
      </w:r>
      <w:r w:rsidR="00A07B3C">
        <w:t>, for example being built on a swamp</w:t>
      </w:r>
      <w:r w:rsidR="00C36375">
        <w:t>. B</w:t>
      </w:r>
      <w:r w:rsidR="00A07B3C">
        <w:t xml:space="preserve">eing </w:t>
      </w:r>
      <w:r w:rsidR="0098327E">
        <w:t>far away from the wo</w:t>
      </w:r>
      <w:r w:rsidR="00C36375">
        <w:t>rkers</w:t>
      </w:r>
      <w:r w:rsidR="0098327E">
        <w:t xml:space="preserve"> households and villages </w:t>
      </w:r>
      <w:r w:rsidR="00C36375">
        <w:t xml:space="preserve">also plays a part </w:t>
      </w:r>
      <w:r w:rsidR="0098327E">
        <w:t>they find it easier to manage their bodies and not transgress social boundaries</w:t>
      </w:r>
      <w:r w:rsidR="00C36375">
        <w:t xml:space="preserve"> in the confines of the household</w:t>
      </w:r>
      <w:r w:rsidR="0098327E">
        <w:t xml:space="preserve">, which means that conversely in the factory it is harder for them to uphold these boundaries (Ibid). The toilets are experienced as particularly problematic and </w:t>
      </w:r>
      <w:r w:rsidR="00C36375">
        <w:t>have been</w:t>
      </w:r>
      <w:r w:rsidR="0098327E">
        <w:t xml:space="preserve"> the sight of </w:t>
      </w:r>
      <w:r w:rsidR="00C36375">
        <w:t xml:space="preserve">numerous </w:t>
      </w:r>
      <w:r w:rsidR="0098327E">
        <w:t xml:space="preserve">possessions, the workers view them as polluted and fear them, this Is partly because the western style toilets </w:t>
      </w:r>
      <w:r w:rsidR="000A6B7F">
        <w:t>in the factory are seen as an improper way of disposing of bodily excreta</w:t>
      </w:r>
      <w:r w:rsidR="00C36375">
        <w:t>;</w:t>
      </w:r>
      <w:r w:rsidR="000A6B7F">
        <w:t xml:space="preserve"> they force the workers to assume unnatural positions to </w:t>
      </w:r>
      <w:r w:rsidR="00B26B39">
        <w:t xml:space="preserve">them, </w:t>
      </w:r>
      <w:r w:rsidR="00C36375">
        <w:t xml:space="preserve">for example </w:t>
      </w:r>
      <w:r w:rsidR="00B26B39">
        <w:t>sitting instead of squatting.</w:t>
      </w:r>
      <w:r w:rsidR="00C36375">
        <w:t xml:space="preserve"> </w:t>
      </w:r>
      <w:r w:rsidR="00C67F39">
        <w:t>During possession, the workers act violently and vociferously, often fighting and resisting their male supervisors. Bio-medically trained doctors and specialists were called in to investigate the phenomenon and</w:t>
      </w:r>
      <w:r w:rsidR="00025D3D">
        <w:t xml:space="preserve"> classified</w:t>
      </w:r>
      <w:r w:rsidR="00C67F39">
        <w:t xml:space="preserve"> it in terms of hysteria and frightened episodes, and called for the use of </w:t>
      </w:r>
      <w:r w:rsidR="00025D3D">
        <w:t xml:space="preserve">sedatives, as well as separating the ‘normal’ from the </w:t>
      </w:r>
      <w:r w:rsidR="0017379A">
        <w:t>recalcitrant</w:t>
      </w:r>
      <w:r w:rsidR="00025D3D">
        <w:t xml:space="preserve"> workers</w:t>
      </w:r>
      <w:r w:rsidR="00764871">
        <w:t>.</w:t>
      </w:r>
    </w:p>
    <w:p w14:paraId="53AA2DB5" w14:textId="069B43B7" w:rsidR="00EA5F86" w:rsidRDefault="00764871" w:rsidP="00B92D90">
      <w:pPr>
        <w:spacing w:line="360" w:lineRule="auto"/>
      </w:pPr>
      <w:r>
        <w:lastRenderedPageBreak/>
        <w:t xml:space="preserve">Analysis of the dynamics of power in this </w:t>
      </w:r>
      <w:r w:rsidR="00157375">
        <w:t>circumstance</w:t>
      </w:r>
      <w:r>
        <w:t xml:space="preserve"> lend</w:t>
      </w:r>
      <w:r w:rsidR="007B63B5">
        <w:t>s itself</w:t>
      </w:r>
      <w:r>
        <w:t xml:space="preserve"> heavily to Foucault’s theory of docile bodies as discussed earlier in this essay; </w:t>
      </w:r>
      <w:r w:rsidR="007B63B5">
        <w:t xml:space="preserve">the factory aims to increase the docility of the workers through constant surveillance and administration of sedatives to individuals that act ‘abnormally’ and unproductively. </w:t>
      </w:r>
      <w:r w:rsidR="002E4804">
        <w:t xml:space="preserve">Ong (1988) </w:t>
      </w:r>
      <w:r w:rsidR="00C2098E">
        <w:t>follows in this</w:t>
      </w:r>
      <w:r w:rsidR="00AE6E32">
        <w:t xml:space="preserve"> line of argument </w:t>
      </w:r>
      <w:r w:rsidR="00C415E5">
        <w:t>and</w:t>
      </w:r>
      <w:r w:rsidR="00AE6E32">
        <w:t>,</w:t>
      </w:r>
      <w:r w:rsidR="00C415E5">
        <w:t xml:space="preserve"> by focusing on the body and its relation</w:t>
      </w:r>
      <w:r w:rsidR="00AE6E32">
        <w:t xml:space="preserve">s, </w:t>
      </w:r>
      <w:r w:rsidR="00C415E5">
        <w:t xml:space="preserve">argues that possession acts as a form of protest against the terrible working conditions, the oppressive nature of the male supervisors, and against the flippant rejection of indigenous modes of being by the multinational corporations, she argues that </w:t>
      </w:r>
      <w:r w:rsidR="00EA5F86">
        <w:t xml:space="preserve"> “spirit possession provides a traditional way of rebelling against authority without punishment</w:t>
      </w:r>
      <w:r w:rsidR="000261D4">
        <w:t>, since victims are not blamed for their predicament</w:t>
      </w:r>
      <w:r w:rsidR="00EA5F86">
        <w:t>”</w:t>
      </w:r>
      <w:r w:rsidR="00EA5F86">
        <w:t xml:space="preserve"> (Ong 1988, p.</w:t>
      </w:r>
      <w:r w:rsidR="000261D4">
        <w:t>33).</w:t>
      </w:r>
    </w:p>
    <w:p w14:paraId="1A39C64C" w14:textId="0B3C6AA4" w:rsidR="009B157A" w:rsidRDefault="00EA5F86" w:rsidP="00B92D90">
      <w:pPr>
        <w:spacing w:line="360" w:lineRule="auto"/>
      </w:pPr>
      <w:r>
        <w:t>The rejection of indigenous understandings of social boundaries and conduct, and the blind imposition of discipline, capitalism and biomedicine on the bodies of the workers also demonstrates what Stiglitz (</w:t>
      </w:r>
      <w:r w:rsidR="000D5892">
        <w:t>2009</w:t>
      </w:r>
      <w:r>
        <w:t>) calls ‘market fundamentalism’, which is t</w:t>
      </w:r>
      <w:r w:rsidR="000261D4">
        <w:t>he assumption that free market capitalism is the superior way of increasing economic and human prosperity, therefore in situations where there is human suffering related to work in capitalistic modes of production, other factors are assumed to be causes.</w:t>
      </w:r>
    </w:p>
    <w:p w14:paraId="75D54B98" w14:textId="02EAF91B" w:rsidR="0017379A" w:rsidRDefault="00EA5F86" w:rsidP="001F4718">
      <w:pPr>
        <w:spacing w:line="360" w:lineRule="auto"/>
      </w:pPr>
      <w:r>
        <w:t xml:space="preserve">The way in which the corporations and its specialists condescendingly treat the bodies of the workers with neglect for their needs and desires clearly shows </w:t>
      </w:r>
      <w:r w:rsidR="00083511">
        <w:t xml:space="preserve">the </w:t>
      </w:r>
      <w:r>
        <w:t>arrogant nature in which the ideology of market fundamentalism ignores any faults of the free market a</w:t>
      </w:r>
      <w:r w:rsidR="00211656">
        <w:t>nd instead tries to escape its shortcomings by framing other factors as problematic, in this case the ‘hysteria’ of the young female workers</w:t>
      </w:r>
      <w:r w:rsidR="009C7D1E">
        <w:t xml:space="preserve">, their “cultural deficiency” and their inability to adapt to “demands of [the] factory discipline.” (1988, p.37). </w:t>
      </w:r>
      <w:r w:rsidR="00AE6E32">
        <w:t>Focusing on the bod</w:t>
      </w:r>
      <w:r w:rsidR="00CE7CE7">
        <w:t>ies</w:t>
      </w:r>
      <w:r w:rsidR="00AE6E32">
        <w:t xml:space="preserve"> of the workers </w:t>
      </w:r>
      <w:r w:rsidR="0017379A">
        <w:t xml:space="preserve">Illustrates </w:t>
      </w:r>
      <w:r w:rsidR="00CE7CE7">
        <w:t>how infra-power is used in the factory</w:t>
      </w:r>
      <w:r w:rsidR="0017379A">
        <w:t>, i</w:t>
      </w:r>
      <w:r w:rsidR="00CE7CE7">
        <w:t>n the form of doctors and psychologist who impose the bio-medical model to pacify the bodies of the workers, and the supervisors who discipline through surveillance; a whole complex of power dynamics can be elucidated by taking focusing on the body.</w:t>
      </w:r>
    </w:p>
    <w:p w14:paraId="7C1105DF" w14:textId="206CDEDF" w:rsidR="001D6174" w:rsidRDefault="00A6634E" w:rsidP="001F4718">
      <w:pPr>
        <w:spacing w:line="360" w:lineRule="auto"/>
      </w:pPr>
      <w:r>
        <w:t>In conclusion</w:t>
      </w:r>
      <w:r w:rsidR="00444886">
        <w:t>,</w:t>
      </w:r>
      <w:r>
        <w:t xml:space="preserve"> </w:t>
      </w:r>
      <w:r w:rsidR="00444886">
        <w:t xml:space="preserve">this essay how explored two different case studies which focused on the body aid our understanding of power dynamics. The first case </w:t>
      </w:r>
      <w:r w:rsidR="00B92D90">
        <w:t xml:space="preserve">provides extremely powerful and original insights into how supposedly neutral institutions exercise power onto the bodies of individuals in society and revealed the points of action that the power is exercised onto. </w:t>
      </w:r>
      <w:r w:rsidR="001F4718">
        <w:t>The second example elucidate power dynamics involved in the way neo-liberalism, capitalism and the ideology of market fundamentalism interacts with the bodies of those who are colonized. Overall, focusing on the body provides tremendous insights into power dynamics from many different angles.</w:t>
      </w:r>
    </w:p>
    <w:p w14:paraId="146615C8" w14:textId="2B5E55E6" w:rsidR="001D6174" w:rsidRDefault="001D6174"/>
    <w:p w14:paraId="6C3BC79F" w14:textId="4D033E71" w:rsidR="00C34743" w:rsidRDefault="00C34743"/>
    <w:p w14:paraId="4E8ADC5A" w14:textId="4B025F26" w:rsidR="00C34743" w:rsidRPr="00A6634E" w:rsidRDefault="00A6634E" w:rsidP="00444886">
      <w:pPr>
        <w:spacing w:line="360" w:lineRule="auto"/>
        <w:rPr>
          <w:b/>
          <w:u w:val="single"/>
        </w:rPr>
      </w:pPr>
      <w:r w:rsidRPr="00A6634E">
        <w:rPr>
          <w:b/>
          <w:u w:val="single"/>
        </w:rPr>
        <w:t>References:</w:t>
      </w:r>
    </w:p>
    <w:p w14:paraId="7ED86013" w14:textId="77777777" w:rsidR="00465478" w:rsidRPr="005B559E" w:rsidRDefault="00465478" w:rsidP="00444886">
      <w:pPr>
        <w:spacing w:line="360" w:lineRule="auto"/>
      </w:pPr>
      <w:r>
        <w:t xml:space="preserve">Douglas, M (1978) </w:t>
      </w:r>
      <w:r>
        <w:rPr>
          <w:i/>
        </w:rPr>
        <w:t xml:space="preserve">Natural Symbols: Explorations in Cosmology. </w:t>
      </w:r>
      <w:r>
        <w:t xml:space="preserve">Penguin Books. </w:t>
      </w:r>
    </w:p>
    <w:p w14:paraId="11FEAA75" w14:textId="5008DADD" w:rsidR="00310464" w:rsidRDefault="00465478" w:rsidP="00444886">
      <w:pPr>
        <w:spacing w:line="360" w:lineRule="auto"/>
      </w:pPr>
      <w:r>
        <w:t xml:space="preserve">Douglas, M. (2002) </w:t>
      </w:r>
      <w:r>
        <w:rPr>
          <w:i/>
        </w:rPr>
        <w:t xml:space="preserve">Purity and Danger: An analysis of concepts of pollution and taboo. </w:t>
      </w:r>
      <w:r>
        <w:t>Routledge Classics: London and New York.</w:t>
      </w:r>
    </w:p>
    <w:p w14:paraId="5451C415" w14:textId="0C42BAE7" w:rsidR="00856CCA" w:rsidRDefault="00856CCA" w:rsidP="00444886">
      <w:pPr>
        <w:spacing w:line="360" w:lineRule="auto"/>
        <w:rPr>
          <w:i/>
        </w:rPr>
      </w:pPr>
      <w:r>
        <w:t xml:space="preserve">Foucault, M. </w:t>
      </w:r>
      <w:r w:rsidR="00465478">
        <w:t>(</w:t>
      </w:r>
      <w:r>
        <w:t>1991</w:t>
      </w:r>
      <w:r w:rsidR="00465478">
        <w:t>)</w:t>
      </w:r>
      <w:r>
        <w:t xml:space="preserve"> </w:t>
      </w:r>
      <w:r>
        <w:rPr>
          <w:i/>
        </w:rPr>
        <w:t xml:space="preserve">Discipline and Punish: The Birth of the Prison. </w:t>
      </w:r>
      <w:r>
        <w:t>Penguin Books: London.</w:t>
      </w:r>
      <w:r>
        <w:rPr>
          <w:i/>
        </w:rPr>
        <w:t xml:space="preserve"> </w:t>
      </w:r>
    </w:p>
    <w:p w14:paraId="7708EF87" w14:textId="2AFBE0EF" w:rsidR="009A7715" w:rsidRPr="009A7715" w:rsidRDefault="009A7715" w:rsidP="00444886">
      <w:pPr>
        <w:spacing w:line="360" w:lineRule="auto"/>
      </w:pPr>
      <w:r>
        <w:t xml:space="preserve">Foucault, M. 1998. </w:t>
      </w:r>
      <w:r w:rsidRPr="0085162E">
        <w:rPr>
          <w:i/>
        </w:rPr>
        <w:t>History of Sexuality Vol. I: The Will to Knowledge</w:t>
      </w:r>
      <w:r>
        <w:t>. Penguin Books.</w:t>
      </w:r>
    </w:p>
    <w:p w14:paraId="6BFAFCA3" w14:textId="5E43B597" w:rsidR="00310464" w:rsidRDefault="009A7715" w:rsidP="00444886">
      <w:pPr>
        <w:spacing w:line="360" w:lineRule="auto"/>
      </w:pPr>
      <w:r>
        <w:t xml:space="preserve">Scheper-Hughes, N. and Lock, M. </w:t>
      </w:r>
      <w:r w:rsidR="001F4718">
        <w:t>(</w:t>
      </w:r>
      <w:r>
        <w:t>1987</w:t>
      </w:r>
      <w:r w:rsidR="001F4718">
        <w:t>)</w:t>
      </w:r>
      <w:r>
        <w:t xml:space="preserve"> The Mindful Body: A Prolegomenon to Future Work in Medical Anthropology. </w:t>
      </w:r>
      <w:r>
        <w:rPr>
          <w:i/>
        </w:rPr>
        <w:t xml:space="preserve">Medical Anthropology </w:t>
      </w:r>
      <w:proofErr w:type="spellStart"/>
      <w:r>
        <w:rPr>
          <w:i/>
        </w:rPr>
        <w:t>Quaterly</w:t>
      </w:r>
      <w:proofErr w:type="spellEnd"/>
      <w:r>
        <w:t>, 1:6-41.</w:t>
      </w:r>
    </w:p>
    <w:p w14:paraId="33834812" w14:textId="280EAF1F" w:rsidR="00856CCA" w:rsidRDefault="00856CCA" w:rsidP="00444886">
      <w:pPr>
        <w:spacing w:line="360" w:lineRule="auto"/>
        <w:rPr>
          <w:color w:val="000000" w:themeColor="text1"/>
        </w:rPr>
      </w:pPr>
      <w:r>
        <w:rPr>
          <w:color w:val="000000" w:themeColor="text1"/>
        </w:rPr>
        <w:t xml:space="preserve">The University </w:t>
      </w:r>
      <w:proofErr w:type="gramStart"/>
      <w:r>
        <w:rPr>
          <w:color w:val="000000" w:themeColor="text1"/>
        </w:rPr>
        <w:t>Of</w:t>
      </w:r>
      <w:proofErr w:type="gramEnd"/>
      <w:r>
        <w:rPr>
          <w:color w:val="000000" w:themeColor="text1"/>
        </w:rPr>
        <w:t xml:space="preserve"> Edinburgh, 2009. </w:t>
      </w:r>
      <w:r>
        <w:rPr>
          <w:i/>
          <w:color w:val="000000" w:themeColor="text1"/>
        </w:rPr>
        <w:t>Prof. Joseph Stiglitz: Globalisation and the 21</w:t>
      </w:r>
      <w:r w:rsidRPr="0025482F">
        <w:rPr>
          <w:i/>
          <w:color w:val="000000" w:themeColor="text1"/>
          <w:vertAlign w:val="superscript"/>
        </w:rPr>
        <w:t>st</w:t>
      </w:r>
      <w:r>
        <w:rPr>
          <w:i/>
          <w:color w:val="000000" w:themeColor="text1"/>
        </w:rPr>
        <w:t xml:space="preserve"> Century Enlightenment,</w:t>
      </w:r>
      <w:r>
        <w:rPr>
          <w:color w:val="000000" w:themeColor="text1"/>
        </w:rPr>
        <w:t xml:space="preserve"> The University Of Edinburgh Enlightenment Lecture Series. [video online] Available at: </w:t>
      </w:r>
      <w:r>
        <w:rPr>
          <w:i/>
          <w:color w:val="000000" w:themeColor="text1"/>
        </w:rPr>
        <w:t xml:space="preserve"> </w:t>
      </w:r>
      <w:hyperlink r:id="rId6" w:history="1">
        <w:r w:rsidRPr="00CF7F44">
          <w:rPr>
            <w:rStyle w:val="Hyperlink"/>
            <w:i/>
          </w:rPr>
          <w:t>https://www.youtube.com/watch?v=FpYcJ4ljVuI</w:t>
        </w:r>
      </w:hyperlink>
      <w:r>
        <w:rPr>
          <w:i/>
          <w:color w:val="000000" w:themeColor="text1"/>
        </w:rPr>
        <w:t xml:space="preserve"> </w:t>
      </w:r>
      <w:r>
        <w:rPr>
          <w:color w:val="000000" w:themeColor="text1"/>
        </w:rPr>
        <w:t>[Accessed 08 March 2019].</w:t>
      </w:r>
    </w:p>
    <w:p w14:paraId="5661012A" w14:textId="7261BFB0" w:rsidR="001F4718" w:rsidRPr="000400CD" w:rsidRDefault="001F4718" w:rsidP="00444886">
      <w:pPr>
        <w:spacing w:line="360" w:lineRule="auto"/>
        <w:rPr>
          <w:color w:val="000000" w:themeColor="text1"/>
        </w:rPr>
      </w:pPr>
      <w:r>
        <w:rPr>
          <w:color w:val="000000" w:themeColor="text1"/>
        </w:rPr>
        <w:t xml:space="preserve">Ong, A. (1988) The Production of Possession: Spirits and the Multinational Corporation in Malaysia. </w:t>
      </w:r>
      <w:r>
        <w:rPr>
          <w:i/>
          <w:color w:val="000000" w:themeColor="text1"/>
        </w:rPr>
        <w:t xml:space="preserve">American Ethnologist, </w:t>
      </w:r>
      <w:r w:rsidR="000400CD">
        <w:rPr>
          <w:color w:val="000000" w:themeColor="text1"/>
        </w:rPr>
        <w:t>15(1), p.28-42.</w:t>
      </w:r>
      <w:bookmarkStart w:id="0" w:name="_GoBack"/>
      <w:bookmarkEnd w:id="0"/>
    </w:p>
    <w:p w14:paraId="66665DA2" w14:textId="77777777" w:rsidR="00C03672" w:rsidRPr="00B32E7C" w:rsidRDefault="00C03672" w:rsidP="00856CCA">
      <w:pPr>
        <w:rPr>
          <w:color w:val="000000" w:themeColor="text1"/>
        </w:rPr>
      </w:pPr>
    </w:p>
    <w:p w14:paraId="1DCB91F3" w14:textId="77777777" w:rsidR="00310464" w:rsidRDefault="00310464"/>
    <w:sectPr w:rsidR="0031046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2DA9A" w14:textId="77777777" w:rsidR="00034846" w:rsidRDefault="00034846" w:rsidP="002D49D4">
      <w:pPr>
        <w:spacing w:after="0" w:line="240" w:lineRule="auto"/>
      </w:pPr>
      <w:r>
        <w:separator/>
      </w:r>
    </w:p>
  </w:endnote>
  <w:endnote w:type="continuationSeparator" w:id="0">
    <w:p w14:paraId="1AC072DD" w14:textId="77777777" w:rsidR="00034846" w:rsidRDefault="00034846" w:rsidP="002D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375581"/>
      <w:docPartObj>
        <w:docPartGallery w:val="Page Numbers (Bottom of Page)"/>
        <w:docPartUnique/>
      </w:docPartObj>
    </w:sdtPr>
    <w:sdtEndPr>
      <w:rPr>
        <w:noProof/>
      </w:rPr>
    </w:sdtEndPr>
    <w:sdtContent>
      <w:p w14:paraId="3B0E3F5F" w14:textId="5DE4B7FC" w:rsidR="00A015ED" w:rsidRDefault="00A015ED">
        <w:pPr>
          <w:pStyle w:val="Footer"/>
        </w:pPr>
        <w:r>
          <w:fldChar w:fldCharType="begin"/>
        </w:r>
        <w:r>
          <w:instrText xml:space="preserve"> PAGE   \* MERGEFORMAT </w:instrText>
        </w:r>
        <w:r>
          <w:fldChar w:fldCharType="separate"/>
        </w:r>
        <w:r>
          <w:rPr>
            <w:noProof/>
          </w:rPr>
          <w:t>2</w:t>
        </w:r>
        <w:r>
          <w:rPr>
            <w:noProof/>
          </w:rPr>
          <w:fldChar w:fldCharType="end"/>
        </w:r>
      </w:p>
    </w:sdtContent>
  </w:sdt>
  <w:p w14:paraId="48876631" w14:textId="77777777" w:rsidR="00A015ED" w:rsidRDefault="00A01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B9066" w14:textId="77777777" w:rsidR="00034846" w:rsidRDefault="00034846" w:rsidP="002D49D4">
      <w:pPr>
        <w:spacing w:after="0" w:line="240" w:lineRule="auto"/>
      </w:pPr>
      <w:r>
        <w:separator/>
      </w:r>
    </w:p>
  </w:footnote>
  <w:footnote w:type="continuationSeparator" w:id="0">
    <w:p w14:paraId="70DCAF31" w14:textId="77777777" w:rsidR="00034846" w:rsidRDefault="00034846" w:rsidP="002D4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BC9B1" w14:textId="4A35075F" w:rsidR="001D2C34" w:rsidRDefault="001D2C34">
    <w:pPr>
      <w:pStyle w:val="Header"/>
    </w:pPr>
    <w:r>
      <w:t>HPAN6006                                                    Assignment 3: essay                             Grzegorz Palka/1600935</w:t>
    </w:r>
  </w:p>
  <w:p w14:paraId="39C8EA64" w14:textId="77777777" w:rsidR="001D2C34" w:rsidRDefault="001D2C34">
    <w:pPr>
      <w:pStyle w:val="Header"/>
    </w:pPr>
  </w:p>
  <w:p w14:paraId="2CF49232" w14:textId="3ABB8820" w:rsidR="001D1105" w:rsidRDefault="001D1105" w:rsidP="001D2C34">
    <w:pPr>
      <w:pStyle w:val="Header"/>
      <w:jc w:val="center"/>
    </w:pPr>
    <w:r>
      <w:t>How can a focus on ‘the body’ illuminate our understanding of power dynamics?</w:t>
    </w:r>
  </w:p>
  <w:p w14:paraId="47620B98" w14:textId="77777777" w:rsidR="00A015ED" w:rsidRDefault="00A015ED" w:rsidP="001D2C34">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9D4"/>
    <w:rsid w:val="00025D3D"/>
    <w:rsid w:val="000261D4"/>
    <w:rsid w:val="00034846"/>
    <w:rsid w:val="000400CD"/>
    <w:rsid w:val="000665F8"/>
    <w:rsid w:val="00077659"/>
    <w:rsid w:val="00083511"/>
    <w:rsid w:val="000A13FA"/>
    <w:rsid w:val="000A6B7F"/>
    <w:rsid w:val="000C1879"/>
    <w:rsid w:val="000D5892"/>
    <w:rsid w:val="00130AD2"/>
    <w:rsid w:val="0014276E"/>
    <w:rsid w:val="001463BE"/>
    <w:rsid w:val="00157375"/>
    <w:rsid w:val="001618F9"/>
    <w:rsid w:val="0017379A"/>
    <w:rsid w:val="00196B87"/>
    <w:rsid w:val="00197800"/>
    <w:rsid w:val="001A2616"/>
    <w:rsid w:val="001D1105"/>
    <w:rsid w:val="001D2C34"/>
    <w:rsid w:val="001D6174"/>
    <w:rsid w:val="001F4718"/>
    <w:rsid w:val="00211656"/>
    <w:rsid w:val="00230998"/>
    <w:rsid w:val="00256AE7"/>
    <w:rsid w:val="00263F34"/>
    <w:rsid w:val="002814EF"/>
    <w:rsid w:val="002847C8"/>
    <w:rsid w:val="002D49D4"/>
    <w:rsid w:val="002E2AD5"/>
    <w:rsid w:val="002E4804"/>
    <w:rsid w:val="00310464"/>
    <w:rsid w:val="003250E1"/>
    <w:rsid w:val="00340E2D"/>
    <w:rsid w:val="003B40C2"/>
    <w:rsid w:val="003B48CB"/>
    <w:rsid w:val="003D14D4"/>
    <w:rsid w:val="00444886"/>
    <w:rsid w:val="0045190A"/>
    <w:rsid w:val="00457DD4"/>
    <w:rsid w:val="00460809"/>
    <w:rsid w:val="00465478"/>
    <w:rsid w:val="00480C9C"/>
    <w:rsid w:val="00490A80"/>
    <w:rsid w:val="004A4FCF"/>
    <w:rsid w:val="004A6436"/>
    <w:rsid w:val="004D2EDA"/>
    <w:rsid w:val="004E2225"/>
    <w:rsid w:val="00520F74"/>
    <w:rsid w:val="005279BE"/>
    <w:rsid w:val="0053582F"/>
    <w:rsid w:val="00553DB5"/>
    <w:rsid w:val="005542EE"/>
    <w:rsid w:val="0055501E"/>
    <w:rsid w:val="005B526F"/>
    <w:rsid w:val="006031A5"/>
    <w:rsid w:val="00614F52"/>
    <w:rsid w:val="006167A1"/>
    <w:rsid w:val="00641724"/>
    <w:rsid w:val="00675862"/>
    <w:rsid w:val="006A0A46"/>
    <w:rsid w:val="006D4F0E"/>
    <w:rsid w:val="007010CE"/>
    <w:rsid w:val="00714547"/>
    <w:rsid w:val="007444B4"/>
    <w:rsid w:val="007622A1"/>
    <w:rsid w:val="00764871"/>
    <w:rsid w:val="00786BDC"/>
    <w:rsid w:val="007B07C0"/>
    <w:rsid w:val="007B63B5"/>
    <w:rsid w:val="007B65C1"/>
    <w:rsid w:val="007B665D"/>
    <w:rsid w:val="0082076D"/>
    <w:rsid w:val="00835368"/>
    <w:rsid w:val="008425D0"/>
    <w:rsid w:val="00856CCA"/>
    <w:rsid w:val="0087205B"/>
    <w:rsid w:val="0089409E"/>
    <w:rsid w:val="008B1B36"/>
    <w:rsid w:val="008C2511"/>
    <w:rsid w:val="008C7749"/>
    <w:rsid w:val="008F1598"/>
    <w:rsid w:val="00912F68"/>
    <w:rsid w:val="009529ED"/>
    <w:rsid w:val="0098327E"/>
    <w:rsid w:val="009971B0"/>
    <w:rsid w:val="009A7715"/>
    <w:rsid w:val="009B0C0E"/>
    <w:rsid w:val="009B157A"/>
    <w:rsid w:val="009C4BC8"/>
    <w:rsid w:val="009C7D1E"/>
    <w:rsid w:val="009E2605"/>
    <w:rsid w:val="009F4929"/>
    <w:rsid w:val="00A015ED"/>
    <w:rsid w:val="00A05063"/>
    <w:rsid w:val="00A07B3C"/>
    <w:rsid w:val="00A25FF6"/>
    <w:rsid w:val="00A615D7"/>
    <w:rsid w:val="00A6634E"/>
    <w:rsid w:val="00A80CB8"/>
    <w:rsid w:val="00A972BF"/>
    <w:rsid w:val="00AC685F"/>
    <w:rsid w:val="00AE6E32"/>
    <w:rsid w:val="00AE7B7E"/>
    <w:rsid w:val="00AF6D1F"/>
    <w:rsid w:val="00B20217"/>
    <w:rsid w:val="00B26B39"/>
    <w:rsid w:val="00B4041B"/>
    <w:rsid w:val="00B83125"/>
    <w:rsid w:val="00B92D90"/>
    <w:rsid w:val="00BC70B7"/>
    <w:rsid w:val="00BC70E8"/>
    <w:rsid w:val="00BD5951"/>
    <w:rsid w:val="00BE2303"/>
    <w:rsid w:val="00BF43B6"/>
    <w:rsid w:val="00C03672"/>
    <w:rsid w:val="00C2098E"/>
    <w:rsid w:val="00C22579"/>
    <w:rsid w:val="00C34743"/>
    <w:rsid w:val="00C36375"/>
    <w:rsid w:val="00C415E5"/>
    <w:rsid w:val="00C5050B"/>
    <w:rsid w:val="00C56A6E"/>
    <w:rsid w:val="00C61B6F"/>
    <w:rsid w:val="00C67F39"/>
    <w:rsid w:val="00C70290"/>
    <w:rsid w:val="00C80580"/>
    <w:rsid w:val="00CE4EFC"/>
    <w:rsid w:val="00CE7CE7"/>
    <w:rsid w:val="00D17EAD"/>
    <w:rsid w:val="00D30620"/>
    <w:rsid w:val="00D33618"/>
    <w:rsid w:val="00D80D01"/>
    <w:rsid w:val="00D854EF"/>
    <w:rsid w:val="00D870B4"/>
    <w:rsid w:val="00DA2BBD"/>
    <w:rsid w:val="00E94CB6"/>
    <w:rsid w:val="00EA5F86"/>
    <w:rsid w:val="00ED4D61"/>
    <w:rsid w:val="00ED66AE"/>
    <w:rsid w:val="00EE6637"/>
    <w:rsid w:val="00EF4B33"/>
    <w:rsid w:val="00F3069B"/>
    <w:rsid w:val="00F30CB3"/>
    <w:rsid w:val="00F5346A"/>
    <w:rsid w:val="00F941FA"/>
    <w:rsid w:val="00FB3959"/>
    <w:rsid w:val="00FF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D59B"/>
  <w15:chartTrackingRefBased/>
  <w15:docId w15:val="{82934921-5E5D-48D9-94D1-D7E27FEC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9D4"/>
  </w:style>
  <w:style w:type="paragraph" w:styleId="Footer">
    <w:name w:val="footer"/>
    <w:basedOn w:val="Normal"/>
    <w:link w:val="FooterChar"/>
    <w:uiPriority w:val="99"/>
    <w:unhideWhenUsed/>
    <w:rsid w:val="002D4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9D4"/>
  </w:style>
  <w:style w:type="character" w:styleId="Hyperlink">
    <w:name w:val="Hyperlink"/>
    <w:basedOn w:val="DefaultParagraphFont"/>
    <w:uiPriority w:val="99"/>
    <w:unhideWhenUsed/>
    <w:rsid w:val="00856C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FpYcJ4ljVuI"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3284</TotalTime>
  <Pages>7</Pages>
  <Words>2864</Words>
  <Characters>16325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38</cp:revision>
  <dcterms:created xsi:type="dcterms:W3CDTF">2019-03-05T00:19:00Z</dcterms:created>
  <dcterms:modified xsi:type="dcterms:W3CDTF">2019-03-08T23:54:00Z</dcterms:modified>
</cp:coreProperties>
</file>