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611F7" w14:textId="3248D9AB" w:rsidR="00845C9A" w:rsidRPr="00726EDA" w:rsidRDefault="00845C9A" w:rsidP="00726EDA">
      <w:pPr>
        <w:spacing w:before="100" w:beforeAutospacing="1" w:after="100" w:afterAutospacing="1" w:line="480" w:lineRule="auto"/>
        <w:jc w:val="both"/>
        <w:rPr>
          <w:rFonts w:ascii="Arial" w:hAnsi="Arial" w:cs="Arial"/>
          <w:sz w:val="22"/>
        </w:rPr>
      </w:pPr>
      <w:r w:rsidRPr="00726EDA">
        <w:rPr>
          <w:rFonts w:ascii="Arial" w:hAnsi="Arial" w:cs="Arial"/>
          <w:noProof/>
          <w:sz w:val="22"/>
          <w14:ligatures w14:val="standardContextual"/>
        </w:rPr>
        <w:drawing>
          <wp:anchor distT="0" distB="0" distL="114300" distR="114300" simplePos="0" relativeHeight="251658240" behindDoc="1" locked="0" layoutInCell="1" allowOverlap="1" wp14:anchorId="109F546A" wp14:editId="39FCCCC8">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1451857274"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7">
                      <a:extLst>
                        <a:ext uri="{28A0092B-C50C-407E-A947-70E740481C1C}">
                          <a14:useLocalDpi xmlns:a14="http://schemas.microsoft.com/office/drawing/2010/main" val="0"/>
                        </a:ext>
                      </a:extLst>
                    </a:blip>
                    <a:srcRect r="23643"/>
                    <a:stretch>
                      <a:fillRect/>
                    </a:stretch>
                  </pic:blipFill>
                  <pic:spPr bwMode="auto">
                    <a:xfrm>
                      <a:off x="0" y="0"/>
                      <a:ext cx="4152900" cy="1328420"/>
                    </a:xfrm>
                    <a:prstGeom prst="rect">
                      <a:avLst/>
                    </a:prstGeom>
                    <a:noFill/>
                  </pic:spPr>
                </pic:pic>
              </a:graphicData>
            </a:graphic>
            <wp14:sizeRelH relativeFrom="margin">
              <wp14:pctWidth>0</wp14:pctWidth>
            </wp14:sizeRelH>
            <wp14:sizeRelV relativeFrom="page">
              <wp14:pctHeight>0</wp14:pctHeight>
            </wp14:sizeRelV>
          </wp:anchor>
        </w:drawing>
      </w:r>
    </w:p>
    <w:p w14:paraId="0B9C180F" w14:textId="77777777" w:rsidR="00845C9A" w:rsidRPr="00726EDA" w:rsidRDefault="00845C9A" w:rsidP="00726EDA">
      <w:pPr>
        <w:spacing w:before="100" w:beforeAutospacing="1" w:after="100" w:afterAutospacing="1" w:line="480" w:lineRule="auto"/>
        <w:jc w:val="both"/>
        <w:rPr>
          <w:rFonts w:ascii="Arial" w:hAnsi="Arial" w:cs="Arial"/>
          <w:sz w:val="22"/>
        </w:rPr>
      </w:pPr>
    </w:p>
    <w:p w14:paraId="7E53BD6E" w14:textId="77777777" w:rsidR="00845C9A" w:rsidRPr="00726EDA" w:rsidRDefault="00845C9A" w:rsidP="00726EDA">
      <w:pPr>
        <w:spacing w:before="100" w:beforeAutospacing="1" w:after="100" w:afterAutospacing="1" w:line="480" w:lineRule="auto"/>
        <w:jc w:val="both"/>
        <w:rPr>
          <w:rFonts w:ascii="Arial" w:hAnsi="Arial" w:cs="Arial"/>
          <w:sz w:val="22"/>
        </w:rPr>
      </w:pPr>
    </w:p>
    <w:p w14:paraId="6D9717D3" w14:textId="77777777" w:rsidR="00845C9A" w:rsidRPr="00726EDA" w:rsidRDefault="00845C9A" w:rsidP="00726EDA">
      <w:pPr>
        <w:spacing w:before="100" w:beforeAutospacing="1" w:after="100" w:afterAutospacing="1" w:line="480" w:lineRule="auto"/>
        <w:jc w:val="both"/>
        <w:rPr>
          <w:rFonts w:ascii="Arial" w:hAnsi="Arial" w:cs="Arial"/>
          <w:sz w:val="22"/>
        </w:rPr>
      </w:pPr>
    </w:p>
    <w:p w14:paraId="5879E506" w14:textId="77777777" w:rsidR="00845C9A" w:rsidRPr="00726EDA" w:rsidRDefault="00845C9A" w:rsidP="00726EDA">
      <w:pPr>
        <w:spacing w:before="100" w:beforeAutospacing="1" w:after="100" w:afterAutospacing="1" w:line="480" w:lineRule="auto"/>
        <w:ind w:right="1229"/>
        <w:jc w:val="both"/>
        <w:rPr>
          <w:rFonts w:ascii="Arial" w:hAnsi="Arial" w:cs="Arial"/>
          <w:sz w:val="22"/>
        </w:rPr>
      </w:pPr>
    </w:p>
    <w:p w14:paraId="5753FC42" w14:textId="77777777" w:rsidR="00845C9A" w:rsidRPr="00726EDA" w:rsidRDefault="00845C9A" w:rsidP="00726EDA">
      <w:pPr>
        <w:spacing w:before="100" w:beforeAutospacing="1" w:after="100" w:afterAutospacing="1" w:line="480" w:lineRule="auto"/>
        <w:ind w:right="1229"/>
        <w:jc w:val="both"/>
        <w:rPr>
          <w:rFonts w:ascii="Arial" w:hAnsi="Arial" w:cs="Arial"/>
          <w:b/>
          <w:bCs/>
          <w:sz w:val="22"/>
        </w:rPr>
      </w:pPr>
      <w:r w:rsidRPr="00726EDA">
        <w:rPr>
          <w:rFonts w:ascii="Arial" w:hAnsi="Arial" w:cs="Arial"/>
          <w:b/>
          <w:bCs/>
          <w:sz w:val="22"/>
        </w:rPr>
        <w:t>Institute of Inner-City Learning Birmingham Campus</w:t>
      </w:r>
    </w:p>
    <w:p w14:paraId="2DA4AC01" w14:textId="77777777" w:rsidR="00D34004" w:rsidRPr="00726EDA" w:rsidRDefault="00D34004" w:rsidP="00726EDA">
      <w:pPr>
        <w:spacing w:before="100" w:beforeAutospacing="1" w:after="100" w:afterAutospacing="1" w:line="480" w:lineRule="auto"/>
        <w:ind w:right="1229"/>
        <w:jc w:val="both"/>
        <w:rPr>
          <w:rFonts w:ascii="Arial" w:hAnsi="Arial" w:cs="Arial"/>
          <w:b/>
          <w:bCs/>
          <w:sz w:val="22"/>
        </w:rPr>
      </w:pPr>
    </w:p>
    <w:p w14:paraId="159F7BE8" w14:textId="77777777" w:rsidR="00D34004" w:rsidRPr="00726EDA" w:rsidRDefault="00D34004" w:rsidP="00726EDA">
      <w:pPr>
        <w:spacing w:before="100" w:beforeAutospacing="1" w:after="100" w:afterAutospacing="1" w:line="480" w:lineRule="auto"/>
        <w:ind w:right="1229"/>
        <w:jc w:val="both"/>
        <w:rPr>
          <w:rFonts w:ascii="Arial" w:hAnsi="Arial" w:cs="Arial"/>
          <w:b/>
          <w:bCs/>
          <w:sz w:val="22"/>
        </w:rPr>
      </w:pPr>
    </w:p>
    <w:p w14:paraId="4C014B17" w14:textId="77777777" w:rsidR="00845C9A" w:rsidRPr="00726EDA" w:rsidRDefault="00845C9A" w:rsidP="00726EDA">
      <w:pPr>
        <w:pStyle w:val="BodyText"/>
        <w:spacing w:before="100" w:beforeAutospacing="1" w:after="100" w:afterAutospacing="1" w:line="480" w:lineRule="auto"/>
        <w:jc w:val="both"/>
        <w:rPr>
          <w:rFonts w:cs="Arial"/>
        </w:rPr>
      </w:pPr>
    </w:p>
    <w:p w14:paraId="70F2D71C" w14:textId="06F1EEA7" w:rsidR="00845C9A" w:rsidRPr="00726EDA" w:rsidRDefault="00845C9A" w:rsidP="00726EDA">
      <w:pPr>
        <w:spacing w:before="100" w:beforeAutospacing="1" w:after="100" w:afterAutospacing="1" w:line="480" w:lineRule="auto"/>
        <w:rPr>
          <w:rFonts w:ascii="Arial" w:hAnsi="Arial" w:cs="Arial"/>
          <w:b/>
          <w:bCs/>
          <w:sz w:val="22"/>
        </w:rPr>
      </w:pPr>
      <w:proofErr w:type="gramStart"/>
      <w:r w:rsidRPr="00726EDA">
        <w:rPr>
          <w:rFonts w:ascii="Arial" w:hAnsi="Arial" w:cs="Arial"/>
          <w:b/>
          <w:bCs/>
          <w:sz w:val="22"/>
        </w:rPr>
        <w:t>BSc(</w:t>
      </w:r>
      <w:proofErr w:type="gramEnd"/>
      <w:r w:rsidRPr="00726EDA">
        <w:rPr>
          <w:rFonts w:ascii="Arial" w:hAnsi="Arial" w:cs="Arial"/>
          <w:b/>
          <w:bCs/>
          <w:sz w:val="22"/>
        </w:rPr>
        <w:t>Hons)</w:t>
      </w:r>
      <w:r w:rsidR="00B857C7" w:rsidRPr="00726EDA">
        <w:rPr>
          <w:rFonts w:ascii="Arial" w:hAnsi="Arial" w:cs="Arial"/>
          <w:b/>
          <w:bCs/>
          <w:sz w:val="22"/>
        </w:rPr>
        <w:t xml:space="preserve"> </w:t>
      </w:r>
      <w:r w:rsidRPr="00726EDA">
        <w:rPr>
          <w:rFonts w:ascii="Arial" w:hAnsi="Arial" w:cs="Arial"/>
          <w:b/>
          <w:bCs/>
          <w:sz w:val="22"/>
        </w:rPr>
        <w:t>Health</w:t>
      </w:r>
      <w:r w:rsidR="00B857C7" w:rsidRPr="00726EDA">
        <w:rPr>
          <w:rFonts w:ascii="Arial" w:hAnsi="Arial" w:cs="Arial"/>
          <w:b/>
          <w:bCs/>
          <w:sz w:val="22"/>
        </w:rPr>
        <w:t xml:space="preserve"> </w:t>
      </w:r>
      <w:r w:rsidRPr="00726EDA">
        <w:rPr>
          <w:rFonts w:ascii="Arial" w:hAnsi="Arial" w:cs="Arial"/>
          <w:b/>
          <w:bCs/>
          <w:sz w:val="22"/>
        </w:rPr>
        <w:t>and Social Care</w:t>
      </w:r>
      <w:r w:rsidRPr="00726EDA">
        <w:rPr>
          <w:rFonts w:ascii="Arial" w:hAnsi="Arial" w:cs="Arial"/>
          <w:b/>
          <w:bCs/>
          <w:sz w:val="22"/>
        </w:rPr>
        <w:br/>
      </w:r>
    </w:p>
    <w:p w14:paraId="2F334821" w14:textId="77777777" w:rsidR="00845C9A" w:rsidRPr="00726EDA" w:rsidRDefault="00845C9A" w:rsidP="00726EDA">
      <w:pPr>
        <w:spacing w:before="100" w:beforeAutospacing="1" w:after="100" w:afterAutospacing="1" w:line="480" w:lineRule="auto"/>
        <w:jc w:val="both"/>
        <w:rPr>
          <w:rFonts w:ascii="Arial" w:hAnsi="Arial" w:cs="Arial"/>
          <w:sz w:val="22"/>
        </w:rPr>
      </w:pPr>
    </w:p>
    <w:p w14:paraId="5D62F6AC" w14:textId="77777777" w:rsidR="00845C9A" w:rsidRPr="00726EDA" w:rsidRDefault="00845C9A" w:rsidP="00726EDA">
      <w:pPr>
        <w:pStyle w:val="Heading1"/>
        <w:spacing w:before="100" w:beforeAutospacing="1" w:after="100" w:afterAutospacing="1" w:line="480" w:lineRule="auto"/>
        <w:jc w:val="both"/>
        <w:rPr>
          <w:rFonts w:ascii="Arial" w:hAnsi="Arial" w:cs="Arial"/>
          <w:sz w:val="22"/>
          <w:szCs w:val="22"/>
        </w:rPr>
      </w:pPr>
    </w:p>
    <w:p w14:paraId="5CA98672" w14:textId="77777777" w:rsidR="00845C9A" w:rsidRPr="00726EDA" w:rsidRDefault="00845C9A" w:rsidP="00726EDA">
      <w:pPr>
        <w:spacing w:before="100" w:beforeAutospacing="1" w:after="100" w:afterAutospacing="1" w:line="480" w:lineRule="auto"/>
        <w:jc w:val="both"/>
        <w:rPr>
          <w:rFonts w:ascii="Arial" w:eastAsia="Times New Roman" w:hAnsi="Arial" w:cs="Arial"/>
          <w:b/>
          <w:sz w:val="22"/>
        </w:rPr>
      </w:pPr>
    </w:p>
    <w:p w14:paraId="547593FC" w14:textId="77777777" w:rsidR="00845C9A" w:rsidRPr="00726EDA" w:rsidRDefault="00845C9A" w:rsidP="00726EDA">
      <w:pPr>
        <w:spacing w:before="100" w:beforeAutospacing="1" w:after="100" w:afterAutospacing="1" w:line="480" w:lineRule="auto"/>
        <w:jc w:val="both"/>
        <w:rPr>
          <w:rFonts w:ascii="Arial" w:eastAsia="Times New Roman" w:hAnsi="Arial" w:cs="Arial"/>
          <w:b/>
          <w:sz w:val="22"/>
        </w:rPr>
      </w:pPr>
    </w:p>
    <w:p w14:paraId="4A8A3CCD" w14:textId="77777777" w:rsidR="00845C9A" w:rsidRPr="00726EDA" w:rsidRDefault="00845C9A" w:rsidP="00726EDA">
      <w:pPr>
        <w:spacing w:before="100" w:beforeAutospacing="1" w:after="100" w:afterAutospacing="1" w:line="480" w:lineRule="auto"/>
        <w:jc w:val="both"/>
        <w:rPr>
          <w:rFonts w:ascii="Arial" w:eastAsia="Times New Roman" w:hAnsi="Arial" w:cs="Arial"/>
          <w:b/>
          <w:sz w:val="22"/>
        </w:rPr>
      </w:pPr>
    </w:p>
    <w:p w14:paraId="104401F7" w14:textId="77777777" w:rsidR="00B857C7" w:rsidRPr="00726EDA" w:rsidRDefault="00B857C7" w:rsidP="00726EDA">
      <w:pPr>
        <w:spacing w:before="100" w:beforeAutospacing="1" w:after="100" w:afterAutospacing="1" w:line="480" w:lineRule="auto"/>
        <w:jc w:val="both"/>
        <w:rPr>
          <w:rFonts w:ascii="Arial" w:eastAsia="Times New Roman" w:hAnsi="Arial" w:cs="Arial"/>
          <w:b/>
          <w:sz w:val="22"/>
        </w:rPr>
      </w:pPr>
    </w:p>
    <w:p w14:paraId="4A271818" w14:textId="77777777" w:rsidR="00B857C7" w:rsidRPr="00726EDA" w:rsidRDefault="00B857C7" w:rsidP="00726EDA">
      <w:pPr>
        <w:spacing w:before="100" w:beforeAutospacing="1" w:after="100" w:afterAutospacing="1" w:line="480" w:lineRule="auto"/>
        <w:jc w:val="both"/>
        <w:rPr>
          <w:rFonts w:ascii="Arial" w:eastAsia="Times New Roman" w:hAnsi="Arial" w:cs="Arial"/>
          <w:b/>
          <w:sz w:val="22"/>
        </w:rPr>
      </w:pPr>
    </w:p>
    <w:p w14:paraId="6E97A2CC" w14:textId="77777777" w:rsidR="00845C9A" w:rsidRPr="00726EDA" w:rsidRDefault="00845C9A" w:rsidP="00726EDA">
      <w:pPr>
        <w:spacing w:before="100" w:beforeAutospacing="1" w:after="100" w:afterAutospacing="1" w:line="480" w:lineRule="auto"/>
        <w:jc w:val="both"/>
        <w:rPr>
          <w:rFonts w:ascii="Arial" w:eastAsia="Times New Roman" w:hAnsi="Arial" w:cs="Arial"/>
          <w:b/>
          <w:sz w:val="22"/>
        </w:rPr>
      </w:pPr>
      <w:r w:rsidRPr="00726EDA">
        <w:rPr>
          <w:rFonts w:ascii="Arial" w:eastAsia="Times New Roman" w:hAnsi="Arial" w:cs="Arial"/>
          <w:b/>
          <w:sz w:val="22"/>
        </w:rPr>
        <w:lastRenderedPageBreak/>
        <w:t>DECLARATION</w:t>
      </w:r>
    </w:p>
    <w:p w14:paraId="4A4D4EB7"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This work has not previously been accepted in substance for any degree and is not being concurrently submitted in candidature for any degree</w:t>
      </w:r>
    </w:p>
    <w:p w14:paraId="12D19DD2" w14:textId="2EE8DC8B"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Signed…</w:t>
      </w:r>
      <w:r w:rsidR="00993B82" w:rsidRPr="00726EDA">
        <w:rPr>
          <w:rFonts w:ascii="Arial" w:eastAsia="Times New Roman" w:hAnsi="Arial" w:cs="Arial"/>
          <w:sz w:val="22"/>
        </w:rPr>
        <w:t>ZBRA</w:t>
      </w:r>
      <w:r w:rsidR="006A7274" w:rsidRPr="00726EDA">
        <w:rPr>
          <w:rFonts w:ascii="Arial" w:eastAsia="Times New Roman" w:hAnsi="Arial" w:cs="Arial"/>
          <w:sz w:val="22"/>
        </w:rPr>
        <w:t>N</w:t>
      </w:r>
      <w:r w:rsidR="00993B82" w:rsidRPr="00726EDA">
        <w:rPr>
          <w:rFonts w:ascii="Arial" w:eastAsia="Times New Roman" w:hAnsi="Arial" w:cs="Arial"/>
          <w:sz w:val="22"/>
        </w:rPr>
        <w:t xml:space="preserve">CA </w:t>
      </w:r>
      <w:r w:rsidRPr="00726EDA">
        <w:rPr>
          <w:rFonts w:ascii="Arial" w:eastAsia="Times New Roman" w:hAnsi="Arial" w:cs="Arial"/>
          <w:sz w:val="22"/>
        </w:rPr>
        <w:t>………………………………………</w:t>
      </w:r>
    </w:p>
    <w:p w14:paraId="0EA044E1" w14:textId="07D0C625"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Date……</w:t>
      </w:r>
      <w:r w:rsidR="00726EDA">
        <w:rPr>
          <w:rFonts w:ascii="Arial" w:eastAsia="Times New Roman" w:hAnsi="Arial" w:cs="Arial"/>
          <w:sz w:val="22"/>
        </w:rPr>
        <w:t>24.03.2026</w:t>
      </w:r>
      <w:r w:rsidRPr="00726EDA">
        <w:rPr>
          <w:rFonts w:ascii="Arial" w:eastAsia="Times New Roman" w:hAnsi="Arial" w:cs="Arial"/>
          <w:sz w:val="22"/>
        </w:rPr>
        <w:t>…………………………………………</w:t>
      </w:r>
    </w:p>
    <w:p w14:paraId="357F1912" w14:textId="77777777" w:rsidR="00845C9A" w:rsidRPr="00726EDA" w:rsidRDefault="00845C9A" w:rsidP="00726EDA">
      <w:pPr>
        <w:spacing w:before="100" w:beforeAutospacing="1" w:after="100" w:afterAutospacing="1" w:line="480" w:lineRule="auto"/>
        <w:jc w:val="both"/>
        <w:rPr>
          <w:rFonts w:ascii="Arial" w:eastAsia="Times New Roman" w:hAnsi="Arial" w:cs="Arial"/>
          <w:bCs/>
          <w:kern w:val="32"/>
          <w:sz w:val="22"/>
        </w:rPr>
      </w:pPr>
      <w:r w:rsidRPr="00726EDA">
        <w:rPr>
          <w:rFonts w:ascii="Arial" w:eastAsia="Times New Roman" w:hAnsi="Arial" w:cs="Arial"/>
          <w:b/>
          <w:sz w:val="22"/>
        </w:rPr>
        <w:t xml:space="preserve">STATEMENT 1 </w:t>
      </w:r>
    </w:p>
    <w:p w14:paraId="67F19D41" w14:textId="77777777" w:rsidR="00845C9A" w:rsidRPr="00726EDA" w:rsidRDefault="00845C9A" w:rsidP="00726EDA">
      <w:pPr>
        <w:spacing w:before="100" w:beforeAutospacing="1" w:after="100" w:afterAutospacing="1" w:line="480" w:lineRule="auto"/>
        <w:jc w:val="both"/>
        <w:rPr>
          <w:rFonts w:ascii="Arial" w:eastAsia="Times New Roman" w:hAnsi="Arial" w:cs="Arial"/>
          <w:kern w:val="2"/>
          <w:sz w:val="22"/>
        </w:rPr>
      </w:pPr>
      <w:r w:rsidRPr="00726EDA">
        <w:rPr>
          <w:rFonts w:ascii="Arial" w:eastAsia="Times New Roman" w:hAnsi="Arial" w:cs="Arial"/>
          <w:sz w:val="22"/>
        </w:rPr>
        <w:t>This dissertation is being submitted in partial fulfilment of the requirements for the degree of BSc.</w:t>
      </w:r>
    </w:p>
    <w:p w14:paraId="3B2ABF06" w14:textId="3D9A8CAB"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Signed……</w:t>
      </w:r>
      <w:r w:rsidR="00993B82" w:rsidRPr="00726EDA">
        <w:rPr>
          <w:rFonts w:ascii="Arial" w:eastAsia="Times New Roman" w:hAnsi="Arial" w:cs="Arial"/>
          <w:sz w:val="22"/>
        </w:rPr>
        <w:t>ZBRANCA</w:t>
      </w:r>
      <w:r w:rsidRPr="00726EDA">
        <w:rPr>
          <w:rFonts w:ascii="Arial" w:eastAsia="Times New Roman" w:hAnsi="Arial" w:cs="Arial"/>
          <w:sz w:val="22"/>
        </w:rPr>
        <w:t xml:space="preserve">………………………………………. </w:t>
      </w:r>
    </w:p>
    <w:p w14:paraId="71EF1F0B" w14:textId="7747EA28"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Date……………</w:t>
      </w:r>
      <w:r w:rsidR="00726EDA">
        <w:rPr>
          <w:rFonts w:ascii="Arial" w:eastAsia="Times New Roman" w:hAnsi="Arial" w:cs="Arial"/>
          <w:sz w:val="22"/>
        </w:rPr>
        <w:t>24.03.2026</w:t>
      </w:r>
      <w:r w:rsidRPr="00726EDA">
        <w:rPr>
          <w:rFonts w:ascii="Arial" w:eastAsia="Times New Roman" w:hAnsi="Arial" w:cs="Arial"/>
          <w:sz w:val="22"/>
        </w:rPr>
        <w:t>…………………………………</w:t>
      </w:r>
    </w:p>
    <w:p w14:paraId="7D86EF57"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b/>
          <w:sz w:val="22"/>
        </w:rPr>
        <w:t>STATEMENT 2</w:t>
      </w:r>
    </w:p>
    <w:p w14:paraId="3C98D0AC"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This dissertation is the result of my own independent work/investigation, except where otherwise stated. Other sources are acknowledged by footnotes giving explicit references.  A bibliography is appended.</w:t>
      </w:r>
    </w:p>
    <w:p w14:paraId="4D8A17E5" w14:textId="0BCE05E5"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Signed…</w:t>
      </w:r>
      <w:r w:rsidR="00993B82" w:rsidRPr="00726EDA">
        <w:rPr>
          <w:rFonts w:ascii="Arial" w:eastAsia="Times New Roman" w:hAnsi="Arial" w:cs="Arial"/>
          <w:sz w:val="22"/>
        </w:rPr>
        <w:t>ZBRANCA</w:t>
      </w:r>
      <w:r w:rsidRPr="00726EDA">
        <w:rPr>
          <w:rFonts w:ascii="Arial" w:eastAsia="Times New Roman" w:hAnsi="Arial" w:cs="Arial"/>
          <w:sz w:val="22"/>
        </w:rPr>
        <w:t>…………………………………………</w:t>
      </w:r>
    </w:p>
    <w:p w14:paraId="45C39BFC" w14:textId="64AD3442"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Date……</w:t>
      </w:r>
      <w:r w:rsidR="00726EDA">
        <w:rPr>
          <w:rFonts w:ascii="Arial" w:eastAsia="Times New Roman" w:hAnsi="Arial" w:cs="Arial"/>
          <w:sz w:val="22"/>
        </w:rPr>
        <w:t>24.03.2026</w:t>
      </w:r>
      <w:r w:rsidRPr="00726EDA">
        <w:rPr>
          <w:rFonts w:ascii="Arial" w:eastAsia="Times New Roman" w:hAnsi="Arial" w:cs="Arial"/>
          <w:sz w:val="22"/>
        </w:rPr>
        <w:t xml:space="preserve">………………………………………… </w:t>
      </w:r>
    </w:p>
    <w:p w14:paraId="7C43ECAF"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b/>
          <w:sz w:val="22"/>
        </w:rPr>
        <w:t>STATEMENT 3</w:t>
      </w:r>
    </w:p>
    <w:p w14:paraId="54DBE31E"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I hereby give consent for my dissertation, if accepted, to be available for photocopying and for interlibrary loan, and for the title and summary to be made available to outside organisations.</w:t>
      </w:r>
    </w:p>
    <w:p w14:paraId="12A4E552" w14:textId="24397456"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Signed……</w:t>
      </w:r>
      <w:r w:rsidR="00993B82" w:rsidRPr="00726EDA">
        <w:rPr>
          <w:rFonts w:ascii="Arial" w:eastAsia="Times New Roman" w:hAnsi="Arial" w:cs="Arial"/>
          <w:sz w:val="22"/>
        </w:rPr>
        <w:t>ZBRANCA</w:t>
      </w:r>
      <w:r w:rsidRPr="00726EDA">
        <w:rPr>
          <w:rFonts w:ascii="Arial" w:eastAsia="Times New Roman" w:hAnsi="Arial" w:cs="Arial"/>
          <w:sz w:val="22"/>
        </w:rPr>
        <w:t>…………………………………………</w:t>
      </w:r>
    </w:p>
    <w:p w14:paraId="5AFE3216" w14:textId="4FDFBB05" w:rsidR="00845C9A" w:rsidRPr="00726EDA" w:rsidRDefault="00845C9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lastRenderedPageBreak/>
        <w:t>Date……</w:t>
      </w:r>
      <w:r w:rsidR="00726EDA">
        <w:rPr>
          <w:rFonts w:ascii="Arial" w:eastAsia="Times New Roman" w:hAnsi="Arial" w:cs="Arial"/>
          <w:sz w:val="22"/>
        </w:rPr>
        <w:t>24.03.2026</w:t>
      </w:r>
      <w:r w:rsidRPr="00726EDA">
        <w:rPr>
          <w:rFonts w:ascii="Arial" w:eastAsia="Times New Roman" w:hAnsi="Arial" w:cs="Arial"/>
          <w:sz w:val="22"/>
        </w:rPr>
        <w:t>……………………………………………</w:t>
      </w:r>
    </w:p>
    <w:p w14:paraId="64D451C7" w14:textId="77777777" w:rsidR="00845C9A" w:rsidRPr="00726EDA" w:rsidRDefault="00845C9A" w:rsidP="00726EDA">
      <w:pPr>
        <w:spacing w:before="100" w:beforeAutospacing="1" w:after="100" w:afterAutospacing="1" w:line="480" w:lineRule="auto"/>
        <w:jc w:val="both"/>
        <w:rPr>
          <w:rFonts w:ascii="Arial" w:eastAsia="Times New Roman" w:hAnsi="Arial" w:cs="Arial"/>
          <w:b/>
          <w:sz w:val="22"/>
        </w:rPr>
      </w:pPr>
      <w:r w:rsidRPr="00726EDA">
        <w:rPr>
          <w:rFonts w:ascii="Arial" w:eastAsia="Times New Roman" w:hAnsi="Arial" w:cs="Arial"/>
          <w:b/>
          <w:sz w:val="22"/>
        </w:rPr>
        <w:t>STATEMENT 4</w:t>
      </w:r>
    </w:p>
    <w:p w14:paraId="40522CB0" w14:textId="77777777"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I hereby give consent for my dissertation, if accepted, to be available on the university’s IT system to those who have consent to use the system.</w:t>
      </w:r>
    </w:p>
    <w:p w14:paraId="2B893D45" w14:textId="343AF0B3" w:rsidR="00845C9A" w:rsidRPr="00726EDA" w:rsidRDefault="00845C9A" w:rsidP="00726EDA">
      <w:pPr>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Signed…</w:t>
      </w:r>
      <w:r w:rsidR="00993B82" w:rsidRPr="00726EDA">
        <w:rPr>
          <w:rFonts w:ascii="Arial" w:eastAsia="Times New Roman" w:hAnsi="Arial" w:cs="Arial"/>
          <w:sz w:val="22"/>
        </w:rPr>
        <w:t>ZBRANCA</w:t>
      </w:r>
      <w:r w:rsidRPr="00726EDA">
        <w:rPr>
          <w:rFonts w:ascii="Arial" w:eastAsia="Times New Roman" w:hAnsi="Arial" w:cs="Arial"/>
          <w:sz w:val="22"/>
        </w:rPr>
        <w:t>……………………………………………</w:t>
      </w:r>
    </w:p>
    <w:p w14:paraId="4B005808" w14:textId="5E78129D" w:rsidR="00845C9A" w:rsidRPr="00726EDA" w:rsidRDefault="00845C9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r w:rsidRPr="00726EDA">
        <w:rPr>
          <w:rFonts w:ascii="Arial" w:eastAsia="Times New Roman" w:hAnsi="Arial" w:cs="Arial"/>
          <w:sz w:val="22"/>
        </w:rPr>
        <w:t>Date……</w:t>
      </w:r>
      <w:r w:rsidR="00726EDA">
        <w:rPr>
          <w:rFonts w:ascii="Arial" w:eastAsia="Times New Roman" w:hAnsi="Arial" w:cs="Arial"/>
          <w:sz w:val="22"/>
        </w:rPr>
        <w:t>24.03.2026</w:t>
      </w:r>
      <w:r w:rsidRPr="00726EDA">
        <w:rPr>
          <w:rFonts w:ascii="Arial" w:eastAsia="Times New Roman" w:hAnsi="Arial" w:cs="Arial"/>
          <w:sz w:val="22"/>
        </w:rPr>
        <w:t>……………………………………………</w:t>
      </w:r>
    </w:p>
    <w:p w14:paraId="6FB5F7EA" w14:textId="77777777" w:rsidR="00993B82" w:rsidRPr="00726EDA" w:rsidRDefault="00993B82"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73E0AA39" w14:textId="77777777" w:rsidR="00993B82" w:rsidRDefault="00993B82"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1FDBC687"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5BD0C1D4"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4E0D944D"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4AFDBB60"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379AE465"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3AAA99D3"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3B552B19" w14:textId="77777777" w:rsid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6F37AF01" w14:textId="77777777" w:rsidR="00726EDA" w:rsidRPr="00726EDA" w:rsidRDefault="00726EDA" w:rsidP="00726ED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Times New Roman" w:hAnsi="Arial" w:cs="Arial"/>
          <w:sz w:val="22"/>
        </w:rPr>
      </w:pPr>
    </w:p>
    <w:p w14:paraId="7DF4CB76" w14:textId="77777777" w:rsidR="00845C9A" w:rsidRDefault="00845C9A" w:rsidP="00726EDA">
      <w:pPr>
        <w:pStyle w:val="Heading2"/>
        <w:spacing w:before="100" w:beforeAutospacing="1" w:after="100" w:afterAutospacing="1" w:line="480" w:lineRule="auto"/>
        <w:jc w:val="both"/>
        <w:rPr>
          <w:rFonts w:ascii="Arial" w:hAnsi="Arial" w:cs="Arial"/>
          <w:b/>
          <w:bCs/>
          <w:color w:val="000000" w:themeColor="text1"/>
          <w:sz w:val="22"/>
          <w:szCs w:val="22"/>
        </w:rPr>
      </w:pPr>
    </w:p>
    <w:p w14:paraId="5E8FBF13" w14:textId="77777777" w:rsidR="00520371" w:rsidRDefault="00520371" w:rsidP="00520371"/>
    <w:p w14:paraId="24C70496" w14:textId="77777777" w:rsidR="00520371" w:rsidRPr="00520371" w:rsidRDefault="00520371" w:rsidP="00520371"/>
    <w:p w14:paraId="228CE08B" w14:textId="5514119E" w:rsidR="00FB6ECD" w:rsidRPr="00726EDA" w:rsidRDefault="00FB6ECD" w:rsidP="00726EDA">
      <w:pPr>
        <w:pStyle w:val="Title"/>
        <w:spacing w:before="100" w:beforeAutospacing="1" w:after="100" w:afterAutospacing="1" w:line="480" w:lineRule="auto"/>
        <w:rPr>
          <w:rFonts w:ascii="Arial" w:hAnsi="Arial" w:cs="Arial"/>
          <w:b/>
          <w:bCs/>
          <w:sz w:val="22"/>
          <w:szCs w:val="22"/>
        </w:rPr>
      </w:pPr>
      <w:r w:rsidRPr="00726EDA">
        <w:rPr>
          <w:rFonts w:ascii="Arial" w:hAnsi="Arial" w:cs="Arial"/>
          <w:b/>
          <w:bCs/>
          <w:sz w:val="22"/>
          <w:szCs w:val="22"/>
        </w:rPr>
        <w:lastRenderedPageBreak/>
        <w:t>Exploring the Challenges of Safeguarding Children from Social Media-Related Risks in the UK</w:t>
      </w:r>
    </w:p>
    <w:p w14:paraId="6D3A6CBE"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756A9A19" w14:textId="2F1610CA" w:rsidR="008970A6" w:rsidRPr="00726EDA" w:rsidRDefault="008970A6" w:rsidP="00726EDA">
      <w:pPr>
        <w:spacing w:before="100" w:beforeAutospacing="1" w:after="100" w:afterAutospacing="1" w:line="480" w:lineRule="auto"/>
        <w:jc w:val="both"/>
        <w:rPr>
          <w:rFonts w:ascii="Arial" w:hAnsi="Arial" w:cs="Arial"/>
          <w:sz w:val="22"/>
        </w:rPr>
      </w:pPr>
      <w:r w:rsidRPr="00726EDA">
        <w:rPr>
          <w:rFonts w:ascii="Arial" w:hAnsi="Arial" w:cs="Arial"/>
          <w:b/>
          <w:bCs/>
          <w:sz w:val="22"/>
        </w:rPr>
        <w:t xml:space="preserve">                         Student ID</w:t>
      </w:r>
      <w:r w:rsidRPr="00726EDA">
        <w:rPr>
          <w:rFonts w:ascii="Arial" w:hAnsi="Arial" w:cs="Arial"/>
          <w:sz w:val="22"/>
        </w:rPr>
        <w:t>: 2241533</w:t>
      </w:r>
    </w:p>
    <w:p w14:paraId="15A6B2A3"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371FCCF0" w14:textId="0E8F21C9" w:rsidR="008970A6" w:rsidRPr="00726EDA" w:rsidRDefault="008970A6" w:rsidP="00726EDA">
      <w:pPr>
        <w:spacing w:before="100" w:beforeAutospacing="1" w:after="100" w:afterAutospacing="1" w:line="480" w:lineRule="auto"/>
        <w:jc w:val="both"/>
        <w:rPr>
          <w:rFonts w:ascii="Arial" w:hAnsi="Arial" w:cs="Arial"/>
          <w:sz w:val="22"/>
        </w:rPr>
      </w:pPr>
      <w:r w:rsidRPr="00726EDA">
        <w:rPr>
          <w:rFonts w:ascii="Arial" w:hAnsi="Arial" w:cs="Arial"/>
          <w:b/>
          <w:bCs/>
          <w:sz w:val="22"/>
        </w:rPr>
        <w:t xml:space="preserve">                     Student Name</w:t>
      </w:r>
      <w:r w:rsidRPr="00726EDA">
        <w:rPr>
          <w:rFonts w:ascii="Arial" w:hAnsi="Arial" w:cs="Arial"/>
          <w:sz w:val="22"/>
        </w:rPr>
        <w:t xml:space="preserve">: Maria Alexandra </w:t>
      </w:r>
      <w:proofErr w:type="spellStart"/>
      <w:r w:rsidRPr="00726EDA">
        <w:rPr>
          <w:rFonts w:ascii="Arial" w:hAnsi="Arial" w:cs="Arial"/>
          <w:sz w:val="22"/>
        </w:rPr>
        <w:t>Zbranca</w:t>
      </w:r>
      <w:proofErr w:type="spellEnd"/>
    </w:p>
    <w:p w14:paraId="66D2F882" w14:textId="77777777" w:rsidR="003F074A" w:rsidRPr="00726EDA" w:rsidRDefault="003F074A" w:rsidP="00726EDA">
      <w:pPr>
        <w:spacing w:before="100" w:beforeAutospacing="1" w:after="100" w:afterAutospacing="1" w:line="480" w:lineRule="auto"/>
        <w:jc w:val="both"/>
        <w:rPr>
          <w:rFonts w:ascii="Arial" w:hAnsi="Arial" w:cs="Arial"/>
          <w:sz w:val="22"/>
        </w:rPr>
      </w:pPr>
    </w:p>
    <w:p w14:paraId="6580CA98"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0619A4E7" w14:textId="77777777" w:rsidR="00BC5DD2" w:rsidRPr="00726EDA" w:rsidRDefault="00BC5DD2" w:rsidP="00726E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100" w:beforeAutospacing="1" w:after="100" w:afterAutospacing="1" w:line="480" w:lineRule="auto"/>
        <w:jc w:val="both"/>
        <w:rPr>
          <w:rFonts w:ascii="Arial" w:eastAsia="Arial Unicode MS" w:hAnsi="Arial" w:cs="Arial"/>
          <w:b/>
          <w:bCs/>
          <w:sz w:val="22"/>
        </w:rPr>
      </w:pPr>
      <w:r w:rsidRPr="00726EDA">
        <w:rPr>
          <w:rFonts w:ascii="Arial" w:eastAsia="Arial Unicode MS" w:hAnsi="Arial" w:cs="Arial"/>
          <w:b/>
          <w:bCs/>
          <w:sz w:val="22"/>
        </w:rPr>
        <w:t>Dissertation submitted as part of the requirements for the award BSc (Hons) Health and Social Care</w:t>
      </w:r>
    </w:p>
    <w:p w14:paraId="4345ED26" w14:textId="77777777" w:rsidR="008970A6" w:rsidRPr="00726EDA" w:rsidRDefault="008970A6" w:rsidP="00726EDA">
      <w:pPr>
        <w:spacing w:before="100" w:beforeAutospacing="1" w:after="100" w:afterAutospacing="1" w:line="480" w:lineRule="auto"/>
        <w:jc w:val="both"/>
        <w:rPr>
          <w:rFonts w:ascii="Arial" w:hAnsi="Arial" w:cs="Arial"/>
          <w:b/>
          <w:bCs/>
          <w:sz w:val="22"/>
        </w:rPr>
      </w:pPr>
    </w:p>
    <w:p w14:paraId="7669DF5A"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64ABFB4D"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5DB17D76"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0D46CFB2" w14:textId="77777777" w:rsidR="00AC440A" w:rsidRDefault="00AC440A" w:rsidP="00726EDA">
      <w:pPr>
        <w:spacing w:before="100" w:beforeAutospacing="1" w:after="100" w:afterAutospacing="1" w:line="480" w:lineRule="auto"/>
        <w:jc w:val="both"/>
        <w:rPr>
          <w:rFonts w:ascii="Arial" w:hAnsi="Arial" w:cs="Arial"/>
          <w:b/>
          <w:bCs/>
          <w:sz w:val="22"/>
        </w:rPr>
      </w:pPr>
    </w:p>
    <w:p w14:paraId="7F2EC3CD" w14:textId="77777777" w:rsidR="00520371" w:rsidRDefault="00520371" w:rsidP="00726EDA">
      <w:pPr>
        <w:spacing w:before="100" w:beforeAutospacing="1" w:after="100" w:afterAutospacing="1" w:line="480" w:lineRule="auto"/>
        <w:jc w:val="both"/>
        <w:rPr>
          <w:rFonts w:ascii="Arial" w:hAnsi="Arial" w:cs="Arial"/>
          <w:b/>
          <w:bCs/>
          <w:sz w:val="22"/>
        </w:rPr>
      </w:pPr>
    </w:p>
    <w:p w14:paraId="55883749" w14:textId="77777777" w:rsidR="00520371" w:rsidRDefault="00520371" w:rsidP="00726EDA">
      <w:pPr>
        <w:spacing w:before="100" w:beforeAutospacing="1" w:after="100" w:afterAutospacing="1" w:line="480" w:lineRule="auto"/>
        <w:jc w:val="both"/>
        <w:rPr>
          <w:rFonts w:ascii="Arial" w:hAnsi="Arial" w:cs="Arial"/>
          <w:b/>
          <w:bCs/>
          <w:sz w:val="22"/>
        </w:rPr>
      </w:pPr>
    </w:p>
    <w:p w14:paraId="3BB0D2F3" w14:textId="77777777" w:rsidR="00520371" w:rsidRDefault="00520371" w:rsidP="00726EDA">
      <w:pPr>
        <w:spacing w:before="100" w:beforeAutospacing="1" w:after="100" w:afterAutospacing="1" w:line="480" w:lineRule="auto"/>
        <w:jc w:val="both"/>
        <w:rPr>
          <w:rFonts w:ascii="Arial" w:hAnsi="Arial" w:cs="Arial"/>
          <w:b/>
          <w:bCs/>
          <w:sz w:val="22"/>
        </w:rPr>
      </w:pPr>
    </w:p>
    <w:p w14:paraId="61195BA6" w14:textId="77777777" w:rsidR="00520371" w:rsidRPr="00726EDA" w:rsidRDefault="00520371" w:rsidP="00726EDA">
      <w:pPr>
        <w:spacing w:before="100" w:beforeAutospacing="1" w:after="100" w:afterAutospacing="1" w:line="480" w:lineRule="auto"/>
        <w:jc w:val="both"/>
        <w:rPr>
          <w:rFonts w:ascii="Arial" w:hAnsi="Arial" w:cs="Arial"/>
          <w:b/>
          <w:bCs/>
          <w:sz w:val="22"/>
        </w:rPr>
      </w:pPr>
    </w:p>
    <w:p w14:paraId="0395B17C" w14:textId="77777777" w:rsidR="00000694" w:rsidRPr="00726EDA" w:rsidRDefault="00000694" w:rsidP="00726EDA">
      <w:pPr>
        <w:spacing w:before="100" w:beforeAutospacing="1" w:after="100" w:afterAutospacing="1" w:line="480" w:lineRule="auto"/>
        <w:jc w:val="both"/>
        <w:rPr>
          <w:rFonts w:ascii="Arial" w:hAnsi="Arial" w:cs="Arial"/>
          <w:b/>
          <w:bCs/>
          <w:sz w:val="22"/>
        </w:rPr>
      </w:pPr>
      <w:r w:rsidRPr="00726EDA">
        <w:rPr>
          <w:rFonts w:ascii="Arial" w:hAnsi="Arial" w:cs="Arial"/>
          <w:b/>
          <w:bCs/>
          <w:sz w:val="22"/>
        </w:rPr>
        <w:lastRenderedPageBreak/>
        <w:t>ACKNOWLEDGEMENTS</w:t>
      </w:r>
    </w:p>
    <w:p w14:paraId="20C69F0A" w14:textId="77777777" w:rsidR="00000694" w:rsidRPr="00726EDA" w:rsidRDefault="00000694" w:rsidP="00726EDA">
      <w:pPr>
        <w:spacing w:before="100" w:beforeAutospacing="1" w:after="100" w:afterAutospacing="1" w:line="480" w:lineRule="auto"/>
        <w:jc w:val="both"/>
        <w:rPr>
          <w:rFonts w:ascii="Arial" w:hAnsi="Arial" w:cs="Arial"/>
          <w:sz w:val="22"/>
        </w:rPr>
      </w:pPr>
    </w:p>
    <w:p w14:paraId="50ECF334" w14:textId="5839CA76" w:rsidR="00FC77CE" w:rsidRPr="00726EDA" w:rsidRDefault="0096060E" w:rsidP="00726EDA">
      <w:pPr>
        <w:spacing w:before="100" w:beforeAutospacing="1" w:after="100" w:afterAutospacing="1" w:line="480" w:lineRule="auto"/>
        <w:jc w:val="both"/>
        <w:rPr>
          <w:rFonts w:ascii="Arial" w:hAnsi="Arial" w:cs="Arial"/>
          <w:sz w:val="22"/>
        </w:rPr>
      </w:pPr>
      <w:r w:rsidRPr="00726EDA">
        <w:rPr>
          <w:rFonts w:ascii="Arial" w:hAnsi="Arial" w:cs="Arial"/>
          <w:sz w:val="22"/>
        </w:rPr>
        <w:t>I would like to thank my dissertation lecturer for the guidance and constructive feedback throughout this research project. I</w:t>
      </w:r>
      <w:r w:rsidR="00000694" w:rsidRPr="00726EDA">
        <w:rPr>
          <w:rFonts w:ascii="Arial" w:hAnsi="Arial" w:cs="Arial"/>
          <w:sz w:val="22"/>
        </w:rPr>
        <w:t xml:space="preserve"> am also grateful to the university library staff for their support in accessing academic resources, and to my family for their encouragement during the completion of this dissertation.</w:t>
      </w:r>
    </w:p>
    <w:p w14:paraId="46CE897D" w14:textId="77777777" w:rsidR="00FC77CE" w:rsidRPr="00726EDA" w:rsidRDefault="00FC77CE" w:rsidP="00726EDA">
      <w:pPr>
        <w:spacing w:before="100" w:beforeAutospacing="1" w:after="100" w:afterAutospacing="1" w:line="480" w:lineRule="auto"/>
        <w:jc w:val="both"/>
        <w:rPr>
          <w:rFonts w:ascii="Arial" w:hAnsi="Arial" w:cs="Arial"/>
          <w:sz w:val="22"/>
        </w:rPr>
      </w:pPr>
    </w:p>
    <w:p w14:paraId="588BA516"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13563478"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2372ABDF"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6989C8D1"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31D71137"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2B640111"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5B8D1ED5"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17579DAB"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4E266A7A" w14:textId="77777777" w:rsidR="00B4251D" w:rsidRPr="00726EDA"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58ACC979" w14:textId="77777777" w:rsidR="00B4251D" w:rsidRDefault="00B4251D" w:rsidP="00726EDA">
      <w:pPr>
        <w:spacing w:before="100" w:beforeAutospacing="1" w:after="100" w:afterAutospacing="1" w:line="480" w:lineRule="auto"/>
        <w:jc w:val="both"/>
        <w:outlineLvl w:val="1"/>
        <w:rPr>
          <w:rFonts w:ascii="Arial" w:eastAsia="Times New Roman" w:hAnsi="Arial" w:cs="Arial"/>
          <w:b/>
          <w:bCs/>
          <w:sz w:val="22"/>
          <w:lang w:eastAsia="en-GB"/>
        </w:rPr>
      </w:pPr>
    </w:p>
    <w:p w14:paraId="6E576122" w14:textId="77777777" w:rsidR="00520371" w:rsidRDefault="00520371" w:rsidP="00726EDA">
      <w:pPr>
        <w:spacing w:before="100" w:beforeAutospacing="1" w:after="100" w:afterAutospacing="1" w:line="480" w:lineRule="auto"/>
        <w:jc w:val="both"/>
        <w:outlineLvl w:val="1"/>
        <w:rPr>
          <w:rFonts w:ascii="Arial" w:eastAsia="Times New Roman" w:hAnsi="Arial" w:cs="Arial"/>
          <w:b/>
          <w:bCs/>
          <w:sz w:val="22"/>
          <w:lang w:eastAsia="en-GB"/>
        </w:rPr>
      </w:pPr>
    </w:p>
    <w:p w14:paraId="2229F508" w14:textId="77777777" w:rsidR="00520371" w:rsidRPr="00726EDA" w:rsidRDefault="00520371" w:rsidP="00726EDA">
      <w:pPr>
        <w:spacing w:before="100" w:beforeAutospacing="1" w:after="100" w:afterAutospacing="1" w:line="480" w:lineRule="auto"/>
        <w:jc w:val="both"/>
        <w:outlineLvl w:val="1"/>
        <w:rPr>
          <w:rFonts w:ascii="Arial" w:eastAsia="Times New Roman" w:hAnsi="Arial" w:cs="Arial"/>
          <w:b/>
          <w:bCs/>
          <w:sz w:val="22"/>
          <w:lang w:eastAsia="en-GB"/>
        </w:rPr>
      </w:pPr>
    </w:p>
    <w:p w14:paraId="1E3AA0B8" w14:textId="77777777" w:rsidR="00635D1C" w:rsidRPr="00726EDA" w:rsidRDefault="00635D1C"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lastRenderedPageBreak/>
        <w:t>ABSTRACT</w:t>
      </w:r>
    </w:p>
    <w:p w14:paraId="4A348424" w14:textId="77777777" w:rsidR="00635D1C" w:rsidRPr="00726EDA" w:rsidRDefault="00635D1C" w:rsidP="00726EDA">
      <w:pPr>
        <w:spacing w:before="100" w:beforeAutospacing="1" w:after="100" w:afterAutospacing="1" w:line="480" w:lineRule="auto"/>
        <w:jc w:val="both"/>
        <w:rPr>
          <w:rFonts w:ascii="Arial" w:eastAsia="Times New Roman" w:hAnsi="Arial" w:cs="Arial"/>
          <w:sz w:val="22"/>
          <w:lang w:eastAsia="en-GB"/>
        </w:rPr>
      </w:pPr>
    </w:p>
    <w:p w14:paraId="2B2A0DBE" w14:textId="7475E6B2" w:rsidR="00635D1C" w:rsidRPr="00726EDA" w:rsidRDefault="00635D1C"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dissertation explores the challenges associated with safeguarding children from social-media-related risks in the United Kingdom and evaluates the effectiveness of current protective responses within education, legislation and regulatory frameworks. The study aims to identify key online risks affecting children, assess the roles of safeguarding professionals and parents, and critically examine the effectiveness of national policy measures. This research is important within health and social care as online harm has been increasingly linked to children’s mental wellbeing, safety and long-term development.</w:t>
      </w:r>
    </w:p>
    <w:p w14:paraId="075DFBE8" w14:textId="77777777" w:rsidR="00635D1C" w:rsidRPr="00726EDA" w:rsidRDefault="00635D1C"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 qualitative secondary research design was adopted. A structured desk-based search strategy was applied across academic databases, Google Scholar and official UK sources, including the Department for Education, Ofcom, NSPCC and Ofsted. Sources were selected using predefined inclusion and exclusion criteria and evaluated for credibility using the CRAAP framework. Data were synthesised using thematic analysis following Braun and Clarke’s six-stage approach.</w:t>
      </w:r>
    </w:p>
    <w:p w14:paraId="58F063BA" w14:textId="57F89D62" w:rsidR="00635D1C" w:rsidRPr="00726EDA" w:rsidRDefault="005D4FFF"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Three core themes emerged from the analysis: forms and prevalence of online harm affecting children in the UK; the effectiveness of safeguarding frameworks and professional responses in the UK; and structural and systemic barriers to effective online safeguarding in the UK.</w:t>
      </w:r>
    </w:p>
    <w:p w14:paraId="45F615EF" w14:textId="77777777" w:rsidR="00726EDA" w:rsidRDefault="00635D1C"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Limitations include reliance on secondary data and the rapidly evolving nature of digital platforms, which may affect the longevity of findings. The dissertation concludes that safeguarding children online requires coordinated, preventative responses across education, regulation and community settings. Recommendations are proposed to strengthen professional training, enhance school-based digital safeguarding education, and improve regulatory enforcement and public awareness initiatives.</w:t>
      </w:r>
    </w:p>
    <w:p w14:paraId="1965F2BA" w14:textId="0ECE2440" w:rsidR="0054553F" w:rsidRPr="00520371" w:rsidRDefault="0054553F" w:rsidP="00726EDA">
      <w:pPr>
        <w:spacing w:before="100" w:beforeAutospacing="1" w:after="100" w:afterAutospacing="1" w:line="480" w:lineRule="auto"/>
        <w:jc w:val="both"/>
        <w:rPr>
          <w:rFonts w:ascii="Arial" w:eastAsia="Times New Roman" w:hAnsi="Arial" w:cs="Arial"/>
          <w:sz w:val="22"/>
          <w:lang w:eastAsia="en-GB"/>
        </w:rPr>
      </w:pPr>
      <w:r w:rsidRPr="00520371">
        <w:rPr>
          <w:rFonts w:ascii="Arial" w:hAnsi="Arial" w:cs="Arial"/>
          <w:b/>
          <w:bCs/>
          <w:sz w:val="22"/>
        </w:rPr>
        <w:lastRenderedPageBreak/>
        <w:t>TABLE OF CONTENTS</w:t>
      </w:r>
    </w:p>
    <w:p w14:paraId="79859AC4" w14:textId="531F30F9"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Abstract</w:t>
      </w:r>
    </w:p>
    <w:p w14:paraId="324A8189" w14:textId="61339DB2"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Acknowledgements </w:t>
      </w:r>
    </w:p>
    <w:p w14:paraId="24D475F6" w14:textId="79D1F4E7"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Chapter 1: Introduction and Research Aim </w:t>
      </w:r>
    </w:p>
    <w:p w14:paraId="6B237615" w14:textId="3A6D3EB7"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Chapter 2: Background and Literature Review </w:t>
      </w:r>
    </w:p>
    <w:p w14:paraId="29E2F222" w14:textId="088EF559"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Chapter 3: Methodology </w:t>
      </w:r>
    </w:p>
    <w:p w14:paraId="1326719D" w14:textId="3F5F89E5"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Chapter 4: Findings and Discussion </w:t>
      </w:r>
    </w:p>
    <w:p w14:paraId="11283947" w14:textId="365C7109"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Chapter 5: Conclusions and Recommendations </w:t>
      </w:r>
    </w:p>
    <w:p w14:paraId="1B9E3F4F" w14:textId="2E653B0D" w:rsidR="0054553F"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References </w:t>
      </w:r>
    </w:p>
    <w:p w14:paraId="5B00723C" w14:textId="61C9730C" w:rsidR="008970A6" w:rsidRPr="00520371" w:rsidRDefault="0054553F" w:rsidP="00726EDA">
      <w:pPr>
        <w:spacing w:before="100" w:beforeAutospacing="1" w:after="100" w:afterAutospacing="1" w:line="480" w:lineRule="auto"/>
        <w:jc w:val="both"/>
        <w:rPr>
          <w:rFonts w:ascii="Arial" w:hAnsi="Arial" w:cs="Arial"/>
          <w:sz w:val="22"/>
        </w:rPr>
      </w:pPr>
      <w:r w:rsidRPr="00520371">
        <w:rPr>
          <w:rFonts w:ascii="Arial" w:hAnsi="Arial" w:cs="Arial"/>
          <w:sz w:val="22"/>
        </w:rPr>
        <w:t xml:space="preserve">Appendix A: Results Summary Table </w:t>
      </w:r>
    </w:p>
    <w:p w14:paraId="1B7C2BB6"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3E4320BA"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532B1FEA"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5CF88507"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01AA2BF0"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37DE4DCA" w14:textId="77777777" w:rsidR="000C542A" w:rsidRPr="00726EDA" w:rsidRDefault="000C542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1EBC3CF2" w14:textId="77777777" w:rsidR="00726EDA" w:rsidRDefault="00726EDA"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76E93B5A" w14:textId="77777777" w:rsidR="00520371" w:rsidRPr="00726EDA" w:rsidRDefault="00520371" w:rsidP="00726EDA">
      <w:pPr>
        <w:spacing w:before="100" w:beforeAutospacing="1" w:after="100" w:afterAutospacing="1" w:line="480" w:lineRule="auto"/>
        <w:jc w:val="both"/>
        <w:outlineLvl w:val="0"/>
        <w:rPr>
          <w:rFonts w:ascii="Arial" w:eastAsia="Times New Roman" w:hAnsi="Arial" w:cs="Arial"/>
          <w:b/>
          <w:bCs/>
          <w:kern w:val="36"/>
          <w:sz w:val="22"/>
          <w:lang w:eastAsia="en-GB"/>
        </w:rPr>
      </w:pPr>
    </w:p>
    <w:p w14:paraId="546AE6EA" w14:textId="7356F69A" w:rsidR="008970A6" w:rsidRPr="00726EDA" w:rsidRDefault="008970A6"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lastRenderedPageBreak/>
        <w:t>Chapter 1: Introduction, Context and Research Aim</w:t>
      </w:r>
    </w:p>
    <w:p w14:paraId="2429813E" w14:textId="77777777" w:rsidR="008970A6" w:rsidRPr="00726EDA" w:rsidRDefault="008970A6" w:rsidP="00726EDA">
      <w:pPr>
        <w:spacing w:before="100" w:beforeAutospacing="1" w:after="100" w:afterAutospacing="1" w:line="480" w:lineRule="auto"/>
        <w:jc w:val="both"/>
        <w:rPr>
          <w:rFonts w:ascii="Arial" w:hAnsi="Arial" w:cs="Arial"/>
          <w:kern w:val="2"/>
          <w:sz w:val="22"/>
          <w14:ligatures w14:val="standardContextual"/>
        </w:rPr>
      </w:pPr>
    </w:p>
    <w:p w14:paraId="674FE004" w14:textId="77777777" w:rsidR="008970A6" w:rsidRPr="00726EDA" w:rsidRDefault="008970A6" w:rsidP="00726EDA">
      <w:pPr>
        <w:keepNext/>
        <w:keepLines/>
        <w:spacing w:before="100" w:beforeAutospacing="1" w:after="100" w:afterAutospacing="1" w:line="480" w:lineRule="auto"/>
        <w:jc w:val="both"/>
        <w:outlineLvl w:val="1"/>
        <w:rPr>
          <w:rFonts w:ascii="Arial" w:eastAsiaTheme="majorEastAsia" w:hAnsi="Arial" w:cs="Arial"/>
          <w:b/>
          <w:bCs/>
          <w:color w:val="000000" w:themeColor="text1"/>
          <w:kern w:val="2"/>
          <w:sz w:val="22"/>
          <w14:ligatures w14:val="standardContextual"/>
        </w:rPr>
      </w:pPr>
      <w:r w:rsidRPr="00726EDA">
        <w:rPr>
          <w:rFonts w:ascii="Arial" w:eastAsiaTheme="majorEastAsia" w:hAnsi="Arial" w:cs="Arial"/>
          <w:b/>
          <w:bCs/>
          <w:color w:val="000000" w:themeColor="text1"/>
          <w:kern w:val="2"/>
          <w:sz w:val="22"/>
          <w14:ligatures w14:val="standardContextual"/>
        </w:rPr>
        <w:t>My project title: Exploring the Challenges of Safeguarding Children from Social Media-Related Risks in the UK.</w:t>
      </w:r>
    </w:p>
    <w:p w14:paraId="7E51F801" w14:textId="77777777" w:rsidR="008970A6" w:rsidRPr="00726EDA" w:rsidRDefault="008970A6" w:rsidP="00726EDA">
      <w:pPr>
        <w:spacing w:before="100" w:beforeAutospacing="1" w:after="100" w:afterAutospacing="1" w:line="480" w:lineRule="auto"/>
        <w:jc w:val="both"/>
        <w:rPr>
          <w:rFonts w:ascii="Arial" w:hAnsi="Arial" w:cs="Arial"/>
          <w:kern w:val="2"/>
          <w:sz w:val="22"/>
          <w14:ligatures w14:val="standardContextual"/>
        </w:rPr>
      </w:pPr>
    </w:p>
    <w:p w14:paraId="29A4368D" w14:textId="77777777" w:rsidR="008970A6" w:rsidRPr="00726EDA" w:rsidRDefault="008970A6" w:rsidP="00726EDA">
      <w:pPr>
        <w:numPr>
          <w:ilvl w:val="1"/>
          <w:numId w:val="1"/>
        </w:numPr>
        <w:spacing w:before="100" w:beforeAutospacing="1" w:after="100" w:afterAutospacing="1" w:line="480" w:lineRule="auto"/>
        <w:contextualSpacing/>
        <w:jc w:val="both"/>
        <w:rPr>
          <w:rFonts w:ascii="Arial" w:hAnsi="Arial" w:cs="Arial"/>
          <w:color w:val="111827"/>
          <w:kern w:val="2"/>
          <w:sz w:val="22"/>
          <w:shd w:val="clear" w:color="auto" w:fill="FFFFFF"/>
          <w14:ligatures w14:val="standardContextual"/>
        </w:rPr>
      </w:pPr>
      <w:r w:rsidRPr="00726EDA">
        <w:rPr>
          <w:rFonts w:ascii="Arial" w:hAnsi="Arial" w:cs="Arial"/>
          <w:b/>
          <w:bCs/>
          <w:color w:val="111827"/>
          <w:kern w:val="2"/>
          <w:sz w:val="22"/>
          <w:shd w:val="clear" w:color="auto" w:fill="FFFFFF"/>
          <w14:ligatures w14:val="standardContextual"/>
        </w:rPr>
        <w:t>Introduction</w:t>
      </w:r>
    </w:p>
    <w:p w14:paraId="1BCD8030" w14:textId="77777777" w:rsidR="008970A6" w:rsidRPr="00726EDA" w:rsidRDefault="008970A6" w:rsidP="00726EDA">
      <w:pPr>
        <w:spacing w:before="100" w:beforeAutospacing="1" w:after="100" w:afterAutospacing="1" w:line="480" w:lineRule="auto"/>
        <w:ind w:left="360"/>
        <w:contextualSpacing/>
        <w:jc w:val="both"/>
        <w:rPr>
          <w:rFonts w:ascii="Arial" w:eastAsia="Times New Roman" w:hAnsi="Arial" w:cs="Arial"/>
          <w:sz w:val="22"/>
          <w:lang w:eastAsia="en-GB"/>
        </w:rPr>
      </w:pPr>
      <w:r w:rsidRPr="00726EDA">
        <w:rPr>
          <w:rFonts w:ascii="Arial" w:hAnsi="Arial" w:cs="Arial"/>
          <w:color w:val="111827"/>
          <w:kern w:val="2"/>
          <w:sz w:val="22"/>
          <w:shd w:val="clear" w:color="auto" w:fill="FFFFFF"/>
          <w14:ligatures w14:val="standardContextual"/>
        </w:rPr>
        <w:t xml:space="preserve"> In recent years, social media has become deeply embedded in the daily routines of children and young people. Platforms such as TikTok, Instagram, Snapchat, and YouTube are now commonplace, serving not only as tools for maintaining friendships and sharing personal experiences, but also as gateways to new information and ideas. Despite their educational and social potential, these digital spaces also present significant risks. Children are frequently exposed to cyberbullying, grooming, identity theft, and inappropriate or harmful content, all of which have prompted growing concern among parents, educators, and professionals across the United Kingdom. The safeguarding of children in online environments has, consequently, emerged as a central focus within health and social care. The concept of safeguarding has expanded beyond physical protection to include the emotional and psychological wellbeing of children, as well as the prevention of neglect and exploitation in both physical and digital contexts (Department for Education (DfE), 2023). The rapid evolution of technology presents ongoing challenges for professionals tasked with keeping abreast of new platforms and privacy features. At the same time, many families find it increasingly difficult to monitor their children’s online activities while balancing other responsibilities. This research examines the challenges facing online child protection in the UK and critically assesses the current measures in place to safeguard children from risks associated with social media. The discussion offers </w:t>
      </w:r>
      <w:r w:rsidRPr="00726EDA">
        <w:rPr>
          <w:rFonts w:ascii="Arial" w:hAnsi="Arial" w:cs="Arial"/>
          <w:color w:val="111827"/>
          <w:kern w:val="2"/>
          <w:sz w:val="22"/>
          <w:shd w:val="clear" w:color="auto" w:fill="FFFFFF"/>
          <w14:ligatures w14:val="standardContextual"/>
        </w:rPr>
        <w:lastRenderedPageBreak/>
        <w:t>essential context for understanding digital safety within the broader framework of health and social care responsibilities.</w:t>
      </w:r>
    </w:p>
    <w:p w14:paraId="35BB776C" w14:textId="77777777"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1.2 Key Definitions</w:t>
      </w:r>
    </w:p>
    <w:p w14:paraId="73E136BC"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Here’s how these terms are defined for this study:</w:t>
      </w:r>
    </w:p>
    <w:p w14:paraId="21FDB599"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1D2C6642"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b/>
          <w:bCs/>
          <w:color w:val="111827"/>
          <w:kern w:val="2"/>
          <w:sz w:val="22"/>
          <w:shd w:val="clear" w:color="auto" w:fill="FFFFFF"/>
          <w14:ligatures w14:val="standardContextual"/>
        </w:rPr>
        <w:t xml:space="preserve"> - Safeguarding:</w:t>
      </w:r>
      <w:r w:rsidRPr="00726EDA">
        <w:rPr>
          <w:rFonts w:ascii="Arial" w:hAnsi="Arial" w:cs="Arial"/>
          <w:color w:val="111827"/>
          <w:kern w:val="2"/>
          <w:sz w:val="22"/>
          <w:shd w:val="clear" w:color="auto" w:fill="FFFFFF"/>
          <w14:ligatures w14:val="standardContextual"/>
        </w:rPr>
        <w:t xml:space="preserve"> This refers to measures for protecting children’s health, wellbeing, and human rights, so they can live free from abuse, neglect, or exploitation (DfE, 2023).</w:t>
      </w:r>
    </w:p>
    <w:p w14:paraId="4B5BA3E1"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 </w:t>
      </w:r>
      <w:r w:rsidRPr="00726EDA">
        <w:rPr>
          <w:rFonts w:ascii="Arial" w:hAnsi="Arial" w:cs="Arial"/>
          <w:b/>
          <w:bCs/>
          <w:color w:val="111827"/>
          <w:kern w:val="2"/>
          <w:sz w:val="22"/>
          <w:shd w:val="clear" w:color="auto" w:fill="FFFFFF"/>
          <w14:ligatures w14:val="standardContextual"/>
        </w:rPr>
        <w:t>- Social media</w:t>
      </w:r>
      <w:r w:rsidRPr="00726EDA">
        <w:rPr>
          <w:rFonts w:ascii="Arial" w:hAnsi="Arial" w:cs="Arial"/>
          <w:color w:val="111827"/>
          <w:kern w:val="2"/>
          <w:sz w:val="22"/>
          <w:shd w:val="clear" w:color="auto" w:fill="FFFFFF"/>
          <w14:ligatures w14:val="standardContextual"/>
        </w:rPr>
        <w:t xml:space="preserve">: This encompasses interactive online platforms like TikTok, Instagram, Facebook, and YouTube, where users create, share, and respond to content or communicate with others (Ofcom, 2023). </w:t>
      </w:r>
    </w:p>
    <w:p w14:paraId="15AAC788"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 </w:t>
      </w:r>
      <w:r w:rsidRPr="00726EDA">
        <w:rPr>
          <w:rFonts w:ascii="Arial" w:hAnsi="Arial" w:cs="Arial"/>
          <w:b/>
          <w:bCs/>
          <w:color w:val="111827"/>
          <w:kern w:val="2"/>
          <w:sz w:val="22"/>
          <w:shd w:val="clear" w:color="auto" w:fill="FFFFFF"/>
          <w14:ligatures w14:val="standardContextual"/>
        </w:rPr>
        <w:t>Online Risks:</w:t>
      </w:r>
      <w:r w:rsidRPr="00726EDA">
        <w:rPr>
          <w:rFonts w:ascii="Arial" w:hAnsi="Arial" w:cs="Arial"/>
          <w:color w:val="111827"/>
          <w:kern w:val="2"/>
          <w:sz w:val="22"/>
          <w:shd w:val="clear" w:color="auto" w:fill="FFFFFF"/>
          <w14:ligatures w14:val="standardContextual"/>
        </w:rPr>
        <w:t xml:space="preserve"> These are potential harms children may face on the internet—such as cyberbullying, grooming, misinformation, exposure to self-harm content, and privacy breaches (NSPCC, 2022).</w:t>
      </w:r>
    </w:p>
    <w:p w14:paraId="53B5693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color w:val="111827"/>
          <w:kern w:val="2"/>
          <w:sz w:val="22"/>
          <w:shd w:val="clear" w:color="auto" w:fill="FFFFFF"/>
          <w14:ligatures w14:val="standardContextual"/>
        </w:rPr>
        <w:t xml:space="preserve"> </w:t>
      </w:r>
      <w:r w:rsidRPr="00726EDA">
        <w:rPr>
          <w:rFonts w:ascii="Arial" w:hAnsi="Arial" w:cs="Arial"/>
          <w:b/>
          <w:bCs/>
          <w:color w:val="111827"/>
          <w:kern w:val="2"/>
          <w:sz w:val="22"/>
          <w:shd w:val="clear" w:color="auto" w:fill="FFFFFF"/>
          <w14:ligatures w14:val="standardContextual"/>
        </w:rPr>
        <w:t>- Children</w:t>
      </w:r>
      <w:r w:rsidRPr="00726EDA">
        <w:rPr>
          <w:rFonts w:ascii="Arial" w:hAnsi="Arial" w:cs="Arial"/>
          <w:color w:val="111827"/>
          <w:kern w:val="2"/>
          <w:sz w:val="22"/>
          <w:shd w:val="clear" w:color="auto" w:fill="FFFFFF"/>
          <w14:ligatures w14:val="standardContextual"/>
        </w:rPr>
        <w:t>: Defined as anyone under the age of 18, according to the Children Act 1989. These definitions shape the boundaries of this study and are in line with statutory safeguarding frameworks in the UK.</w:t>
      </w:r>
    </w:p>
    <w:p w14:paraId="7193829B" w14:textId="77777777" w:rsidR="008970A6" w:rsidRPr="00726EDA" w:rsidRDefault="008970A6" w:rsidP="00726EDA">
      <w:pPr>
        <w:spacing w:before="100" w:beforeAutospacing="1" w:after="100" w:afterAutospacing="1" w:line="480" w:lineRule="auto"/>
        <w:jc w:val="both"/>
        <w:outlineLvl w:val="2"/>
        <w:rPr>
          <w:rFonts w:ascii="Arial" w:eastAsia="Times New Roman" w:hAnsi="Arial" w:cs="Arial"/>
          <w:sz w:val="22"/>
          <w:lang w:eastAsia="en-GB"/>
        </w:rPr>
      </w:pPr>
      <w:r w:rsidRPr="00726EDA">
        <w:rPr>
          <w:rFonts w:ascii="Arial" w:eastAsia="Times New Roman" w:hAnsi="Arial" w:cs="Arial"/>
          <w:sz w:val="22"/>
          <w:lang w:eastAsia="en-GB"/>
        </w:rPr>
        <w:t>1</w:t>
      </w:r>
      <w:r w:rsidRPr="00726EDA">
        <w:rPr>
          <w:rFonts w:ascii="Arial" w:eastAsia="Times New Roman" w:hAnsi="Arial" w:cs="Arial"/>
          <w:b/>
          <w:bCs/>
          <w:sz w:val="22"/>
          <w:lang w:eastAsia="en-GB"/>
        </w:rPr>
        <w:t>.3 Background and Current Context</w:t>
      </w:r>
    </w:p>
    <w:p w14:paraId="430663A7" w14:textId="1988E320"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color w:val="111827"/>
          <w:kern w:val="2"/>
          <w:sz w:val="22"/>
          <w:shd w:val="clear" w:color="auto" w:fill="FFFFFF"/>
          <w14:ligatures w14:val="standardContextual"/>
        </w:rPr>
        <w:t xml:space="preserve">Social media use among children and adolescents has surged dramatically in recent years. Ofcom (2023) reports that 96% of UK children aged 3–17 access the internet regularly, with 68% owning a smartphone and 59% using social media daily. While digital platforms offer opportunities for communication and creativity, they also introduce significant risks, such as exposure to exploitation and inappropriate content. The NSPCC (2023) documented over 9,000 online sexual abuse offences in 2022–23, many of which involved private messaging </w:t>
      </w:r>
      <w:r w:rsidRPr="00726EDA">
        <w:rPr>
          <w:rFonts w:ascii="Arial" w:hAnsi="Arial" w:cs="Arial"/>
          <w:color w:val="111827"/>
          <w:kern w:val="2"/>
          <w:sz w:val="22"/>
          <w:shd w:val="clear" w:color="auto" w:fill="FFFFFF"/>
          <w14:ligatures w14:val="standardContextual"/>
        </w:rPr>
        <w:lastRenderedPageBreak/>
        <w:t>on social-media platforms. The UK has established safeguarding frameworks to address these concerns. Policies such as Keeping Children Safe in Education (DfE, 2023) and Working Together to Safeguard Children (DfE, 2018) require schools, health services, and local authorities to promote online safety through comprehensive policies, training, and education. These frameworks emphasise the importance of inter-agency collaboration to ensure consistent protection for children. Despite these efforts, Ofsted (2022) found that digital-safety education is unevenly delivered, with some staff lacking confidence in responding to online incidents. Additionally, varying levels of parental awareness mean that some children remain unprotected at home. The challenges are not limited to technical safety. Research by the Royal Society for Public Health (2022) highlights a correlation between heavy social media use and increased rates of anxiety, depression, sleep disturbances, and negative body image among young people. In extreme circumstances, exposure to harmful online content can contribute to self-harm or suicidal ideation. These findings underscore the need to view online safeguarding as a public health issue, necessitating coordinated responses across education, healthcare, and social care sectors. Technology companies have begun implementing safety tools such as parental controls and content filters, though these features are often complex or inconsistently applied. The UK Parliament addressed this issue through the Online Safety</w:t>
      </w:r>
      <w:r w:rsidR="006922CD" w:rsidRPr="00726EDA">
        <w:rPr>
          <w:rFonts w:ascii="Arial" w:hAnsi="Arial" w:cs="Arial"/>
          <w:color w:val="111827"/>
          <w:kern w:val="2"/>
          <w:sz w:val="22"/>
          <w:shd w:val="clear" w:color="auto" w:fill="FFFFFF"/>
          <w14:ligatures w14:val="standardContextual"/>
        </w:rPr>
        <w:t xml:space="preserve"> Act </w:t>
      </w:r>
      <w:r w:rsidRPr="00726EDA">
        <w:rPr>
          <w:rFonts w:ascii="Arial" w:hAnsi="Arial" w:cs="Arial"/>
          <w:color w:val="111827"/>
          <w:kern w:val="2"/>
          <w:sz w:val="22"/>
          <w:shd w:val="clear" w:color="auto" w:fill="FFFFFF"/>
          <w14:ligatures w14:val="standardContextual"/>
        </w:rPr>
        <w:t>(2023), which seeks to hold digital platforms legally accountable for removing harmful content and protecting minors. Despite these legislative efforts, practical implementation and enforcement are still evolving, leaving professionals uncertain about how these measures will function in real-world settings.</w:t>
      </w:r>
    </w:p>
    <w:p w14:paraId="6729D482" w14:textId="77777777"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1.4 Rationale for Research</w:t>
      </w:r>
    </w:p>
    <w:p w14:paraId="4ACA6D12"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UK legislation and official guidelines are intended to safeguard children online, yet online harm remains widespread—and, in some instances, is increasing. The rapid development of new applications often leaves parents, educators, and policymakers struggling to keep pace. While organizations such as the NSPCC and the Internet Watch Foundation provide public </w:t>
      </w:r>
      <w:r w:rsidRPr="00726EDA">
        <w:rPr>
          <w:rFonts w:ascii="Arial" w:hAnsi="Arial" w:cs="Arial"/>
          <w:color w:val="111827"/>
          <w:kern w:val="2"/>
          <w:sz w:val="22"/>
          <w:shd w:val="clear" w:color="auto" w:fill="FFFFFF"/>
          <w14:ligatures w14:val="standardContextual"/>
        </w:rPr>
        <w:lastRenderedPageBreak/>
        <w:t>campaigns and guidance, many families continue to experience uncertainty around online privacy, managing screen time, and addressing cyberbullying. From a health and social care standpoint, these challenges are significant. Online harm can have a lasting impact on children’s emotional development, mental health, and educational progress. Social workers and safeguarding professionals routinely find that incidents of online abuse are intertwined with broader child protection issues, including neglect and domestic violence. The lack of consistent digital safety education, insufficient staff training, and uneven parental awareness contribute to gaps in safeguarding practices. This research investigates these shortcomings by analysing the current UK context, highlighting barriers to effective protection, and proposing practical improvements. By examining the roles of professionals, institutions, and parents, the study seeks to enhance understanding of how social media risks might be more effectively managed across sectors.</w:t>
      </w:r>
    </w:p>
    <w:p w14:paraId="52C73051"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3E957907"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0750E713" w14:textId="77777777" w:rsidR="008970A6" w:rsidRPr="00726EDA" w:rsidRDefault="008970A6" w:rsidP="00726EDA">
      <w:pPr>
        <w:spacing w:before="100" w:beforeAutospacing="1" w:after="100" w:afterAutospacing="1" w:line="480" w:lineRule="auto"/>
        <w:jc w:val="both"/>
        <w:rPr>
          <w:rFonts w:ascii="Arial" w:hAnsi="Arial" w:cs="Arial"/>
          <w:b/>
          <w:bCs/>
          <w:color w:val="111827"/>
          <w:kern w:val="2"/>
          <w:sz w:val="22"/>
          <w:shd w:val="clear" w:color="auto" w:fill="FFFFFF"/>
          <w14:ligatures w14:val="standardContextual"/>
        </w:rPr>
      </w:pPr>
      <w:r w:rsidRPr="00726EDA">
        <w:rPr>
          <w:rFonts w:ascii="Arial" w:hAnsi="Arial" w:cs="Arial"/>
          <w:b/>
          <w:bCs/>
          <w:color w:val="111827"/>
          <w:kern w:val="2"/>
          <w:sz w:val="22"/>
          <w:shd w:val="clear" w:color="auto" w:fill="FFFFFF"/>
          <w14:ligatures w14:val="standardContextual"/>
        </w:rPr>
        <w:t>1.5 Aim and Objectives</w:t>
      </w:r>
    </w:p>
    <w:p w14:paraId="45BD7C19"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114EADC4" w14:textId="77777777" w:rsidR="008970A6" w:rsidRPr="00726EDA" w:rsidRDefault="008970A6" w:rsidP="00726EDA">
      <w:pPr>
        <w:spacing w:before="100" w:beforeAutospacing="1" w:after="100" w:afterAutospacing="1" w:line="480" w:lineRule="auto"/>
        <w:jc w:val="both"/>
        <w:rPr>
          <w:rFonts w:ascii="Arial" w:hAnsi="Arial" w:cs="Arial"/>
          <w:b/>
          <w:bCs/>
          <w:color w:val="111827"/>
          <w:kern w:val="2"/>
          <w:sz w:val="22"/>
          <w:shd w:val="clear" w:color="auto" w:fill="FFFFFF"/>
          <w14:ligatures w14:val="standardContextual"/>
        </w:rPr>
      </w:pPr>
      <w:r w:rsidRPr="00726EDA">
        <w:rPr>
          <w:rFonts w:ascii="Arial" w:hAnsi="Arial" w:cs="Arial"/>
          <w:b/>
          <w:bCs/>
          <w:color w:val="111827"/>
          <w:kern w:val="2"/>
          <w:sz w:val="22"/>
          <w:shd w:val="clear" w:color="auto" w:fill="FFFFFF"/>
          <w14:ligatures w14:val="standardContextual"/>
        </w:rPr>
        <w:t>Aim</w:t>
      </w:r>
    </w:p>
    <w:p w14:paraId="126CF426"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78DF1544"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This dissertation investigates the ongoing challenges of safeguarding children from risks associated with social media use in the </w:t>
      </w:r>
      <w:proofErr w:type="gramStart"/>
      <w:r w:rsidRPr="00726EDA">
        <w:rPr>
          <w:rFonts w:ascii="Arial" w:hAnsi="Arial" w:cs="Arial"/>
          <w:color w:val="111827"/>
          <w:kern w:val="2"/>
          <w:sz w:val="22"/>
          <w:shd w:val="clear" w:color="auto" w:fill="FFFFFF"/>
          <w14:ligatures w14:val="standardContextual"/>
        </w:rPr>
        <w:t>UK, and</w:t>
      </w:r>
      <w:proofErr w:type="gramEnd"/>
      <w:r w:rsidRPr="00726EDA">
        <w:rPr>
          <w:rFonts w:ascii="Arial" w:hAnsi="Arial" w:cs="Arial"/>
          <w:color w:val="111827"/>
          <w:kern w:val="2"/>
          <w:sz w:val="22"/>
          <w:shd w:val="clear" w:color="auto" w:fill="FFFFFF"/>
          <w14:ligatures w14:val="standardContextual"/>
        </w:rPr>
        <w:t xml:space="preserve"> critically evaluates how effective current protective measures truly are.</w:t>
      </w:r>
    </w:p>
    <w:p w14:paraId="213FCC23" w14:textId="77777777" w:rsidR="008970A6"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73E1F3F0" w14:textId="77777777" w:rsidR="00520371" w:rsidRPr="00726EDA" w:rsidRDefault="00520371"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27872D10" w14:textId="77777777" w:rsidR="008970A6" w:rsidRPr="00726EDA" w:rsidRDefault="008970A6" w:rsidP="00726EDA">
      <w:pPr>
        <w:spacing w:before="100" w:beforeAutospacing="1" w:after="100" w:afterAutospacing="1" w:line="480" w:lineRule="auto"/>
        <w:jc w:val="both"/>
        <w:rPr>
          <w:rFonts w:ascii="Arial" w:hAnsi="Arial" w:cs="Arial"/>
          <w:b/>
          <w:bCs/>
          <w:color w:val="111827"/>
          <w:kern w:val="2"/>
          <w:sz w:val="22"/>
          <w:shd w:val="clear" w:color="auto" w:fill="FFFFFF"/>
          <w14:ligatures w14:val="standardContextual"/>
        </w:rPr>
      </w:pPr>
      <w:r w:rsidRPr="00726EDA">
        <w:rPr>
          <w:rFonts w:ascii="Arial" w:hAnsi="Arial" w:cs="Arial"/>
          <w:b/>
          <w:bCs/>
          <w:color w:val="111827"/>
          <w:kern w:val="2"/>
          <w:sz w:val="22"/>
          <w:shd w:val="clear" w:color="auto" w:fill="FFFFFF"/>
          <w14:ligatures w14:val="standardContextual"/>
        </w:rPr>
        <w:lastRenderedPageBreak/>
        <w:t>Objectives</w:t>
      </w:r>
    </w:p>
    <w:p w14:paraId="07D88A32"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193A494D"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1. Clearly identify and examine the principal online dangers facing children, such as cyberbullying, grooming, and exposure to harmful or misleading content.</w:t>
      </w:r>
    </w:p>
    <w:p w14:paraId="6C1ADE18"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2. Analyse the roles and responsibilities of parents, educational institutions, and social care agencies in recognising and addressing online safeguarding concerns.</w:t>
      </w:r>
    </w:p>
    <w:p w14:paraId="5DC737BA" w14:textId="3BFAAC8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3. Critically assess the effectiveness of key UK frameworks—including Keeping Children Safe in Education and the Online Safety </w:t>
      </w:r>
      <w:r w:rsidR="00A43C83" w:rsidRPr="00726EDA">
        <w:rPr>
          <w:rFonts w:ascii="Arial" w:hAnsi="Arial" w:cs="Arial"/>
          <w:color w:val="111827"/>
          <w:kern w:val="2"/>
          <w:sz w:val="22"/>
          <w:shd w:val="clear" w:color="auto" w:fill="FFFFFF"/>
          <w14:ligatures w14:val="standardContextual"/>
        </w:rPr>
        <w:t xml:space="preserve">Act </w:t>
      </w:r>
      <w:r w:rsidRPr="00726EDA">
        <w:rPr>
          <w:rFonts w:ascii="Arial" w:hAnsi="Arial" w:cs="Arial"/>
          <w:color w:val="111827"/>
          <w:kern w:val="2"/>
          <w:sz w:val="22"/>
          <w:shd w:val="clear" w:color="auto" w:fill="FFFFFF"/>
          <w14:ligatures w14:val="standardContextual"/>
        </w:rPr>
        <w:t>in promoting digital safety and wellbeing among children.</w:t>
      </w:r>
    </w:p>
    <w:p w14:paraId="3EB1C1E6"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 xml:space="preserve">4. Offer informed recommendations for improving collaboration between agencies, enhancing professional training, and raising public awareness </w:t>
      </w:r>
      <w:proofErr w:type="gramStart"/>
      <w:r w:rsidRPr="00726EDA">
        <w:rPr>
          <w:rFonts w:ascii="Arial" w:hAnsi="Arial" w:cs="Arial"/>
          <w:color w:val="111827"/>
          <w:kern w:val="2"/>
          <w:sz w:val="22"/>
          <w:shd w:val="clear" w:color="auto" w:fill="FFFFFF"/>
          <w14:ligatures w14:val="standardContextual"/>
        </w:rPr>
        <w:t>in order to</w:t>
      </w:r>
      <w:proofErr w:type="gramEnd"/>
      <w:r w:rsidRPr="00726EDA">
        <w:rPr>
          <w:rFonts w:ascii="Arial" w:hAnsi="Arial" w:cs="Arial"/>
          <w:color w:val="111827"/>
          <w:kern w:val="2"/>
          <w:sz w:val="22"/>
          <w:shd w:val="clear" w:color="auto" w:fill="FFFFFF"/>
          <w14:ligatures w14:val="standardContextual"/>
        </w:rPr>
        <w:t xml:space="preserve"> strengthen online safeguarding practices.</w:t>
      </w:r>
    </w:p>
    <w:p w14:paraId="44685A8A"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72662CA2"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r w:rsidRPr="00726EDA">
        <w:rPr>
          <w:rFonts w:ascii="Arial" w:hAnsi="Arial" w:cs="Arial"/>
          <w:color w:val="111827"/>
          <w:kern w:val="2"/>
          <w:sz w:val="22"/>
          <w:shd w:val="clear" w:color="auto" w:fill="FFFFFF"/>
          <w14:ligatures w14:val="standardContextual"/>
        </w:rPr>
        <w:t>These objectives will structure the dissertation and ensure that its findings result in practical, evidence-based recommendations for professionals involved in children’s health and social care.</w:t>
      </w:r>
    </w:p>
    <w:p w14:paraId="54CB2E26"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11B645D8" w14:textId="77777777" w:rsidR="008970A6" w:rsidRPr="00726EDA" w:rsidRDefault="008970A6" w:rsidP="00726EDA">
      <w:pPr>
        <w:spacing w:before="100" w:beforeAutospacing="1" w:after="100" w:afterAutospacing="1" w:line="480" w:lineRule="auto"/>
        <w:jc w:val="both"/>
        <w:rPr>
          <w:rFonts w:ascii="Arial" w:hAnsi="Arial" w:cs="Arial"/>
          <w:color w:val="111827"/>
          <w:kern w:val="2"/>
          <w:sz w:val="22"/>
          <w:shd w:val="clear" w:color="auto" w:fill="FFFFFF"/>
          <w14:ligatures w14:val="standardContextual"/>
        </w:rPr>
      </w:pPr>
    </w:p>
    <w:p w14:paraId="18A22160" w14:textId="77777777" w:rsidR="008970A6" w:rsidRDefault="008970A6" w:rsidP="00726EDA">
      <w:pPr>
        <w:spacing w:before="100" w:beforeAutospacing="1" w:after="100" w:afterAutospacing="1" w:line="480" w:lineRule="auto"/>
        <w:jc w:val="both"/>
        <w:rPr>
          <w:rFonts w:ascii="Arial" w:eastAsia="Times New Roman" w:hAnsi="Arial" w:cs="Arial"/>
          <w:sz w:val="22"/>
          <w:lang w:eastAsia="en-GB"/>
        </w:rPr>
      </w:pPr>
    </w:p>
    <w:p w14:paraId="59729EAE" w14:textId="77777777" w:rsidR="00520371" w:rsidRDefault="00520371" w:rsidP="00726EDA">
      <w:pPr>
        <w:spacing w:before="100" w:beforeAutospacing="1" w:after="100" w:afterAutospacing="1" w:line="480" w:lineRule="auto"/>
        <w:jc w:val="both"/>
        <w:rPr>
          <w:rFonts w:ascii="Arial" w:eastAsia="Times New Roman" w:hAnsi="Arial" w:cs="Arial"/>
          <w:sz w:val="22"/>
          <w:lang w:eastAsia="en-GB"/>
        </w:rPr>
      </w:pPr>
    </w:p>
    <w:p w14:paraId="7AE54CD0" w14:textId="77777777" w:rsidR="00520371" w:rsidRPr="00726EDA" w:rsidRDefault="00520371" w:rsidP="00726EDA">
      <w:pPr>
        <w:spacing w:before="100" w:beforeAutospacing="1" w:after="100" w:afterAutospacing="1" w:line="480" w:lineRule="auto"/>
        <w:jc w:val="both"/>
        <w:rPr>
          <w:rFonts w:ascii="Arial" w:eastAsia="Times New Roman" w:hAnsi="Arial" w:cs="Arial"/>
          <w:sz w:val="22"/>
          <w:lang w:eastAsia="en-GB"/>
        </w:rPr>
      </w:pPr>
    </w:p>
    <w:p w14:paraId="1EE7124E" w14:textId="77777777"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lastRenderedPageBreak/>
        <w:t>1.6 Conclusion</w:t>
      </w:r>
    </w:p>
    <w:p w14:paraId="21B5F72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This chapter tackles the pressing issue of safeguarding children against the risks posed by social media—an area that has only grown in importance within contemporary health and social care. The discussion clarifies key terminology, situates the problem within the UK’s current context, and underscores the persistent difficulties encountered by both practitioners and families. While there’s evidence the UK has made meaningful strides through legislation, online safety remains a constantly shifting landscape. Children’s digital habits outpace policy changes, making ongoing professional learning and collaboration across different agencies </w:t>
      </w:r>
      <w:proofErr w:type="gramStart"/>
      <w:r w:rsidRPr="00726EDA">
        <w:rPr>
          <w:rFonts w:ascii="Arial" w:eastAsia="Times New Roman" w:hAnsi="Arial" w:cs="Arial"/>
          <w:sz w:val="22"/>
          <w:lang w:eastAsia="en-GB"/>
        </w:rPr>
        <w:t>absolutely vital</w:t>
      </w:r>
      <w:proofErr w:type="gramEnd"/>
      <w:r w:rsidRPr="00726EDA">
        <w:rPr>
          <w:rFonts w:ascii="Arial" w:eastAsia="Times New Roman" w:hAnsi="Arial" w:cs="Arial"/>
          <w:sz w:val="22"/>
          <w:lang w:eastAsia="en-GB"/>
        </w:rPr>
        <w:t>.</w:t>
      </w:r>
    </w:p>
    <w:p w14:paraId="5CD8661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74D0898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By laying out a clear purpose and structured objectives, this chapter sets the stage for more detailed inquiry. The next chapter will build on this foundation by evaluating existing academic studies and policy literature, delving into the main themes, theoretical approaches, and prior research linked to safeguarding, social media, and child wellbeing in the UK.</w:t>
      </w:r>
    </w:p>
    <w:p w14:paraId="7F388A0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37134EB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1390A77"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32D5D6EF"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24A5F974"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059CFB50"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7054737F"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460DB8F1" w14:textId="77777777" w:rsidR="008970A6" w:rsidRPr="00726EDA" w:rsidRDefault="008970A6"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lastRenderedPageBreak/>
        <w:t>Chapter 2 – Background and Literature Review</w:t>
      </w:r>
    </w:p>
    <w:p w14:paraId="177CCE1E" w14:textId="77777777" w:rsidR="008970A6" w:rsidRPr="00726EDA" w:rsidRDefault="008970A6" w:rsidP="00726EDA">
      <w:pPr>
        <w:spacing w:before="100" w:beforeAutospacing="1" w:after="100" w:afterAutospacing="1" w:line="480" w:lineRule="auto"/>
        <w:jc w:val="both"/>
        <w:outlineLvl w:val="2"/>
        <w:rPr>
          <w:rFonts w:ascii="Arial" w:eastAsia="Times New Roman" w:hAnsi="Arial" w:cs="Arial"/>
          <w:sz w:val="22"/>
          <w:lang w:eastAsia="en-GB"/>
        </w:rPr>
      </w:pPr>
    </w:p>
    <w:p w14:paraId="29FC2333" w14:textId="024D5F8C"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 xml:space="preserve">2.1 Introduction </w:t>
      </w:r>
    </w:p>
    <w:p w14:paraId="48DF2E3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chapter provides background understanding of safeguarding children in the digital era. It outlines how the concept of protection has evolved from early welfare and public-health movements to include online safety. The discussion introduces key historical developments, theoretical perspectives explaining children’s vulnerability on social media, and national as well as international frameworks guiding safeguarding in the United Kingdom (UK). Establishing this foundation helps to clarify the social and professional responsibilities of educators, health, and social-care practitioners. The background developed here will support the research design and methodology discussed in the following chapter.</w:t>
      </w:r>
    </w:p>
    <w:p w14:paraId="34FE151B" w14:textId="11B4A7B4" w:rsidR="008970A6" w:rsidRPr="00726EDA" w:rsidRDefault="008970A6" w:rsidP="00726EDA">
      <w:pPr>
        <w:spacing w:before="100" w:beforeAutospacing="1" w:after="100" w:afterAutospacing="1" w:line="480" w:lineRule="auto"/>
        <w:jc w:val="both"/>
        <w:outlineLvl w:val="2"/>
        <w:rPr>
          <w:rFonts w:ascii="Arial" w:eastAsia="Times New Roman" w:hAnsi="Arial" w:cs="Arial"/>
          <w:sz w:val="22"/>
          <w:lang w:eastAsia="en-GB"/>
        </w:rPr>
      </w:pPr>
      <w:r w:rsidRPr="00726EDA">
        <w:rPr>
          <w:rFonts w:ascii="Arial" w:eastAsia="Times New Roman" w:hAnsi="Arial" w:cs="Arial"/>
          <w:b/>
          <w:bCs/>
          <w:sz w:val="22"/>
          <w:lang w:eastAsia="en-GB"/>
        </w:rPr>
        <w:t>2.2 Historical Background</w:t>
      </w:r>
      <w:r w:rsidRPr="00726EDA">
        <w:rPr>
          <w:rFonts w:ascii="Arial" w:eastAsia="Times New Roman" w:hAnsi="Arial" w:cs="Arial"/>
          <w:sz w:val="22"/>
          <w:lang w:eastAsia="en-GB"/>
        </w:rPr>
        <w:t xml:space="preserve"> </w:t>
      </w:r>
    </w:p>
    <w:p w14:paraId="127C8E1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To understand safeguarding in the digital age, it is necessary to explore how child protection in the United Kingdom (UK) has developed over time. The concept of safeguarding children has evolved from early welfare reforms that focused on preventing physical harm to broader frameworks that now address emotional, psychological, and digital safety. Each stage in this historical development reflects how society’s understanding of risk and vulnerability has changed.</w:t>
      </w:r>
    </w:p>
    <w:p w14:paraId="4F62F32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roots of modern safeguarding can be traced back to the late nineteenth century with the creation of the National Society for the Prevention of Cruelty to Children (NSPCC) in 1884. This organisation was founded to protect children from neglect, cruelty, and exploitation, at a time when child welfare was not yet recognised by law. The NSPCC’s advocacy led to the </w:t>
      </w:r>
      <w:r w:rsidRPr="00726EDA">
        <w:rPr>
          <w:rFonts w:ascii="Arial" w:eastAsia="Times New Roman" w:hAnsi="Arial" w:cs="Arial"/>
          <w:i/>
          <w:iCs/>
          <w:sz w:val="22"/>
          <w:lang w:eastAsia="en-GB"/>
        </w:rPr>
        <w:t>Children Act 1889</w:t>
      </w:r>
      <w:r w:rsidRPr="00726EDA">
        <w:rPr>
          <w:rFonts w:ascii="Arial" w:eastAsia="Times New Roman" w:hAnsi="Arial" w:cs="Arial"/>
          <w:sz w:val="22"/>
          <w:lang w:eastAsia="en-GB"/>
        </w:rPr>
        <w:t>, which gave the state authority to intervene in child abuse cases for the first time. This was a turning point in recognising children’s rights to safety and protection.</w:t>
      </w:r>
    </w:p>
    <w:p w14:paraId="2217C66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Throughout the twentieth century, safeguarding continued to evolve. The </w:t>
      </w:r>
      <w:r w:rsidRPr="00726EDA">
        <w:rPr>
          <w:rFonts w:ascii="Arial" w:eastAsia="Times New Roman" w:hAnsi="Arial" w:cs="Arial"/>
          <w:i/>
          <w:iCs/>
          <w:sz w:val="22"/>
          <w:lang w:eastAsia="en-GB"/>
        </w:rPr>
        <w:t>Children Act 1989</w:t>
      </w:r>
      <w:r w:rsidRPr="00726EDA">
        <w:rPr>
          <w:rFonts w:ascii="Arial" w:eastAsia="Times New Roman" w:hAnsi="Arial" w:cs="Arial"/>
          <w:sz w:val="22"/>
          <w:lang w:eastAsia="en-GB"/>
        </w:rPr>
        <w:t xml:space="preserve"> established the principle that “the welfare of the child is paramount,” creating legal duties for local authorities, schools, and health services to work together. This act became the cornerstone of modern child protection in the UK. It was strengthened by </w:t>
      </w:r>
      <w:r w:rsidRPr="00726EDA">
        <w:rPr>
          <w:rFonts w:ascii="Arial" w:eastAsia="Times New Roman" w:hAnsi="Arial" w:cs="Arial"/>
          <w:i/>
          <w:iCs/>
          <w:sz w:val="22"/>
          <w:lang w:eastAsia="en-GB"/>
        </w:rPr>
        <w:t>Working Together to Safeguard Children</w:t>
      </w:r>
      <w:r w:rsidRPr="00726EDA">
        <w:rPr>
          <w:rFonts w:ascii="Arial" w:eastAsia="Times New Roman" w:hAnsi="Arial" w:cs="Arial"/>
          <w:sz w:val="22"/>
          <w:lang w:eastAsia="en-GB"/>
        </w:rPr>
        <w:t xml:space="preserve"> (first published in 1999 and updated regularly), which formalised multi-agency collaboration across sectors — a principle that remains essential for managing online safety today.</w:t>
      </w:r>
    </w:p>
    <w:p w14:paraId="052290E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early 2000s brought further development with </w:t>
      </w:r>
      <w:proofErr w:type="gramStart"/>
      <w:r w:rsidRPr="00726EDA">
        <w:rPr>
          <w:rFonts w:ascii="Arial" w:eastAsia="Times New Roman" w:hAnsi="Arial" w:cs="Arial"/>
          <w:sz w:val="22"/>
          <w:lang w:eastAsia="en-GB"/>
        </w:rPr>
        <w:t>the Every</w:t>
      </w:r>
      <w:proofErr w:type="gramEnd"/>
      <w:r w:rsidRPr="00726EDA">
        <w:rPr>
          <w:rFonts w:ascii="Arial" w:eastAsia="Times New Roman" w:hAnsi="Arial" w:cs="Arial"/>
          <w:sz w:val="22"/>
          <w:lang w:eastAsia="en-GB"/>
        </w:rPr>
        <w:t xml:space="preserve"> Child Matters framework (2003), which promoted five outcomes for all children: being healthy, staying safe, enjoying and achieving, making a positive contribution, and achieving economic wellbeing. These aims encouraged professionals to see safeguarding as part of overall wellbeing, not just protection from harm.</w:t>
      </w:r>
    </w:p>
    <w:p w14:paraId="1A1E4FC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As digital technology advanced, safeguarding adapted again. The internet and social media introduced new risks such as cyberbullying, online grooming, and exposure to inappropriate content. In response, the UK established the Child Exploitation and Online Protection Command (CEOP) in 2006, part of the National Crime Agency, to investigate online offences against children. More recently, the Online Safety Act (2023) gave legal powers to hold technology companies accountable for harmful content on their platforms.</w:t>
      </w:r>
    </w:p>
    <w:p w14:paraId="17E6646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These historical milestones show that safeguarding has continuously adapted to social change and technological development. From the first child-protection laws of the nineteenth century to modern online safety legislation, the UK has moved from reactive responses to proactive prevention. Understanding this evolution provides essential context for analysing how safeguarding children now extends beyond physical environments to include the complex realities of digital life.</w:t>
      </w:r>
    </w:p>
    <w:p w14:paraId="7CA75DBF" w14:textId="2F630065"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 xml:space="preserve">2.3 Theoretical Background </w:t>
      </w:r>
    </w:p>
    <w:p w14:paraId="3BC4526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Understanding safeguarding in the digital environment requires the use of established psychological and social theories that explain how children learn, behave, and respond to risks online. These theories provide a foundation for analysing how online influences affect children’s wellbeing and how professionals can design effective interventions to promote safe use of technology.</w:t>
      </w:r>
    </w:p>
    <w:p w14:paraId="759A60E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One of the most relevant theories is Albert Bandura’s Social Learning Theory (1977), which explains that individuals learn by observing and imitating the behaviours of others. In the context of social media, children are exposed daily to influencers, peers, and celebrities who model both positive and harmful behaviours. For example, research by the National Society for the Prevention of Cruelty to Children (NSPCC, 2023) shows that online challenges and peer pressure can encourage risky activities. Social Learning Theory therefore helps professionals understand why children may replicate inappropriate online behaviour, such as cyberbullying or oversharing personal information.</w:t>
      </w:r>
    </w:p>
    <w:p w14:paraId="3E8396A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Urie Bronfenbrenner’s Ecological Systems Theory (1979) is another key framework. It describes how a child’s development is influenced by multiple systems — family, school, community, and wider society — all of which now include digital environments. This theory is crucial for understanding that safeguarding children online requires collaboration between families, educators, social workers, and technology companies. Each system interacts, meaning that responsibility for online safety cannot rest on a single group.</w:t>
      </w:r>
    </w:p>
    <w:p w14:paraId="5937EC9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 further relevant model is Maslow’s Hierarchy of Needs (1943), which identifies safety and belonging as fundamental to healthy development. Exposure to online harm — such as harassment, grooming, or exclusion — can undermine a child’s sense of safety and belonging, affecting mental wellbeing and academic performance. Applying Maslow’s theory to online safety highlights the need for emotional as well as technical protection.</w:t>
      </w:r>
    </w:p>
    <w:p w14:paraId="517B7DB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These theories are applied widely in education and health research. For example, schools often use Social Learning Theory to design digital-citizenship lessons that encourage students to reflect on their online behaviour. Ecological Systems Theory informs UK safeguarding frameworks like </w:t>
      </w:r>
      <w:r w:rsidRPr="00726EDA">
        <w:rPr>
          <w:rFonts w:ascii="Arial" w:eastAsia="Times New Roman" w:hAnsi="Arial" w:cs="Arial"/>
          <w:i/>
          <w:iCs/>
          <w:sz w:val="22"/>
          <w:lang w:eastAsia="en-GB"/>
        </w:rPr>
        <w:t>Keeping Children Safe in Education</w:t>
      </w:r>
      <w:r w:rsidRPr="00726EDA">
        <w:rPr>
          <w:rFonts w:ascii="Arial" w:eastAsia="Times New Roman" w:hAnsi="Arial" w:cs="Arial"/>
          <w:sz w:val="22"/>
          <w:lang w:eastAsia="en-GB"/>
        </w:rPr>
        <w:t xml:space="preserve"> (DfE, 2023), which promotes multi-agency cooperation between teachers, social workers, and health professionals. Maslow’s model underpins wellbeing initiatives that aim to create positive digital environments where children feel supported and valued.</w:t>
      </w:r>
    </w:p>
    <w:p w14:paraId="0991FBA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While these theories are highly influential, they also have limitations. Social Learning Theory may oversimplify complex online behaviour by focusing mainly on imitation rather than internal motivation. Ecological Systems Theory, although comprehensive, can be difficult to apply in practice because online environments constantly evolve and cross social boundaries. Maslow’s hierarchy has been criticised for assuming that needs follow a fixed order, which may not reflect every child’s experience.</w:t>
      </w:r>
    </w:p>
    <w:p w14:paraId="406FA49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Despite these challenges, the combination of these theories offers a strong foundation for understanding children’s vulnerability and resilience online. They emphasise the importance of education, collaboration, and emotional support in creating safe digital environments — principles that guide modern safeguarding practice across the UK.</w:t>
      </w:r>
    </w:p>
    <w:p w14:paraId="1609D873" w14:textId="0412E53B"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 xml:space="preserve">2.4 Global Perspective </w:t>
      </w:r>
    </w:p>
    <w:p w14:paraId="12C171F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Child safeguarding in digital spaces is a global concern, with many countries recognising that social media creates new risks for children’s wellbeing and safety. Although the principles of protection are universal, each nation addresses the issue differently, shaped by cultural values, legislation, and available resources. Examining international approaches helps to identify best practices that can inform and strengthen the United Kingdom’s (UK) own safeguarding policies.</w:t>
      </w:r>
    </w:p>
    <w:p w14:paraId="223E07C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Globally, international organisations such as the United Nations Children’s Fund (UNICEF) and the World Health Organization (WHO) have emphasised that online safety is a fundamental child right. The United Nations Convention on the Rights of the Child (UNCRC, 1989), particularly Article 19, establishes children’s right to protection from all forms of harm — a principle now extended to digital environments. In 2021, the UN Committee on the Rights of the Child issued General Comment No. 25, specifically addressing children’s rights in relation to the digital world, urging governments to regulate online content and protect data privacy.</w:t>
      </w:r>
    </w:p>
    <w:p w14:paraId="40BDC24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Many Western countries have implemented national frameworks to respond to these global recommendations. In the United States (US), the </w:t>
      </w:r>
      <w:r w:rsidRPr="00726EDA">
        <w:rPr>
          <w:rFonts w:ascii="Arial" w:eastAsia="Times New Roman" w:hAnsi="Arial" w:cs="Arial"/>
          <w:i/>
          <w:iCs/>
          <w:sz w:val="22"/>
          <w:lang w:eastAsia="en-GB"/>
        </w:rPr>
        <w:t>Children’s Online Privacy Protection Act (COPPA, 1998)</w:t>
      </w:r>
      <w:r w:rsidRPr="00726EDA">
        <w:rPr>
          <w:rFonts w:ascii="Arial" w:eastAsia="Times New Roman" w:hAnsi="Arial" w:cs="Arial"/>
          <w:sz w:val="22"/>
          <w:lang w:eastAsia="en-GB"/>
        </w:rPr>
        <w:t xml:space="preserve"> regulates how online services collect data from users under 13, while organisations such as </w:t>
      </w:r>
      <w:proofErr w:type="gramStart"/>
      <w:r w:rsidRPr="00726EDA">
        <w:rPr>
          <w:rFonts w:ascii="Arial" w:eastAsia="Times New Roman" w:hAnsi="Arial" w:cs="Arial"/>
          <w:sz w:val="22"/>
          <w:lang w:eastAsia="en-GB"/>
        </w:rPr>
        <w:t>Common Sense</w:t>
      </w:r>
      <w:proofErr w:type="gramEnd"/>
      <w:r w:rsidRPr="00726EDA">
        <w:rPr>
          <w:rFonts w:ascii="Arial" w:eastAsia="Times New Roman" w:hAnsi="Arial" w:cs="Arial"/>
          <w:sz w:val="22"/>
          <w:lang w:eastAsia="en-GB"/>
        </w:rPr>
        <w:t xml:space="preserve"> Media and StopBullying.gov focus on digital literacy and online behaviour. However, critics argue that enforcement remains inconsistent, as technology companies often operate across multiple jurisdictions.</w:t>
      </w:r>
    </w:p>
    <w:p w14:paraId="4AD2D4D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In contrast, European Union (EU) member states have adopted a more collaborative approach through the </w:t>
      </w:r>
      <w:r w:rsidRPr="00726EDA">
        <w:rPr>
          <w:rFonts w:ascii="Arial" w:eastAsia="Times New Roman" w:hAnsi="Arial" w:cs="Arial"/>
          <w:i/>
          <w:iCs/>
          <w:sz w:val="22"/>
          <w:lang w:eastAsia="en-GB"/>
        </w:rPr>
        <w:t>General Data Protection Regulation (GDPR, 2018)</w:t>
      </w:r>
      <w:r w:rsidRPr="00726EDA">
        <w:rPr>
          <w:rFonts w:ascii="Arial" w:eastAsia="Times New Roman" w:hAnsi="Arial" w:cs="Arial"/>
          <w:sz w:val="22"/>
          <w:lang w:eastAsia="en-GB"/>
        </w:rPr>
        <w:t>, which includes strict rules for protecting children’s online data. The European Commission’s Better Internet for Kids (BIK) initiative promotes education, awareness, and support services for families. This model highlights the value of combining policy enforcement with education — an approach also encouraged by UK organisations such as Ofcom and the NSPCC.</w:t>
      </w:r>
    </w:p>
    <w:p w14:paraId="153D0F8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Comparatively, the UK’s Online Safety Act (2023) represents one of the most comprehensive attempts to regulate online platforms, requiring companies to remove illegal content and protect children from harmful material. While this aligns with international standards, it also reflects the UK’s unique focus on shared responsibility between technology providers, government, and the education sector.</w:t>
      </w:r>
    </w:p>
    <w:p w14:paraId="6289A7C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Case studies from other countries provide useful insights. For example, Australia’s </w:t>
      </w:r>
      <w:proofErr w:type="spellStart"/>
      <w:r w:rsidRPr="00726EDA">
        <w:rPr>
          <w:rFonts w:ascii="Arial" w:eastAsia="Times New Roman" w:hAnsi="Arial" w:cs="Arial"/>
          <w:sz w:val="22"/>
          <w:lang w:eastAsia="en-GB"/>
        </w:rPr>
        <w:t>eSafety</w:t>
      </w:r>
      <w:proofErr w:type="spellEnd"/>
      <w:r w:rsidRPr="00726EDA">
        <w:rPr>
          <w:rFonts w:ascii="Arial" w:eastAsia="Times New Roman" w:hAnsi="Arial" w:cs="Arial"/>
          <w:sz w:val="22"/>
          <w:lang w:eastAsia="en-GB"/>
        </w:rPr>
        <w:t xml:space="preserve"> Commissioner, established in 2015, is a government agency dedicated to online harm prevention and has been praised for its strong enforcement powers. Similarly, New Zealand’s Harmful Digital Communications Act (2015) introduced a clear framework for reporting and removing abusive online content. These examples demonstrate how proactive government involvement and clear accountability systems can significantly reduce digital harm.</w:t>
      </w:r>
    </w:p>
    <w:p w14:paraId="55F743A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 summary, safeguarding children from social media risks is a global priority influenced by different legal and cultural contexts. Countries such as the UK, Australia, and EU members have made significant progress by integrating education, regulation, and technology-based interventions. Learning from these international perspectives can help strengthen UK safeguarding strategies, ensuring that all children — regardless of where they live — can participate safely in the digital world.</w:t>
      </w:r>
    </w:p>
    <w:p w14:paraId="4C985702" w14:textId="77777777" w:rsidR="00AC440A" w:rsidRPr="00726EDA" w:rsidRDefault="00AC440A" w:rsidP="00726EDA">
      <w:pPr>
        <w:spacing w:before="100" w:beforeAutospacing="1" w:after="100" w:afterAutospacing="1" w:line="480" w:lineRule="auto"/>
        <w:jc w:val="both"/>
        <w:rPr>
          <w:rFonts w:ascii="Arial" w:eastAsia="Times New Roman" w:hAnsi="Arial" w:cs="Arial"/>
          <w:sz w:val="22"/>
          <w:lang w:eastAsia="en-GB"/>
        </w:rPr>
      </w:pPr>
    </w:p>
    <w:p w14:paraId="09EC4CBF" w14:textId="63F0C74C"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 xml:space="preserve">2.5 National and Local UK Context </w:t>
      </w:r>
    </w:p>
    <w:p w14:paraId="4948E96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 the United Kingdom (UK), safeguarding children from online harm is a central responsibility shared between the government, local authorities, schools, and families. The UK’s approach to digital safeguarding builds on decades of child protection policy and continues to evolve alongside new technologies. Nationally, the topic is addressed through legislation, regulatory bodies, and guidance that promote children’s rights and online safety awareness.</w:t>
      </w:r>
    </w:p>
    <w:p w14:paraId="0D2E8F6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At the national level, the Department for Education (DfE) provides statutory guidance through </w:t>
      </w:r>
      <w:r w:rsidRPr="00726EDA">
        <w:rPr>
          <w:rFonts w:ascii="Arial" w:eastAsia="Times New Roman" w:hAnsi="Arial" w:cs="Arial"/>
          <w:i/>
          <w:iCs/>
          <w:sz w:val="22"/>
          <w:lang w:eastAsia="en-GB"/>
        </w:rPr>
        <w:t>Keeping Children Safe in Education</w:t>
      </w:r>
      <w:r w:rsidRPr="00726EDA">
        <w:rPr>
          <w:rFonts w:ascii="Arial" w:eastAsia="Times New Roman" w:hAnsi="Arial" w:cs="Arial"/>
          <w:sz w:val="22"/>
          <w:lang w:eastAsia="en-GB"/>
        </w:rPr>
        <w:t xml:space="preserve"> (2023), which requires all schools and colleges to identify and respond to risks such as cyberbullying, online grooming, and exposure to harmful content. This guidance works alongside </w:t>
      </w:r>
      <w:r w:rsidRPr="00726EDA">
        <w:rPr>
          <w:rFonts w:ascii="Arial" w:eastAsia="Times New Roman" w:hAnsi="Arial" w:cs="Arial"/>
          <w:i/>
          <w:iCs/>
          <w:sz w:val="22"/>
          <w:lang w:eastAsia="en-GB"/>
        </w:rPr>
        <w:t>Working Together to Safeguard Children</w:t>
      </w:r>
      <w:r w:rsidRPr="00726EDA">
        <w:rPr>
          <w:rFonts w:ascii="Arial" w:eastAsia="Times New Roman" w:hAnsi="Arial" w:cs="Arial"/>
          <w:sz w:val="22"/>
          <w:lang w:eastAsia="en-GB"/>
        </w:rPr>
        <w:t xml:space="preserve"> (HM Government, 2018, updated 2023), which emphasises inter-agency cooperation. The Online Safety Act (2023), one of the most recent and significant pieces of legislation, places a legal duty on </w:t>
      </w:r>
      <w:r w:rsidRPr="00726EDA">
        <w:rPr>
          <w:rFonts w:ascii="Arial" w:eastAsia="Times New Roman" w:hAnsi="Arial" w:cs="Arial"/>
          <w:sz w:val="22"/>
          <w:lang w:eastAsia="en-GB"/>
        </w:rPr>
        <w:lastRenderedPageBreak/>
        <w:t>social media and technology companies to protect children by monitoring harmful or illegal content. This marks a shift in accountability from individuals and families to corporate and institutional responsibility.</w:t>
      </w:r>
    </w:p>
    <w:p w14:paraId="4E400F6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In addition to legislation, regulatory organisations such as Ofcom and the National Crime Agency’s Child Exploitation and Online Protection Command (CEOP) play vital roles. Ofcom monitors online platforms and ensures compliance with the Online Safety Act, while CEOP investigates online child exploitation and provides education through campaigns such as </w:t>
      </w:r>
      <w:proofErr w:type="spellStart"/>
      <w:r w:rsidRPr="00726EDA">
        <w:rPr>
          <w:rFonts w:ascii="Arial" w:eastAsia="Times New Roman" w:hAnsi="Arial" w:cs="Arial"/>
          <w:i/>
          <w:iCs/>
          <w:sz w:val="22"/>
          <w:lang w:eastAsia="en-GB"/>
        </w:rPr>
        <w:t>Thinkuknow</w:t>
      </w:r>
      <w:proofErr w:type="spellEnd"/>
      <w:r w:rsidRPr="00726EDA">
        <w:rPr>
          <w:rFonts w:ascii="Arial" w:eastAsia="Times New Roman" w:hAnsi="Arial" w:cs="Arial"/>
          <w:sz w:val="22"/>
          <w:lang w:eastAsia="en-GB"/>
        </w:rPr>
        <w:t>. The National Society for the Prevention of Cruelty to Children (NSPCC) continues to influence national policy, promoting the message that digital safeguarding is a shared responsibility between professionals and families.</w:t>
      </w:r>
    </w:p>
    <w:p w14:paraId="0A9AAF1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At a local level, Local Safeguarding Partnerships (LSPs) coordinate safeguarding activities across schools, social services, and health agencies. These partnerships tailor national guidance to regional needs, recognising that access to technology and types of online risk can vary by area. For instance, urban regions may focus more on cyberbullying and peer pressure, while rural communities might address digital exclusion or lack of awareness. Local authorities such as Greater Manchester Combined Authority and London Safeguarding Children Partnership have developed specific online safety strategies and training programmes for professionals and parents.</w:t>
      </w:r>
    </w:p>
    <w:p w14:paraId="6B3CD22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devolved nations within the UK also apply safeguarding policy through their own frameworks. In Scotland, </w:t>
      </w:r>
      <w:r w:rsidRPr="00726EDA">
        <w:rPr>
          <w:rFonts w:ascii="Arial" w:eastAsia="Times New Roman" w:hAnsi="Arial" w:cs="Arial"/>
          <w:i/>
          <w:iCs/>
          <w:sz w:val="22"/>
          <w:lang w:eastAsia="en-GB"/>
        </w:rPr>
        <w:t>Getting It Right for Every Child (GIRFEC)</w:t>
      </w:r>
      <w:r w:rsidRPr="00726EDA">
        <w:rPr>
          <w:rFonts w:ascii="Arial" w:eastAsia="Times New Roman" w:hAnsi="Arial" w:cs="Arial"/>
          <w:sz w:val="22"/>
          <w:lang w:eastAsia="en-GB"/>
        </w:rPr>
        <w:t xml:space="preserve"> provides a holistic model that includes digital safety as part of overall wellbeing. Wales promotes online protection through the </w:t>
      </w:r>
      <w:r w:rsidRPr="00726EDA">
        <w:rPr>
          <w:rFonts w:ascii="Arial" w:eastAsia="Times New Roman" w:hAnsi="Arial" w:cs="Arial"/>
          <w:i/>
          <w:iCs/>
          <w:sz w:val="22"/>
          <w:lang w:eastAsia="en-GB"/>
        </w:rPr>
        <w:t>Keeping Learners Safe</w:t>
      </w:r>
      <w:r w:rsidRPr="00726EDA">
        <w:rPr>
          <w:rFonts w:ascii="Arial" w:eastAsia="Times New Roman" w:hAnsi="Arial" w:cs="Arial"/>
          <w:sz w:val="22"/>
          <w:lang w:eastAsia="en-GB"/>
        </w:rPr>
        <w:t xml:space="preserve"> guidance (Welsh Government, 2023), and Northern Ireland implements regional action plans led by the Safeguarding Board for Northern Ireland (SBNI). These variations demonstrate flexibility while maintaining consistent national principles of child welfare, prevention, and multi-agency collaboration.</w:t>
      </w:r>
    </w:p>
    <w:p w14:paraId="17584F6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In summary, the UK’s approach to safeguarding children from social media–related risks </w:t>
      </w:r>
      <w:proofErr w:type="gramStart"/>
      <w:r w:rsidRPr="00726EDA">
        <w:rPr>
          <w:rFonts w:ascii="Arial" w:eastAsia="Times New Roman" w:hAnsi="Arial" w:cs="Arial"/>
          <w:sz w:val="22"/>
          <w:lang w:eastAsia="en-GB"/>
        </w:rPr>
        <w:t>is</w:t>
      </w:r>
      <w:proofErr w:type="gramEnd"/>
      <w:r w:rsidRPr="00726EDA">
        <w:rPr>
          <w:rFonts w:ascii="Arial" w:eastAsia="Times New Roman" w:hAnsi="Arial" w:cs="Arial"/>
          <w:sz w:val="22"/>
          <w:lang w:eastAsia="en-GB"/>
        </w:rPr>
        <w:t xml:space="preserve"> highly structured and proactive. National legislation such as the Online Safety Act and guidance from the DfE provide the legal foundation, while local authorities and partnerships adapt policies to meet community needs. This integrated system reflects a commitment to ensuring that every child in the UK can participate safely in digital spaces, supported by professionals who understand both national expectations and local realities.</w:t>
      </w:r>
    </w:p>
    <w:p w14:paraId="6761C97A" w14:textId="77777777" w:rsidR="00AC440A" w:rsidRPr="00726EDA" w:rsidRDefault="00AC440A" w:rsidP="00726EDA">
      <w:pPr>
        <w:spacing w:before="100" w:beforeAutospacing="1" w:after="100" w:afterAutospacing="1" w:line="480" w:lineRule="auto"/>
        <w:jc w:val="both"/>
        <w:rPr>
          <w:rFonts w:ascii="Arial" w:eastAsia="Times New Roman" w:hAnsi="Arial" w:cs="Arial"/>
          <w:sz w:val="22"/>
          <w:lang w:eastAsia="en-GB"/>
        </w:rPr>
      </w:pPr>
    </w:p>
    <w:p w14:paraId="6926FB3A" w14:textId="77777777" w:rsidR="00AC440A" w:rsidRPr="00726EDA" w:rsidRDefault="00AC440A" w:rsidP="00726EDA">
      <w:pPr>
        <w:spacing w:before="100" w:beforeAutospacing="1" w:after="100" w:afterAutospacing="1" w:line="480" w:lineRule="auto"/>
        <w:jc w:val="both"/>
        <w:rPr>
          <w:rFonts w:ascii="Arial" w:eastAsia="Times New Roman" w:hAnsi="Arial" w:cs="Arial"/>
          <w:sz w:val="22"/>
          <w:lang w:eastAsia="en-GB"/>
        </w:rPr>
      </w:pPr>
    </w:p>
    <w:p w14:paraId="31EC20A1" w14:textId="4238FB32" w:rsidR="008970A6" w:rsidRPr="00726EDA" w:rsidRDefault="008970A6"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t xml:space="preserve">2.6 Conclusion </w:t>
      </w:r>
    </w:p>
    <w:p w14:paraId="4AAC890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chapter has explored the evolution of safeguarding children from social media–related risks through historical, theoretical, global, and UK perspectives. It highlighted how safeguarding principles have developed from early welfare protection to complex digital frameworks supported by international and national legislation. Theories such as Social Learning and Ecological Systems help explain children’s online behaviour and the shared responsibility for their safety. Comparing global and UK contexts revealed how policy, education, and collaboration shape effective safeguarding. This background provides the foundation for the next chapter, which will examine the research methods used to analyse current safeguarding approaches in greater depth.</w:t>
      </w:r>
    </w:p>
    <w:p w14:paraId="0F5B8BC5"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227702E0"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44936156" w14:textId="77777777" w:rsidR="00AC440A" w:rsidRDefault="00AC440A" w:rsidP="00726EDA">
      <w:pPr>
        <w:spacing w:before="100" w:beforeAutospacing="1" w:after="100" w:afterAutospacing="1" w:line="480" w:lineRule="auto"/>
        <w:jc w:val="both"/>
        <w:rPr>
          <w:rFonts w:ascii="Arial" w:hAnsi="Arial" w:cs="Arial"/>
          <w:sz w:val="22"/>
        </w:rPr>
      </w:pPr>
    </w:p>
    <w:p w14:paraId="3E2FB61E" w14:textId="77777777" w:rsidR="00235A74" w:rsidRDefault="00235A74" w:rsidP="00726EDA">
      <w:pPr>
        <w:spacing w:before="100" w:beforeAutospacing="1" w:after="100" w:afterAutospacing="1" w:line="480" w:lineRule="auto"/>
        <w:jc w:val="both"/>
        <w:rPr>
          <w:rFonts w:ascii="Arial" w:hAnsi="Arial" w:cs="Arial"/>
          <w:sz w:val="22"/>
        </w:rPr>
      </w:pPr>
    </w:p>
    <w:p w14:paraId="5C652ACB" w14:textId="77777777" w:rsidR="00235A74" w:rsidRPr="00726EDA" w:rsidRDefault="00235A74" w:rsidP="00726EDA">
      <w:pPr>
        <w:spacing w:before="100" w:beforeAutospacing="1" w:after="100" w:afterAutospacing="1" w:line="480" w:lineRule="auto"/>
        <w:jc w:val="both"/>
        <w:rPr>
          <w:rFonts w:ascii="Arial" w:hAnsi="Arial" w:cs="Arial"/>
          <w:sz w:val="22"/>
        </w:rPr>
      </w:pPr>
    </w:p>
    <w:p w14:paraId="7D3B8C0F" w14:textId="77777777" w:rsidR="008970A6" w:rsidRPr="00726EDA" w:rsidRDefault="008970A6"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lastRenderedPageBreak/>
        <w:t>Chapter 3 – Methodology</w:t>
      </w:r>
    </w:p>
    <w:p w14:paraId="70790CB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6EEAA113"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3.1 Introduction</w:t>
      </w:r>
    </w:p>
    <w:p w14:paraId="3A323DD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chapter outlines the research design and methodological processes adopted to explore how children in the United Kingdom are safeguarded from social media–related risks. Given the policy-driven nature of the topic and the ethical sensitivities surrounding children, a secondary research approach was selected as the most appropriate method. This design allows the study to draw upon existing academic research, statutory guidance, and reports produced by safeguarding organisations, thereby providing a broad and evidence-based understanding of current practice.</w:t>
      </w:r>
    </w:p>
    <w:p w14:paraId="347AC57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chapter explains how literature was systematically identified, screened, and evaluated, and how findings were analysed to establish recurring themes relevant to the research objectives. It also discusses ethical considerations that guided the research process and the steps taken to ensure transparency, rigour, and academic integrity throughout. By presenting the methodological framework in detail, this chapter aims to demonstrate that the study was conducted in a structured, replicable, and critically informed manner.</w:t>
      </w:r>
    </w:p>
    <w:p w14:paraId="64F5F25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A5FEA52"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3.2 Search Strategy</w:t>
      </w:r>
    </w:p>
    <w:p w14:paraId="5CAD346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A systematic and carefully planned search strategy was developed </w:t>
      </w:r>
      <w:proofErr w:type="gramStart"/>
      <w:r w:rsidRPr="00726EDA">
        <w:rPr>
          <w:rFonts w:ascii="Arial" w:eastAsia="Times New Roman" w:hAnsi="Arial" w:cs="Arial"/>
          <w:sz w:val="22"/>
          <w:lang w:eastAsia="en-GB"/>
        </w:rPr>
        <w:t>in order to</w:t>
      </w:r>
      <w:proofErr w:type="gramEnd"/>
      <w:r w:rsidRPr="00726EDA">
        <w:rPr>
          <w:rFonts w:ascii="Arial" w:eastAsia="Times New Roman" w:hAnsi="Arial" w:cs="Arial"/>
          <w:sz w:val="22"/>
          <w:lang w:eastAsia="en-GB"/>
        </w:rPr>
        <w:t xml:space="preserve"> locate sources that were both relevant to the research aims and robust in academic quality. The process began with breaking the research question into core conceptual areas: child safeguarding, social media use, online risks, and professional or parental responses. These concepts were then converted into searchable keywords and phrases.</w:t>
      </w:r>
    </w:p>
    <w:p w14:paraId="7BBFA9AE" w14:textId="4863EF13"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Boolean operators were applied to manage the scope of the searches. The operator </w:t>
      </w:r>
      <w:r w:rsidRPr="00726EDA">
        <w:rPr>
          <w:rFonts w:ascii="Arial" w:eastAsia="Times New Roman" w:hAnsi="Arial" w:cs="Arial"/>
          <w:b/>
          <w:bCs/>
          <w:sz w:val="22"/>
          <w:lang w:eastAsia="en-GB"/>
        </w:rPr>
        <w:t>AND</w:t>
      </w:r>
      <w:r w:rsidRPr="00726EDA">
        <w:rPr>
          <w:rFonts w:ascii="Arial" w:eastAsia="Times New Roman" w:hAnsi="Arial" w:cs="Arial"/>
          <w:sz w:val="22"/>
          <w:lang w:eastAsia="en-GB"/>
        </w:rPr>
        <w:t xml:space="preserve"> was used to connect central concepts, for example “child safeguarding AND social media,” ensuring that results addressed both issues simultaneously. The operator </w:t>
      </w:r>
      <w:r w:rsidRPr="00726EDA">
        <w:rPr>
          <w:rFonts w:ascii="Arial" w:eastAsia="Times New Roman" w:hAnsi="Arial" w:cs="Arial"/>
          <w:b/>
          <w:bCs/>
          <w:sz w:val="22"/>
          <w:lang w:eastAsia="en-GB"/>
        </w:rPr>
        <w:t>OR</w:t>
      </w:r>
      <w:r w:rsidRPr="00726EDA">
        <w:rPr>
          <w:rFonts w:ascii="Arial" w:eastAsia="Times New Roman" w:hAnsi="Arial" w:cs="Arial"/>
          <w:sz w:val="22"/>
          <w:lang w:eastAsia="en-GB"/>
        </w:rPr>
        <w:t xml:space="preserve"> was employed to capture related terms, such as “cyberbullying OR online harassment OR digital abuse,” while </w:t>
      </w:r>
      <w:r w:rsidR="00AC440A" w:rsidRPr="00726EDA">
        <w:rPr>
          <w:rFonts w:ascii="Arial" w:eastAsia="Times New Roman" w:hAnsi="Arial" w:cs="Arial"/>
          <w:b/>
          <w:bCs/>
          <w:sz w:val="22"/>
          <w:lang w:eastAsia="en-GB"/>
        </w:rPr>
        <w:t xml:space="preserve">NOT </w:t>
      </w:r>
      <w:r w:rsidRPr="00726EDA">
        <w:rPr>
          <w:rFonts w:ascii="Arial" w:eastAsia="Times New Roman" w:hAnsi="Arial" w:cs="Arial"/>
          <w:sz w:val="22"/>
          <w:lang w:eastAsia="en-GB"/>
        </w:rPr>
        <w:t>was occasionally used to exclude irrelevant material, for example studies focusing solely on adult online behaviour.</w:t>
      </w:r>
    </w:p>
    <w:p w14:paraId="02DD71C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Search strings were adjusted repeatedly as new terminology emerged within the literature, particularly in relation to evolving digital platforms and legislative changes. This iterative process helped ensure that the final dataset reflected the most current discussions within safeguarding research and UK policy debates.</w:t>
      </w:r>
    </w:p>
    <w:p w14:paraId="046177D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2A3F499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58F66E6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0F6202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7D3B3E5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3.3 Searching for Information</w:t>
      </w:r>
    </w:p>
    <w:p w14:paraId="64D3A43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Searches were undertaken across a range of academic and professional platforms to maximise coverage and minimise publication bias. The University of Wales Trinity Saint David (UWTSD) online library was used as the primary gateway to scholarly databases, including ProQuest, EBSCOhost, and ScienceDirect. These databases were selected because of their extensive holdings in social care, education, psychology, and public-health research.</w:t>
      </w:r>
    </w:p>
    <w:p w14:paraId="264EB24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Google Scholar was used as a supplementary tool to locate peer-reviewed articles that may not have appeared within the institutional databases. Government sources were accessed through GOV.UK </w:t>
      </w:r>
      <w:proofErr w:type="gramStart"/>
      <w:r w:rsidRPr="00726EDA">
        <w:rPr>
          <w:rFonts w:ascii="Arial" w:eastAsia="Times New Roman" w:hAnsi="Arial" w:cs="Arial"/>
          <w:sz w:val="22"/>
          <w:lang w:eastAsia="en-GB"/>
        </w:rPr>
        <w:t>in order to</w:t>
      </w:r>
      <w:proofErr w:type="gramEnd"/>
      <w:r w:rsidRPr="00726EDA">
        <w:rPr>
          <w:rFonts w:ascii="Arial" w:eastAsia="Times New Roman" w:hAnsi="Arial" w:cs="Arial"/>
          <w:sz w:val="22"/>
          <w:lang w:eastAsia="en-GB"/>
        </w:rPr>
        <w:t xml:space="preserve"> obtain up-to-date statutory guidance, consultation papers, and </w:t>
      </w:r>
      <w:r w:rsidRPr="00726EDA">
        <w:rPr>
          <w:rFonts w:ascii="Arial" w:eastAsia="Times New Roman" w:hAnsi="Arial" w:cs="Arial"/>
          <w:sz w:val="22"/>
          <w:lang w:eastAsia="en-GB"/>
        </w:rPr>
        <w:lastRenderedPageBreak/>
        <w:t>legislative documents, including material relating to the Online Safety Act and safeguarding frameworks for schools.</w:t>
      </w:r>
    </w:p>
    <w:p w14:paraId="341B579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Publications produced by major safeguarding organisations, such as the Department for Education, Ofcom, and the National Society for the Prevention of Cruelty to Children (NSPCC), were incorporated because of their authoritative role in shaping UK practice and policy. These organisational reports were treated as “grey literature” and were subjected to the same critical evaluation as academic studies.</w:t>
      </w:r>
    </w:p>
    <w:p w14:paraId="17FD16D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Key search terms included “safeguarding children,” “social media risks,” “cyberbullying,” “online grooming,” “digital literacy,” “child protection UK,” and “Online Safety Act.” These were combined in multiple configurations to ensure comprehensive coverage while avoiding excessive duplication.</w:t>
      </w:r>
    </w:p>
    <w:p w14:paraId="6362637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508F9863"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3.4 Research Validation</w:t>
      </w:r>
    </w:p>
    <w:p w14:paraId="2FD5EFF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All sources identified through the search process were evaluated systematically using the </w:t>
      </w:r>
      <w:r w:rsidRPr="00726EDA">
        <w:rPr>
          <w:rFonts w:ascii="Arial" w:eastAsia="Times New Roman" w:hAnsi="Arial" w:cs="Arial"/>
          <w:b/>
          <w:bCs/>
          <w:sz w:val="22"/>
          <w:lang w:eastAsia="en-GB"/>
        </w:rPr>
        <w:t>CRAAP</w:t>
      </w:r>
      <w:r w:rsidRPr="00726EDA">
        <w:rPr>
          <w:rFonts w:ascii="Arial" w:eastAsia="Times New Roman" w:hAnsi="Arial" w:cs="Arial"/>
          <w:sz w:val="22"/>
          <w:lang w:eastAsia="en-GB"/>
        </w:rPr>
        <w:t xml:space="preserve"> framework: Currency, Relevance, Authority, Accuracy, and Purpose. This approach provided a structured method for assessing quality and credibility before material was included in the final analysis.</w:t>
      </w:r>
    </w:p>
    <w:p w14:paraId="3D63ED6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Currency was addressed by prioritising publications from 2015 onwards, reflecting the rapid evolution of digital technology and safeguarding policy. Relevance was assessed by examining whether studies focused specifically on children, social media environments, or UK safeguarding frameworks. Authority was evaluated through author credentials, institutional affiliations, and the reputation of publishing bodies or academic journals.</w:t>
      </w:r>
    </w:p>
    <w:p w14:paraId="3D97B9B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Accuracy was considered by reviewing research design, sample sizes, data-collection methods, and the transparency of analytical procedures. Purpose was scrutinised to identify </w:t>
      </w:r>
      <w:r w:rsidRPr="00726EDA">
        <w:rPr>
          <w:rFonts w:ascii="Arial" w:eastAsia="Times New Roman" w:hAnsi="Arial" w:cs="Arial"/>
          <w:sz w:val="22"/>
          <w:lang w:eastAsia="en-GB"/>
        </w:rPr>
        <w:lastRenderedPageBreak/>
        <w:t>potential bias, particularly within advocacy-led organisational reports, which may emphasise campaigning objectives. Where such sources were used, their findings were triangulated with academic studies to strengthen reliability.</w:t>
      </w:r>
    </w:p>
    <w:p w14:paraId="00BBD8B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1762319"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3.5 Inclusion and Exclusion Criteria</w:t>
      </w:r>
    </w:p>
    <w:p w14:paraId="6C2D538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Explicit inclusion and exclusion criteria were applied to ensure consistency and academic rigour throughout the selection process.</w:t>
      </w:r>
    </w:p>
    <w:p w14:paraId="21E9E7A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b/>
          <w:bCs/>
          <w:sz w:val="22"/>
          <w:lang w:eastAsia="en-GB"/>
        </w:rPr>
        <w:t>Inclusion criteria</w:t>
      </w:r>
      <w:r w:rsidRPr="00726EDA">
        <w:rPr>
          <w:rFonts w:ascii="Arial" w:eastAsia="Times New Roman" w:hAnsi="Arial" w:cs="Arial"/>
          <w:sz w:val="22"/>
          <w:lang w:eastAsia="en-GB"/>
        </w:rPr>
        <w:t xml:space="preserve"> comprised peer-reviewed journal articles; UK-focused policy documents; reports from recognised safeguarding organisations; English-language publications; and material produced between 2015 and 2024.</w:t>
      </w:r>
    </w:p>
    <w:p w14:paraId="2569303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b/>
          <w:bCs/>
          <w:sz w:val="22"/>
          <w:lang w:eastAsia="en-GB"/>
        </w:rPr>
        <w:t>Exclusion criteria</w:t>
      </w:r>
      <w:r w:rsidRPr="00726EDA">
        <w:rPr>
          <w:rFonts w:ascii="Arial" w:eastAsia="Times New Roman" w:hAnsi="Arial" w:cs="Arial"/>
          <w:sz w:val="22"/>
          <w:lang w:eastAsia="en-GB"/>
        </w:rPr>
        <w:t xml:space="preserve"> included opinion-based media articles, blogs without academic oversight, studies centred exclusively on adult populations, and international research lacking relevance to the UK legislative context. Sources that failed to describe their methodology clearly were also excluded.</w:t>
      </w:r>
    </w:p>
    <w:p w14:paraId="4F6B5E1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Applying these criteria reduced the risk of bias and ensured that the dataset remained closely aligned with the research objectives.</w:t>
      </w:r>
    </w:p>
    <w:p w14:paraId="65053CF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501D5A9"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3.6 Analysing Research and Establishing Themes</w:t>
      </w:r>
    </w:p>
    <w:p w14:paraId="026E71C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selected literature was analysed using thematic analysis, following the stages outlined by Braun and Clarke. This involved familiarisation with the data through repeated reading, initial coding of significant patterns, and the development of broader themes that captured recurring issues across sources.</w:t>
      </w:r>
    </w:p>
    <w:p w14:paraId="620F169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Codes were generated around topics such as types of online harm, professional safeguarding responsibilities, parental monitoring strategies, digital-literacy education, enforcement of legislation, and inter-agency collaboration. These codes were then grouped into higher-level themes that directly reflected the research objectives.</w:t>
      </w:r>
    </w:p>
    <w:p w14:paraId="77E3578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Comparisons were drawn between academic studies and policy documents to identify areas of consensus, disagreement, and absence within the literature. This enabled the analysis to move beyond description toward critical evaluation, particularly in relation to whether existing frameworks adequately protect children in fast-changing digital environments.</w:t>
      </w:r>
    </w:p>
    <w:p w14:paraId="390C6A04" w14:textId="4838623D" w:rsidR="009D719E" w:rsidRPr="00726EDA" w:rsidRDefault="009D719E"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To enhance transparency and analytical rigour, a</w:t>
      </w:r>
      <w:r w:rsidR="002F7ED0" w:rsidRPr="00726EDA">
        <w:rPr>
          <w:rFonts w:ascii="Arial" w:hAnsi="Arial" w:cs="Arial"/>
          <w:sz w:val="22"/>
        </w:rPr>
        <w:t xml:space="preserve"> Source Tracking Table</w:t>
      </w:r>
      <w:r w:rsidRPr="00726EDA">
        <w:rPr>
          <w:rFonts w:ascii="Arial" w:hAnsi="Arial" w:cs="Arial"/>
          <w:sz w:val="22"/>
        </w:rPr>
        <w:t xml:space="preserve"> was developed to systematically record key characteristics, methodological features, strengths, limitations and emerging codes across the included sources (see Appendix </w:t>
      </w:r>
      <w:r w:rsidR="002F032B" w:rsidRPr="00726EDA">
        <w:rPr>
          <w:rFonts w:ascii="Arial" w:hAnsi="Arial" w:cs="Arial"/>
          <w:sz w:val="22"/>
        </w:rPr>
        <w:t>A</w:t>
      </w:r>
      <w:r w:rsidRPr="00726EDA">
        <w:rPr>
          <w:rFonts w:ascii="Arial" w:hAnsi="Arial" w:cs="Arial"/>
          <w:sz w:val="22"/>
        </w:rPr>
        <w:t>).</w:t>
      </w:r>
    </w:p>
    <w:p w14:paraId="67A1ECB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A0359D6"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3.7 Ethical Considerations</w:t>
      </w:r>
    </w:p>
    <w:p w14:paraId="7D9A3E6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Although the research relied solely on secondary sources, ethical integrity remained central to the study. All materials were cited accurately using the UWTSD Harvard referencing system, and original authorship was acknowledged consistently to avoid plagiarism.</w:t>
      </w:r>
    </w:p>
    <w:p w14:paraId="6FD0441B" w14:textId="4D47F7DB" w:rsidR="008970A6"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Care was taken not to misrepresent findings or selectively report evidence that supported preconceived arguments. Where organisational publications were used, their potential advocacy roles were recognised and balanced against peer-reviewed research. The researcher remained reflexive throughout the process, acknowledging how personal interest in safeguarding might influence interpretation and actively seeking contradictory perspectives within the </w:t>
      </w:r>
      <w:r w:rsidR="00452A36" w:rsidRPr="00726EDA">
        <w:rPr>
          <w:rFonts w:ascii="Arial" w:eastAsia="Times New Roman" w:hAnsi="Arial" w:cs="Arial"/>
          <w:sz w:val="22"/>
          <w:lang w:eastAsia="en-GB"/>
        </w:rPr>
        <w:t>literature. These</w:t>
      </w:r>
      <w:r w:rsidRPr="00726EDA">
        <w:rPr>
          <w:rFonts w:ascii="Arial" w:eastAsia="Times New Roman" w:hAnsi="Arial" w:cs="Arial"/>
          <w:sz w:val="22"/>
          <w:lang w:eastAsia="en-GB"/>
        </w:rPr>
        <w:t xml:space="preserve"> measures ensured transparency, fairness, and trustworthiness within the research process.</w:t>
      </w:r>
    </w:p>
    <w:p w14:paraId="6AC620ED" w14:textId="77777777" w:rsidR="00520371" w:rsidRPr="00726EDA" w:rsidRDefault="00520371" w:rsidP="00726EDA">
      <w:pPr>
        <w:spacing w:before="100" w:beforeAutospacing="1" w:after="100" w:afterAutospacing="1" w:line="480" w:lineRule="auto"/>
        <w:jc w:val="both"/>
        <w:rPr>
          <w:rFonts w:ascii="Arial" w:eastAsia="Times New Roman" w:hAnsi="Arial" w:cs="Arial"/>
          <w:sz w:val="22"/>
          <w:lang w:eastAsia="en-GB"/>
        </w:rPr>
      </w:pPr>
    </w:p>
    <w:p w14:paraId="27D0D867" w14:textId="6B34CB1B" w:rsidR="00D11E87" w:rsidRPr="00726EDA" w:rsidRDefault="00D11E87" w:rsidP="00726EDA">
      <w:pPr>
        <w:spacing w:before="100" w:beforeAutospacing="1" w:after="100" w:afterAutospacing="1" w:line="480" w:lineRule="auto"/>
        <w:jc w:val="both"/>
        <w:outlineLvl w:val="2"/>
        <w:rPr>
          <w:rFonts w:ascii="Arial" w:eastAsia="Times New Roman" w:hAnsi="Arial" w:cs="Arial"/>
          <w:b/>
          <w:bCs/>
          <w:sz w:val="22"/>
          <w:lang w:eastAsia="en-GB"/>
        </w:rPr>
      </w:pPr>
      <w:r w:rsidRPr="00726EDA">
        <w:rPr>
          <w:rFonts w:ascii="Arial" w:eastAsia="Times New Roman" w:hAnsi="Arial" w:cs="Arial"/>
          <w:b/>
          <w:bCs/>
          <w:sz w:val="22"/>
          <w:lang w:eastAsia="en-GB"/>
        </w:rPr>
        <w:lastRenderedPageBreak/>
        <w:t>3.8 Conclusion</w:t>
      </w:r>
    </w:p>
    <w:p w14:paraId="120AA9CF" w14:textId="77777777" w:rsidR="00D11E87" w:rsidRPr="00726EDA" w:rsidRDefault="00D11E87"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chapter has outlined the methodological approach used to investigate the challenges of safeguarding children from social-media-related risks in the United Kingdom. A secondary, desk-based research design was selected to ensure ethical sensitivity and to allow systematic examination of existing academic literature, statutory guidance, and regulatory reports relevant to UK safeguarding practice.</w:t>
      </w:r>
    </w:p>
    <w:p w14:paraId="3E211B21" w14:textId="77777777" w:rsidR="00D11E87" w:rsidRPr="00726EDA" w:rsidRDefault="00D11E87"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chapter detailed the search strategy, inclusion and exclusion criteria, and validation processes applied to ensure that sources were credible, current, and directly aligned with the research objectives. The use of the CRAAP framework and a structured results summary table strengthened the transparency and rigour of the selection process. Thematic analysis was adopted as the most appropriate analytical method, enabling the identification of recurring patterns relating to online harms, professional responses, parental roles, and regulatory effectiveness.</w:t>
      </w:r>
    </w:p>
    <w:p w14:paraId="171A8BEB" w14:textId="77777777" w:rsidR="00D11E87" w:rsidRPr="00726EDA" w:rsidRDefault="00D11E87"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Ethical considerations were addressed through careful source evaluation, accurate referencing, and reflexive awareness of potential bias. Overall, this methodological framework provides a robust foundation for the thematic findings presented in Chapter 4, ensuring that the analysis is evidence-based, systematic, and aligned with the study’s aim of evaluating the effectiveness of current safeguarding measures.</w:t>
      </w:r>
    </w:p>
    <w:p w14:paraId="2765174C" w14:textId="77777777" w:rsidR="0027459A" w:rsidRPr="00726EDA" w:rsidRDefault="0027459A" w:rsidP="00726EDA">
      <w:pPr>
        <w:spacing w:before="100" w:beforeAutospacing="1" w:after="100" w:afterAutospacing="1" w:line="480" w:lineRule="auto"/>
        <w:jc w:val="both"/>
        <w:rPr>
          <w:rFonts w:ascii="Arial" w:eastAsia="Times New Roman" w:hAnsi="Arial" w:cs="Arial"/>
          <w:sz w:val="22"/>
          <w:lang w:eastAsia="en-GB"/>
        </w:rPr>
      </w:pPr>
    </w:p>
    <w:p w14:paraId="23D1B08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65CBDA17" w14:textId="77777777" w:rsidR="00D11E87" w:rsidRPr="00726EDA" w:rsidRDefault="00D11E87" w:rsidP="00726EDA">
      <w:pPr>
        <w:spacing w:before="100" w:beforeAutospacing="1" w:after="100" w:afterAutospacing="1" w:line="480" w:lineRule="auto"/>
        <w:jc w:val="both"/>
        <w:rPr>
          <w:rFonts w:ascii="Arial" w:hAnsi="Arial" w:cs="Arial"/>
          <w:sz w:val="22"/>
        </w:rPr>
      </w:pPr>
    </w:p>
    <w:p w14:paraId="71A94EE8" w14:textId="77777777" w:rsidR="00D11E87" w:rsidRPr="00726EDA" w:rsidRDefault="00D11E87" w:rsidP="00726EDA">
      <w:pPr>
        <w:spacing w:before="100" w:beforeAutospacing="1" w:after="100" w:afterAutospacing="1" w:line="480" w:lineRule="auto"/>
        <w:jc w:val="both"/>
        <w:rPr>
          <w:rFonts w:ascii="Arial" w:hAnsi="Arial" w:cs="Arial"/>
          <w:sz w:val="22"/>
        </w:rPr>
      </w:pPr>
    </w:p>
    <w:p w14:paraId="501ACAEA" w14:textId="77777777" w:rsidR="00D11E87" w:rsidRPr="00726EDA" w:rsidRDefault="00D11E87" w:rsidP="00726EDA">
      <w:pPr>
        <w:spacing w:before="100" w:beforeAutospacing="1" w:after="100" w:afterAutospacing="1" w:line="480" w:lineRule="auto"/>
        <w:jc w:val="both"/>
        <w:rPr>
          <w:rFonts w:ascii="Arial" w:hAnsi="Arial" w:cs="Arial"/>
          <w:sz w:val="22"/>
        </w:rPr>
      </w:pPr>
    </w:p>
    <w:p w14:paraId="3479B5BE" w14:textId="77777777" w:rsidR="008970A6" w:rsidRPr="00726EDA" w:rsidRDefault="008970A6" w:rsidP="00726EDA">
      <w:pPr>
        <w:spacing w:before="100" w:beforeAutospacing="1" w:after="100" w:afterAutospacing="1" w:line="480" w:lineRule="auto"/>
        <w:jc w:val="both"/>
        <w:rPr>
          <w:rFonts w:ascii="Arial" w:hAnsi="Arial" w:cs="Arial"/>
          <w:b/>
          <w:bCs/>
          <w:kern w:val="2"/>
          <w:sz w:val="22"/>
          <w14:ligatures w14:val="standardContextual"/>
        </w:rPr>
      </w:pPr>
      <w:r w:rsidRPr="00726EDA">
        <w:rPr>
          <w:rFonts w:ascii="Arial" w:hAnsi="Arial" w:cs="Arial"/>
          <w:b/>
          <w:bCs/>
          <w:kern w:val="2"/>
          <w:sz w:val="22"/>
          <w14:ligatures w14:val="standardContextual"/>
        </w:rPr>
        <w:lastRenderedPageBreak/>
        <w:t>Chapter 4</w:t>
      </w:r>
    </w:p>
    <w:p w14:paraId="3C3E1390"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4.1 Chapter Introduction</w:t>
      </w:r>
    </w:p>
    <w:p w14:paraId="3481577A" w14:textId="79037617" w:rsidR="008970A6" w:rsidRPr="00726EDA" w:rsidRDefault="008970A6" w:rsidP="00726EDA">
      <w:pPr>
        <w:spacing w:before="100" w:beforeAutospacing="1" w:after="100" w:afterAutospacing="1" w:line="480" w:lineRule="auto"/>
        <w:jc w:val="both"/>
        <w:rPr>
          <w:rFonts w:ascii="Arial" w:hAnsi="Arial" w:cs="Arial"/>
          <w:sz w:val="22"/>
        </w:rPr>
      </w:pPr>
      <w:r w:rsidRPr="00726EDA">
        <w:rPr>
          <w:rFonts w:ascii="Arial" w:eastAsia="Times New Roman" w:hAnsi="Arial" w:cs="Arial"/>
          <w:sz w:val="22"/>
          <w:lang w:eastAsia="en-GB"/>
        </w:rPr>
        <w:t>This chapter presents and analyses the key findings generated from the secondary research process outlined in Chapter 3. It addresses the study’s aim of exploring the challenges involved in safeguarding children from social-media-related risks in the UK and evaluating the effectiveness of current protective responses. Themes were developed through a systematic process of coding and thematic analysis, following Braun and Clarke’s (2006) framework, which enabled patterns across academic studies, inspection reports, and policy documents to be identified and grouped</w:t>
      </w:r>
      <w:r w:rsidR="00DA0B20" w:rsidRPr="00726EDA">
        <w:rPr>
          <w:rFonts w:ascii="Arial" w:eastAsia="Times New Roman" w:hAnsi="Arial" w:cs="Arial"/>
          <w:sz w:val="22"/>
          <w:lang w:eastAsia="en-GB"/>
        </w:rPr>
        <w:t>.</w:t>
      </w:r>
      <w:r w:rsidR="00DA0B20" w:rsidRPr="00726EDA">
        <w:rPr>
          <w:rFonts w:ascii="Arial" w:hAnsi="Arial" w:cs="Arial"/>
          <w:sz w:val="22"/>
        </w:rPr>
        <w:t xml:space="preserve"> The chapter is structured around three central themes: forms and prevalence of online harm affecting children in the UK, the effectiveness of safeguarding frameworks and professional responses in the UK, and structural and systemic barriers to effective online safeguarding in the UK.</w:t>
      </w:r>
    </w:p>
    <w:p w14:paraId="30B2C4C0" w14:textId="77777777" w:rsidR="00DA0B20" w:rsidRPr="00726EDA" w:rsidRDefault="00DA0B20" w:rsidP="00726EDA">
      <w:pPr>
        <w:spacing w:before="100" w:beforeAutospacing="1" w:after="100" w:afterAutospacing="1" w:line="480" w:lineRule="auto"/>
        <w:jc w:val="both"/>
        <w:rPr>
          <w:rFonts w:ascii="Arial" w:eastAsia="Times New Roman" w:hAnsi="Arial" w:cs="Arial"/>
          <w:sz w:val="22"/>
          <w:lang w:eastAsia="en-GB"/>
        </w:rPr>
      </w:pPr>
    </w:p>
    <w:p w14:paraId="6105A6D4"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4.2 Thematic Analysis</w:t>
      </w:r>
    </w:p>
    <w:p w14:paraId="30DE061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dissertation employed thematic analysis to examine patterns across the secondary literature, following the six-phase framework proposed by Braun and Clarke (2006). This approach was selected because it allows systematic identification and interpretation of recurring issues within complex bodies of policy documents, inspection reports and academic studies relating to online safeguarding.</w:t>
      </w:r>
    </w:p>
    <w:p w14:paraId="509D13A6" w14:textId="57731E34"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process began with familiarisation, during which all included sources were read and re-read, and detailed notes were recorded in the results summary table developed in Chapter 3. Initial codes were then generated to capture repeated concepts such as cyberbullying, grooming, school preparedness, parental digital literacy, platform accountability and policy enforcement. These codes were reviewed and grouped into broader analytical themes by </w:t>
      </w:r>
      <w:r w:rsidRPr="00726EDA">
        <w:rPr>
          <w:rFonts w:ascii="Arial" w:eastAsia="Times New Roman" w:hAnsi="Arial" w:cs="Arial"/>
          <w:sz w:val="22"/>
          <w:lang w:eastAsia="en-GB"/>
        </w:rPr>
        <w:lastRenderedPageBreak/>
        <w:t xml:space="preserve">comparing findings across various sources and </w:t>
      </w:r>
      <w:r w:rsidR="008C05B6" w:rsidRPr="00726EDA">
        <w:rPr>
          <w:rFonts w:ascii="Arial" w:eastAsia="Times New Roman" w:hAnsi="Arial" w:cs="Arial"/>
          <w:sz w:val="22"/>
          <w:lang w:eastAsia="en-GB"/>
        </w:rPr>
        <w:t>showing</w:t>
      </w:r>
      <w:r w:rsidRPr="00726EDA">
        <w:rPr>
          <w:rFonts w:ascii="Arial" w:eastAsia="Times New Roman" w:hAnsi="Arial" w:cs="Arial"/>
          <w:sz w:val="22"/>
          <w:lang w:eastAsia="en-GB"/>
        </w:rPr>
        <w:t xml:space="preserve"> areas of convergence or disagreement.</w:t>
      </w:r>
    </w:p>
    <w:p w14:paraId="14F67037" w14:textId="77777777" w:rsidR="00F34880" w:rsidRPr="00726EDA" w:rsidRDefault="00444597" w:rsidP="00726EDA">
      <w:pPr>
        <w:spacing w:before="100" w:beforeAutospacing="1" w:after="100" w:afterAutospacing="1" w:line="480" w:lineRule="auto"/>
        <w:rPr>
          <w:rFonts w:ascii="Arial" w:hAnsi="Arial" w:cs="Arial"/>
          <w:sz w:val="22"/>
        </w:rPr>
      </w:pPr>
      <w:r w:rsidRPr="00726EDA">
        <w:rPr>
          <w:rFonts w:ascii="Arial" w:hAnsi="Arial" w:cs="Arial"/>
          <w:sz w:val="22"/>
        </w:rPr>
        <w:t>Themes were refined through repeated checking against the original research aim and objectives to ensure analytical relevance.</w:t>
      </w:r>
      <w:r w:rsidR="00F34880" w:rsidRPr="00726EDA">
        <w:rPr>
          <w:rFonts w:ascii="Arial" w:hAnsi="Arial" w:cs="Arial"/>
          <w:sz w:val="22"/>
        </w:rPr>
        <w:t xml:space="preserve"> </w:t>
      </w:r>
    </w:p>
    <w:p w14:paraId="13A7F77A" w14:textId="590397BD" w:rsidR="005F65E9" w:rsidRPr="00726EDA" w:rsidRDefault="00F34880" w:rsidP="00726EDA">
      <w:pPr>
        <w:spacing w:before="100" w:beforeAutospacing="1" w:after="100" w:afterAutospacing="1" w:line="480" w:lineRule="auto"/>
        <w:rPr>
          <w:rFonts w:ascii="Arial" w:hAnsi="Arial" w:cs="Arial"/>
          <w:sz w:val="22"/>
        </w:rPr>
      </w:pPr>
      <w:r w:rsidRPr="00726EDA">
        <w:rPr>
          <w:rFonts w:ascii="Arial" w:hAnsi="Arial" w:cs="Arial"/>
          <w:sz w:val="22"/>
        </w:rPr>
        <w:t xml:space="preserve">As documented in Appendix A (Results Summary Table), the sources underpinning these themes include peer-reviewed research, statutory guidance and regulator reports. The table </w:t>
      </w:r>
      <w:proofErr w:type="gramStart"/>
      <w:r w:rsidRPr="00726EDA">
        <w:rPr>
          <w:rFonts w:ascii="Arial" w:hAnsi="Arial" w:cs="Arial"/>
          <w:sz w:val="22"/>
        </w:rPr>
        <w:t>evidences</w:t>
      </w:r>
      <w:proofErr w:type="gramEnd"/>
      <w:r w:rsidRPr="00726EDA">
        <w:rPr>
          <w:rFonts w:ascii="Arial" w:hAnsi="Arial" w:cs="Arial"/>
          <w:sz w:val="22"/>
        </w:rPr>
        <w:t xml:space="preserve"> how findings across different source types converge on recurring safeguarding challenges and supports the analytical structure of the three themes presented below</w:t>
      </w:r>
      <w:r w:rsidR="005F65E9" w:rsidRPr="00726EDA">
        <w:rPr>
          <w:rFonts w:ascii="Arial" w:hAnsi="Arial" w:cs="Arial"/>
          <w:sz w:val="22"/>
        </w:rPr>
        <w:t>:</w:t>
      </w:r>
    </w:p>
    <w:p w14:paraId="494866E7" w14:textId="77777777" w:rsidR="005F65E9" w:rsidRPr="00726EDA" w:rsidRDefault="005F65E9" w:rsidP="00726EDA">
      <w:pPr>
        <w:spacing w:before="100" w:beforeAutospacing="1" w:after="100" w:afterAutospacing="1" w:line="480" w:lineRule="auto"/>
        <w:rPr>
          <w:rFonts w:ascii="Arial" w:hAnsi="Arial" w:cs="Arial"/>
          <w:sz w:val="22"/>
        </w:rPr>
      </w:pPr>
    </w:p>
    <w:p w14:paraId="5ECE0B88" w14:textId="770B9D8C" w:rsidR="00444597" w:rsidRPr="00726EDA" w:rsidRDefault="008F5D84" w:rsidP="00726EDA">
      <w:pPr>
        <w:spacing w:before="100" w:beforeAutospacing="1" w:after="100" w:afterAutospacing="1" w:line="480" w:lineRule="auto"/>
        <w:rPr>
          <w:rFonts w:ascii="Arial" w:eastAsia="Times New Roman" w:hAnsi="Arial" w:cs="Arial"/>
          <w:sz w:val="22"/>
          <w:lang w:eastAsia="en-GB"/>
        </w:rPr>
      </w:pPr>
      <w:r w:rsidRPr="00726EDA">
        <w:rPr>
          <w:rFonts w:ascii="Arial" w:hAnsi="Arial" w:cs="Arial"/>
          <w:sz w:val="22"/>
        </w:rPr>
        <w:t>T</w:t>
      </w:r>
      <w:r w:rsidR="00616D2D" w:rsidRPr="00726EDA">
        <w:rPr>
          <w:rFonts w:ascii="Arial" w:hAnsi="Arial" w:cs="Arial"/>
          <w:sz w:val="22"/>
        </w:rPr>
        <w:t xml:space="preserve">heme </w:t>
      </w:r>
      <w:r w:rsidR="00444597" w:rsidRPr="00726EDA">
        <w:rPr>
          <w:rFonts w:ascii="Arial" w:hAnsi="Arial" w:cs="Arial"/>
          <w:sz w:val="22"/>
        </w:rPr>
        <w:t>(1)</w:t>
      </w:r>
      <w:r w:rsidR="00204C0B" w:rsidRPr="00726EDA">
        <w:rPr>
          <w:rFonts w:ascii="Arial" w:hAnsi="Arial" w:cs="Arial"/>
          <w:sz w:val="22"/>
        </w:rPr>
        <w:t>:</w:t>
      </w:r>
      <w:r w:rsidR="00444597" w:rsidRPr="00726EDA">
        <w:rPr>
          <w:rFonts w:ascii="Arial" w:hAnsi="Arial" w:cs="Arial"/>
          <w:sz w:val="22"/>
        </w:rPr>
        <w:t xml:space="preserve"> Forms and prevalence of online harm affecting children in the UK.</w:t>
      </w:r>
      <w:r w:rsidR="00444597" w:rsidRPr="00726EDA">
        <w:rPr>
          <w:rFonts w:ascii="Arial" w:hAnsi="Arial" w:cs="Arial"/>
          <w:sz w:val="22"/>
        </w:rPr>
        <w:br/>
      </w:r>
      <w:r w:rsidRPr="00726EDA">
        <w:rPr>
          <w:rFonts w:ascii="Arial" w:hAnsi="Arial" w:cs="Arial"/>
          <w:sz w:val="22"/>
        </w:rPr>
        <w:t xml:space="preserve">Theme </w:t>
      </w:r>
      <w:r w:rsidR="00444597" w:rsidRPr="00726EDA">
        <w:rPr>
          <w:rFonts w:ascii="Arial" w:hAnsi="Arial" w:cs="Arial"/>
          <w:sz w:val="22"/>
        </w:rPr>
        <w:t>(2)</w:t>
      </w:r>
      <w:r w:rsidR="00204C0B" w:rsidRPr="00726EDA">
        <w:rPr>
          <w:rFonts w:ascii="Arial" w:hAnsi="Arial" w:cs="Arial"/>
          <w:sz w:val="22"/>
        </w:rPr>
        <w:t>:</w:t>
      </w:r>
      <w:r w:rsidR="00444597" w:rsidRPr="00726EDA">
        <w:rPr>
          <w:rFonts w:ascii="Arial" w:hAnsi="Arial" w:cs="Arial"/>
          <w:sz w:val="22"/>
        </w:rPr>
        <w:t xml:space="preserve"> Effectiveness of safeguarding frameworks and professional responses in the UK.</w:t>
      </w:r>
      <w:r w:rsidR="00444597" w:rsidRPr="00726EDA">
        <w:rPr>
          <w:rFonts w:ascii="Arial" w:hAnsi="Arial" w:cs="Arial"/>
          <w:sz w:val="22"/>
        </w:rPr>
        <w:br/>
      </w:r>
      <w:r w:rsidRPr="00726EDA">
        <w:rPr>
          <w:rFonts w:ascii="Arial" w:hAnsi="Arial" w:cs="Arial"/>
          <w:sz w:val="22"/>
        </w:rPr>
        <w:t xml:space="preserve">Theme </w:t>
      </w:r>
      <w:r w:rsidR="00444597" w:rsidRPr="00726EDA">
        <w:rPr>
          <w:rFonts w:ascii="Arial" w:hAnsi="Arial" w:cs="Arial"/>
          <w:sz w:val="22"/>
        </w:rPr>
        <w:t>(3)</w:t>
      </w:r>
      <w:r w:rsidR="00204C0B" w:rsidRPr="00726EDA">
        <w:rPr>
          <w:rFonts w:ascii="Arial" w:hAnsi="Arial" w:cs="Arial"/>
          <w:sz w:val="22"/>
        </w:rPr>
        <w:t>:</w:t>
      </w:r>
      <w:r w:rsidR="00444597" w:rsidRPr="00726EDA">
        <w:rPr>
          <w:rFonts w:ascii="Arial" w:hAnsi="Arial" w:cs="Arial"/>
          <w:sz w:val="22"/>
        </w:rPr>
        <w:t xml:space="preserve"> Structural and systemic barriers to effective online safeguarding in the UK.</w:t>
      </w:r>
    </w:p>
    <w:p w14:paraId="350798FA" w14:textId="49E8F441"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These themes structure the </w:t>
      </w:r>
      <w:r w:rsidR="008C05B6" w:rsidRPr="00726EDA">
        <w:rPr>
          <w:rFonts w:ascii="Arial" w:eastAsia="Times New Roman" w:hAnsi="Arial" w:cs="Arial"/>
          <w:sz w:val="22"/>
          <w:lang w:eastAsia="en-GB"/>
        </w:rPr>
        <w:t>rest</w:t>
      </w:r>
      <w:r w:rsidRPr="00726EDA">
        <w:rPr>
          <w:rFonts w:ascii="Arial" w:eastAsia="Times New Roman" w:hAnsi="Arial" w:cs="Arial"/>
          <w:sz w:val="22"/>
          <w:lang w:eastAsia="en-GB"/>
        </w:rPr>
        <w:t xml:space="preserve"> of Chapter 4 and provide the foundation for the critical discussion that follows.</w:t>
      </w:r>
    </w:p>
    <w:p w14:paraId="7F848835"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sz w:val="22"/>
          <w:lang w:eastAsia="en-GB"/>
        </w:rPr>
      </w:pPr>
    </w:p>
    <w:p w14:paraId="1A6A4DD8" w14:textId="4F9E8049" w:rsidR="008970A6" w:rsidRPr="00726EDA" w:rsidRDefault="007A28AD"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 xml:space="preserve">4.3 </w:t>
      </w:r>
      <w:r w:rsidR="008970A6" w:rsidRPr="00726EDA">
        <w:rPr>
          <w:rFonts w:ascii="Arial" w:eastAsia="Times New Roman" w:hAnsi="Arial" w:cs="Arial"/>
          <w:b/>
          <w:bCs/>
          <w:kern w:val="36"/>
          <w:sz w:val="22"/>
          <w:lang w:eastAsia="en-GB"/>
        </w:rPr>
        <w:t xml:space="preserve">Theme 1: </w:t>
      </w:r>
      <w:r w:rsidR="00444597" w:rsidRPr="00726EDA">
        <w:rPr>
          <w:rFonts w:ascii="Arial" w:hAnsi="Arial" w:cs="Arial"/>
          <w:b/>
          <w:bCs/>
          <w:sz w:val="22"/>
        </w:rPr>
        <w:t>Forms and prevalence of online harm affecting children in the UK.</w:t>
      </w:r>
    </w:p>
    <w:p w14:paraId="7B39233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Definition and Scope of Online Harm</w:t>
      </w:r>
    </w:p>
    <w:p w14:paraId="5A090DAF" w14:textId="13AA92F4"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Online harm refers to a broad range of risks that children and young people may </w:t>
      </w:r>
      <w:r w:rsidR="008C05B6" w:rsidRPr="00726EDA">
        <w:rPr>
          <w:rFonts w:ascii="Arial" w:eastAsia="Times New Roman" w:hAnsi="Arial" w:cs="Arial"/>
          <w:sz w:val="22"/>
          <w:lang w:eastAsia="en-GB"/>
        </w:rPr>
        <w:t>meet</w:t>
      </w:r>
      <w:r w:rsidRPr="00726EDA">
        <w:rPr>
          <w:rFonts w:ascii="Arial" w:eastAsia="Times New Roman" w:hAnsi="Arial" w:cs="Arial"/>
          <w:sz w:val="22"/>
          <w:lang w:eastAsia="en-GB"/>
        </w:rPr>
        <w:t xml:space="preserve"> when using digital platforms, including cyberbullying, sexual exploitation and grooming, exposure to violent or sexually explicit material, misinformation, privacy violations, and content relating to self-harm or eating disorders. Within UK safeguarding discourse, these risks are increasingly conceptualised as forms of emotional abuse and exploitation that may have long-term developmental consequences (Department for Education [DfE], 2023). Social media platforms </w:t>
      </w:r>
      <w:r w:rsidRPr="00726EDA">
        <w:rPr>
          <w:rFonts w:ascii="Arial" w:eastAsia="Times New Roman" w:hAnsi="Arial" w:cs="Arial"/>
          <w:sz w:val="22"/>
          <w:lang w:eastAsia="en-GB"/>
        </w:rPr>
        <w:lastRenderedPageBreak/>
        <w:t>such as TikTok, Instagram, Snapchat and gaming-linked communication spaces have become central to young people’s social lives, making exposure to such harms both widespread and difficult to regulate.</w:t>
      </w:r>
    </w:p>
    <w:p w14:paraId="22E6DB3A" w14:textId="21A22689" w:rsidR="00753EBE" w:rsidRPr="00726EDA" w:rsidRDefault="00753EBE"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Appendix A summarises the key sources supporting this theme and illustrates how evidence from policy, regulatory and academic literature aligns with the argument developed in this section.</w:t>
      </w:r>
    </w:p>
    <w:p w14:paraId="5ABF9CA0" w14:textId="77777777" w:rsidR="00816F31" w:rsidRPr="00726EDA" w:rsidRDefault="008970A6" w:rsidP="00726EDA">
      <w:pPr>
        <w:spacing w:before="100" w:beforeAutospacing="1" w:after="100" w:afterAutospacing="1" w:line="480" w:lineRule="auto"/>
        <w:jc w:val="both"/>
        <w:rPr>
          <w:rFonts w:ascii="Arial" w:hAnsi="Arial" w:cs="Arial"/>
          <w:sz w:val="22"/>
        </w:rPr>
      </w:pPr>
      <w:r w:rsidRPr="00726EDA">
        <w:rPr>
          <w:rFonts w:ascii="Arial" w:eastAsia="Times New Roman" w:hAnsi="Arial" w:cs="Arial"/>
          <w:sz w:val="22"/>
          <w:lang w:eastAsia="en-GB"/>
        </w:rPr>
        <w:t xml:space="preserve">While earlier safeguarding frameworks focused primarily on offline threats, contemporary research </w:t>
      </w:r>
      <w:r w:rsidR="008C05B6" w:rsidRPr="00726EDA">
        <w:rPr>
          <w:rFonts w:ascii="Arial" w:eastAsia="Times New Roman" w:hAnsi="Arial" w:cs="Arial"/>
          <w:sz w:val="22"/>
          <w:lang w:eastAsia="en-GB"/>
        </w:rPr>
        <w:t>proves</w:t>
      </w:r>
      <w:r w:rsidRPr="00726EDA">
        <w:rPr>
          <w:rFonts w:ascii="Arial" w:eastAsia="Times New Roman" w:hAnsi="Arial" w:cs="Arial"/>
          <w:sz w:val="22"/>
          <w:lang w:eastAsia="en-GB"/>
        </w:rPr>
        <w:t xml:space="preserve"> that digital environments now constitute a primary site of risk. Ofcom (2023) reports that most children aged 8–17 use social media or messaging services daily, often through personal smartphones with limited parental supervision. This ubiquity creates a complex safeguarding landscape in which harmful interactions may occur rapidly, privately, and across national boundaries, complicating traditional child-protection responses.</w:t>
      </w:r>
      <w:r w:rsidR="001C1A5C" w:rsidRPr="00726EDA">
        <w:rPr>
          <w:rFonts w:ascii="Arial" w:hAnsi="Arial" w:cs="Arial"/>
          <w:sz w:val="22"/>
        </w:rPr>
        <w:t xml:space="preserve"> </w:t>
      </w:r>
    </w:p>
    <w:p w14:paraId="285ED39C" w14:textId="64E5B0E1" w:rsidR="008970A6" w:rsidRPr="00726EDA" w:rsidRDefault="001C1A5C"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This complexity exposes a structural mismatch between the speed and design of digital environments and the way safeguarding systems traditionally operate. Safeguarding frameworks in education, health and social care are largely built for risks that are observable within defined settings and rely on disclosure, timely evidence, and clear jurisdiction. By contrast, online harm can occur rapidly, privately (including via disappearing content or encrypted messaging), and at scale, with perpetrators and platforms operating across borders. This means professional practice often becomes reactive rather than preventative, with heavy reliance on platform tools and retrospective investigation. Overall, the most significant limitation is the gap between platform architecture (e.g., rapid sharing and algorithmic amplification) and the capacity of safeguarding systems to identify harm early, share information quickly, and intervene proportionately.</w:t>
      </w:r>
    </w:p>
    <w:p w14:paraId="58E8C3C3" w14:textId="7ADEC339" w:rsidR="008970A6" w:rsidRDefault="008970A6" w:rsidP="00726EDA">
      <w:pPr>
        <w:spacing w:before="100" w:beforeAutospacing="1" w:after="100" w:afterAutospacing="1" w:line="480" w:lineRule="auto"/>
        <w:jc w:val="both"/>
        <w:rPr>
          <w:rFonts w:ascii="Arial" w:eastAsia="Times New Roman" w:hAnsi="Arial" w:cs="Arial"/>
          <w:sz w:val="22"/>
          <w:lang w:eastAsia="en-GB"/>
        </w:rPr>
      </w:pPr>
    </w:p>
    <w:p w14:paraId="262FA162" w14:textId="77777777" w:rsidR="00520371" w:rsidRPr="00726EDA" w:rsidRDefault="00520371" w:rsidP="00726EDA">
      <w:pPr>
        <w:spacing w:before="100" w:beforeAutospacing="1" w:after="100" w:afterAutospacing="1" w:line="480" w:lineRule="auto"/>
        <w:jc w:val="both"/>
        <w:rPr>
          <w:rFonts w:ascii="Arial" w:eastAsia="Times New Roman" w:hAnsi="Arial" w:cs="Arial"/>
          <w:sz w:val="22"/>
          <w:lang w:eastAsia="en-GB"/>
        </w:rPr>
      </w:pPr>
    </w:p>
    <w:p w14:paraId="74AB039A" w14:textId="2D3C3C3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lastRenderedPageBreak/>
        <w:t>Backgro</w:t>
      </w:r>
      <w:r w:rsidR="00991E3C" w:rsidRPr="00726EDA">
        <w:rPr>
          <w:rFonts w:ascii="Arial" w:eastAsia="Times New Roman" w:hAnsi="Arial" w:cs="Arial"/>
          <w:b/>
          <w:bCs/>
          <w:sz w:val="22"/>
          <w:lang w:eastAsia="en-GB"/>
        </w:rPr>
        <w:t>u</w:t>
      </w:r>
      <w:r w:rsidRPr="00726EDA">
        <w:rPr>
          <w:rFonts w:ascii="Arial" w:eastAsia="Times New Roman" w:hAnsi="Arial" w:cs="Arial"/>
          <w:b/>
          <w:bCs/>
          <w:sz w:val="22"/>
          <w:lang w:eastAsia="en-GB"/>
        </w:rPr>
        <w:t>nd: Growth of Digital Risk in Children’s Lives</w:t>
      </w:r>
    </w:p>
    <w:p w14:paraId="5FB61D2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expansion of children’s online engagement has been accompanied by increased reporting of online abuse and exploitation. The NSPCC (2023) documented over 9,000 UK police-recorded online sexual offences against children in a single year, many involving social-media-based communication. Parallel concerns have emerged around cyberbullying, with repeated evidence linking online harassment to anxiety, school avoidance, and reduced self-esteem among adolescents (Royal Society for Public Health [RSPH], 2022).</w:t>
      </w:r>
    </w:p>
    <w:p w14:paraId="68889AA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However, prevalence data must be interpreted cautiously. Official statistics capture only incidents reported to authorities, potentially under-representing the true scale of harm due to barriers such as stigma, fear of repercussions, or lack of awareness among children that abuse has occurred. Livingstone et al. (2021) argue that young people frequently normalise harmful digital interactions, particularly peer-to-peer harassment, which may delay disclosure to trusted adults. This suggests that quantitative prevalence figures may mask a wider culture of everyday online risk.</w:t>
      </w:r>
    </w:p>
    <w:p w14:paraId="5BA2222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COVID-19 pandemic further intensified children’s digital engagement, increasing reliance on online platforms for education and socialisation. Although this accelerated digital literacy in some families, it also expanded opportunities for exploitation and exposure to harmful content, particularly among vulnerable groups such as children with additional needs or those experiencing offline neglect (Ofsted, 2022).</w:t>
      </w:r>
    </w:p>
    <w:p w14:paraId="76052D6C" w14:textId="60977025"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3FAC80B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Relevance to Safeguarding Practice and Health and Social Care</w:t>
      </w:r>
    </w:p>
    <w:p w14:paraId="57D2EFAE" w14:textId="4C2FDAA1"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prevalence of online harm has significant implications for UK safeguarding systems. Health and social care professionals increasingly </w:t>
      </w:r>
      <w:r w:rsidR="001227B6" w:rsidRPr="00726EDA">
        <w:rPr>
          <w:rFonts w:ascii="Arial" w:eastAsia="Times New Roman" w:hAnsi="Arial" w:cs="Arial"/>
          <w:sz w:val="22"/>
          <w:lang w:eastAsia="en-GB"/>
        </w:rPr>
        <w:t>meet</w:t>
      </w:r>
      <w:r w:rsidRPr="00726EDA">
        <w:rPr>
          <w:rFonts w:ascii="Arial" w:eastAsia="Times New Roman" w:hAnsi="Arial" w:cs="Arial"/>
          <w:sz w:val="22"/>
          <w:lang w:eastAsia="en-GB"/>
        </w:rPr>
        <w:t xml:space="preserve"> cases where digital abuse intersects with offline vulnerabilities, including family conflict, mental-health difficulties, or domestic </w:t>
      </w:r>
      <w:r w:rsidRPr="00726EDA">
        <w:rPr>
          <w:rFonts w:ascii="Arial" w:eastAsia="Times New Roman" w:hAnsi="Arial" w:cs="Arial"/>
          <w:sz w:val="22"/>
          <w:lang w:eastAsia="en-GB"/>
        </w:rPr>
        <w:lastRenderedPageBreak/>
        <w:t>violence. The DfE (2023) emphasises that safeguarding responsibilities extend beyond physical environments, requiring schools, local authorities and healthcare providers to address online risks through prevention, early identification, and coordinated intervention.</w:t>
      </w:r>
    </w:p>
    <w:p w14:paraId="5241C21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From a public-health perspective, repeated exposure to harmful digital content may contribute to longer-term psychological consequences, including depression, disordered eating, and self-harm ideation (RSPH, 2022). These outcomes place additional pressure on Child and Adolescent Mental Health Services (CAMHS) and social-work teams, reinforcing the need for preventative digital-safety education rather than reactive crisis responses alone.</w:t>
      </w:r>
    </w:p>
    <w:p w14:paraId="3FBF20E7" w14:textId="3E22FB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Nevertheless, the effectiveness of safeguarding interventions depends on professionals’ confidence in </w:t>
      </w:r>
      <w:r w:rsidR="001227B6" w:rsidRPr="00726EDA">
        <w:rPr>
          <w:rFonts w:ascii="Arial" w:eastAsia="Times New Roman" w:hAnsi="Arial" w:cs="Arial"/>
          <w:sz w:val="22"/>
          <w:lang w:eastAsia="en-GB"/>
        </w:rPr>
        <w:t>showing</w:t>
      </w:r>
      <w:r w:rsidRPr="00726EDA">
        <w:rPr>
          <w:rFonts w:ascii="Arial" w:eastAsia="Times New Roman" w:hAnsi="Arial" w:cs="Arial"/>
          <w:sz w:val="22"/>
          <w:lang w:eastAsia="en-GB"/>
        </w:rPr>
        <w:t xml:space="preserve"> online harm and understanding evolving digital cultures. Ofsted (2022) highlights uneven delivery of online-safety education across schools, with some staff reporting limited training in responding to complex online disclosures. This variation raises concerns about inconsistent protection for children depending on geographic location or institutional resources.</w:t>
      </w:r>
    </w:p>
    <w:p w14:paraId="225E1B22" w14:textId="522495E6"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F439955"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Evidence from Academic and Policy Literature</w:t>
      </w:r>
    </w:p>
    <w:p w14:paraId="2F5E0B4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Academic studies reinforce policy-level concerns about the scale and complexity of online harm. Third et al. (2017) argue that children’s experiences of digital risk cannot be separated from broader social contexts, including peer dynamics and family relationships. Similarly, Staksrud and Livingstone (2018) caution against framing online harm solely as a technological issue, noting that social inequalities and offline vulnerabilities strongly influence exposure and resilience.</w:t>
      </w:r>
    </w:p>
    <w:p w14:paraId="45E35B83" w14:textId="66D254BE"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UK-focused research consistently </w:t>
      </w:r>
      <w:r w:rsidR="001227B6" w:rsidRPr="00726EDA">
        <w:rPr>
          <w:rFonts w:ascii="Arial" w:eastAsia="Times New Roman" w:hAnsi="Arial" w:cs="Arial"/>
          <w:sz w:val="22"/>
          <w:lang w:eastAsia="en-GB"/>
        </w:rPr>
        <w:t>proves</w:t>
      </w:r>
      <w:r w:rsidRPr="00726EDA">
        <w:rPr>
          <w:rFonts w:ascii="Arial" w:eastAsia="Times New Roman" w:hAnsi="Arial" w:cs="Arial"/>
          <w:sz w:val="22"/>
          <w:lang w:eastAsia="en-GB"/>
        </w:rPr>
        <w:t xml:space="preserve"> correlations between heavy social-media use and poorer mental-health outcomes, although causal pathways remain contested. While some </w:t>
      </w:r>
      <w:r w:rsidRPr="00726EDA">
        <w:rPr>
          <w:rFonts w:ascii="Arial" w:eastAsia="Times New Roman" w:hAnsi="Arial" w:cs="Arial"/>
          <w:sz w:val="22"/>
          <w:lang w:eastAsia="en-GB"/>
        </w:rPr>
        <w:lastRenderedPageBreak/>
        <w:t>studies suggest direct psychological effects of exposure to harmful imagery, others emphasise pre-existing vulnerabilities that may drive both online engagement and distress (Odgers and Jensen, 2020). This disagreement highlights an important methodological tension within the literature: whether digital environments are primary risk generators or amplifiers of existing difficulties.</w:t>
      </w:r>
    </w:p>
    <w:p w14:paraId="413DA032" w14:textId="77777777" w:rsidR="00CD5608" w:rsidRPr="00726EDA" w:rsidRDefault="00CD5608" w:rsidP="00726EDA">
      <w:pPr>
        <w:pStyle w:val="NormalWeb"/>
        <w:spacing w:line="480" w:lineRule="auto"/>
        <w:rPr>
          <w:rFonts w:ascii="Arial" w:hAnsi="Arial" w:cs="Arial"/>
          <w:sz w:val="22"/>
          <w:szCs w:val="22"/>
        </w:rPr>
      </w:pPr>
      <w:r w:rsidRPr="00726EDA">
        <w:rPr>
          <w:rFonts w:ascii="Arial" w:hAnsi="Arial" w:cs="Arial"/>
          <w:sz w:val="22"/>
          <w:szCs w:val="22"/>
        </w:rPr>
        <w:t>These differences are likely driven by variation in study focus and design. Some sources concentrate on direct exposure effects (e.g., cyberbullying, coercive contact), while others emphasise pre-existing vulnerabilities and wider social determinants that shape how children experience online environments. Overall, the vulnerability-based argument is more convincing as a complete explanation because it accounts for unequal impacts across groups; however, it should not obscure how platform affordances (anonymity, algorithmic amplification and rapid reach) can intensify harm and increase safeguarding complexity.</w:t>
      </w:r>
    </w:p>
    <w:p w14:paraId="0A419CA6" w14:textId="77777777" w:rsidR="008C397B" w:rsidRPr="00726EDA" w:rsidRDefault="008C397B" w:rsidP="00726EDA">
      <w:pPr>
        <w:spacing w:before="100" w:beforeAutospacing="1" w:after="100" w:afterAutospacing="1" w:line="480" w:lineRule="auto"/>
        <w:jc w:val="both"/>
        <w:rPr>
          <w:rFonts w:ascii="Arial" w:eastAsia="Times New Roman" w:hAnsi="Arial" w:cs="Arial"/>
          <w:sz w:val="22"/>
          <w:lang w:eastAsia="en-GB"/>
        </w:rPr>
      </w:pPr>
    </w:p>
    <w:p w14:paraId="2AF3C552" w14:textId="77777777" w:rsidR="00816F31" w:rsidRPr="00726EDA" w:rsidRDefault="008970A6" w:rsidP="00726EDA">
      <w:pPr>
        <w:spacing w:before="100" w:beforeAutospacing="1" w:after="100" w:afterAutospacing="1" w:line="480" w:lineRule="auto"/>
        <w:jc w:val="both"/>
        <w:rPr>
          <w:rFonts w:ascii="Arial" w:hAnsi="Arial" w:cs="Arial"/>
          <w:sz w:val="22"/>
        </w:rPr>
      </w:pPr>
      <w:r w:rsidRPr="00726EDA">
        <w:rPr>
          <w:rFonts w:ascii="Arial" w:eastAsia="Times New Roman" w:hAnsi="Arial" w:cs="Arial"/>
          <w:sz w:val="22"/>
          <w:lang w:eastAsia="en-GB"/>
        </w:rPr>
        <w:t>Policy documents such as the Online Safety Act (UK Parliament, 2023) position platform regulation as a central solution, requiring companies to remove harmful content and protect minors proactively. However, critics argue that legislative frameworks often lag technological innovation and rely heavily on corporate compliance, raising doubts about consistent enforcement (Livingstone et al., 2021).</w:t>
      </w:r>
      <w:r w:rsidR="00816F31" w:rsidRPr="00726EDA">
        <w:rPr>
          <w:rFonts w:ascii="Arial" w:hAnsi="Arial" w:cs="Arial"/>
          <w:sz w:val="22"/>
        </w:rPr>
        <w:t xml:space="preserve"> </w:t>
      </w:r>
    </w:p>
    <w:p w14:paraId="3E3A9DB0" w14:textId="040E12CC" w:rsidR="008970A6" w:rsidRPr="00726EDA" w:rsidRDefault="00816F31"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 xml:space="preserve">While the Online Safety Act strengthens duties on regulated services, its effectiveness depends on how quickly guidance is implemented, how consistently platforms comply, and how robustly the regulator can enforce requirements. In practice, there may be delays between legislative intent and measurable safeguarding impact, particularly where risks evolve faster than enforcement processes. Key limitations include enforcement capacity across a large and changing platform landscape, challenges around reliable age assurance, and the difficulty of monitoring or evidencing harmful interactions that occur privately. Therefore, the Act </w:t>
      </w:r>
      <w:r w:rsidRPr="00726EDA">
        <w:rPr>
          <w:rFonts w:ascii="Arial" w:hAnsi="Arial" w:cs="Arial"/>
          <w:sz w:val="22"/>
        </w:rPr>
        <w:lastRenderedPageBreak/>
        <w:t>represents a necessary framework, but its real-world impact will depend on whether regulatory duties translate into consistent platform behaviour change and improved child safety outcomes.</w:t>
      </w:r>
    </w:p>
    <w:p w14:paraId="69C02E65" w14:textId="3730471B"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CC0C125"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Theoretical and Policy Links</w:t>
      </w:r>
    </w:p>
    <w:p w14:paraId="59BE63D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Several theoretical perspectives help interpret children’s exposure to online harm. Social Learning Theory suggests that repeated observation of risky behaviours online—such as self-harm content or aggressive communication—may normalise such practices, particularly among adolescents seeking peer approval. Bronfenbrenner’s Ecological Systems Theory further emphasises that digital risk is shaped by interactions across multiple systems, including family supervision, school culture, platform design and national regulation.</w:t>
      </w:r>
    </w:p>
    <w:p w14:paraId="7809CA5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ecological lens aligns closely with UK safeguarding policy, which promotes multi-agency collaboration between education, healthcare, social services and law-enforcement bodies (DfE, 2018). However, the persistence of high prevalence rates suggests gaps in coordination between these systems, particularly in translating statutory guidance into consistent frontline practice.</w:t>
      </w:r>
    </w:p>
    <w:p w14:paraId="2AA40FCC" w14:textId="075DDE92"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72FED4C1"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Critical Comparison and Gaps in Current Knowledge</w:t>
      </w:r>
    </w:p>
    <w:p w14:paraId="3534F38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Although policy reports and academic studies universally agree that online harm is widespread, there is less consensus about which interventions are most effective. School-based digital-literacy programmes show promise, yet evaluations remain limited and uneven across regions (Ofsted, 2022). Meanwhile, parental-monitoring tools and platform-level safety features are frequently promoted, but research indicates that many families lack awareness or confidence in using such mechanisms effectively (Ofcom, 2023).</w:t>
      </w:r>
    </w:p>
    <w:p w14:paraId="4B6FBFB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A further limitation is the heavy reliance on organisational reports rather than longitudinal academic research exploring long-term outcomes of online exposure. While charities such as the NSPCC provide valuable insights into emerging risks, more independent, peer-reviewed studies are needed to assess causal relationships and evaluate the sustained impact of policy reforms.</w:t>
      </w:r>
    </w:p>
    <w:p w14:paraId="1919928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These gaps reinforce the importance of this dissertation’s focus on critically evaluating safeguarding frameworks rather than assuming their effectiveness. By synthesising policy analysis with empirical research, the study looks to identify where protective measures succeed and where systemic weaknesses persist.</w:t>
      </w:r>
    </w:p>
    <w:p w14:paraId="051681B0" w14:textId="794FD9A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B79E519"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Implications for Practice and Policy</w:t>
      </w:r>
    </w:p>
    <w:p w14:paraId="1E56D7B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prevalence and diversity of online harms suggest that safeguarding strategies must move beyond isolated interventions toward integrated, preventative systems. This includes mandatory digital-safety training for educators and social-care practitioners, improved parental guidance initiatives, and stronger regulatory oversight of platform design features that may facilitate harm.</w:t>
      </w:r>
    </w:p>
    <w:p w14:paraId="049E1C9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Health and social care services must also be equipped to recognise digital abuse as part of holistic child-protection assessments, rather than treating it as a separate or secondary concern. Failure to embed online safeguarding within routine practice risks leaving significant forms of harm unaddressed.</w:t>
      </w:r>
    </w:p>
    <w:p w14:paraId="40BC6F0E" w14:textId="1168B762"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7FD3285"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Links to Other Themes</w:t>
      </w:r>
    </w:p>
    <w:p w14:paraId="6787E84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 xml:space="preserve">This theme establishes the scale and nature of online harm affecting children in the UK. It provides the empirical foundation for </w:t>
      </w:r>
      <w:r w:rsidRPr="00726EDA">
        <w:rPr>
          <w:rFonts w:ascii="Arial" w:eastAsia="Times New Roman" w:hAnsi="Arial" w:cs="Arial"/>
          <w:b/>
          <w:bCs/>
          <w:sz w:val="22"/>
          <w:lang w:eastAsia="en-GB"/>
        </w:rPr>
        <w:t>Theme 2</w:t>
      </w:r>
      <w:r w:rsidRPr="00726EDA">
        <w:rPr>
          <w:rFonts w:ascii="Arial" w:eastAsia="Times New Roman" w:hAnsi="Arial" w:cs="Arial"/>
          <w:sz w:val="22"/>
          <w:lang w:eastAsia="en-GB"/>
        </w:rPr>
        <w:t xml:space="preserve">, which will critically evaluate the effectiveness of current safeguarding frameworks and professional responses. It also connects to </w:t>
      </w:r>
      <w:r w:rsidRPr="00726EDA">
        <w:rPr>
          <w:rFonts w:ascii="Arial" w:eastAsia="Times New Roman" w:hAnsi="Arial" w:cs="Arial"/>
          <w:b/>
          <w:bCs/>
          <w:sz w:val="22"/>
          <w:lang w:eastAsia="en-GB"/>
        </w:rPr>
        <w:t>Theme 3</w:t>
      </w:r>
      <w:r w:rsidRPr="00726EDA">
        <w:rPr>
          <w:rFonts w:ascii="Arial" w:eastAsia="Times New Roman" w:hAnsi="Arial" w:cs="Arial"/>
          <w:sz w:val="22"/>
          <w:lang w:eastAsia="en-GB"/>
        </w:rPr>
        <w:t>, which explores systemic challenges—such as technological change, regulatory enforcement and workforce capacity—that limit the protection of children in digital environments.</w:t>
      </w:r>
    </w:p>
    <w:p w14:paraId="63E64B46" w14:textId="55113D4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4E29CB7"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Mini-Summary</w:t>
      </w:r>
    </w:p>
    <w:p w14:paraId="54A2DB9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theme has demonstrated that online harm is a prevalent and multifaceted threat to children in the UK, encompassing cyberbullying, sexual exploitation, harmful content and privacy violations. Drawing on policy reports, academic studies and theoretical perspectives, the analysis highlights both the growing recognition of digital risk within safeguarding systems and persistent weaknesses in prevention and response. Disagreements within the literature regarding causality and intervention effectiveness underscore the need for critical evaluation of current frameworks, preparing the ground for subsequent themes examining policy implementation and structural barriers to online child protection.</w:t>
      </w:r>
    </w:p>
    <w:p w14:paraId="06D00CA7" w14:textId="24538353" w:rsidR="008970A6" w:rsidRPr="00726EDA" w:rsidRDefault="007A28AD"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4.</w:t>
      </w:r>
      <w:r w:rsidR="00D0189C" w:rsidRPr="00726EDA">
        <w:rPr>
          <w:rFonts w:ascii="Arial" w:eastAsia="Times New Roman" w:hAnsi="Arial" w:cs="Arial"/>
          <w:b/>
          <w:bCs/>
          <w:kern w:val="36"/>
          <w:sz w:val="22"/>
          <w:lang w:eastAsia="en-GB"/>
        </w:rPr>
        <w:t xml:space="preserve">4 </w:t>
      </w:r>
      <w:r w:rsidR="008970A6" w:rsidRPr="00726EDA">
        <w:rPr>
          <w:rFonts w:ascii="Arial" w:eastAsia="Times New Roman" w:hAnsi="Arial" w:cs="Arial"/>
          <w:b/>
          <w:bCs/>
          <w:kern w:val="36"/>
          <w:sz w:val="22"/>
          <w:lang w:eastAsia="en-GB"/>
        </w:rPr>
        <w:t xml:space="preserve">Theme 2: </w:t>
      </w:r>
      <w:r w:rsidR="00444597" w:rsidRPr="00726EDA">
        <w:rPr>
          <w:rFonts w:ascii="Arial" w:hAnsi="Arial" w:cs="Arial"/>
          <w:b/>
          <w:bCs/>
          <w:sz w:val="22"/>
        </w:rPr>
        <w:t>Effectiveness of safeguarding frameworks and professional responses in the UK.</w:t>
      </w:r>
    </w:p>
    <w:p w14:paraId="76820462"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Introduction to the Theme</w:t>
      </w:r>
    </w:p>
    <w:p w14:paraId="74EF19C3" w14:textId="4F713C8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While the prevalence of online harm affecting children is now well documented, a central question for safeguarding practice concerns how effectively existing frameworks protect young people in digital environments. This theme examines the strengths and limitations of current UK safeguarding policies, statutory guidance, and professional responses within education, health and social care. </w:t>
      </w:r>
      <w:r w:rsidR="00753EBE" w:rsidRPr="00726EDA">
        <w:rPr>
          <w:rFonts w:ascii="Arial" w:hAnsi="Arial" w:cs="Arial"/>
          <w:sz w:val="22"/>
        </w:rPr>
        <w:t xml:space="preserve">Appendix A summarises the key sources supporting this theme and </w:t>
      </w:r>
      <w:r w:rsidR="00753EBE" w:rsidRPr="00726EDA">
        <w:rPr>
          <w:rFonts w:ascii="Arial" w:hAnsi="Arial" w:cs="Arial"/>
          <w:sz w:val="22"/>
        </w:rPr>
        <w:lastRenderedPageBreak/>
        <w:t xml:space="preserve">illustrates how evidence from policy, regulatory and academic literature aligns with the argument developed in this </w:t>
      </w:r>
      <w:proofErr w:type="spellStart"/>
      <w:r w:rsidR="00753EBE" w:rsidRPr="00726EDA">
        <w:rPr>
          <w:rFonts w:ascii="Arial" w:hAnsi="Arial" w:cs="Arial"/>
          <w:sz w:val="22"/>
        </w:rPr>
        <w:t>section.</w:t>
      </w:r>
      <w:r w:rsidRPr="00726EDA">
        <w:rPr>
          <w:rFonts w:ascii="Arial" w:eastAsia="Times New Roman" w:hAnsi="Arial" w:cs="Arial"/>
          <w:sz w:val="22"/>
          <w:lang w:eastAsia="en-GB"/>
        </w:rPr>
        <w:t>Drawing</w:t>
      </w:r>
      <w:proofErr w:type="spellEnd"/>
      <w:r w:rsidRPr="00726EDA">
        <w:rPr>
          <w:rFonts w:ascii="Arial" w:eastAsia="Times New Roman" w:hAnsi="Arial" w:cs="Arial"/>
          <w:sz w:val="22"/>
          <w:lang w:eastAsia="en-GB"/>
        </w:rPr>
        <w:t xml:space="preserve"> on academic research and regulatory evidence, it critically evaluates whether recent legislative reforms and institutional practices have kept pace with rapid technological change and evolving patterns of risk.</w:t>
      </w:r>
    </w:p>
    <w:p w14:paraId="13BC38EA" w14:textId="1BCE514A"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36E03237"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Key Safeguarding Frameworks in the UK</w:t>
      </w:r>
    </w:p>
    <w:p w14:paraId="51F32D3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UK has introduced several major policy instruments designed to enhance children’s online safety. Keeping Children Safe in Education (DfE, 2023) places explicit duties on schools to address online abuse, provide digital-safety education, and respond to safeguarding concerns arising from social media use. Complementing this guidance, the Working Together to Safeguard Children framework emphasises inter-agency collaboration between schools, healthcare providers, social services, and police forces (DfE, 2018).</w:t>
      </w:r>
    </w:p>
    <w:p w14:paraId="791A6A8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More recently, the Online Safety Act (UK Parliament, 2023) introduced regulatory obligations for technology companies, requiring platforms to reduce children’s exposure to harmful material and improve reporting mechanisms. This legislative shift reflects growing recognition that safeguarding cannot rest solely with families and frontline professionals but must involve systemic regulation of digital environments.</w:t>
      </w:r>
    </w:p>
    <w:p w14:paraId="057584D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From a policy perspective, these frameworks represent a comprehensive attempt to distribute safeguarding responsibility across multiple actors. However, the translation of statutory guidance into consistent everyday practice remains uneven, raising questions about their real-world effectiveness.</w:t>
      </w:r>
    </w:p>
    <w:p w14:paraId="08756D18" w14:textId="0143A99B"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BE6EE6A"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Professional Practice and Multi-Agency Responses</w:t>
      </w:r>
    </w:p>
    <w:p w14:paraId="055510E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Health and social care professionals, alongside educators, play a significant role in identifying and responding to online harm. School safeguarding leads are often the first point of disclosure for cyberbullying or online exploitation, while social workers and CAMHS practitioners may become involved when digital harm intersects with mental-health concerns or family vulnerability.</w:t>
      </w:r>
    </w:p>
    <w:p w14:paraId="2B774BA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Research suggests that multi-agency collaboration is essential but difficult to sustain in practice. Sidebotham et al. (2016) argue that information-sharing barriers, workload pressures, and organisational cultures can undermine coordinated safeguarding responses. Ofsted (2022) similarly reported variation in how schools interpret statutory guidance on online safety, with some institutions demonstrating proactive prevention strategies while others relied on reactive approaches following serious incidents.</w:t>
      </w:r>
    </w:p>
    <w:p w14:paraId="1A9F4E8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inconsistency has implications for equity: children’s levels of protection may depend on the resources, training, and leadership priorities of individual institutions rather than national policy standards. Such findings challenge the assumption that statutory frameworks automatically produce uniform safeguarding outcomes.</w:t>
      </w:r>
    </w:p>
    <w:p w14:paraId="6C9404E7" w14:textId="30C7EFB4"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58D01CA"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Evaluating the Online Safety Act and Platform Regulation</w:t>
      </w:r>
    </w:p>
    <w:p w14:paraId="0D8A5D3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Online Safety Act represents a significant policy innovation by shifting responsibility onto technology companies to design safer platforms for children. Provisions include age-verification measures, risk assessments, and duties to remove harmful content. Ofcom’s expanded regulatory role is intended to ensure compliance and impose sanctions where platforms fail to meet their obligations.</w:t>
      </w:r>
    </w:p>
    <w:p w14:paraId="10265DE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Academic commentary, however, has expressed caution regarding enforcement mechanisms and corporate incentives. Livingstone et al. (2021) note that regulatory systems often struggle </w:t>
      </w:r>
      <w:r w:rsidRPr="00726EDA">
        <w:rPr>
          <w:rFonts w:ascii="Arial" w:eastAsia="Times New Roman" w:hAnsi="Arial" w:cs="Arial"/>
          <w:sz w:val="22"/>
          <w:lang w:eastAsia="en-GB"/>
        </w:rPr>
        <w:lastRenderedPageBreak/>
        <w:t>to keep pace with rapidly evolving digital architectures and transnational corporate structures. Moreover, critics argue that commercial priorities may conflict with child-protection goals, particularly where algorithmic systems promote engaging but potentially harmful content.</w:t>
      </w:r>
    </w:p>
    <w:p w14:paraId="2AEDEBE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Early evaluations therefore suggest that while the Online Safety Act provides a stronger legal framework, its success will depend on robust oversight, transparent reporting, and sustained political commitment. Without consistent enforcement, legislative ambition may fail to translate into meaningful reductions in children’s exposure to risk.</w:t>
      </w:r>
    </w:p>
    <w:p w14:paraId="047F7CC6" w14:textId="5363A543"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29E25D7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Training and Professional Confidence</w:t>
      </w:r>
    </w:p>
    <w:p w14:paraId="6C289E8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 recurring issue across safeguarding literature is the confidence and preparedness of frontline professionals. Ofsted (2022) found that many teachers felt insufficiently trained to address emerging online risks such as image-based abuse or encrypted messaging platforms. Similarly, health and social care practitioners have reported uncertainty about assessing digital harm within traditional safeguarding frameworks, particularly where evidence is ephemeral or cross-jurisdictional.</w:t>
      </w:r>
    </w:p>
    <w:p w14:paraId="6D55B9D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skills gap reflects broader workforce pressures within UK children’s services, including high caseloads and staff turnover (Sidebotham et al., 2016). Although national guidance promotes continuous professional development in digital safeguarding, implementation varies widely across local authorities and academy trusts.</w:t>
      </w:r>
    </w:p>
    <w:p w14:paraId="0CC84EF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Such findings suggest that policy effectiveness is mediated not only by legislative design but also by the capacity of institutions to operationalise training programmes. Without sustained investment in workforce development, safeguarding frameworks risk becoming aspirational rather than transformative.</w:t>
      </w:r>
    </w:p>
    <w:p w14:paraId="7B8B3BEA" w14:textId="3F73AA93"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27867173"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lastRenderedPageBreak/>
        <w:t>Academic Critique and Policy–Practice Gaps</w:t>
      </w:r>
    </w:p>
    <w:p w14:paraId="6BBB22E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Academic research increasingly highlights tensions between policy aspirations and frontline realities. Staksrud and Livingstone (2018) argue that digital-safety strategies often focus on individual resilience rather than addressing structural factors such as platform design or socio-economic inequalities. This critique aligns with concerns that safeguarding initiatives may disproportionately place responsibility on children and parents rather than addressing systemic drivers of risk.</w:t>
      </w:r>
    </w:p>
    <w:p w14:paraId="0537588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Furthermore, while inspection regimes such as Ofsted evaluations encourage compliance with statutory guidance, they may not fully capture the complexity of online harm or the informal ways children navigate digital spaces. As a result, institutional accountability mechanisms may lag the lived experiences of young people.</w:t>
      </w:r>
    </w:p>
    <w:p w14:paraId="374D08A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These policy–practice gaps underline the importance of critically examining safeguarding frameworks rather than assuming their effectiveness based solely on legislative presence.</w:t>
      </w:r>
    </w:p>
    <w:p w14:paraId="2151593E" w14:textId="301C0EE1"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8D954F2"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Implications for Health and Social Care Practice</w:t>
      </w:r>
    </w:p>
    <w:p w14:paraId="549CB54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For health and social care professionals, the effectiveness of safeguarding frameworks directly shapes daily practice. Digital harms increasingly feature in child-protection assessments, mental-health referrals, and family-support interventions. Practitioners must therefore integrate digital risk into holistic safeguarding models rather than treating it as a discrete issue.</w:t>
      </w:r>
    </w:p>
    <w:p w14:paraId="1AE4790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literature suggests that improved outcomes depend on strengthening cross-sector collaboration, investing in digital-skills training, and ensuring that regulatory systems meaningfully influence platform behaviour. Without such systemic coordination, children experiencing online harm may encounter fragmented responses across services.</w:t>
      </w:r>
    </w:p>
    <w:p w14:paraId="4A03FFDF" w14:textId="7860AEBA"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67BF14B"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Links to Other Themes</w:t>
      </w:r>
    </w:p>
    <w:p w14:paraId="2BE4979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This theme builds directly on </w:t>
      </w:r>
      <w:r w:rsidRPr="00726EDA">
        <w:rPr>
          <w:rFonts w:ascii="Arial" w:eastAsia="Times New Roman" w:hAnsi="Arial" w:cs="Arial"/>
          <w:b/>
          <w:bCs/>
          <w:sz w:val="22"/>
          <w:lang w:eastAsia="en-GB"/>
        </w:rPr>
        <w:t>Theme 1</w:t>
      </w:r>
      <w:r w:rsidRPr="00726EDA">
        <w:rPr>
          <w:rFonts w:ascii="Arial" w:eastAsia="Times New Roman" w:hAnsi="Arial" w:cs="Arial"/>
          <w:sz w:val="22"/>
          <w:lang w:eastAsia="en-GB"/>
        </w:rPr>
        <w:t xml:space="preserve">, which established the prevalence and nature of online harm affecting children. It also prepares the ground for </w:t>
      </w:r>
      <w:r w:rsidRPr="00726EDA">
        <w:rPr>
          <w:rFonts w:ascii="Arial" w:eastAsia="Times New Roman" w:hAnsi="Arial" w:cs="Arial"/>
          <w:b/>
          <w:bCs/>
          <w:sz w:val="22"/>
          <w:lang w:eastAsia="en-GB"/>
        </w:rPr>
        <w:t>Theme 3</w:t>
      </w:r>
      <w:r w:rsidRPr="00726EDA">
        <w:rPr>
          <w:rFonts w:ascii="Arial" w:eastAsia="Times New Roman" w:hAnsi="Arial" w:cs="Arial"/>
          <w:sz w:val="22"/>
          <w:lang w:eastAsia="en-GB"/>
        </w:rPr>
        <w:t>, which will explore the structural and systemic barriers limiting safeguarding effectiveness, including technological change, regulatory enforcement challenges, and workforce capacity constraints.</w:t>
      </w:r>
    </w:p>
    <w:p w14:paraId="7B97A742" w14:textId="312FB49C"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3F88C69"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Mini-Summary</w:t>
      </w:r>
    </w:p>
    <w:p w14:paraId="712F4E5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theme has critically examined the effectiveness of UK safeguarding frameworks and professional responses to online harm. While statutory guidance and recent legislation demonstrate strong policy commitment, evidence from inspections and academic research reveals uneven implementation, training gaps, and uncertainties surrounding platform regulation. These tensions highlight the need for sustained investment in workforce development and stronger regulatory enforcement, reinforcing the importance of evaluating safeguarding systems in practice rather than solely in principle.</w:t>
      </w:r>
    </w:p>
    <w:p w14:paraId="6FE5B643" w14:textId="77777777" w:rsidR="00D0189C" w:rsidRPr="00726EDA" w:rsidRDefault="00D0189C" w:rsidP="00726EDA">
      <w:pPr>
        <w:spacing w:before="100" w:beforeAutospacing="1" w:after="100" w:afterAutospacing="1" w:line="480" w:lineRule="auto"/>
        <w:jc w:val="both"/>
        <w:rPr>
          <w:rFonts w:ascii="Arial" w:eastAsia="Times New Roman" w:hAnsi="Arial" w:cs="Arial"/>
          <w:sz w:val="22"/>
          <w:lang w:eastAsia="en-GB"/>
        </w:rPr>
      </w:pPr>
    </w:p>
    <w:p w14:paraId="275333EE" w14:textId="7110420B" w:rsidR="008970A6" w:rsidRPr="00726EDA" w:rsidRDefault="00D0189C" w:rsidP="00726EDA">
      <w:pPr>
        <w:spacing w:before="100" w:beforeAutospacing="1" w:after="100" w:afterAutospacing="1" w:line="480" w:lineRule="auto"/>
        <w:jc w:val="both"/>
        <w:outlineLvl w:val="0"/>
        <w:rPr>
          <w:rFonts w:ascii="Arial" w:eastAsia="Times New Roman" w:hAnsi="Arial" w:cs="Arial"/>
          <w:sz w:val="22"/>
          <w:lang w:eastAsia="en-GB"/>
        </w:rPr>
      </w:pPr>
      <w:r w:rsidRPr="00726EDA">
        <w:rPr>
          <w:rFonts w:ascii="Arial" w:eastAsia="Times New Roman" w:hAnsi="Arial" w:cs="Arial"/>
          <w:b/>
          <w:bCs/>
          <w:kern w:val="36"/>
          <w:sz w:val="22"/>
          <w:lang w:eastAsia="en-GB"/>
        </w:rPr>
        <w:t xml:space="preserve">4.5 </w:t>
      </w:r>
      <w:r w:rsidR="008970A6" w:rsidRPr="00726EDA">
        <w:rPr>
          <w:rFonts w:ascii="Arial" w:eastAsia="Times New Roman" w:hAnsi="Arial" w:cs="Arial"/>
          <w:b/>
          <w:bCs/>
          <w:kern w:val="36"/>
          <w:sz w:val="22"/>
          <w:lang w:eastAsia="en-GB"/>
        </w:rPr>
        <w:t>Theme 3:</w:t>
      </w:r>
      <w:r w:rsidR="006528B5" w:rsidRPr="00726EDA">
        <w:rPr>
          <w:rFonts w:ascii="Arial" w:hAnsi="Arial" w:cs="Arial"/>
          <w:sz w:val="22"/>
        </w:rPr>
        <w:t xml:space="preserve"> </w:t>
      </w:r>
      <w:r w:rsidR="006528B5" w:rsidRPr="00726EDA">
        <w:rPr>
          <w:rFonts w:ascii="Arial" w:hAnsi="Arial" w:cs="Arial"/>
          <w:b/>
          <w:bCs/>
          <w:sz w:val="22"/>
        </w:rPr>
        <w:t>Structural and systemic barriers to effective online safeguarding in the UK.</w:t>
      </w:r>
    </w:p>
    <w:p w14:paraId="3DFBF4BF"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Introduction to the Theme</w:t>
      </w:r>
    </w:p>
    <w:p w14:paraId="05E92193" w14:textId="150412AC"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Despite the development of comprehensive safeguarding legislation and professional guidance, persistent structural barriers continue to limit the effectiveness of online child-protection strategies in the UK. This theme explores the wider systemic constraints that shape safeguarding practice, including rapid technological innovation, regulatory complexity, </w:t>
      </w:r>
      <w:r w:rsidRPr="00726EDA">
        <w:rPr>
          <w:rFonts w:ascii="Arial" w:eastAsia="Times New Roman" w:hAnsi="Arial" w:cs="Arial"/>
          <w:sz w:val="22"/>
          <w:lang w:eastAsia="en-GB"/>
        </w:rPr>
        <w:lastRenderedPageBreak/>
        <w:t xml:space="preserve">resource pressures within children’s services, and inequalities in digital literacy among families and professionals. </w:t>
      </w:r>
      <w:r w:rsidR="00753EBE" w:rsidRPr="00726EDA">
        <w:rPr>
          <w:rFonts w:ascii="Arial" w:hAnsi="Arial" w:cs="Arial"/>
          <w:sz w:val="22"/>
        </w:rPr>
        <w:t xml:space="preserve">Appendix A summarises the key sources supporting this theme and illustrates how evidence from policy, regulatory and academic literature aligns with the argument developed in this </w:t>
      </w:r>
      <w:proofErr w:type="spellStart"/>
      <w:proofErr w:type="gramStart"/>
      <w:r w:rsidR="00753EBE" w:rsidRPr="00726EDA">
        <w:rPr>
          <w:rFonts w:ascii="Arial" w:hAnsi="Arial" w:cs="Arial"/>
          <w:sz w:val="22"/>
        </w:rPr>
        <w:t>section.</w:t>
      </w:r>
      <w:r w:rsidRPr="00726EDA">
        <w:rPr>
          <w:rFonts w:ascii="Arial" w:eastAsia="Times New Roman" w:hAnsi="Arial" w:cs="Arial"/>
          <w:sz w:val="22"/>
          <w:lang w:eastAsia="en-GB"/>
        </w:rPr>
        <w:t>Drawing</w:t>
      </w:r>
      <w:proofErr w:type="spellEnd"/>
      <w:proofErr w:type="gramEnd"/>
      <w:r w:rsidRPr="00726EDA">
        <w:rPr>
          <w:rFonts w:ascii="Arial" w:eastAsia="Times New Roman" w:hAnsi="Arial" w:cs="Arial"/>
          <w:sz w:val="22"/>
          <w:lang w:eastAsia="en-GB"/>
        </w:rPr>
        <w:t xml:space="preserve"> on academic literature and policy evaluations, it critically examines how these structural factors undermine consistent protection and create gaps between policy intent and real-world outcomes.</w:t>
      </w:r>
    </w:p>
    <w:p w14:paraId="5BB9C43D" w14:textId="4EF45938"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00AA4F13"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Rapid Technological Change and Policy Lag</w:t>
      </w:r>
    </w:p>
    <w:p w14:paraId="20A8497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One of the most widely cited challenges in digital safeguarding is the speed at which online platforms and technologies evolve compared to legislative processes. New social-media applications, encrypted messaging services, and algorithm-driven content feeds emerge far more quickly than statutory frameworks can be revised.</w:t>
      </w:r>
    </w:p>
    <w:p w14:paraId="73184C7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Livingstone and Third (2017) argue that regulatory systems often operate reactively rather than proactively, responding to harms only after new digital practices have become embedded among young users. This temporal mismatch creates safeguarding blind spots, particularly where emerging platforms fall outside existing regulatory definitions or moderation requirements.</w:t>
      </w:r>
    </w:p>
    <w:p w14:paraId="0639CFC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 the UK context, although the Online Safety Act (2023) represents a substantial legislative step forward, critics caution that enforcement mechanisms may struggle to adapt to constantly shifting digital ecosystems (Livingstone et al., 2021). Platforms’ global reach further complicates regulation, as UK authorities must negotiate with multinational corporations whose operations transcend national jurisdictions.</w:t>
      </w:r>
    </w:p>
    <w:p w14:paraId="72E4C80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structural lag raises fundamental questions about whether law-making processes are sufficiently agile to protect children within highly dynamic online environments.</w:t>
      </w:r>
    </w:p>
    <w:p w14:paraId="4DDB94DB" w14:textId="0F0F8865"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7BEA7264"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Commercial Incentives and Platform Design</w:t>
      </w:r>
    </w:p>
    <w:p w14:paraId="6C33688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Another systemic barrier concerns the commercial logic underpinning social-media platforms. Many services rely on advertising revenue and user engagement metrics, which are often maximised through algorithmic systems that promote emotionally charged or sensational content.</w:t>
      </w:r>
    </w:p>
    <w:p w14:paraId="0B3EDDB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Academic research suggests that such design features can inadvertently amplify harmful material, including cyberbullying, extreme content, or appearance-focused imagery that negatively affects young people’s mental health (Odgers and Jensen, 2020). Although regulatory frameworks increasingly require platforms to conduct child-risk assessments, critics argue that profit-driven business models may conflict with safeguarding priorities unless robust oversight is applied.</w:t>
      </w:r>
    </w:p>
    <w:p w14:paraId="05CD608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tension highlights a structural contradiction within digital governance: while governments seek to reduce harm, market incentives may encourage practices that expose children to risk. Without strong regulatory enforcement and transparent auditing of platform algorithms, safeguarding responsibilities risk being unevenly distributed between public institutions and private corporations.</w:t>
      </w:r>
    </w:p>
    <w:p w14:paraId="32FCA562" w14:textId="61F0565E"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21617CFE"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Workforce Pressures and Resource Constraints</w:t>
      </w:r>
    </w:p>
    <w:p w14:paraId="3404CE5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Within health, education, and social-care systems, workforce capacity represents another major barrier to effective safeguarding. High caseloads, staff shortages, and budgetary pressures limit professionals’ ability to engage in preventative work or pursue specialist training in digital safeguarding.</w:t>
      </w:r>
    </w:p>
    <w:p w14:paraId="376C2CE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Sidebotham et al. (2016) document how systemic pressures within child-protection services reduce opportunities for reflective practice and multi-agency collaboration. More recently, reports from Ofsted (2022) have identified inconsistencies in schools’ preparedness to manage online incidents, with some institutions lacking dedicated safeguarding leads or digital-safety training programmes.</w:t>
      </w:r>
    </w:p>
    <w:p w14:paraId="4C028EB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These findings suggest that even well-designed policies may fail if frontline systems lack the resources to implement them effectively. Structural underinvestment therefore operates as a constraint on safeguarding outcomes, shaping how national strategies are translated into everyday professional practice.</w:t>
      </w:r>
    </w:p>
    <w:p w14:paraId="19295680" w14:textId="5C2E3F85"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61E82E6F"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Inequalities in Digital Literacy and Family Capacity</w:t>
      </w:r>
    </w:p>
    <w:p w14:paraId="234A528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Safeguarding effectiveness is also shaped by socio-economic inequalities and disparities in digital literacy among families. Parental knowledge of online platforms, privacy settings, and reporting mechanisms varies, influencing children’s exposure to risk and the likelihood of early intervention.</w:t>
      </w:r>
    </w:p>
    <w:p w14:paraId="754D0F0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Livingstone et al. (2018) argue that families experiencing socio-economic disadvantage may face additional barriers, including limited access to digital education, language obstacles, or reduced confidence engaging with schools and professionals. Such inequalities risk reproducing uneven safeguarding outcomes, whereby some children benefit from proactive parental mediation while others remain vulnerable due to structural disadvantage.</w:t>
      </w:r>
    </w:p>
    <w:p w14:paraId="2847A29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From a public-health perspective, this uneven distribution of protection raises ethical concerns regarding fairness and access to safeguarding support, reinforcing arguments that digital safety must be treated as a collective societal responsibility rather than solely an individual or familial burden.</w:t>
      </w:r>
    </w:p>
    <w:p w14:paraId="5F365E17" w14:textId="7547B651"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43C47844"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Fragmentation Across Systems and Agencies</w:t>
      </w:r>
    </w:p>
    <w:p w14:paraId="63468F5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Multi-agency collaboration remains central to UK safeguarding policy, yet structural fragmentation between organisations continues to limit coordinated responses to online harm. Differences in institutional priorities, data-sharing systems, and professional cultures can impede information exchange between schools, healthcare services, police forces, and social-care departments.</w:t>
      </w:r>
    </w:p>
    <w:p w14:paraId="24F6A14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Theoretical perspectives such as Bronfenbrenner’s Ecological Systems Theory emphasise that child protection requires alignment across multiple systems surrounding the child. However, empirical studies indicate that such coordination is difficult to achieve in practice, particularly in relation to digital risks that cut across educational, legal, and health domains.</w:t>
      </w:r>
    </w:p>
    <w:p w14:paraId="2495E70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These organisational barriers contribute to a pattern in which safeguarding responses may become reactive and crisis-driven rather than preventative and integrated, further weakening policy effectiveness.</w:t>
      </w:r>
    </w:p>
    <w:p w14:paraId="25CBCC69" w14:textId="5B2A3BEF"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66D90B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Academic Critiques and Implications for Policy Reform</w:t>
      </w:r>
    </w:p>
    <w:p w14:paraId="04559BA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Scholars increasingly call for safeguarding strategies that move beyond awareness-raising towards structural reform. Staksrud and Livingstone (2018) argue that regulatory frameworks must address platform governance and algorithmic accountability rather than focusing primarily on individual behaviour change.</w:t>
      </w:r>
    </w:p>
    <w:p w14:paraId="6340B04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Similarly, Odgers and Jensen (2020) caution against overly simplistic narratives linking screen use to harm, urging policymakers to adopt nuanced, evidence-based approaches that recognise diverse patterns of digital engagement among young people.</w:t>
      </w:r>
    </w:p>
    <w:p w14:paraId="43B77B7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These academic critiques suggest that future safeguarding reforms must combine legislative enforcement, corporate accountability, workforce investment, and community-level interventions. Without addressing these interconnected structural factors, online safeguarding strategies risk remaining fragmented and reactive.</w:t>
      </w:r>
    </w:p>
    <w:p w14:paraId="71097998" w14:textId="7E4A190F"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38AC0D8"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Links to Other Themes</w:t>
      </w:r>
    </w:p>
    <w:p w14:paraId="4D14E56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This theme builds upon </w:t>
      </w:r>
      <w:r w:rsidRPr="00726EDA">
        <w:rPr>
          <w:rFonts w:ascii="Arial" w:eastAsia="Times New Roman" w:hAnsi="Arial" w:cs="Arial"/>
          <w:b/>
          <w:bCs/>
          <w:sz w:val="22"/>
          <w:lang w:eastAsia="en-GB"/>
        </w:rPr>
        <w:t>Theme 2</w:t>
      </w:r>
      <w:r w:rsidRPr="00726EDA">
        <w:rPr>
          <w:rFonts w:ascii="Arial" w:eastAsia="Times New Roman" w:hAnsi="Arial" w:cs="Arial"/>
          <w:sz w:val="22"/>
          <w:lang w:eastAsia="en-GB"/>
        </w:rPr>
        <w:t>, which examined the effectiveness of safeguarding frameworks and professional practice, by explaining why implementation gaps persist. It also informs the concluding section of Chapter 4, which will synthesise how structural barriers shape overall safeguarding outcomes and highlight priorities for reform explored further in Chapter 5.</w:t>
      </w:r>
    </w:p>
    <w:p w14:paraId="35B260F6" w14:textId="7BB06176"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173E9975" w14:textId="7777777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Mini-Summary</w:t>
      </w:r>
    </w:p>
    <w:p w14:paraId="5791DA0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theme has critically analysed the structural and systemic barriers that constrain effective online safeguarding in the UK. Rapid technological change, commercial platform incentives, workforce pressures, digital-literacy inequalities, and organisational fragmentation collectively undermine the translation of policy into practice. Addressing these challenges requires coordinated regulatory enforcement, sustained professional training, and structural investment across children’s services.</w:t>
      </w:r>
    </w:p>
    <w:p w14:paraId="1166CF3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p>
    <w:p w14:paraId="3027FDB8" w14:textId="0ED98CBD" w:rsidR="008970A6" w:rsidRPr="00726EDA" w:rsidRDefault="002F318A"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4.6 Chapter</w:t>
      </w:r>
      <w:r w:rsidR="008970A6" w:rsidRPr="00726EDA">
        <w:rPr>
          <w:rFonts w:ascii="Arial" w:eastAsia="Times New Roman" w:hAnsi="Arial" w:cs="Arial"/>
          <w:b/>
          <w:bCs/>
          <w:kern w:val="36"/>
          <w:sz w:val="22"/>
          <w:lang w:eastAsia="en-GB"/>
        </w:rPr>
        <w:t xml:space="preserve"> Conclusion</w:t>
      </w:r>
    </w:p>
    <w:p w14:paraId="093D510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This chapter has presented a critical thematic analysis of the literature examining the challenges associated with safeguarding children from social media–related risks in the United </w:t>
      </w:r>
      <w:r w:rsidRPr="00726EDA">
        <w:rPr>
          <w:rFonts w:ascii="Arial" w:eastAsia="Times New Roman" w:hAnsi="Arial" w:cs="Arial"/>
          <w:sz w:val="22"/>
          <w:lang w:eastAsia="en-GB"/>
        </w:rPr>
        <w:lastRenderedPageBreak/>
        <w:t>Kingdom. Drawing on statutory guidance, regulator reports, and academic research, three interrelated themes were explored: the nature and prevalence of online harms; the effectiveness of current safeguarding frameworks and professional responses; and the structural and systemic barriers that constrain policy implementation.</w:t>
      </w:r>
    </w:p>
    <w:p w14:paraId="105AB44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Collectively, the findings demonstrate that while the UK has developed a robust legislative and regulatory infrastructure—particularly through statutory guidance for schools and the introduction of the Online Safety Act—significant gaps persist between policy ambition and everyday safeguarding practice. The literature consistently highlights persistent risks such as cyberbullying, online grooming, exposure to harmful content, and data exploitation, alongside growing concerns regarding children’s mental health and wellbeing. Although schools, parents, and social-care agencies are recognised as central actors within safeguarding systems, variation in training provision, confidence levels, and resource availability continues to produce uneven protection for children.</w:t>
      </w:r>
    </w:p>
    <w:p w14:paraId="02C2610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analysis further revealed that these operational challenges are embedded within wider structural pressures. Rapid technological change, commercial platform incentives, workforce shortages, fragmented multi-agency working, and socio-economic inequalities in digital literacy collectively undermine preventative safeguarding strategies. These systemic factors help explain why professional guidance is often implemented inconsistently and why regulatory reform alone cannot fully mitigate digital risks.</w:t>
      </w:r>
    </w:p>
    <w:p w14:paraId="7612337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 addressing the dissertation’s central aim—namely, to evaluate the effectiveness of current UK safeguarding responses—the evidence suggests that existing frameworks represent important progress but remain insufficient in isolation. Safeguarding children online requires coordinated action across education, health, social care, and the technology sector, supported by sustained professional development and enforceable regulatory oversight.</w:t>
      </w:r>
    </w:p>
    <w:p w14:paraId="334C82B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The implications of these findings point directly towards the focus of Chapter 5. The concluding chapter will draw upon the themes identified here to develop evidence-based recommendations aimed at strengthening digital-safeguarding practice, enhancing workforce capability, improving parental engagement, and ensuring that emerging regulatory mechanisms are translated more effectively into everyday protection for children.</w:t>
      </w:r>
    </w:p>
    <w:p w14:paraId="1DA9D595"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460CFF9A" w14:textId="77777777" w:rsidR="008970A6" w:rsidRPr="00726EDA" w:rsidRDefault="008970A6" w:rsidP="00726EDA">
      <w:pPr>
        <w:spacing w:before="100" w:beforeAutospacing="1" w:after="100" w:afterAutospacing="1" w:line="480" w:lineRule="auto"/>
        <w:jc w:val="both"/>
        <w:rPr>
          <w:rFonts w:ascii="Arial" w:hAnsi="Arial" w:cs="Arial"/>
          <w:sz w:val="22"/>
        </w:rPr>
      </w:pPr>
    </w:p>
    <w:p w14:paraId="7A0D3A31" w14:textId="77777777" w:rsidR="00235A74" w:rsidRDefault="00235A74" w:rsidP="00726EDA">
      <w:pPr>
        <w:spacing w:before="100" w:beforeAutospacing="1" w:after="100" w:afterAutospacing="1" w:line="480" w:lineRule="auto"/>
        <w:jc w:val="both"/>
        <w:rPr>
          <w:rFonts w:ascii="Arial" w:hAnsi="Arial" w:cs="Arial"/>
          <w:sz w:val="22"/>
        </w:rPr>
      </w:pPr>
    </w:p>
    <w:p w14:paraId="1F57552D" w14:textId="77777777" w:rsidR="00235A74" w:rsidRDefault="00235A74" w:rsidP="00726EDA">
      <w:pPr>
        <w:spacing w:before="100" w:beforeAutospacing="1" w:after="100" w:afterAutospacing="1" w:line="480" w:lineRule="auto"/>
        <w:jc w:val="both"/>
        <w:rPr>
          <w:rFonts w:ascii="Arial" w:hAnsi="Arial" w:cs="Arial"/>
          <w:sz w:val="22"/>
        </w:rPr>
      </w:pPr>
    </w:p>
    <w:p w14:paraId="54273C64" w14:textId="77777777" w:rsidR="00235A74" w:rsidRDefault="00235A74" w:rsidP="00726EDA">
      <w:pPr>
        <w:spacing w:before="100" w:beforeAutospacing="1" w:after="100" w:afterAutospacing="1" w:line="480" w:lineRule="auto"/>
        <w:jc w:val="both"/>
        <w:rPr>
          <w:rFonts w:ascii="Arial" w:hAnsi="Arial" w:cs="Arial"/>
          <w:sz w:val="22"/>
        </w:rPr>
      </w:pPr>
    </w:p>
    <w:p w14:paraId="68246E37" w14:textId="77777777" w:rsidR="00235A74" w:rsidRDefault="00235A74" w:rsidP="00726EDA">
      <w:pPr>
        <w:spacing w:before="100" w:beforeAutospacing="1" w:after="100" w:afterAutospacing="1" w:line="480" w:lineRule="auto"/>
        <w:jc w:val="both"/>
        <w:rPr>
          <w:rFonts w:ascii="Arial" w:hAnsi="Arial" w:cs="Arial"/>
          <w:sz w:val="22"/>
        </w:rPr>
      </w:pPr>
    </w:p>
    <w:p w14:paraId="542916A2" w14:textId="77777777" w:rsidR="00235A74" w:rsidRDefault="00235A74" w:rsidP="00726EDA">
      <w:pPr>
        <w:spacing w:before="100" w:beforeAutospacing="1" w:after="100" w:afterAutospacing="1" w:line="480" w:lineRule="auto"/>
        <w:jc w:val="both"/>
        <w:rPr>
          <w:rFonts w:ascii="Arial" w:hAnsi="Arial" w:cs="Arial"/>
          <w:sz w:val="22"/>
        </w:rPr>
      </w:pPr>
    </w:p>
    <w:p w14:paraId="4E6E37C4" w14:textId="77777777" w:rsidR="00235A74" w:rsidRDefault="00235A74" w:rsidP="00726EDA">
      <w:pPr>
        <w:spacing w:before="100" w:beforeAutospacing="1" w:after="100" w:afterAutospacing="1" w:line="480" w:lineRule="auto"/>
        <w:jc w:val="both"/>
        <w:rPr>
          <w:rFonts w:ascii="Arial" w:hAnsi="Arial" w:cs="Arial"/>
          <w:sz w:val="22"/>
        </w:rPr>
      </w:pPr>
    </w:p>
    <w:p w14:paraId="390826CA" w14:textId="77777777" w:rsidR="00235A74" w:rsidRDefault="00235A74" w:rsidP="00726EDA">
      <w:pPr>
        <w:spacing w:before="100" w:beforeAutospacing="1" w:after="100" w:afterAutospacing="1" w:line="480" w:lineRule="auto"/>
        <w:jc w:val="both"/>
        <w:rPr>
          <w:rFonts w:ascii="Arial" w:hAnsi="Arial" w:cs="Arial"/>
          <w:sz w:val="22"/>
        </w:rPr>
      </w:pPr>
    </w:p>
    <w:p w14:paraId="071AE662" w14:textId="77777777" w:rsidR="00235A74" w:rsidRDefault="00235A74" w:rsidP="00726EDA">
      <w:pPr>
        <w:spacing w:before="100" w:beforeAutospacing="1" w:after="100" w:afterAutospacing="1" w:line="480" w:lineRule="auto"/>
        <w:jc w:val="both"/>
        <w:rPr>
          <w:rFonts w:ascii="Arial" w:hAnsi="Arial" w:cs="Arial"/>
          <w:sz w:val="22"/>
        </w:rPr>
      </w:pPr>
    </w:p>
    <w:p w14:paraId="0BE9BD3D" w14:textId="77777777" w:rsidR="00235A74" w:rsidRDefault="00235A74" w:rsidP="00726EDA">
      <w:pPr>
        <w:spacing w:before="100" w:beforeAutospacing="1" w:after="100" w:afterAutospacing="1" w:line="480" w:lineRule="auto"/>
        <w:jc w:val="both"/>
        <w:rPr>
          <w:rFonts w:ascii="Arial" w:hAnsi="Arial" w:cs="Arial"/>
          <w:sz w:val="22"/>
        </w:rPr>
      </w:pPr>
    </w:p>
    <w:p w14:paraId="1DF5BFEC" w14:textId="77777777" w:rsidR="00235A74" w:rsidRDefault="00235A74" w:rsidP="00726EDA">
      <w:pPr>
        <w:spacing w:before="100" w:beforeAutospacing="1" w:after="100" w:afterAutospacing="1" w:line="480" w:lineRule="auto"/>
        <w:jc w:val="both"/>
        <w:rPr>
          <w:rFonts w:ascii="Arial" w:hAnsi="Arial" w:cs="Arial"/>
          <w:sz w:val="22"/>
        </w:rPr>
      </w:pPr>
    </w:p>
    <w:p w14:paraId="17E6952A" w14:textId="77777777" w:rsidR="00235A74" w:rsidRDefault="00235A74" w:rsidP="00726EDA">
      <w:pPr>
        <w:spacing w:before="100" w:beforeAutospacing="1" w:after="100" w:afterAutospacing="1" w:line="480" w:lineRule="auto"/>
        <w:jc w:val="both"/>
        <w:rPr>
          <w:rFonts w:ascii="Arial" w:hAnsi="Arial" w:cs="Arial"/>
          <w:sz w:val="22"/>
        </w:rPr>
      </w:pPr>
    </w:p>
    <w:p w14:paraId="6FEBA8A7" w14:textId="77777777" w:rsidR="00235A74" w:rsidRPr="00726EDA" w:rsidRDefault="00235A74" w:rsidP="00726EDA">
      <w:pPr>
        <w:spacing w:before="100" w:beforeAutospacing="1" w:after="100" w:afterAutospacing="1" w:line="480" w:lineRule="auto"/>
        <w:jc w:val="both"/>
        <w:rPr>
          <w:rFonts w:ascii="Arial" w:hAnsi="Arial" w:cs="Arial"/>
          <w:sz w:val="22"/>
        </w:rPr>
      </w:pPr>
    </w:p>
    <w:p w14:paraId="0C91F4C3" w14:textId="77777777" w:rsidR="008970A6" w:rsidRPr="00726EDA" w:rsidRDefault="008970A6"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lastRenderedPageBreak/>
        <w:t>Chapter 5</w:t>
      </w:r>
    </w:p>
    <w:p w14:paraId="56678AD8" w14:textId="77777777" w:rsidR="008970A6" w:rsidRPr="00726EDA" w:rsidRDefault="008970A6"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5.1 Overall Conclusion</w:t>
      </w:r>
    </w:p>
    <w:p w14:paraId="5D466E8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dissertation set out to explore the challenges associated with safeguarding children from social-media-related risks in the United Kingdom and to assess the effectiveness of current protective responses. Drawing on a systematic thematic analysis of secondary sources, the findings presented in Chapter 4 demonstrated that while the UK has developed an extensive legislative and regulatory framework, including statutory safeguarding guidance and platform regulation, significant gaps remain in implementation, professional confidence, and digital literacy provision.</w:t>
      </w:r>
    </w:p>
    <w:p w14:paraId="1BE16CB9" w14:textId="6D889303" w:rsidR="00067C35" w:rsidRPr="00726EDA" w:rsidRDefault="00067C35"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use of a structured </w:t>
      </w:r>
      <w:r w:rsidR="002F7ED0" w:rsidRPr="00726EDA">
        <w:rPr>
          <w:rFonts w:ascii="Arial" w:hAnsi="Arial" w:cs="Arial"/>
          <w:sz w:val="22"/>
        </w:rPr>
        <w:t>Source Tracking Table</w:t>
      </w:r>
      <w:r w:rsidR="002F7ED0" w:rsidRPr="00726EDA">
        <w:rPr>
          <w:rFonts w:ascii="Arial" w:eastAsia="Times New Roman" w:hAnsi="Arial" w:cs="Arial"/>
          <w:sz w:val="22"/>
          <w:lang w:eastAsia="en-GB"/>
        </w:rPr>
        <w:t xml:space="preserve"> </w:t>
      </w:r>
      <w:r w:rsidRPr="00726EDA">
        <w:rPr>
          <w:rFonts w:ascii="Arial" w:eastAsia="Times New Roman" w:hAnsi="Arial" w:cs="Arial"/>
          <w:sz w:val="22"/>
          <w:lang w:eastAsia="en-GB"/>
        </w:rPr>
        <w:t>(Appendix A) supported systematic comparison across sources and strengthened the credibility of the thematic conclusions presented in this chapter.</w:t>
      </w:r>
    </w:p>
    <w:p w14:paraId="18E452CE" w14:textId="0C969EBE" w:rsidR="00F22422" w:rsidRPr="00726EDA" w:rsidRDefault="00F22422"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hAnsi="Arial" w:cs="Arial"/>
          <w:sz w:val="22"/>
        </w:rPr>
        <w:t>Across the three themes, the analysis highlighted the forms and prevalence of online harm affecting children in the UK, uneven effectiveness of safeguarding frameworks and professional responses, and structural and systemic barriers that continue to limit effective online safeguarding.</w:t>
      </w:r>
    </w:p>
    <w:p w14:paraId="720B7773" w14:textId="55EE7A35"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Together, these findings indicate that safeguarding responses are frequently reactive rather than preventative and that coordination between education, families, regulators and technology companies remains uneven.</w:t>
      </w:r>
    </w:p>
    <w:p w14:paraId="641A8ED7" w14:textId="77777777" w:rsidR="009A596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research objectives were met by identifying key risks, evaluating the roles of safeguarding professionals and parents, and critically examining the effectiveness of national policy measures. However, reliance on secondary data limited the ability to capture frontline practitioner perspectives directly. Nevertheless, the synthesis provides a robust overview of current structural challenges and areas requiring reform. The following section therefore </w:t>
      </w:r>
      <w:r w:rsidRPr="00726EDA">
        <w:rPr>
          <w:rFonts w:ascii="Arial" w:eastAsia="Times New Roman" w:hAnsi="Arial" w:cs="Arial"/>
          <w:sz w:val="22"/>
          <w:lang w:eastAsia="en-GB"/>
        </w:rPr>
        <w:lastRenderedPageBreak/>
        <w:t>proposes three evidence-informed recommendations designed to strengthen prevention, improve professional capacity and enhance regulatory enforcement within the UK safeguarding system.</w:t>
      </w:r>
    </w:p>
    <w:p w14:paraId="30FFA8BB" w14:textId="30EF36EA" w:rsidR="00744859" w:rsidRPr="00726EDA" w:rsidRDefault="00744859"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 findings and methodological approach of this study were also synthesised into an academic poster to support clear communication and knowledge dissemination.</w:t>
      </w:r>
    </w:p>
    <w:p w14:paraId="3CB44DF7" w14:textId="6E105FA7" w:rsidR="008970A6" w:rsidRPr="00726EDA" w:rsidRDefault="008970A6" w:rsidP="00726EDA">
      <w:pPr>
        <w:spacing w:before="100" w:beforeAutospacing="1" w:after="100" w:afterAutospacing="1" w:line="480" w:lineRule="auto"/>
        <w:jc w:val="both"/>
        <w:outlineLvl w:val="1"/>
        <w:rPr>
          <w:rFonts w:ascii="Arial" w:eastAsia="Times New Roman" w:hAnsi="Arial" w:cs="Arial"/>
          <w:b/>
          <w:bCs/>
          <w:sz w:val="22"/>
          <w:lang w:eastAsia="en-GB"/>
        </w:rPr>
      </w:pPr>
      <w:r w:rsidRPr="00726EDA">
        <w:rPr>
          <w:rFonts w:ascii="Arial" w:eastAsia="Times New Roman" w:hAnsi="Arial" w:cs="Arial"/>
          <w:b/>
          <w:bCs/>
          <w:sz w:val="22"/>
          <w:lang w:eastAsia="en-GB"/>
        </w:rPr>
        <w:t>5.2</w:t>
      </w:r>
      <w:r w:rsidR="005316FB" w:rsidRPr="00726EDA">
        <w:rPr>
          <w:rFonts w:ascii="Arial" w:eastAsia="Times New Roman" w:hAnsi="Arial" w:cs="Arial"/>
          <w:b/>
          <w:bCs/>
          <w:sz w:val="22"/>
          <w:lang w:eastAsia="en-GB"/>
        </w:rPr>
        <w:t xml:space="preserve"> </w:t>
      </w:r>
      <w:r w:rsidRPr="00726EDA">
        <w:rPr>
          <w:rFonts w:ascii="Arial" w:eastAsia="Times New Roman" w:hAnsi="Arial" w:cs="Arial"/>
          <w:b/>
          <w:bCs/>
          <w:sz w:val="22"/>
          <w:lang w:eastAsia="en-GB"/>
        </w:rPr>
        <w:t>Recommendation 1: Mandatory Digital-Safeguarding Training for Professionals</w:t>
      </w:r>
    </w:p>
    <w:p w14:paraId="6C1FD7B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It is recommended that all education and safeguarding professionals in the UK, including teachers, social workers, school safeguarding leads and youth workers, receive mandatory, regularly updated training on online harms, platform risks and digital-abuse indicators. This training should be nationally standardised and embedded within statutory continuing professional development requirements.</w:t>
      </w:r>
    </w:p>
    <w:p w14:paraId="1CA28EC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recommendation is justified by Chapter 4’s findings that practitioner confidence and response quality vary significantly between institutions, resulting in inconsistent protection for children. The analysis demonstrated that while policy guidance exists, frontline staff often report uncertainty when managing complex online incidents such as coercive grooming, image-based abuse or algorithm-driven exposure to harmful content. Strengthening professional competence is therefore central to improving early identification, intervention and inter-agency collaboration.</w:t>
      </w:r>
    </w:p>
    <w:p w14:paraId="234C03F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 practice, this could be implemented through Department for Education–approved online modules, annual refresher courses and safeguarding briefings incorporated into school inspection frameworks. Local safeguarding partnerships could coordinate training delivery, ensuring consistency across regions and sectors.</w:t>
      </w:r>
    </w:p>
    <w:p w14:paraId="36400F5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Potential barriers include limited funding, workload pressures and unequal access to specialist trainers, particularly in smaller schools or rural authorities. To overcome these challenges, a </w:t>
      </w:r>
      <w:r w:rsidRPr="00726EDA">
        <w:rPr>
          <w:rFonts w:ascii="Arial" w:eastAsia="Times New Roman" w:hAnsi="Arial" w:cs="Arial"/>
          <w:sz w:val="22"/>
          <w:lang w:eastAsia="en-GB"/>
        </w:rPr>
        <w:lastRenderedPageBreak/>
        <w:t>centrally funded digital-training package could be developed at national level, reducing cost duplication and ensuring universal access. Time-efficient formats, such as modular e-learning combined with scenario-based workshops, would also increase feasibility.</w:t>
      </w:r>
    </w:p>
    <w:p w14:paraId="529A425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recommendation is closely aligned with the research aim, as it addresses a core systemic weakness identified across the literature and directly targets the implementation gap between safeguarding policy and professional practice.</w:t>
      </w:r>
    </w:p>
    <w:p w14:paraId="50DDCD36" w14:textId="77777777" w:rsidR="005316FB" w:rsidRPr="00726EDA" w:rsidRDefault="005316FB" w:rsidP="00726EDA">
      <w:pPr>
        <w:spacing w:before="100" w:beforeAutospacing="1" w:after="100" w:afterAutospacing="1" w:line="480" w:lineRule="auto"/>
        <w:jc w:val="both"/>
        <w:rPr>
          <w:rFonts w:ascii="Arial" w:eastAsia="Times New Roman" w:hAnsi="Arial" w:cs="Arial"/>
          <w:sz w:val="22"/>
          <w:lang w:eastAsia="en-GB"/>
        </w:rPr>
      </w:pPr>
    </w:p>
    <w:p w14:paraId="02EF0DF9" w14:textId="14967ED5" w:rsidR="008970A6" w:rsidRPr="00726EDA" w:rsidRDefault="007241DC" w:rsidP="00726EDA">
      <w:pPr>
        <w:spacing w:before="100" w:beforeAutospacing="1" w:after="100" w:afterAutospacing="1" w:line="480" w:lineRule="auto"/>
        <w:jc w:val="both"/>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5.3 Recommendation</w:t>
      </w:r>
      <w:r w:rsidR="008970A6" w:rsidRPr="00726EDA">
        <w:rPr>
          <w:rFonts w:ascii="Arial" w:eastAsia="Times New Roman" w:hAnsi="Arial" w:cs="Arial"/>
          <w:b/>
          <w:bCs/>
          <w:kern w:val="36"/>
          <w:sz w:val="22"/>
          <w:lang w:eastAsia="en-GB"/>
        </w:rPr>
        <w:t xml:space="preserve"> </w:t>
      </w:r>
      <w:r w:rsidR="00563CE7" w:rsidRPr="00726EDA">
        <w:rPr>
          <w:rFonts w:ascii="Arial" w:eastAsia="Times New Roman" w:hAnsi="Arial" w:cs="Arial"/>
          <w:b/>
          <w:bCs/>
          <w:kern w:val="36"/>
          <w:sz w:val="22"/>
          <w:lang w:eastAsia="en-GB"/>
        </w:rPr>
        <w:t>2:</w:t>
      </w:r>
      <w:r w:rsidR="008970A6" w:rsidRPr="00726EDA">
        <w:rPr>
          <w:rFonts w:ascii="Arial" w:eastAsia="Times New Roman" w:hAnsi="Arial" w:cs="Arial"/>
          <w:b/>
          <w:bCs/>
          <w:kern w:val="36"/>
          <w:sz w:val="22"/>
          <w:lang w:eastAsia="en-GB"/>
        </w:rPr>
        <w:t xml:space="preserve"> National Digital-Safety Education for Children and Parents</w:t>
      </w:r>
    </w:p>
    <w:p w14:paraId="27F7B63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It is recommended that a nationally consistent digital-safety education programme be introduced across all UK schools and extended to parents and carers through community-based workshops and online resources. This programme should cover online grooming tactics, cyberbullying, harmful content, privacy protection, reporting mechanisms and responsible platform use, and should be embedded within the statutory Relationships, Sex and Health Education (RSHE) curriculum.</w:t>
      </w:r>
    </w:p>
    <w:p w14:paraId="65153A2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recommendation is justified by Chapter 4’s findings that children’s exposure to online risk is strongly influenced by disparities in parental digital literacy and inconsistent school-level provision. The thematic analysis showed that while some institutions deliver comprehensive e-safety teaching, others rely on ad-hoc interventions or outdated materials. This uneven landscape leaves many children insufficiently equipped to recognise online threats or seek help effectively, particularly in vulnerable or digitally excluded households.</w:t>
      </w:r>
    </w:p>
    <w:p w14:paraId="7A64345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In practical terms, the Department for Education could issue standardised lesson frameworks supported by Ofsted-approved guidance, while local authorities and safeguarding partnerships could facilitate parental sessions in schools, libraries and health centres. Digital </w:t>
      </w:r>
      <w:r w:rsidRPr="00726EDA">
        <w:rPr>
          <w:rFonts w:ascii="Arial" w:eastAsia="Times New Roman" w:hAnsi="Arial" w:cs="Arial"/>
          <w:sz w:val="22"/>
          <w:lang w:eastAsia="en-GB"/>
        </w:rPr>
        <w:lastRenderedPageBreak/>
        <w:t>platforms and charities such as the NSPCC could contribute co-designed materials to ensure accessibility and age-appropriate messaging.</w:t>
      </w:r>
    </w:p>
    <w:p w14:paraId="7139EA5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Barriers to implementation may include parental disengagement, time pressures within crowded curricula and difficulties reaching families with limited internet access. These challenges could be mitigated through flexible delivery formats, including evening workshops, translated resources and mobile-friendly guidance, alongside incentives for school participation through inspection criteria.</w:t>
      </w:r>
    </w:p>
    <w:p w14:paraId="55DEFC1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recommendation directly supports the research aim by addressing prevention and early intervention, strengthening children’s resilience and promoting shared responsibility among families, educators and safeguarding agencies.</w:t>
      </w:r>
    </w:p>
    <w:p w14:paraId="116DA77C" w14:textId="77777777" w:rsidR="005316FB" w:rsidRPr="00726EDA" w:rsidRDefault="005316FB" w:rsidP="00726EDA">
      <w:pPr>
        <w:spacing w:before="100" w:beforeAutospacing="1" w:after="100" w:afterAutospacing="1" w:line="480" w:lineRule="auto"/>
        <w:jc w:val="both"/>
        <w:rPr>
          <w:rFonts w:ascii="Arial" w:eastAsia="Times New Roman" w:hAnsi="Arial" w:cs="Arial"/>
          <w:sz w:val="22"/>
          <w:lang w:eastAsia="en-GB"/>
        </w:rPr>
      </w:pPr>
    </w:p>
    <w:p w14:paraId="564F1053" w14:textId="77777777" w:rsidR="005316FB" w:rsidRPr="00726EDA" w:rsidRDefault="005316FB" w:rsidP="00726EDA">
      <w:pPr>
        <w:spacing w:before="100" w:beforeAutospacing="1" w:after="100" w:afterAutospacing="1" w:line="480" w:lineRule="auto"/>
        <w:jc w:val="both"/>
        <w:rPr>
          <w:rFonts w:ascii="Arial" w:eastAsia="Times New Roman" w:hAnsi="Arial" w:cs="Arial"/>
          <w:sz w:val="22"/>
          <w:lang w:eastAsia="en-GB"/>
        </w:rPr>
      </w:pPr>
    </w:p>
    <w:p w14:paraId="667AEAE1" w14:textId="6AE75E50" w:rsidR="008970A6" w:rsidRPr="00726EDA" w:rsidRDefault="005316FB" w:rsidP="00726EDA">
      <w:pPr>
        <w:spacing w:before="100" w:beforeAutospacing="1" w:after="100" w:afterAutospacing="1" w:line="480" w:lineRule="auto"/>
        <w:outlineLvl w:val="0"/>
        <w:rPr>
          <w:rFonts w:ascii="Arial" w:eastAsia="Times New Roman" w:hAnsi="Arial" w:cs="Arial"/>
          <w:b/>
          <w:bCs/>
          <w:kern w:val="36"/>
          <w:sz w:val="22"/>
          <w:lang w:eastAsia="en-GB"/>
        </w:rPr>
      </w:pPr>
      <w:r w:rsidRPr="00726EDA">
        <w:rPr>
          <w:rFonts w:ascii="Arial" w:eastAsia="Times New Roman" w:hAnsi="Arial" w:cs="Arial"/>
          <w:b/>
          <w:bCs/>
          <w:kern w:val="36"/>
          <w:sz w:val="22"/>
          <w:lang w:eastAsia="en-GB"/>
        </w:rPr>
        <w:t xml:space="preserve">5.4 </w:t>
      </w:r>
      <w:r w:rsidR="008970A6" w:rsidRPr="00726EDA">
        <w:rPr>
          <w:rFonts w:ascii="Arial" w:eastAsia="Times New Roman" w:hAnsi="Arial" w:cs="Arial"/>
          <w:b/>
          <w:bCs/>
          <w:kern w:val="36"/>
          <w:sz w:val="22"/>
          <w:lang w:eastAsia="en-GB"/>
        </w:rPr>
        <w:t>Recommendation</w:t>
      </w:r>
      <w:r w:rsidRPr="00726EDA">
        <w:rPr>
          <w:rFonts w:ascii="Arial" w:eastAsia="Times New Roman" w:hAnsi="Arial" w:cs="Arial"/>
          <w:b/>
          <w:bCs/>
          <w:kern w:val="36"/>
          <w:sz w:val="22"/>
          <w:lang w:eastAsia="en-GB"/>
        </w:rPr>
        <w:t xml:space="preserve"> 3:</w:t>
      </w:r>
      <w:r w:rsidR="008970A6" w:rsidRPr="00726EDA">
        <w:rPr>
          <w:rFonts w:ascii="Arial" w:eastAsia="Times New Roman" w:hAnsi="Arial" w:cs="Arial"/>
          <w:b/>
          <w:bCs/>
          <w:kern w:val="36"/>
          <w:sz w:val="22"/>
          <w:lang w:eastAsia="en-GB"/>
        </w:rPr>
        <w:t xml:space="preserve"> Strengthening Regulatory Enforcement and Platform Accountability</w:t>
      </w:r>
    </w:p>
    <w:p w14:paraId="1491ADB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It is recommended that regulatory oversight of social-media platforms be strengthened through clearer enforcement mechanisms, transparent reporting requirements, and meaningful sanctions for non-compliance with child-safeguarding duties under the Online Safety Act (2023). While the legislation establishes important protections, Chapter 4 demonstrated that implementation remains inconsistent, with concerns about delayed content removal, limited transparency around moderation processes, and variations in how platforms respond to safeguarding referrals.</w:t>
      </w:r>
    </w:p>
    <w:p w14:paraId="33C2994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The thematic findings revealed widespread professional anxiety regarding the speed at which harmful material circulates online compared with the pace of regulatory action. Educators and safeguarding practitioners reported uncertainty about escalation routes when platform </w:t>
      </w:r>
      <w:r w:rsidRPr="00726EDA">
        <w:rPr>
          <w:rFonts w:ascii="Arial" w:eastAsia="Times New Roman" w:hAnsi="Arial" w:cs="Arial"/>
          <w:sz w:val="22"/>
          <w:lang w:eastAsia="en-GB"/>
        </w:rPr>
        <w:lastRenderedPageBreak/>
        <w:t>reporting tools fail to result in timely intervention. This disconnect undermines confidence in statutory protections and places additional pressure on schools and social-care services to manage risk without adequate technological support.</w:t>
      </w:r>
    </w:p>
    <w:p w14:paraId="4B800BE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To address these issues, Ofcom should be empowered to publish routine performance audits comparing platforms’ response times, age-verification systems, complaint handling, and data-sharing procedures with safeguarding agencies. Mandatory transparency reports could require companies to disclose the volume of child-safety referrals received, actions taken, and average removal times for harmful content. Financial penalties should be applied proportionately where companies repeatedly fall short, alongside improvement notices requiring demonstrable remedial action.</w:t>
      </w:r>
    </w:p>
    <w:p w14:paraId="0A56144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Collaboration between regulators, law-enforcement bodies and child-protection organisations should also be formalised through information-sharing protocols, ensuring that serious cases of grooming or exploitation are escalated swiftly and consistently across jurisdictions. Platforms could be required to fund independent child-safety research and contribute to national prevention initiatives, reinforcing corporate responsibility.</w:t>
      </w:r>
    </w:p>
    <w:p w14:paraId="2353F24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This recommendation directly addresses one of the core weaknesses identified in the study: the gap between policy intention and practical protection. By strengthening enforcement and accountability mechanisms, safeguarding systems would become more responsive, credible and preventative, supporting professionals’ work while reducing children’s exposure to prolonged online harm.</w:t>
      </w:r>
    </w:p>
    <w:p w14:paraId="08CE08E3" w14:textId="26A80BAA" w:rsidR="008970A6" w:rsidRPr="00726EDA" w:rsidRDefault="004C02B3" w:rsidP="00726EDA">
      <w:pPr>
        <w:spacing w:before="100" w:beforeAutospacing="1" w:after="100" w:afterAutospacing="1" w:line="480" w:lineRule="auto"/>
        <w:jc w:val="both"/>
        <w:rPr>
          <w:rFonts w:ascii="Arial" w:hAnsi="Arial" w:cs="Arial"/>
          <w:sz w:val="22"/>
        </w:rPr>
      </w:pPr>
      <w:r w:rsidRPr="00726EDA">
        <w:rPr>
          <w:rFonts w:ascii="Arial" w:hAnsi="Arial" w:cs="Arial"/>
          <w:sz w:val="22"/>
        </w:rPr>
        <w:t>This chapter has drawn together the study’s findings and translated them into practical recommendations aligned with the research aims and objectives.</w:t>
      </w:r>
    </w:p>
    <w:p w14:paraId="5606A40B" w14:textId="77777777" w:rsidR="00804FE3" w:rsidRPr="00726EDA" w:rsidRDefault="00804FE3" w:rsidP="00726EDA">
      <w:pPr>
        <w:spacing w:before="100" w:beforeAutospacing="1" w:after="100" w:afterAutospacing="1" w:line="480" w:lineRule="auto"/>
        <w:jc w:val="both"/>
        <w:rPr>
          <w:rFonts w:ascii="Arial" w:hAnsi="Arial" w:cs="Arial"/>
          <w:b/>
          <w:bCs/>
          <w:kern w:val="2"/>
          <w:sz w:val="22"/>
          <w14:ligatures w14:val="standardContextual"/>
        </w:rPr>
      </w:pPr>
    </w:p>
    <w:p w14:paraId="68810C67" w14:textId="6D7B5BB5" w:rsidR="008970A6" w:rsidRPr="00726EDA" w:rsidRDefault="00804FE3" w:rsidP="00726EDA">
      <w:pPr>
        <w:spacing w:before="100" w:beforeAutospacing="1" w:after="100" w:afterAutospacing="1" w:line="480" w:lineRule="auto"/>
        <w:jc w:val="both"/>
        <w:rPr>
          <w:rFonts w:ascii="Arial" w:hAnsi="Arial" w:cs="Arial"/>
          <w:b/>
          <w:bCs/>
          <w:kern w:val="2"/>
          <w:sz w:val="22"/>
          <w14:ligatures w14:val="standardContextual"/>
        </w:rPr>
      </w:pPr>
      <w:r w:rsidRPr="00726EDA">
        <w:rPr>
          <w:rFonts w:ascii="Arial" w:hAnsi="Arial" w:cs="Arial"/>
          <w:b/>
          <w:bCs/>
          <w:kern w:val="2"/>
          <w:sz w:val="22"/>
          <w14:ligatures w14:val="standardContextual"/>
        </w:rPr>
        <w:t xml:space="preserve">5.5 Limitations </w:t>
      </w:r>
    </w:p>
    <w:p w14:paraId="377A7053" w14:textId="185A9797" w:rsidR="00D85928" w:rsidRDefault="00804FE3" w:rsidP="00726EDA">
      <w:pPr>
        <w:spacing w:before="100" w:beforeAutospacing="1" w:after="100" w:afterAutospacing="1" w:line="480" w:lineRule="auto"/>
        <w:jc w:val="both"/>
        <w:rPr>
          <w:rFonts w:ascii="Arial" w:hAnsi="Arial" w:cs="Arial"/>
          <w:sz w:val="22"/>
        </w:rPr>
      </w:pPr>
      <w:r w:rsidRPr="00726EDA">
        <w:rPr>
          <w:rFonts w:ascii="Arial" w:hAnsi="Arial" w:cs="Arial"/>
          <w:sz w:val="22"/>
        </w:rPr>
        <w:lastRenderedPageBreak/>
        <w:t xml:space="preserve">This dissertation is limited by its reliance on secondary evidence, meaning it cannot directly capture frontline practitioner experiences, parental perspectives, or </w:t>
      </w:r>
      <w:proofErr w:type="gramStart"/>
      <w:r w:rsidRPr="00726EDA">
        <w:rPr>
          <w:rFonts w:ascii="Arial" w:hAnsi="Arial" w:cs="Arial"/>
          <w:sz w:val="22"/>
        </w:rPr>
        <w:t>children’s</w:t>
      </w:r>
      <w:proofErr w:type="gramEnd"/>
      <w:r w:rsidRPr="00726EDA">
        <w:rPr>
          <w:rFonts w:ascii="Arial" w:hAnsi="Arial" w:cs="Arial"/>
          <w:sz w:val="22"/>
        </w:rPr>
        <w:t xml:space="preserve"> lived accounts in real time. The available evidence base may also reflect publication bias and institutional priorities: policy and third-sector reports can emphasise system-level aims, while academic studies may focus on </w:t>
      </w:r>
      <w:proofErr w:type="gramStart"/>
      <w:r w:rsidRPr="00726EDA">
        <w:rPr>
          <w:rFonts w:ascii="Arial" w:hAnsi="Arial" w:cs="Arial"/>
          <w:sz w:val="22"/>
        </w:rPr>
        <w:t>particular harms</w:t>
      </w:r>
      <w:proofErr w:type="gramEnd"/>
      <w:r w:rsidRPr="00726EDA">
        <w:rPr>
          <w:rFonts w:ascii="Arial" w:hAnsi="Arial" w:cs="Arial"/>
          <w:sz w:val="22"/>
        </w:rPr>
        <w:t xml:space="preserve">, age groups or settings that are not fully representative. The online environment also changes rapidly (platform features, trends and risk behaviours), which can reduce the longevity of some findings. Finally, gaps remain regarding differential impacts on marginalised groups (including children facing digital exclusion), limiting generalisability and highlighting the need for targeted </w:t>
      </w:r>
      <w:r w:rsidR="00520371" w:rsidRPr="00726EDA">
        <w:rPr>
          <w:rFonts w:ascii="Arial" w:hAnsi="Arial" w:cs="Arial"/>
          <w:sz w:val="22"/>
        </w:rPr>
        <w:t>research</w:t>
      </w:r>
      <w:r w:rsidR="00520371">
        <w:rPr>
          <w:rFonts w:ascii="Arial" w:hAnsi="Arial" w:cs="Arial"/>
          <w:sz w:val="22"/>
        </w:rPr>
        <w:t>.</w:t>
      </w:r>
    </w:p>
    <w:p w14:paraId="5E6D2846" w14:textId="77777777" w:rsidR="00520371" w:rsidRPr="00726EDA" w:rsidRDefault="00520371" w:rsidP="00726EDA">
      <w:pPr>
        <w:spacing w:before="100" w:beforeAutospacing="1" w:after="100" w:afterAutospacing="1" w:line="480" w:lineRule="auto"/>
        <w:jc w:val="both"/>
        <w:rPr>
          <w:rFonts w:ascii="Arial" w:hAnsi="Arial" w:cs="Arial"/>
          <w:sz w:val="22"/>
        </w:rPr>
      </w:pPr>
    </w:p>
    <w:p w14:paraId="3217C5E9" w14:textId="1DCFE429" w:rsidR="008970A6" w:rsidRPr="00726EDA" w:rsidRDefault="006C3E32" w:rsidP="00726EDA">
      <w:pPr>
        <w:spacing w:before="100" w:beforeAutospacing="1" w:after="100" w:afterAutospacing="1" w:line="480" w:lineRule="auto"/>
        <w:jc w:val="both"/>
        <w:rPr>
          <w:rFonts w:ascii="Arial" w:hAnsi="Arial" w:cs="Arial"/>
          <w:b/>
          <w:bCs/>
          <w:kern w:val="2"/>
          <w:sz w:val="22"/>
          <w14:ligatures w14:val="standardContextual"/>
        </w:rPr>
      </w:pPr>
      <w:r w:rsidRPr="00726EDA">
        <w:rPr>
          <w:rFonts w:ascii="Arial" w:hAnsi="Arial" w:cs="Arial"/>
          <w:b/>
          <w:bCs/>
          <w:kern w:val="2"/>
          <w:sz w:val="22"/>
          <w14:ligatures w14:val="standardContextual"/>
        </w:rPr>
        <w:t>5.</w:t>
      </w:r>
      <w:r w:rsidR="00804FE3" w:rsidRPr="00726EDA">
        <w:rPr>
          <w:rFonts w:ascii="Arial" w:hAnsi="Arial" w:cs="Arial"/>
          <w:b/>
          <w:bCs/>
          <w:kern w:val="2"/>
          <w:sz w:val="22"/>
          <w14:ligatures w14:val="standardContextual"/>
        </w:rPr>
        <w:t xml:space="preserve">6 </w:t>
      </w:r>
      <w:r w:rsidRPr="00726EDA">
        <w:rPr>
          <w:rFonts w:ascii="Arial" w:hAnsi="Arial" w:cs="Arial"/>
          <w:b/>
          <w:bCs/>
          <w:kern w:val="2"/>
          <w:sz w:val="22"/>
          <w14:ligatures w14:val="standardContextual"/>
        </w:rPr>
        <w:t xml:space="preserve">Future research </w:t>
      </w:r>
    </w:p>
    <w:p w14:paraId="6B1D10B6" w14:textId="2A1211A5" w:rsidR="008970A6" w:rsidRPr="00726EDA" w:rsidRDefault="006C3E32" w:rsidP="00726EDA">
      <w:pPr>
        <w:spacing w:before="100" w:beforeAutospacing="1" w:after="100" w:afterAutospacing="1" w:line="480" w:lineRule="auto"/>
        <w:jc w:val="both"/>
        <w:rPr>
          <w:rFonts w:ascii="Arial" w:hAnsi="Arial" w:cs="Arial"/>
          <w:b/>
          <w:bCs/>
          <w:kern w:val="2"/>
          <w:sz w:val="22"/>
          <w14:ligatures w14:val="standardContextual"/>
        </w:rPr>
      </w:pPr>
      <w:r w:rsidRPr="00726EDA">
        <w:rPr>
          <w:rFonts w:ascii="Arial" w:hAnsi="Arial" w:cs="Arial"/>
          <w:sz w:val="22"/>
        </w:rPr>
        <w:t>Future research should strengthen the evidence base in four areas. First, qualitative studies involving designated safeguarding leads, social workers and parents could clarify practical barriers in multi-agency responses to online harm. Second, evaluation research is needed to assess how effectively Online Safety Act duties translate into changed platform practice and improved child safety outcomes over time. Third, studies should identify which digital literacy and prevention interventions reduce risk most effectively, particularly for vulnerable groups and in contexts of digital exclusion. Finally, longitudinal research would help explain how online harms interact with mental health, peer relationships and wider social determinants across adolescence.</w:t>
      </w:r>
    </w:p>
    <w:p w14:paraId="7BD1478F" w14:textId="77777777" w:rsidR="00EA57CC" w:rsidRPr="00726EDA" w:rsidRDefault="00EA57CC" w:rsidP="00726EDA">
      <w:pPr>
        <w:pStyle w:val="NormalWeb"/>
        <w:spacing w:line="480" w:lineRule="auto"/>
        <w:jc w:val="both"/>
        <w:rPr>
          <w:rFonts w:ascii="Arial" w:hAnsi="Arial" w:cs="Arial"/>
          <w:b/>
          <w:bCs/>
          <w:sz w:val="22"/>
          <w:szCs w:val="22"/>
        </w:rPr>
      </w:pPr>
    </w:p>
    <w:p w14:paraId="282964DA" w14:textId="7DE9CB46" w:rsidR="00410D44" w:rsidRPr="00726EDA" w:rsidRDefault="00D85928" w:rsidP="00726EDA">
      <w:pPr>
        <w:pStyle w:val="NormalWeb"/>
        <w:spacing w:line="480" w:lineRule="auto"/>
        <w:jc w:val="both"/>
        <w:rPr>
          <w:rFonts w:ascii="Arial" w:hAnsi="Arial" w:cs="Arial"/>
          <w:b/>
          <w:bCs/>
          <w:sz w:val="22"/>
          <w:szCs w:val="22"/>
        </w:rPr>
      </w:pPr>
      <w:r w:rsidRPr="00726EDA">
        <w:rPr>
          <w:rFonts w:ascii="Arial" w:hAnsi="Arial" w:cs="Arial"/>
          <w:sz w:val="22"/>
          <w:szCs w:val="22"/>
        </w:rPr>
        <w:t xml:space="preserve">Overall, this dissertation shows that safeguarding children online requires enforceable regulation, accountable platform design and consistent professional capacity across education, health and social care. While the Online Safety Act provides a stronger statutory basis for action, its impact will depend on implementation and enforcement translating into </w:t>
      </w:r>
      <w:r w:rsidRPr="00726EDA">
        <w:rPr>
          <w:rFonts w:ascii="Arial" w:hAnsi="Arial" w:cs="Arial"/>
          <w:sz w:val="22"/>
          <w:szCs w:val="22"/>
        </w:rPr>
        <w:lastRenderedPageBreak/>
        <w:t>real reductions in children’s exposure to harmful content and harmful interactions. Strengthening digital safeguarding is therefore a child-welfare imperative, and the findings of this study offer practical direction for improving prevention, early identification and multi-agency responses in the UK.</w:t>
      </w:r>
    </w:p>
    <w:p w14:paraId="6AA6F99E" w14:textId="77777777" w:rsidR="00410D44" w:rsidRPr="00726EDA" w:rsidRDefault="00410D44" w:rsidP="00726EDA">
      <w:pPr>
        <w:pStyle w:val="NormalWeb"/>
        <w:spacing w:line="480" w:lineRule="auto"/>
        <w:jc w:val="both"/>
        <w:rPr>
          <w:rFonts w:ascii="Arial" w:hAnsi="Arial" w:cs="Arial"/>
          <w:b/>
          <w:bCs/>
          <w:sz w:val="22"/>
          <w:szCs w:val="22"/>
        </w:rPr>
      </w:pPr>
    </w:p>
    <w:p w14:paraId="327DC658" w14:textId="77777777" w:rsidR="00410D44" w:rsidRPr="00726EDA" w:rsidRDefault="00410D44" w:rsidP="00726EDA">
      <w:pPr>
        <w:pStyle w:val="NormalWeb"/>
        <w:spacing w:line="480" w:lineRule="auto"/>
        <w:jc w:val="both"/>
        <w:rPr>
          <w:rFonts w:ascii="Arial" w:hAnsi="Arial" w:cs="Arial"/>
          <w:b/>
          <w:bCs/>
          <w:sz w:val="22"/>
          <w:szCs w:val="22"/>
        </w:rPr>
      </w:pPr>
    </w:p>
    <w:p w14:paraId="625761ED" w14:textId="77777777" w:rsidR="00B857C7" w:rsidRPr="00726EDA" w:rsidRDefault="00B857C7" w:rsidP="00726EDA">
      <w:pPr>
        <w:pStyle w:val="NormalWeb"/>
        <w:spacing w:line="480" w:lineRule="auto"/>
        <w:jc w:val="both"/>
        <w:rPr>
          <w:rFonts w:ascii="Arial" w:hAnsi="Arial" w:cs="Arial"/>
          <w:b/>
          <w:bCs/>
          <w:sz w:val="22"/>
          <w:szCs w:val="22"/>
        </w:rPr>
      </w:pPr>
    </w:p>
    <w:p w14:paraId="2269FD2F" w14:textId="77777777" w:rsidR="00630CFE" w:rsidRDefault="00630CFE" w:rsidP="00726EDA">
      <w:pPr>
        <w:pStyle w:val="NormalWeb"/>
        <w:spacing w:line="480" w:lineRule="auto"/>
        <w:jc w:val="both"/>
        <w:rPr>
          <w:rFonts w:ascii="Arial" w:hAnsi="Arial" w:cs="Arial"/>
          <w:b/>
          <w:bCs/>
          <w:sz w:val="22"/>
          <w:szCs w:val="22"/>
        </w:rPr>
      </w:pPr>
    </w:p>
    <w:p w14:paraId="4EC0A077" w14:textId="77777777" w:rsidR="00235A74" w:rsidRDefault="00235A74" w:rsidP="00726EDA">
      <w:pPr>
        <w:pStyle w:val="NormalWeb"/>
        <w:spacing w:line="480" w:lineRule="auto"/>
        <w:jc w:val="both"/>
        <w:rPr>
          <w:rFonts w:ascii="Arial" w:hAnsi="Arial" w:cs="Arial"/>
          <w:b/>
          <w:bCs/>
          <w:sz w:val="22"/>
          <w:szCs w:val="22"/>
        </w:rPr>
      </w:pPr>
    </w:p>
    <w:p w14:paraId="71BFF25A" w14:textId="77777777" w:rsidR="00235A74" w:rsidRDefault="00235A74" w:rsidP="00726EDA">
      <w:pPr>
        <w:pStyle w:val="NormalWeb"/>
        <w:spacing w:line="480" w:lineRule="auto"/>
        <w:jc w:val="both"/>
        <w:rPr>
          <w:rFonts w:ascii="Arial" w:hAnsi="Arial" w:cs="Arial"/>
          <w:b/>
          <w:bCs/>
          <w:sz w:val="22"/>
          <w:szCs w:val="22"/>
        </w:rPr>
      </w:pPr>
    </w:p>
    <w:p w14:paraId="71FAA0E3" w14:textId="77777777" w:rsidR="00235A74" w:rsidRDefault="00235A74" w:rsidP="00726EDA">
      <w:pPr>
        <w:pStyle w:val="NormalWeb"/>
        <w:spacing w:line="480" w:lineRule="auto"/>
        <w:jc w:val="both"/>
        <w:rPr>
          <w:rFonts w:ascii="Arial" w:hAnsi="Arial" w:cs="Arial"/>
          <w:b/>
          <w:bCs/>
          <w:sz w:val="22"/>
          <w:szCs w:val="22"/>
        </w:rPr>
      </w:pPr>
    </w:p>
    <w:p w14:paraId="5AC910BB" w14:textId="77777777" w:rsidR="00235A74" w:rsidRDefault="00235A74" w:rsidP="00726EDA">
      <w:pPr>
        <w:pStyle w:val="NormalWeb"/>
        <w:spacing w:line="480" w:lineRule="auto"/>
        <w:jc w:val="both"/>
        <w:rPr>
          <w:rFonts w:ascii="Arial" w:hAnsi="Arial" w:cs="Arial"/>
          <w:b/>
          <w:bCs/>
          <w:sz w:val="22"/>
          <w:szCs w:val="22"/>
        </w:rPr>
      </w:pPr>
    </w:p>
    <w:p w14:paraId="33E7A3CD" w14:textId="77777777" w:rsidR="00235A74" w:rsidRDefault="00235A74" w:rsidP="00726EDA">
      <w:pPr>
        <w:pStyle w:val="NormalWeb"/>
        <w:spacing w:line="480" w:lineRule="auto"/>
        <w:jc w:val="both"/>
        <w:rPr>
          <w:rFonts w:ascii="Arial" w:hAnsi="Arial" w:cs="Arial"/>
          <w:b/>
          <w:bCs/>
          <w:sz w:val="22"/>
          <w:szCs w:val="22"/>
        </w:rPr>
      </w:pPr>
    </w:p>
    <w:p w14:paraId="4F1A3E69" w14:textId="77777777" w:rsidR="00235A74" w:rsidRDefault="00235A74" w:rsidP="00726EDA">
      <w:pPr>
        <w:pStyle w:val="NormalWeb"/>
        <w:spacing w:line="480" w:lineRule="auto"/>
        <w:jc w:val="both"/>
        <w:rPr>
          <w:rFonts w:ascii="Arial" w:hAnsi="Arial" w:cs="Arial"/>
          <w:b/>
          <w:bCs/>
          <w:sz w:val="22"/>
          <w:szCs w:val="22"/>
        </w:rPr>
      </w:pPr>
    </w:p>
    <w:p w14:paraId="7297473F" w14:textId="77777777" w:rsidR="00235A74" w:rsidRDefault="00235A74" w:rsidP="00726EDA">
      <w:pPr>
        <w:pStyle w:val="NormalWeb"/>
        <w:spacing w:line="480" w:lineRule="auto"/>
        <w:jc w:val="both"/>
        <w:rPr>
          <w:rFonts w:ascii="Arial" w:hAnsi="Arial" w:cs="Arial"/>
          <w:b/>
          <w:bCs/>
          <w:sz w:val="22"/>
          <w:szCs w:val="22"/>
        </w:rPr>
      </w:pPr>
    </w:p>
    <w:p w14:paraId="67C1D504" w14:textId="77777777" w:rsidR="00235A74" w:rsidRDefault="00235A74" w:rsidP="00726EDA">
      <w:pPr>
        <w:pStyle w:val="NormalWeb"/>
        <w:spacing w:line="480" w:lineRule="auto"/>
        <w:jc w:val="both"/>
        <w:rPr>
          <w:rFonts w:ascii="Arial" w:hAnsi="Arial" w:cs="Arial"/>
          <w:b/>
          <w:bCs/>
          <w:sz w:val="22"/>
          <w:szCs w:val="22"/>
        </w:rPr>
      </w:pPr>
    </w:p>
    <w:p w14:paraId="6BF0E23C" w14:textId="77777777" w:rsidR="00235A74" w:rsidRDefault="00235A74" w:rsidP="00726EDA">
      <w:pPr>
        <w:pStyle w:val="NormalWeb"/>
        <w:spacing w:line="480" w:lineRule="auto"/>
        <w:jc w:val="both"/>
        <w:rPr>
          <w:rFonts w:ascii="Arial" w:hAnsi="Arial" w:cs="Arial"/>
          <w:b/>
          <w:bCs/>
          <w:sz w:val="22"/>
          <w:szCs w:val="22"/>
        </w:rPr>
      </w:pPr>
    </w:p>
    <w:p w14:paraId="65BA635F" w14:textId="77777777" w:rsidR="00235A74" w:rsidRDefault="00235A74" w:rsidP="00726EDA">
      <w:pPr>
        <w:pStyle w:val="NormalWeb"/>
        <w:spacing w:line="480" w:lineRule="auto"/>
        <w:jc w:val="both"/>
        <w:rPr>
          <w:rFonts w:ascii="Arial" w:hAnsi="Arial" w:cs="Arial"/>
          <w:b/>
          <w:bCs/>
          <w:sz w:val="22"/>
          <w:szCs w:val="22"/>
        </w:rPr>
      </w:pPr>
    </w:p>
    <w:p w14:paraId="1AE58E61" w14:textId="77777777" w:rsidR="00235A74" w:rsidRPr="00726EDA" w:rsidRDefault="00235A74" w:rsidP="00726EDA">
      <w:pPr>
        <w:pStyle w:val="NormalWeb"/>
        <w:spacing w:line="480" w:lineRule="auto"/>
        <w:jc w:val="both"/>
        <w:rPr>
          <w:rFonts w:ascii="Arial" w:hAnsi="Arial" w:cs="Arial"/>
          <w:b/>
          <w:bCs/>
          <w:sz w:val="22"/>
          <w:szCs w:val="22"/>
        </w:rPr>
      </w:pPr>
    </w:p>
    <w:p w14:paraId="00FB1184" w14:textId="48F1B59E" w:rsidR="00EA57CC" w:rsidRPr="00726EDA" w:rsidRDefault="00EA57CC" w:rsidP="00726EDA">
      <w:pPr>
        <w:pStyle w:val="NormalWeb"/>
        <w:spacing w:line="480" w:lineRule="auto"/>
        <w:jc w:val="both"/>
        <w:rPr>
          <w:rFonts w:ascii="Arial" w:hAnsi="Arial" w:cs="Arial"/>
          <w:b/>
          <w:bCs/>
          <w:sz w:val="22"/>
          <w:szCs w:val="22"/>
        </w:rPr>
      </w:pPr>
      <w:r w:rsidRPr="00726EDA">
        <w:rPr>
          <w:rFonts w:ascii="Arial" w:hAnsi="Arial" w:cs="Arial"/>
          <w:b/>
          <w:bCs/>
          <w:sz w:val="22"/>
          <w:szCs w:val="22"/>
        </w:rPr>
        <w:lastRenderedPageBreak/>
        <w:t xml:space="preserve">References </w:t>
      </w:r>
    </w:p>
    <w:p w14:paraId="1C31D7E3" w14:textId="1CE5F5D1"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ACPO (2016) </w:t>
      </w:r>
      <w:r w:rsidRPr="00726EDA">
        <w:rPr>
          <w:rStyle w:val="Emphasis"/>
          <w:rFonts w:ascii="Arial" w:eastAsiaTheme="majorEastAsia" w:hAnsi="Arial" w:cs="Arial"/>
          <w:sz w:val="22"/>
          <w:szCs w:val="22"/>
        </w:rPr>
        <w:t>Child sexual exploitation: Guidance for professionals</w:t>
      </w:r>
      <w:r w:rsidRPr="00726EDA">
        <w:rPr>
          <w:rFonts w:ascii="Arial" w:hAnsi="Arial" w:cs="Arial"/>
          <w:sz w:val="22"/>
          <w:szCs w:val="22"/>
        </w:rPr>
        <w:t>. London: ACPO.</w:t>
      </w:r>
    </w:p>
    <w:p w14:paraId="3F33D7BD" w14:textId="188BB78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Anderson, M. and Jiang, J. (2018) </w:t>
      </w:r>
      <w:r w:rsidRPr="00726EDA">
        <w:rPr>
          <w:rStyle w:val="Emphasis"/>
          <w:rFonts w:ascii="Arial" w:eastAsiaTheme="majorEastAsia" w:hAnsi="Arial" w:cs="Arial"/>
          <w:sz w:val="22"/>
          <w:szCs w:val="22"/>
        </w:rPr>
        <w:t>Teens, social media &amp; technology</w:t>
      </w:r>
      <w:r w:rsidRPr="00726EDA">
        <w:rPr>
          <w:rFonts w:ascii="Arial" w:hAnsi="Arial" w:cs="Arial"/>
          <w:sz w:val="22"/>
          <w:szCs w:val="22"/>
        </w:rPr>
        <w:t xml:space="preserve">. Washington, DC: Pew Research </w:t>
      </w:r>
      <w:proofErr w:type="spellStart"/>
      <w:r w:rsidRPr="00726EDA">
        <w:rPr>
          <w:rFonts w:ascii="Arial" w:hAnsi="Arial" w:cs="Arial"/>
          <w:sz w:val="22"/>
          <w:szCs w:val="22"/>
        </w:rPr>
        <w:t>Center</w:t>
      </w:r>
      <w:proofErr w:type="spellEnd"/>
      <w:r w:rsidRPr="00726EDA">
        <w:rPr>
          <w:rFonts w:ascii="Arial" w:hAnsi="Arial" w:cs="Arial"/>
          <w:sz w:val="22"/>
          <w:szCs w:val="22"/>
        </w:rPr>
        <w:t>.</w:t>
      </w:r>
    </w:p>
    <w:p w14:paraId="42E830F2" w14:textId="430D331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Baroness Kidron (2021) </w:t>
      </w:r>
      <w:r w:rsidRPr="00726EDA">
        <w:rPr>
          <w:rStyle w:val="Emphasis"/>
          <w:rFonts w:ascii="Arial" w:eastAsiaTheme="majorEastAsia" w:hAnsi="Arial" w:cs="Arial"/>
          <w:sz w:val="22"/>
          <w:szCs w:val="22"/>
        </w:rPr>
        <w:t>Designing safer digital environments for children</w:t>
      </w:r>
      <w:r w:rsidRPr="00726EDA">
        <w:rPr>
          <w:rFonts w:ascii="Arial" w:hAnsi="Arial" w:cs="Arial"/>
          <w:sz w:val="22"/>
          <w:szCs w:val="22"/>
        </w:rPr>
        <w:t>. London: UK Government.</w:t>
      </w:r>
    </w:p>
    <w:p w14:paraId="60AA9219" w14:textId="6C6D4919"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British Association of Social Workers (2023) </w:t>
      </w:r>
      <w:r w:rsidRPr="00726EDA">
        <w:rPr>
          <w:rStyle w:val="Emphasis"/>
          <w:rFonts w:ascii="Arial" w:eastAsiaTheme="majorEastAsia" w:hAnsi="Arial" w:cs="Arial"/>
          <w:sz w:val="22"/>
          <w:szCs w:val="22"/>
        </w:rPr>
        <w:t>Digital safeguarding guidance</w:t>
      </w:r>
      <w:r w:rsidRPr="00726EDA">
        <w:rPr>
          <w:rFonts w:ascii="Arial" w:hAnsi="Arial" w:cs="Arial"/>
          <w:sz w:val="22"/>
          <w:szCs w:val="22"/>
        </w:rPr>
        <w:t>. Birmingham: BASW.</w:t>
      </w:r>
    </w:p>
    <w:p w14:paraId="0AB3AF4A" w14:textId="379A452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British Psychological Society (2022) </w:t>
      </w:r>
      <w:r w:rsidRPr="00726EDA">
        <w:rPr>
          <w:rStyle w:val="Emphasis"/>
          <w:rFonts w:ascii="Arial" w:eastAsiaTheme="majorEastAsia" w:hAnsi="Arial" w:cs="Arial"/>
          <w:sz w:val="22"/>
          <w:szCs w:val="22"/>
        </w:rPr>
        <w:t>Children and social media guidance</w:t>
      </w:r>
      <w:r w:rsidRPr="00726EDA">
        <w:rPr>
          <w:rFonts w:ascii="Arial" w:hAnsi="Arial" w:cs="Arial"/>
          <w:sz w:val="22"/>
          <w:szCs w:val="22"/>
        </w:rPr>
        <w:t>. Leicester: BPS.</w:t>
      </w:r>
    </w:p>
    <w:p w14:paraId="2A585412" w14:textId="345CF4B7"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Buckingham, D. (2015) </w:t>
      </w:r>
      <w:r w:rsidRPr="00726EDA">
        <w:rPr>
          <w:rStyle w:val="Emphasis"/>
          <w:rFonts w:ascii="Arial" w:eastAsiaTheme="majorEastAsia" w:hAnsi="Arial" w:cs="Arial"/>
          <w:sz w:val="22"/>
          <w:szCs w:val="22"/>
        </w:rPr>
        <w:t>The media education manifesto</w:t>
      </w:r>
      <w:r w:rsidRPr="00726EDA">
        <w:rPr>
          <w:rFonts w:ascii="Arial" w:hAnsi="Arial" w:cs="Arial"/>
          <w:sz w:val="22"/>
          <w:szCs w:val="22"/>
        </w:rPr>
        <w:t>. London: Polity.</w:t>
      </w:r>
    </w:p>
    <w:p w14:paraId="199DF422" w14:textId="6D24E5B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Byron, T. (2008) </w:t>
      </w:r>
      <w:r w:rsidRPr="00726EDA">
        <w:rPr>
          <w:rStyle w:val="Emphasis"/>
          <w:rFonts w:ascii="Arial" w:eastAsiaTheme="majorEastAsia" w:hAnsi="Arial" w:cs="Arial"/>
          <w:sz w:val="22"/>
          <w:szCs w:val="22"/>
        </w:rPr>
        <w:t>Safer children in a digital world</w:t>
      </w:r>
      <w:r w:rsidRPr="00726EDA">
        <w:rPr>
          <w:rFonts w:ascii="Arial" w:hAnsi="Arial" w:cs="Arial"/>
          <w:sz w:val="22"/>
          <w:szCs w:val="22"/>
        </w:rPr>
        <w:t>. London: Department for Culture, Media and Sport.</w:t>
      </w:r>
    </w:p>
    <w:p w14:paraId="5BAB7BAA" w14:textId="3B8EC55A"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Children’s Commissioner (2022) </w:t>
      </w:r>
      <w:r w:rsidRPr="00726EDA">
        <w:rPr>
          <w:rStyle w:val="Emphasis"/>
          <w:rFonts w:ascii="Arial" w:eastAsiaTheme="majorEastAsia" w:hAnsi="Arial" w:cs="Arial"/>
          <w:sz w:val="22"/>
          <w:szCs w:val="22"/>
        </w:rPr>
        <w:t>Growing up digital</w:t>
      </w:r>
      <w:r w:rsidRPr="00726EDA">
        <w:rPr>
          <w:rFonts w:ascii="Arial" w:hAnsi="Arial" w:cs="Arial"/>
          <w:sz w:val="22"/>
          <w:szCs w:val="22"/>
        </w:rPr>
        <w:t>. London: Office of the Children’s Commissioner.</w:t>
      </w:r>
    </w:p>
    <w:p w14:paraId="5CB41541" w14:textId="6F35D600"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Children’s Commissioner (2023) </w:t>
      </w:r>
      <w:r w:rsidRPr="00726EDA">
        <w:rPr>
          <w:rStyle w:val="Emphasis"/>
          <w:rFonts w:ascii="Arial" w:eastAsiaTheme="majorEastAsia" w:hAnsi="Arial" w:cs="Arial"/>
          <w:sz w:val="22"/>
          <w:szCs w:val="22"/>
        </w:rPr>
        <w:t>Children’s digital lives</w:t>
      </w:r>
      <w:r w:rsidRPr="00726EDA">
        <w:rPr>
          <w:rFonts w:ascii="Arial" w:hAnsi="Arial" w:cs="Arial"/>
          <w:sz w:val="22"/>
          <w:szCs w:val="22"/>
        </w:rPr>
        <w:t>. London: Office of the Children’s Commissioner.</w:t>
      </w:r>
    </w:p>
    <w:p w14:paraId="03A0390E" w14:textId="7F5FA2B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Children’s Society (2023) </w:t>
      </w:r>
      <w:r w:rsidRPr="00726EDA">
        <w:rPr>
          <w:rStyle w:val="Emphasis"/>
          <w:rFonts w:ascii="Arial" w:eastAsiaTheme="majorEastAsia" w:hAnsi="Arial" w:cs="Arial"/>
          <w:sz w:val="22"/>
          <w:szCs w:val="22"/>
        </w:rPr>
        <w:t>Digital wellbeing and online harm</w:t>
      </w:r>
      <w:r w:rsidRPr="00726EDA">
        <w:rPr>
          <w:rFonts w:ascii="Arial" w:hAnsi="Arial" w:cs="Arial"/>
          <w:sz w:val="22"/>
          <w:szCs w:val="22"/>
        </w:rPr>
        <w:t>. London: The Children’s Society.</w:t>
      </w:r>
    </w:p>
    <w:p w14:paraId="34B98AC7" w14:textId="12F1B207"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Clark, L.S. (2015) </w:t>
      </w:r>
      <w:r w:rsidRPr="00726EDA">
        <w:rPr>
          <w:rStyle w:val="Emphasis"/>
          <w:rFonts w:ascii="Arial" w:eastAsiaTheme="majorEastAsia" w:hAnsi="Arial" w:cs="Arial"/>
          <w:sz w:val="22"/>
          <w:szCs w:val="22"/>
        </w:rPr>
        <w:t>The parent app</w:t>
      </w:r>
      <w:r w:rsidRPr="00726EDA">
        <w:rPr>
          <w:rFonts w:ascii="Arial" w:hAnsi="Arial" w:cs="Arial"/>
          <w:sz w:val="22"/>
          <w:szCs w:val="22"/>
        </w:rPr>
        <w:t>. Princeton: Princeton University Press.</w:t>
      </w:r>
    </w:p>
    <w:p w14:paraId="4D0DD314" w14:textId="5D4779E7"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Council of Europe (2021) </w:t>
      </w:r>
      <w:r w:rsidRPr="00726EDA">
        <w:rPr>
          <w:rStyle w:val="Emphasis"/>
          <w:rFonts w:ascii="Arial" w:eastAsiaTheme="majorEastAsia" w:hAnsi="Arial" w:cs="Arial"/>
          <w:sz w:val="22"/>
          <w:szCs w:val="22"/>
        </w:rPr>
        <w:t>Recommendation on digital citizenship education</w:t>
      </w:r>
      <w:r w:rsidRPr="00726EDA">
        <w:rPr>
          <w:rFonts w:ascii="Arial" w:hAnsi="Arial" w:cs="Arial"/>
          <w:sz w:val="22"/>
          <w:szCs w:val="22"/>
        </w:rPr>
        <w:t>. Strasbourg: Council of Europe.</w:t>
      </w:r>
    </w:p>
    <w:p w14:paraId="2667777D" w14:textId="1A1C781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lastRenderedPageBreak/>
        <w:t xml:space="preserve">Department for Culture, Media and Sport (2022) </w:t>
      </w:r>
      <w:r w:rsidRPr="00726EDA">
        <w:rPr>
          <w:rStyle w:val="Emphasis"/>
          <w:rFonts w:ascii="Arial" w:eastAsiaTheme="majorEastAsia" w:hAnsi="Arial" w:cs="Arial"/>
          <w:sz w:val="22"/>
          <w:szCs w:val="22"/>
        </w:rPr>
        <w:t>Online harms white paper</w:t>
      </w:r>
      <w:r w:rsidRPr="00726EDA">
        <w:rPr>
          <w:rFonts w:ascii="Arial" w:hAnsi="Arial" w:cs="Arial"/>
          <w:sz w:val="22"/>
          <w:szCs w:val="22"/>
        </w:rPr>
        <w:t>. London: DCMS.</w:t>
      </w:r>
    </w:p>
    <w:p w14:paraId="6A5FCC5A" w14:textId="51372C9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Department for Education (2018) </w:t>
      </w:r>
      <w:r w:rsidRPr="00726EDA">
        <w:rPr>
          <w:rStyle w:val="Emphasis"/>
          <w:rFonts w:ascii="Arial" w:eastAsiaTheme="majorEastAsia" w:hAnsi="Arial" w:cs="Arial"/>
          <w:sz w:val="22"/>
          <w:szCs w:val="22"/>
        </w:rPr>
        <w:t>Working together to safeguard children</w:t>
      </w:r>
      <w:r w:rsidRPr="00726EDA">
        <w:rPr>
          <w:rFonts w:ascii="Arial" w:hAnsi="Arial" w:cs="Arial"/>
          <w:sz w:val="22"/>
          <w:szCs w:val="22"/>
        </w:rPr>
        <w:t>. London: Department for Education.</w:t>
      </w:r>
    </w:p>
    <w:p w14:paraId="782F7FA5" w14:textId="4CB7A0A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Department for Education (2023) </w:t>
      </w:r>
      <w:r w:rsidRPr="00726EDA">
        <w:rPr>
          <w:rStyle w:val="Emphasis"/>
          <w:rFonts w:ascii="Arial" w:eastAsiaTheme="majorEastAsia" w:hAnsi="Arial" w:cs="Arial"/>
          <w:sz w:val="22"/>
          <w:szCs w:val="22"/>
        </w:rPr>
        <w:t>Keeping children safe in education</w:t>
      </w:r>
      <w:r w:rsidRPr="00726EDA">
        <w:rPr>
          <w:rFonts w:ascii="Arial" w:hAnsi="Arial" w:cs="Arial"/>
          <w:sz w:val="22"/>
          <w:szCs w:val="22"/>
        </w:rPr>
        <w:t>. London: Department for Education.</w:t>
      </w:r>
    </w:p>
    <w:p w14:paraId="5140CCCF" w14:textId="3B9C3A02"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DfE/Ofsted (2023) </w:t>
      </w:r>
      <w:r w:rsidRPr="00726EDA">
        <w:rPr>
          <w:rStyle w:val="Emphasis"/>
          <w:rFonts w:ascii="Arial" w:eastAsiaTheme="majorEastAsia" w:hAnsi="Arial" w:cs="Arial"/>
          <w:sz w:val="22"/>
          <w:szCs w:val="22"/>
        </w:rPr>
        <w:t>Online safety in schools: Review</w:t>
      </w:r>
      <w:r w:rsidRPr="00726EDA">
        <w:rPr>
          <w:rFonts w:ascii="Arial" w:hAnsi="Arial" w:cs="Arial"/>
          <w:sz w:val="22"/>
          <w:szCs w:val="22"/>
        </w:rPr>
        <w:t>. London: Department for Education / Ofsted.</w:t>
      </w:r>
    </w:p>
    <w:p w14:paraId="3DFE0262" w14:textId="736A2FC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ECPAT International (2021) </w:t>
      </w:r>
      <w:r w:rsidRPr="00726EDA">
        <w:rPr>
          <w:rStyle w:val="Emphasis"/>
          <w:rFonts w:ascii="Arial" w:eastAsiaTheme="majorEastAsia" w:hAnsi="Arial" w:cs="Arial"/>
          <w:sz w:val="22"/>
          <w:szCs w:val="22"/>
        </w:rPr>
        <w:t>Global study on child online protection</w:t>
      </w:r>
      <w:r w:rsidRPr="00726EDA">
        <w:rPr>
          <w:rFonts w:ascii="Arial" w:hAnsi="Arial" w:cs="Arial"/>
          <w:sz w:val="22"/>
          <w:szCs w:val="22"/>
        </w:rPr>
        <w:t>. Bangkok: ECPAT.</w:t>
      </w:r>
    </w:p>
    <w:p w14:paraId="54AE33A1" w14:textId="4BB8937A"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EU Kids Online (2020) </w:t>
      </w:r>
      <w:r w:rsidRPr="00726EDA">
        <w:rPr>
          <w:rStyle w:val="Emphasis"/>
          <w:rFonts w:ascii="Arial" w:eastAsiaTheme="majorEastAsia" w:hAnsi="Arial" w:cs="Arial"/>
          <w:sz w:val="22"/>
          <w:szCs w:val="22"/>
        </w:rPr>
        <w:t>Survey of digital behaviours of children</w:t>
      </w:r>
      <w:r w:rsidRPr="00726EDA">
        <w:rPr>
          <w:rFonts w:ascii="Arial" w:hAnsi="Arial" w:cs="Arial"/>
          <w:sz w:val="22"/>
          <w:szCs w:val="22"/>
        </w:rPr>
        <w:t>. London: London School of Economics.</w:t>
      </w:r>
    </w:p>
    <w:p w14:paraId="39FF9303" w14:textId="02FE9E98" w:rsidR="00EA57CC" w:rsidRPr="00726EDA" w:rsidRDefault="00EA57CC" w:rsidP="00726EDA">
      <w:pPr>
        <w:pStyle w:val="NormalWeb"/>
        <w:spacing w:line="480" w:lineRule="auto"/>
        <w:ind w:left="360"/>
        <w:jc w:val="both"/>
        <w:rPr>
          <w:rFonts w:ascii="Arial" w:hAnsi="Arial" w:cs="Arial"/>
          <w:sz w:val="22"/>
          <w:szCs w:val="22"/>
          <w:lang w:val="nl-NL"/>
        </w:rPr>
      </w:pPr>
      <w:r w:rsidRPr="00726EDA">
        <w:rPr>
          <w:rFonts w:ascii="Arial" w:hAnsi="Arial" w:cs="Arial"/>
          <w:sz w:val="22"/>
          <w:szCs w:val="22"/>
        </w:rPr>
        <w:t xml:space="preserve">Facebook Safety Team (2019) </w:t>
      </w:r>
      <w:r w:rsidRPr="00726EDA">
        <w:rPr>
          <w:rStyle w:val="Emphasis"/>
          <w:rFonts w:ascii="Arial" w:eastAsiaTheme="majorEastAsia" w:hAnsi="Arial" w:cs="Arial"/>
          <w:sz w:val="22"/>
          <w:szCs w:val="22"/>
        </w:rPr>
        <w:t>Keeping people safe online report</w:t>
      </w:r>
      <w:r w:rsidRPr="00726EDA">
        <w:rPr>
          <w:rFonts w:ascii="Arial" w:hAnsi="Arial" w:cs="Arial"/>
          <w:sz w:val="22"/>
          <w:szCs w:val="22"/>
        </w:rPr>
        <w:t xml:space="preserve">. </w:t>
      </w:r>
      <w:r w:rsidRPr="00726EDA">
        <w:rPr>
          <w:rFonts w:ascii="Arial" w:hAnsi="Arial" w:cs="Arial"/>
          <w:sz w:val="22"/>
          <w:szCs w:val="22"/>
          <w:lang w:val="nl-NL"/>
        </w:rPr>
        <w:t>Menlo Park: Meta.</w:t>
      </w:r>
    </w:p>
    <w:p w14:paraId="1CB7A6AB" w14:textId="7D16D69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lang w:val="nl-NL"/>
        </w:rPr>
        <w:t xml:space="preserve">Finkelhor, D. </w:t>
      </w:r>
      <w:r w:rsidRPr="00726EDA">
        <w:rPr>
          <w:rStyle w:val="Emphasis"/>
          <w:rFonts w:ascii="Arial" w:eastAsiaTheme="majorEastAsia" w:hAnsi="Arial" w:cs="Arial"/>
          <w:sz w:val="22"/>
          <w:szCs w:val="22"/>
          <w:lang w:val="nl-NL"/>
        </w:rPr>
        <w:t>et al.</w:t>
      </w:r>
      <w:r w:rsidRPr="00726EDA">
        <w:rPr>
          <w:rFonts w:ascii="Arial" w:hAnsi="Arial" w:cs="Arial"/>
          <w:sz w:val="22"/>
          <w:szCs w:val="22"/>
          <w:lang w:val="nl-NL"/>
        </w:rPr>
        <w:t xml:space="preserve"> </w:t>
      </w:r>
      <w:r w:rsidRPr="00726EDA">
        <w:rPr>
          <w:rFonts w:ascii="Arial" w:hAnsi="Arial" w:cs="Arial"/>
          <w:sz w:val="22"/>
          <w:szCs w:val="22"/>
        </w:rPr>
        <w:t xml:space="preserve">(2019) ‘Online victimization’, </w:t>
      </w:r>
      <w:r w:rsidRPr="00726EDA">
        <w:rPr>
          <w:rStyle w:val="Emphasis"/>
          <w:rFonts w:ascii="Arial" w:eastAsiaTheme="majorEastAsia" w:hAnsi="Arial" w:cs="Arial"/>
          <w:sz w:val="22"/>
          <w:szCs w:val="22"/>
        </w:rPr>
        <w:t>Journal of Adolescent Health</w:t>
      </w:r>
      <w:r w:rsidRPr="00726EDA">
        <w:rPr>
          <w:rFonts w:ascii="Arial" w:hAnsi="Arial" w:cs="Arial"/>
          <w:sz w:val="22"/>
          <w:szCs w:val="22"/>
        </w:rPr>
        <w:t>, 65(5), pp. 602–612.</w:t>
      </w:r>
    </w:p>
    <w:p w14:paraId="4C81BA06" w14:textId="7032CFCB"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Freeman, D. </w:t>
      </w:r>
      <w:r w:rsidRPr="00726EDA">
        <w:rPr>
          <w:rStyle w:val="Emphasis"/>
          <w:rFonts w:ascii="Arial" w:eastAsiaTheme="majorEastAsia" w:hAnsi="Arial" w:cs="Arial"/>
          <w:sz w:val="22"/>
          <w:szCs w:val="22"/>
        </w:rPr>
        <w:t>et al.</w:t>
      </w:r>
      <w:r w:rsidRPr="00726EDA">
        <w:rPr>
          <w:rFonts w:ascii="Arial" w:hAnsi="Arial" w:cs="Arial"/>
          <w:sz w:val="22"/>
          <w:szCs w:val="22"/>
        </w:rPr>
        <w:t xml:space="preserve"> (2018) ‘Young people’s digital resilience’, </w:t>
      </w:r>
      <w:r w:rsidRPr="00726EDA">
        <w:rPr>
          <w:rStyle w:val="Emphasis"/>
          <w:rFonts w:ascii="Arial" w:eastAsiaTheme="majorEastAsia" w:hAnsi="Arial" w:cs="Arial"/>
          <w:sz w:val="22"/>
          <w:szCs w:val="22"/>
        </w:rPr>
        <w:t>Media International Australia</w:t>
      </w:r>
      <w:r w:rsidRPr="00726EDA">
        <w:rPr>
          <w:rFonts w:ascii="Arial" w:hAnsi="Arial" w:cs="Arial"/>
          <w:sz w:val="22"/>
          <w:szCs w:val="22"/>
        </w:rPr>
        <w:t>, 168(1), pp. 97–109.</w:t>
      </w:r>
    </w:p>
    <w:p w14:paraId="27CA5218" w14:textId="685AA265"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Gillespie, T. (2020) </w:t>
      </w:r>
      <w:r w:rsidRPr="00726EDA">
        <w:rPr>
          <w:rStyle w:val="Emphasis"/>
          <w:rFonts w:ascii="Arial" w:eastAsiaTheme="majorEastAsia" w:hAnsi="Arial" w:cs="Arial"/>
          <w:sz w:val="22"/>
          <w:szCs w:val="22"/>
        </w:rPr>
        <w:t>Custodians of the internet</w:t>
      </w:r>
      <w:r w:rsidRPr="00726EDA">
        <w:rPr>
          <w:rFonts w:ascii="Arial" w:hAnsi="Arial" w:cs="Arial"/>
          <w:sz w:val="22"/>
          <w:szCs w:val="22"/>
        </w:rPr>
        <w:t>. New Haven: Yale University Press.</w:t>
      </w:r>
    </w:p>
    <w:p w14:paraId="17BC3B5D" w14:textId="7814DC12"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Gillespie, T., Boczkowski, P.J. and Foot, K.A. (2014) </w:t>
      </w:r>
      <w:r w:rsidRPr="00726EDA">
        <w:rPr>
          <w:rStyle w:val="Emphasis"/>
          <w:rFonts w:ascii="Arial" w:eastAsiaTheme="majorEastAsia" w:hAnsi="Arial" w:cs="Arial"/>
          <w:sz w:val="22"/>
          <w:szCs w:val="22"/>
        </w:rPr>
        <w:t>Media technologies</w:t>
      </w:r>
      <w:r w:rsidRPr="00726EDA">
        <w:rPr>
          <w:rFonts w:ascii="Arial" w:hAnsi="Arial" w:cs="Arial"/>
          <w:sz w:val="22"/>
          <w:szCs w:val="22"/>
        </w:rPr>
        <w:t>. Cambridge, MA: MIT Press.</w:t>
      </w:r>
    </w:p>
    <w:p w14:paraId="2B3E0DB1" w14:textId="534BA782"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Greenfield, P.M. (2014) ‘Mind and media’, </w:t>
      </w:r>
      <w:r w:rsidRPr="00726EDA">
        <w:rPr>
          <w:rStyle w:val="Emphasis"/>
          <w:rFonts w:ascii="Arial" w:eastAsiaTheme="majorEastAsia" w:hAnsi="Arial" w:cs="Arial"/>
          <w:sz w:val="22"/>
          <w:szCs w:val="22"/>
        </w:rPr>
        <w:t>American Psychologist</w:t>
      </w:r>
      <w:r w:rsidRPr="00726EDA">
        <w:rPr>
          <w:rFonts w:ascii="Arial" w:hAnsi="Arial" w:cs="Arial"/>
          <w:sz w:val="22"/>
          <w:szCs w:val="22"/>
        </w:rPr>
        <w:t>, 69(2), pp. 172–182.</w:t>
      </w:r>
    </w:p>
    <w:p w14:paraId="06A00DE8" w14:textId="18660191"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Helsper, E. (2021) </w:t>
      </w:r>
      <w:r w:rsidRPr="00726EDA">
        <w:rPr>
          <w:rStyle w:val="Emphasis"/>
          <w:rFonts w:ascii="Arial" w:eastAsiaTheme="majorEastAsia" w:hAnsi="Arial" w:cs="Arial"/>
          <w:sz w:val="22"/>
          <w:szCs w:val="22"/>
        </w:rPr>
        <w:t xml:space="preserve">The digital </w:t>
      </w:r>
      <w:proofErr w:type="gramStart"/>
      <w:r w:rsidRPr="00726EDA">
        <w:rPr>
          <w:rStyle w:val="Emphasis"/>
          <w:rFonts w:ascii="Arial" w:eastAsiaTheme="majorEastAsia" w:hAnsi="Arial" w:cs="Arial"/>
          <w:sz w:val="22"/>
          <w:szCs w:val="22"/>
        </w:rPr>
        <w:t>disconnect</w:t>
      </w:r>
      <w:proofErr w:type="gramEnd"/>
      <w:r w:rsidRPr="00726EDA">
        <w:rPr>
          <w:rFonts w:ascii="Arial" w:hAnsi="Arial" w:cs="Arial"/>
          <w:sz w:val="22"/>
          <w:szCs w:val="22"/>
        </w:rPr>
        <w:t>. London: Sage.</w:t>
      </w:r>
    </w:p>
    <w:p w14:paraId="45421F26" w14:textId="1C56DB4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lastRenderedPageBreak/>
        <w:t xml:space="preserve">Helsper, E. and van Deursen, A. (2017) ‘Digital skills and inequality’, </w:t>
      </w:r>
      <w:r w:rsidRPr="00726EDA">
        <w:rPr>
          <w:rStyle w:val="Emphasis"/>
          <w:rFonts w:ascii="Arial" w:eastAsiaTheme="majorEastAsia" w:hAnsi="Arial" w:cs="Arial"/>
          <w:sz w:val="22"/>
          <w:szCs w:val="22"/>
        </w:rPr>
        <w:t>New Media &amp; Society</w:t>
      </w:r>
      <w:r w:rsidRPr="00726EDA">
        <w:rPr>
          <w:rFonts w:ascii="Arial" w:hAnsi="Arial" w:cs="Arial"/>
          <w:sz w:val="22"/>
          <w:szCs w:val="22"/>
        </w:rPr>
        <w:t>, 19(6), pp. 834–850.</w:t>
      </w:r>
    </w:p>
    <w:p w14:paraId="14B1D28B" w14:textId="4B266D09"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HM Government (2018) </w:t>
      </w:r>
      <w:r w:rsidRPr="00726EDA">
        <w:rPr>
          <w:rStyle w:val="Emphasis"/>
          <w:rFonts w:ascii="Arial" w:eastAsiaTheme="majorEastAsia" w:hAnsi="Arial" w:cs="Arial"/>
          <w:sz w:val="22"/>
          <w:szCs w:val="22"/>
        </w:rPr>
        <w:t>Working together to safeguard children</w:t>
      </w:r>
      <w:r w:rsidRPr="00726EDA">
        <w:rPr>
          <w:rFonts w:ascii="Arial" w:hAnsi="Arial" w:cs="Arial"/>
          <w:sz w:val="22"/>
          <w:szCs w:val="22"/>
        </w:rPr>
        <w:t>. London: HMSO.</w:t>
      </w:r>
    </w:p>
    <w:p w14:paraId="04E6DAE4" w14:textId="1C31C7FD"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Home Office (2023) </w:t>
      </w:r>
      <w:r w:rsidRPr="00726EDA">
        <w:rPr>
          <w:rStyle w:val="Emphasis"/>
          <w:rFonts w:ascii="Arial" w:eastAsiaTheme="majorEastAsia" w:hAnsi="Arial" w:cs="Arial"/>
          <w:sz w:val="22"/>
          <w:szCs w:val="22"/>
        </w:rPr>
        <w:t>Child sexual abuse strategy</w:t>
      </w:r>
      <w:r w:rsidRPr="00726EDA">
        <w:rPr>
          <w:rFonts w:ascii="Arial" w:hAnsi="Arial" w:cs="Arial"/>
          <w:sz w:val="22"/>
          <w:szCs w:val="22"/>
        </w:rPr>
        <w:t>. London: Home Office.</w:t>
      </w:r>
    </w:p>
    <w:p w14:paraId="27681FBE" w14:textId="3CD206F5"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Internet Watch Foundation (2023) </w:t>
      </w:r>
      <w:r w:rsidRPr="00726EDA">
        <w:rPr>
          <w:rStyle w:val="Emphasis"/>
          <w:rFonts w:ascii="Arial" w:eastAsiaTheme="majorEastAsia" w:hAnsi="Arial" w:cs="Arial"/>
          <w:sz w:val="22"/>
          <w:szCs w:val="22"/>
        </w:rPr>
        <w:t>Annual report and accounts</w:t>
      </w:r>
      <w:r w:rsidRPr="00726EDA">
        <w:rPr>
          <w:rFonts w:ascii="Arial" w:hAnsi="Arial" w:cs="Arial"/>
          <w:sz w:val="22"/>
          <w:szCs w:val="22"/>
        </w:rPr>
        <w:t>. Cambridge: IWF.</w:t>
      </w:r>
    </w:p>
    <w:p w14:paraId="6096775D" w14:textId="6061BAD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Internet Watch Foundation (2024) </w:t>
      </w:r>
      <w:r w:rsidRPr="00726EDA">
        <w:rPr>
          <w:rStyle w:val="Emphasis"/>
          <w:rFonts w:ascii="Arial" w:eastAsiaTheme="majorEastAsia" w:hAnsi="Arial" w:cs="Arial"/>
          <w:sz w:val="22"/>
          <w:szCs w:val="22"/>
        </w:rPr>
        <w:t>Child abuse imagery trends</w:t>
      </w:r>
      <w:r w:rsidRPr="00726EDA">
        <w:rPr>
          <w:rFonts w:ascii="Arial" w:hAnsi="Arial" w:cs="Arial"/>
          <w:sz w:val="22"/>
          <w:szCs w:val="22"/>
        </w:rPr>
        <w:t>. Cambridge: IWF.</w:t>
      </w:r>
    </w:p>
    <w:p w14:paraId="076E2599" w14:textId="204ADCF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IWF/ECPAT (2023) </w:t>
      </w:r>
      <w:proofErr w:type="gramStart"/>
      <w:r w:rsidRPr="00726EDA">
        <w:rPr>
          <w:rStyle w:val="Emphasis"/>
          <w:rFonts w:ascii="Arial" w:eastAsiaTheme="majorEastAsia" w:hAnsi="Arial" w:cs="Arial"/>
          <w:sz w:val="22"/>
          <w:szCs w:val="22"/>
        </w:rPr>
        <w:t>Social media</w:t>
      </w:r>
      <w:proofErr w:type="gramEnd"/>
      <w:r w:rsidRPr="00726EDA">
        <w:rPr>
          <w:rStyle w:val="Emphasis"/>
          <w:rFonts w:ascii="Arial" w:eastAsiaTheme="majorEastAsia" w:hAnsi="Arial" w:cs="Arial"/>
          <w:sz w:val="22"/>
          <w:szCs w:val="22"/>
        </w:rPr>
        <w:t xml:space="preserve"> and child protection</w:t>
      </w:r>
      <w:r w:rsidRPr="00726EDA">
        <w:rPr>
          <w:rFonts w:ascii="Arial" w:hAnsi="Arial" w:cs="Arial"/>
          <w:sz w:val="22"/>
          <w:szCs w:val="22"/>
        </w:rPr>
        <w:t>. Cambridge/Bangkok: IWF/ECPAT.</w:t>
      </w:r>
    </w:p>
    <w:p w14:paraId="27A506E5" w14:textId="730CF042"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Kowalski, R.M. </w:t>
      </w:r>
      <w:r w:rsidRPr="00726EDA">
        <w:rPr>
          <w:rStyle w:val="Emphasis"/>
          <w:rFonts w:ascii="Arial" w:eastAsiaTheme="majorEastAsia" w:hAnsi="Arial" w:cs="Arial"/>
          <w:sz w:val="22"/>
          <w:szCs w:val="22"/>
        </w:rPr>
        <w:t>et al.</w:t>
      </w:r>
      <w:r w:rsidRPr="00726EDA">
        <w:rPr>
          <w:rFonts w:ascii="Arial" w:hAnsi="Arial" w:cs="Arial"/>
          <w:sz w:val="22"/>
          <w:szCs w:val="22"/>
        </w:rPr>
        <w:t xml:space="preserve"> (2019) ‘Cyberbullying’, </w:t>
      </w:r>
      <w:r w:rsidRPr="00726EDA">
        <w:rPr>
          <w:rStyle w:val="Emphasis"/>
          <w:rFonts w:ascii="Arial" w:eastAsiaTheme="majorEastAsia" w:hAnsi="Arial" w:cs="Arial"/>
          <w:sz w:val="22"/>
          <w:szCs w:val="22"/>
        </w:rPr>
        <w:t>Psychological Bulletin</w:t>
      </w:r>
      <w:r w:rsidRPr="00726EDA">
        <w:rPr>
          <w:rFonts w:ascii="Arial" w:hAnsi="Arial" w:cs="Arial"/>
          <w:sz w:val="22"/>
          <w:szCs w:val="22"/>
        </w:rPr>
        <w:t>, 145(4), pp. 447–479.</w:t>
      </w:r>
    </w:p>
    <w:p w14:paraId="01064E65" w14:textId="526A1B12"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Livingstone, S. (2018) </w:t>
      </w:r>
      <w:r w:rsidRPr="00726EDA">
        <w:rPr>
          <w:rStyle w:val="Emphasis"/>
          <w:rFonts w:ascii="Arial" w:eastAsiaTheme="majorEastAsia" w:hAnsi="Arial" w:cs="Arial"/>
          <w:sz w:val="22"/>
          <w:szCs w:val="22"/>
        </w:rPr>
        <w:t>Auditing AI and children’s rights</w:t>
      </w:r>
      <w:r w:rsidRPr="00726EDA">
        <w:rPr>
          <w:rFonts w:ascii="Arial" w:hAnsi="Arial" w:cs="Arial"/>
          <w:sz w:val="22"/>
          <w:szCs w:val="22"/>
        </w:rPr>
        <w:t>. London: London School of Economics.</w:t>
      </w:r>
    </w:p>
    <w:p w14:paraId="69FA2BF1" w14:textId="4B9D6E8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Livingstone, S. and Blum-Ross, A. (2020) </w:t>
      </w:r>
      <w:r w:rsidRPr="00726EDA">
        <w:rPr>
          <w:rStyle w:val="Emphasis"/>
          <w:rFonts w:ascii="Arial" w:eastAsiaTheme="majorEastAsia" w:hAnsi="Arial" w:cs="Arial"/>
          <w:sz w:val="22"/>
          <w:szCs w:val="22"/>
        </w:rPr>
        <w:t>Parenting for a digital future</w:t>
      </w:r>
      <w:r w:rsidRPr="00726EDA">
        <w:rPr>
          <w:rFonts w:ascii="Arial" w:hAnsi="Arial" w:cs="Arial"/>
          <w:sz w:val="22"/>
          <w:szCs w:val="22"/>
        </w:rPr>
        <w:t>. Oxford: Oxford University Press.</w:t>
      </w:r>
    </w:p>
    <w:p w14:paraId="3D749FAF" w14:textId="71A748CD"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Livingstone, S. and Smith, P.K. (2014) ‘Annual research review’, </w:t>
      </w:r>
      <w:r w:rsidRPr="00726EDA">
        <w:rPr>
          <w:rStyle w:val="Emphasis"/>
          <w:rFonts w:ascii="Arial" w:eastAsiaTheme="majorEastAsia" w:hAnsi="Arial" w:cs="Arial"/>
          <w:sz w:val="22"/>
          <w:szCs w:val="22"/>
        </w:rPr>
        <w:t>Journal of Child Psychology and Psychiatry</w:t>
      </w:r>
      <w:r w:rsidRPr="00726EDA">
        <w:rPr>
          <w:rFonts w:ascii="Arial" w:hAnsi="Arial" w:cs="Arial"/>
          <w:sz w:val="22"/>
          <w:szCs w:val="22"/>
        </w:rPr>
        <w:t>, 55(6), pp. 635–654.</w:t>
      </w:r>
    </w:p>
    <w:p w14:paraId="3E1EC76E" w14:textId="39A0CD0B"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lang w:val="nl-NL"/>
        </w:rPr>
        <w:t xml:space="preserve">Livingstone, S. </w:t>
      </w:r>
      <w:r w:rsidRPr="00726EDA">
        <w:rPr>
          <w:rStyle w:val="Emphasis"/>
          <w:rFonts w:ascii="Arial" w:eastAsiaTheme="majorEastAsia" w:hAnsi="Arial" w:cs="Arial"/>
          <w:sz w:val="22"/>
          <w:szCs w:val="22"/>
          <w:lang w:val="nl-NL"/>
        </w:rPr>
        <w:t>et al.</w:t>
      </w:r>
      <w:r w:rsidRPr="00726EDA">
        <w:rPr>
          <w:rFonts w:ascii="Arial" w:hAnsi="Arial" w:cs="Arial"/>
          <w:sz w:val="22"/>
          <w:szCs w:val="22"/>
          <w:lang w:val="nl-NL"/>
        </w:rPr>
        <w:t xml:space="preserve"> (2021) </w:t>
      </w:r>
      <w:r w:rsidRPr="00726EDA">
        <w:rPr>
          <w:rStyle w:val="Emphasis"/>
          <w:rFonts w:ascii="Arial" w:eastAsiaTheme="majorEastAsia" w:hAnsi="Arial" w:cs="Arial"/>
          <w:sz w:val="22"/>
          <w:szCs w:val="22"/>
          <w:lang w:val="nl-NL"/>
        </w:rPr>
        <w:t>EU Kids Online 2020</w:t>
      </w:r>
      <w:r w:rsidRPr="00726EDA">
        <w:rPr>
          <w:rFonts w:ascii="Arial" w:hAnsi="Arial" w:cs="Arial"/>
          <w:sz w:val="22"/>
          <w:szCs w:val="22"/>
          <w:lang w:val="nl-NL"/>
        </w:rPr>
        <w:t xml:space="preserve">. </w:t>
      </w:r>
      <w:r w:rsidRPr="00726EDA">
        <w:rPr>
          <w:rFonts w:ascii="Arial" w:hAnsi="Arial" w:cs="Arial"/>
          <w:sz w:val="22"/>
          <w:szCs w:val="22"/>
        </w:rPr>
        <w:t>London: London School of Economics.</w:t>
      </w:r>
    </w:p>
    <w:p w14:paraId="3DD58C0C" w14:textId="68E7007A"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NICE (2022) </w:t>
      </w:r>
      <w:r w:rsidRPr="00726EDA">
        <w:rPr>
          <w:rStyle w:val="Emphasis"/>
          <w:rFonts w:ascii="Arial" w:eastAsiaTheme="majorEastAsia" w:hAnsi="Arial" w:cs="Arial"/>
          <w:sz w:val="22"/>
          <w:szCs w:val="22"/>
        </w:rPr>
        <w:t>Safeguarding children guidance</w:t>
      </w:r>
      <w:r w:rsidRPr="00726EDA">
        <w:rPr>
          <w:rFonts w:ascii="Arial" w:hAnsi="Arial" w:cs="Arial"/>
          <w:sz w:val="22"/>
          <w:szCs w:val="22"/>
        </w:rPr>
        <w:t>. London: National Institute for Health and Care Excellence.</w:t>
      </w:r>
    </w:p>
    <w:p w14:paraId="446A6DF8" w14:textId="010A2E3A"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NSPCC (2022) </w:t>
      </w:r>
      <w:r w:rsidRPr="00726EDA">
        <w:rPr>
          <w:rStyle w:val="Emphasis"/>
          <w:rFonts w:ascii="Arial" w:eastAsiaTheme="majorEastAsia" w:hAnsi="Arial" w:cs="Arial"/>
          <w:sz w:val="22"/>
          <w:szCs w:val="22"/>
        </w:rPr>
        <w:t>Online safety and children</w:t>
      </w:r>
      <w:r w:rsidRPr="00726EDA">
        <w:rPr>
          <w:rFonts w:ascii="Arial" w:hAnsi="Arial" w:cs="Arial"/>
          <w:sz w:val="22"/>
          <w:szCs w:val="22"/>
        </w:rPr>
        <w:t>. London: NSPCC.</w:t>
      </w:r>
    </w:p>
    <w:p w14:paraId="4209931E" w14:textId="7E9C1BBE"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NSPCC (2023) </w:t>
      </w:r>
      <w:r w:rsidRPr="00726EDA">
        <w:rPr>
          <w:rStyle w:val="Emphasis"/>
          <w:rFonts w:ascii="Arial" w:eastAsiaTheme="majorEastAsia" w:hAnsi="Arial" w:cs="Arial"/>
          <w:sz w:val="22"/>
          <w:szCs w:val="22"/>
        </w:rPr>
        <w:t>Online harm and abuse statistics</w:t>
      </w:r>
      <w:r w:rsidRPr="00726EDA">
        <w:rPr>
          <w:rFonts w:ascii="Arial" w:hAnsi="Arial" w:cs="Arial"/>
          <w:sz w:val="22"/>
          <w:szCs w:val="22"/>
        </w:rPr>
        <w:t>. London: NSPCC.</w:t>
      </w:r>
    </w:p>
    <w:p w14:paraId="045DBF71" w14:textId="45E13C77"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NSPCC (2024) </w:t>
      </w:r>
      <w:r w:rsidRPr="00726EDA">
        <w:rPr>
          <w:rStyle w:val="Emphasis"/>
          <w:rFonts w:ascii="Arial" w:eastAsiaTheme="majorEastAsia" w:hAnsi="Arial" w:cs="Arial"/>
          <w:sz w:val="22"/>
          <w:szCs w:val="22"/>
        </w:rPr>
        <w:t>Child protection in the digital age</w:t>
      </w:r>
      <w:r w:rsidRPr="00726EDA">
        <w:rPr>
          <w:rFonts w:ascii="Arial" w:hAnsi="Arial" w:cs="Arial"/>
          <w:sz w:val="22"/>
          <w:szCs w:val="22"/>
        </w:rPr>
        <w:t>. London: NSPCC.</w:t>
      </w:r>
    </w:p>
    <w:p w14:paraId="1B8607DA" w14:textId="6CD96A95"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lastRenderedPageBreak/>
        <w:t xml:space="preserve">OECD (2021) </w:t>
      </w:r>
      <w:r w:rsidRPr="00726EDA">
        <w:rPr>
          <w:rStyle w:val="Emphasis"/>
          <w:rFonts w:ascii="Arial" w:eastAsiaTheme="majorEastAsia" w:hAnsi="Arial" w:cs="Arial"/>
          <w:sz w:val="22"/>
          <w:szCs w:val="22"/>
        </w:rPr>
        <w:t>Children in the digital environment</w:t>
      </w:r>
      <w:r w:rsidRPr="00726EDA">
        <w:rPr>
          <w:rFonts w:ascii="Arial" w:hAnsi="Arial" w:cs="Arial"/>
          <w:sz w:val="22"/>
          <w:szCs w:val="22"/>
        </w:rPr>
        <w:t>. Paris: OECD.</w:t>
      </w:r>
    </w:p>
    <w:p w14:paraId="7FE7F9B4" w14:textId="6BDACFA9"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OECD (2023) </w:t>
      </w:r>
      <w:r w:rsidRPr="00726EDA">
        <w:rPr>
          <w:rStyle w:val="Emphasis"/>
          <w:rFonts w:ascii="Arial" w:eastAsiaTheme="majorEastAsia" w:hAnsi="Arial" w:cs="Arial"/>
          <w:sz w:val="22"/>
          <w:szCs w:val="22"/>
        </w:rPr>
        <w:t>Education in digital societies</w:t>
      </w:r>
      <w:r w:rsidRPr="00726EDA">
        <w:rPr>
          <w:rFonts w:ascii="Arial" w:hAnsi="Arial" w:cs="Arial"/>
          <w:sz w:val="22"/>
          <w:szCs w:val="22"/>
        </w:rPr>
        <w:t>. Paris: OECD.</w:t>
      </w:r>
    </w:p>
    <w:p w14:paraId="0163617C" w14:textId="445D7836"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Ofcom (2023) </w:t>
      </w:r>
      <w:r w:rsidRPr="00726EDA">
        <w:rPr>
          <w:rStyle w:val="Emphasis"/>
          <w:rFonts w:ascii="Arial" w:eastAsiaTheme="majorEastAsia" w:hAnsi="Arial" w:cs="Arial"/>
          <w:sz w:val="22"/>
          <w:szCs w:val="22"/>
        </w:rPr>
        <w:t>Children and parents: Media use and attitudes</w:t>
      </w:r>
      <w:r w:rsidRPr="00726EDA">
        <w:rPr>
          <w:rFonts w:ascii="Arial" w:hAnsi="Arial" w:cs="Arial"/>
          <w:sz w:val="22"/>
          <w:szCs w:val="22"/>
        </w:rPr>
        <w:t>. London: Ofcom.</w:t>
      </w:r>
    </w:p>
    <w:p w14:paraId="5C9F8585" w14:textId="50D98629"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Ofcom (2024) </w:t>
      </w:r>
      <w:r w:rsidRPr="00726EDA">
        <w:rPr>
          <w:rStyle w:val="Emphasis"/>
          <w:rFonts w:ascii="Arial" w:eastAsiaTheme="majorEastAsia" w:hAnsi="Arial" w:cs="Arial"/>
          <w:sz w:val="22"/>
          <w:szCs w:val="22"/>
        </w:rPr>
        <w:t>Platform safety codes report</w:t>
      </w:r>
      <w:r w:rsidRPr="00726EDA">
        <w:rPr>
          <w:rFonts w:ascii="Arial" w:hAnsi="Arial" w:cs="Arial"/>
          <w:sz w:val="22"/>
          <w:szCs w:val="22"/>
        </w:rPr>
        <w:t>. London: Ofcom.</w:t>
      </w:r>
    </w:p>
    <w:p w14:paraId="6ED2375A" w14:textId="43FCA4DE"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Ofsted (2022) </w:t>
      </w:r>
      <w:r w:rsidRPr="00726EDA">
        <w:rPr>
          <w:rStyle w:val="Emphasis"/>
          <w:rFonts w:ascii="Arial" w:eastAsiaTheme="majorEastAsia" w:hAnsi="Arial" w:cs="Arial"/>
          <w:sz w:val="22"/>
          <w:szCs w:val="22"/>
        </w:rPr>
        <w:t>Online safety in schools</w:t>
      </w:r>
      <w:r w:rsidRPr="00726EDA">
        <w:rPr>
          <w:rFonts w:ascii="Arial" w:hAnsi="Arial" w:cs="Arial"/>
          <w:sz w:val="22"/>
          <w:szCs w:val="22"/>
        </w:rPr>
        <w:t>. London: Ofsted.</w:t>
      </w:r>
    </w:p>
    <w:p w14:paraId="11A25C8D" w14:textId="4E4DA78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Pew Research </w:t>
      </w:r>
      <w:proofErr w:type="spellStart"/>
      <w:r w:rsidRPr="00726EDA">
        <w:rPr>
          <w:rFonts w:ascii="Arial" w:hAnsi="Arial" w:cs="Arial"/>
          <w:sz w:val="22"/>
          <w:szCs w:val="22"/>
        </w:rPr>
        <w:t>Center</w:t>
      </w:r>
      <w:proofErr w:type="spellEnd"/>
      <w:r w:rsidRPr="00726EDA">
        <w:rPr>
          <w:rFonts w:ascii="Arial" w:hAnsi="Arial" w:cs="Arial"/>
          <w:sz w:val="22"/>
          <w:szCs w:val="22"/>
        </w:rPr>
        <w:t xml:space="preserve"> (2022) </w:t>
      </w:r>
      <w:r w:rsidRPr="00726EDA">
        <w:rPr>
          <w:rStyle w:val="Emphasis"/>
          <w:rFonts w:ascii="Arial" w:eastAsiaTheme="majorEastAsia" w:hAnsi="Arial" w:cs="Arial"/>
          <w:sz w:val="22"/>
          <w:szCs w:val="22"/>
        </w:rPr>
        <w:t>Teens, technology and wellbeing</w:t>
      </w:r>
      <w:r w:rsidRPr="00726EDA">
        <w:rPr>
          <w:rFonts w:ascii="Arial" w:hAnsi="Arial" w:cs="Arial"/>
          <w:sz w:val="22"/>
          <w:szCs w:val="22"/>
        </w:rPr>
        <w:t xml:space="preserve">. Washington, DC: Pew Research </w:t>
      </w:r>
      <w:proofErr w:type="spellStart"/>
      <w:r w:rsidRPr="00726EDA">
        <w:rPr>
          <w:rFonts w:ascii="Arial" w:hAnsi="Arial" w:cs="Arial"/>
          <w:sz w:val="22"/>
          <w:szCs w:val="22"/>
        </w:rPr>
        <w:t>Center</w:t>
      </w:r>
      <w:proofErr w:type="spellEnd"/>
      <w:r w:rsidRPr="00726EDA">
        <w:rPr>
          <w:rFonts w:ascii="Arial" w:hAnsi="Arial" w:cs="Arial"/>
          <w:sz w:val="22"/>
          <w:szCs w:val="22"/>
        </w:rPr>
        <w:t>.</w:t>
      </w:r>
    </w:p>
    <w:p w14:paraId="1CC55395" w14:textId="142189F7"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Public Health England (2020) </w:t>
      </w:r>
      <w:r w:rsidRPr="00726EDA">
        <w:rPr>
          <w:rStyle w:val="Emphasis"/>
          <w:rFonts w:ascii="Arial" w:eastAsiaTheme="majorEastAsia" w:hAnsi="Arial" w:cs="Arial"/>
          <w:sz w:val="22"/>
          <w:szCs w:val="22"/>
        </w:rPr>
        <w:t>Child mental health surveillance</w:t>
      </w:r>
      <w:r w:rsidRPr="00726EDA">
        <w:rPr>
          <w:rFonts w:ascii="Arial" w:hAnsi="Arial" w:cs="Arial"/>
          <w:sz w:val="22"/>
          <w:szCs w:val="22"/>
        </w:rPr>
        <w:t>. London: PHE.</w:t>
      </w:r>
    </w:p>
    <w:p w14:paraId="5924441C" w14:textId="65B695FB"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Royal Society for Public Health (2022) </w:t>
      </w:r>
      <w:proofErr w:type="gramStart"/>
      <w:r w:rsidRPr="00726EDA">
        <w:rPr>
          <w:rStyle w:val="Emphasis"/>
          <w:rFonts w:ascii="Arial" w:eastAsiaTheme="majorEastAsia" w:hAnsi="Arial" w:cs="Arial"/>
          <w:sz w:val="22"/>
          <w:szCs w:val="22"/>
        </w:rPr>
        <w:t>Social media</w:t>
      </w:r>
      <w:proofErr w:type="gramEnd"/>
      <w:r w:rsidRPr="00726EDA">
        <w:rPr>
          <w:rStyle w:val="Emphasis"/>
          <w:rFonts w:ascii="Arial" w:eastAsiaTheme="majorEastAsia" w:hAnsi="Arial" w:cs="Arial"/>
          <w:sz w:val="22"/>
          <w:szCs w:val="22"/>
        </w:rPr>
        <w:t xml:space="preserve"> and youth mental health</w:t>
      </w:r>
      <w:r w:rsidRPr="00726EDA">
        <w:rPr>
          <w:rFonts w:ascii="Arial" w:hAnsi="Arial" w:cs="Arial"/>
          <w:sz w:val="22"/>
          <w:szCs w:val="22"/>
        </w:rPr>
        <w:t>. London: RSPH.</w:t>
      </w:r>
    </w:p>
    <w:p w14:paraId="5F55BCDD" w14:textId="28A4A270"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Scottish Government (2022) </w:t>
      </w:r>
      <w:r w:rsidRPr="00726EDA">
        <w:rPr>
          <w:rStyle w:val="Emphasis"/>
          <w:rFonts w:ascii="Arial" w:eastAsiaTheme="majorEastAsia" w:hAnsi="Arial" w:cs="Arial"/>
          <w:sz w:val="22"/>
          <w:szCs w:val="22"/>
        </w:rPr>
        <w:t>Child internet safety strategy</w:t>
      </w:r>
      <w:r w:rsidRPr="00726EDA">
        <w:rPr>
          <w:rFonts w:ascii="Arial" w:hAnsi="Arial" w:cs="Arial"/>
          <w:sz w:val="22"/>
          <w:szCs w:val="22"/>
        </w:rPr>
        <w:t>. Edinburgh: Scottish Government.</w:t>
      </w:r>
    </w:p>
    <w:p w14:paraId="773B4A31" w14:textId="4EF87DE0"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Council for Internet Safety (2023) </w:t>
      </w:r>
      <w:r w:rsidRPr="00726EDA">
        <w:rPr>
          <w:rStyle w:val="Emphasis"/>
          <w:rFonts w:ascii="Arial" w:eastAsiaTheme="majorEastAsia" w:hAnsi="Arial" w:cs="Arial"/>
          <w:sz w:val="22"/>
          <w:szCs w:val="22"/>
        </w:rPr>
        <w:t>Education for a connected world</w:t>
      </w:r>
      <w:r w:rsidRPr="00726EDA">
        <w:rPr>
          <w:rFonts w:ascii="Arial" w:hAnsi="Arial" w:cs="Arial"/>
          <w:sz w:val="22"/>
          <w:szCs w:val="22"/>
        </w:rPr>
        <w:t>. London: UKCIS.</w:t>
      </w:r>
    </w:p>
    <w:p w14:paraId="389A26D2" w14:textId="2E01D66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Government (2023) </w:t>
      </w:r>
      <w:r w:rsidRPr="00726EDA">
        <w:rPr>
          <w:rStyle w:val="Emphasis"/>
          <w:rFonts w:ascii="Arial" w:eastAsiaTheme="majorEastAsia" w:hAnsi="Arial" w:cs="Arial"/>
          <w:sz w:val="22"/>
          <w:szCs w:val="22"/>
        </w:rPr>
        <w:t>Online Safety Act 2023</w:t>
      </w:r>
      <w:r w:rsidRPr="00726EDA">
        <w:rPr>
          <w:rFonts w:ascii="Arial" w:hAnsi="Arial" w:cs="Arial"/>
          <w:sz w:val="22"/>
          <w:szCs w:val="22"/>
        </w:rPr>
        <w:t>. London: HMSO.</w:t>
      </w:r>
    </w:p>
    <w:p w14:paraId="0CD02B39" w14:textId="178A6FE8"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Government (2024) </w:t>
      </w:r>
      <w:r w:rsidRPr="00726EDA">
        <w:rPr>
          <w:rStyle w:val="Emphasis"/>
          <w:rFonts w:ascii="Arial" w:eastAsiaTheme="majorEastAsia" w:hAnsi="Arial" w:cs="Arial"/>
          <w:sz w:val="22"/>
          <w:szCs w:val="22"/>
        </w:rPr>
        <w:t>Online safety implementation update</w:t>
      </w:r>
      <w:r w:rsidRPr="00726EDA">
        <w:rPr>
          <w:rFonts w:ascii="Arial" w:hAnsi="Arial" w:cs="Arial"/>
          <w:sz w:val="22"/>
          <w:szCs w:val="22"/>
        </w:rPr>
        <w:t>. London: UK Government.</w:t>
      </w:r>
    </w:p>
    <w:p w14:paraId="2916D086" w14:textId="34F3C5E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Parliament Library (2023) </w:t>
      </w:r>
      <w:r w:rsidRPr="00726EDA">
        <w:rPr>
          <w:rStyle w:val="Emphasis"/>
          <w:rFonts w:ascii="Arial" w:eastAsiaTheme="majorEastAsia" w:hAnsi="Arial" w:cs="Arial"/>
          <w:sz w:val="22"/>
          <w:szCs w:val="22"/>
        </w:rPr>
        <w:t>Online harms briefing</w:t>
      </w:r>
      <w:r w:rsidRPr="00726EDA">
        <w:rPr>
          <w:rFonts w:ascii="Arial" w:hAnsi="Arial" w:cs="Arial"/>
          <w:sz w:val="22"/>
          <w:szCs w:val="22"/>
        </w:rPr>
        <w:t>. London: UK Parliament.</w:t>
      </w:r>
    </w:p>
    <w:p w14:paraId="6B4A5B9A" w14:textId="06FB6E8F"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Safer Internet Centre (2023) </w:t>
      </w:r>
      <w:r w:rsidRPr="00726EDA">
        <w:rPr>
          <w:rStyle w:val="Emphasis"/>
          <w:rFonts w:ascii="Arial" w:eastAsiaTheme="majorEastAsia" w:hAnsi="Arial" w:cs="Arial"/>
          <w:sz w:val="22"/>
          <w:szCs w:val="22"/>
        </w:rPr>
        <w:t>Annual report</w:t>
      </w:r>
      <w:r w:rsidRPr="00726EDA">
        <w:rPr>
          <w:rFonts w:ascii="Arial" w:hAnsi="Arial" w:cs="Arial"/>
          <w:sz w:val="22"/>
          <w:szCs w:val="22"/>
        </w:rPr>
        <w:t>. London: UKSIC.</w:t>
      </w:r>
    </w:p>
    <w:p w14:paraId="1EA90242" w14:textId="76CD164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UK Safer Internet Centre (2024) </w:t>
      </w:r>
      <w:r w:rsidRPr="00726EDA">
        <w:rPr>
          <w:rStyle w:val="Emphasis"/>
          <w:rFonts w:ascii="Arial" w:eastAsiaTheme="majorEastAsia" w:hAnsi="Arial" w:cs="Arial"/>
          <w:sz w:val="22"/>
          <w:szCs w:val="22"/>
        </w:rPr>
        <w:t>Education impact review</w:t>
      </w:r>
      <w:r w:rsidRPr="00726EDA">
        <w:rPr>
          <w:rFonts w:ascii="Arial" w:hAnsi="Arial" w:cs="Arial"/>
          <w:sz w:val="22"/>
          <w:szCs w:val="22"/>
        </w:rPr>
        <w:t>. London: UKSIC.</w:t>
      </w:r>
    </w:p>
    <w:p w14:paraId="54C85340" w14:textId="34DD6436"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UNESCO (2022) </w:t>
      </w:r>
      <w:r w:rsidRPr="00726EDA">
        <w:rPr>
          <w:rStyle w:val="Emphasis"/>
          <w:rFonts w:ascii="Arial" w:eastAsiaTheme="majorEastAsia" w:hAnsi="Arial" w:cs="Arial"/>
          <w:sz w:val="22"/>
          <w:szCs w:val="22"/>
        </w:rPr>
        <w:t>Media literacy framework</w:t>
      </w:r>
      <w:r w:rsidRPr="00726EDA">
        <w:rPr>
          <w:rFonts w:ascii="Arial" w:hAnsi="Arial" w:cs="Arial"/>
          <w:sz w:val="22"/>
          <w:szCs w:val="22"/>
        </w:rPr>
        <w:t>. Paris: UNESCO.</w:t>
      </w:r>
    </w:p>
    <w:p w14:paraId="242E9DB6" w14:textId="2C5A362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lastRenderedPageBreak/>
        <w:t xml:space="preserve">UNESCO (2023) </w:t>
      </w:r>
      <w:r w:rsidRPr="00726EDA">
        <w:rPr>
          <w:rStyle w:val="Emphasis"/>
          <w:rFonts w:ascii="Arial" w:eastAsiaTheme="majorEastAsia" w:hAnsi="Arial" w:cs="Arial"/>
          <w:sz w:val="22"/>
          <w:szCs w:val="22"/>
        </w:rPr>
        <w:t>Global digital citizenship education</w:t>
      </w:r>
      <w:r w:rsidRPr="00726EDA">
        <w:rPr>
          <w:rFonts w:ascii="Arial" w:hAnsi="Arial" w:cs="Arial"/>
          <w:sz w:val="22"/>
          <w:szCs w:val="22"/>
        </w:rPr>
        <w:t>. Paris: UNESCO.</w:t>
      </w:r>
    </w:p>
    <w:p w14:paraId="2B651254" w14:textId="1BDD0590"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UNESCO (2024) </w:t>
      </w:r>
      <w:r w:rsidRPr="00726EDA">
        <w:rPr>
          <w:rStyle w:val="Emphasis"/>
          <w:rFonts w:ascii="Arial" w:eastAsiaTheme="majorEastAsia" w:hAnsi="Arial" w:cs="Arial"/>
          <w:sz w:val="22"/>
          <w:szCs w:val="22"/>
        </w:rPr>
        <w:t>Digital literacy policy</w:t>
      </w:r>
      <w:r w:rsidRPr="00726EDA">
        <w:rPr>
          <w:rFonts w:ascii="Arial" w:hAnsi="Arial" w:cs="Arial"/>
          <w:sz w:val="22"/>
          <w:szCs w:val="22"/>
        </w:rPr>
        <w:t>. Paris: UNESCO.</w:t>
      </w:r>
    </w:p>
    <w:p w14:paraId="5F7CF7BB" w14:textId="092B150C"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UNICEF (2021) </w:t>
      </w:r>
      <w:r w:rsidRPr="00726EDA">
        <w:rPr>
          <w:rStyle w:val="Emphasis"/>
          <w:rFonts w:ascii="Arial" w:eastAsiaTheme="majorEastAsia" w:hAnsi="Arial" w:cs="Arial"/>
          <w:sz w:val="22"/>
          <w:szCs w:val="22"/>
        </w:rPr>
        <w:t>Child online protection in the digital age</w:t>
      </w:r>
      <w:r w:rsidRPr="00726EDA">
        <w:rPr>
          <w:rFonts w:ascii="Arial" w:hAnsi="Arial" w:cs="Arial"/>
          <w:sz w:val="22"/>
          <w:szCs w:val="22"/>
        </w:rPr>
        <w:t>. New York: UNICEF.</w:t>
      </w:r>
    </w:p>
    <w:p w14:paraId="5838AB41" w14:textId="54D31585"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UNICEF (2022) </w:t>
      </w:r>
      <w:r w:rsidRPr="00726EDA">
        <w:rPr>
          <w:rStyle w:val="Emphasis"/>
          <w:rFonts w:ascii="Arial" w:eastAsiaTheme="majorEastAsia" w:hAnsi="Arial" w:cs="Arial"/>
          <w:sz w:val="22"/>
          <w:szCs w:val="22"/>
        </w:rPr>
        <w:t>State of the world’s children</w:t>
      </w:r>
      <w:r w:rsidRPr="00726EDA">
        <w:rPr>
          <w:rFonts w:ascii="Arial" w:hAnsi="Arial" w:cs="Arial"/>
          <w:sz w:val="22"/>
          <w:szCs w:val="22"/>
        </w:rPr>
        <w:t>. New York: UNICEF.</w:t>
      </w:r>
    </w:p>
    <w:p w14:paraId="110ED327" w14:textId="40ED76F1"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UNICEF Europe (2022) </w:t>
      </w:r>
      <w:r w:rsidRPr="00726EDA">
        <w:rPr>
          <w:rStyle w:val="Emphasis"/>
          <w:rFonts w:ascii="Arial" w:eastAsiaTheme="majorEastAsia" w:hAnsi="Arial" w:cs="Arial"/>
          <w:sz w:val="22"/>
          <w:szCs w:val="22"/>
        </w:rPr>
        <w:t>Online exploitation risks</w:t>
      </w:r>
      <w:r w:rsidRPr="00726EDA">
        <w:rPr>
          <w:rFonts w:ascii="Arial" w:hAnsi="Arial" w:cs="Arial"/>
          <w:sz w:val="22"/>
          <w:szCs w:val="22"/>
        </w:rPr>
        <w:t>. Geneva: UNICEF.</w:t>
      </w:r>
    </w:p>
    <w:p w14:paraId="00C74049" w14:textId="70F8DD68"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UNICEF Innocenti (2023) </w:t>
      </w:r>
      <w:r w:rsidRPr="00726EDA">
        <w:rPr>
          <w:rStyle w:val="Emphasis"/>
          <w:rFonts w:ascii="Arial" w:eastAsiaTheme="majorEastAsia" w:hAnsi="Arial" w:cs="Arial"/>
          <w:sz w:val="22"/>
          <w:szCs w:val="22"/>
        </w:rPr>
        <w:t>Digital risks to children</w:t>
      </w:r>
      <w:r w:rsidRPr="00726EDA">
        <w:rPr>
          <w:rFonts w:ascii="Arial" w:hAnsi="Arial" w:cs="Arial"/>
          <w:sz w:val="22"/>
          <w:szCs w:val="22"/>
        </w:rPr>
        <w:t>. Florence: UNICEF.</w:t>
      </w:r>
    </w:p>
    <w:p w14:paraId="76F9DE13" w14:textId="1652C12A"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Viner, R.M. </w:t>
      </w:r>
      <w:r w:rsidRPr="00726EDA">
        <w:rPr>
          <w:rStyle w:val="Emphasis"/>
          <w:rFonts w:ascii="Arial" w:eastAsiaTheme="majorEastAsia" w:hAnsi="Arial" w:cs="Arial"/>
          <w:sz w:val="22"/>
          <w:szCs w:val="22"/>
        </w:rPr>
        <w:t>et al.</w:t>
      </w:r>
      <w:r w:rsidRPr="00726EDA">
        <w:rPr>
          <w:rFonts w:ascii="Arial" w:hAnsi="Arial" w:cs="Arial"/>
          <w:sz w:val="22"/>
          <w:szCs w:val="22"/>
        </w:rPr>
        <w:t xml:space="preserve"> (2019) ‘Adolescent health and digital risk’, </w:t>
      </w:r>
      <w:r w:rsidRPr="00726EDA">
        <w:rPr>
          <w:rStyle w:val="Emphasis"/>
          <w:rFonts w:ascii="Arial" w:eastAsiaTheme="majorEastAsia" w:hAnsi="Arial" w:cs="Arial"/>
          <w:sz w:val="22"/>
          <w:szCs w:val="22"/>
        </w:rPr>
        <w:t>The Lancet</w:t>
      </w:r>
      <w:r w:rsidRPr="00726EDA">
        <w:rPr>
          <w:rFonts w:ascii="Arial" w:hAnsi="Arial" w:cs="Arial"/>
          <w:sz w:val="22"/>
          <w:szCs w:val="22"/>
        </w:rPr>
        <w:t>, 393(10176), pp. 110–112.</w:t>
      </w:r>
    </w:p>
    <w:p w14:paraId="6AC96986" w14:textId="7FC92EC3"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Watson, A. and Rivers, D. (2019) ‘Child protection and social media’, </w:t>
      </w:r>
      <w:r w:rsidRPr="00726EDA">
        <w:rPr>
          <w:rStyle w:val="Emphasis"/>
          <w:rFonts w:ascii="Arial" w:eastAsiaTheme="majorEastAsia" w:hAnsi="Arial" w:cs="Arial"/>
          <w:sz w:val="22"/>
          <w:szCs w:val="22"/>
        </w:rPr>
        <w:t>Child &amp; Family Social Work</w:t>
      </w:r>
      <w:r w:rsidRPr="00726EDA">
        <w:rPr>
          <w:rFonts w:ascii="Arial" w:hAnsi="Arial" w:cs="Arial"/>
          <w:sz w:val="22"/>
          <w:szCs w:val="22"/>
        </w:rPr>
        <w:t>, 24(2), pp. 213–225.</w:t>
      </w:r>
    </w:p>
    <w:p w14:paraId="2CCBD710" w14:textId="6413EC1E" w:rsidR="00EA57CC" w:rsidRPr="00726EDA" w:rsidRDefault="00EA57CC" w:rsidP="00726EDA">
      <w:pPr>
        <w:pStyle w:val="NormalWeb"/>
        <w:spacing w:line="480" w:lineRule="auto"/>
        <w:ind w:left="360"/>
        <w:jc w:val="both"/>
        <w:rPr>
          <w:rFonts w:ascii="Arial" w:hAnsi="Arial" w:cs="Arial"/>
          <w:sz w:val="22"/>
          <w:szCs w:val="22"/>
        </w:rPr>
      </w:pPr>
      <w:r w:rsidRPr="00726EDA">
        <w:rPr>
          <w:rFonts w:ascii="Arial" w:hAnsi="Arial" w:cs="Arial"/>
          <w:sz w:val="22"/>
          <w:szCs w:val="22"/>
        </w:rPr>
        <w:t xml:space="preserve">World Economic Forum (2023) </w:t>
      </w:r>
      <w:r w:rsidRPr="00726EDA">
        <w:rPr>
          <w:rStyle w:val="Emphasis"/>
          <w:rFonts w:ascii="Arial" w:eastAsiaTheme="majorEastAsia" w:hAnsi="Arial" w:cs="Arial"/>
          <w:sz w:val="22"/>
          <w:szCs w:val="22"/>
        </w:rPr>
        <w:t>Child safety online agenda</w:t>
      </w:r>
      <w:r w:rsidRPr="00726EDA">
        <w:rPr>
          <w:rFonts w:ascii="Arial" w:hAnsi="Arial" w:cs="Arial"/>
          <w:sz w:val="22"/>
          <w:szCs w:val="22"/>
        </w:rPr>
        <w:t>. Geneva: World Economic Forum.</w:t>
      </w:r>
    </w:p>
    <w:p w14:paraId="32550159" w14:textId="77777777" w:rsidR="00410D44" w:rsidRPr="00726EDA" w:rsidRDefault="00410D44" w:rsidP="00726EDA">
      <w:pPr>
        <w:pStyle w:val="NormalWeb"/>
        <w:spacing w:line="480" w:lineRule="auto"/>
        <w:jc w:val="both"/>
        <w:rPr>
          <w:rFonts w:ascii="Arial" w:hAnsi="Arial" w:cs="Arial"/>
          <w:sz w:val="22"/>
          <w:szCs w:val="22"/>
        </w:rPr>
      </w:pPr>
    </w:p>
    <w:p w14:paraId="5A295A10" w14:textId="77777777" w:rsidR="00410D44" w:rsidRPr="00726EDA" w:rsidRDefault="00410D44" w:rsidP="00726EDA">
      <w:pPr>
        <w:pStyle w:val="NormalWeb"/>
        <w:spacing w:line="480" w:lineRule="auto"/>
        <w:jc w:val="both"/>
        <w:rPr>
          <w:rFonts w:ascii="Arial" w:hAnsi="Arial" w:cs="Arial"/>
          <w:sz w:val="22"/>
          <w:szCs w:val="22"/>
        </w:rPr>
      </w:pPr>
    </w:p>
    <w:p w14:paraId="2D6EBFC3" w14:textId="77777777" w:rsidR="00410D44" w:rsidRPr="00726EDA" w:rsidRDefault="00410D44" w:rsidP="00726EDA">
      <w:pPr>
        <w:pStyle w:val="NormalWeb"/>
        <w:spacing w:line="480" w:lineRule="auto"/>
        <w:jc w:val="both"/>
        <w:rPr>
          <w:rFonts w:ascii="Arial" w:hAnsi="Arial" w:cs="Arial"/>
          <w:sz w:val="22"/>
          <w:szCs w:val="22"/>
        </w:rPr>
      </w:pPr>
    </w:p>
    <w:p w14:paraId="332E8D96" w14:textId="77777777" w:rsidR="00B857C7" w:rsidRPr="00726EDA" w:rsidRDefault="00B857C7" w:rsidP="00726EDA">
      <w:pPr>
        <w:pStyle w:val="NormalWeb"/>
        <w:spacing w:line="480" w:lineRule="auto"/>
        <w:jc w:val="both"/>
        <w:rPr>
          <w:rFonts w:ascii="Arial" w:hAnsi="Arial" w:cs="Arial"/>
          <w:sz w:val="22"/>
          <w:szCs w:val="22"/>
        </w:rPr>
      </w:pPr>
    </w:p>
    <w:p w14:paraId="7280706A" w14:textId="77777777" w:rsidR="00B857C7" w:rsidRPr="00726EDA" w:rsidRDefault="00B857C7" w:rsidP="00726EDA">
      <w:pPr>
        <w:pStyle w:val="NormalWeb"/>
        <w:spacing w:line="480" w:lineRule="auto"/>
        <w:jc w:val="both"/>
        <w:rPr>
          <w:rFonts w:ascii="Arial" w:hAnsi="Arial" w:cs="Arial"/>
          <w:sz w:val="22"/>
          <w:szCs w:val="22"/>
        </w:rPr>
      </w:pPr>
    </w:p>
    <w:p w14:paraId="07586644" w14:textId="77777777" w:rsidR="00B857C7" w:rsidRPr="00726EDA" w:rsidRDefault="00B857C7" w:rsidP="00726EDA">
      <w:pPr>
        <w:pStyle w:val="NormalWeb"/>
        <w:spacing w:line="480" w:lineRule="auto"/>
        <w:jc w:val="both"/>
        <w:rPr>
          <w:rFonts w:ascii="Arial" w:hAnsi="Arial" w:cs="Arial"/>
          <w:sz w:val="22"/>
          <w:szCs w:val="22"/>
        </w:rPr>
      </w:pPr>
    </w:p>
    <w:p w14:paraId="6ED994CC" w14:textId="77777777" w:rsidR="00B857C7" w:rsidRPr="00726EDA" w:rsidRDefault="00B857C7" w:rsidP="00726EDA">
      <w:pPr>
        <w:pStyle w:val="NormalWeb"/>
        <w:spacing w:line="480" w:lineRule="auto"/>
        <w:jc w:val="both"/>
        <w:rPr>
          <w:rFonts w:ascii="Arial" w:hAnsi="Arial" w:cs="Arial"/>
          <w:sz w:val="22"/>
          <w:szCs w:val="22"/>
        </w:rPr>
      </w:pPr>
    </w:p>
    <w:p w14:paraId="2A095C4F" w14:textId="77777777" w:rsidR="00F77C0A" w:rsidRPr="00726EDA" w:rsidRDefault="00F77C0A" w:rsidP="00726EDA">
      <w:pPr>
        <w:spacing w:before="100" w:beforeAutospacing="1" w:after="100" w:afterAutospacing="1" w:line="480" w:lineRule="auto"/>
        <w:jc w:val="both"/>
        <w:rPr>
          <w:rFonts w:ascii="Arial" w:hAnsi="Arial" w:cs="Arial"/>
          <w:b/>
          <w:bCs/>
          <w:sz w:val="22"/>
        </w:rPr>
      </w:pPr>
      <w:r w:rsidRPr="00726EDA">
        <w:rPr>
          <w:rFonts w:ascii="Arial" w:hAnsi="Arial" w:cs="Arial"/>
          <w:b/>
          <w:bCs/>
          <w:sz w:val="22"/>
        </w:rPr>
        <w:lastRenderedPageBreak/>
        <w:t>APPENDICES</w:t>
      </w:r>
    </w:p>
    <w:p w14:paraId="4F5E415C" w14:textId="77777777" w:rsidR="00B365F6" w:rsidRPr="00726EDA" w:rsidRDefault="00B365F6" w:rsidP="00726EDA">
      <w:pPr>
        <w:spacing w:before="100" w:beforeAutospacing="1" w:after="100" w:afterAutospacing="1" w:line="480" w:lineRule="auto"/>
        <w:jc w:val="both"/>
        <w:rPr>
          <w:rFonts w:ascii="Arial" w:hAnsi="Arial" w:cs="Arial"/>
          <w:sz w:val="22"/>
        </w:rPr>
      </w:pPr>
      <w:r w:rsidRPr="00726EDA">
        <w:rPr>
          <w:rFonts w:ascii="Arial" w:hAnsi="Arial" w:cs="Arial"/>
          <w:sz w:val="22"/>
        </w:rPr>
        <w:t>Appendix A – Source Tracking Table</w:t>
      </w:r>
    </w:p>
    <w:p w14:paraId="4426FBA5" w14:textId="77777777" w:rsidR="00F77C0A" w:rsidRPr="00726EDA" w:rsidRDefault="00F77C0A" w:rsidP="00726EDA">
      <w:pPr>
        <w:spacing w:before="100" w:beforeAutospacing="1" w:after="100" w:afterAutospacing="1" w:line="480" w:lineRule="auto"/>
        <w:jc w:val="both"/>
        <w:rPr>
          <w:rFonts w:ascii="Arial" w:hAnsi="Arial" w:cs="Arial"/>
          <w:sz w:val="22"/>
        </w:rPr>
      </w:pPr>
    </w:p>
    <w:p w14:paraId="50058CD1" w14:textId="594ECBCC" w:rsidR="008970A6" w:rsidRPr="00726EDA" w:rsidRDefault="008970A6" w:rsidP="00726EDA">
      <w:pPr>
        <w:spacing w:before="100" w:beforeAutospacing="1" w:after="100" w:afterAutospacing="1" w:line="480" w:lineRule="auto"/>
        <w:jc w:val="both"/>
        <w:rPr>
          <w:rFonts w:ascii="Arial" w:hAnsi="Arial" w:cs="Arial"/>
          <w:sz w:val="22"/>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93"/>
        <w:gridCol w:w="703"/>
        <w:gridCol w:w="904"/>
        <w:gridCol w:w="592"/>
        <w:gridCol w:w="755"/>
        <w:gridCol w:w="882"/>
        <w:gridCol w:w="852"/>
        <w:gridCol w:w="823"/>
        <w:gridCol w:w="993"/>
        <w:gridCol w:w="852"/>
        <w:gridCol w:w="867"/>
      </w:tblGrid>
      <w:tr w:rsidR="008970A6" w:rsidRPr="00726EDA" w14:paraId="5D8EAAEB" w14:textId="77777777" w:rsidTr="001312E1">
        <w:trPr>
          <w:tblHeader/>
          <w:tblCellSpacing w:w="15" w:type="dxa"/>
        </w:trPr>
        <w:tc>
          <w:tcPr>
            <w:tcW w:w="0" w:type="auto"/>
            <w:vAlign w:val="center"/>
            <w:hideMark/>
          </w:tcPr>
          <w:p w14:paraId="1F740B1F"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Author &amp; Year</w:t>
            </w:r>
          </w:p>
        </w:tc>
        <w:tc>
          <w:tcPr>
            <w:tcW w:w="0" w:type="auto"/>
            <w:vAlign w:val="center"/>
            <w:hideMark/>
          </w:tcPr>
          <w:p w14:paraId="41DB5EA2"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Title</w:t>
            </w:r>
          </w:p>
        </w:tc>
        <w:tc>
          <w:tcPr>
            <w:tcW w:w="0" w:type="auto"/>
            <w:vAlign w:val="center"/>
            <w:hideMark/>
          </w:tcPr>
          <w:p w14:paraId="17CA3370"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Type of Source</w:t>
            </w:r>
          </w:p>
        </w:tc>
        <w:tc>
          <w:tcPr>
            <w:tcW w:w="0" w:type="auto"/>
            <w:vAlign w:val="center"/>
            <w:hideMark/>
          </w:tcPr>
          <w:p w14:paraId="43240736"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Country</w:t>
            </w:r>
          </w:p>
        </w:tc>
        <w:tc>
          <w:tcPr>
            <w:tcW w:w="0" w:type="auto"/>
            <w:vAlign w:val="center"/>
            <w:hideMark/>
          </w:tcPr>
          <w:p w14:paraId="58356CF2"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Method</w:t>
            </w:r>
          </w:p>
        </w:tc>
        <w:tc>
          <w:tcPr>
            <w:tcW w:w="0" w:type="auto"/>
            <w:vAlign w:val="center"/>
            <w:hideMark/>
          </w:tcPr>
          <w:p w14:paraId="14A160F3"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Sample/Data</w:t>
            </w:r>
          </w:p>
        </w:tc>
        <w:tc>
          <w:tcPr>
            <w:tcW w:w="0" w:type="auto"/>
            <w:vAlign w:val="center"/>
            <w:hideMark/>
          </w:tcPr>
          <w:p w14:paraId="0E110660"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Key Findings</w:t>
            </w:r>
          </w:p>
        </w:tc>
        <w:tc>
          <w:tcPr>
            <w:tcW w:w="0" w:type="auto"/>
            <w:vAlign w:val="center"/>
            <w:hideMark/>
          </w:tcPr>
          <w:p w14:paraId="3E2E37EA"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Strengths</w:t>
            </w:r>
          </w:p>
        </w:tc>
        <w:tc>
          <w:tcPr>
            <w:tcW w:w="0" w:type="auto"/>
            <w:vAlign w:val="center"/>
            <w:hideMark/>
          </w:tcPr>
          <w:p w14:paraId="0E23D7D7"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Limitations</w:t>
            </w:r>
          </w:p>
        </w:tc>
        <w:tc>
          <w:tcPr>
            <w:tcW w:w="0" w:type="auto"/>
            <w:vAlign w:val="center"/>
            <w:hideMark/>
          </w:tcPr>
          <w:p w14:paraId="101BFFB1"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Initial Codes</w:t>
            </w:r>
          </w:p>
        </w:tc>
        <w:tc>
          <w:tcPr>
            <w:tcW w:w="0" w:type="auto"/>
            <w:vAlign w:val="center"/>
            <w:hideMark/>
          </w:tcPr>
          <w:p w14:paraId="1D2CDFB4" w14:textId="77777777" w:rsidR="008970A6" w:rsidRPr="00726EDA" w:rsidRDefault="008970A6" w:rsidP="00726EDA">
            <w:pPr>
              <w:spacing w:before="100" w:beforeAutospacing="1" w:after="100" w:afterAutospacing="1" w:line="480" w:lineRule="auto"/>
              <w:jc w:val="both"/>
              <w:rPr>
                <w:rFonts w:ascii="Arial" w:eastAsia="Times New Roman" w:hAnsi="Arial" w:cs="Arial"/>
                <w:b/>
                <w:bCs/>
                <w:sz w:val="22"/>
                <w:lang w:eastAsia="en-GB"/>
              </w:rPr>
            </w:pPr>
            <w:r w:rsidRPr="00726EDA">
              <w:rPr>
                <w:rFonts w:ascii="Arial" w:eastAsia="Times New Roman" w:hAnsi="Arial" w:cs="Arial"/>
                <w:b/>
                <w:bCs/>
                <w:sz w:val="22"/>
                <w:lang w:eastAsia="en-GB"/>
              </w:rPr>
              <w:t>Emerging Theme</w:t>
            </w:r>
          </w:p>
        </w:tc>
      </w:tr>
      <w:tr w:rsidR="008970A6" w:rsidRPr="00726EDA" w14:paraId="7758ADC3" w14:textId="77777777" w:rsidTr="001312E1">
        <w:trPr>
          <w:tblCellSpacing w:w="15" w:type="dxa"/>
        </w:trPr>
        <w:tc>
          <w:tcPr>
            <w:tcW w:w="0" w:type="auto"/>
            <w:vAlign w:val="center"/>
            <w:hideMark/>
          </w:tcPr>
          <w:p w14:paraId="453FF1D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Ofcom (2023)</w:t>
            </w:r>
          </w:p>
        </w:tc>
        <w:tc>
          <w:tcPr>
            <w:tcW w:w="0" w:type="auto"/>
            <w:vAlign w:val="center"/>
            <w:hideMark/>
          </w:tcPr>
          <w:p w14:paraId="412E3B6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Children and parents: Media use and attitudes</w:t>
            </w:r>
          </w:p>
        </w:tc>
        <w:tc>
          <w:tcPr>
            <w:tcW w:w="0" w:type="auto"/>
            <w:vAlign w:val="center"/>
            <w:hideMark/>
          </w:tcPr>
          <w:p w14:paraId="25A96D8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Government report</w:t>
            </w:r>
          </w:p>
        </w:tc>
        <w:tc>
          <w:tcPr>
            <w:tcW w:w="0" w:type="auto"/>
            <w:vAlign w:val="center"/>
            <w:hideMark/>
          </w:tcPr>
          <w:p w14:paraId="6FDCAE9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00228DB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National survey</w:t>
            </w:r>
          </w:p>
        </w:tc>
        <w:tc>
          <w:tcPr>
            <w:tcW w:w="0" w:type="auto"/>
            <w:vAlign w:val="center"/>
            <w:hideMark/>
          </w:tcPr>
          <w:p w14:paraId="48A30AB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4,000+ families</w:t>
            </w:r>
          </w:p>
        </w:tc>
        <w:tc>
          <w:tcPr>
            <w:tcW w:w="0" w:type="auto"/>
            <w:vAlign w:val="center"/>
            <w:hideMark/>
          </w:tcPr>
          <w:p w14:paraId="31DF87B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High daily use; exposure to harmful content common</w:t>
            </w:r>
          </w:p>
        </w:tc>
        <w:tc>
          <w:tcPr>
            <w:tcW w:w="0" w:type="auto"/>
            <w:vAlign w:val="center"/>
            <w:hideMark/>
          </w:tcPr>
          <w:p w14:paraId="67657EC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Large sample; UK-wide</w:t>
            </w:r>
          </w:p>
        </w:tc>
        <w:tc>
          <w:tcPr>
            <w:tcW w:w="0" w:type="auto"/>
            <w:vAlign w:val="center"/>
            <w:hideMark/>
          </w:tcPr>
          <w:p w14:paraId="3BBD33D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Self-report bias</w:t>
            </w:r>
          </w:p>
        </w:tc>
        <w:tc>
          <w:tcPr>
            <w:tcW w:w="0" w:type="auto"/>
            <w:vAlign w:val="center"/>
            <w:hideMark/>
          </w:tcPr>
          <w:p w14:paraId="647B9F7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Screen time; risk exposure</w:t>
            </w:r>
          </w:p>
        </w:tc>
        <w:tc>
          <w:tcPr>
            <w:tcW w:w="0" w:type="auto"/>
            <w:vAlign w:val="center"/>
            <w:hideMark/>
          </w:tcPr>
          <w:p w14:paraId="75A2886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Scale of digital risk</w:t>
            </w:r>
          </w:p>
        </w:tc>
      </w:tr>
      <w:tr w:rsidR="008970A6" w:rsidRPr="00726EDA" w14:paraId="275E11A0" w14:textId="77777777" w:rsidTr="001312E1">
        <w:trPr>
          <w:tblCellSpacing w:w="15" w:type="dxa"/>
        </w:trPr>
        <w:tc>
          <w:tcPr>
            <w:tcW w:w="0" w:type="auto"/>
            <w:vAlign w:val="center"/>
            <w:hideMark/>
          </w:tcPr>
          <w:p w14:paraId="200F0EE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NSPCC (2023)</w:t>
            </w:r>
          </w:p>
        </w:tc>
        <w:tc>
          <w:tcPr>
            <w:tcW w:w="0" w:type="auto"/>
            <w:vAlign w:val="center"/>
            <w:hideMark/>
          </w:tcPr>
          <w:p w14:paraId="7CBB472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Online harm statistics</w:t>
            </w:r>
          </w:p>
        </w:tc>
        <w:tc>
          <w:tcPr>
            <w:tcW w:w="0" w:type="auto"/>
            <w:vAlign w:val="center"/>
            <w:hideMark/>
          </w:tcPr>
          <w:p w14:paraId="37A656F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Charity statistics</w:t>
            </w:r>
          </w:p>
        </w:tc>
        <w:tc>
          <w:tcPr>
            <w:tcW w:w="0" w:type="auto"/>
            <w:vAlign w:val="center"/>
            <w:hideMark/>
          </w:tcPr>
          <w:p w14:paraId="03636F3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18AD716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Case data analysis</w:t>
            </w:r>
          </w:p>
        </w:tc>
        <w:tc>
          <w:tcPr>
            <w:tcW w:w="0" w:type="auto"/>
            <w:vAlign w:val="center"/>
            <w:hideMark/>
          </w:tcPr>
          <w:p w14:paraId="50E39A7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Police referrals</w:t>
            </w:r>
          </w:p>
        </w:tc>
        <w:tc>
          <w:tcPr>
            <w:tcW w:w="0" w:type="auto"/>
            <w:vAlign w:val="center"/>
            <w:hideMark/>
          </w:tcPr>
          <w:p w14:paraId="46AA77B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Rising sexual exploitation cases</w:t>
            </w:r>
          </w:p>
        </w:tc>
        <w:tc>
          <w:tcPr>
            <w:tcW w:w="0" w:type="auto"/>
            <w:vAlign w:val="center"/>
            <w:hideMark/>
          </w:tcPr>
          <w:p w14:paraId="14C06EB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Official case data</w:t>
            </w:r>
          </w:p>
        </w:tc>
        <w:tc>
          <w:tcPr>
            <w:tcW w:w="0" w:type="auto"/>
            <w:vAlign w:val="center"/>
            <w:hideMark/>
          </w:tcPr>
          <w:p w14:paraId="35635EC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Underreporting likely</w:t>
            </w:r>
          </w:p>
        </w:tc>
        <w:tc>
          <w:tcPr>
            <w:tcW w:w="0" w:type="auto"/>
            <w:vAlign w:val="center"/>
            <w:hideMark/>
          </w:tcPr>
          <w:p w14:paraId="403705E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Grooming; exploitation</w:t>
            </w:r>
          </w:p>
        </w:tc>
        <w:tc>
          <w:tcPr>
            <w:tcW w:w="0" w:type="auto"/>
            <w:vAlign w:val="center"/>
            <w:hideMark/>
          </w:tcPr>
          <w:p w14:paraId="19E9549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Online abuse</w:t>
            </w:r>
          </w:p>
        </w:tc>
      </w:tr>
      <w:tr w:rsidR="008970A6" w:rsidRPr="00726EDA" w14:paraId="3016DD4B" w14:textId="77777777" w:rsidTr="001312E1">
        <w:trPr>
          <w:tblCellSpacing w:w="15" w:type="dxa"/>
        </w:trPr>
        <w:tc>
          <w:tcPr>
            <w:tcW w:w="0" w:type="auto"/>
            <w:vAlign w:val="center"/>
            <w:hideMark/>
          </w:tcPr>
          <w:p w14:paraId="5ED6DD8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lastRenderedPageBreak/>
              <w:t>Department for Education (2023)</w:t>
            </w:r>
          </w:p>
        </w:tc>
        <w:tc>
          <w:tcPr>
            <w:tcW w:w="0" w:type="auto"/>
            <w:vAlign w:val="center"/>
            <w:hideMark/>
          </w:tcPr>
          <w:p w14:paraId="73FD329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Keeping children safe in education</w:t>
            </w:r>
          </w:p>
        </w:tc>
        <w:tc>
          <w:tcPr>
            <w:tcW w:w="0" w:type="auto"/>
            <w:vAlign w:val="center"/>
            <w:hideMark/>
          </w:tcPr>
          <w:p w14:paraId="538A038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Statutory guidance</w:t>
            </w:r>
          </w:p>
        </w:tc>
        <w:tc>
          <w:tcPr>
            <w:tcW w:w="0" w:type="auto"/>
            <w:vAlign w:val="center"/>
            <w:hideMark/>
          </w:tcPr>
          <w:p w14:paraId="70B6088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12718BD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Policy analysis</w:t>
            </w:r>
          </w:p>
        </w:tc>
        <w:tc>
          <w:tcPr>
            <w:tcW w:w="0" w:type="auto"/>
            <w:vAlign w:val="center"/>
            <w:hideMark/>
          </w:tcPr>
          <w:p w14:paraId="290D9F1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Schools</w:t>
            </w:r>
          </w:p>
        </w:tc>
        <w:tc>
          <w:tcPr>
            <w:tcW w:w="0" w:type="auto"/>
            <w:vAlign w:val="center"/>
            <w:hideMark/>
          </w:tcPr>
          <w:p w14:paraId="0A9C870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Mandatory safeguarding roles</w:t>
            </w:r>
          </w:p>
        </w:tc>
        <w:tc>
          <w:tcPr>
            <w:tcW w:w="0" w:type="auto"/>
            <w:vAlign w:val="center"/>
            <w:hideMark/>
          </w:tcPr>
          <w:p w14:paraId="31F5CDD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Legal authority</w:t>
            </w:r>
          </w:p>
        </w:tc>
        <w:tc>
          <w:tcPr>
            <w:tcW w:w="0" w:type="auto"/>
            <w:vAlign w:val="center"/>
            <w:hideMark/>
          </w:tcPr>
          <w:p w14:paraId="3DE5D1C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Implementation varies</w:t>
            </w:r>
          </w:p>
        </w:tc>
        <w:tc>
          <w:tcPr>
            <w:tcW w:w="0" w:type="auto"/>
            <w:vAlign w:val="center"/>
            <w:hideMark/>
          </w:tcPr>
          <w:p w14:paraId="34AE572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School responsibility</w:t>
            </w:r>
          </w:p>
        </w:tc>
        <w:tc>
          <w:tcPr>
            <w:tcW w:w="0" w:type="auto"/>
            <w:vAlign w:val="center"/>
            <w:hideMark/>
          </w:tcPr>
          <w:p w14:paraId="1F52370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Policy framework</w:t>
            </w:r>
          </w:p>
        </w:tc>
      </w:tr>
      <w:tr w:rsidR="008970A6" w:rsidRPr="00726EDA" w14:paraId="7151AAC1" w14:textId="77777777" w:rsidTr="001312E1">
        <w:trPr>
          <w:tblCellSpacing w:w="15" w:type="dxa"/>
        </w:trPr>
        <w:tc>
          <w:tcPr>
            <w:tcW w:w="0" w:type="auto"/>
            <w:vAlign w:val="center"/>
            <w:hideMark/>
          </w:tcPr>
          <w:p w14:paraId="78344B7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Ofsted (2022)</w:t>
            </w:r>
          </w:p>
        </w:tc>
        <w:tc>
          <w:tcPr>
            <w:tcW w:w="0" w:type="auto"/>
            <w:vAlign w:val="center"/>
            <w:hideMark/>
          </w:tcPr>
          <w:p w14:paraId="0940813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Online safety in schools</w:t>
            </w:r>
          </w:p>
        </w:tc>
        <w:tc>
          <w:tcPr>
            <w:tcW w:w="0" w:type="auto"/>
            <w:vAlign w:val="center"/>
            <w:hideMark/>
          </w:tcPr>
          <w:p w14:paraId="0AAA7C4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Inspection report</w:t>
            </w:r>
          </w:p>
        </w:tc>
        <w:tc>
          <w:tcPr>
            <w:tcW w:w="0" w:type="auto"/>
            <w:vAlign w:val="center"/>
            <w:hideMark/>
          </w:tcPr>
          <w:p w14:paraId="496F042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42FEAA1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Thematic review</w:t>
            </w:r>
          </w:p>
        </w:tc>
        <w:tc>
          <w:tcPr>
            <w:tcW w:w="0" w:type="auto"/>
            <w:vAlign w:val="center"/>
            <w:hideMark/>
          </w:tcPr>
          <w:p w14:paraId="3ECF824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Inspections</w:t>
            </w:r>
          </w:p>
        </w:tc>
        <w:tc>
          <w:tcPr>
            <w:tcW w:w="0" w:type="auto"/>
            <w:vAlign w:val="center"/>
            <w:hideMark/>
          </w:tcPr>
          <w:p w14:paraId="39C6B74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Staff confidence uneven</w:t>
            </w:r>
          </w:p>
        </w:tc>
        <w:tc>
          <w:tcPr>
            <w:tcW w:w="0" w:type="auto"/>
            <w:vAlign w:val="center"/>
            <w:hideMark/>
          </w:tcPr>
          <w:p w14:paraId="17725A4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Independent regulator</w:t>
            </w:r>
          </w:p>
        </w:tc>
        <w:tc>
          <w:tcPr>
            <w:tcW w:w="0" w:type="auto"/>
            <w:vAlign w:val="center"/>
            <w:hideMark/>
          </w:tcPr>
          <w:p w14:paraId="18FDA80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Snapshot in time</w:t>
            </w:r>
          </w:p>
        </w:tc>
        <w:tc>
          <w:tcPr>
            <w:tcW w:w="0" w:type="auto"/>
            <w:vAlign w:val="center"/>
            <w:hideMark/>
          </w:tcPr>
          <w:p w14:paraId="5623559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Training gaps</w:t>
            </w:r>
          </w:p>
        </w:tc>
        <w:tc>
          <w:tcPr>
            <w:tcW w:w="0" w:type="auto"/>
            <w:vAlign w:val="center"/>
            <w:hideMark/>
          </w:tcPr>
          <w:p w14:paraId="2497DEF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Professional readiness</w:t>
            </w:r>
          </w:p>
        </w:tc>
      </w:tr>
      <w:tr w:rsidR="008970A6" w:rsidRPr="00726EDA" w14:paraId="073FE02B" w14:textId="77777777" w:rsidTr="001312E1">
        <w:trPr>
          <w:tblCellSpacing w:w="15" w:type="dxa"/>
        </w:trPr>
        <w:tc>
          <w:tcPr>
            <w:tcW w:w="0" w:type="auto"/>
            <w:vAlign w:val="center"/>
            <w:hideMark/>
          </w:tcPr>
          <w:p w14:paraId="6510A61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Livingstone et al. (2021)</w:t>
            </w:r>
          </w:p>
        </w:tc>
        <w:tc>
          <w:tcPr>
            <w:tcW w:w="0" w:type="auto"/>
            <w:vAlign w:val="center"/>
            <w:hideMark/>
          </w:tcPr>
          <w:p w14:paraId="4ABFF96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The 4Cs framework</w:t>
            </w:r>
          </w:p>
        </w:tc>
        <w:tc>
          <w:tcPr>
            <w:tcW w:w="0" w:type="auto"/>
            <w:vAlign w:val="center"/>
            <w:hideMark/>
          </w:tcPr>
          <w:p w14:paraId="41CF975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Academic report</w:t>
            </w:r>
          </w:p>
        </w:tc>
        <w:tc>
          <w:tcPr>
            <w:tcW w:w="0" w:type="auto"/>
            <w:vAlign w:val="center"/>
            <w:hideMark/>
          </w:tcPr>
          <w:p w14:paraId="53EEDEC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UK/EU</w:t>
            </w:r>
          </w:p>
        </w:tc>
        <w:tc>
          <w:tcPr>
            <w:tcW w:w="0" w:type="auto"/>
            <w:vAlign w:val="center"/>
            <w:hideMark/>
          </w:tcPr>
          <w:p w14:paraId="0DE4FB7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Conceptual review</w:t>
            </w:r>
          </w:p>
        </w:tc>
        <w:tc>
          <w:tcPr>
            <w:tcW w:w="0" w:type="auto"/>
            <w:vAlign w:val="center"/>
            <w:hideMark/>
          </w:tcPr>
          <w:p w14:paraId="248EE9A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Prior EU Kids Online studies</w:t>
            </w:r>
          </w:p>
        </w:tc>
        <w:tc>
          <w:tcPr>
            <w:tcW w:w="0" w:type="auto"/>
            <w:vAlign w:val="center"/>
            <w:hideMark/>
          </w:tcPr>
          <w:p w14:paraId="19A6901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Classifies online risks</w:t>
            </w:r>
          </w:p>
        </w:tc>
        <w:tc>
          <w:tcPr>
            <w:tcW w:w="0" w:type="auto"/>
            <w:vAlign w:val="center"/>
            <w:hideMark/>
          </w:tcPr>
          <w:p w14:paraId="25F1EBA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Widely used</w:t>
            </w:r>
          </w:p>
        </w:tc>
        <w:tc>
          <w:tcPr>
            <w:tcW w:w="0" w:type="auto"/>
            <w:vAlign w:val="center"/>
            <w:hideMark/>
          </w:tcPr>
          <w:p w14:paraId="4CEAAC8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Not UK-only</w:t>
            </w:r>
          </w:p>
        </w:tc>
        <w:tc>
          <w:tcPr>
            <w:tcW w:w="0" w:type="auto"/>
            <w:vAlign w:val="center"/>
            <w:hideMark/>
          </w:tcPr>
          <w:p w14:paraId="61E993B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Content risk; contact risk</w:t>
            </w:r>
          </w:p>
        </w:tc>
        <w:tc>
          <w:tcPr>
            <w:tcW w:w="0" w:type="auto"/>
            <w:vAlign w:val="center"/>
            <w:hideMark/>
          </w:tcPr>
          <w:p w14:paraId="58D53AD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Risk typology</w:t>
            </w:r>
          </w:p>
        </w:tc>
      </w:tr>
      <w:tr w:rsidR="008970A6" w:rsidRPr="00726EDA" w14:paraId="755018F0" w14:textId="77777777" w:rsidTr="001312E1">
        <w:trPr>
          <w:tblCellSpacing w:w="15" w:type="dxa"/>
        </w:trPr>
        <w:tc>
          <w:tcPr>
            <w:tcW w:w="0" w:type="auto"/>
            <w:vAlign w:val="center"/>
            <w:hideMark/>
          </w:tcPr>
          <w:p w14:paraId="388787B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 xml:space="preserve">Royal Society for Public </w:t>
            </w:r>
            <w:r w:rsidRPr="00726EDA">
              <w:rPr>
                <w:rFonts w:ascii="Arial" w:eastAsia="Times New Roman" w:hAnsi="Arial" w:cs="Arial"/>
                <w:sz w:val="22"/>
                <w:lang w:eastAsia="en-GB"/>
              </w:rPr>
              <w:lastRenderedPageBreak/>
              <w:t>Health (2022)</w:t>
            </w:r>
          </w:p>
        </w:tc>
        <w:tc>
          <w:tcPr>
            <w:tcW w:w="0" w:type="auto"/>
            <w:vAlign w:val="center"/>
            <w:hideMark/>
          </w:tcPr>
          <w:p w14:paraId="426E7D3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lastRenderedPageBreak/>
              <w:t>Youth mental health</w:t>
            </w:r>
          </w:p>
        </w:tc>
        <w:tc>
          <w:tcPr>
            <w:tcW w:w="0" w:type="auto"/>
            <w:vAlign w:val="center"/>
            <w:hideMark/>
          </w:tcPr>
          <w:p w14:paraId="23C6FCA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Public health report</w:t>
            </w:r>
          </w:p>
        </w:tc>
        <w:tc>
          <w:tcPr>
            <w:tcW w:w="0" w:type="auto"/>
            <w:vAlign w:val="center"/>
            <w:hideMark/>
          </w:tcPr>
          <w:p w14:paraId="23D8543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3D22790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Survey</w:t>
            </w:r>
          </w:p>
        </w:tc>
        <w:tc>
          <w:tcPr>
            <w:tcW w:w="0" w:type="auto"/>
            <w:vAlign w:val="center"/>
            <w:hideMark/>
          </w:tcPr>
          <w:p w14:paraId="6E89AED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2,000 young people</w:t>
            </w:r>
          </w:p>
        </w:tc>
        <w:tc>
          <w:tcPr>
            <w:tcW w:w="0" w:type="auto"/>
            <w:vAlign w:val="center"/>
            <w:hideMark/>
          </w:tcPr>
          <w:p w14:paraId="33069D1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Links to anxiety/body image</w:t>
            </w:r>
          </w:p>
        </w:tc>
        <w:tc>
          <w:tcPr>
            <w:tcW w:w="0" w:type="auto"/>
            <w:vAlign w:val="center"/>
            <w:hideMark/>
          </w:tcPr>
          <w:p w14:paraId="1FC573C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Health focus</w:t>
            </w:r>
          </w:p>
        </w:tc>
        <w:tc>
          <w:tcPr>
            <w:tcW w:w="0" w:type="auto"/>
            <w:vAlign w:val="center"/>
            <w:hideMark/>
          </w:tcPr>
          <w:p w14:paraId="74F6FC1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Correlational</w:t>
            </w:r>
          </w:p>
        </w:tc>
        <w:tc>
          <w:tcPr>
            <w:tcW w:w="0" w:type="auto"/>
            <w:vAlign w:val="center"/>
            <w:hideMark/>
          </w:tcPr>
          <w:p w14:paraId="42311E8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Anxiety; wellbeing</w:t>
            </w:r>
          </w:p>
        </w:tc>
        <w:tc>
          <w:tcPr>
            <w:tcW w:w="0" w:type="auto"/>
            <w:vAlign w:val="center"/>
            <w:hideMark/>
          </w:tcPr>
          <w:p w14:paraId="716CC861"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Mental health impact</w:t>
            </w:r>
          </w:p>
        </w:tc>
      </w:tr>
      <w:tr w:rsidR="008970A6" w:rsidRPr="00726EDA" w14:paraId="7FFDE705" w14:textId="77777777" w:rsidTr="001312E1">
        <w:trPr>
          <w:tblCellSpacing w:w="15" w:type="dxa"/>
        </w:trPr>
        <w:tc>
          <w:tcPr>
            <w:tcW w:w="0" w:type="auto"/>
            <w:vAlign w:val="center"/>
            <w:hideMark/>
          </w:tcPr>
          <w:p w14:paraId="1CD9980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 Parliament (2023)</w:t>
            </w:r>
          </w:p>
        </w:tc>
        <w:tc>
          <w:tcPr>
            <w:tcW w:w="0" w:type="auto"/>
            <w:vAlign w:val="center"/>
            <w:hideMark/>
          </w:tcPr>
          <w:p w14:paraId="62A9896C"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Online Safety Act brief</w:t>
            </w:r>
          </w:p>
        </w:tc>
        <w:tc>
          <w:tcPr>
            <w:tcW w:w="0" w:type="auto"/>
            <w:vAlign w:val="center"/>
            <w:hideMark/>
          </w:tcPr>
          <w:p w14:paraId="1D09E86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Parliamentary paper</w:t>
            </w:r>
          </w:p>
        </w:tc>
        <w:tc>
          <w:tcPr>
            <w:tcW w:w="0" w:type="auto"/>
            <w:vAlign w:val="center"/>
            <w:hideMark/>
          </w:tcPr>
          <w:p w14:paraId="2024732F"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3163906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Legal review</w:t>
            </w:r>
          </w:p>
        </w:tc>
        <w:tc>
          <w:tcPr>
            <w:tcW w:w="0" w:type="auto"/>
            <w:vAlign w:val="center"/>
            <w:hideMark/>
          </w:tcPr>
          <w:p w14:paraId="53A8112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Statutory policy</w:t>
            </w:r>
          </w:p>
        </w:tc>
        <w:tc>
          <w:tcPr>
            <w:tcW w:w="0" w:type="auto"/>
            <w:vAlign w:val="center"/>
            <w:hideMark/>
          </w:tcPr>
          <w:p w14:paraId="71A67BB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Platform liability introduced</w:t>
            </w:r>
          </w:p>
        </w:tc>
        <w:tc>
          <w:tcPr>
            <w:tcW w:w="0" w:type="auto"/>
            <w:vAlign w:val="center"/>
            <w:hideMark/>
          </w:tcPr>
          <w:p w14:paraId="1AE56CC2"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Legal clarity</w:t>
            </w:r>
          </w:p>
        </w:tc>
        <w:tc>
          <w:tcPr>
            <w:tcW w:w="0" w:type="auto"/>
            <w:vAlign w:val="center"/>
            <w:hideMark/>
          </w:tcPr>
          <w:p w14:paraId="6E8A0E63"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Enforcement evolving</w:t>
            </w:r>
          </w:p>
        </w:tc>
        <w:tc>
          <w:tcPr>
            <w:tcW w:w="0" w:type="auto"/>
            <w:vAlign w:val="center"/>
            <w:hideMark/>
          </w:tcPr>
          <w:p w14:paraId="4156E9D8"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Regulation</w:t>
            </w:r>
          </w:p>
        </w:tc>
        <w:tc>
          <w:tcPr>
            <w:tcW w:w="0" w:type="auto"/>
            <w:vAlign w:val="center"/>
            <w:hideMark/>
          </w:tcPr>
          <w:p w14:paraId="3E55E34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Legislative response</w:t>
            </w:r>
          </w:p>
        </w:tc>
      </w:tr>
      <w:tr w:rsidR="008970A6" w:rsidRPr="00726EDA" w14:paraId="22E0E027" w14:textId="77777777" w:rsidTr="001312E1">
        <w:trPr>
          <w:tblCellSpacing w:w="15" w:type="dxa"/>
        </w:trPr>
        <w:tc>
          <w:tcPr>
            <w:tcW w:w="0" w:type="auto"/>
            <w:vAlign w:val="center"/>
            <w:hideMark/>
          </w:tcPr>
          <w:p w14:paraId="4A94BA27"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Internet Watch Foundation (2023)</w:t>
            </w:r>
          </w:p>
        </w:tc>
        <w:tc>
          <w:tcPr>
            <w:tcW w:w="0" w:type="auto"/>
            <w:vAlign w:val="center"/>
            <w:hideMark/>
          </w:tcPr>
          <w:p w14:paraId="46B65670"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i/>
                <w:iCs/>
                <w:sz w:val="22"/>
                <w:lang w:eastAsia="en-GB"/>
              </w:rPr>
              <w:t>Annual report</w:t>
            </w:r>
          </w:p>
        </w:tc>
        <w:tc>
          <w:tcPr>
            <w:tcW w:w="0" w:type="auto"/>
            <w:vAlign w:val="center"/>
            <w:hideMark/>
          </w:tcPr>
          <w:p w14:paraId="5C1EF295"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NGO report</w:t>
            </w:r>
          </w:p>
        </w:tc>
        <w:tc>
          <w:tcPr>
            <w:tcW w:w="0" w:type="auto"/>
            <w:vAlign w:val="center"/>
            <w:hideMark/>
          </w:tcPr>
          <w:p w14:paraId="2A4D2D8D"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UK</w:t>
            </w:r>
          </w:p>
        </w:tc>
        <w:tc>
          <w:tcPr>
            <w:tcW w:w="0" w:type="auto"/>
            <w:vAlign w:val="center"/>
            <w:hideMark/>
          </w:tcPr>
          <w:p w14:paraId="6DD93184"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Incident data</w:t>
            </w:r>
          </w:p>
        </w:tc>
        <w:tc>
          <w:tcPr>
            <w:tcW w:w="0" w:type="auto"/>
            <w:vAlign w:val="center"/>
            <w:hideMark/>
          </w:tcPr>
          <w:p w14:paraId="404D971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Takedown cases</w:t>
            </w:r>
          </w:p>
        </w:tc>
        <w:tc>
          <w:tcPr>
            <w:tcW w:w="0" w:type="auto"/>
            <w:vAlign w:val="center"/>
            <w:hideMark/>
          </w:tcPr>
          <w:p w14:paraId="7BAAADEA"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Child abuse images rising</w:t>
            </w:r>
          </w:p>
        </w:tc>
        <w:tc>
          <w:tcPr>
            <w:tcW w:w="0" w:type="auto"/>
            <w:vAlign w:val="center"/>
            <w:hideMark/>
          </w:tcPr>
          <w:p w14:paraId="5DDED24E"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Verified cases</w:t>
            </w:r>
          </w:p>
        </w:tc>
        <w:tc>
          <w:tcPr>
            <w:tcW w:w="0" w:type="auto"/>
            <w:vAlign w:val="center"/>
            <w:hideMark/>
          </w:tcPr>
          <w:p w14:paraId="4836F48B"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Partial visibility</w:t>
            </w:r>
          </w:p>
        </w:tc>
        <w:tc>
          <w:tcPr>
            <w:tcW w:w="0" w:type="auto"/>
            <w:vAlign w:val="center"/>
            <w:hideMark/>
          </w:tcPr>
          <w:p w14:paraId="7F505C26"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Exploitation</w:t>
            </w:r>
          </w:p>
        </w:tc>
        <w:tc>
          <w:tcPr>
            <w:tcW w:w="0" w:type="auto"/>
            <w:vAlign w:val="center"/>
            <w:hideMark/>
          </w:tcPr>
          <w:p w14:paraId="48EC0DF9" w14:textId="77777777" w:rsidR="008970A6" w:rsidRPr="00726EDA" w:rsidRDefault="008970A6" w:rsidP="00726EDA">
            <w:pPr>
              <w:spacing w:before="100" w:beforeAutospacing="1" w:after="100" w:afterAutospacing="1" w:line="480" w:lineRule="auto"/>
              <w:jc w:val="both"/>
              <w:rPr>
                <w:rFonts w:ascii="Arial" w:eastAsia="Times New Roman" w:hAnsi="Arial" w:cs="Arial"/>
                <w:sz w:val="22"/>
                <w:lang w:eastAsia="en-GB"/>
              </w:rPr>
            </w:pPr>
            <w:r w:rsidRPr="00726EDA">
              <w:rPr>
                <w:rFonts w:ascii="Arial" w:eastAsia="Times New Roman" w:hAnsi="Arial" w:cs="Arial"/>
                <w:sz w:val="22"/>
                <w:lang w:eastAsia="en-GB"/>
              </w:rPr>
              <w:t>Platform responsibility</w:t>
            </w:r>
          </w:p>
        </w:tc>
      </w:tr>
    </w:tbl>
    <w:p w14:paraId="2803F1B7" w14:textId="77777777" w:rsidR="008970A6" w:rsidRPr="00726EDA" w:rsidRDefault="008970A6" w:rsidP="00726EDA">
      <w:pPr>
        <w:spacing w:before="100" w:beforeAutospacing="1" w:after="100" w:afterAutospacing="1" w:line="480" w:lineRule="auto"/>
        <w:jc w:val="both"/>
        <w:rPr>
          <w:rFonts w:ascii="Arial" w:hAnsi="Arial" w:cs="Arial"/>
          <w:kern w:val="2"/>
          <w:sz w:val="22"/>
          <w14:ligatures w14:val="standardContextual"/>
        </w:rPr>
      </w:pPr>
    </w:p>
    <w:p w14:paraId="6A032533" w14:textId="77777777" w:rsidR="008970A6" w:rsidRPr="00726EDA" w:rsidRDefault="008970A6" w:rsidP="00726EDA">
      <w:pPr>
        <w:spacing w:before="100" w:beforeAutospacing="1" w:after="100" w:afterAutospacing="1" w:line="480" w:lineRule="auto"/>
        <w:jc w:val="both"/>
        <w:rPr>
          <w:rFonts w:ascii="Arial" w:hAnsi="Arial" w:cs="Arial"/>
          <w:sz w:val="22"/>
        </w:rPr>
      </w:pPr>
    </w:p>
    <w:sectPr w:rsidR="008970A6" w:rsidRPr="00726EDA" w:rsidSect="00D63BA2">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A1A32" w14:textId="77777777" w:rsidR="00A94E07" w:rsidRDefault="00A94E07" w:rsidP="00865D28">
      <w:pPr>
        <w:spacing w:after="0" w:line="240" w:lineRule="auto"/>
      </w:pPr>
      <w:r>
        <w:separator/>
      </w:r>
    </w:p>
  </w:endnote>
  <w:endnote w:type="continuationSeparator" w:id="0">
    <w:p w14:paraId="76F5DA8D" w14:textId="77777777" w:rsidR="00A94E07" w:rsidRDefault="00A94E07" w:rsidP="00865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653170"/>
      <w:docPartObj>
        <w:docPartGallery w:val="Page Numbers (Bottom of Page)"/>
        <w:docPartUnique/>
      </w:docPartObj>
    </w:sdtPr>
    <w:sdtEndPr/>
    <w:sdtContent>
      <w:p w14:paraId="7AD6DBAD" w14:textId="4564EBC4" w:rsidR="00865D28" w:rsidRDefault="00865D28">
        <w:pPr>
          <w:pStyle w:val="Footer"/>
          <w:jc w:val="right"/>
        </w:pPr>
        <w:r>
          <w:fldChar w:fldCharType="begin"/>
        </w:r>
        <w:r>
          <w:instrText>PAGE   \* MERGEFORMAT</w:instrText>
        </w:r>
        <w:r>
          <w:fldChar w:fldCharType="separate"/>
        </w:r>
        <w:r>
          <w:t>2</w:t>
        </w:r>
        <w:r>
          <w:fldChar w:fldCharType="end"/>
        </w:r>
      </w:p>
    </w:sdtContent>
  </w:sdt>
  <w:p w14:paraId="79061250" w14:textId="77777777" w:rsidR="00865D28" w:rsidRDefault="00865D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7CE83" w14:textId="77777777" w:rsidR="00A94E07" w:rsidRDefault="00A94E07" w:rsidP="00865D28">
      <w:pPr>
        <w:spacing w:after="0" w:line="240" w:lineRule="auto"/>
      </w:pPr>
      <w:r>
        <w:separator/>
      </w:r>
    </w:p>
  </w:footnote>
  <w:footnote w:type="continuationSeparator" w:id="0">
    <w:p w14:paraId="4C03D47F" w14:textId="77777777" w:rsidR="00A94E07" w:rsidRDefault="00A94E07" w:rsidP="00865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27AFB"/>
    <w:multiLevelType w:val="multilevel"/>
    <w:tmpl w:val="6FDEEFA8"/>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23871B66"/>
    <w:multiLevelType w:val="hybridMultilevel"/>
    <w:tmpl w:val="9142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EA01C2"/>
    <w:multiLevelType w:val="hybridMultilevel"/>
    <w:tmpl w:val="9A345654"/>
    <w:lvl w:ilvl="0" w:tplc="3EDCFD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913327">
    <w:abstractNumId w:val="0"/>
  </w:num>
  <w:num w:numId="2" w16cid:durableId="1993292984">
    <w:abstractNumId w:val="1"/>
  </w:num>
  <w:num w:numId="3" w16cid:durableId="7437201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0A6"/>
    <w:rsid w:val="00000694"/>
    <w:rsid w:val="00004224"/>
    <w:rsid w:val="00024154"/>
    <w:rsid w:val="00042325"/>
    <w:rsid w:val="00067C35"/>
    <w:rsid w:val="000C542A"/>
    <w:rsid w:val="000D3E55"/>
    <w:rsid w:val="000F41E5"/>
    <w:rsid w:val="001227B6"/>
    <w:rsid w:val="001271CA"/>
    <w:rsid w:val="0015760B"/>
    <w:rsid w:val="001A65AC"/>
    <w:rsid w:val="001B262F"/>
    <w:rsid w:val="001B3611"/>
    <w:rsid w:val="001B7EB2"/>
    <w:rsid w:val="001C1A5C"/>
    <w:rsid w:val="00204C0B"/>
    <w:rsid w:val="00205775"/>
    <w:rsid w:val="002338A4"/>
    <w:rsid w:val="00235A74"/>
    <w:rsid w:val="00247DE9"/>
    <w:rsid w:val="0027459A"/>
    <w:rsid w:val="002D2D52"/>
    <w:rsid w:val="002D3C96"/>
    <w:rsid w:val="002F032B"/>
    <w:rsid w:val="002F318A"/>
    <w:rsid w:val="002F7ED0"/>
    <w:rsid w:val="00362E96"/>
    <w:rsid w:val="00375A3E"/>
    <w:rsid w:val="003902AD"/>
    <w:rsid w:val="003F074A"/>
    <w:rsid w:val="00410D44"/>
    <w:rsid w:val="00444597"/>
    <w:rsid w:val="00452A36"/>
    <w:rsid w:val="0046356C"/>
    <w:rsid w:val="004C02B3"/>
    <w:rsid w:val="00520371"/>
    <w:rsid w:val="00524979"/>
    <w:rsid w:val="005316FB"/>
    <w:rsid w:val="0054553F"/>
    <w:rsid w:val="005537EA"/>
    <w:rsid w:val="00563CE7"/>
    <w:rsid w:val="005B24A0"/>
    <w:rsid w:val="005B3D21"/>
    <w:rsid w:val="005D4FFF"/>
    <w:rsid w:val="005F65E9"/>
    <w:rsid w:val="00603F69"/>
    <w:rsid w:val="006151F9"/>
    <w:rsid w:val="00616D2D"/>
    <w:rsid w:val="00630CFE"/>
    <w:rsid w:val="00635D1C"/>
    <w:rsid w:val="006528B5"/>
    <w:rsid w:val="006922CD"/>
    <w:rsid w:val="006A7274"/>
    <w:rsid w:val="006C3E32"/>
    <w:rsid w:val="006D47F6"/>
    <w:rsid w:val="007241DC"/>
    <w:rsid w:val="00726EDA"/>
    <w:rsid w:val="00744859"/>
    <w:rsid w:val="00746AA9"/>
    <w:rsid w:val="00753EBE"/>
    <w:rsid w:val="00771FEE"/>
    <w:rsid w:val="007966E6"/>
    <w:rsid w:val="007A28AD"/>
    <w:rsid w:val="007C40B6"/>
    <w:rsid w:val="007D6F87"/>
    <w:rsid w:val="00804FE3"/>
    <w:rsid w:val="00816F31"/>
    <w:rsid w:val="00820C5A"/>
    <w:rsid w:val="00845C9A"/>
    <w:rsid w:val="00846A07"/>
    <w:rsid w:val="00865D28"/>
    <w:rsid w:val="00871AC3"/>
    <w:rsid w:val="00872B71"/>
    <w:rsid w:val="008970A6"/>
    <w:rsid w:val="008C05B6"/>
    <w:rsid w:val="008C397B"/>
    <w:rsid w:val="008E695D"/>
    <w:rsid w:val="008F5D84"/>
    <w:rsid w:val="0091041A"/>
    <w:rsid w:val="0091297C"/>
    <w:rsid w:val="009221F9"/>
    <w:rsid w:val="00951341"/>
    <w:rsid w:val="0096060E"/>
    <w:rsid w:val="00991E3C"/>
    <w:rsid w:val="00993B82"/>
    <w:rsid w:val="009A5697"/>
    <w:rsid w:val="009A5966"/>
    <w:rsid w:val="009D719E"/>
    <w:rsid w:val="009F2742"/>
    <w:rsid w:val="00A25EBA"/>
    <w:rsid w:val="00A43C83"/>
    <w:rsid w:val="00A94E07"/>
    <w:rsid w:val="00AA51E9"/>
    <w:rsid w:val="00AA5BC7"/>
    <w:rsid w:val="00AC440A"/>
    <w:rsid w:val="00B365F6"/>
    <w:rsid w:val="00B40CF4"/>
    <w:rsid w:val="00B4251D"/>
    <w:rsid w:val="00B5283C"/>
    <w:rsid w:val="00B736C6"/>
    <w:rsid w:val="00B83ADE"/>
    <w:rsid w:val="00B857C7"/>
    <w:rsid w:val="00B9511E"/>
    <w:rsid w:val="00BC32A1"/>
    <w:rsid w:val="00BC5DD2"/>
    <w:rsid w:val="00C167FF"/>
    <w:rsid w:val="00C52782"/>
    <w:rsid w:val="00C664E3"/>
    <w:rsid w:val="00CD0D89"/>
    <w:rsid w:val="00CD5608"/>
    <w:rsid w:val="00D0189C"/>
    <w:rsid w:val="00D11E87"/>
    <w:rsid w:val="00D34004"/>
    <w:rsid w:val="00D546BD"/>
    <w:rsid w:val="00D57EF9"/>
    <w:rsid w:val="00D63BA2"/>
    <w:rsid w:val="00D85928"/>
    <w:rsid w:val="00D91089"/>
    <w:rsid w:val="00D920E1"/>
    <w:rsid w:val="00D92EBF"/>
    <w:rsid w:val="00DA0B20"/>
    <w:rsid w:val="00DA18A0"/>
    <w:rsid w:val="00DB6BA0"/>
    <w:rsid w:val="00DD12AE"/>
    <w:rsid w:val="00DD2DC0"/>
    <w:rsid w:val="00E01E50"/>
    <w:rsid w:val="00E24685"/>
    <w:rsid w:val="00E361ED"/>
    <w:rsid w:val="00E56BE2"/>
    <w:rsid w:val="00E718AA"/>
    <w:rsid w:val="00E815E7"/>
    <w:rsid w:val="00E8513F"/>
    <w:rsid w:val="00EA57CC"/>
    <w:rsid w:val="00EB043F"/>
    <w:rsid w:val="00F01AB1"/>
    <w:rsid w:val="00F20CA0"/>
    <w:rsid w:val="00F22422"/>
    <w:rsid w:val="00F34880"/>
    <w:rsid w:val="00F5525C"/>
    <w:rsid w:val="00F77C0A"/>
    <w:rsid w:val="00F9519D"/>
    <w:rsid w:val="00FA53D0"/>
    <w:rsid w:val="00FB6ECD"/>
    <w:rsid w:val="00FC7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B8E4B"/>
  <w15:chartTrackingRefBased/>
  <w15:docId w15:val="{BBA1DC31-1A20-439B-8AA4-7B990E7D5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0A6"/>
    <w:rPr>
      <w:rFonts w:ascii="Times New Roman" w:hAnsi="Times New Roman"/>
      <w:kern w:val="0"/>
      <w:sz w:val="24"/>
      <w14:ligatures w14:val="none"/>
    </w:rPr>
  </w:style>
  <w:style w:type="paragraph" w:styleId="Heading1">
    <w:name w:val="heading 1"/>
    <w:basedOn w:val="Normal"/>
    <w:next w:val="Normal"/>
    <w:link w:val="Heading1Char"/>
    <w:uiPriority w:val="9"/>
    <w:qFormat/>
    <w:rsid w:val="00897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7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7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7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7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7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7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7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7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7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7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0A6"/>
    <w:rPr>
      <w:rFonts w:eastAsiaTheme="majorEastAsia" w:cstheme="majorBidi"/>
      <w:color w:val="272727" w:themeColor="text1" w:themeTint="D8"/>
    </w:rPr>
  </w:style>
  <w:style w:type="paragraph" w:styleId="Title">
    <w:name w:val="Title"/>
    <w:basedOn w:val="Normal"/>
    <w:next w:val="Normal"/>
    <w:link w:val="TitleChar"/>
    <w:uiPriority w:val="10"/>
    <w:qFormat/>
    <w:rsid w:val="00897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0A6"/>
    <w:pPr>
      <w:spacing w:before="160"/>
      <w:jc w:val="center"/>
    </w:pPr>
    <w:rPr>
      <w:i/>
      <w:iCs/>
      <w:color w:val="404040" w:themeColor="text1" w:themeTint="BF"/>
    </w:rPr>
  </w:style>
  <w:style w:type="character" w:customStyle="1" w:styleId="QuoteChar">
    <w:name w:val="Quote Char"/>
    <w:basedOn w:val="DefaultParagraphFont"/>
    <w:link w:val="Quote"/>
    <w:uiPriority w:val="29"/>
    <w:rsid w:val="008970A6"/>
    <w:rPr>
      <w:i/>
      <w:iCs/>
      <w:color w:val="404040" w:themeColor="text1" w:themeTint="BF"/>
    </w:rPr>
  </w:style>
  <w:style w:type="paragraph" w:styleId="ListParagraph">
    <w:name w:val="List Paragraph"/>
    <w:basedOn w:val="Normal"/>
    <w:uiPriority w:val="34"/>
    <w:qFormat/>
    <w:rsid w:val="008970A6"/>
    <w:pPr>
      <w:ind w:left="720"/>
      <w:contextualSpacing/>
    </w:pPr>
  </w:style>
  <w:style w:type="character" w:styleId="IntenseEmphasis">
    <w:name w:val="Intense Emphasis"/>
    <w:basedOn w:val="DefaultParagraphFont"/>
    <w:uiPriority w:val="21"/>
    <w:qFormat/>
    <w:rsid w:val="008970A6"/>
    <w:rPr>
      <w:i/>
      <w:iCs/>
      <w:color w:val="0F4761" w:themeColor="accent1" w:themeShade="BF"/>
    </w:rPr>
  </w:style>
  <w:style w:type="paragraph" w:styleId="IntenseQuote">
    <w:name w:val="Intense Quote"/>
    <w:basedOn w:val="Normal"/>
    <w:next w:val="Normal"/>
    <w:link w:val="IntenseQuoteChar"/>
    <w:uiPriority w:val="30"/>
    <w:qFormat/>
    <w:rsid w:val="00897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70A6"/>
    <w:rPr>
      <w:i/>
      <w:iCs/>
      <w:color w:val="0F4761" w:themeColor="accent1" w:themeShade="BF"/>
    </w:rPr>
  </w:style>
  <w:style w:type="character" w:styleId="IntenseReference">
    <w:name w:val="Intense Reference"/>
    <w:basedOn w:val="DefaultParagraphFont"/>
    <w:uiPriority w:val="32"/>
    <w:qFormat/>
    <w:rsid w:val="008970A6"/>
    <w:rPr>
      <w:b/>
      <w:bCs/>
      <w:smallCaps/>
      <w:color w:val="0F4761" w:themeColor="accent1" w:themeShade="BF"/>
      <w:spacing w:val="5"/>
    </w:rPr>
  </w:style>
  <w:style w:type="paragraph" w:styleId="NormalWeb">
    <w:name w:val="Normal (Web)"/>
    <w:basedOn w:val="Normal"/>
    <w:uiPriority w:val="99"/>
    <w:unhideWhenUsed/>
    <w:rsid w:val="00D92EBF"/>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92EBF"/>
    <w:rPr>
      <w:b/>
      <w:bCs/>
    </w:rPr>
  </w:style>
  <w:style w:type="character" w:styleId="Emphasis">
    <w:name w:val="Emphasis"/>
    <w:basedOn w:val="DefaultParagraphFont"/>
    <w:uiPriority w:val="20"/>
    <w:qFormat/>
    <w:rsid w:val="00D92EBF"/>
    <w:rPr>
      <w:i/>
      <w:iCs/>
    </w:rPr>
  </w:style>
  <w:style w:type="paragraph" w:styleId="BodyText">
    <w:name w:val="Body Text"/>
    <w:basedOn w:val="Normal"/>
    <w:link w:val="BodyTextChar"/>
    <w:uiPriority w:val="1"/>
    <w:semiHidden/>
    <w:unhideWhenUsed/>
    <w:qFormat/>
    <w:rsid w:val="00845C9A"/>
    <w:pPr>
      <w:widowControl w:val="0"/>
      <w:autoSpaceDE w:val="0"/>
      <w:autoSpaceDN w:val="0"/>
      <w:spacing w:after="0" w:line="240" w:lineRule="auto"/>
    </w:pPr>
    <w:rPr>
      <w:rFonts w:ascii="Arial" w:eastAsia="Calibri Light" w:hAnsi="Arial" w:cs="Calibri Light"/>
      <w:sz w:val="22"/>
      <w:lang w:eastAsia="en-GB" w:bidi="en-GB"/>
    </w:rPr>
  </w:style>
  <w:style w:type="character" w:customStyle="1" w:styleId="BodyTextChar">
    <w:name w:val="Body Text Char"/>
    <w:basedOn w:val="DefaultParagraphFont"/>
    <w:link w:val="BodyText"/>
    <w:uiPriority w:val="1"/>
    <w:semiHidden/>
    <w:rsid w:val="00845C9A"/>
    <w:rPr>
      <w:rFonts w:ascii="Arial" w:eastAsia="Calibri Light" w:hAnsi="Arial" w:cs="Calibri Light"/>
      <w:kern w:val="0"/>
      <w:lang w:eastAsia="en-GB" w:bidi="en-GB"/>
      <w14:ligatures w14:val="none"/>
    </w:rPr>
  </w:style>
  <w:style w:type="paragraph" w:styleId="Header">
    <w:name w:val="header"/>
    <w:basedOn w:val="Normal"/>
    <w:link w:val="HeaderChar"/>
    <w:uiPriority w:val="99"/>
    <w:unhideWhenUsed/>
    <w:rsid w:val="00865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D28"/>
    <w:rPr>
      <w:rFonts w:ascii="Times New Roman" w:hAnsi="Times New Roman"/>
      <w:kern w:val="0"/>
      <w:sz w:val="24"/>
      <w14:ligatures w14:val="none"/>
    </w:rPr>
  </w:style>
  <w:style w:type="paragraph" w:styleId="Footer">
    <w:name w:val="footer"/>
    <w:basedOn w:val="Normal"/>
    <w:link w:val="FooterChar"/>
    <w:uiPriority w:val="99"/>
    <w:unhideWhenUsed/>
    <w:rsid w:val="00865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D28"/>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63</Pages>
  <Words>13615</Words>
  <Characters>77608</Characters>
  <Application>Microsoft Office Word</Application>
  <DocSecurity>0</DocSecurity>
  <Lines>646</Lines>
  <Paragraphs>182</Paragraphs>
  <ScaleCrop>false</ScaleCrop>
  <Company/>
  <LinksUpToDate>false</LinksUpToDate>
  <CharactersWithSpaces>91041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114</cp:revision>
  <dcterms:created xsi:type="dcterms:W3CDTF">2026-01-25T22:18:00Z</dcterms:created>
  <dcterms:modified xsi:type="dcterms:W3CDTF">2026-03-24T10:39:00Z</dcterms:modified>
</cp:coreProperties>
</file>