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76264" w:rsidRPr="00C76264" w:rsidRDefault="00C76264" w:rsidP="00C76264">
      <w:pPr>
        <w:spacing w:after="0" w:line="240" w:lineRule="auto"/>
        <w:jc w:val="right"/>
        <w:rPr>
          <w:rFonts w:ascii="Arial" w:eastAsia="Times New Roman" w:hAnsi="Arial" w:cs="Arial"/>
          <w:b/>
          <w:sz w:val="28"/>
          <w:szCs w:val="28"/>
          <w:lang w:val="en-GB" w:eastAsia="en-GB"/>
        </w:rPr>
      </w:pPr>
      <w:r w:rsidRPr="00C76264">
        <w:rPr>
          <w:rFonts w:ascii="Arial" w:eastAsia="Times New Roman" w:hAnsi="Arial" w:cs="Arial"/>
          <w:noProof/>
          <w:sz w:val="20"/>
          <w:szCs w:val="20"/>
          <w:lang w:val="en-GB" w:eastAsia="en-GB"/>
        </w:rPr>
        <w:drawing>
          <wp:anchor distT="0" distB="0" distL="114300" distR="114300" simplePos="0" relativeHeight="251659264" behindDoc="0" locked="0" layoutInCell="1" allowOverlap="1" wp14:anchorId="5BFD14C1" wp14:editId="1712150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C76264">
        <w:rPr>
          <w:rFonts w:ascii="Arial" w:eastAsia="Times New Roman" w:hAnsi="Arial" w:cs="Arial"/>
          <w:sz w:val="20"/>
          <w:szCs w:val="20"/>
          <w:lang w:val="en-GB" w:eastAsia="en-GB"/>
        </w:rPr>
        <w:t xml:space="preserve"> </w:t>
      </w:r>
      <w:r w:rsidRPr="00C76264">
        <w:rPr>
          <w:rFonts w:ascii="Arial" w:eastAsia="Times New Roman" w:hAnsi="Arial" w:cs="Arial"/>
          <w:sz w:val="20"/>
          <w:szCs w:val="20"/>
          <w:lang w:val="en-GB" w:eastAsia="en-GB"/>
        </w:rPr>
        <w:br w:type="textWrapping" w:clear="all"/>
      </w:r>
      <w:r w:rsidRPr="00C76264">
        <w:rPr>
          <w:rFonts w:ascii="Arial" w:eastAsia="Times New Roman" w:hAnsi="Arial" w:cs="Arial"/>
          <w:b/>
          <w:sz w:val="28"/>
          <w:szCs w:val="28"/>
          <w:lang w:val="en-GB" w:eastAsia="en-GB"/>
        </w:rPr>
        <w:t>APPENDIX GA36b</w:t>
      </w:r>
    </w:p>
    <w:p w:rsidR="00C76264" w:rsidRPr="00C76264" w:rsidRDefault="00C76264" w:rsidP="00C76264">
      <w:pPr>
        <w:spacing w:after="0" w:line="240" w:lineRule="auto"/>
        <w:rPr>
          <w:rFonts w:ascii="Arial" w:eastAsia="Times New Roman" w:hAnsi="Arial" w:cs="Arial"/>
          <w:sz w:val="20"/>
          <w:szCs w:val="20"/>
          <w:lang w:val="en-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76264" w:rsidRPr="00C76264" w:rsidTr="008C4C3F">
        <w:tc>
          <w:tcPr>
            <w:tcW w:w="9922" w:type="dxa"/>
            <w:shd w:val="clear" w:color="auto" w:fill="C0C0C0"/>
          </w:tcPr>
          <w:p w:rsidR="00C76264" w:rsidRPr="00C76264" w:rsidRDefault="00C76264" w:rsidP="00C76264">
            <w:pPr>
              <w:keepNext/>
              <w:spacing w:before="120" w:after="120" w:line="240" w:lineRule="auto"/>
              <w:jc w:val="center"/>
              <w:outlineLvl w:val="3"/>
              <w:rPr>
                <w:rFonts w:ascii="Arial" w:eastAsia="Times New Roman" w:hAnsi="Arial" w:cs="Arial"/>
                <w:b/>
                <w:sz w:val="40"/>
                <w:szCs w:val="20"/>
                <w:lang w:val="en-GB" w:eastAsia="en-GB"/>
              </w:rPr>
            </w:pPr>
            <w:r w:rsidRPr="00C76264">
              <w:rPr>
                <w:rFonts w:ascii="Arial" w:eastAsia="Times New Roman" w:hAnsi="Arial" w:cs="Arial"/>
                <w:b/>
                <w:sz w:val="40"/>
                <w:szCs w:val="20"/>
                <w:lang w:val="en-GB" w:eastAsia="en-GB"/>
              </w:rPr>
              <w:t xml:space="preserve">LEVEL 5 ASSESSMENT SPECIFICATION </w:t>
            </w:r>
          </w:p>
        </w:tc>
      </w:tr>
    </w:tbl>
    <w:p w:rsidR="00C76264" w:rsidRPr="00C76264" w:rsidRDefault="00C76264" w:rsidP="00C76264">
      <w:pPr>
        <w:spacing w:after="0" w:line="240" w:lineRule="auto"/>
        <w:jc w:val="center"/>
        <w:rPr>
          <w:rFonts w:ascii="Arial" w:eastAsia="Times New Roman" w:hAnsi="Arial" w:cs="Arial"/>
          <w:b/>
          <w:i/>
          <w:sz w:val="32"/>
          <w:szCs w:val="20"/>
          <w:lang w:val="en-GB" w:eastAsia="en-GB"/>
        </w:rPr>
      </w:pPr>
    </w:p>
    <w:tbl>
      <w:tblPr>
        <w:tblW w:w="992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76264" w:rsidRPr="00C76264" w:rsidTr="00C76264">
        <w:tc>
          <w:tcPr>
            <w:tcW w:w="2093" w:type="dxa"/>
            <w:shd w:val="pct15" w:color="auto" w:fill="auto"/>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Student name:</w:t>
            </w:r>
          </w:p>
        </w:tc>
        <w:tc>
          <w:tcPr>
            <w:tcW w:w="3293" w:type="dxa"/>
          </w:tcPr>
          <w:p w:rsidR="00C76264" w:rsidRPr="00C76264" w:rsidRDefault="00C76264" w:rsidP="00C76264">
            <w:pPr>
              <w:spacing w:before="120" w:after="120" w:line="240" w:lineRule="auto"/>
              <w:jc w:val="both"/>
              <w:rPr>
                <w:rFonts w:ascii="Arial" w:eastAsia="Times New Roman" w:hAnsi="Arial" w:cs="Arial"/>
                <w:b/>
                <w:lang w:val="en-GB" w:eastAsia="en-GB"/>
              </w:rPr>
            </w:pPr>
            <w:r>
              <w:rPr>
                <w:rFonts w:ascii="Arial" w:eastAsia="Times New Roman" w:hAnsi="Arial" w:cs="Arial"/>
                <w:b/>
                <w:lang w:val="en-GB" w:eastAsia="en-GB"/>
              </w:rPr>
              <w:t>NUR ANISAH KHAIRIZAN</w:t>
            </w:r>
          </w:p>
        </w:tc>
        <w:tc>
          <w:tcPr>
            <w:tcW w:w="2268" w:type="dxa"/>
            <w:shd w:val="clear" w:color="auto" w:fill="D9D9D9"/>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Student ID number:</w:t>
            </w:r>
          </w:p>
        </w:tc>
        <w:tc>
          <w:tcPr>
            <w:tcW w:w="2268" w:type="dxa"/>
          </w:tcPr>
          <w:p w:rsidR="00C76264" w:rsidRPr="00C76264" w:rsidRDefault="00C76264" w:rsidP="00C76264">
            <w:pPr>
              <w:spacing w:before="120" w:after="120" w:line="240" w:lineRule="auto"/>
              <w:jc w:val="both"/>
              <w:rPr>
                <w:rFonts w:ascii="Arial" w:eastAsia="Times New Roman" w:hAnsi="Arial" w:cs="Arial"/>
                <w:b/>
                <w:lang w:val="en-GB" w:eastAsia="en-GB"/>
              </w:rPr>
            </w:pPr>
            <w:r>
              <w:rPr>
                <w:rFonts w:ascii="Arial" w:eastAsia="Times New Roman" w:hAnsi="Arial" w:cs="Arial"/>
                <w:b/>
                <w:lang w:val="en-GB" w:eastAsia="en-GB"/>
              </w:rPr>
              <w:t>2225980</w:t>
            </w:r>
          </w:p>
        </w:tc>
      </w:tr>
      <w:tr w:rsidR="00C76264" w:rsidRPr="00C76264" w:rsidTr="00C76264">
        <w:tc>
          <w:tcPr>
            <w:tcW w:w="2093" w:type="dxa"/>
            <w:shd w:val="pct15" w:color="auto" w:fill="auto"/>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Programme:</w:t>
            </w:r>
          </w:p>
        </w:tc>
        <w:tc>
          <w:tcPr>
            <w:tcW w:w="7829" w:type="dxa"/>
            <w:gridSpan w:val="3"/>
          </w:tcPr>
          <w:p w:rsidR="00C76264" w:rsidRPr="00C76264" w:rsidRDefault="00C76264" w:rsidP="00C76264">
            <w:pPr>
              <w:spacing w:before="120" w:after="120" w:line="240" w:lineRule="auto"/>
              <w:ind w:left="-48"/>
              <w:jc w:val="both"/>
              <w:rPr>
                <w:rFonts w:ascii="Arial" w:eastAsia="Times New Roman" w:hAnsi="Arial" w:cs="Arial"/>
                <w:b/>
                <w:lang w:val="en-GB" w:eastAsia="en-GB"/>
              </w:rPr>
            </w:pPr>
            <w:r w:rsidRPr="00C76264">
              <w:rPr>
                <w:rFonts w:ascii="Arial" w:eastAsia="Times New Roman" w:hAnsi="Arial" w:cs="Arial"/>
                <w:b/>
                <w:lang w:val="en-GB" w:eastAsia="en-GB"/>
              </w:rPr>
              <w:t>Law Portfolio</w:t>
            </w:r>
          </w:p>
        </w:tc>
      </w:tr>
      <w:tr w:rsidR="00C76264" w:rsidRPr="00C76264" w:rsidTr="00C76264">
        <w:tc>
          <w:tcPr>
            <w:tcW w:w="2093" w:type="dxa"/>
            <w:shd w:val="pct15" w:color="auto" w:fill="auto"/>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Module:</w:t>
            </w:r>
          </w:p>
        </w:tc>
        <w:tc>
          <w:tcPr>
            <w:tcW w:w="7829" w:type="dxa"/>
            <w:gridSpan w:val="3"/>
            <w:shd w:val="clear" w:color="auto" w:fill="auto"/>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Contract law</w:t>
            </w:r>
          </w:p>
        </w:tc>
      </w:tr>
      <w:tr w:rsidR="00C76264" w:rsidRPr="00C76264" w:rsidTr="00C76264">
        <w:tc>
          <w:tcPr>
            <w:tcW w:w="2093" w:type="dxa"/>
            <w:shd w:val="pct15" w:color="auto" w:fill="auto"/>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Module code:</w:t>
            </w:r>
          </w:p>
        </w:tc>
        <w:tc>
          <w:tcPr>
            <w:tcW w:w="3293" w:type="dxa"/>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BMLW5009</w:t>
            </w:r>
          </w:p>
        </w:tc>
        <w:tc>
          <w:tcPr>
            <w:tcW w:w="2268" w:type="dxa"/>
            <w:shd w:val="clear" w:color="auto" w:fill="D9D9D9"/>
          </w:tcPr>
          <w:p w:rsidR="00C76264" w:rsidRPr="00C76264" w:rsidRDefault="00C76264" w:rsidP="00C76264">
            <w:pPr>
              <w:keepNext/>
              <w:spacing w:after="0" w:line="240" w:lineRule="auto"/>
              <w:jc w:val="both"/>
              <w:outlineLvl w:val="1"/>
              <w:rPr>
                <w:rFonts w:ascii="Arial" w:eastAsia="Times New Roman" w:hAnsi="Arial" w:cs="Arial"/>
                <w:b/>
                <w:lang w:val="en-GB" w:eastAsia="en-GB"/>
              </w:rPr>
            </w:pPr>
            <w:r w:rsidRPr="00C76264">
              <w:rPr>
                <w:rFonts w:ascii="Arial" w:eastAsia="Times New Roman" w:hAnsi="Arial" w:cs="Arial"/>
                <w:b/>
                <w:lang w:val="en-GB" w:eastAsia="en-GB"/>
              </w:rPr>
              <w:t>Contribution to Overall Module Assessment (%):</w:t>
            </w:r>
          </w:p>
        </w:tc>
        <w:tc>
          <w:tcPr>
            <w:tcW w:w="2268" w:type="dxa"/>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50%</w:t>
            </w:r>
          </w:p>
        </w:tc>
      </w:tr>
      <w:tr w:rsidR="00C76264" w:rsidRPr="00C76264" w:rsidTr="00C76264">
        <w:tc>
          <w:tcPr>
            <w:tcW w:w="2093" w:type="dxa"/>
            <w:shd w:val="pct15" w:color="auto" w:fill="auto"/>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Lecturer:</w:t>
            </w:r>
          </w:p>
        </w:tc>
        <w:tc>
          <w:tcPr>
            <w:tcW w:w="3293" w:type="dxa"/>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Laura Knight</w:t>
            </w:r>
          </w:p>
        </w:tc>
        <w:tc>
          <w:tcPr>
            <w:tcW w:w="2268" w:type="dxa"/>
            <w:shd w:val="clear" w:color="auto" w:fill="D9D9D9"/>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Internal Verifier:</w:t>
            </w:r>
          </w:p>
        </w:tc>
        <w:tc>
          <w:tcPr>
            <w:tcW w:w="2268" w:type="dxa"/>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Sian Turvey</w:t>
            </w:r>
          </w:p>
        </w:tc>
      </w:tr>
      <w:tr w:rsidR="00C76264" w:rsidRPr="00C76264" w:rsidTr="00C76264">
        <w:tc>
          <w:tcPr>
            <w:tcW w:w="2093" w:type="dxa"/>
            <w:shd w:val="pct15" w:color="auto" w:fill="auto"/>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Assignment Title:</w:t>
            </w:r>
          </w:p>
        </w:tc>
        <w:tc>
          <w:tcPr>
            <w:tcW w:w="3293" w:type="dxa"/>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Intention to create legal relations</w:t>
            </w:r>
          </w:p>
        </w:tc>
        <w:tc>
          <w:tcPr>
            <w:tcW w:w="2268" w:type="dxa"/>
            <w:shd w:val="pct15" w:color="auto" w:fill="auto"/>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Word count (or equivalent):</w:t>
            </w:r>
          </w:p>
        </w:tc>
        <w:tc>
          <w:tcPr>
            <w:tcW w:w="2268" w:type="dxa"/>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2000</w:t>
            </w:r>
          </w:p>
        </w:tc>
      </w:tr>
      <w:tr w:rsidR="00C76264" w:rsidRPr="00C76264" w:rsidTr="00C76264">
        <w:tc>
          <w:tcPr>
            <w:tcW w:w="2093" w:type="dxa"/>
            <w:shd w:val="pct15" w:color="auto" w:fill="auto"/>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Submission deadline:</w:t>
            </w:r>
          </w:p>
        </w:tc>
        <w:tc>
          <w:tcPr>
            <w:tcW w:w="3293" w:type="dxa"/>
            <w:shd w:val="clear" w:color="auto" w:fill="auto"/>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23:59 Friday 10</w:t>
            </w:r>
            <w:r w:rsidRPr="00C76264">
              <w:rPr>
                <w:rFonts w:ascii="Arial" w:eastAsia="Times New Roman" w:hAnsi="Arial" w:cs="Arial"/>
                <w:b/>
                <w:vertAlign w:val="superscript"/>
                <w:lang w:val="en-GB" w:eastAsia="en-GB"/>
              </w:rPr>
              <w:t>th</w:t>
            </w:r>
            <w:r w:rsidRPr="00C76264">
              <w:rPr>
                <w:rFonts w:ascii="Arial" w:eastAsia="Times New Roman" w:hAnsi="Arial" w:cs="Arial"/>
                <w:b/>
                <w:lang w:val="en-GB" w:eastAsia="en-GB"/>
              </w:rPr>
              <w:t xml:space="preserve"> March 2023</w:t>
            </w:r>
          </w:p>
        </w:tc>
        <w:tc>
          <w:tcPr>
            <w:tcW w:w="2268" w:type="dxa"/>
            <w:shd w:val="pct15" w:color="auto" w:fill="auto"/>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Return date of provisional marks &amp; written feedback:</w:t>
            </w:r>
          </w:p>
        </w:tc>
        <w:tc>
          <w:tcPr>
            <w:tcW w:w="2268" w:type="dxa"/>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Tuesday 11</w:t>
            </w:r>
            <w:r w:rsidRPr="00C76264">
              <w:rPr>
                <w:rFonts w:ascii="Arial" w:eastAsia="Times New Roman" w:hAnsi="Arial" w:cs="Arial"/>
                <w:b/>
                <w:vertAlign w:val="superscript"/>
                <w:lang w:val="en-GB" w:eastAsia="en-GB"/>
              </w:rPr>
              <w:t>th</w:t>
            </w:r>
            <w:r w:rsidRPr="00C76264">
              <w:rPr>
                <w:rFonts w:ascii="Arial" w:eastAsia="Times New Roman" w:hAnsi="Arial" w:cs="Arial"/>
                <w:b/>
                <w:lang w:val="en-GB" w:eastAsia="en-GB"/>
              </w:rPr>
              <w:t xml:space="preserve"> April 2023</w:t>
            </w:r>
          </w:p>
        </w:tc>
      </w:tr>
      <w:tr w:rsidR="00C76264" w:rsidRPr="00C76264" w:rsidTr="00C76264">
        <w:tc>
          <w:tcPr>
            <w:tcW w:w="2093" w:type="dxa"/>
            <w:shd w:val="pct15" w:color="auto" w:fill="auto"/>
          </w:tcPr>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Submission method:</w:t>
            </w:r>
          </w:p>
        </w:tc>
        <w:tc>
          <w:tcPr>
            <w:tcW w:w="7829" w:type="dxa"/>
            <w:gridSpan w:val="3"/>
            <w:shd w:val="clear" w:color="auto" w:fill="auto"/>
          </w:tcPr>
          <w:p w:rsidR="00C76264" w:rsidRPr="00C76264" w:rsidRDefault="00C76264" w:rsidP="00C76264">
            <w:pPr>
              <w:spacing w:after="0" w:line="240" w:lineRule="auto"/>
              <w:rPr>
                <w:rFonts w:ascii="Arial" w:eastAsia="Times New Roman" w:hAnsi="Arial" w:cs="Arial"/>
                <w:lang w:val="en-GB" w:eastAsia="en-GB"/>
              </w:rPr>
            </w:pPr>
            <w:r w:rsidRPr="00C76264">
              <w:rPr>
                <w:rFonts w:ascii="Arial" w:eastAsia="Times New Roman" w:hAnsi="Arial" w:cs="Arial"/>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 xml:space="preserve">Alternative submission method (if applicable): </w:t>
            </w:r>
          </w:p>
          <w:p w:rsidR="00C76264" w:rsidRPr="00C76264" w:rsidRDefault="00C76264" w:rsidP="00C76264">
            <w:pPr>
              <w:spacing w:before="120" w:after="120" w:line="240" w:lineRule="auto"/>
              <w:jc w:val="both"/>
              <w:rPr>
                <w:rFonts w:ascii="Arial" w:eastAsia="Times New Roman" w:hAnsi="Arial" w:cs="Arial"/>
                <w:b/>
                <w:lang w:val="en-GB" w:eastAsia="en-GB"/>
              </w:rPr>
            </w:pPr>
            <w:r w:rsidRPr="00C76264">
              <w:rPr>
                <w:rFonts w:ascii="Arial" w:eastAsia="Times New Roman" w:hAnsi="Arial" w:cs="Arial"/>
                <w:b/>
                <w:lang w:val="en-GB" w:eastAsia="en-GB"/>
              </w:rPr>
              <w:t xml:space="preserve">Late submission of the assessment will result in a late penalty mark.  </w:t>
            </w:r>
            <w:r w:rsidRPr="00C76264">
              <w:rPr>
                <w:rFonts w:ascii="Arial" w:eastAsia="Times New Roman" w:hAnsi="Arial" w:cs="Arial"/>
                <w:lang w:val="en-GB" w:eastAsia="en-GB"/>
              </w:rPr>
              <w:t>Penalties for late submission: Up to one week late, maximum mark of 40%.  Over one week late, 0%.  Only the Extenuating Circumstances Panel may approve a change to submission dates.</w:t>
            </w:r>
          </w:p>
        </w:tc>
      </w:tr>
      <w:tr w:rsidR="00C76264" w:rsidRPr="00C76264" w:rsidTr="00C76264">
        <w:tc>
          <w:tcPr>
            <w:tcW w:w="2093" w:type="dxa"/>
            <w:shd w:val="pct15" w:color="auto" w:fill="auto"/>
          </w:tcPr>
          <w:p w:rsidR="00C76264" w:rsidRPr="00C76264" w:rsidRDefault="00C76264" w:rsidP="00C76264">
            <w:pPr>
              <w:spacing w:before="120" w:after="120" w:line="240" w:lineRule="auto"/>
              <w:rPr>
                <w:rFonts w:ascii="Arial" w:eastAsia="Times New Roman" w:hAnsi="Arial" w:cs="Arial"/>
                <w:b/>
                <w:lang w:val="en-GB" w:eastAsia="en-GB"/>
              </w:rPr>
            </w:pPr>
            <w:r w:rsidRPr="00C76264">
              <w:rPr>
                <w:rFonts w:ascii="Arial" w:eastAsia="Times New Roman" w:hAnsi="Arial" w:cs="Arial"/>
                <w:b/>
                <w:lang w:val="en-GB" w:eastAsia="en-GB"/>
              </w:rPr>
              <w:t>Academic honesty / referencing:</w:t>
            </w:r>
          </w:p>
        </w:tc>
        <w:tc>
          <w:tcPr>
            <w:tcW w:w="7829" w:type="dxa"/>
            <w:gridSpan w:val="3"/>
            <w:shd w:val="clear" w:color="auto" w:fill="auto"/>
          </w:tcPr>
          <w:p w:rsidR="00C76264" w:rsidRPr="00C76264" w:rsidRDefault="00C76264" w:rsidP="00C76264">
            <w:pPr>
              <w:spacing w:before="120" w:after="120" w:line="240" w:lineRule="auto"/>
              <w:jc w:val="both"/>
              <w:rPr>
                <w:rFonts w:ascii="Arial" w:eastAsia="Times New Roman" w:hAnsi="Arial" w:cs="Arial"/>
                <w:lang w:val="en-GB" w:eastAsia="en-GB"/>
              </w:rPr>
            </w:pPr>
            <w:r w:rsidRPr="00C76264">
              <w:rPr>
                <w:rFonts w:ascii="Arial" w:eastAsia="Times New Roman" w:hAnsi="Arial" w:cs="Arial"/>
                <w:lang w:val="en-GB" w:eastAsia="en-GB"/>
              </w:rPr>
              <w:t xml:space="preserve">Academic honesty is required. In the main body of your </w:t>
            </w:r>
            <w:proofErr w:type="gramStart"/>
            <w:r w:rsidRPr="00C76264">
              <w:rPr>
                <w:rFonts w:ascii="Arial" w:eastAsia="Times New Roman" w:hAnsi="Arial" w:cs="Arial"/>
                <w:lang w:val="en-GB" w:eastAsia="en-GB"/>
              </w:rPr>
              <w:t>submission</w:t>
            </w:r>
            <w:proofErr w:type="gramEnd"/>
            <w:r w:rsidRPr="00C76264">
              <w:rPr>
                <w:rFonts w:ascii="Arial" w:eastAsia="Times New Roman" w:hAnsi="Arial" w:cs="Arial"/>
                <w:lang w:val="en-GB" w:eastAsia="en-GB"/>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rsidR="00C76264" w:rsidRPr="00C76264" w:rsidRDefault="00C76264" w:rsidP="00C76264">
      <w:pPr>
        <w:spacing w:after="0" w:line="240" w:lineRule="auto"/>
        <w:rPr>
          <w:rFonts w:ascii="Arial" w:eastAsia="Times New Roman" w:hAnsi="Arial" w:cs="Arial"/>
          <w:sz w:val="32"/>
          <w:szCs w:val="20"/>
          <w:lang w:val="en-GB" w:eastAsia="en-GB"/>
        </w:rPr>
      </w:pPr>
    </w:p>
    <w:tbl>
      <w:tblPr>
        <w:tblpPr w:leftFromText="180" w:rightFromText="180" w:vertAnchor="text" w:horzAnchor="margin" w:tblpXSpec="center" w:tblpY="15"/>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76264" w:rsidRPr="00C76264" w:rsidTr="008C4C3F">
        <w:tc>
          <w:tcPr>
            <w:tcW w:w="9747" w:type="dxa"/>
            <w:shd w:val="pct10" w:color="auto" w:fill="auto"/>
          </w:tcPr>
          <w:p w:rsidR="00C76264" w:rsidRPr="00C76264" w:rsidRDefault="00C76264" w:rsidP="00C76264">
            <w:pPr>
              <w:spacing w:after="0" w:line="240" w:lineRule="auto"/>
              <w:rPr>
                <w:rFonts w:ascii="Arial" w:eastAsia="Times New Roman" w:hAnsi="Arial" w:cs="Arial"/>
                <w:b/>
                <w:lang w:val="en-GB" w:eastAsia="en-GB"/>
              </w:rPr>
            </w:pPr>
            <w:r w:rsidRPr="00C76264">
              <w:rPr>
                <w:rFonts w:ascii="Arial" w:eastAsia="Times New Roman" w:hAnsi="Arial" w:cs="Arial"/>
                <w:b/>
                <w:lang w:val="en-GB" w:eastAsia="en-GB"/>
              </w:rPr>
              <w:t xml:space="preserve">Module Learning Outcomes </w:t>
            </w:r>
          </w:p>
          <w:p w:rsidR="00C76264" w:rsidRPr="00C76264" w:rsidRDefault="00C76264" w:rsidP="00C76264">
            <w:pPr>
              <w:spacing w:after="0" w:line="240" w:lineRule="auto"/>
              <w:rPr>
                <w:rFonts w:ascii="Arial" w:eastAsia="Times New Roman" w:hAnsi="Arial" w:cs="Arial"/>
                <w:lang w:val="en-GB" w:eastAsia="en-GB"/>
              </w:rPr>
            </w:pPr>
            <w:r w:rsidRPr="00C76264">
              <w:rPr>
                <w:rFonts w:ascii="Arial" w:eastAsia="Times New Roman" w:hAnsi="Arial" w:cs="Arial"/>
                <w:b/>
                <w:lang w:val="en-GB" w:eastAsia="en-GB"/>
              </w:rPr>
              <w:t>(</w:t>
            </w:r>
            <w:proofErr w:type="gramStart"/>
            <w:r w:rsidRPr="00C76264">
              <w:rPr>
                <w:rFonts w:ascii="Arial" w:eastAsia="Times New Roman" w:hAnsi="Arial" w:cs="Arial"/>
                <w:b/>
                <w:lang w:val="en-GB" w:eastAsia="en-GB"/>
              </w:rPr>
              <w:t>from</w:t>
            </w:r>
            <w:proofErr w:type="gramEnd"/>
            <w:r w:rsidRPr="00C76264">
              <w:rPr>
                <w:rFonts w:ascii="Arial" w:eastAsia="Times New Roman" w:hAnsi="Arial" w:cs="Arial"/>
                <w:b/>
                <w:lang w:val="en-GB" w:eastAsia="en-GB"/>
              </w:rPr>
              <w:t xml:space="preserve"> module syllabus)</w:t>
            </w:r>
          </w:p>
        </w:tc>
      </w:tr>
      <w:tr w:rsidR="00C76264" w:rsidRPr="00C76264" w:rsidTr="008C4C3F">
        <w:tc>
          <w:tcPr>
            <w:tcW w:w="9747" w:type="dxa"/>
          </w:tcPr>
          <w:p w:rsidR="00C76264" w:rsidRPr="00C76264" w:rsidRDefault="00C76264" w:rsidP="00C76264">
            <w:pPr>
              <w:numPr>
                <w:ilvl w:val="0"/>
                <w:numId w:val="2"/>
              </w:numPr>
              <w:spacing w:after="120" w:line="240" w:lineRule="auto"/>
              <w:ind w:left="709"/>
              <w:rPr>
                <w:rFonts w:ascii="Arial" w:eastAsia="Times New Roman" w:hAnsi="Arial" w:cs="Arial"/>
                <w:lang w:val="en-GB" w:eastAsia="en-GB"/>
              </w:rPr>
            </w:pPr>
            <w:r w:rsidRPr="00C76264">
              <w:rPr>
                <w:rFonts w:ascii="Arial" w:eastAsia="Times New Roman" w:hAnsi="Arial" w:cs="Arial"/>
                <w:lang w:val="en-GB" w:eastAsia="en-GB"/>
              </w:rPr>
              <w:t>Demonstrate a critical understanding of the fundamental principles and concepts which underpin contract law and the underlying policy considerations;</w:t>
            </w:r>
          </w:p>
          <w:p w:rsidR="00C76264" w:rsidRPr="00C76264" w:rsidRDefault="00C76264" w:rsidP="00C76264">
            <w:pPr>
              <w:numPr>
                <w:ilvl w:val="0"/>
                <w:numId w:val="2"/>
              </w:numPr>
              <w:spacing w:after="120" w:line="240" w:lineRule="auto"/>
              <w:ind w:left="709"/>
              <w:rPr>
                <w:rFonts w:ascii="Arial" w:eastAsia="Times New Roman" w:hAnsi="Arial" w:cs="Arial"/>
                <w:lang w:val="en-GB" w:eastAsia="en-GB"/>
              </w:rPr>
            </w:pPr>
            <w:r w:rsidRPr="00C76264">
              <w:rPr>
                <w:rFonts w:ascii="Arial" w:eastAsia="Times New Roman" w:hAnsi="Arial" w:cs="Arial"/>
                <w:lang w:val="en-GB" w:eastAsia="en-GB"/>
              </w:rPr>
              <w:t xml:space="preserve">Demonstrate an awareness of the ethical and commercial issues which arise within contract law e.g. the question of the applicability of </w:t>
            </w:r>
            <w:proofErr w:type="spellStart"/>
            <w:r w:rsidRPr="00C76264">
              <w:rPr>
                <w:rFonts w:ascii="Arial" w:eastAsia="Times New Roman" w:hAnsi="Arial" w:cs="Arial"/>
                <w:lang w:val="en-GB" w:eastAsia="en-GB"/>
              </w:rPr>
              <w:t>restitutionary</w:t>
            </w:r>
            <w:proofErr w:type="spellEnd"/>
            <w:r w:rsidRPr="00C76264">
              <w:rPr>
                <w:rFonts w:ascii="Arial" w:eastAsia="Times New Roman" w:hAnsi="Arial" w:cs="Arial"/>
                <w:lang w:val="en-GB" w:eastAsia="en-GB"/>
              </w:rPr>
              <w:t xml:space="preserve"> damages to contractual problems, and the ability to debate these issues in relation to personal beliefs and values.</w:t>
            </w:r>
          </w:p>
          <w:p w:rsidR="00C76264" w:rsidRPr="00C76264" w:rsidRDefault="00C76264" w:rsidP="00C76264">
            <w:pPr>
              <w:numPr>
                <w:ilvl w:val="0"/>
                <w:numId w:val="2"/>
              </w:numPr>
              <w:spacing w:after="0" w:line="276" w:lineRule="auto"/>
              <w:ind w:left="709"/>
              <w:contextualSpacing/>
              <w:rPr>
                <w:rFonts w:ascii="Arial" w:eastAsia="Times New Roman" w:hAnsi="Arial" w:cs="Arial"/>
                <w:lang w:val="en-GB" w:eastAsia="en-GB"/>
              </w:rPr>
            </w:pPr>
            <w:r w:rsidRPr="00C76264">
              <w:rPr>
                <w:rFonts w:ascii="Arial" w:eastAsia="Times New Roman" w:hAnsi="Arial" w:cs="Arial"/>
                <w:lang w:val="en-GB" w:eastAsia="en-GB"/>
              </w:rPr>
              <w:lastRenderedPageBreak/>
              <w:t>Demonstrate a systematic understanding the fundamental legal techniques of reasoning from precedent and interpreting statutes, including knowledge of fact-finding.</w:t>
            </w:r>
          </w:p>
          <w:p w:rsidR="00C76264" w:rsidRPr="00C76264" w:rsidRDefault="00C76264" w:rsidP="00C76264">
            <w:pPr>
              <w:spacing w:after="0" w:line="240" w:lineRule="auto"/>
              <w:rPr>
                <w:rFonts w:ascii="Arial" w:eastAsia="Times New Roman" w:hAnsi="Arial" w:cs="Arial"/>
                <w:lang w:val="en-GB" w:eastAsia="en-GB"/>
              </w:rPr>
            </w:pPr>
          </w:p>
        </w:tc>
      </w:tr>
    </w:tbl>
    <w:p w:rsidR="00C76264" w:rsidRPr="00C76264" w:rsidRDefault="00C76264" w:rsidP="00C76264">
      <w:pPr>
        <w:spacing w:after="0" w:line="240" w:lineRule="auto"/>
        <w:rPr>
          <w:rFonts w:ascii="Arial" w:eastAsia="Times New Roman" w:hAnsi="Arial" w:cs="Arial"/>
          <w:sz w:val="32"/>
          <w:szCs w:val="20"/>
          <w:lang w:val="en-GB" w:eastAsia="en-GB"/>
        </w:rPr>
      </w:pPr>
    </w:p>
    <w:p w:rsidR="00C76264" w:rsidRPr="00C76264" w:rsidRDefault="00C76264" w:rsidP="00C76264">
      <w:pPr>
        <w:spacing w:after="0" w:line="240" w:lineRule="auto"/>
        <w:rPr>
          <w:rFonts w:ascii="Arial" w:eastAsia="Times New Roman" w:hAnsi="Arial" w:cs="Arial"/>
          <w:b/>
          <w:sz w:val="20"/>
          <w:szCs w:val="20"/>
          <w:lang w:val="en-GB" w:eastAsia="en-GB"/>
        </w:rPr>
      </w:pPr>
    </w:p>
    <w:p w:rsidR="00C76264" w:rsidRDefault="00C76264" w:rsidP="00C76264">
      <w:pPr>
        <w:ind w:right="379"/>
        <w:rPr>
          <w:rFonts w:ascii="Times New Roman" w:hAnsi="Times New Roman" w:cs="Times New Roman"/>
          <w:sz w:val="24"/>
          <w:szCs w:val="24"/>
        </w:rPr>
      </w:pPr>
      <w:r>
        <w:rPr>
          <w:rFonts w:ascii="Times New Roman" w:hAnsi="Times New Roman" w:cs="Times New Roman"/>
          <w:sz w:val="24"/>
          <w:szCs w:val="24"/>
        </w:rPr>
        <w:br w:type="page"/>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As a general rule, the obligations of the parties to a contract cannot be enforced by law if the parties have only entered into an agreement. Constant agreements, such as plans to get together for a meal or a social activity, are made daily by human beings. The law will not enforce such an agreement because it is not the parties' intention that it create contractual obligations. If a court has to decide if a person meant to start a legal relationship, it will look at whether a reasonable person would think that the offer made to him was meant to start a legal relationship. As a result, parties must do more than just come up with an agreement on paper if they want to be held to its terms under the law. Consequently, from a legal standpoint, the transaction's formality and the relationship between the parties entering it could be deciding factors. The answer to the question of whether such an intention existed must be arrived at in an objective manner. In the case of Edmonds v. Lawson [2000] 1 WLR 1091, Lord Bingham made the following observation.</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In the area of contract law, the concept of "intention to create legal relations" (ITCLR) is taken into account in three different scenarios.</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1) social/domestic context</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2) The commercial and corporate setting.</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3) Public agencies or organizations that have an impact on issues of public interest context</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In a private or family setting, participants are presumed to lack the intent to make a legally binding agreement until evidence to the contrary is presented. A rebuttable presumption would be that the parties did in fact intend to be bound by the terms of the agreement. In this setting, the parties involved are close friends, relatives, or acquaintances.</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Unless proof to the contrary exists, it is assumed that parties to a commercial or business arrangement intend to create a legally enforceable agreement. If the parties did not intend to be legally bound, this presumption can be rebutted. Contracts between companies, between employers and employees, and in other business settings fall under this category.</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 xml:space="preserve">The difference between these two settings is significant because it contributes to the process of determining whether or not the persons involved meant to create legal responsibilities. It ensures that social agreements, which are typically unofficial and are not meant to establish legal responsibilities, do not give rise to enforceable contracts. This is because the purpose of social agreements is not to create legal obligations. On the opposite hand, it ensures that commercial agreements, which are designed to generate legal duties, are enforceable. </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Agreements between government entities fall under the purview of the idea of intention to create legal relations (ITCLR). Government agencies, local governments, and public utilities are all examples of public bodies that have the legal authority to engage into contracts with either private parties or other public bodies. When deciding whether or not to enforce such contracts, the ITCLR criterion is often decisive.</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In most cases, when a government entity enters into an agreement with a private party or another government entity, it is presumed to have the intent to create a legally binding relationship. This is so due to the fact that governments function in a commercial setting, and because agreements made by governments are typically meant to create binding legal duties.</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The presumption is that the parties did not intend to make a legally enforceable agreement in a social or domestic setting, unless the evidence reveals otherwise. This applies even if the setting is social or domestic. If the parties desire to be legally linked to one another, then this presumption can be disproved. Yet, courts have established a high threshold for refuting this presumption, and it can be difficult to demonstrate that the parties meant to create a legal relationship in a social or domestic arrangement due to the fact that the bar has been set so high.</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 xml:space="preserve">For instance, the presumption established in Balfour v. Balfour that social and domestic agreements between spouses are not intended to create legal relations unless shown otherwise. If the couple had gotten a divorce, the accused would have to pay £30 per monthly in spousal support to the wife. Without consideration, the court ruled that the agreement was not binding because there was no evidence that the parties intended to create legal relations. </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 xml:space="preserve">Applied to Jones V Padavatton [1969] In 1962, Mrs. Jones, a respected member of the community, offered her daughter a monthly stipend if she would agree to leave her job in the United States and begin studying law in England with the goal of becoming a </w:t>
      </w:r>
      <w:r w:rsidR="00720447" w:rsidRPr="000C0BA0">
        <w:rPr>
          <w:rFonts w:ascii="Times New Roman" w:hAnsi="Times New Roman" w:cs="Times New Roman"/>
          <w:sz w:val="24"/>
          <w:szCs w:val="24"/>
        </w:rPr>
        <w:t>barrister. Owing</w:t>
      </w:r>
      <w:r w:rsidRPr="000C0BA0">
        <w:rPr>
          <w:rFonts w:ascii="Times New Roman" w:hAnsi="Times New Roman" w:cs="Times New Roman"/>
          <w:sz w:val="24"/>
          <w:szCs w:val="24"/>
        </w:rPr>
        <w:t xml:space="preserve"> to a lack of affordable housing, Old Mrs. Jones bought her daughter a home in London, where she could live and collect rent from others. Unfortunately, a rift developed in 1967, leading Mrs. Jones to stake her claim on the property even though her daughter had failed to meet even half of her exam requirements. The court ruled that the original study agreement was not meant to create legal duties and was only a family arrangement. It would only be binding for a reasonable period of time, which in this case would be five years. Additionally, the second contract was also treated as a private family matter, with no purpose of giving rise to any legal obligations. As a result, Mrs. Jones was released from any responsibility under the maintenance agreement and was free to take possession of the property. The court further cited the presumption that agreements made within the same household do not indicate an intent to develop legal ties absent contrary evidences</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 xml:space="preserve">In contrast, in Merritt V Merritt, the court decide to rebutted the presumption upon due deliberation, the court determined that the agreement between the erstwhile spouses was not confined to a purely domestic setting. This is because, when parties are in process of separating or separated, it is not possible to rely on the presumption that there is no purpose to establish legal ties. </w:t>
      </w:r>
    </w:p>
    <w:p w:rsidR="007D51D5" w:rsidRPr="000C0BA0" w:rsidRDefault="007D51D5" w:rsidP="000C0BA0">
      <w:pPr>
        <w:spacing w:line="360" w:lineRule="auto"/>
        <w:jc w:val="both"/>
        <w:rPr>
          <w:rStyle w:val="Strong"/>
          <w:rFonts w:ascii="Times New Roman" w:hAnsi="Times New Roman" w:cs="Times New Roman"/>
          <w:b w:val="0"/>
          <w:bCs w:val="0"/>
          <w:color w:val="212529"/>
          <w:sz w:val="24"/>
          <w:szCs w:val="24"/>
          <w:shd w:val="clear" w:color="auto" w:fill="FFFFFF"/>
        </w:rPr>
      </w:pPr>
      <w:r w:rsidRPr="000C0BA0">
        <w:rPr>
          <w:rFonts w:ascii="Times New Roman" w:hAnsi="Times New Roman" w:cs="Times New Roman"/>
          <w:sz w:val="24"/>
          <w:szCs w:val="24"/>
        </w:rPr>
        <w:t xml:space="preserve">In </w:t>
      </w:r>
      <w:r w:rsidRPr="000C0BA0">
        <w:rPr>
          <w:rStyle w:val="Strong"/>
          <w:rFonts w:ascii="Times New Roman" w:hAnsi="Times New Roman" w:cs="Times New Roman"/>
          <w:b w:val="0"/>
          <w:bCs w:val="0"/>
          <w:color w:val="212529"/>
          <w:sz w:val="24"/>
          <w:szCs w:val="24"/>
          <w:shd w:val="clear" w:color="auto" w:fill="FFFFFF"/>
        </w:rPr>
        <w:t>Parker v Clark [1960] 1 WLR 286, even though they have the uncle and nephew relationship. Mr. Parker was Mr. Clark's tenant at the time, and the property in question was a commercial one. The arrangement centred on the rental of the property by Mr. Parker. This leads one to believe that the agreement in question was tied to a business transaction as opposed to a merely domestic one.</w:t>
      </w:r>
    </w:p>
    <w:p w:rsidR="007D51D5" w:rsidRPr="000C0BA0" w:rsidRDefault="007D51D5" w:rsidP="000C0BA0">
      <w:pPr>
        <w:spacing w:line="360" w:lineRule="auto"/>
        <w:jc w:val="both"/>
        <w:rPr>
          <w:rStyle w:val="Strong"/>
          <w:rFonts w:ascii="Times New Roman" w:hAnsi="Times New Roman" w:cs="Times New Roman"/>
          <w:b w:val="0"/>
          <w:bCs w:val="0"/>
          <w:color w:val="212529"/>
          <w:sz w:val="24"/>
          <w:szCs w:val="24"/>
          <w:shd w:val="clear" w:color="auto" w:fill="FFFFFF"/>
        </w:rPr>
      </w:pPr>
      <w:r w:rsidRPr="000C0BA0">
        <w:rPr>
          <w:rStyle w:val="Strong"/>
          <w:rFonts w:ascii="Times New Roman" w:hAnsi="Times New Roman" w:cs="Times New Roman"/>
          <w:b w:val="0"/>
          <w:bCs w:val="0"/>
          <w:color w:val="212529"/>
          <w:sz w:val="24"/>
          <w:szCs w:val="24"/>
          <w:shd w:val="clear" w:color="auto" w:fill="FFFFFF"/>
        </w:rPr>
        <w:t>In Errington v Errington and Woods, the learned Court of Appeal ruled in favour of the defendant, evincing its sagacious and erudite deliberation. While it was undisputed that the defendant and her husband lacked any possessory rights in the subject property, they nevertheless enjoyed the privilege of tenancy by virtue of a contract obligating them to discharge the mortgage payments. Notably, the defendant had the legal entitlement to entertain guests, a right which served to shield her sister from the spectre of eviction. The father proposed a stipulation that the couple could remain in the house as long as they paid the mortgage, and this offer was made unilaterally. Once the couple had commenced making mortgage payments, the court determined that the father, or his estate's representative, could not unilaterally rescind the agreement. This case establishes the principle that, once an offeree has begun accepting an offer by means of performance, the offer cannot be unilaterally withdrawn.</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 xml:space="preserve">In the sphere of commercial or business transactions, an implicit presumption takes root, positing that the parties harbour the necessary volition to enter into a legally binding agreement replete with legal force and effect. This presumption, rooted in the very foundation of the credence that business parties harbour an intention to create enduring and enforceable contractual obligations, acts as a veritable beacon, shining a light on the bedrock of enforceability that underpins commercial transactions. </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For instance, in the case of The Esso Petroleum Co Ltd v Customs and Excise Commissioners [1975]. The court has come to the conclusion that any consumer who purchased more than four gallons of petrol and was offered coins did, in fact, enter into a legally binding contract with the business. The parties had the intention of establishing legal connections. The fact that the consumers bought the required quantity of gasoline demonstrates that they are considerate.</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On the other hand, the consideration was a purchase agreement for the petrol. This indicated that the purchaser had not purchased the coins with 'money consideration' in mind. As a result, the House of Lords came to the conclusion that the transaction in question was not a sale contract; hence, the tax was not relevant.</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In contrast, in Edwards V Skyways In its ruling, the High Court found in favour of the claimant, holding that the defendant's dealings with the pilot's association were imbued with the requisite intention to create legal relations. The court, steeped in the solemnity of its judicial duty, deemed it appropriate to apply the presumption that the defendant intended to be legally bound by the terms of the agreement, given the commercial nature of the transaction.</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Despite the defendant's efforts to challenge the presumption, the court remained unswayed, as the defendant was unable to provide compelling evidence that could effectively rebut the presumption. The court's cogent and astute assessment of the evidence presented before it ultimately led to the finding that the defendant had failed to meet his burden of proof and thus, the presumption of intention to create legal relations prevailed.</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In Rose &amp; Frank v Crompton Brose the esteemed court was faced with a dispute between an English firm and an American firm over a business arrangement involving the sale of paper tissues in the US. The parties signed a new document that contained a clause unequivocally stating that it was not a formal or legal agreement and was not subject to legal jurisdiction. The plaintiff American firm took legal action against the defendant English firm for a breach of contract when the latter refused further deliveries. However, the court, steeped in its astute sense of judicial wisdom, held that the creation of a contract requires a mutual and common intention to enter into legal obligations. In this case, the clause in the document clearly indicated the parties' mutual intention not to enter into legal obligations.</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Thus, the court found that the document was not a legally binding agreement between the parties, and the plaintiff's claim for breach of contract could not be sustained. This ruling highlights the importance of clear and unambiguous language in agreements, as well as the freedom of parties to determine whether their agreement is legally binding or not.</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color w:val="1A1A1A"/>
          <w:sz w:val="24"/>
          <w:szCs w:val="24"/>
          <w:shd w:val="clear" w:color="auto" w:fill="FFFFFF"/>
        </w:rPr>
        <w:t>Agreements stated to be ‘subject to contract’ are also normally not intended to be binding</w:t>
      </w:r>
      <w:r w:rsidRPr="000C0BA0">
        <w:rPr>
          <w:rFonts w:ascii="Times New Roman" w:hAnsi="Times New Roman" w:cs="Times New Roman"/>
          <w:sz w:val="24"/>
          <w:szCs w:val="24"/>
        </w:rPr>
        <w:t xml:space="preserve">. For instance, Regalian Properties Plc v London Docklands Development Corp, the accused landowner had ambitious plans for their property and the claimant proposed to pay £18.5m for a licence to construct on the site. The acquisition of planning permits and market value certifications were accepted "subject to contract" by the defendant, with the contract confirmation delayed while awaiting more architectural designs. Due to a market downturn, negotiations were mutually delayed and the price was later renegotiated. However, negotiations broke down, and no formal agreement was ever made. The claimant subsequently demanded compensation for the costs incurred in preparation for the development that never materialized. The High Court ruled in </w:t>
      </w:r>
      <w:r w:rsidR="00720447" w:rsidRPr="000C0BA0">
        <w:rPr>
          <w:rFonts w:ascii="Times New Roman" w:hAnsi="Times New Roman" w:cs="Times New Roman"/>
          <w:sz w:val="24"/>
          <w:szCs w:val="24"/>
        </w:rPr>
        <w:t>favour</w:t>
      </w:r>
      <w:r w:rsidRPr="000C0BA0">
        <w:rPr>
          <w:rFonts w:ascii="Times New Roman" w:hAnsi="Times New Roman" w:cs="Times New Roman"/>
          <w:sz w:val="24"/>
          <w:szCs w:val="24"/>
        </w:rPr>
        <w:t xml:space="preserve"> of the accused in this case, as the agreements made during discussions were contractual in nature, meaning the claimant was liable for any costs incurred and not entitled to a refund. However, the court found that the lost money was not due to any premature performance of the contract, as the agreements were drafted with the understanding that the claimant had to secure and </w:t>
      </w:r>
      <w:r w:rsidR="00720447" w:rsidRPr="000C0BA0">
        <w:rPr>
          <w:rFonts w:ascii="Times New Roman" w:hAnsi="Times New Roman" w:cs="Times New Roman"/>
          <w:sz w:val="24"/>
          <w:szCs w:val="24"/>
        </w:rPr>
        <w:t>fulfil</w:t>
      </w:r>
      <w:r w:rsidRPr="000C0BA0">
        <w:rPr>
          <w:rFonts w:ascii="Times New Roman" w:hAnsi="Times New Roman" w:cs="Times New Roman"/>
          <w:sz w:val="24"/>
          <w:szCs w:val="24"/>
        </w:rPr>
        <w:t xml:space="preserve"> the contract. The agreements did not assist the accused in any way, and thus, there was no use for quantum meruit. This case highlights how phrases like "subject to contract" can delay or prevent the creation of a binding agreement, as it indicates the parties' lack of intention to form a legally binding agreement before the execution of a written contract by both parties.</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 xml:space="preserve">Notwithstanding, in the event that the parties commence conduct indicative of a contractual relationship, the requisite intent to create a legally binding agreement may well be </w:t>
      </w:r>
      <w:r w:rsidR="00720447" w:rsidRPr="000C0BA0">
        <w:rPr>
          <w:rFonts w:ascii="Times New Roman" w:hAnsi="Times New Roman" w:cs="Times New Roman"/>
          <w:sz w:val="24"/>
          <w:szCs w:val="24"/>
        </w:rPr>
        <w:t>established. In</w:t>
      </w:r>
      <w:r w:rsidRPr="000C0BA0">
        <w:rPr>
          <w:rFonts w:ascii="Times New Roman" w:hAnsi="Times New Roman" w:cs="Times New Roman"/>
          <w:sz w:val="24"/>
          <w:szCs w:val="24"/>
        </w:rPr>
        <w:t xml:space="preserve"> RTS Flexible Systems Ltd v Molkerei Alois Muller GmbH &amp; Co K, the claimant, a supplier of automated machines, began work on manufacturing an automated system for the defendant's factory based on a letter of intent with a long form contract to follow. The letter of intent expired while negotiations on the long form contract continued, and a dispute arose over whether the defendant's performance requirements were met. The claimant sued for the balance of the purchase price, while the defendant counterclaimed for damages. The High Court found that a new contract was formed retrospectively after the letter of intent expired, but the Court of Appeal disagreed, holding that there was no contract. The defendant's appeal to the Supreme Court was successful. The Court examined the communication between the parties in terms of both words and conduct, and objectively concluded that sensible and honest businessmen in the same position intended to enter into a legally binding agreement. Thus, the notion that there was no contract was deemed unconvincing. The determination of whether a contract that is negotiated "subject to contract" and commenced work prior to the final contract being executed depends on the circumstances of the case. In this particular instance, the clear conduct of the parties indicated that they had entered into a binding agreement to waive the "subject to contract" provision.</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 xml:space="preserve">It is conceivable that even in the context of commercial exchanges, the parties may lack the intention to establish legal relations if the negotiations are conducted in an informal and convivial environment. For instance, in the case of </w:t>
      </w:r>
      <w:proofErr w:type="gramStart"/>
      <w:r w:rsidRPr="000C0BA0">
        <w:rPr>
          <w:rFonts w:ascii="Times New Roman" w:hAnsi="Times New Roman" w:cs="Times New Roman"/>
          <w:sz w:val="24"/>
          <w:szCs w:val="24"/>
        </w:rPr>
        <w:t>Blue</w:t>
      </w:r>
      <w:proofErr w:type="gramEnd"/>
      <w:r w:rsidRPr="000C0BA0">
        <w:rPr>
          <w:rFonts w:ascii="Times New Roman" w:hAnsi="Times New Roman" w:cs="Times New Roman"/>
          <w:sz w:val="24"/>
          <w:szCs w:val="24"/>
        </w:rPr>
        <w:t xml:space="preserve"> v Ashley. The court in </w:t>
      </w:r>
      <w:proofErr w:type="gramStart"/>
      <w:r w:rsidRPr="000C0BA0">
        <w:rPr>
          <w:rFonts w:ascii="Times New Roman" w:hAnsi="Times New Roman" w:cs="Times New Roman"/>
          <w:sz w:val="24"/>
          <w:szCs w:val="24"/>
        </w:rPr>
        <w:t>Blue</w:t>
      </w:r>
      <w:proofErr w:type="gramEnd"/>
      <w:r w:rsidRPr="000C0BA0">
        <w:rPr>
          <w:rFonts w:ascii="Times New Roman" w:hAnsi="Times New Roman" w:cs="Times New Roman"/>
          <w:sz w:val="24"/>
          <w:szCs w:val="24"/>
        </w:rPr>
        <w:t xml:space="preserve"> v Ashley [2017] EWHC 1928 (Comm) ultimately ruled in </w:t>
      </w:r>
      <w:r w:rsidR="00720447" w:rsidRPr="000C0BA0">
        <w:rPr>
          <w:rFonts w:ascii="Times New Roman" w:hAnsi="Times New Roman" w:cs="Times New Roman"/>
          <w:sz w:val="24"/>
          <w:szCs w:val="24"/>
        </w:rPr>
        <w:t>favour</w:t>
      </w:r>
      <w:r w:rsidRPr="000C0BA0">
        <w:rPr>
          <w:rFonts w:ascii="Times New Roman" w:hAnsi="Times New Roman" w:cs="Times New Roman"/>
          <w:sz w:val="24"/>
          <w:szCs w:val="24"/>
        </w:rPr>
        <w:t xml:space="preserve"> of Ashley (the defendant), on the basis that there was no legally enforceable agreement in place between the parties. The negotiations were conducted in an informal and convivial atmosphere, with the claimant's staff failing to comport themselves as professional advisors during the course of the discussions. In light of this and other evidence, the court was led to conclude that the parties never intended to establish any formal legal relationships, effectively rebutting the presumption of intention to create legal relations. The court further noted that several material terms had not been agreed upon, including the calculation and timing of the bonus payment, resulting in an absence of certainty and a lack of a valid agreement between the parties.</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Because of the gravity of the issues at stake and the need for formal commitment and accountability, agreements with public organisations or those that touch the public interest are almost always deemed to be legally enforceable. Nonetheless, there are cases in which this assumption can be rebutted. If the agreement is merely a declaration of intent or policy, for example, it may be unenforceable. In addition, the courts may be hesitant to step in and execute the agreement if it involves the exercise of discretionary powers or if it pertains to a political or public interest decision.</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For instance, Robinson v. HM Customs &amp; Excise [2000]. Robinson filed suit against the IRS because he believed they were acting in bad faith by seeking money. There was an unspoken condition in their agreement that the authorities wouldn't seek payment unfairly, and the court determined that the authorities had broken this rule. Robinson was found guilty and given a financial settlement. This case demonstrates the binding legal effect of implied terms in contracts, which serve to safeguard individuals against harassment and discrimination. It was determined in the case of Robinson v. HM Customs &amp; Excise [2000] that Mr. Robinson intended to get into legal relations with the customs officials. This means that a presumption of intent to make a binding agreement exists between the parties. As a general rule of contract law, this presumption is applicable to all contracts, including those with tax agencies.</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Given that Mr. Robinson could sue the customs officials for breach of contract only if the court found that there was an intention to form legal relations, this ruling was crucial. Without the court's finding of a purpose to form legal relations, Mr. Robinson's claim for breach of contract would have been dismissed, and the customs authorities would have been held harmless.</w:t>
      </w:r>
    </w:p>
    <w:p w:rsidR="007D51D5" w:rsidRPr="000C0BA0" w:rsidRDefault="007D51D5"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The plaintiff in Triefus v. Post Office [1957] paid for a postal order from the defendant, but the order never arrived. Even though the plaintiff argued that the defendant owed her a reimbursement for the postal order's fees, the court ruled that the parties never intended to enter into a legally binding relationship. This case demonstrates that agreements with government entities are not always enforceable in court and that the court will consider the parties' purpose when deciding whether or not a formal relationship was intended.</w:t>
      </w:r>
    </w:p>
    <w:p w:rsidR="000B6101" w:rsidRPr="000C0BA0" w:rsidRDefault="00354DED"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 xml:space="preserve">Ultimately, the establishment of a binding legal relationship is an imperative factor that cannot be overlooked in the formation of any contractual agreement. The assessment of the intention to create legal relations is a pivotal consideration in determining the enforceability of a contract. The intent of the parties can be deduced from their </w:t>
      </w:r>
      <w:r w:rsidRPr="000C0BA0">
        <w:rPr>
          <w:rFonts w:ascii="Times New Roman" w:hAnsi="Times New Roman" w:cs="Times New Roman"/>
          <w:sz w:val="24"/>
          <w:szCs w:val="24"/>
        </w:rPr>
        <w:t>behaviour</w:t>
      </w:r>
      <w:r w:rsidRPr="000C0BA0">
        <w:rPr>
          <w:rFonts w:ascii="Times New Roman" w:hAnsi="Times New Roman" w:cs="Times New Roman"/>
          <w:sz w:val="24"/>
          <w:szCs w:val="24"/>
        </w:rPr>
        <w:t>, expressions, and other relevant factors in the surrounding circumstances. The presence of intention is a critical aspect of contract validity, as it creates a legal framework wherein each party assumes certain obligations and gains corresponding rights. Conversely, the absence of such intention means that there is no contract, and therefore, no legally enforceable duties or responsibilities between the parties. It is therefore of utmost importance that the parties' intention to create legal relations be firmly established, to ensure that the provisions of the contract are enforceable in a court of law. Without such a foundation, the law of contracts would be rendered ineffective, and the contractual ties between parties would be subject to ambiguity and uncertainty. In summary, the importance of the intention to create legal relations in the context of contractual agreements cannot be overemphasized, as it serves as the bedrock for the creation of enforceable and legally binding obligations</w:t>
      </w:r>
    </w:p>
    <w:p w:rsidR="000B6101" w:rsidRPr="000C0BA0" w:rsidRDefault="000B6101"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br w:type="page"/>
      </w:r>
    </w:p>
    <w:p w:rsidR="000B6101" w:rsidRPr="000C0BA0" w:rsidRDefault="00A93F14" w:rsidP="000C0BA0">
      <w:pPr>
        <w:spacing w:line="360" w:lineRule="auto"/>
        <w:jc w:val="both"/>
        <w:rPr>
          <w:rFonts w:ascii="Times New Roman" w:hAnsi="Times New Roman" w:cs="Times New Roman"/>
          <w:sz w:val="24"/>
          <w:szCs w:val="24"/>
        </w:rPr>
      </w:pPr>
      <w:r w:rsidRPr="000C0BA0">
        <w:rPr>
          <w:rFonts w:ascii="Times New Roman" w:hAnsi="Times New Roman" w:cs="Times New Roman"/>
          <w:b/>
          <w:bCs/>
          <w:sz w:val="24"/>
          <w:szCs w:val="24"/>
        </w:rPr>
        <w:t>References</w:t>
      </w:r>
      <w:r w:rsidRPr="000C0BA0">
        <w:rPr>
          <w:rFonts w:ascii="Times New Roman" w:hAnsi="Times New Roman" w:cs="Times New Roman"/>
          <w:sz w:val="24"/>
          <w:szCs w:val="24"/>
        </w:rPr>
        <w:br/>
      </w:r>
      <w:r w:rsidR="000B6101" w:rsidRPr="000C0BA0">
        <w:rPr>
          <w:rFonts w:ascii="Times New Roman" w:hAnsi="Times New Roman" w:cs="Times New Roman"/>
          <w:sz w:val="24"/>
          <w:szCs w:val="24"/>
        </w:rPr>
        <w:t>Ahmed, S. (2016). The intention to create legal relations in contract law. International Journal of Business and Social Science, 7(9), 1-10.</w:t>
      </w:r>
    </w:p>
    <w:p w:rsidR="000B6101" w:rsidRPr="000C0BA0" w:rsidRDefault="000B6101"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Riley, D. (2014). Revisiting intention to create legal relations in contract law. Journal of Contract Law, 30(3), 257-276.</w:t>
      </w:r>
    </w:p>
    <w:p w:rsidR="000B6101" w:rsidRPr="000C0BA0" w:rsidRDefault="000B6101"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Almond, P. (2012). The role of intention to create legal relations in contract law: A comparative analysis. International Comparative Law Quarterly, 61(2), 427-456.</w:t>
      </w:r>
    </w:p>
    <w:p w:rsidR="000B6101" w:rsidRPr="000C0BA0" w:rsidRDefault="000B6101"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Todorov, V. (2019). The intention to create legal relations in international commercial contracts. International Business Research Journal, 12(1), 1-16.</w:t>
      </w:r>
    </w:p>
    <w:p w:rsidR="00355D32" w:rsidRPr="000C0BA0" w:rsidRDefault="000B6101"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Kumar, A. (2018). Intention to create legal relations in contract law: A conceptual analysis. International Journal of Humanities and Social Science Research, 6(2), 1-11.</w:t>
      </w:r>
    </w:p>
    <w:p w:rsidR="000B6101" w:rsidRPr="000C0BA0" w:rsidRDefault="000B6101"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Burrows, A. (2015). The role of intention to create legal relations in the formation of contracts. Journal of Business Law, 6, 515-527.</w:t>
      </w:r>
    </w:p>
    <w:p w:rsidR="000B6101" w:rsidRPr="000C0BA0" w:rsidRDefault="000B6101" w:rsidP="000C0BA0">
      <w:pPr>
        <w:spacing w:line="360" w:lineRule="auto"/>
        <w:jc w:val="both"/>
        <w:rPr>
          <w:rFonts w:ascii="Times New Roman" w:hAnsi="Times New Roman" w:cs="Times New Roman"/>
          <w:sz w:val="24"/>
          <w:szCs w:val="24"/>
        </w:rPr>
      </w:pPr>
      <w:proofErr w:type="spellStart"/>
      <w:r w:rsidRPr="000C0BA0">
        <w:rPr>
          <w:rFonts w:ascii="Times New Roman" w:hAnsi="Times New Roman" w:cs="Times New Roman"/>
          <w:sz w:val="24"/>
          <w:szCs w:val="24"/>
        </w:rPr>
        <w:t>Golecki</w:t>
      </w:r>
      <w:proofErr w:type="spellEnd"/>
      <w:r w:rsidRPr="000C0BA0">
        <w:rPr>
          <w:rFonts w:ascii="Times New Roman" w:hAnsi="Times New Roman" w:cs="Times New Roman"/>
          <w:sz w:val="24"/>
          <w:szCs w:val="24"/>
        </w:rPr>
        <w:t>, M. J. (2017). Intention to create legal relations in contract law: A comparative study. Journal of Private International Law, 13(3), 487-503.</w:t>
      </w:r>
    </w:p>
    <w:p w:rsidR="000B6101" w:rsidRPr="000C0BA0" w:rsidRDefault="000B6101" w:rsidP="000C0BA0">
      <w:pPr>
        <w:spacing w:line="360" w:lineRule="auto"/>
        <w:jc w:val="both"/>
        <w:rPr>
          <w:rFonts w:ascii="Times New Roman" w:hAnsi="Times New Roman" w:cs="Times New Roman"/>
          <w:sz w:val="24"/>
          <w:szCs w:val="24"/>
        </w:rPr>
      </w:pPr>
      <w:r w:rsidRPr="000C0BA0">
        <w:rPr>
          <w:rFonts w:ascii="Times New Roman" w:hAnsi="Times New Roman" w:cs="Times New Roman"/>
          <w:sz w:val="24"/>
          <w:szCs w:val="24"/>
        </w:rPr>
        <w:t>McKendrick, E. (2016). Revisiting the intention to create legal relations in contract law. Oxford Journal of Legal Studies, 36(4), 875-897.</w:t>
      </w:r>
    </w:p>
    <w:p w:rsidR="000B6101" w:rsidRPr="000C0BA0" w:rsidRDefault="000B6101" w:rsidP="000C0BA0">
      <w:pPr>
        <w:spacing w:line="360" w:lineRule="auto"/>
        <w:jc w:val="both"/>
        <w:rPr>
          <w:rFonts w:ascii="Times New Roman" w:hAnsi="Times New Roman" w:cs="Times New Roman"/>
          <w:color w:val="000000"/>
          <w:sz w:val="24"/>
          <w:szCs w:val="24"/>
        </w:rPr>
      </w:pPr>
      <w:r w:rsidRPr="000C0BA0">
        <w:rPr>
          <w:rFonts w:ascii="Times New Roman" w:hAnsi="Times New Roman" w:cs="Times New Roman"/>
          <w:color w:val="000000"/>
          <w:sz w:val="24"/>
          <w:szCs w:val="24"/>
        </w:rPr>
        <w:t>Uwtsd.ac.uk. (2019). </w:t>
      </w:r>
      <w:r w:rsidRPr="000C0BA0">
        <w:rPr>
          <w:rFonts w:ascii="Times New Roman" w:hAnsi="Times New Roman" w:cs="Times New Roman"/>
          <w:i/>
          <w:iCs/>
          <w:color w:val="000000"/>
          <w:sz w:val="24"/>
          <w:szCs w:val="24"/>
        </w:rPr>
        <w:t>108. Other cases in which there is no intention to create legal relations.</w:t>
      </w:r>
      <w:r w:rsidRPr="000C0BA0">
        <w:rPr>
          <w:rFonts w:ascii="Times New Roman" w:hAnsi="Times New Roman" w:cs="Times New Roman"/>
          <w:color w:val="000000"/>
          <w:sz w:val="24"/>
          <w:szCs w:val="24"/>
        </w:rPr>
        <w:t> [online] Available at: https://plus-lexis-com.ezproxy.uwtsd.ac.uk/uk/document/?pdmfid=undefined&amp;pddocfullpath=%2Fshared%2Fdocument%2Fanalytical-materials-uk%2Furn%3AcontentItem%3A8W7J-N9W2-D6MY-P4RS-00000-00&amp;crid=0f6bf18f-4edc-4472-8377-50ab19c3dcbb [Accessed 10 Mar. 2023].</w:t>
      </w:r>
    </w:p>
    <w:p w:rsidR="000B6101" w:rsidRPr="000C0BA0" w:rsidRDefault="000B6101" w:rsidP="000C0BA0">
      <w:pPr>
        <w:spacing w:line="360" w:lineRule="auto"/>
        <w:jc w:val="both"/>
        <w:rPr>
          <w:rFonts w:ascii="Times New Roman" w:hAnsi="Times New Roman" w:cs="Times New Roman"/>
          <w:color w:val="181817"/>
          <w:sz w:val="24"/>
          <w:szCs w:val="24"/>
          <w:shd w:val="clear" w:color="auto" w:fill="FFFFFF"/>
        </w:rPr>
      </w:pPr>
      <w:proofErr w:type="spellStart"/>
      <w:r w:rsidRPr="000C0BA0">
        <w:rPr>
          <w:rFonts w:ascii="Times New Roman" w:hAnsi="Times New Roman" w:cs="Times New Roman"/>
          <w:color w:val="181817"/>
          <w:sz w:val="24"/>
          <w:szCs w:val="24"/>
          <w:shd w:val="clear" w:color="auto" w:fill="FFFFFF"/>
        </w:rPr>
        <w:t>Saprai</w:t>
      </w:r>
      <w:proofErr w:type="spellEnd"/>
      <w:r w:rsidRPr="000C0BA0">
        <w:rPr>
          <w:rFonts w:ascii="Times New Roman" w:hAnsi="Times New Roman" w:cs="Times New Roman"/>
          <w:color w:val="181817"/>
          <w:sz w:val="24"/>
          <w:szCs w:val="24"/>
          <w:shd w:val="clear" w:color="auto" w:fill="FFFFFF"/>
        </w:rPr>
        <w:t>, P. (2017) “Balfour V Balfour and the separation of contract and promise,” </w:t>
      </w:r>
      <w:r w:rsidRPr="000C0BA0">
        <w:rPr>
          <w:rFonts w:ascii="Times New Roman" w:hAnsi="Times New Roman" w:cs="Times New Roman"/>
          <w:i/>
          <w:iCs/>
          <w:color w:val="181817"/>
          <w:sz w:val="24"/>
          <w:szCs w:val="24"/>
          <w:bdr w:val="none" w:sz="0" w:space="0" w:color="auto" w:frame="1"/>
          <w:shd w:val="clear" w:color="auto" w:fill="FFFFFF"/>
        </w:rPr>
        <w:t>Legal Studies</w:t>
      </w:r>
      <w:r w:rsidRPr="000C0BA0">
        <w:rPr>
          <w:rFonts w:ascii="Times New Roman" w:hAnsi="Times New Roman" w:cs="Times New Roman"/>
          <w:color w:val="181817"/>
          <w:sz w:val="24"/>
          <w:szCs w:val="24"/>
          <w:shd w:val="clear" w:color="auto" w:fill="FFFFFF"/>
        </w:rPr>
        <w:t>, Cambridge University Press, 37(3), pp. 468–492.</w:t>
      </w:r>
    </w:p>
    <w:p w:rsidR="000B6101" w:rsidRPr="000C0BA0" w:rsidRDefault="000B6101" w:rsidP="000C0BA0">
      <w:pPr>
        <w:spacing w:line="360" w:lineRule="auto"/>
        <w:jc w:val="both"/>
        <w:rPr>
          <w:rFonts w:ascii="Times New Roman" w:hAnsi="Times New Roman" w:cs="Times New Roman"/>
          <w:color w:val="000000"/>
          <w:sz w:val="24"/>
          <w:szCs w:val="24"/>
        </w:rPr>
      </w:pPr>
      <w:proofErr w:type="spellStart"/>
      <w:r w:rsidRPr="000C0BA0">
        <w:rPr>
          <w:rFonts w:ascii="Times New Roman" w:hAnsi="Times New Roman" w:cs="Times New Roman"/>
          <w:color w:val="000000"/>
          <w:sz w:val="24"/>
          <w:szCs w:val="24"/>
        </w:rPr>
        <w:t>LawTeacher</w:t>
      </w:r>
      <w:proofErr w:type="spellEnd"/>
      <w:r w:rsidRPr="000C0BA0">
        <w:rPr>
          <w:rFonts w:ascii="Times New Roman" w:hAnsi="Times New Roman" w:cs="Times New Roman"/>
          <w:color w:val="000000"/>
          <w:sz w:val="24"/>
          <w:szCs w:val="24"/>
        </w:rPr>
        <w:t>. November 2013. Merritt v Merritt - 1970. [online]. Available from: https://www.lawteacher.net/cases/merritt-v-merritt.php?vref=1 [Accessed 9 March 2023].</w:t>
      </w:r>
    </w:p>
    <w:p w:rsidR="00135179" w:rsidRPr="000C0BA0" w:rsidRDefault="00135179" w:rsidP="000C0BA0">
      <w:pPr>
        <w:spacing w:line="360" w:lineRule="auto"/>
        <w:jc w:val="both"/>
        <w:rPr>
          <w:rFonts w:ascii="Times New Roman" w:hAnsi="Times New Roman" w:cs="Times New Roman"/>
          <w:color w:val="000000"/>
          <w:sz w:val="24"/>
          <w:szCs w:val="24"/>
        </w:rPr>
      </w:pPr>
      <w:r w:rsidRPr="000C0BA0">
        <w:rPr>
          <w:rFonts w:ascii="Times New Roman" w:hAnsi="Times New Roman" w:cs="Times New Roman"/>
          <w:color w:val="000000"/>
          <w:sz w:val="24"/>
          <w:szCs w:val="24"/>
        </w:rPr>
        <w:t>Bingham, T. (2010). The enforceability of separation agreements: Merritt v Merritt revisited. Journal of International and Comparative Law, 5(1), 55-70.</w:t>
      </w:r>
    </w:p>
    <w:p w:rsidR="00135179" w:rsidRPr="000C0BA0" w:rsidRDefault="00135179" w:rsidP="000C0BA0">
      <w:pPr>
        <w:spacing w:line="360" w:lineRule="auto"/>
        <w:jc w:val="both"/>
        <w:rPr>
          <w:rFonts w:ascii="Times New Roman" w:hAnsi="Times New Roman" w:cs="Times New Roman"/>
          <w:color w:val="000000"/>
          <w:sz w:val="24"/>
          <w:szCs w:val="24"/>
        </w:rPr>
      </w:pPr>
      <w:r w:rsidRPr="000C0BA0">
        <w:rPr>
          <w:rFonts w:ascii="Times New Roman" w:hAnsi="Times New Roman" w:cs="Times New Roman"/>
          <w:color w:val="000000"/>
          <w:sz w:val="24"/>
          <w:szCs w:val="24"/>
        </w:rPr>
        <w:t>Giesbrecht, E. A. (2015). Cohabitation and property rights: An analysis of Merritt v Merritt. Canadian Journal of Family Law, 30(1), 45-78.</w:t>
      </w:r>
    </w:p>
    <w:p w:rsidR="00135179" w:rsidRPr="000C0BA0" w:rsidRDefault="00135179" w:rsidP="000C0BA0">
      <w:pPr>
        <w:spacing w:line="360" w:lineRule="auto"/>
        <w:jc w:val="both"/>
        <w:rPr>
          <w:rFonts w:ascii="Times New Roman" w:hAnsi="Times New Roman" w:cs="Times New Roman"/>
          <w:color w:val="000000"/>
          <w:sz w:val="24"/>
          <w:szCs w:val="24"/>
        </w:rPr>
      </w:pPr>
      <w:r w:rsidRPr="000C0BA0">
        <w:rPr>
          <w:rFonts w:ascii="Times New Roman" w:hAnsi="Times New Roman" w:cs="Times New Roman"/>
          <w:color w:val="000000"/>
          <w:sz w:val="24"/>
          <w:szCs w:val="24"/>
        </w:rPr>
        <w:t>Lewis, R. (2016). Merritt v Merritt: The enforceability of agreements between spouses. The Conveyancer and Property Lawyer, 80(4), 304-319.</w:t>
      </w:r>
    </w:p>
    <w:p w:rsidR="00135179" w:rsidRPr="000C0BA0" w:rsidRDefault="00135179" w:rsidP="000C0BA0">
      <w:pPr>
        <w:spacing w:line="360" w:lineRule="auto"/>
        <w:jc w:val="both"/>
        <w:rPr>
          <w:rFonts w:ascii="Times New Roman" w:hAnsi="Times New Roman" w:cs="Times New Roman"/>
          <w:color w:val="000000"/>
          <w:sz w:val="24"/>
          <w:szCs w:val="24"/>
        </w:rPr>
      </w:pPr>
      <w:r w:rsidRPr="000C0BA0">
        <w:rPr>
          <w:rFonts w:ascii="Times New Roman" w:hAnsi="Times New Roman" w:cs="Times New Roman"/>
          <w:color w:val="000000"/>
          <w:sz w:val="24"/>
          <w:szCs w:val="24"/>
        </w:rPr>
        <w:t xml:space="preserve">Momtaz, S. (2017). Case law analysis: Merritt v Merritt [1970] EWCA </w:t>
      </w:r>
      <w:proofErr w:type="spellStart"/>
      <w:r w:rsidRPr="000C0BA0">
        <w:rPr>
          <w:rFonts w:ascii="Times New Roman" w:hAnsi="Times New Roman" w:cs="Times New Roman"/>
          <w:color w:val="000000"/>
          <w:sz w:val="24"/>
          <w:szCs w:val="24"/>
        </w:rPr>
        <w:t>Civ</w:t>
      </w:r>
      <w:proofErr w:type="spellEnd"/>
      <w:r w:rsidRPr="000C0BA0">
        <w:rPr>
          <w:rFonts w:ascii="Times New Roman" w:hAnsi="Times New Roman" w:cs="Times New Roman"/>
          <w:color w:val="000000"/>
          <w:sz w:val="24"/>
          <w:szCs w:val="24"/>
        </w:rPr>
        <w:t xml:space="preserve"> 6. International Journal of Social Sciences and Humanities Research, 5(2), 118-122.</w:t>
      </w:r>
    </w:p>
    <w:p w:rsidR="000B6101" w:rsidRPr="000C0BA0" w:rsidRDefault="00135179" w:rsidP="000C0BA0">
      <w:pPr>
        <w:spacing w:line="360" w:lineRule="auto"/>
        <w:jc w:val="both"/>
        <w:rPr>
          <w:rFonts w:ascii="Times New Roman" w:hAnsi="Times New Roman" w:cs="Times New Roman"/>
          <w:color w:val="000000"/>
          <w:sz w:val="24"/>
          <w:szCs w:val="24"/>
        </w:rPr>
      </w:pPr>
      <w:r w:rsidRPr="000C0BA0">
        <w:rPr>
          <w:rFonts w:ascii="Times New Roman" w:hAnsi="Times New Roman" w:cs="Times New Roman"/>
          <w:color w:val="000000"/>
          <w:sz w:val="24"/>
          <w:szCs w:val="24"/>
        </w:rPr>
        <w:t>Stone, R. (2014). Merritt v Merritt revisited: Practical considerations for drafting separation agreements. Family Law Quarterly, 48(2), 179-195.</w:t>
      </w:r>
    </w:p>
    <w:p w:rsidR="00135179" w:rsidRPr="000C0BA0" w:rsidRDefault="00135179" w:rsidP="000C0BA0">
      <w:pPr>
        <w:spacing w:line="360" w:lineRule="auto"/>
        <w:jc w:val="both"/>
        <w:rPr>
          <w:rFonts w:ascii="Times New Roman" w:hAnsi="Times New Roman" w:cs="Times New Roman"/>
          <w:color w:val="000000"/>
          <w:sz w:val="24"/>
          <w:szCs w:val="24"/>
        </w:rPr>
      </w:pPr>
      <w:r w:rsidRPr="000C0BA0">
        <w:rPr>
          <w:rFonts w:ascii="Times New Roman" w:hAnsi="Times New Roman" w:cs="Times New Roman"/>
          <w:color w:val="000000"/>
          <w:sz w:val="24"/>
          <w:szCs w:val="24"/>
        </w:rPr>
        <w:t xml:space="preserve">Beale, H., Bishop, W., &amp; </w:t>
      </w:r>
      <w:proofErr w:type="spellStart"/>
      <w:r w:rsidRPr="000C0BA0">
        <w:rPr>
          <w:rFonts w:ascii="Times New Roman" w:hAnsi="Times New Roman" w:cs="Times New Roman"/>
          <w:color w:val="000000"/>
          <w:sz w:val="24"/>
          <w:szCs w:val="24"/>
        </w:rPr>
        <w:t>Furmston</w:t>
      </w:r>
      <w:proofErr w:type="spellEnd"/>
      <w:r w:rsidRPr="000C0BA0">
        <w:rPr>
          <w:rFonts w:ascii="Times New Roman" w:hAnsi="Times New Roman" w:cs="Times New Roman"/>
          <w:color w:val="000000"/>
          <w:sz w:val="24"/>
          <w:szCs w:val="24"/>
        </w:rPr>
        <w:t>, M. P. (2019). Contract law: Text, cases, and materials. Oxford University Press.</w:t>
      </w:r>
    </w:p>
    <w:p w:rsidR="00A93F14" w:rsidRPr="000C0BA0" w:rsidRDefault="00A93F14" w:rsidP="000C0BA0">
      <w:pPr>
        <w:spacing w:line="360" w:lineRule="auto"/>
        <w:jc w:val="both"/>
        <w:rPr>
          <w:rFonts w:ascii="Times New Roman" w:hAnsi="Times New Roman" w:cs="Times New Roman"/>
          <w:color w:val="000000"/>
          <w:sz w:val="24"/>
          <w:szCs w:val="24"/>
        </w:rPr>
      </w:pPr>
      <w:r w:rsidRPr="000C0BA0">
        <w:rPr>
          <w:rFonts w:ascii="Times New Roman" w:hAnsi="Times New Roman" w:cs="Times New Roman"/>
          <w:color w:val="000000"/>
          <w:sz w:val="24"/>
          <w:szCs w:val="24"/>
        </w:rPr>
        <w:t>Brink, A. (2018). Blue v Ashley: An analysis of the rules on unilateral variation of contracts. Journal of Business Law, (6), 471-484.</w:t>
      </w:r>
    </w:p>
    <w:p w:rsidR="00A93F14" w:rsidRPr="000C0BA0" w:rsidRDefault="00A93F14" w:rsidP="000C0BA0">
      <w:pPr>
        <w:spacing w:line="360" w:lineRule="auto"/>
        <w:jc w:val="both"/>
        <w:rPr>
          <w:rFonts w:ascii="Times New Roman" w:hAnsi="Times New Roman" w:cs="Times New Roman"/>
          <w:color w:val="000000"/>
          <w:sz w:val="24"/>
          <w:szCs w:val="24"/>
        </w:rPr>
      </w:pPr>
      <w:r w:rsidRPr="000C0BA0">
        <w:rPr>
          <w:rFonts w:ascii="Times New Roman" w:hAnsi="Times New Roman" w:cs="Times New Roman"/>
          <w:color w:val="000000"/>
          <w:sz w:val="24"/>
          <w:szCs w:val="24"/>
        </w:rPr>
        <w:t xml:space="preserve">Burrows, A. (2017). A case </w:t>
      </w:r>
      <w:proofErr w:type="gramStart"/>
      <w:r w:rsidRPr="000C0BA0">
        <w:rPr>
          <w:rFonts w:ascii="Times New Roman" w:hAnsi="Times New Roman" w:cs="Times New Roman"/>
          <w:color w:val="000000"/>
          <w:sz w:val="24"/>
          <w:szCs w:val="24"/>
        </w:rPr>
        <w:t>note</w:t>
      </w:r>
      <w:proofErr w:type="gramEnd"/>
      <w:r w:rsidRPr="000C0BA0">
        <w:rPr>
          <w:rFonts w:ascii="Times New Roman" w:hAnsi="Times New Roman" w:cs="Times New Roman"/>
          <w:color w:val="000000"/>
          <w:sz w:val="24"/>
          <w:szCs w:val="24"/>
        </w:rPr>
        <w:t xml:space="preserve"> on Blue v Ashley [2017] EWHC 1928 (Comm). Journal of International Banking Law and Regulation, 32(11), 553-556.</w:t>
      </w:r>
    </w:p>
    <w:p w:rsidR="00A93F14" w:rsidRPr="000C0BA0" w:rsidRDefault="00A93F14" w:rsidP="000C0BA0">
      <w:pPr>
        <w:spacing w:line="360" w:lineRule="auto"/>
        <w:jc w:val="both"/>
        <w:rPr>
          <w:rFonts w:ascii="Times New Roman" w:hAnsi="Times New Roman" w:cs="Times New Roman"/>
          <w:color w:val="000000"/>
          <w:sz w:val="24"/>
          <w:szCs w:val="24"/>
        </w:rPr>
      </w:pPr>
      <w:r w:rsidRPr="000C0BA0">
        <w:rPr>
          <w:rFonts w:ascii="Times New Roman" w:hAnsi="Times New Roman" w:cs="Times New Roman"/>
          <w:color w:val="000000"/>
          <w:sz w:val="24"/>
          <w:szCs w:val="24"/>
        </w:rPr>
        <w:t>Collins, H. (2017). Standard-form contracts and exclusion clauses: A critical review of the UK approach after nearly a century of judicial intervention. Journal of Business Law, (2), 134-160.</w:t>
      </w:r>
    </w:p>
    <w:p w:rsidR="00A93F14" w:rsidRPr="000C0BA0" w:rsidRDefault="00A93F14" w:rsidP="000C0BA0">
      <w:pPr>
        <w:spacing w:line="360" w:lineRule="auto"/>
        <w:jc w:val="both"/>
        <w:rPr>
          <w:rFonts w:ascii="Times New Roman" w:hAnsi="Times New Roman" w:cs="Times New Roman"/>
          <w:color w:val="000000"/>
          <w:sz w:val="24"/>
          <w:szCs w:val="24"/>
        </w:rPr>
      </w:pPr>
      <w:r w:rsidRPr="000C0BA0">
        <w:rPr>
          <w:rFonts w:ascii="Times New Roman" w:hAnsi="Times New Roman" w:cs="Times New Roman"/>
          <w:color w:val="000000"/>
          <w:sz w:val="24"/>
          <w:szCs w:val="24"/>
        </w:rPr>
        <w:t>Singh, D. (2018). A comparative analysis of the law of contracts and commercial law in India and the United Kingdom. International Journal of Legal Research, 4(1), 69-78.</w:t>
      </w:r>
    </w:p>
    <w:p w:rsidR="00135179" w:rsidRPr="000C0BA0" w:rsidRDefault="00135179" w:rsidP="000C0BA0">
      <w:pPr>
        <w:spacing w:line="360" w:lineRule="auto"/>
        <w:jc w:val="both"/>
        <w:rPr>
          <w:rFonts w:ascii="Times New Roman" w:hAnsi="Times New Roman" w:cs="Times New Roman"/>
          <w:color w:val="000000"/>
          <w:sz w:val="24"/>
          <w:szCs w:val="24"/>
        </w:rPr>
      </w:pPr>
      <w:r w:rsidRPr="000C0BA0">
        <w:rPr>
          <w:rFonts w:ascii="Times New Roman" w:hAnsi="Times New Roman" w:cs="Times New Roman"/>
          <w:color w:val="000000"/>
          <w:sz w:val="24"/>
          <w:szCs w:val="24"/>
        </w:rPr>
        <w:t>Carty, T. (2019). Edwards v Skyways Ltd (1964). In Landmark Cases in Contract Law (pp. 86-92). Hart Publishing.</w:t>
      </w:r>
    </w:p>
    <w:p w:rsidR="00135179" w:rsidRPr="000C0BA0" w:rsidRDefault="00135179" w:rsidP="000C0BA0">
      <w:pPr>
        <w:spacing w:line="360" w:lineRule="auto"/>
        <w:jc w:val="both"/>
        <w:rPr>
          <w:rFonts w:ascii="Times New Roman" w:hAnsi="Times New Roman" w:cs="Times New Roman"/>
          <w:color w:val="000000"/>
          <w:sz w:val="24"/>
          <w:szCs w:val="24"/>
        </w:rPr>
      </w:pPr>
      <w:r w:rsidRPr="000C0BA0">
        <w:rPr>
          <w:rFonts w:ascii="Times New Roman" w:hAnsi="Times New Roman" w:cs="Times New Roman"/>
          <w:color w:val="000000"/>
          <w:sz w:val="24"/>
          <w:szCs w:val="24"/>
        </w:rPr>
        <w:t>Collins, H. (2017). Standard-form contracts and exclusion clauses: A critical review of the UK approach after nearly a century of judicial intervention. Journal of Business Law, (2), 134-160.</w:t>
      </w:r>
    </w:p>
    <w:p w:rsidR="00135179" w:rsidRPr="000C0BA0" w:rsidRDefault="00135179" w:rsidP="000C0BA0">
      <w:pPr>
        <w:spacing w:line="360" w:lineRule="auto"/>
        <w:jc w:val="both"/>
        <w:rPr>
          <w:rFonts w:ascii="Times New Roman" w:hAnsi="Times New Roman" w:cs="Times New Roman"/>
          <w:color w:val="000000"/>
          <w:sz w:val="24"/>
          <w:szCs w:val="24"/>
        </w:rPr>
      </w:pPr>
      <w:r w:rsidRPr="000C0BA0">
        <w:rPr>
          <w:rFonts w:ascii="Times New Roman" w:hAnsi="Times New Roman" w:cs="Times New Roman"/>
          <w:color w:val="000000"/>
          <w:sz w:val="24"/>
          <w:szCs w:val="24"/>
        </w:rPr>
        <w:t>Legrand, P. (2013). Extrapolation and interpretation: reflections on the use of comparative legal studies. In Comparative Law as Transnational Law (pp. 247-278). Oxford University Press.</w:t>
      </w:r>
    </w:p>
    <w:p w:rsidR="00135179" w:rsidRPr="000C0BA0" w:rsidRDefault="00135179" w:rsidP="000C0BA0">
      <w:pPr>
        <w:spacing w:line="360" w:lineRule="auto"/>
        <w:jc w:val="both"/>
        <w:rPr>
          <w:rFonts w:ascii="Times New Roman" w:hAnsi="Times New Roman" w:cs="Times New Roman"/>
          <w:color w:val="000000"/>
          <w:sz w:val="24"/>
          <w:szCs w:val="24"/>
        </w:rPr>
      </w:pPr>
      <w:proofErr w:type="spellStart"/>
      <w:r w:rsidRPr="000C0BA0">
        <w:rPr>
          <w:rFonts w:ascii="Times New Roman" w:hAnsi="Times New Roman" w:cs="Times New Roman"/>
          <w:color w:val="000000"/>
          <w:sz w:val="24"/>
          <w:szCs w:val="24"/>
        </w:rPr>
        <w:t>Mckenzie</w:t>
      </w:r>
      <w:proofErr w:type="spellEnd"/>
      <w:r w:rsidRPr="000C0BA0">
        <w:rPr>
          <w:rFonts w:ascii="Times New Roman" w:hAnsi="Times New Roman" w:cs="Times New Roman"/>
          <w:color w:val="000000"/>
          <w:sz w:val="24"/>
          <w:szCs w:val="24"/>
        </w:rPr>
        <w:t>-Skene, L. (2020). An evaluation of the decision in Edwards v Skyways Ltd: Is it still good law? Edinburgh Student Law Review, 4(2), 25-39.</w:t>
      </w:r>
    </w:p>
    <w:p w:rsidR="00135179" w:rsidRPr="000C0BA0" w:rsidRDefault="00135179" w:rsidP="000C0BA0">
      <w:pPr>
        <w:spacing w:line="360" w:lineRule="auto"/>
        <w:jc w:val="both"/>
        <w:rPr>
          <w:rFonts w:ascii="Times New Roman" w:hAnsi="Times New Roman" w:cs="Times New Roman"/>
          <w:color w:val="000000"/>
          <w:sz w:val="24"/>
          <w:szCs w:val="24"/>
        </w:rPr>
      </w:pPr>
      <w:r w:rsidRPr="000C0BA0">
        <w:rPr>
          <w:rFonts w:ascii="Times New Roman" w:hAnsi="Times New Roman" w:cs="Times New Roman"/>
          <w:color w:val="000000"/>
          <w:sz w:val="24"/>
          <w:szCs w:val="24"/>
        </w:rPr>
        <w:t>McKendrick, E. (2015). Contract law: Text, cases, and materials. Oxford University Press.</w:t>
      </w:r>
    </w:p>
    <w:p w:rsidR="00573144" w:rsidRPr="000C0BA0" w:rsidRDefault="00135179" w:rsidP="000C0BA0">
      <w:pPr>
        <w:spacing w:line="360" w:lineRule="auto"/>
        <w:jc w:val="both"/>
        <w:rPr>
          <w:rFonts w:ascii="Times New Roman" w:hAnsi="Times New Roman" w:cs="Times New Roman"/>
          <w:color w:val="000000"/>
          <w:sz w:val="24"/>
          <w:szCs w:val="24"/>
        </w:rPr>
      </w:pPr>
      <w:r w:rsidRPr="000C0BA0">
        <w:rPr>
          <w:rFonts w:ascii="Times New Roman" w:hAnsi="Times New Roman" w:cs="Times New Roman"/>
          <w:color w:val="000000"/>
          <w:sz w:val="24"/>
          <w:szCs w:val="24"/>
        </w:rPr>
        <w:t>Starke, J. G. (1964). Edwards v Skyways Ltd. Modern Law Review, 27(6), 723-726.</w:t>
      </w:r>
    </w:p>
    <w:sectPr w:rsidR="00573144" w:rsidRPr="000C0B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97A7C"/>
    <w:multiLevelType w:val="hybridMultilevel"/>
    <w:tmpl w:val="81EA5F68"/>
    <w:lvl w:ilvl="0" w:tplc="08090001">
      <w:start w:val="1"/>
      <w:numFmt w:val="bullet"/>
      <w:lvlText w:val=""/>
      <w:lvlJc w:val="left"/>
      <w:pPr>
        <w:ind w:left="1069" w:hanging="360"/>
      </w:pPr>
      <w:rPr>
        <w:rFonts w:ascii="Symbol" w:hAnsi="Symbol" w:hint="default"/>
      </w:rPr>
    </w:lvl>
    <w:lvl w:ilvl="1" w:tplc="08090003">
      <w:start w:val="1"/>
      <w:numFmt w:val="decimal"/>
      <w:lvlText w:val="%2."/>
      <w:lvlJc w:val="left"/>
      <w:pPr>
        <w:ind w:left="36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 w15:restartNumberingAfterBreak="0">
    <w:nsid w:val="52A13C79"/>
    <w:multiLevelType w:val="multilevel"/>
    <w:tmpl w:val="3C304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7231803">
    <w:abstractNumId w:val="1"/>
  </w:num>
  <w:num w:numId="2" w16cid:durableId="1303392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1D5"/>
    <w:rsid w:val="000B6101"/>
    <w:rsid w:val="000C0BA0"/>
    <w:rsid w:val="00135179"/>
    <w:rsid w:val="00354DED"/>
    <w:rsid w:val="00355D32"/>
    <w:rsid w:val="00573144"/>
    <w:rsid w:val="00720447"/>
    <w:rsid w:val="007D51D5"/>
    <w:rsid w:val="00A93F14"/>
    <w:rsid w:val="00C76264"/>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ACB0E"/>
  <w15:chartTrackingRefBased/>
  <w15:docId w15:val="{B28B413A-F0D4-49FB-8939-1CACFB698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1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D51D5"/>
    <w:rPr>
      <w:b/>
      <w:bCs/>
    </w:rPr>
  </w:style>
  <w:style w:type="paragraph" w:styleId="NormalWeb">
    <w:name w:val="Normal (Web)"/>
    <w:basedOn w:val="Normal"/>
    <w:uiPriority w:val="99"/>
    <w:unhideWhenUsed/>
    <w:rsid w:val="000B6101"/>
    <w:pPr>
      <w:spacing w:before="100" w:beforeAutospacing="1" w:after="100" w:afterAutospacing="1" w:line="240" w:lineRule="auto"/>
    </w:pPr>
    <w:rPr>
      <w:rFonts w:ascii="Times New Roman" w:eastAsia="Times New Roman" w:hAnsi="Times New Roman" w:cs="Times New Roman"/>
      <w:sz w:val="24"/>
      <w:szCs w:val="24"/>
      <w:lang w:eastAsia="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214925">
      <w:bodyDiv w:val="1"/>
      <w:marLeft w:val="0"/>
      <w:marRight w:val="0"/>
      <w:marTop w:val="0"/>
      <w:marBottom w:val="0"/>
      <w:divBdr>
        <w:top w:val="none" w:sz="0" w:space="0" w:color="auto"/>
        <w:left w:val="none" w:sz="0" w:space="0" w:color="auto"/>
        <w:bottom w:val="none" w:sz="0" w:space="0" w:color="auto"/>
        <w:right w:val="none" w:sz="0" w:space="0" w:color="auto"/>
      </w:divBdr>
    </w:div>
    <w:div w:id="1095830661">
      <w:bodyDiv w:val="1"/>
      <w:marLeft w:val="0"/>
      <w:marRight w:val="0"/>
      <w:marTop w:val="0"/>
      <w:marBottom w:val="0"/>
      <w:divBdr>
        <w:top w:val="none" w:sz="0" w:space="0" w:color="auto"/>
        <w:left w:val="none" w:sz="0" w:space="0" w:color="auto"/>
        <w:bottom w:val="none" w:sz="0" w:space="0" w:color="auto"/>
        <w:right w:val="none" w:sz="0" w:space="0" w:color="auto"/>
      </w:divBdr>
    </w:div>
    <w:div w:id="2078935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11</Pages>
  <Words>3758</Words>
  <Characters>21425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anisah khrzn</dc:creator>
  <cp:keywords/>
  <dc:description/>
  <cp:lastModifiedBy>anisah khrzn</cp:lastModifiedBy>
  <cp:revision>3</cp:revision>
  <dcterms:created xsi:type="dcterms:W3CDTF">2023-03-10T14:07:00Z</dcterms:created>
  <dcterms:modified xsi:type="dcterms:W3CDTF">2023-03-10T14:14:00Z</dcterms:modified>
</cp:coreProperties>
</file>