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55885" w14:textId="77777777" w:rsidR="008B40A4" w:rsidRPr="004317CA" w:rsidRDefault="008B40A4" w:rsidP="009E524D">
      <w:pPr>
        <w:spacing w:line="360" w:lineRule="auto"/>
        <w:rPr>
          <w:rFonts w:asciiTheme="majorHAnsi" w:hAnsiTheme="majorHAnsi"/>
          <w:b/>
          <w:bCs/>
          <w:u w:val="single"/>
        </w:rPr>
      </w:pPr>
      <w:r w:rsidRPr="004317CA">
        <w:rPr>
          <w:rFonts w:asciiTheme="majorHAnsi" w:hAnsiTheme="majorHAnsi"/>
          <w:b/>
          <w:bCs/>
          <w:u w:val="single"/>
        </w:rPr>
        <w:t>The Role of Storytelling in Supporting Children’s Literacy and Digital Skills: A Reflection on Practice</w:t>
      </w:r>
    </w:p>
    <w:p w14:paraId="4D81D762" w14:textId="77777777" w:rsidR="008B40A4" w:rsidRPr="004317CA" w:rsidRDefault="008B40A4" w:rsidP="009E524D">
      <w:pPr>
        <w:spacing w:line="360" w:lineRule="auto"/>
        <w:rPr>
          <w:rFonts w:asciiTheme="majorHAnsi" w:hAnsiTheme="majorHAnsi"/>
          <w:b/>
          <w:bCs/>
          <w:u w:val="single"/>
        </w:rPr>
      </w:pPr>
      <w:r w:rsidRPr="004317CA">
        <w:rPr>
          <w:rFonts w:asciiTheme="majorHAnsi" w:hAnsiTheme="majorHAnsi"/>
          <w:b/>
          <w:bCs/>
          <w:u w:val="single"/>
        </w:rPr>
        <w:t>Introduction</w:t>
      </w:r>
    </w:p>
    <w:p w14:paraId="0930A81E" w14:textId="400BFA14" w:rsidR="008B40A4" w:rsidRPr="0053733C" w:rsidRDefault="008B40A4" w:rsidP="009E524D">
      <w:pPr>
        <w:spacing w:line="360" w:lineRule="auto"/>
        <w:rPr>
          <w:rFonts w:asciiTheme="majorHAnsi" w:hAnsiTheme="majorHAnsi"/>
        </w:rPr>
      </w:pPr>
      <w:r w:rsidRPr="0053733C">
        <w:rPr>
          <w:rFonts w:asciiTheme="majorHAnsi" w:hAnsiTheme="majorHAnsi"/>
        </w:rPr>
        <w:t xml:space="preserve">Storytelling is a powerful way to help young children develop communication, imagination, and early literacy. Through stories, children learn new vocabulary, begin to understand sentence structure, and connect emotions with language. In my simulated practice, I explored two different types of storytelling with children aged around three to six years. The first was a traditional reading of </w:t>
      </w:r>
      <w:r w:rsidR="00F254EA" w:rsidRPr="0053733C">
        <w:rPr>
          <w:rFonts w:asciiTheme="majorHAnsi" w:hAnsiTheme="majorHAnsi"/>
        </w:rPr>
        <w:t>“</w:t>
      </w:r>
      <w:r w:rsidRPr="0053733C">
        <w:rPr>
          <w:rFonts w:asciiTheme="majorHAnsi" w:hAnsiTheme="majorHAnsi"/>
        </w:rPr>
        <w:t>The Tiger Who Came to Tea</w:t>
      </w:r>
      <w:r w:rsidR="00F254EA" w:rsidRPr="0053733C">
        <w:rPr>
          <w:rFonts w:asciiTheme="majorHAnsi" w:hAnsiTheme="majorHAnsi"/>
        </w:rPr>
        <w:t xml:space="preserve">” </w:t>
      </w:r>
      <w:r w:rsidRPr="0053733C">
        <w:rPr>
          <w:rFonts w:asciiTheme="majorHAnsi" w:hAnsiTheme="majorHAnsi"/>
        </w:rPr>
        <w:t xml:space="preserve">using different tones of voice to bring the story to life. The second was a digital storytelling activity using a YouTube-style video of </w:t>
      </w:r>
      <w:r w:rsidR="00F254EA" w:rsidRPr="0053733C">
        <w:rPr>
          <w:rFonts w:asciiTheme="majorHAnsi" w:hAnsiTheme="majorHAnsi"/>
        </w:rPr>
        <w:t>“</w:t>
      </w:r>
      <w:r w:rsidRPr="0053733C">
        <w:rPr>
          <w:rFonts w:asciiTheme="majorHAnsi" w:hAnsiTheme="majorHAnsi"/>
        </w:rPr>
        <w:t>The Puzzle Monkey</w:t>
      </w:r>
      <w:r w:rsidR="00F254EA" w:rsidRPr="0053733C">
        <w:rPr>
          <w:rFonts w:asciiTheme="majorHAnsi" w:hAnsiTheme="majorHAnsi"/>
        </w:rPr>
        <w:t>”.</w:t>
      </w:r>
      <w:r w:rsidRPr="0053733C">
        <w:rPr>
          <w:rFonts w:asciiTheme="majorHAnsi" w:hAnsiTheme="majorHAnsi"/>
        </w:rPr>
        <w:t xml:space="preserve"> These two contrasting sessions allowed me to consider how traditional and digital storytelling can each support children’s </w:t>
      </w:r>
      <w:proofErr w:type="spellStart"/>
      <w:r w:rsidRPr="0053733C">
        <w:rPr>
          <w:rFonts w:asciiTheme="majorHAnsi" w:hAnsiTheme="majorHAnsi"/>
        </w:rPr>
        <w:t>oracy</w:t>
      </w:r>
      <w:proofErr w:type="spellEnd"/>
      <w:r w:rsidRPr="0053733C">
        <w:rPr>
          <w:rFonts w:asciiTheme="majorHAnsi" w:hAnsiTheme="majorHAnsi"/>
        </w:rPr>
        <w:t>, reading, writing, and digital literacy. Although the sessions were filmed without children for safeguarding reasons, I reflected on how children might respond based on theory and good practice in early education.</w:t>
      </w:r>
    </w:p>
    <w:p w14:paraId="2AAE2E63" w14:textId="77777777" w:rsidR="008B40A4" w:rsidRPr="004317CA" w:rsidRDefault="008B40A4" w:rsidP="009E524D">
      <w:pPr>
        <w:spacing w:line="360" w:lineRule="auto"/>
        <w:rPr>
          <w:rFonts w:asciiTheme="majorHAnsi" w:hAnsiTheme="majorHAnsi"/>
          <w:b/>
          <w:bCs/>
          <w:u w:val="single"/>
        </w:rPr>
      </w:pPr>
      <w:r w:rsidRPr="004317CA">
        <w:rPr>
          <w:rFonts w:asciiTheme="majorHAnsi" w:hAnsiTheme="majorHAnsi"/>
          <w:b/>
          <w:bCs/>
          <w:u w:val="single"/>
        </w:rPr>
        <w:t>The Benefits of Storytelling from Pre-birth to Seven Years</w:t>
      </w:r>
    </w:p>
    <w:p w14:paraId="698ADBFA" w14:textId="2A262D08" w:rsidR="008B40A4" w:rsidRPr="0053733C" w:rsidRDefault="008B40A4" w:rsidP="009E524D">
      <w:pPr>
        <w:spacing w:line="360" w:lineRule="auto"/>
        <w:rPr>
          <w:rFonts w:asciiTheme="majorHAnsi" w:hAnsiTheme="majorHAnsi"/>
        </w:rPr>
      </w:pPr>
      <w:r w:rsidRPr="0053733C">
        <w:rPr>
          <w:rFonts w:asciiTheme="majorHAnsi" w:hAnsiTheme="majorHAnsi"/>
        </w:rPr>
        <w:t> Storytelling begins to have an impact even before a child is born. Babies can hear voices in the womb and may recognise familiar sounds, which shows that early language exposure starts very early. After birth, hearing stories helps babies feel secure and supports bonding with adults. As children grow older, stories help them learn new words and understand how events link together.Between the ages of three and seven, storytelling supports listening skills, confidence in speaking and understanding of emotions. Vygotsky (1978) explains that children learn language through interaction with others, and storytelling creates those shared moments. Bruner (1986) also suggests that stories help children make sense of their experiences. This shows that storytelling supports communication and early literacy throughout the early years.</w:t>
      </w:r>
    </w:p>
    <w:p w14:paraId="4E5FAB28" w14:textId="221054CD" w:rsidR="008B40A4" w:rsidRPr="004317CA" w:rsidRDefault="008B40A4" w:rsidP="009E524D">
      <w:pPr>
        <w:spacing w:line="360" w:lineRule="auto"/>
        <w:rPr>
          <w:rFonts w:asciiTheme="majorHAnsi" w:hAnsiTheme="majorHAnsi"/>
          <w:b/>
          <w:bCs/>
          <w:u w:val="single"/>
        </w:rPr>
      </w:pPr>
      <w:r w:rsidRPr="0053733C">
        <w:rPr>
          <w:rFonts w:asciiTheme="majorHAnsi" w:hAnsiTheme="majorHAnsi"/>
        </w:rPr>
        <w:t> </w:t>
      </w:r>
      <w:r w:rsidRPr="004317CA">
        <w:rPr>
          <w:rFonts w:asciiTheme="majorHAnsi" w:hAnsiTheme="majorHAnsi"/>
          <w:b/>
          <w:bCs/>
          <w:u w:val="single"/>
        </w:rPr>
        <w:t>Traditional storytelling – The Tiger Who Came to Tea</w:t>
      </w:r>
    </w:p>
    <w:p w14:paraId="3CE7C48B" w14:textId="1312E050" w:rsidR="002B7286" w:rsidRPr="0053733C" w:rsidRDefault="008B40A4" w:rsidP="009E524D">
      <w:pPr>
        <w:spacing w:line="360" w:lineRule="auto"/>
        <w:rPr>
          <w:rFonts w:asciiTheme="majorHAnsi" w:hAnsiTheme="majorHAnsi"/>
        </w:rPr>
      </w:pPr>
      <w:r w:rsidRPr="0053733C">
        <w:rPr>
          <w:rFonts w:asciiTheme="majorHAnsi" w:hAnsiTheme="majorHAnsi"/>
        </w:rPr>
        <w:t xml:space="preserve">When I read </w:t>
      </w:r>
      <w:r w:rsidR="00F254EA" w:rsidRPr="0053733C">
        <w:rPr>
          <w:rFonts w:asciiTheme="majorHAnsi" w:hAnsiTheme="majorHAnsi"/>
        </w:rPr>
        <w:t>“</w:t>
      </w:r>
      <w:r w:rsidRPr="0053733C">
        <w:rPr>
          <w:rFonts w:asciiTheme="majorHAnsi" w:hAnsiTheme="majorHAnsi"/>
        </w:rPr>
        <w:t>The Tiger Who Came to Tea</w:t>
      </w:r>
      <w:r w:rsidR="00F254EA" w:rsidRPr="0053733C">
        <w:rPr>
          <w:rFonts w:asciiTheme="majorHAnsi" w:hAnsiTheme="majorHAnsi"/>
        </w:rPr>
        <w:t>”.</w:t>
      </w:r>
      <w:r w:rsidRPr="0053733C">
        <w:rPr>
          <w:rFonts w:asciiTheme="majorHAnsi" w:hAnsiTheme="majorHAnsi"/>
        </w:rPr>
        <w:t xml:space="preserve"> I aimed to make the story engaging by using expressive voices for each character. I imagined the children sitting on the carpet, looking at the pictures, and predicting what might happen next. Using different tones of voice helped to </w:t>
      </w:r>
      <w:r w:rsidRPr="0053733C">
        <w:rPr>
          <w:rFonts w:asciiTheme="majorHAnsi" w:hAnsiTheme="majorHAnsi"/>
        </w:rPr>
        <w:lastRenderedPageBreak/>
        <w:t>hold their attention and made the characters more memorable. I also paused at points to “ask” questions such as, “What do you think the tiger will do now?” which encouraged the idea of conversation and turn-taking.</w:t>
      </w:r>
    </w:p>
    <w:p w14:paraId="64D59090" w14:textId="51CF639D" w:rsidR="008B40A4" w:rsidRPr="0053733C" w:rsidRDefault="008B40A4" w:rsidP="009E524D">
      <w:pPr>
        <w:spacing w:line="360" w:lineRule="auto"/>
        <w:rPr>
          <w:rFonts w:asciiTheme="majorHAnsi" w:hAnsiTheme="majorHAnsi"/>
        </w:rPr>
      </w:pPr>
      <w:r w:rsidRPr="0053733C">
        <w:rPr>
          <w:rFonts w:asciiTheme="majorHAnsi" w:hAnsiTheme="majorHAnsi"/>
        </w:rPr>
        <w:t xml:space="preserve">If children were present, I think many would have responded with excitement or laughter, especially when the tiger eats all the food. They might have joined in with repetitive phrases or pointed to pictures. This reflects Bruner’s (1986) idea that children learn through active participation in shared meaning-making. Storytelling gives them the chance to rehearse language and connect words with actions.According to Vygotsky (1978), language develops first through social interaction before it becomes an internal skill. Even though this session was simulated, I could see how expressive reading supports social learning: children copy tone, rhythm, and phrasing, helping them develop speech patterns and understanding of narrative.In terms of literacy, traditional storytelling builds foundations for reading and writing. Listening to stories introduces children to sentence patterns, story structure (beginning, middle, end), and vocabulary beyond everyday speech. It also encourages imagination and empathy, as children imagine how characters feel. </w:t>
      </w:r>
      <w:proofErr w:type="spellStart"/>
      <w:r w:rsidRPr="0053733C">
        <w:rPr>
          <w:rFonts w:asciiTheme="majorHAnsi" w:hAnsiTheme="majorHAnsi"/>
        </w:rPr>
        <w:t>Whitebread</w:t>
      </w:r>
      <w:proofErr w:type="spellEnd"/>
      <w:r w:rsidRPr="0053733C">
        <w:rPr>
          <w:rFonts w:asciiTheme="majorHAnsi" w:hAnsiTheme="majorHAnsi"/>
        </w:rPr>
        <w:t xml:space="preserve"> (2012) suggests that imaginative play, including storytelling, helps children practise self-regulation and creativity.I also reflected on the importance of environment. Sitting with a physical book allows children to see text direction and page layout, supporting print awareness. Gestures such as running a finger under words or pointing to illustrations link spoken and written language. These small actions promote early reading skills, as noted by the Department for Education (2021) in its guidance on communication and language development.</w:t>
      </w:r>
      <w:r w:rsidR="002B7286" w:rsidRPr="0053733C">
        <w:rPr>
          <w:rFonts w:asciiTheme="majorHAnsi" w:hAnsiTheme="majorHAnsi"/>
        </w:rPr>
        <w:t xml:space="preserve"> </w:t>
      </w:r>
      <w:r w:rsidRPr="0053733C">
        <w:rPr>
          <w:rFonts w:asciiTheme="majorHAnsi" w:hAnsiTheme="majorHAnsi"/>
        </w:rPr>
        <w:t xml:space="preserve">If I were to do this activity in a real setting, I would extend it by inviting children to retell parts of the story or act it out with props. This would develop </w:t>
      </w:r>
      <w:proofErr w:type="spellStart"/>
      <w:r w:rsidRPr="0053733C">
        <w:rPr>
          <w:rFonts w:asciiTheme="majorHAnsi" w:hAnsiTheme="majorHAnsi"/>
        </w:rPr>
        <w:t>oracy</w:t>
      </w:r>
      <w:proofErr w:type="spellEnd"/>
      <w:r w:rsidRPr="0053733C">
        <w:rPr>
          <w:rFonts w:asciiTheme="majorHAnsi" w:hAnsiTheme="majorHAnsi"/>
        </w:rPr>
        <w:t xml:space="preserve"> further and connect storytelling with play.</w:t>
      </w:r>
    </w:p>
    <w:p w14:paraId="7017D4A1" w14:textId="77777777" w:rsidR="008B40A4" w:rsidRPr="004317CA" w:rsidRDefault="008B40A4" w:rsidP="009E524D">
      <w:pPr>
        <w:spacing w:line="360" w:lineRule="auto"/>
        <w:rPr>
          <w:rFonts w:asciiTheme="majorHAnsi" w:hAnsiTheme="majorHAnsi"/>
          <w:b/>
          <w:bCs/>
          <w:u w:val="single"/>
        </w:rPr>
      </w:pPr>
      <w:r w:rsidRPr="004317CA">
        <w:rPr>
          <w:rFonts w:asciiTheme="majorHAnsi" w:hAnsiTheme="majorHAnsi"/>
          <w:b/>
          <w:bCs/>
          <w:u w:val="single"/>
        </w:rPr>
        <w:t>Digital storytelling – The Puzzle Monkey</w:t>
      </w:r>
    </w:p>
    <w:p w14:paraId="16B8BE4D" w14:textId="13D39901" w:rsidR="008B40A4" w:rsidRPr="0053733C" w:rsidRDefault="008B40A4" w:rsidP="009E524D">
      <w:pPr>
        <w:spacing w:line="360" w:lineRule="auto"/>
        <w:rPr>
          <w:rFonts w:asciiTheme="majorHAnsi" w:hAnsiTheme="majorHAnsi"/>
        </w:rPr>
      </w:pPr>
      <w:r w:rsidRPr="0053733C">
        <w:rPr>
          <w:rFonts w:asciiTheme="majorHAnsi" w:hAnsiTheme="majorHAnsi"/>
        </w:rPr>
        <w:t xml:space="preserve">For the digital activity, I used a YouTube-style animated story called </w:t>
      </w:r>
      <w:r w:rsidR="005A7062" w:rsidRPr="0053733C">
        <w:rPr>
          <w:rFonts w:asciiTheme="majorHAnsi" w:hAnsiTheme="majorHAnsi"/>
        </w:rPr>
        <w:t>“</w:t>
      </w:r>
      <w:r w:rsidRPr="0053733C">
        <w:rPr>
          <w:rFonts w:asciiTheme="majorHAnsi" w:hAnsiTheme="majorHAnsi"/>
        </w:rPr>
        <w:t>The Puzzle Monkey</w:t>
      </w:r>
      <w:r w:rsidR="005A7062" w:rsidRPr="0053733C">
        <w:rPr>
          <w:rFonts w:asciiTheme="majorHAnsi" w:hAnsiTheme="majorHAnsi"/>
        </w:rPr>
        <w:t>”</w:t>
      </w:r>
      <w:r w:rsidRPr="0053733C">
        <w:rPr>
          <w:rFonts w:asciiTheme="majorHAnsi" w:hAnsiTheme="majorHAnsi"/>
        </w:rPr>
        <w:t xml:space="preserve"> The video included music, sound effects, and bright animations. I introduced it as though I were showing it to the children on a tablet or screen, saying things like, “Let’s see what the clever monkey is up to today!” Throughout, I pretended to pause and ask the group what might happen next or to help the monkey solve a puzzle.In a real classroom, I imagine children would be very engaged because of the visuals and interactivity. Digital stories appeal to different </w:t>
      </w:r>
      <w:r w:rsidRPr="0053733C">
        <w:rPr>
          <w:rFonts w:asciiTheme="majorHAnsi" w:hAnsiTheme="majorHAnsi"/>
        </w:rPr>
        <w:lastRenderedPageBreak/>
        <w:t>learning styles especially visual and auditory learners. Marsh (2010) explains that digital media can enhance literacy by providing multiple modes of meaning: words, images, movement, and sound.</w:t>
      </w:r>
      <w:r w:rsidR="005A7062" w:rsidRPr="0053733C">
        <w:rPr>
          <w:rFonts w:asciiTheme="majorHAnsi" w:hAnsiTheme="majorHAnsi"/>
        </w:rPr>
        <w:t xml:space="preserve">I </w:t>
      </w:r>
      <w:r w:rsidRPr="0053733C">
        <w:rPr>
          <w:rFonts w:asciiTheme="majorHAnsi" w:hAnsiTheme="majorHAnsi"/>
        </w:rPr>
        <w:t>also thought about how children might demonstrate digital literacy. For example, they may pretend to tap the screen or point to characters, showing awareness of how technology works. Plowman and Stephen (2007) argue that young children develop digital competence through guided interaction with adults. This means practitioners play a key role in modelling safe and purposeful technology use.Digital storytelling can also support comprehension and sequencing skills. The animations help children follow the order of events, and sound effects highlight emotions or important moments. However, I realised that it’s easy for digital content to take over if adults don’t guide discussion. To balance this, I would pause the video regularly and ask questions that link back to language: “Why do you think the monkey is happy now?” or “What might he do next?”</w:t>
      </w:r>
    </w:p>
    <w:p w14:paraId="48694865" w14:textId="77777777" w:rsidR="008B40A4" w:rsidRPr="0053733C" w:rsidRDefault="008B40A4" w:rsidP="009E524D">
      <w:pPr>
        <w:spacing w:line="360" w:lineRule="auto"/>
        <w:rPr>
          <w:rFonts w:asciiTheme="majorHAnsi" w:hAnsiTheme="majorHAnsi"/>
        </w:rPr>
      </w:pPr>
    </w:p>
    <w:p w14:paraId="0A0B32EC" w14:textId="77777777" w:rsidR="008B40A4" w:rsidRPr="0053733C" w:rsidRDefault="008B40A4" w:rsidP="009E524D">
      <w:pPr>
        <w:spacing w:line="360" w:lineRule="auto"/>
        <w:rPr>
          <w:rFonts w:asciiTheme="majorHAnsi" w:hAnsiTheme="majorHAnsi"/>
        </w:rPr>
      </w:pPr>
      <w:r w:rsidRPr="0053733C">
        <w:rPr>
          <w:rFonts w:asciiTheme="majorHAnsi" w:hAnsiTheme="majorHAnsi"/>
        </w:rPr>
        <w:t>Another strength of digital storytelling is inclusivity. Children who struggle with attention or language can still engage through images and sounds. It can also introduce children to global stories and cultures, broadening their understanding of the world. However, I must consider screen time and ensure digital tools complement, rather than replace, face-to-face storytelling.</w:t>
      </w:r>
    </w:p>
    <w:p w14:paraId="6AAD2E3F" w14:textId="77777777" w:rsidR="008B40A4" w:rsidRPr="004317CA" w:rsidRDefault="008B40A4" w:rsidP="009E524D">
      <w:pPr>
        <w:spacing w:line="360" w:lineRule="auto"/>
        <w:rPr>
          <w:rFonts w:asciiTheme="majorHAnsi" w:hAnsiTheme="majorHAnsi"/>
          <w:b/>
          <w:bCs/>
          <w:u w:val="single"/>
        </w:rPr>
      </w:pPr>
      <w:r w:rsidRPr="004317CA">
        <w:rPr>
          <w:rFonts w:asciiTheme="majorHAnsi" w:hAnsiTheme="majorHAnsi"/>
          <w:b/>
          <w:bCs/>
          <w:u w:val="single"/>
        </w:rPr>
        <w:t>Comparing the two approaches</w:t>
      </w:r>
    </w:p>
    <w:p w14:paraId="5ED0372E" w14:textId="26BED0DC" w:rsidR="008B40A4" w:rsidRPr="0053733C" w:rsidRDefault="008B40A4" w:rsidP="009E524D">
      <w:pPr>
        <w:spacing w:line="360" w:lineRule="auto"/>
        <w:rPr>
          <w:rFonts w:asciiTheme="majorHAnsi" w:hAnsiTheme="majorHAnsi"/>
        </w:rPr>
      </w:pPr>
      <w:r w:rsidRPr="0053733C">
        <w:rPr>
          <w:rFonts w:asciiTheme="majorHAnsi" w:hAnsiTheme="majorHAnsi"/>
        </w:rPr>
        <w:t xml:space="preserve">Reflecting on both activities helped me see clear differences and overlaps. Traditional storytelling felt slower and more personal. It allowed for imagination and deeper social connection. Digital storytelling, on the other hand, felt faster and more visually stimulating. Both support literacy, but in different ways.When I compared them, I realised that </w:t>
      </w:r>
      <w:r w:rsidR="00AB7468" w:rsidRPr="0053733C">
        <w:rPr>
          <w:rFonts w:asciiTheme="majorHAnsi" w:hAnsiTheme="majorHAnsi"/>
        </w:rPr>
        <w:t>“</w:t>
      </w:r>
      <w:r w:rsidRPr="0053733C">
        <w:rPr>
          <w:rFonts w:asciiTheme="majorHAnsi" w:hAnsiTheme="majorHAnsi"/>
        </w:rPr>
        <w:t>The Tiger Who Came to Tea</w:t>
      </w:r>
      <w:r w:rsidR="00AB7468" w:rsidRPr="0053733C">
        <w:rPr>
          <w:rFonts w:asciiTheme="majorHAnsi" w:hAnsiTheme="majorHAnsi"/>
        </w:rPr>
        <w:t xml:space="preserve">” </w:t>
      </w:r>
      <w:r w:rsidRPr="0053733C">
        <w:rPr>
          <w:rFonts w:asciiTheme="majorHAnsi" w:hAnsiTheme="majorHAnsi"/>
        </w:rPr>
        <w:t xml:space="preserve">supports </w:t>
      </w:r>
      <w:proofErr w:type="spellStart"/>
      <w:r w:rsidRPr="0053733C">
        <w:rPr>
          <w:rFonts w:asciiTheme="majorHAnsi" w:hAnsiTheme="majorHAnsi"/>
        </w:rPr>
        <w:t>oracy</w:t>
      </w:r>
      <w:proofErr w:type="spellEnd"/>
      <w:r w:rsidRPr="0053733C">
        <w:rPr>
          <w:rFonts w:asciiTheme="majorHAnsi" w:hAnsiTheme="majorHAnsi"/>
        </w:rPr>
        <w:t xml:space="preserve"> through conversation and expression, while </w:t>
      </w:r>
      <w:r w:rsidR="00AB7468" w:rsidRPr="0053733C">
        <w:rPr>
          <w:rFonts w:asciiTheme="majorHAnsi" w:hAnsiTheme="majorHAnsi"/>
        </w:rPr>
        <w:t>“</w:t>
      </w:r>
      <w:r w:rsidRPr="0053733C">
        <w:rPr>
          <w:rFonts w:asciiTheme="majorHAnsi" w:hAnsiTheme="majorHAnsi"/>
        </w:rPr>
        <w:t>The Puzzle Monkey</w:t>
      </w:r>
      <w:r w:rsidR="00AB7468" w:rsidRPr="0053733C">
        <w:rPr>
          <w:rFonts w:asciiTheme="majorHAnsi" w:hAnsiTheme="majorHAnsi"/>
        </w:rPr>
        <w:t>”</w:t>
      </w:r>
      <w:r w:rsidRPr="0053733C">
        <w:rPr>
          <w:rFonts w:asciiTheme="majorHAnsi" w:hAnsiTheme="majorHAnsi"/>
        </w:rPr>
        <w:t xml:space="preserve"> develops digital awareness and multimodal comprehension. In practice, a balanced approach might be best: using traditional books to build imagination and emotional language, and digital stories to extend vocabulary and media understanding.The EYFS (DfE, 2021) emphasises communication and language as a prime area of learning. Storytelling directly </w:t>
      </w:r>
      <w:r w:rsidRPr="0053733C">
        <w:rPr>
          <w:rFonts w:asciiTheme="majorHAnsi" w:hAnsiTheme="majorHAnsi"/>
        </w:rPr>
        <w:lastRenderedPageBreak/>
        <w:t>supports this by helping children listen, speak, and understand. Adding digital storytelling also aligns with early learning goals for technology and understanding the world.</w:t>
      </w:r>
    </w:p>
    <w:p w14:paraId="0DB3689E" w14:textId="6C724EBE" w:rsidR="008B40A4" w:rsidRPr="0053733C" w:rsidRDefault="008B40A4" w:rsidP="009E524D">
      <w:pPr>
        <w:spacing w:line="360" w:lineRule="auto"/>
        <w:rPr>
          <w:rFonts w:asciiTheme="majorHAnsi" w:hAnsiTheme="majorHAnsi"/>
        </w:rPr>
      </w:pPr>
      <w:r w:rsidRPr="0053733C">
        <w:rPr>
          <w:rFonts w:asciiTheme="majorHAnsi" w:hAnsiTheme="majorHAnsi"/>
        </w:rPr>
        <w:t>Because my activities were filmed without children, I had to imagine their reactions based on previous experience and theory. This made me think more carefully about planning and observation. I realised how important it is to watch for subtle responses</w:t>
      </w:r>
      <w:r w:rsidR="00582049" w:rsidRPr="0053733C">
        <w:rPr>
          <w:rFonts w:asciiTheme="majorHAnsi" w:hAnsiTheme="majorHAnsi"/>
        </w:rPr>
        <w:t xml:space="preserve"> </w:t>
      </w:r>
      <w:r w:rsidRPr="0053733C">
        <w:rPr>
          <w:rFonts w:asciiTheme="majorHAnsi" w:hAnsiTheme="majorHAnsi"/>
        </w:rPr>
        <w:t>facial expressions, gestures, or attempts to repeat phrases.</w:t>
      </w:r>
      <w:r w:rsidR="00582049" w:rsidRPr="0053733C">
        <w:rPr>
          <w:rFonts w:asciiTheme="majorHAnsi" w:hAnsiTheme="majorHAnsi"/>
        </w:rPr>
        <w:t>I</w:t>
      </w:r>
      <w:r w:rsidRPr="0053733C">
        <w:rPr>
          <w:rFonts w:asciiTheme="majorHAnsi" w:hAnsiTheme="majorHAnsi"/>
        </w:rPr>
        <w:t xml:space="preserve"> also reflected on my own confidence. Using expressive voices at first felt awkward, but once I started, it felt natural and fun. This reminded me that practitioner enthusiasm directly affects children’s engagement (Cremin et al., 2014). When adults show enjoyment, children mirror that excitement.Planning the digital story made me more aware of safety and purposeful use of media. It’s easy to think of technology as a distraction, but when used intentionally, it can enhance learning. I would make sure to discuss online safety and appropriate use even in early years settings, as suggested by Livingstone and Smith (2014).Finally, I thought about how storytelling links to inclusion. Some children might respond better to books, others to screens. Offering both gives every child a chance to engage in a way that suits them.</w:t>
      </w:r>
    </w:p>
    <w:p w14:paraId="5D6C88A1" w14:textId="0F496AFC" w:rsidR="00B82EEA" w:rsidRPr="004317CA" w:rsidRDefault="008B40A4" w:rsidP="009E524D">
      <w:pPr>
        <w:spacing w:line="360" w:lineRule="auto"/>
        <w:rPr>
          <w:rFonts w:asciiTheme="majorHAnsi" w:hAnsiTheme="majorHAnsi"/>
          <w:b/>
          <w:bCs/>
          <w:u w:val="single"/>
        </w:rPr>
      </w:pPr>
      <w:r w:rsidRPr="004317CA">
        <w:rPr>
          <w:rFonts w:asciiTheme="majorHAnsi" w:hAnsiTheme="majorHAnsi"/>
          <w:b/>
          <w:bCs/>
          <w:u w:val="single"/>
        </w:rPr>
        <w:t>Conclusion</w:t>
      </w:r>
    </w:p>
    <w:p w14:paraId="4438C89D" w14:textId="77777777" w:rsidR="00C44C04" w:rsidRPr="00C44C04" w:rsidRDefault="00C44C04" w:rsidP="003658AE">
      <w:pPr>
        <w:pStyle w:val="p1"/>
        <w:spacing w:line="360" w:lineRule="auto"/>
        <w:rPr>
          <w:rFonts w:asciiTheme="majorHAnsi" w:hAnsiTheme="majorHAnsi"/>
          <w:sz w:val="24"/>
          <w:szCs w:val="24"/>
        </w:rPr>
      </w:pPr>
      <w:r w:rsidRPr="00C44C04">
        <w:rPr>
          <w:rStyle w:val="s1"/>
          <w:rFonts w:asciiTheme="majorHAnsi" w:hAnsiTheme="majorHAnsi"/>
          <w:b w:val="0"/>
          <w:bCs w:val="0"/>
          <w:sz w:val="24"/>
          <w:szCs w:val="24"/>
        </w:rPr>
        <w:t xml:space="preserve">How the Activities Promoted </w:t>
      </w:r>
      <w:proofErr w:type="spellStart"/>
      <w:r w:rsidRPr="00C44C04">
        <w:rPr>
          <w:rStyle w:val="s1"/>
          <w:rFonts w:asciiTheme="majorHAnsi" w:hAnsiTheme="majorHAnsi"/>
          <w:b w:val="0"/>
          <w:bCs w:val="0"/>
          <w:sz w:val="24"/>
          <w:szCs w:val="24"/>
        </w:rPr>
        <w:t>Oracy</w:t>
      </w:r>
      <w:proofErr w:type="spellEnd"/>
      <w:r w:rsidRPr="00C44C04">
        <w:rPr>
          <w:rStyle w:val="s1"/>
          <w:rFonts w:asciiTheme="majorHAnsi" w:hAnsiTheme="majorHAnsi"/>
          <w:b w:val="0"/>
          <w:bCs w:val="0"/>
          <w:sz w:val="24"/>
          <w:szCs w:val="24"/>
        </w:rPr>
        <w:t>, Reading, Writing and Digital Literacy</w:t>
      </w:r>
    </w:p>
    <w:p w14:paraId="5174FD09" w14:textId="77777777" w:rsidR="00C44C04" w:rsidRPr="00C44C04" w:rsidRDefault="00C44C04" w:rsidP="003658AE">
      <w:pPr>
        <w:pStyle w:val="p2"/>
        <w:spacing w:line="360" w:lineRule="auto"/>
        <w:rPr>
          <w:rFonts w:asciiTheme="majorHAnsi" w:hAnsiTheme="majorHAnsi"/>
          <w:sz w:val="24"/>
          <w:szCs w:val="24"/>
        </w:rPr>
      </w:pPr>
    </w:p>
    <w:p w14:paraId="101C1F7C" w14:textId="77777777" w:rsidR="00C44C04" w:rsidRPr="00C44C04" w:rsidRDefault="00C44C04" w:rsidP="003658AE">
      <w:pPr>
        <w:pStyle w:val="p1"/>
        <w:spacing w:line="360" w:lineRule="auto"/>
        <w:rPr>
          <w:rFonts w:asciiTheme="majorHAnsi" w:hAnsiTheme="majorHAnsi"/>
          <w:sz w:val="24"/>
          <w:szCs w:val="24"/>
        </w:rPr>
      </w:pPr>
      <w:r w:rsidRPr="00C44C04">
        <w:rPr>
          <w:rStyle w:val="s2"/>
          <w:rFonts w:asciiTheme="majorHAnsi" w:hAnsiTheme="majorHAnsi"/>
          <w:sz w:val="24"/>
          <w:szCs w:val="24"/>
        </w:rPr>
        <w:t xml:space="preserve">Both storytelling activities supported children’s communication skills in different ways. During the traditional reading of </w:t>
      </w:r>
      <w:r w:rsidRPr="003658AE">
        <w:rPr>
          <w:rStyle w:val="s3"/>
          <w:rFonts w:asciiTheme="majorHAnsi" w:hAnsiTheme="majorHAnsi"/>
          <w:i w:val="0"/>
          <w:iCs w:val="0"/>
          <w:sz w:val="24"/>
          <w:szCs w:val="24"/>
        </w:rPr>
        <w:t>The Tiger Who Came to Tea</w:t>
      </w:r>
      <w:r w:rsidRPr="003658AE">
        <w:rPr>
          <w:rStyle w:val="s2"/>
          <w:rFonts w:asciiTheme="majorHAnsi" w:hAnsiTheme="majorHAnsi"/>
          <w:i/>
          <w:iCs/>
          <w:sz w:val="24"/>
          <w:szCs w:val="24"/>
        </w:rPr>
        <w:t>,</w:t>
      </w:r>
      <w:r w:rsidRPr="00C44C04">
        <w:rPr>
          <w:rStyle w:val="s2"/>
          <w:rFonts w:asciiTheme="majorHAnsi" w:hAnsiTheme="majorHAnsi"/>
          <w:sz w:val="24"/>
          <w:szCs w:val="24"/>
        </w:rPr>
        <w:t xml:space="preserve"> I encouraged prediction and discussion by asking questions and changing my tone of voice. This would support </w:t>
      </w:r>
      <w:proofErr w:type="spellStart"/>
      <w:r w:rsidRPr="00C44C04">
        <w:rPr>
          <w:rStyle w:val="s2"/>
          <w:rFonts w:asciiTheme="majorHAnsi" w:hAnsiTheme="majorHAnsi"/>
          <w:sz w:val="24"/>
          <w:szCs w:val="24"/>
        </w:rPr>
        <w:t>oracy</w:t>
      </w:r>
      <w:proofErr w:type="spellEnd"/>
      <w:r w:rsidRPr="00C44C04">
        <w:rPr>
          <w:rStyle w:val="s2"/>
          <w:rFonts w:asciiTheme="majorHAnsi" w:hAnsiTheme="majorHAnsi"/>
          <w:sz w:val="24"/>
          <w:szCs w:val="24"/>
        </w:rPr>
        <w:t xml:space="preserve"> because children would have opportunities to speak, take turns and express ideas. Listening to the story also helps children develop concentration and understanding of sentence structure. Repeated phrases in stories can encourage children to join in, which builds confidence in speaking.</w:t>
      </w:r>
    </w:p>
    <w:p w14:paraId="21F08A07" w14:textId="77777777" w:rsidR="00C44C04" w:rsidRPr="00C44C04" w:rsidRDefault="00C44C04" w:rsidP="003658AE">
      <w:pPr>
        <w:pStyle w:val="p2"/>
        <w:spacing w:line="360" w:lineRule="auto"/>
        <w:rPr>
          <w:rFonts w:asciiTheme="majorHAnsi" w:hAnsiTheme="majorHAnsi"/>
          <w:sz w:val="24"/>
          <w:szCs w:val="24"/>
        </w:rPr>
      </w:pPr>
    </w:p>
    <w:p w14:paraId="23EBE7F1" w14:textId="77777777" w:rsidR="00C44C04" w:rsidRPr="00C44C04" w:rsidRDefault="00C44C04" w:rsidP="003658AE">
      <w:pPr>
        <w:pStyle w:val="p1"/>
        <w:spacing w:line="360" w:lineRule="auto"/>
        <w:rPr>
          <w:rFonts w:asciiTheme="majorHAnsi" w:hAnsiTheme="majorHAnsi"/>
          <w:sz w:val="24"/>
          <w:szCs w:val="24"/>
        </w:rPr>
      </w:pPr>
      <w:r w:rsidRPr="00C44C04">
        <w:rPr>
          <w:rStyle w:val="s2"/>
          <w:rFonts w:asciiTheme="majorHAnsi" w:hAnsiTheme="majorHAnsi"/>
          <w:sz w:val="24"/>
          <w:szCs w:val="24"/>
        </w:rPr>
        <w:t xml:space="preserve">In terms of reading development, sharing a physical book supports print awareness. Children can see how text is laid out on a page and begin to understand that print carries meaning. Stories also introduce new vocabulary that children may not hear in everyday conversation. This helps build language foundations for later independent reading. Writing skills are also </w:t>
      </w:r>
      <w:r w:rsidRPr="00C44C04">
        <w:rPr>
          <w:rStyle w:val="s2"/>
          <w:rFonts w:asciiTheme="majorHAnsi" w:hAnsiTheme="majorHAnsi"/>
          <w:sz w:val="24"/>
          <w:szCs w:val="24"/>
        </w:rPr>
        <w:lastRenderedPageBreak/>
        <w:t>supported through storytelling, as children can retell stories, sequence events and eventually create their own narratives. Even pretending to act out parts of the story develops imagination and narrative thinking, which are important for early writing.</w:t>
      </w:r>
    </w:p>
    <w:p w14:paraId="2C2DC146" w14:textId="77777777" w:rsidR="00C44C04" w:rsidRPr="00C44C04" w:rsidRDefault="00C44C04" w:rsidP="003658AE">
      <w:pPr>
        <w:pStyle w:val="p2"/>
        <w:spacing w:line="360" w:lineRule="auto"/>
        <w:rPr>
          <w:rFonts w:asciiTheme="majorHAnsi" w:hAnsiTheme="majorHAnsi"/>
          <w:sz w:val="24"/>
          <w:szCs w:val="24"/>
        </w:rPr>
      </w:pPr>
    </w:p>
    <w:p w14:paraId="725C6129" w14:textId="77777777" w:rsidR="00C44C04" w:rsidRPr="00C44C04" w:rsidRDefault="00C44C04" w:rsidP="003658AE">
      <w:pPr>
        <w:pStyle w:val="p1"/>
        <w:spacing w:line="360" w:lineRule="auto"/>
        <w:rPr>
          <w:rFonts w:asciiTheme="majorHAnsi" w:hAnsiTheme="majorHAnsi"/>
          <w:sz w:val="24"/>
          <w:szCs w:val="24"/>
        </w:rPr>
      </w:pPr>
      <w:r w:rsidRPr="00C44C04">
        <w:rPr>
          <w:rStyle w:val="s2"/>
          <w:rFonts w:asciiTheme="majorHAnsi" w:hAnsiTheme="majorHAnsi"/>
          <w:sz w:val="24"/>
          <w:szCs w:val="24"/>
        </w:rPr>
        <w:t>The digital storytelling activity supported digital literacy as well as language development. Watching a YouTube-style story introduces children to multimedia texts that combine sound, images and movement. Children today are growing up in a digital world, so it is important that they learn how to engage with technology in a safe and purposeful way. During the digital story, I needed to pause and ask questions to maintain interaction. This showed me that technology works best when guided by an adult. Overall, both activities promoted different but equally valuable literacy skills.</w:t>
      </w:r>
    </w:p>
    <w:p w14:paraId="450160B2" w14:textId="77777777" w:rsidR="00B82EEA" w:rsidRPr="00C44C04" w:rsidRDefault="00B82EEA" w:rsidP="003658AE">
      <w:pPr>
        <w:spacing w:line="360" w:lineRule="auto"/>
        <w:rPr>
          <w:rFonts w:asciiTheme="majorHAnsi" w:hAnsiTheme="majorHAnsi"/>
          <w:u w:val="single"/>
        </w:rPr>
      </w:pPr>
    </w:p>
    <w:p w14:paraId="2C861CD3" w14:textId="390BC856" w:rsidR="008B40A4" w:rsidRPr="0053733C" w:rsidRDefault="008B40A4" w:rsidP="009E524D">
      <w:pPr>
        <w:spacing w:line="360" w:lineRule="auto"/>
        <w:rPr>
          <w:rFonts w:asciiTheme="majorHAnsi" w:hAnsiTheme="majorHAnsi"/>
        </w:rPr>
      </w:pPr>
      <w:r w:rsidRPr="0053733C">
        <w:rPr>
          <w:rFonts w:asciiTheme="majorHAnsi" w:hAnsiTheme="majorHAnsi"/>
        </w:rPr>
        <w:t xml:space="preserve">This reflection showed me that both traditional and digital storytelling play an important part in supporting children’s communication, literacy, and digital skills. Reading *The Tiger Who Came to Tea* helped me think about how voice, expression, and shared attention support </w:t>
      </w:r>
      <w:proofErr w:type="spellStart"/>
      <w:r w:rsidRPr="0053733C">
        <w:rPr>
          <w:rFonts w:asciiTheme="majorHAnsi" w:hAnsiTheme="majorHAnsi"/>
        </w:rPr>
        <w:t>oracy</w:t>
      </w:r>
      <w:proofErr w:type="spellEnd"/>
      <w:r w:rsidRPr="0053733C">
        <w:rPr>
          <w:rFonts w:asciiTheme="majorHAnsi" w:hAnsiTheme="majorHAnsi"/>
        </w:rPr>
        <w:t xml:space="preserve"> and imagination. Using </w:t>
      </w:r>
      <w:r w:rsidR="00B51FBA" w:rsidRPr="0053733C">
        <w:rPr>
          <w:rFonts w:asciiTheme="majorHAnsi" w:hAnsiTheme="majorHAnsi"/>
        </w:rPr>
        <w:t>“</w:t>
      </w:r>
      <w:r w:rsidRPr="0053733C">
        <w:rPr>
          <w:rFonts w:asciiTheme="majorHAnsi" w:hAnsiTheme="majorHAnsi"/>
        </w:rPr>
        <w:t>The Puzzle Monkey</w:t>
      </w:r>
      <w:r w:rsidR="00B51FBA" w:rsidRPr="0053733C">
        <w:rPr>
          <w:rFonts w:asciiTheme="majorHAnsi" w:hAnsiTheme="majorHAnsi"/>
        </w:rPr>
        <w:t xml:space="preserve">” </w:t>
      </w:r>
      <w:r w:rsidRPr="0053733C">
        <w:rPr>
          <w:rFonts w:asciiTheme="majorHAnsi" w:hAnsiTheme="majorHAnsi"/>
        </w:rPr>
        <w:t>highlighted how digital tools can motivate children and develop awareness of technology. Together, they offer a rich balance of experiences. I learned that storytelling is not just about reading but about interaction, creativity, and relationship-building. In future practice, I want to combine both methods to give children varied and meaningful ways to explore language.</w:t>
      </w:r>
    </w:p>
    <w:p w14:paraId="300C84B9" w14:textId="77777777" w:rsidR="008B40A4" w:rsidRPr="0053733C" w:rsidRDefault="008B40A4" w:rsidP="009E524D">
      <w:pPr>
        <w:spacing w:line="360" w:lineRule="auto"/>
        <w:rPr>
          <w:rFonts w:asciiTheme="majorHAnsi" w:hAnsiTheme="majorHAnsi"/>
        </w:rPr>
      </w:pPr>
      <w:r w:rsidRPr="0053733C">
        <w:rPr>
          <w:rFonts w:asciiTheme="majorHAnsi" w:hAnsiTheme="majorHAnsi"/>
        </w:rPr>
        <w:t>Through completing these activities, I became more aware of my own language skills. When I used different voices in the traditional story, I realised how much tone and expression affect engagement. At first I felt slightly uncomfortable, but I became more confident as I continued. In the digital storytelling session, I noticed that I needed to pause the video and ask questions so that interaction was not lost. This made me reflect on how important it is for practitioners to model clear and expressive language. It also reminded me that technology should support communication, not replace it.</w:t>
      </w:r>
    </w:p>
    <w:p w14:paraId="6B4C7E47" w14:textId="77777777" w:rsidR="008B40A4" w:rsidRPr="0053733C" w:rsidRDefault="008B40A4" w:rsidP="009E524D">
      <w:pPr>
        <w:spacing w:line="360" w:lineRule="auto"/>
        <w:rPr>
          <w:rFonts w:asciiTheme="majorHAnsi" w:hAnsiTheme="majorHAnsi"/>
        </w:rPr>
      </w:pPr>
      <w:r w:rsidRPr="0053733C">
        <w:rPr>
          <w:rFonts w:asciiTheme="majorHAnsi" w:hAnsiTheme="majorHAnsi"/>
        </w:rPr>
        <w:t> </w:t>
      </w:r>
    </w:p>
    <w:p w14:paraId="7699D3C0" w14:textId="77777777" w:rsidR="00B51FBA" w:rsidRPr="0053733C" w:rsidRDefault="00B51FBA" w:rsidP="009E524D">
      <w:pPr>
        <w:spacing w:line="360" w:lineRule="auto"/>
        <w:rPr>
          <w:rFonts w:asciiTheme="majorHAnsi" w:hAnsiTheme="majorHAnsi"/>
        </w:rPr>
      </w:pPr>
    </w:p>
    <w:p w14:paraId="70955829" w14:textId="10DCCAC5" w:rsidR="008B40A4" w:rsidRPr="0053733C" w:rsidRDefault="008B40A4" w:rsidP="009E524D">
      <w:pPr>
        <w:spacing w:line="360" w:lineRule="auto"/>
        <w:rPr>
          <w:rFonts w:asciiTheme="majorHAnsi" w:hAnsiTheme="majorHAnsi"/>
          <w:u w:val="single"/>
        </w:rPr>
      </w:pPr>
      <w:r w:rsidRPr="0053733C">
        <w:rPr>
          <w:rFonts w:asciiTheme="majorHAnsi" w:hAnsiTheme="majorHAnsi"/>
          <w:u w:val="single"/>
        </w:rPr>
        <w:lastRenderedPageBreak/>
        <w:t>References</w:t>
      </w:r>
    </w:p>
    <w:p w14:paraId="2C640C2A" w14:textId="577D3152" w:rsidR="008B40A4" w:rsidRPr="0053733C" w:rsidRDefault="008B40A4" w:rsidP="009E524D">
      <w:pPr>
        <w:spacing w:line="360" w:lineRule="auto"/>
        <w:rPr>
          <w:rFonts w:asciiTheme="majorHAnsi" w:hAnsiTheme="majorHAnsi"/>
        </w:rPr>
      </w:pPr>
      <w:r w:rsidRPr="0053733C">
        <w:rPr>
          <w:rFonts w:asciiTheme="majorHAnsi" w:hAnsiTheme="majorHAnsi"/>
        </w:rPr>
        <w:t xml:space="preserve">Bruner, J. (1986). </w:t>
      </w:r>
      <w:r w:rsidR="00B51FBA" w:rsidRPr="0053733C">
        <w:rPr>
          <w:rFonts w:asciiTheme="majorHAnsi" w:hAnsiTheme="majorHAnsi"/>
        </w:rPr>
        <w:t>“</w:t>
      </w:r>
      <w:r w:rsidRPr="0053733C">
        <w:rPr>
          <w:rFonts w:asciiTheme="majorHAnsi" w:hAnsiTheme="majorHAnsi"/>
        </w:rPr>
        <w:t>Actual minds, possible worlds</w:t>
      </w:r>
      <w:r w:rsidR="00B51FBA" w:rsidRPr="0053733C">
        <w:rPr>
          <w:rFonts w:asciiTheme="majorHAnsi" w:hAnsiTheme="majorHAnsi"/>
        </w:rPr>
        <w:t>”</w:t>
      </w:r>
      <w:r w:rsidRPr="0053733C">
        <w:rPr>
          <w:rFonts w:asciiTheme="majorHAnsi" w:hAnsiTheme="majorHAnsi"/>
        </w:rPr>
        <w:t xml:space="preserve"> Harvard University Press.</w:t>
      </w:r>
    </w:p>
    <w:p w14:paraId="1533770F" w14:textId="75E69F97" w:rsidR="008B40A4" w:rsidRPr="0053733C" w:rsidRDefault="008B40A4" w:rsidP="009E524D">
      <w:pPr>
        <w:spacing w:line="360" w:lineRule="auto"/>
        <w:rPr>
          <w:rFonts w:asciiTheme="majorHAnsi" w:hAnsiTheme="majorHAnsi"/>
        </w:rPr>
      </w:pPr>
      <w:r w:rsidRPr="0053733C">
        <w:rPr>
          <w:rFonts w:asciiTheme="majorHAnsi" w:hAnsiTheme="majorHAnsi"/>
        </w:rPr>
        <w:t xml:space="preserve">Cremin, T., Mottram, M., Collins, F., Powell, S., &amp; Safford, K. (2014). </w:t>
      </w:r>
      <w:r w:rsidR="00B51FBA" w:rsidRPr="0053733C">
        <w:rPr>
          <w:rFonts w:asciiTheme="majorHAnsi" w:hAnsiTheme="majorHAnsi"/>
        </w:rPr>
        <w:t>“</w:t>
      </w:r>
      <w:r w:rsidRPr="0053733C">
        <w:rPr>
          <w:rFonts w:asciiTheme="majorHAnsi" w:hAnsiTheme="majorHAnsi"/>
        </w:rPr>
        <w:t>Building communities of engaged readers.</w:t>
      </w:r>
      <w:r w:rsidR="00B51FBA" w:rsidRPr="0053733C">
        <w:rPr>
          <w:rFonts w:asciiTheme="majorHAnsi" w:hAnsiTheme="majorHAnsi"/>
        </w:rPr>
        <w:t>”</w:t>
      </w:r>
      <w:r w:rsidRPr="0053733C">
        <w:rPr>
          <w:rFonts w:asciiTheme="majorHAnsi" w:hAnsiTheme="majorHAnsi"/>
        </w:rPr>
        <w:t xml:space="preserve"> </w:t>
      </w:r>
      <w:proofErr w:type="spellStart"/>
      <w:r w:rsidRPr="0053733C">
        <w:rPr>
          <w:rFonts w:asciiTheme="majorHAnsi" w:hAnsiTheme="majorHAnsi"/>
        </w:rPr>
        <w:t>Routledge</w:t>
      </w:r>
      <w:proofErr w:type="spellEnd"/>
      <w:r w:rsidRPr="0053733C">
        <w:rPr>
          <w:rFonts w:asciiTheme="majorHAnsi" w:hAnsiTheme="majorHAnsi"/>
        </w:rPr>
        <w:t>.</w:t>
      </w:r>
    </w:p>
    <w:p w14:paraId="726B3F15" w14:textId="1A6E1532" w:rsidR="008B40A4" w:rsidRPr="0053733C" w:rsidRDefault="008B40A4" w:rsidP="009E524D">
      <w:pPr>
        <w:spacing w:line="360" w:lineRule="auto"/>
        <w:rPr>
          <w:rFonts w:asciiTheme="majorHAnsi" w:hAnsiTheme="majorHAnsi"/>
        </w:rPr>
      </w:pPr>
      <w:r w:rsidRPr="0053733C">
        <w:rPr>
          <w:rFonts w:asciiTheme="majorHAnsi" w:hAnsiTheme="majorHAnsi"/>
        </w:rPr>
        <w:t xml:space="preserve">Department for Education. (2021). </w:t>
      </w:r>
      <w:r w:rsidR="00B51FBA" w:rsidRPr="0053733C">
        <w:rPr>
          <w:rFonts w:asciiTheme="majorHAnsi" w:hAnsiTheme="majorHAnsi"/>
        </w:rPr>
        <w:t>“</w:t>
      </w:r>
      <w:r w:rsidRPr="0053733C">
        <w:rPr>
          <w:rFonts w:asciiTheme="majorHAnsi" w:hAnsiTheme="majorHAnsi"/>
        </w:rPr>
        <w:t>Statutory framework for the early years foundation stage</w:t>
      </w:r>
      <w:r w:rsidR="00B51FBA" w:rsidRPr="0053733C">
        <w:rPr>
          <w:rFonts w:asciiTheme="majorHAnsi" w:hAnsiTheme="majorHAnsi"/>
        </w:rPr>
        <w:t>”</w:t>
      </w:r>
    </w:p>
    <w:p w14:paraId="175FF128" w14:textId="2026EFA7" w:rsidR="008B40A4" w:rsidRPr="0053733C" w:rsidRDefault="008B40A4" w:rsidP="009E524D">
      <w:pPr>
        <w:spacing w:line="360" w:lineRule="auto"/>
        <w:rPr>
          <w:rFonts w:asciiTheme="majorHAnsi" w:hAnsiTheme="majorHAnsi"/>
        </w:rPr>
      </w:pPr>
      <w:r w:rsidRPr="0053733C">
        <w:rPr>
          <w:rFonts w:asciiTheme="majorHAnsi" w:hAnsiTheme="majorHAnsi"/>
        </w:rPr>
        <w:t xml:space="preserve">Livingstone, S., &amp; Smith, P. K. (2014). Annual research review: Harms experienced by child users of online and mobile technologies. </w:t>
      </w:r>
      <w:r w:rsidR="00B51FBA" w:rsidRPr="0053733C">
        <w:rPr>
          <w:rFonts w:asciiTheme="majorHAnsi" w:hAnsiTheme="majorHAnsi"/>
        </w:rPr>
        <w:t>“</w:t>
      </w:r>
      <w:r w:rsidRPr="0053733C">
        <w:rPr>
          <w:rFonts w:asciiTheme="majorHAnsi" w:hAnsiTheme="majorHAnsi"/>
        </w:rPr>
        <w:t>Journal of Child Psychology and Psychiatry, 55</w:t>
      </w:r>
      <w:r w:rsidR="00B51FBA" w:rsidRPr="0053733C">
        <w:rPr>
          <w:rFonts w:asciiTheme="majorHAnsi" w:hAnsiTheme="majorHAnsi"/>
        </w:rPr>
        <w:t>”</w:t>
      </w:r>
      <w:r w:rsidR="00D24D5D" w:rsidRPr="0053733C">
        <w:rPr>
          <w:rFonts w:asciiTheme="majorHAnsi" w:hAnsiTheme="majorHAnsi"/>
        </w:rPr>
        <w:t>(</w:t>
      </w:r>
      <w:r w:rsidRPr="0053733C">
        <w:rPr>
          <w:rFonts w:asciiTheme="majorHAnsi" w:hAnsiTheme="majorHAnsi"/>
        </w:rPr>
        <w:t>6), 635–654.</w:t>
      </w:r>
    </w:p>
    <w:p w14:paraId="56B34DFE" w14:textId="42FF3799" w:rsidR="008B40A4" w:rsidRPr="0053733C" w:rsidRDefault="008B40A4" w:rsidP="009E524D">
      <w:pPr>
        <w:spacing w:line="360" w:lineRule="auto"/>
        <w:rPr>
          <w:rFonts w:asciiTheme="majorHAnsi" w:hAnsiTheme="majorHAnsi"/>
        </w:rPr>
      </w:pPr>
      <w:r w:rsidRPr="0053733C">
        <w:rPr>
          <w:rFonts w:asciiTheme="majorHAnsi" w:hAnsiTheme="majorHAnsi"/>
        </w:rPr>
        <w:t xml:space="preserve">Marsh, J. (2010). Young children’s play in online virtual worlds. </w:t>
      </w:r>
      <w:r w:rsidR="00D24D5D" w:rsidRPr="0053733C">
        <w:rPr>
          <w:rFonts w:asciiTheme="majorHAnsi" w:hAnsiTheme="majorHAnsi"/>
        </w:rPr>
        <w:t>“</w:t>
      </w:r>
      <w:r w:rsidRPr="0053733C">
        <w:rPr>
          <w:rFonts w:asciiTheme="majorHAnsi" w:hAnsiTheme="majorHAnsi"/>
        </w:rPr>
        <w:t>Journal of Early Childhood Research, 8</w:t>
      </w:r>
      <w:r w:rsidR="00D24D5D" w:rsidRPr="0053733C">
        <w:rPr>
          <w:rFonts w:asciiTheme="majorHAnsi" w:hAnsiTheme="majorHAnsi"/>
        </w:rPr>
        <w:t>”(</w:t>
      </w:r>
      <w:r w:rsidRPr="0053733C">
        <w:rPr>
          <w:rFonts w:asciiTheme="majorHAnsi" w:hAnsiTheme="majorHAnsi"/>
        </w:rPr>
        <w:t>1), 23–39.</w:t>
      </w:r>
    </w:p>
    <w:p w14:paraId="37C3E789" w14:textId="3D877458" w:rsidR="008B40A4" w:rsidRPr="0053733C" w:rsidRDefault="008B40A4" w:rsidP="009E524D">
      <w:pPr>
        <w:spacing w:line="360" w:lineRule="auto"/>
        <w:rPr>
          <w:rFonts w:asciiTheme="majorHAnsi" w:hAnsiTheme="majorHAnsi"/>
        </w:rPr>
      </w:pPr>
      <w:r w:rsidRPr="0053733C">
        <w:rPr>
          <w:rFonts w:asciiTheme="majorHAnsi" w:hAnsiTheme="majorHAnsi"/>
        </w:rPr>
        <w:t>Plowman, L., &amp; Stephen, C. (2007). Guided interaction in pre</w:t>
      </w:r>
      <w:r w:rsidRPr="0053733C">
        <w:rPr>
          <w:rFonts w:asciiTheme="majorHAnsi" w:hAnsiTheme="majorHAnsi" w:cs="Calibri"/>
        </w:rPr>
        <w:t>‐</w:t>
      </w:r>
      <w:r w:rsidRPr="0053733C">
        <w:rPr>
          <w:rFonts w:asciiTheme="majorHAnsi" w:hAnsiTheme="majorHAnsi"/>
        </w:rPr>
        <w:t xml:space="preserve">school settings. </w:t>
      </w:r>
      <w:r w:rsidR="00D24D5D" w:rsidRPr="0053733C">
        <w:rPr>
          <w:rFonts w:asciiTheme="majorHAnsi" w:hAnsiTheme="majorHAnsi"/>
        </w:rPr>
        <w:t>“</w:t>
      </w:r>
      <w:r w:rsidRPr="0053733C">
        <w:rPr>
          <w:rFonts w:asciiTheme="majorHAnsi" w:hAnsiTheme="majorHAnsi"/>
        </w:rPr>
        <w:t>Journal of Computer Assisted Learning, 23</w:t>
      </w:r>
      <w:r w:rsidR="00D24D5D" w:rsidRPr="0053733C">
        <w:rPr>
          <w:rFonts w:asciiTheme="majorHAnsi" w:hAnsiTheme="majorHAnsi"/>
        </w:rPr>
        <w:t>”(</w:t>
      </w:r>
      <w:r w:rsidRPr="0053733C">
        <w:rPr>
          <w:rFonts w:asciiTheme="majorHAnsi" w:hAnsiTheme="majorHAnsi"/>
        </w:rPr>
        <w:t>1), 14–26.</w:t>
      </w:r>
    </w:p>
    <w:p w14:paraId="71963993" w14:textId="2F77C691" w:rsidR="008B40A4" w:rsidRPr="0053733C" w:rsidRDefault="008B40A4" w:rsidP="009E524D">
      <w:pPr>
        <w:spacing w:line="360" w:lineRule="auto"/>
        <w:rPr>
          <w:rFonts w:asciiTheme="majorHAnsi" w:hAnsiTheme="majorHAnsi"/>
        </w:rPr>
      </w:pPr>
      <w:r w:rsidRPr="0053733C">
        <w:rPr>
          <w:rFonts w:asciiTheme="majorHAnsi" w:hAnsiTheme="majorHAnsi"/>
        </w:rPr>
        <w:t xml:space="preserve">Vygotsky, L. S. (1978). </w:t>
      </w:r>
      <w:r w:rsidR="00D24D5D" w:rsidRPr="0053733C">
        <w:rPr>
          <w:rFonts w:asciiTheme="majorHAnsi" w:hAnsiTheme="majorHAnsi"/>
        </w:rPr>
        <w:t>“</w:t>
      </w:r>
      <w:r w:rsidRPr="0053733C">
        <w:rPr>
          <w:rFonts w:asciiTheme="majorHAnsi" w:hAnsiTheme="majorHAnsi"/>
        </w:rPr>
        <w:t>Mind in society: The development of higher psychological processes</w:t>
      </w:r>
      <w:r w:rsidR="00F254EA" w:rsidRPr="0053733C">
        <w:rPr>
          <w:rFonts w:asciiTheme="majorHAnsi" w:hAnsiTheme="majorHAnsi"/>
        </w:rPr>
        <w:t xml:space="preserve">” </w:t>
      </w:r>
      <w:r w:rsidRPr="0053733C">
        <w:rPr>
          <w:rFonts w:asciiTheme="majorHAnsi" w:hAnsiTheme="majorHAnsi"/>
        </w:rPr>
        <w:t>Harvard University Press.</w:t>
      </w:r>
    </w:p>
    <w:p w14:paraId="07BEFCAB" w14:textId="736E5CD2" w:rsidR="008B40A4" w:rsidRPr="0053733C" w:rsidRDefault="008B40A4" w:rsidP="009E524D">
      <w:pPr>
        <w:spacing w:line="360" w:lineRule="auto"/>
        <w:rPr>
          <w:rFonts w:asciiTheme="majorHAnsi" w:hAnsiTheme="majorHAnsi"/>
        </w:rPr>
      </w:pPr>
      <w:proofErr w:type="spellStart"/>
      <w:r w:rsidRPr="0053733C">
        <w:rPr>
          <w:rFonts w:asciiTheme="majorHAnsi" w:hAnsiTheme="majorHAnsi"/>
        </w:rPr>
        <w:t>Whitebread</w:t>
      </w:r>
      <w:proofErr w:type="spellEnd"/>
      <w:r w:rsidRPr="0053733C">
        <w:rPr>
          <w:rFonts w:asciiTheme="majorHAnsi" w:hAnsiTheme="majorHAnsi"/>
        </w:rPr>
        <w:t xml:space="preserve">, D. (2012). </w:t>
      </w:r>
      <w:r w:rsidR="00F254EA" w:rsidRPr="0053733C">
        <w:rPr>
          <w:rFonts w:asciiTheme="majorHAnsi" w:hAnsiTheme="majorHAnsi"/>
        </w:rPr>
        <w:t>“</w:t>
      </w:r>
      <w:r w:rsidRPr="0053733C">
        <w:rPr>
          <w:rFonts w:asciiTheme="majorHAnsi" w:hAnsiTheme="majorHAnsi"/>
        </w:rPr>
        <w:t>Developmental psychology and early childhood education.</w:t>
      </w:r>
      <w:r w:rsidR="00F254EA" w:rsidRPr="0053733C">
        <w:rPr>
          <w:rFonts w:asciiTheme="majorHAnsi" w:hAnsiTheme="majorHAnsi"/>
        </w:rPr>
        <w:t>”</w:t>
      </w:r>
      <w:r w:rsidRPr="0053733C">
        <w:rPr>
          <w:rFonts w:asciiTheme="majorHAnsi" w:hAnsiTheme="majorHAnsi"/>
        </w:rPr>
        <w:t xml:space="preserve"> SAGE</w:t>
      </w:r>
    </w:p>
    <w:sectPr w:rsidR="008B40A4" w:rsidRPr="0053733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4A38C" w14:textId="77777777" w:rsidR="008B40A4" w:rsidRDefault="008B40A4" w:rsidP="008B40A4">
      <w:pPr>
        <w:spacing w:after="0" w:line="240" w:lineRule="auto"/>
      </w:pPr>
      <w:r>
        <w:separator/>
      </w:r>
    </w:p>
  </w:endnote>
  <w:endnote w:type="continuationSeparator" w:id="0">
    <w:p w14:paraId="3CBDCEE4" w14:textId="77777777" w:rsidR="008B40A4" w:rsidRDefault="008B40A4" w:rsidP="008B40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 w:name=".SFUI-RegularItalic">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50F31" w14:textId="77777777" w:rsidR="008B40A4" w:rsidRDefault="008B40A4" w:rsidP="008B40A4">
      <w:pPr>
        <w:spacing w:after="0" w:line="240" w:lineRule="auto"/>
      </w:pPr>
      <w:r>
        <w:separator/>
      </w:r>
    </w:p>
  </w:footnote>
  <w:footnote w:type="continuationSeparator" w:id="0">
    <w:p w14:paraId="499D7C18" w14:textId="77777777" w:rsidR="008B40A4" w:rsidRDefault="008B40A4" w:rsidP="008B40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4B6DA" w14:textId="35544C01" w:rsidR="008B40A4" w:rsidRDefault="008B40A4">
    <w:pPr>
      <w:pStyle w:val="Header"/>
    </w:pPr>
    <w:r>
      <w:t>Molly Louise Neal</w:t>
    </w:r>
  </w:p>
  <w:p w14:paraId="2C4A265E" w14:textId="7A640B8D" w:rsidR="008B40A4" w:rsidRDefault="008B40A4">
    <w:pPr>
      <w:pStyle w:val="Header"/>
    </w:pPr>
    <w:r>
      <w:t>ECEY5004</w:t>
    </w:r>
  </w:p>
  <w:p w14:paraId="322B9ABA" w14:textId="643666BB" w:rsidR="008B40A4" w:rsidRDefault="00F159D8">
    <w:pPr>
      <w:pStyle w:val="Header"/>
    </w:pPr>
    <w:r>
      <w:t>2418867</w:t>
    </w:r>
  </w:p>
  <w:p w14:paraId="1C79BF02" w14:textId="77777777" w:rsidR="008B40A4" w:rsidRDefault="008B40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0A4"/>
    <w:rsid w:val="00211091"/>
    <w:rsid w:val="002B7286"/>
    <w:rsid w:val="003658AE"/>
    <w:rsid w:val="00366531"/>
    <w:rsid w:val="004317CA"/>
    <w:rsid w:val="004C420A"/>
    <w:rsid w:val="0053733C"/>
    <w:rsid w:val="00582049"/>
    <w:rsid w:val="005A7062"/>
    <w:rsid w:val="008B40A4"/>
    <w:rsid w:val="009E524D"/>
    <w:rsid w:val="00AB7468"/>
    <w:rsid w:val="00B51FBA"/>
    <w:rsid w:val="00B82EEA"/>
    <w:rsid w:val="00C44C04"/>
    <w:rsid w:val="00D24D5D"/>
    <w:rsid w:val="00DD00CB"/>
    <w:rsid w:val="00F159D8"/>
    <w:rsid w:val="00F25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B8958AA"/>
  <w15:chartTrackingRefBased/>
  <w15:docId w15:val="{09FB1E4F-E3F6-2044-A5C2-0D06AACB1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0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0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0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0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0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0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0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0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0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0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0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0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0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0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0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0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0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0A4"/>
    <w:rPr>
      <w:rFonts w:eastAsiaTheme="majorEastAsia" w:cstheme="majorBidi"/>
      <w:color w:val="272727" w:themeColor="text1" w:themeTint="D8"/>
    </w:rPr>
  </w:style>
  <w:style w:type="paragraph" w:styleId="Title">
    <w:name w:val="Title"/>
    <w:basedOn w:val="Normal"/>
    <w:next w:val="Normal"/>
    <w:link w:val="TitleChar"/>
    <w:uiPriority w:val="10"/>
    <w:qFormat/>
    <w:rsid w:val="008B40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0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0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0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0A4"/>
    <w:pPr>
      <w:spacing w:before="160"/>
      <w:jc w:val="center"/>
    </w:pPr>
    <w:rPr>
      <w:i/>
      <w:iCs/>
      <w:color w:val="404040" w:themeColor="text1" w:themeTint="BF"/>
    </w:rPr>
  </w:style>
  <w:style w:type="character" w:customStyle="1" w:styleId="QuoteChar">
    <w:name w:val="Quote Char"/>
    <w:basedOn w:val="DefaultParagraphFont"/>
    <w:link w:val="Quote"/>
    <w:uiPriority w:val="29"/>
    <w:rsid w:val="008B40A4"/>
    <w:rPr>
      <w:i/>
      <w:iCs/>
      <w:color w:val="404040" w:themeColor="text1" w:themeTint="BF"/>
    </w:rPr>
  </w:style>
  <w:style w:type="paragraph" w:styleId="ListParagraph">
    <w:name w:val="List Paragraph"/>
    <w:basedOn w:val="Normal"/>
    <w:uiPriority w:val="34"/>
    <w:qFormat/>
    <w:rsid w:val="008B40A4"/>
    <w:pPr>
      <w:ind w:left="720"/>
      <w:contextualSpacing/>
    </w:pPr>
  </w:style>
  <w:style w:type="character" w:styleId="IntenseEmphasis">
    <w:name w:val="Intense Emphasis"/>
    <w:basedOn w:val="DefaultParagraphFont"/>
    <w:uiPriority w:val="21"/>
    <w:qFormat/>
    <w:rsid w:val="008B40A4"/>
    <w:rPr>
      <w:i/>
      <w:iCs/>
      <w:color w:val="0F4761" w:themeColor="accent1" w:themeShade="BF"/>
    </w:rPr>
  </w:style>
  <w:style w:type="paragraph" w:styleId="IntenseQuote">
    <w:name w:val="Intense Quote"/>
    <w:basedOn w:val="Normal"/>
    <w:next w:val="Normal"/>
    <w:link w:val="IntenseQuoteChar"/>
    <w:uiPriority w:val="30"/>
    <w:qFormat/>
    <w:rsid w:val="008B40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0A4"/>
    <w:rPr>
      <w:i/>
      <w:iCs/>
      <w:color w:val="0F4761" w:themeColor="accent1" w:themeShade="BF"/>
    </w:rPr>
  </w:style>
  <w:style w:type="character" w:styleId="IntenseReference">
    <w:name w:val="Intense Reference"/>
    <w:basedOn w:val="DefaultParagraphFont"/>
    <w:uiPriority w:val="32"/>
    <w:qFormat/>
    <w:rsid w:val="008B40A4"/>
    <w:rPr>
      <w:b/>
      <w:bCs/>
      <w:smallCaps/>
      <w:color w:val="0F4761" w:themeColor="accent1" w:themeShade="BF"/>
      <w:spacing w:val="5"/>
    </w:rPr>
  </w:style>
  <w:style w:type="paragraph" w:styleId="Header">
    <w:name w:val="header"/>
    <w:basedOn w:val="Normal"/>
    <w:link w:val="HeaderChar"/>
    <w:uiPriority w:val="99"/>
    <w:unhideWhenUsed/>
    <w:rsid w:val="008B40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40A4"/>
  </w:style>
  <w:style w:type="paragraph" w:styleId="Footer">
    <w:name w:val="footer"/>
    <w:basedOn w:val="Normal"/>
    <w:link w:val="FooterChar"/>
    <w:uiPriority w:val="99"/>
    <w:unhideWhenUsed/>
    <w:rsid w:val="008B40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0A4"/>
  </w:style>
  <w:style w:type="paragraph" w:customStyle="1" w:styleId="p1">
    <w:name w:val="p1"/>
    <w:basedOn w:val="Normal"/>
    <w:rsid w:val="00C44C04"/>
    <w:pPr>
      <w:spacing w:after="0" w:line="240" w:lineRule="auto"/>
    </w:pPr>
    <w:rPr>
      <w:rFonts w:ascii=".SF UI" w:hAnsi=".SF UI" w:cs="Times New Roman"/>
      <w:kern w:val="0"/>
      <w:sz w:val="26"/>
      <w:szCs w:val="26"/>
      <w14:ligatures w14:val="none"/>
    </w:rPr>
  </w:style>
  <w:style w:type="paragraph" w:customStyle="1" w:styleId="p2">
    <w:name w:val="p2"/>
    <w:basedOn w:val="Normal"/>
    <w:rsid w:val="00C44C04"/>
    <w:pPr>
      <w:spacing w:after="0" w:line="240" w:lineRule="auto"/>
    </w:pPr>
    <w:rPr>
      <w:rFonts w:ascii=".SF UI" w:hAnsi=".SF UI" w:cs="Times New Roman"/>
      <w:kern w:val="0"/>
      <w:sz w:val="26"/>
      <w:szCs w:val="26"/>
      <w14:ligatures w14:val="none"/>
    </w:rPr>
  </w:style>
  <w:style w:type="character" w:customStyle="1" w:styleId="s1">
    <w:name w:val="s1"/>
    <w:basedOn w:val="DefaultParagraphFont"/>
    <w:rsid w:val="00C44C04"/>
    <w:rPr>
      <w:rFonts w:ascii=".SFUI-Semibold" w:hAnsi=".SFUI-Semibold" w:hint="default"/>
      <w:b/>
      <w:bCs/>
      <w:i w:val="0"/>
      <w:iCs w:val="0"/>
      <w:sz w:val="26"/>
      <w:szCs w:val="26"/>
    </w:rPr>
  </w:style>
  <w:style w:type="character" w:customStyle="1" w:styleId="s2">
    <w:name w:val="s2"/>
    <w:basedOn w:val="DefaultParagraphFont"/>
    <w:rsid w:val="00C44C04"/>
    <w:rPr>
      <w:rFonts w:ascii=".SFUI-Regular" w:hAnsi=".SFUI-Regular" w:hint="default"/>
      <w:b w:val="0"/>
      <w:bCs w:val="0"/>
      <w:i w:val="0"/>
      <w:iCs w:val="0"/>
      <w:sz w:val="26"/>
      <w:szCs w:val="26"/>
    </w:rPr>
  </w:style>
  <w:style w:type="character" w:customStyle="1" w:styleId="s3">
    <w:name w:val="s3"/>
    <w:basedOn w:val="DefaultParagraphFont"/>
    <w:rsid w:val="00C44C04"/>
    <w:rPr>
      <w:rFonts w:ascii=".SFUI-RegularItalic" w:hAnsi=".SFUI-RegularItalic"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1882</Words>
  <Characters>10715</Characters>
  <Application>Microsoft Office Word</Application>
  <DocSecurity>0</DocSecurity>
  <Lines>178</Lines>
  <Paragraphs>35</Paragraphs>
  <ScaleCrop>false</ScaleCrop>
  <Company/>
  <LinksUpToDate>false</LinksUpToDate>
  <CharactersWithSpaces>12562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Neal (2418867)</dc:creator>
  <cp:keywords/>
  <dc:description/>
  <cp:lastModifiedBy>Molly Neal (2418867)</cp:lastModifiedBy>
  <cp:revision>20</cp:revision>
  <dcterms:created xsi:type="dcterms:W3CDTF">2026-02-28T15:04:00Z</dcterms:created>
  <dcterms:modified xsi:type="dcterms:W3CDTF">2026-02-28T15:19:00Z</dcterms:modified>
</cp:coreProperties>
</file>