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1018C" w:rsidRDefault="005C0948" w14:paraId="456A8B93" w14:textId="77777777">
      <w:pPr>
        <w:jc w:val="center"/>
      </w:pPr>
      <w:r>
        <w:rPr>
          <w:b/>
          <w:sz w:val="32"/>
        </w:rPr>
        <w:t>Digital Exclusion and Access to Health and Social Care Services for Older Adults in the United Kingdom: A Scoping Review</w:t>
      </w:r>
    </w:p>
    <w:p w:rsidR="0051018C" w:rsidRDefault="0051018C" w14:paraId="23796D52" w14:textId="77777777">
      <w:pPr>
        <w:jc w:val="center"/>
      </w:pPr>
    </w:p>
    <w:p w:rsidR="0051018C" w:rsidP="6EF30409" w:rsidRDefault="005C0948" w14:paraId="046395AB" w14:textId="77777777">
      <w:pPr>
        <w:jc w:val="center"/>
        <w:rPr>
          <w:rFonts w:ascii="Arial" w:hAnsi="Arial" w:eastAsia="Arial" w:cs="Arial"/>
          <w:b w:val="1"/>
          <w:bCs w:val="1"/>
          <w:i w:val="0"/>
          <w:iCs w:val="0"/>
        </w:rPr>
      </w:pPr>
      <w:r w:rsidRPr="6EF30409" w:rsidR="531E5EEB">
        <w:rPr>
          <w:rFonts w:ascii="Arial" w:hAnsi="Arial" w:eastAsia="Arial" w:cs="Arial"/>
          <w:b w:val="1"/>
          <w:bCs w:val="1"/>
          <w:i w:val="0"/>
          <w:iCs w:val="0"/>
        </w:rPr>
        <w:t>Component 2: Written Assignment (Research Report)</w:t>
      </w:r>
    </w:p>
    <w:p w:rsidR="0051018C" w:rsidP="6EF30409" w:rsidRDefault="005C0948" w14:paraId="7B718168" w14:textId="77777777">
      <w:pPr>
        <w:jc w:val="center"/>
        <w:rPr>
          <w:rFonts w:ascii="Arial" w:hAnsi="Arial" w:eastAsia="Arial" w:cs="Arial"/>
          <w:b w:val="1"/>
          <w:bCs w:val="1"/>
          <w:i w:val="0"/>
          <w:iCs w:val="0"/>
        </w:rPr>
      </w:pPr>
      <w:r w:rsidRPr="6EF30409" w:rsidR="531E5EEB">
        <w:rPr>
          <w:rFonts w:ascii="Arial" w:hAnsi="Arial" w:eastAsia="Arial" w:cs="Arial"/>
          <w:b w:val="1"/>
          <w:bCs w:val="1"/>
          <w:i w:val="0"/>
          <w:iCs w:val="0"/>
        </w:rPr>
        <w:t>Module Code: BMHP5019</w:t>
      </w:r>
    </w:p>
    <w:p w:rsidR="0051018C" w:rsidP="6EF30409" w:rsidRDefault="005C0948" w14:paraId="4C7E6D24" w14:textId="77777777">
      <w:pPr>
        <w:jc w:val="center"/>
        <w:rPr>
          <w:rFonts w:ascii="Arial" w:hAnsi="Arial" w:eastAsia="Arial" w:cs="Arial"/>
          <w:b w:val="1"/>
          <w:bCs w:val="1"/>
          <w:i w:val="0"/>
          <w:iCs w:val="0"/>
        </w:rPr>
      </w:pPr>
      <w:r w:rsidRPr="6EF30409" w:rsidR="531E5EEB">
        <w:rPr>
          <w:rFonts w:ascii="Arial" w:hAnsi="Arial" w:eastAsia="Arial" w:cs="Arial"/>
          <w:b w:val="1"/>
          <w:bCs w:val="1"/>
          <w:i w:val="0"/>
          <w:iCs w:val="0"/>
        </w:rPr>
        <w:t>Module Title: Introduction to Independent Research Skills</w:t>
      </w:r>
    </w:p>
    <w:p w:rsidR="0051018C" w:rsidP="6EF30409" w:rsidRDefault="005C0948" w14:paraId="292DC962" w14:textId="77777777">
      <w:pPr>
        <w:jc w:val="center"/>
        <w:rPr>
          <w:rFonts w:ascii="Arial" w:hAnsi="Arial" w:eastAsia="Arial" w:cs="Arial"/>
          <w:b w:val="1"/>
          <w:bCs w:val="1"/>
          <w:i w:val="0"/>
          <w:iCs w:val="0"/>
        </w:rPr>
      </w:pPr>
      <w:r w:rsidRPr="6EF30409" w:rsidR="531E5EEB">
        <w:rPr>
          <w:rFonts w:ascii="Arial" w:hAnsi="Arial" w:eastAsia="Arial" w:cs="Arial"/>
          <w:b w:val="1"/>
          <w:bCs w:val="1"/>
          <w:i w:val="0"/>
          <w:iCs w:val="0"/>
        </w:rPr>
        <w:t>Programme: BSc Health and Social Care</w:t>
      </w:r>
    </w:p>
    <w:p w:rsidR="0051018C" w:rsidP="6EF30409" w:rsidRDefault="005C0948" w14:paraId="5C937D21" w14:textId="7B878A71">
      <w:pPr>
        <w:jc w:val="center"/>
        <w:rPr>
          <w:rFonts w:ascii="Arial" w:hAnsi="Arial" w:eastAsia="Arial" w:cs="Arial"/>
          <w:b w:val="1"/>
          <w:bCs w:val="1"/>
          <w:i w:val="0"/>
          <w:iCs w:val="0"/>
        </w:rPr>
      </w:pPr>
      <w:r w:rsidRPr="6EF30409" w:rsidR="531E5EEB">
        <w:rPr>
          <w:rFonts w:ascii="Arial" w:hAnsi="Arial" w:eastAsia="Arial" w:cs="Arial"/>
          <w:b w:val="1"/>
          <w:bCs w:val="1"/>
          <w:i w:val="0"/>
          <w:iCs w:val="0"/>
        </w:rPr>
        <w:t xml:space="preserve">Student Name: </w:t>
      </w:r>
      <w:r w:rsidRPr="6EF30409" w:rsidR="33A11144">
        <w:rPr>
          <w:rFonts w:ascii="Arial" w:hAnsi="Arial" w:eastAsia="Arial" w:cs="Arial"/>
          <w:b w:val="1"/>
          <w:bCs w:val="1"/>
          <w:i w:val="0"/>
          <w:iCs w:val="0"/>
        </w:rPr>
        <w:t>Ioan Surdu</w:t>
      </w:r>
    </w:p>
    <w:p w:rsidR="0051018C" w:rsidP="6EF30409" w:rsidRDefault="005C0948" w14:paraId="21345499" w14:textId="6A4D262C">
      <w:pPr>
        <w:jc w:val="center"/>
        <w:rPr>
          <w:rFonts w:ascii="Arial" w:hAnsi="Arial" w:eastAsia="Arial" w:cs="Arial"/>
          <w:b w:val="1"/>
          <w:bCs w:val="1"/>
          <w:i w:val="0"/>
          <w:iCs w:val="0"/>
        </w:rPr>
      </w:pPr>
      <w:r w:rsidRPr="6EF30409" w:rsidR="531E5EEB">
        <w:rPr>
          <w:rFonts w:ascii="Arial" w:hAnsi="Arial" w:eastAsia="Arial" w:cs="Arial"/>
          <w:b w:val="1"/>
          <w:bCs w:val="1"/>
          <w:i w:val="0"/>
          <w:iCs w:val="0"/>
        </w:rPr>
        <w:t xml:space="preserve">Student Number: </w:t>
      </w:r>
      <w:r w:rsidRPr="6EF30409" w:rsidR="6E936B80">
        <w:rPr>
          <w:rFonts w:ascii="Arial" w:hAnsi="Arial" w:eastAsia="Arial" w:cs="Arial"/>
          <w:b w:val="1"/>
          <w:bCs w:val="1"/>
          <w:i w:val="0"/>
          <w:iCs w:val="0"/>
        </w:rPr>
        <w:t>2333638</w:t>
      </w:r>
    </w:p>
    <w:p w:rsidR="0051018C" w:rsidRDefault="005C0948" w14:paraId="259DECF8" w14:textId="77777777">
      <w:r>
        <w:br w:type="page"/>
      </w:r>
    </w:p>
    <w:p w:rsidR="0051018C" w:rsidRDefault="005C0948" w14:paraId="3698B9CA" w14:textId="77777777">
      <w:pPr>
        <w:pStyle w:val="Heading1"/>
      </w:pPr>
      <w:r>
        <w:t>Abstract</w:t>
      </w:r>
    </w:p>
    <w:p w:rsidR="0051018C" w:rsidRDefault="005C0948" w14:paraId="1C1C501A" w14:textId="77777777">
      <w:pPr>
        <w:spacing w:after="120" w:line="360" w:lineRule="auto"/>
        <w:jc w:val="both"/>
      </w:pPr>
      <w:r>
        <w:t>Digital technologies are now widely used in the National Health Service (NHS) and in adult social care. Online appointment systems, the NHS App, electronic care records, remote consultations and digital information pages can improve convenience and efficiency. However, these changes can also create barriers for older adults who do not have reliable internet access, suitable devices, digital skills or confidence. This scoping review explores how digital exclusion affects older adults' access to health and so</w:t>
      </w:r>
      <w:r>
        <w:t>cial care services in the United Kingdom. A structured search strategy was used to identify peer-reviewed primary and secondary studies relevant to digital exclusion, older adults and access to care. Five studies were selected for closer review and analysed using thematic analysis. Three themes were identified: barriers to digital engagement, consequences for access and wellbeing, and strategies to promote digital inclusion. The findings suggest that digital exclusion can delay access to appointments, presc</w:t>
      </w:r>
      <w:r>
        <w:t>riptions and information, increase dependence on relatives and widen inequalities. The review concludes that digital transformation should be delivered alongside non-digital options, accessible design, staff awareness and community-based support. This is important for health and social care practice because digital systems should improve access rather than create further disadvantage.</w:t>
      </w:r>
    </w:p>
    <w:p w:rsidR="0051018C" w:rsidRDefault="005C0948" w14:paraId="0539C77F" w14:textId="77777777">
      <w:pPr>
        <w:pStyle w:val="Heading1"/>
      </w:pPr>
      <w:r>
        <w:t>1. Introduction</w:t>
      </w:r>
    </w:p>
    <w:p w:rsidR="0051018C" w:rsidRDefault="005C0948" w14:paraId="14A702A5" w14:textId="77777777">
      <w:pPr>
        <w:spacing w:after="120" w:line="360" w:lineRule="auto"/>
        <w:jc w:val="both"/>
      </w:pPr>
      <w:r>
        <w:t>Digital technology has become a normal part of health and social care delivery in the United Kingdom. Patients are increasingly encouraged to use online platforms to book appointments, order repeat prescriptions, complete triage forms, view health records and communicate with services. In social care, digital systems are also used for assessments, care planning, monitoring, safeguarding records and communication between professionals. These changes have been promoted as a way of improving efficiency, reduci</w:t>
      </w:r>
      <w:r>
        <w:t>ng unnecessary travel and helping people manage their own care more independently.</w:t>
      </w:r>
    </w:p>
    <w:p w:rsidR="0051018C" w:rsidRDefault="005C0948" w14:paraId="661D2D8F" w14:textId="77777777">
      <w:pPr>
        <w:spacing w:after="120" w:line="360" w:lineRule="auto"/>
        <w:jc w:val="both"/>
      </w:pPr>
      <w:r>
        <w:t xml:space="preserve">The expansion of digital services accelerated during the COVID-19 pandemic, when face-to-face appointments were restricted and remote consultations became more common. Although digital healthcare can be useful, it assumes that people have access to technology and are confident enough to use it. This assumption is problematic because many people remain digitally excluded. Digital exclusion means being unable to access, afford or use digital technology in a meaningful way. It can involve not having a device, </w:t>
      </w:r>
      <w:r>
        <w:t>not having broadband or data, not having the skills to use online services, or not trusting digital systems.</w:t>
      </w:r>
    </w:p>
    <w:p w:rsidR="0051018C" w:rsidRDefault="005C0948" w14:paraId="0869BAF1" w14:textId="77777777">
      <w:pPr>
        <w:spacing w:after="120" w:line="360" w:lineRule="auto"/>
        <w:jc w:val="both"/>
      </w:pPr>
      <w:r>
        <w:t>Older adults are especially relevant to this issue. Many older people use smartphones, tablets and online services confidently, so it would be wrong to assume that age alone means digital inability. However, older adults are more likely than younger groups to experience low digital confidence, sensory impairment, reduced manual dexterity, cognitive difficulties, social isolation and limited income. These factors can make digital platforms harder to use and can reduce confidence when services become digital-</w:t>
      </w:r>
      <w:r>
        <w:t>first.</w:t>
      </w:r>
    </w:p>
    <w:p w:rsidR="0051018C" w:rsidRDefault="005C0948" w14:paraId="5B3569EB" w14:textId="77777777">
      <w:pPr>
        <w:spacing w:after="120" w:line="360" w:lineRule="auto"/>
        <w:jc w:val="both"/>
      </w:pPr>
      <w:r>
        <w:t>Digital exclusion matters because access to health and social care is not optional. If a person cannot book an appointment, access information or communicate with professionals, their health may deteriorate. In practice, digital exclusion can become a barrier to early diagnosis, medication management, long-term condition support and social care assessment. It can also reduce autonomy if older adults must rely on relatives or carers to manage private health information. This creates concerns about dignity, p</w:t>
      </w:r>
      <w:r>
        <w:t>rivacy and equality.</w:t>
      </w:r>
    </w:p>
    <w:p w:rsidR="0051018C" w:rsidRDefault="005C0948" w14:paraId="2B2D4952" w14:textId="77777777">
      <w:pPr>
        <w:spacing w:after="120" w:line="360" w:lineRule="auto"/>
        <w:jc w:val="both"/>
      </w:pPr>
      <w:r>
        <w:t>This review focuses on older adults because they are a major user group of health and social care services. Many older people live with long-term conditions, multiple medicines or support needs. Therefore, any barriers to access may have serious consequences. The review is also relevant to professional practice because nurses, social workers, occupational therapists, care coordinators and administrative staff all have a role in supporting access and identifying barriers.</w:t>
      </w:r>
    </w:p>
    <w:p w:rsidR="0051018C" w:rsidRDefault="005C0948" w14:paraId="03628651" w14:textId="77777777">
      <w:pPr>
        <w:spacing w:after="120" w:line="360" w:lineRule="auto"/>
        <w:jc w:val="both"/>
      </w:pPr>
      <w:r>
        <w:t>The review question is: How does digital exclusion affect older adults' access to health and social care services in the United Kingdom? The objectives are: first, to identify barriers older adults face when using digital health and social care services; second, to examine how digital exclusion affects access to care and health outcomes; and third, to identify strategies that may reduce digital exclusion and support more inclusive services.</w:t>
      </w:r>
    </w:p>
    <w:p w:rsidR="0051018C" w:rsidRDefault="005C0948" w14:paraId="75C77563" w14:textId="77777777">
      <w:pPr>
        <w:pStyle w:val="Heading1"/>
      </w:pPr>
      <w:r>
        <w:t>2. Background</w:t>
      </w:r>
    </w:p>
    <w:p w:rsidR="0051018C" w:rsidRDefault="005C0948" w14:paraId="7FEF5E5B" w14:textId="77777777">
      <w:pPr>
        <w:spacing w:after="120" w:line="360" w:lineRule="auto"/>
        <w:jc w:val="both"/>
      </w:pPr>
      <w:r>
        <w:t>Digital transformation has been a major policy direction in UK health and social care. The NHS Long Term Plan supports greater use of technology, online consultations and patient access to records (NHS England, 2019). NHS England has also published specific guidance on inclusive digital healthcare, which stresses that digital routes should complement rather than replace non-digital support (NHS England, 2023). This is important because a service can be technically available but practically inaccessible to p</w:t>
      </w:r>
      <w:r>
        <w:t>eople who cannot use the required digital pathway.</w:t>
      </w:r>
    </w:p>
    <w:p w:rsidR="0051018C" w:rsidRDefault="005C0948" w14:paraId="1D03D1F4" w14:textId="77777777">
      <w:pPr>
        <w:spacing w:after="120" w:line="360" w:lineRule="auto"/>
        <w:jc w:val="both"/>
      </w:pPr>
      <w:r>
        <w:t>In primary care, online consultation systems and the NHS App are now common. These tools may help people request advice, access repeat prescriptions and view information without phoning the surgery. For people who are confident online, this can be convenient. However, for those who are digitally excluded, the same system can become a barrier. For example, an older adult may struggle with passwords, identity checks, two-factor authentication, small text, confusing menus or long online forms.</w:t>
      </w:r>
    </w:p>
    <w:p w:rsidR="0051018C" w:rsidRDefault="005C0948" w14:paraId="369A5216" w14:textId="77777777">
      <w:pPr>
        <w:spacing w:after="120" w:line="360" w:lineRule="auto"/>
        <w:jc w:val="both"/>
      </w:pPr>
      <w:r>
        <w:t>Adult social care has also become more digital. Local authorities may provide online information, self-assessment forms and digital referral pathways. Care providers often use electronic care records and digital monitoring systems. These systems can improve coordination and reduce paperwork, but they can also exclude people who need support to understand or complete online processes. This is especially relevant for older adults who live alone or have no informal support.</w:t>
      </w:r>
    </w:p>
    <w:p w:rsidR="0051018C" w:rsidRDefault="005C0948" w14:paraId="594BE4AA" w14:textId="77777777">
      <w:pPr>
        <w:spacing w:after="120" w:line="360" w:lineRule="auto"/>
        <w:jc w:val="both"/>
      </w:pPr>
      <w:r>
        <w:t>Digital exclusion is shaped by several overlapping factors. The first is material access. A person needs a suitable device, an internet connection and enough data or broadband. The second is skills. Owning a device does not mean someone can use health applications, online forms or video consultations. The third is motivation and confidence. Some people avoid online services because they fear scams, do not trust digital systems or feel embarrassed about their skills. The fourth is accessibility. Poorly desig</w:t>
      </w:r>
      <w:r>
        <w:t>ned platforms can disadvantage people with visual impairment, hearing loss, arthritis, dyslexia or cognitive impairment.</w:t>
      </w:r>
    </w:p>
    <w:p w:rsidR="0051018C" w:rsidRDefault="005C0948" w14:paraId="4F904352" w14:textId="77777777">
      <w:pPr>
        <w:spacing w:after="120" w:line="360" w:lineRule="auto"/>
        <w:jc w:val="both"/>
      </w:pPr>
      <w:r>
        <w:t>The issue should also be understood through health inequalities. Marmot et al. (2020) argue that health is shaped by wider social and economic conditions. Digital exclusion fits within this framework because it is connected to income, education, housing, disability, social support and geography. People with fewer resources may have less access to digital tools and are also more likely to experience worse health outcomes. Digital exclusion can therefore reinforce existing inequalities rather than simply bein</w:t>
      </w:r>
      <w:r>
        <w:t>g a technical problem.</w:t>
      </w:r>
    </w:p>
    <w:p w:rsidR="0051018C" w:rsidRDefault="005C0948" w14:paraId="6C737A67" w14:textId="77777777">
      <w:pPr>
        <w:spacing w:after="120" w:line="360" w:lineRule="auto"/>
        <w:jc w:val="both"/>
      </w:pPr>
      <w:r>
        <w:t>Legal and professional duties are also relevant. The Equality Act 2010 requires services to avoid discrimination and make reasonable adjustments for disabled people. The Care Act 2014 promotes wellbeing, prevention and access to information and advice. If digital systems prevent some older adults from accessing services, organisations may fail to meet the spirit of these duties. Person-centred care requires services to respond to individual needs, not force all users into the same access route.</w:t>
      </w:r>
    </w:p>
    <w:p w:rsidR="0051018C" w:rsidRDefault="005C0948" w14:paraId="252BA48D" w14:textId="77777777">
      <w:pPr>
        <w:spacing w:after="120" w:line="360" w:lineRule="auto"/>
        <w:jc w:val="both"/>
      </w:pPr>
      <w:r>
        <w:t>Digital inclusion does not mean pushing every older adult to use technology. It means ensuring that those who want to use digital services are supported to do so, while those who cannot or do not wish to use them still have meaningful access. This balanced approach is important because digital services should increase choice rather than remove it. A digital-first approach without alternatives risks creating a two-tier system in which confident users receive faster access while excluded groups wait longer or</w:t>
      </w:r>
      <w:r>
        <w:t xml:space="preserve"> disengage.</w:t>
      </w:r>
    </w:p>
    <w:p w:rsidR="0051018C" w:rsidRDefault="005C0948" w14:paraId="165474B1" w14:textId="77777777">
      <w:pPr>
        <w:pStyle w:val="Heading1"/>
      </w:pPr>
      <w:r>
        <w:t>3. Methods</w:t>
      </w:r>
    </w:p>
    <w:p w:rsidR="0051018C" w:rsidRDefault="005C0948" w14:paraId="410D5802" w14:textId="77777777">
      <w:pPr>
        <w:spacing w:after="120" w:line="360" w:lineRule="auto"/>
        <w:jc w:val="both"/>
      </w:pPr>
      <w:r>
        <w:t>This research report used a scoping review design. A scoping review is appropriate when the aim is to map available evidence, identify key concepts and summarise broad findings rather than answer a narrowly defined effectiveness question. Arksey and O'Malley (2005) describe scoping reviews as useful for examining the range and nature of research activity. Levac, Colquhoun and O'Brien (2010) later argued that scoping reviews should be systematic, transparent and clear about how studies are selected and analy</w:t>
      </w:r>
      <w:r>
        <w:t>sed.</w:t>
      </w:r>
    </w:p>
    <w:p w:rsidR="0051018C" w:rsidRDefault="005C0948" w14:paraId="37F616EC" w14:textId="77777777">
      <w:pPr>
        <w:spacing w:after="120" w:line="360" w:lineRule="auto"/>
        <w:jc w:val="both"/>
      </w:pPr>
      <w:r>
        <w:t>The review was guided by the following question: How does digital exclusion affect older adults' access to health and social care services in the United Kingdom? The population was older adults, mainly people aged 60 years and over. The concept was digital exclusion, including limited access, affordability, skills, confidence, motivation and usability barriers. The context was health and social care access, with emphasis on UK relevance.</w:t>
      </w:r>
    </w:p>
    <w:p w:rsidR="0051018C" w:rsidRDefault="005C0948" w14:paraId="76DA3F89" w14:textId="77777777">
      <w:pPr>
        <w:spacing w:after="120" w:line="360" w:lineRule="auto"/>
        <w:jc w:val="both"/>
      </w:pPr>
      <w:r>
        <w:t>Searches were planned for PubMed, CINAHL and Google Scholar because these sources include health, social care and digital health literature. Search terms included: digital exclusion, digital divide, older adults, older people, elderly, healthcare access, social care, NHS, remote consultation, telehealth and United Kingdom. Boolean operators were used to combine search terms, for example: digital exclusion AND older adults AND healthcare access, and digital divide AND older people AND social care.</w:t>
      </w:r>
    </w:p>
    <w:p w:rsidR="0051018C" w:rsidRDefault="005C0948" w14:paraId="2DC468E0" w14:textId="77777777">
      <w:pPr>
        <w:spacing w:after="120" w:line="360" w:lineRule="auto"/>
        <w:jc w:val="both"/>
      </w:pPr>
      <w:r>
        <w:t>The inclusion criteria were peer-reviewed journal articles published in English between 2019 and 2026; studies focusing on older adults or including older adults as a clearly relevant group; studies addressing digital exclusion, telehealth access, digital inclusion or digital barriers; and studies relevant to health or social care. Both primary and secondary research studies were considered because the assignment required a scoping review of peer-reviewed research evidence.</w:t>
      </w:r>
    </w:p>
    <w:p w:rsidR="0051018C" w:rsidRDefault="005C0948" w14:paraId="62F827D3" w14:textId="77777777">
      <w:pPr>
        <w:spacing w:after="120" w:line="360" w:lineRule="auto"/>
        <w:jc w:val="both"/>
      </w:pPr>
      <w:r>
        <w:t>The exclusion criteria were non-peer-reviewed opinion pieces, editorials, policy documents used as study evidence, studies focused only on children or young adults, and studies that discussed technology without linking it to access to health or social care. Policy documents and organisational guidance were still used in the background and discussion sections because they help explain UK practice, but they were not treated as included studies in the review table.</w:t>
      </w:r>
    </w:p>
    <w:p w:rsidR="0051018C" w:rsidRDefault="005C0948" w14:paraId="651CAA4F" w14:textId="77777777">
      <w:pPr>
        <w:spacing w:after="120" w:line="360" w:lineRule="auto"/>
        <w:jc w:val="both"/>
      </w:pPr>
      <w:r>
        <w:t>The search process identified a broad range of material. Titles and abstracts were screened first to remove irrelevant papers. Full texts were then checked against the inclusion and exclusion criteria. Five studies were selected for detailed review. Data were extracted into a table covering author, year, design, focus and key findings. This supported comparison across studies and helped identify repeated findings.</w:t>
      </w:r>
    </w:p>
    <w:p w:rsidR="0051018C" w:rsidRDefault="005C0948" w14:paraId="17BE7EAE" w14:textId="77777777">
      <w:pPr>
        <w:spacing w:after="120" w:line="360" w:lineRule="auto"/>
        <w:jc w:val="both"/>
      </w:pPr>
      <w:r>
        <w:t>The selected studies were analysed using thematic analysis. Thematic analysis is suitable for identifying patterns across different types of evidence. Initial codes were developed from repeated issues in the studies, such as lack of digital skills, affordability, anxiety, dependence on others and the need for non-digital options. These codes were then grouped into three themes: barriers to digital engagement, consequences for access and wellbeing, and strategies to promote digital inclusion.</w:t>
      </w:r>
    </w:p>
    <w:p w:rsidR="0051018C" w:rsidRDefault="005C0948" w14:paraId="020E94DC" w14:textId="77777777">
      <w:pPr>
        <w:spacing w:after="120" w:line="360" w:lineRule="auto"/>
        <w:jc w:val="both"/>
      </w:pPr>
      <w:r>
        <w:t>Ethical approval was not required because this was secondary research using published literature. However, ethical research principles still applied. The review aimed to report studies accurately, avoid plagiarism, acknowledge all sources and avoid overstating the findings. It was also important to recognise that older adults are diverse and should not be stereotyped as incapable of using technology.</w:t>
      </w:r>
    </w:p>
    <w:p w:rsidR="0051018C" w:rsidRDefault="005C0948" w14:paraId="04715F84" w14:textId="77777777">
      <w:pPr>
        <w:pStyle w:val="Heading1"/>
      </w:pPr>
      <w:r>
        <w:t>4. Results</w:t>
      </w:r>
    </w:p>
    <w:p w:rsidR="0051018C" w:rsidRDefault="005C0948" w14:paraId="0C6A0926" w14:textId="77777777">
      <w:pPr>
        <w:spacing w:after="120" w:line="360" w:lineRule="auto"/>
        <w:jc w:val="both"/>
      </w:pPr>
      <w:r>
        <w:t>Five studies were selected for review. They included peer-reviewed primary and secondary research on digital exclusion, telehealth access and digital inclusion interventions. Although not all studies were UK-only, each was relevant to UK practice because the barriers identified, such as skills, affordability, confidence and usability, are also seen in UK health and social care services.</w:t>
      </w:r>
    </w:p>
    <w:tbl>
      <w:tblPr>
        <w:tblStyle w:val="TableGrid"/>
        <w:tblW w:w="0" w:type="auto"/>
        <w:jc w:val="center"/>
        <w:tblLook w:val="04A0" w:firstRow="1" w:lastRow="0" w:firstColumn="1" w:lastColumn="0" w:noHBand="0" w:noVBand="1"/>
      </w:tblPr>
      <w:tblGrid>
        <w:gridCol w:w="2340"/>
        <w:gridCol w:w="2340"/>
        <w:gridCol w:w="2340"/>
        <w:gridCol w:w="2340"/>
      </w:tblGrid>
      <w:tr w:rsidR="0051018C" w14:paraId="0F56EBB2" w14:textId="77777777">
        <w:trPr>
          <w:jc w:val="center"/>
        </w:trPr>
        <w:tc>
          <w:tcPr>
            <w:tcW w:w="2340" w:type="dxa"/>
            <w:shd w:val="clear" w:color="auto" w:fill="D9EAF7"/>
          </w:tcPr>
          <w:p w:rsidR="0051018C" w:rsidRDefault="005C0948" w14:paraId="5AEDB823" w14:textId="77777777">
            <w:r>
              <w:rPr>
                <w:sz w:val="18"/>
              </w:rPr>
              <w:t>Study</w:t>
            </w:r>
          </w:p>
        </w:tc>
        <w:tc>
          <w:tcPr>
            <w:tcW w:w="2340" w:type="dxa"/>
            <w:shd w:val="clear" w:color="auto" w:fill="D9EAF7"/>
          </w:tcPr>
          <w:p w:rsidR="0051018C" w:rsidRDefault="005C0948" w14:paraId="6CBDF7EA" w14:textId="77777777">
            <w:r>
              <w:rPr>
                <w:sz w:val="18"/>
              </w:rPr>
              <w:t>Design / focus</w:t>
            </w:r>
          </w:p>
        </w:tc>
        <w:tc>
          <w:tcPr>
            <w:tcW w:w="2340" w:type="dxa"/>
            <w:shd w:val="clear" w:color="auto" w:fill="D9EAF7"/>
          </w:tcPr>
          <w:p w:rsidR="0051018C" w:rsidRDefault="005C0948" w14:paraId="4EDCB488" w14:textId="77777777">
            <w:r>
              <w:rPr>
                <w:sz w:val="18"/>
              </w:rPr>
              <w:t>Relevance</w:t>
            </w:r>
          </w:p>
        </w:tc>
        <w:tc>
          <w:tcPr>
            <w:tcW w:w="2340" w:type="dxa"/>
            <w:shd w:val="clear" w:color="auto" w:fill="D9EAF7"/>
          </w:tcPr>
          <w:p w:rsidR="0051018C" w:rsidRDefault="005C0948" w14:paraId="0406AE3C" w14:textId="77777777">
            <w:r>
              <w:rPr>
                <w:sz w:val="18"/>
              </w:rPr>
              <w:t>Key findings</w:t>
            </w:r>
          </w:p>
        </w:tc>
      </w:tr>
      <w:tr w:rsidR="0051018C" w14:paraId="09CCE44B" w14:textId="77777777">
        <w:trPr>
          <w:jc w:val="center"/>
        </w:trPr>
        <w:tc>
          <w:tcPr>
            <w:tcW w:w="2340" w:type="dxa"/>
          </w:tcPr>
          <w:p w:rsidR="0051018C" w:rsidRDefault="005C0948" w14:paraId="149CD279" w14:textId="77777777">
            <w:r>
              <w:rPr>
                <w:sz w:val="18"/>
              </w:rPr>
              <w:t>Xue et al. (2026)</w:t>
            </w:r>
          </w:p>
        </w:tc>
        <w:tc>
          <w:tcPr>
            <w:tcW w:w="2340" w:type="dxa"/>
          </w:tcPr>
          <w:p w:rsidR="0051018C" w:rsidRDefault="005C0948" w14:paraId="5F433862" w14:textId="77777777">
            <w:r>
              <w:rPr>
                <w:sz w:val="18"/>
              </w:rPr>
              <w:t>Scoping review of digital exclusion in healthcare</w:t>
            </w:r>
          </w:p>
        </w:tc>
        <w:tc>
          <w:tcPr>
            <w:tcW w:w="2340" w:type="dxa"/>
          </w:tcPr>
          <w:p w:rsidR="0051018C" w:rsidRDefault="005C0948" w14:paraId="30D6EBEF" w14:textId="77777777">
            <w:r>
              <w:rPr>
                <w:sz w:val="18"/>
              </w:rPr>
              <w:t>Maps dimensions of healthcare digital exclusion</w:t>
            </w:r>
          </w:p>
        </w:tc>
        <w:tc>
          <w:tcPr>
            <w:tcW w:w="2340" w:type="dxa"/>
          </w:tcPr>
          <w:p w:rsidR="0051018C" w:rsidRDefault="005C0948" w14:paraId="4025EB9E" w14:textId="77777777">
            <w:r>
              <w:rPr>
                <w:sz w:val="18"/>
              </w:rPr>
              <w:t>Identified affordability, access, competence, psychological and support barriers.</w:t>
            </w:r>
          </w:p>
        </w:tc>
      </w:tr>
      <w:tr w:rsidR="0051018C" w14:paraId="09351BEA" w14:textId="77777777">
        <w:trPr>
          <w:jc w:val="center"/>
        </w:trPr>
        <w:tc>
          <w:tcPr>
            <w:tcW w:w="2340" w:type="dxa"/>
          </w:tcPr>
          <w:p w:rsidR="0051018C" w:rsidRDefault="005C0948" w14:paraId="145EC733" w14:textId="77777777">
            <w:r>
              <w:rPr>
                <w:sz w:val="18"/>
              </w:rPr>
              <w:t>Wale et al. (2025)</w:t>
            </w:r>
          </w:p>
        </w:tc>
        <w:tc>
          <w:tcPr>
            <w:tcW w:w="2340" w:type="dxa"/>
          </w:tcPr>
          <w:p w:rsidR="0051018C" w:rsidRDefault="005C0948" w14:paraId="130C9A9D" w14:textId="77777777">
            <w:r>
              <w:rPr>
                <w:sz w:val="18"/>
              </w:rPr>
              <w:t>Rapid review of interventions in social care</w:t>
            </w:r>
          </w:p>
        </w:tc>
        <w:tc>
          <w:tcPr>
            <w:tcW w:w="2340" w:type="dxa"/>
          </w:tcPr>
          <w:p w:rsidR="0051018C" w:rsidRDefault="005C0948" w14:paraId="65943D85" w14:textId="77777777">
            <w:r>
              <w:rPr>
                <w:sz w:val="18"/>
              </w:rPr>
              <w:t>Focuses on older adults and digital exclusion support</w:t>
            </w:r>
          </w:p>
        </w:tc>
        <w:tc>
          <w:tcPr>
            <w:tcW w:w="2340" w:type="dxa"/>
          </w:tcPr>
          <w:p w:rsidR="0051018C" w:rsidRDefault="005C0948" w14:paraId="0308F1E9" w14:textId="77777777">
            <w:r>
              <w:rPr>
                <w:sz w:val="18"/>
              </w:rPr>
              <w:t>Training, devices and tailored support can improve inclusion, but evidence is still developing.</w:t>
            </w:r>
          </w:p>
        </w:tc>
      </w:tr>
      <w:tr w:rsidR="0051018C" w14:paraId="2EFAD34A" w14:textId="77777777">
        <w:trPr>
          <w:jc w:val="center"/>
        </w:trPr>
        <w:tc>
          <w:tcPr>
            <w:tcW w:w="2340" w:type="dxa"/>
          </w:tcPr>
          <w:p w:rsidR="0051018C" w:rsidRDefault="005C0948" w14:paraId="557C9030" w14:textId="77777777">
            <w:r>
              <w:rPr>
                <w:sz w:val="18"/>
              </w:rPr>
              <w:t>Seifert, Cotton and Xie (2021)</w:t>
            </w:r>
          </w:p>
        </w:tc>
        <w:tc>
          <w:tcPr>
            <w:tcW w:w="2340" w:type="dxa"/>
          </w:tcPr>
          <w:p w:rsidR="0051018C" w:rsidRDefault="005C0948" w14:paraId="26B46A68" w14:textId="77777777">
            <w:r>
              <w:rPr>
                <w:sz w:val="18"/>
              </w:rPr>
              <w:t>Study of digital and social exclusion during COVID-19</w:t>
            </w:r>
          </w:p>
        </w:tc>
        <w:tc>
          <w:tcPr>
            <w:tcW w:w="2340" w:type="dxa"/>
          </w:tcPr>
          <w:p w:rsidR="0051018C" w:rsidRDefault="005C0948" w14:paraId="7262CE54" w14:textId="77777777">
            <w:r>
              <w:rPr>
                <w:sz w:val="18"/>
              </w:rPr>
              <w:t>Links digital exclusion with isolation and wellbeing</w:t>
            </w:r>
          </w:p>
        </w:tc>
        <w:tc>
          <w:tcPr>
            <w:tcW w:w="2340" w:type="dxa"/>
          </w:tcPr>
          <w:p w:rsidR="0051018C" w:rsidRDefault="005C0948" w14:paraId="53924F58" w14:textId="77777777">
            <w:r>
              <w:rPr>
                <w:sz w:val="18"/>
              </w:rPr>
              <w:t>Digitally excluded older adults may experience loneliness and reduced support.</w:t>
            </w:r>
          </w:p>
        </w:tc>
      </w:tr>
      <w:tr w:rsidR="0051018C" w14:paraId="39AD2C93" w14:textId="77777777">
        <w:trPr>
          <w:jc w:val="center"/>
        </w:trPr>
        <w:tc>
          <w:tcPr>
            <w:tcW w:w="2340" w:type="dxa"/>
          </w:tcPr>
          <w:p w:rsidR="0051018C" w:rsidRDefault="005C0948" w14:paraId="67887C12" w14:textId="77777777">
            <w:r>
              <w:rPr>
                <w:sz w:val="18"/>
              </w:rPr>
              <w:t>Lam et al. (2020)</w:t>
            </w:r>
          </w:p>
        </w:tc>
        <w:tc>
          <w:tcPr>
            <w:tcW w:w="2340" w:type="dxa"/>
          </w:tcPr>
          <w:p w:rsidR="0051018C" w:rsidRDefault="005C0948" w14:paraId="7A0CB599" w14:textId="77777777">
            <w:r>
              <w:rPr>
                <w:sz w:val="18"/>
              </w:rPr>
              <w:t>Analysis of telemedicine unreadiness</w:t>
            </w:r>
          </w:p>
        </w:tc>
        <w:tc>
          <w:tcPr>
            <w:tcW w:w="2340" w:type="dxa"/>
          </w:tcPr>
          <w:p w:rsidR="0051018C" w:rsidRDefault="005C0948" w14:paraId="549FA079" w14:textId="77777777">
            <w:r>
              <w:rPr>
                <w:sz w:val="18"/>
              </w:rPr>
              <w:t>Relevant to remote consultation access</w:t>
            </w:r>
          </w:p>
        </w:tc>
        <w:tc>
          <w:tcPr>
            <w:tcW w:w="2340" w:type="dxa"/>
          </w:tcPr>
          <w:p w:rsidR="0051018C" w:rsidRDefault="005C0948" w14:paraId="0ADC1F65" w14:textId="77777777">
            <w:r>
              <w:rPr>
                <w:sz w:val="18"/>
              </w:rPr>
              <w:t>Many older adults face barriers due to technology access, hearing, communication or cognition.</w:t>
            </w:r>
          </w:p>
        </w:tc>
      </w:tr>
      <w:tr w:rsidR="0051018C" w14:paraId="26C78695" w14:textId="77777777">
        <w:trPr>
          <w:jc w:val="center"/>
        </w:trPr>
        <w:tc>
          <w:tcPr>
            <w:tcW w:w="2340" w:type="dxa"/>
          </w:tcPr>
          <w:p w:rsidR="0051018C" w:rsidRDefault="005C0948" w14:paraId="4393D6CC" w14:textId="77777777">
            <w:r>
              <w:rPr>
                <w:sz w:val="18"/>
              </w:rPr>
              <w:t>Banskota, Healy and Goldberg (2020)</w:t>
            </w:r>
          </w:p>
        </w:tc>
        <w:tc>
          <w:tcPr>
            <w:tcW w:w="2340" w:type="dxa"/>
          </w:tcPr>
          <w:p w:rsidR="0051018C" w:rsidRDefault="005C0948" w14:paraId="19A43052" w14:textId="77777777">
            <w:r>
              <w:rPr>
                <w:sz w:val="18"/>
              </w:rPr>
              <w:t>Review of smartphone apps for older adults</w:t>
            </w:r>
          </w:p>
        </w:tc>
        <w:tc>
          <w:tcPr>
            <w:tcW w:w="2340" w:type="dxa"/>
          </w:tcPr>
          <w:p w:rsidR="0051018C" w:rsidRDefault="005C0948" w14:paraId="4ADE75F5" w14:textId="77777777">
            <w:r>
              <w:rPr>
                <w:sz w:val="18"/>
              </w:rPr>
              <w:t>Relevant to usability and digital health tools</w:t>
            </w:r>
          </w:p>
        </w:tc>
        <w:tc>
          <w:tcPr>
            <w:tcW w:w="2340" w:type="dxa"/>
          </w:tcPr>
          <w:p w:rsidR="0051018C" w:rsidRDefault="005C0948" w14:paraId="53600C5F" w14:textId="77777777">
            <w:r>
              <w:rPr>
                <w:sz w:val="18"/>
              </w:rPr>
              <w:t>Digital tools need age-appropriate design and practical usability.</w:t>
            </w:r>
          </w:p>
        </w:tc>
      </w:tr>
    </w:tbl>
    <w:p w:rsidR="0051018C" w:rsidRDefault="005C0948" w14:paraId="4F82D573" w14:textId="77777777">
      <w:pPr>
        <w:spacing w:after="120" w:line="360" w:lineRule="auto"/>
        <w:jc w:val="both"/>
      </w:pPr>
      <w:r>
        <w:t>Xue et al. (2026) conducted a scoping review of digital exclusion in healthcare services. The review found that digital exclusion is multidimensional and includes affordability barriers, technical resource barriers, digital competence, psychological barriers and support barriers. This study was important because it showed that exclusion is not only about internet access but also about confidence, usability and wider social support.</w:t>
      </w:r>
    </w:p>
    <w:p w:rsidR="0051018C" w:rsidRDefault="005C0948" w14:paraId="69437604" w14:textId="77777777">
      <w:pPr>
        <w:spacing w:after="120" w:line="360" w:lineRule="auto"/>
        <w:jc w:val="both"/>
      </w:pPr>
      <w:r>
        <w:t>Wale et al. (2025) conducted a rapid review on interventions addressing digital exclusion in older adults in the social care domain. The review found that training, practical support, access to devices and community-based interventions can improve digital participation. However, it also noted that interventions need to be tailored to individual needs and that evidence about long-term effectiveness remains limited.</w:t>
      </w:r>
    </w:p>
    <w:p w:rsidR="0051018C" w:rsidRDefault="005C0948" w14:paraId="5C135E1A" w14:textId="77777777">
      <w:pPr>
        <w:spacing w:after="120" w:line="360" w:lineRule="auto"/>
        <w:jc w:val="both"/>
      </w:pPr>
      <w:r>
        <w:t>Seifert, Cotton and Xie (2021) examined digital and social exclusion among older adults during the COVID-19 period. Their findings suggested that digital exclusion can increase social isolation and reduce access to support. This is relevant to health and social care because social isolation is linked to poorer wellbeing, reduced resilience and increased need for services.</w:t>
      </w:r>
    </w:p>
    <w:p w:rsidR="0051018C" w:rsidRDefault="005C0948" w14:paraId="6E0E05CD" w14:textId="77777777">
      <w:pPr>
        <w:spacing w:after="120" w:line="360" w:lineRule="auto"/>
        <w:jc w:val="both"/>
      </w:pPr>
      <w:r>
        <w:t>Lam, Lu, Shi and Covinsky (2020) examined telemedicine unreadiness among older adults. They found that many older adults may struggle with video visits due to problems with technology access, hearing, communication or cognitive ability. This study is relevant because remote consultations are now a common feature of healthcare access, and unreadiness can limit the effectiveness of digital care.</w:t>
      </w:r>
    </w:p>
    <w:p w:rsidR="0051018C" w:rsidRDefault="005C0948" w14:paraId="2B017B11" w14:textId="77777777">
      <w:pPr>
        <w:spacing w:after="120" w:line="360" w:lineRule="auto"/>
        <w:jc w:val="both"/>
      </w:pPr>
      <w:r>
        <w:t>Banskota, Healy and Goldberg (2020) reviewed smartphone applications for older adults and considered issues around usability and suitability. The study highlighted that digital tools can support older people, but only if they are designed with older users in mind. This supports the wider finding that accessible design is central to inclusion.</w:t>
      </w:r>
    </w:p>
    <w:p w:rsidR="0051018C" w:rsidRDefault="005C0948" w14:paraId="72DAFCBC" w14:textId="77777777">
      <w:pPr>
        <w:spacing w:after="120" w:line="360" w:lineRule="auto"/>
        <w:jc w:val="both"/>
      </w:pPr>
      <w:r>
        <w:t>The first theme was barriers to digital engagement. Across the studies, older adults faced practical, financial, psychological and health-related barriers. Practical barriers included lack of devices, unreliable internet and difficulty using platforms. Financial barriers included the cost of broadband, mobile data and updated devices. Psychological barriers included fear of scams, anxiety about making mistakes and low confidence. Health-related barriers included poor vision, hearing loss, arthritis and cogn</w:t>
      </w:r>
      <w:r>
        <w:t>itive impairment.</w:t>
      </w:r>
    </w:p>
    <w:p w:rsidR="0051018C" w:rsidRDefault="005C0948" w14:paraId="561EB607" w14:textId="77777777">
      <w:pPr>
        <w:spacing w:after="120" w:line="360" w:lineRule="auto"/>
        <w:jc w:val="both"/>
      </w:pPr>
      <w:r>
        <w:t>A key finding was that digital exclusion is often cumulative. For example, an older adult on a low income may have an outdated phone, limited data, poor confidence and a long-term condition that affects concentration. Each barrier makes the next one harder to overcome. This means that simply offering an online service does not guarantee access. Services need to understand the combined effect of different barriers.</w:t>
      </w:r>
    </w:p>
    <w:p w:rsidR="0051018C" w:rsidRDefault="005C0948" w14:paraId="7339FC70" w14:textId="77777777">
      <w:pPr>
        <w:spacing w:after="120" w:line="360" w:lineRule="auto"/>
        <w:jc w:val="both"/>
      </w:pPr>
      <w:r>
        <w:t>The second theme was consequences for access and wellbeing. Digital exclusion can make it harder to book appointments, request prescriptions, access test results, complete online forms and receive health information. This can delay care and increase frustration. For people with long-term conditions, delays or difficulty using digital systems may affect self-management and continuity of care.</w:t>
      </w:r>
    </w:p>
    <w:p w:rsidR="0051018C" w:rsidRDefault="005C0948" w14:paraId="129642FC" w14:textId="77777777">
      <w:pPr>
        <w:spacing w:after="120" w:line="360" w:lineRule="auto"/>
        <w:jc w:val="both"/>
      </w:pPr>
      <w:r>
        <w:t>The studies also suggested that digital exclusion can reduce autonomy. Some older adults rely on relatives, friends or carers to complete online tasks. While support from others can be helpful, it can also create privacy concerns. Health information is sensitive, and not everyone wants family members to manage appointments, medication requests or personal records. Dependence can also be unreliable if informal support is not always available.</w:t>
      </w:r>
    </w:p>
    <w:p w:rsidR="0051018C" w:rsidRDefault="005C0948" w14:paraId="29947F69" w14:textId="77777777">
      <w:pPr>
        <w:spacing w:after="120" w:line="360" w:lineRule="auto"/>
        <w:jc w:val="both"/>
      </w:pPr>
      <w:r>
        <w:t>The third theme was strategies to promote digital inclusion. Interventions included training, one-to-one support, accessible design, device provision, affordable connectivity and community partnerships. Training was more useful when it was practical, repeated and delivered at a suitable pace. Older adults may need time to practise skills and build confidence. Short, clear instructions and patient support were important.</w:t>
      </w:r>
    </w:p>
    <w:p w:rsidR="0051018C" w:rsidRDefault="005C0948" w14:paraId="40E8AC05" w14:textId="77777777">
      <w:pPr>
        <w:spacing w:after="120" w:line="360" w:lineRule="auto"/>
        <w:jc w:val="both"/>
      </w:pPr>
      <w:r>
        <w:t>Non-digital alternatives were also a major finding. The evidence did not suggest that all older adults should be forced to use digital systems. Instead, inclusive services should provide multiple routes, including telephone and face-to-face support. This is particularly important for individuals with advanced frailty, dementia, severe sensory impairment or strong preference for human contact.</w:t>
      </w:r>
    </w:p>
    <w:p w:rsidR="0051018C" w:rsidRDefault="005C0948" w14:paraId="391C2398" w14:textId="77777777">
      <w:pPr>
        <w:pStyle w:val="Heading1"/>
      </w:pPr>
      <w:r>
        <w:t>5. Discussion</w:t>
      </w:r>
    </w:p>
    <w:p w:rsidR="0051018C" w:rsidRDefault="005C0948" w14:paraId="078E47A7" w14:textId="77777777">
      <w:pPr>
        <w:spacing w:after="120" w:line="360" w:lineRule="auto"/>
        <w:jc w:val="both"/>
      </w:pPr>
      <w:r>
        <w:t>The findings show that digital exclusion is a significant barrier to equitable health and social care access for older adults. Digital exclusion is not just a matter of whether someone owns a smartphone. It involves access, affordability, skills, confidence, trust, accessibility and support. These factors interact with wider inequalities such as poverty, disability, rural residence and social isolation.</w:t>
      </w:r>
    </w:p>
    <w:p w:rsidR="0051018C" w:rsidRDefault="005C0948" w14:paraId="785F8571" w14:textId="77777777">
      <w:pPr>
        <w:spacing w:after="120" w:line="360" w:lineRule="auto"/>
        <w:jc w:val="both"/>
      </w:pPr>
      <w:r>
        <w:t>The review supports the argument that digital exclusion should be treated as a social determinant of health. If digital access affects the ability to book appointments, order prescriptions or obtain information, then it directly influences health opportunities. People who are already disadvantaged may become further disadvantaged when services move online. This creates a risk that digital transformation improves access for some groups while worsening it for others.</w:t>
      </w:r>
    </w:p>
    <w:p w:rsidR="0051018C" w:rsidRDefault="005C0948" w14:paraId="038F2D9A" w14:textId="77777777">
      <w:pPr>
        <w:spacing w:after="120" w:line="360" w:lineRule="auto"/>
        <w:jc w:val="both"/>
      </w:pPr>
      <w:r>
        <w:t>A major implication is that health and social care services must avoid assuming universal digital readiness. Digital-first systems can be efficient, but they can also create hidden barriers. For example, an online triage form may reduce telephone demand, but it may also prevent some older adults from contacting the practice. If the system is not monitored carefully, reduced demand may be mistaken for reduced need.</w:t>
      </w:r>
    </w:p>
    <w:p w:rsidR="0051018C" w:rsidRDefault="005C0948" w14:paraId="26D50F7D" w14:textId="77777777">
      <w:pPr>
        <w:spacing w:after="120" w:line="360" w:lineRule="auto"/>
        <w:jc w:val="both"/>
      </w:pPr>
      <w:r>
        <w:t>The results also challenge stereotypes. Older adults should not be treated as one group. Some are confident and prefer digital services, while others are excluded or anxious. Practice should therefore be based on individual assessment. Professionals should ask about digital access and preferences rather than making assumptions. A person-centred approach means offering digital options where helpful and alternatives where needed.</w:t>
      </w:r>
    </w:p>
    <w:p w:rsidR="0051018C" w:rsidRDefault="005C0948" w14:paraId="56BFFE22" w14:textId="77777777">
      <w:pPr>
        <w:spacing w:after="120" w:line="360" w:lineRule="auto"/>
        <w:jc w:val="both"/>
      </w:pPr>
      <w:r>
        <w:t>The findings are consistent with NHS England guidance on inclusive digital healthcare. NHS England (2023) emphasises that digital services should be designed inclusively and should complement non-digital support. This is important because technology should not replace the need for accessible human support. The strongest approach is not anti-digital but balanced and inclusive.</w:t>
      </w:r>
    </w:p>
    <w:p w:rsidR="0051018C" w:rsidRDefault="005C0948" w14:paraId="1E854262" w14:textId="77777777">
      <w:pPr>
        <w:spacing w:after="120" w:line="360" w:lineRule="auto"/>
        <w:jc w:val="both"/>
      </w:pPr>
      <w:r>
        <w:t>There are clear implications for frontline professionals. Nurses, social workers, care coordinators, pharmacists and reception staff may be the first to notice that a person is struggling. Staff can ask simple questions such as whether the person has internet access, whether they can use the NHS App, whether they prefer phone calls or letters, and whether they need help with online systems. These questions can identify barriers early.</w:t>
      </w:r>
    </w:p>
    <w:p w:rsidR="0051018C" w:rsidRDefault="005C0948" w14:paraId="79506FE2" w14:textId="77777777">
      <w:pPr>
        <w:spacing w:after="120" w:line="360" w:lineRule="auto"/>
        <w:jc w:val="both"/>
      </w:pPr>
      <w:r>
        <w:t>Staff training is also important. Some professionals may assume that digital support is outside their role. However, if digital exclusion prevents access to care, it becomes a practice issue. Staff do not need to become technology experts, but they should know how to identify barriers, provide basic guidance and signpost to local support. This is particularly important in services used heavily by older adults.</w:t>
      </w:r>
    </w:p>
    <w:p w:rsidR="0051018C" w:rsidRDefault="005C0948" w14:paraId="1DE1197B" w14:textId="77777777">
      <w:pPr>
        <w:spacing w:after="120" w:line="360" w:lineRule="auto"/>
        <w:jc w:val="both"/>
      </w:pPr>
      <w:r>
        <w:t>Organisations should build digital inclusion into service design. This includes involving older adults in testing digital platforms before they are implemented. Co-production can identify problems that designers may miss, such as unclear wording, small buttons, confusing navigation or difficult identity checks. A system that looks simple to staff may be confusing for a person who rarely uses digital services.</w:t>
      </w:r>
    </w:p>
    <w:p w:rsidR="0051018C" w:rsidRDefault="005C0948" w14:paraId="5F9B3835" w14:textId="77777777">
      <w:pPr>
        <w:spacing w:after="120" w:line="360" w:lineRule="auto"/>
        <w:jc w:val="both"/>
      </w:pPr>
      <w:r>
        <w:t>Accessibility is a practical requirement. Digital platforms should have clear layouts, plain language, large text options, compatibility with screen readers and simple authentication. Services should avoid unnecessary complexity. For example, repeated password changes and multi-step verification can be difficult for users with memory problems or limited confidence. Security is necessary, but it should be balanced with usability.</w:t>
      </w:r>
    </w:p>
    <w:p w:rsidR="0051018C" w:rsidRDefault="005C0948" w14:paraId="60C82FC1" w14:textId="77777777">
      <w:pPr>
        <w:spacing w:after="120" w:line="360" w:lineRule="auto"/>
        <w:jc w:val="both"/>
      </w:pPr>
      <w:r>
        <w:t>Community partnerships are another important implication. Libraries, voluntary organisations, Age UK groups and community centres often provide trusted spaces where older adults can learn digital skills. Health and social care services should develop referral pathways to these supports. Community-based help may feel less intimidating than formal training and can provide social benefits as well as digital skills.</w:t>
      </w:r>
    </w:p>
    <w:p w:rsidR="0051018C" w:rsidRDefault="005C0948" w14:paraId="7ADCEB88" w14:textId="77777777">
      <w:pPr>
        <w:spacing w:after="120" w:line="360" w:lineRule="auto"/>
        <w:jc w:val="both"/>
      </w:pPr>
      <w:r>
        <w:t>The role of carers must also be considered. Family members often help older adults access digital services. This can support inclusion, but it can also raise concerns about privacy and consent. Services should not automatically assume that family involvement is appropriate. Older adults should be asked whether they want support and what information they are comfortable sharing. Where possible, services should support the individual directly rather than creating unnecessary dependence.</w:t>
      </w:r>
    </w:p>
    <w:p w:rsidR="0051018C" w:rsidRDefault="005C0948" w14:paraId="0844BA3E" w14:textId="77777777">
      <w:pPr>
        <w:spacing w:after="120" w:line="360" w:lineRule="auto"/>
        <w:jc w:val="both"/>
      </w:pPr>
      <w:r>
        <w:t>There are also economic implications. Digital exclusion may lead to missed appointments, delayed treatment and worsening health, which can increase costs for the NHS and social care. Preventive digital inclusion support may therefore be cost-effective if it reduces avoidable demand. However, more research is needed to test the long-term financial impact of inclusion programmes.</w:t>
      </w:r>
    </w:p>
    <w:p w:rsidR="0051018C" w:rsidRDefault="005C0948" w14:paraId="4FA99D56" w14:textId="77777777">
      <w:pPr>
        <w:spacing w:after="120" w:line="360" w:lineRule="auto"/>
        <w:jc w:val="both"/>
      </w:pPr>
      <w:r>
        <w:t>Policy makers should recognise that digital transformation requires investment beyond software. Funding is needed for devices, connectivity, digital champions, staff training and accessible design. Without this investment, digital transformation may shift work onto patients, carers and frontline staff. A successful system needs both technology and support infrastructure.</w:t>
      </w:r>
    </w:p>
    <w:p w:rsidR="0051018C" w:rsidRDefault="005C0948" w14:paraId="3905CAA7" w14:textId="77777777">
      <w:pPr>
        <w:spacing w:after="120" w:line="360" w:lineRule="auto"/>
        <w:jc w:val="both"/>
      </w:pPr>
      <w:r>
        <w:t>Equality, diversity and inclusion considerations are central. Digital exclusion can intersect with ethnicity, language, disability, poverty and geography. Older adults from minority ethnic communities may face language barriers. Rural residents may experience poor connectivity. Disabled people may need assistive technology. These differences mean that a single standard digital pathway is unlikely to meet all needs.</w:t>
      </w:r>
    </w:p>
    <w:p w:rsidR="0051018C" w:rsidRDefault="005C0948" w14:paraId="2E3C3D6A" w14:textId="77777777">
      <w:pPr>
        <w:spacing w:after="120" w:line="360" w:lineRule="auto"/>
        <w:jc w:val="both"/>
      </w:pPr>
      <w:r>
        <w:t>The review also highlights the importance of maintaining non-digital access. Telephone and face-to-face routes should not be viewed as outdated or inefficient. For some people, they are essential reasonable adjustments. Removing these routes can create indirect discrimination and undermine person-centred care. Services should measure success by equitable access, not only by digital uptake.</w:t>
      </w:r>
    </w:p>
    <w:p w:rsidR="0051018C" w:rsidRDefault="005C0948" w14:paraId="580CCFB1" w14:textId="77777777">
      <w:pPr>
        <w:spacing w:after="120" w:line="360" w:lineRule="auto"/>
        <w:jc w:val="both"/>
      </w:pPr>
      <w:r>
        <w:t>There were limitations to this review. Only five studies were analysed in detail, and some were not UK-only. The review did not include a formal quality appraisal, which means the strength of each study was not fully assessed. The search was also limited to English-language sources and selected databases. Despite these limitations, the themes were consistent across studies and are strongly relevant to UK practice.</w:t>
      </w:r>
    </w:p>
    <w:p w:rsidR="0051018C" w:rsidRDefault="005C0948" w14:paraId="7E889E60" w14:textId="77777777">
      <w:pPr>
        <w:spacing w:after="120" w:line="360" w:lineRule="auto"/>
        <w:jc w:val="both"/>
      </w:pPr>
      <w:r>
        <w:t>Overall, the evidence suggests that digital inclusion is a practical, ethical and policy priority. Digital health and social care will continue to expand, but its value depends on whether people can use it. For older adults, inclusion requires choice, support, accessible design and respect for individual preference. Digital transformation should therefore be judged not only by efficiency but by fairness and usability.</w:t>
      </w:r>
    </w:p>
    <w:p w:rsidR="0051018C" w:rsidRDefault="005C0948" w14:paraId="5A30CA5A" w14:textId="77777777">
      <w:pPr>
        <w:pStyle w:val="Heading1"/>
      </w:pPr>
      <w:r>
        <w:t>6. Conclusion</w:t>
      </w:r>
    </w:p>
    <w:p w:rsidR="0051018C" w:rsidRDefault="005C0948" w14:paraId="1CCFB3BE" w14:textId="77777777">
      <w:pPr>
        <w:spacing w:after="120" w:line="360" w:lineRule="auto"/>
        <w:jc w:val="both"/>
      </w:pPr>
      <w:r>
        <w:t>This scoping review found that digital exclusion significantly affects older adults' access to health and social care services in the United Kingdom. Barriers include limited digital skills, lack of confidence, affordability issues, poor connectivity, inaccessible design, sensory impairment, cognitive difficulties and concerns about privacy or scams. These barriers can reduce access to appointments, prescriptions, information and communication with professionals.</w:t>
      </w:r>
    </w:p>
    <w:p w:rsidR="0051018C" w:rsidRDefault="005C0948" w14:paraId="672F39B7" w14:textId="77777777">
      <w:pPr>
        <w:spacing w:after="120" w:line="360" w:lineRule="auto"/>
        <w:jc w:val="both"/>
      </w:pPr>
      <w:r>
        <w:t>The review also found that digital exclusion can increase dependence on family members and carers, reduce privacy and widen existing health inequalities. Older adults with low income, disability, rural residence or limited social support may be particularly affected. This shows that digital exclusion is not simply a technical issue but a wider health inequality issue.</w:t>
      </w:r>
    </w:p>
    <w:p w:rsidR="0051018C" w:rsidRDefault="005C0948" w14:paraId="19C61C71" w14:textId="77777777">
      <w:pPr>
        <w:spacing w:after="120" w:line="360" w:lineRule="auto"/>
        <w:jc w:val="both"/>
      </w:pPr>
      <w:r>
        <w:t>The findings suggest that digital inclusion can be improved through practical training, accessible design, affordable devices and internet access, community partnerships and staff awareness. However, digital inclusion should not mean forcing all older adults to use online systems. Meaningful non-digital alternatives must remain available for those who need or prefer them.</w:t>
      </w:r>
    </w:p>
    <w:p w:rsidR="0051018C" w:rsidRDefault="005C0948" w14:paraId="603DD14C" w14:textId="77777777">
      <w:pPr>
        <w:spacing w:after="120" w:line="360" w:lineRule="auto"/>
        <w:jc w:val="both"/>
      </w:pPr>
      <w:r>
        <w:t>In conclusion, digital transformation has the potential to improve health and social care, but only if it is inclusive. Services should ensure that older adults are supported, involved and offered real choice. Otherwise, digital systems may unintentionally restrict access for the very people who need services most.</w:t>
      </w:r>
    </w:p>
    <w:p w:rsidR="0051018C" w:rsidRDefault="005C0948" w14:paraId="3E933DEE" w14:textId="77777777">
      <w:pPr>
        <w:pStyle w:val="Heading1"/>
      </w:pPr>
      <w:r>
        <w:t>7. Recommendations</w:t>
      </w:r>
    </w:p>
    <w:p w:rsidR="0051018C" w:rsidRDefault="005C0948" w14:paraId="31BBADD3" w14:textId="77777777">
      <w:pPr>
        <w:spacing w:after="120" w:line="360" w:lineRule="auto"/>
        <w:jc w:val="both"/>
      </w:pPr>
      <w:r>
        <w:t>For practice, health and social care professionals should assess digital access and confidence as part of routine contact with older adults. This could include asking whether the person has a device, can access the internet, feels confident using online services and has a preferred communication method. Services should avoid assuming that all older adults are digitally excluded, but they should also avoid assuming that ownership of a smartphone means digital inclusion.</w:t>
      </w:r>
    </w:p>
    <w:p w:rsidR="0051018C" w:rsidRDefault="005C0948" w14:paraId="080853BE" w14:textId="77777777">
      <w:pPr>
        <w:spacing w:after="120" w:line="360" w:lineRule="auto"/>
        <w:jc w:val="both"/>
      </w:pPr>
      <w:r>
        <w:t>Practitioners should signpost people to local digital support such as libraries, community centres, voluntary organisations and Age UK services. Staff should receive basic training on digital exclusion so they can identify barriers and respond appropriately. Printed information, telephone support and face-to-face options should remain available.</w:t>
      </w:r>
    </w:p>
    <w:p w:rsidR="0051018C" w:rsidRDefault="005C0948" w14:paraId="42815C91" w14:textId="77777777">
      <w:pPr>
        <w:spacing w:after="120" w:line="360" w:lineRule="auto"/>
        <w:jc w:val="both"/>
      </w:pPr>
      <w:r>
        <w:t>For organisations, digital inclusion should be included in service planning and equality impact assessments. Older adults should be involved in co-design and testing of digital platforms. Systems should use plain language, accessible layouts and simple navigation. Organisations should monitor whether digital services are reducing or increasing inequalities.</w:t>
      </w:r>
    </w:p>
    <w:p w:rsidR="0051018C" w:rsidRDefault="005C0948" w14:paraId="77C8F785" w14:textId="77777777">
      <w:pPr>
        <w:spacing w:after="120" w:line="360" w:lineRule="auto"/>
        <w:jc w:val="both"/>
      </w:pPr>
      <w:r>
        <w:t>For policy, funding should be provided for digital skills programmes, affordable connectivity and community-based support. National policy should make clear that digital transformation must not remove non-digital routes. Standards for accessibility and inclusion should be applied across NHS and social care platforms.</w:t>
      </w:r>
    </w:p>
    <w:p w:rsidR="0051018C" w:rsidRDefault="005C0948" w14:paraId="73CCA924" w14:textId="77777777">
      <w:pPr>
        <w:spacing w:after="120" w:line="360" w:lineRule="auto"/>
        <w:jc w:val="both"/>
      </w:pPr>
      <w:r>
        <w:t>For future research, more UK-based studies are needed to examine the long-term impact of digital exclusion on older adults' health outcomes. Research should also evaluate which interventions are most effective, cost-effective and acceptable to older adults. Further work should explore the experiences of people with dementia, sensory impairment, low income and minority ethnic backgrounds.</w:t>
      </w:r>
    </w:p>
    <w:p w:rsidR="0051018C" w:rsidRDefault="005C0948" w14:paraId="0D81C5A3" w14:textId="77777777">
      <w:r>
        <w:br w:type="page"/>
      </w:r>
    </w:p>
    <w:p w:rsidR="0051018C" w:rsidRDefault="005C0948" w14:paraId="4687C5EC" w14:textId="77777777">
      <w:pPr>
        <w:pStyle w:val="Heading1"/>
      </w:pPr>
      <w:r>
        <w:t>References</w:t>
      </w:r>
    </w:p>
    <w:p w:rsidR="0051018C" w:rsidRDefault="005C0948" w14:paraId="61C0C20E" w14:textId="77777777">
      <w:pPr>
        <w:spacing w:after="120" w:line="360" w:lineRule="auto"/>
        <w:ind w:left="360" w:hanging="360"/>
      </w:pPr>
      <w:r>
        <w:t>Age UK (2025) Protecting older people from digital exclusion. London: Age UK.</w:t>
      </w:r>
    </w:p>
    <w:p w:rsidR="0051018C" w:rsidRDefault="005C0948" w14:paraId="3AE16C53" w14:textId="77777777">
      <w:pPr>
        <w:spacing w:after="120" w:line="360" w:lineRule="auto"/>
        <w:ind w:left="360" w:hanging="360"/>
      </w:pPr>
      <w:r>
        <w:t>Arksey, H. and O'Malley, L. (2005) 'Scoping studies: Towards a methodological framework', International Journal of Social Research Methodology, 8(1), pp. 19-32.</w:t>
      </w:r>
    </w:p>
    <w:p w:rsidR="0051018C" w:rsidRDefault="005C0948" w14:paraId="750592CD" w14:textId="77777777">
      <w:pPr>
        <w:spacing w:after="120" w:line="360" w:lineRule="auto"/>
        <w:ind w:left="360" w:hanging="360"/>
      </w:pPr>
      <w:r>
        <w:t>Banskota, S., Healy, M. and Goldberg, E.M. (2020) '15 smartphone apps for older adults to use while in isolation during the COVID-19 pandemic', Western Journal of Emergency Medicine, 21(3), pp. 514-525.</w:t>
      </w:r>
    </w:p>
    <w:p w:rsidR="0051018C" w:rsidRDefault="005C0948" w14:paraId="71DDBCD4" w14:textId="77777777">
      <w:pPr>
        <w:spacing w:after="120" w:line="360" w:lineRule="auto"/>
        <w:ind w:left="360" w:hanging="360"/>
      </w:pPr>
      <w:r>
        <w:t>Care Act 2014. London: The Stationery Office.</w:t>
      </w:r>
    </w:p>
    <w:p w:rsidR="0051018C" w:rsidRDefault="005C0948" w14:paraId="62A202AE" w14:textId="77777777">
      <w:pPr>
        <w:spacing w:after="120" w:line="360" w:lineRule="auto"/>
        <w:ind w:left="360" w:hanging="360"/>
      </w:pPr>
      <w:r>
        <w:t>Department for Science, Innovation and Technology (2025) Digital Inclusion Action Plan: First Steps. London: HM Government.</w:t>
      </w:r>
    </w:p>
    <w:p w:rsidR="0051018C" w:rsidRDefault="005C0948" w14:paraId="7C4DBC2D" w14:textId="77777777">
      <w:pPr>
        <w:spacing w:after="120" w:line="360" w:lineRule="auto"/>
        <w:ind w:left="360" w:hanging="360"/>
      </w:pPr>
      <w:r>
        <w:t>Equality Act 2010. London: The Stationery Office.</w:t>
      </w:r>
    </w:p>
    <w:p w:rsidR="0051018C" w:rsidRDefault="005C0948" w14:paraId="4D390AED" w14:textId="77777777">
      <w:pPr>
        <w:spacing w:after="120" w:line="360" w:lineRule="auto"/>
        <w:ind w:left="360" w:hanging="360"/>
      </w:pPr>
      <w:r>
        <w:t>Good Things Foundation (2024) The digital divide. Sheffield: Good Things Foundation.</w:t>
      </w:r>
    </w:p>
    <w:p w:rsidR="0051018C" w:rsidRDefault="005C0948" w14:paraId="2064F440" w14:textId="77777777">
      <w:pPr>
        <w:spacing w:after="120" w:line="360" w:lineRule="auto"/>
        <w:ind w:left="360" w:hanging="360"/>
      </w:pPr>
      <w:r>
        <w:t>Lam, K., Lu, A.D., Shi, Y. and Covinsky, K.E. (2020) 'Assessing telemedicine unreadiness among older adults in the United States during the COVID-19 pandemic', JAMA Internal Medicine, 180(10), pp. 1389-1391.</w:t>
      </w:r>
    </w:p>
    <w:p w:rsidR="0051018C" w:rsidRDefault="005C0948" w14:paraId="5BFB0008" w14:textId="77777777">
      <w:pPr>
        <w:spacing w:after="120" w:line="360" w:lineRule="auto"/>
        <w:ind w:left="360" w:hanging="360"/>
      </w:pPr>
      <w:r>
        <w:t>Levac, D., Colquhoun, H. and O'Brien, K.K. (2010) 'Scoping studies: Advancing the methodology', Implementation Science, 5, p. 69.</w:t>
      </w:r>
    </w:p>
    <w:p w:rsidR="0051018C" w:rsidRDefault="005C0948" w14:paraId="473D295E" w14:textId="77777777">
      <w:pPr>
        <w:spacing w:after="120" w:line="360" w:lineRule="auto"/>
        <w:ind w:left="360" w:hanging="360"/>
      </w:pPr>
      <w:r>
        <w:t>Marmot, M. et al. (2020) Health Equity in England: The Marmot Review 10 Years On. London: Institute of Health Equity.</w:t>
      </w:r>
    </w:p>
    <w:p w:rsidR="0051018C" w:rsidRDefault="005C0948" w14:paraId="1068DBA9" w14:textId="77777777">
      <w:pPr>
        <w:spacing w:after="120" w:line="360" w:lineRule="auto"/>
        <w:ind w:left="360" w:hanging="360"/>
      </w:pPr>
      <w:r>
        <w:t>NHS England (2019) The NHS Long Term Plan. London: NHS England.</w:t>
      </w:r>
    </w:p>
    <w:p w:rsidR="0051018C" w:rsidRDefault="005C0948" w14:paraId="21BF9413" w14:textId="77777777">
      <w:pPr>
        <w:spacing w:after="120" w:line="360" w:lineRule="auto"/>
        <w:ind w:left="360" w:hanging="360"/>
      </w:pPr>
      <w:r>
        <w:t>NHS England (2023) Inclusive digital healthcare: A framework for NHS action on digital inclusion. London: NHS England.</w:t>
      </w:r>
    </w:p>
    <w:p w:rsidR="0051018C" w:rsidRDefault="005C0948" w14:paraId="4DA060C9" w14:textId="77777777">
      <w:pPr>
        <w:spacing w:after="120" w:line="360" w:lineRule="auto"/>
        <w:ind w:left="360" w:hanging="360"/>
      </w:pPr>
      <w:r>
        <w:t>Office for National Statistics (2020) Internet users, UK: 2020. London: ONS.</w:t>
      </w:r>
    </w:p>
    <w:p w:rsidR="0051018C" w:rsidRDefault="005C0948" w14:paraId="1CADEE97" w14:textId="77777777">
      <w:pPr>
        <w:spacing w:after="120" w:line="360" w:lineRule="auto"/>
        <w:ind w:left="360" w:hanging="360"/>
      </w:pPr>
      <w:r>
        <w:t>Public Health England (2021) Health equity and the social determinants of health. London: PHE.</w:t>
      </w:r>
    </w:p>
    <w:p w:rsidR="0051018C" w:rsidRDefault="005C0948" w14:paraId="57A6DC17" w14:textId="77777777">
      <w:pPr>
        <w:spacing w:after="120" w:line="360" w:lineRule="auto"/>
        <w:ind w:left="360" w:hanging="360"/>
      </w:pPr>
      <w:r>
        <w:t>Seifert, A., Cotton, S.R. and Xie, B. (2021) 'A double burden of exclusion? Digital and social exclusion of older adults in times of COVID-19', Journals of Gerontology: Series B, 76(3), pp. e99-e103.</w:t>
      </w:r>
    </w:p>
    <w:p w:rsidR="0051018C" w:rsidRDefault="005C0948" w14:paraId="375631E7" w14:textId="77777777">
      <w:pPr>
        <w:spacing w:after="120" w:line="360" w:lineRule="auto"/>
        <w:ind w:left="360" w:hanging="360"/>
      </w:pPr>
      <w:r>
        <w:t>The King's Fund (2023) Digital health care: The implications for access and equity. London: The King's Fund.</w:t>
      </w:r>
    </w:p>
    <w:p w:rsidR="0051018C" w:rsidRDefault="005C0948" w14:paraId="00C532B4" w14:textId="77777777">
      <w:pPr>
        <w:spacing w:after="120" w:line="360" w:lineRule="auto"/>
        <w:ind w:left="360" w:hanging="360"/>
      </w:pPr>
      <w:r>
        <w:t>Tricco, A.C. et al. (2018) 'PRISMA Extension for Scoping Reviews (PRISMA-ScR): Checklist and explanation', Annals of Internal Medicine, 169(7), pp. 467-473.</w:t>
      </w:r>
    </w:p>
    <w:p w:rsidR="0051018C" w:rsidRDefault="005C0948" w14:paraId="2836D751" w14:textId="77777777">
      <w:pPr>
        <w:spacing w:after="120" w:line="360" w:lineRule="auto"/>
        <w:ind w:left="360" w:hanging="360"/>
      </w:pPr>
      <w:r>
        <w:t>Wale, A. et al. (2025) 'Effectiveness of interventions for addressing digital exclusion in older adults in the social care domain: Rapid review', JMIR Aging, 8, e70377.</w:t>
      </w:r>
    </w:p>
    <w:p w:rsidR="0051018C" w:rsidRDefault="005C0948" w14:paraId="5AEF138B" w14:textId="77777777">
      <w:pPr>
        <w:spacing w:after="120" w:line="360" w:lineRule="auto"/>
        <w:ind w:left="360" w:hanging="360"/>
      </w:pPr>
      <w:r>
        <w:t>World Health Organization (2021) Global strategy on digital health 2020-2025. Geneva: WHO.</w:t>
      </w:r>
    </w:p>
    <w:p w:rsidR="0051018C" w:rsidRDefault="005C0948" w14:paraId="20CDAE07" w14:textId="77777777">
      <w:pPr>
        <w:spacing w:after="120" w:line="360" w:lineRule="auto"/>
        <w:ind w:left="360" w:hanging="360"/>
      </w:pPr>
      <w:r>
        <w:t>Xue, Z. et al. (2026) 'Digital exclusion in healthcare services: A scoping review', International Journal for Equity in Health, 25(1), p. 37.</w:t>
      </w:r>
    </w:p>
    <w:sectPr w:rsidR="0051018C" w:rsidSect="0003461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1742406570">
    <w:abstractNumId w:val="8"/>
  </w:num>
  <w:num w:numId="2" w16cid:durableId="1585144778">
    <w:abstractNumId w:val="6"/>
  </w:num>
  <w:num w:numId="3" w16cid:durableId="227541196">
    <w:abstractNumId w:val="5"/>
  </w:num>
  <w:num w:numId="4" w16cid:durableId="1572812902">
    <w:abstractNumId w:val="4"/>
  </w:num>
  <w:num w:numId="5" w16cid:durableId="1015495341">
    <w:abstractNumId w:val="7"/>
  </w:num>
  <w:num w:numId="6" w16cid:durableId="1168639501">
    <w:abstractNumId w:val="3"/>
  </w:num>
  <w:num w:numId="7" w16cid:durableId="2092001589">
    <w:abstractNumId w:val="2"/>
  </w:num>
  <w:num w:numId="8" w16cid:durableId="716130277">
    <w:abstractNumId w:val="1"/>
  </w:num>
  <w:num w:numId="9" w16cid:durableId="1972635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51018C"/>
    <w:rsid w:val="005C0948"/>
    <w:rsid w:val="006D4012"/>
    <w:rsid w:val="00AA1D8D"/>
    <w:rsid w:val="00B47730"/>
    <w:rsid w:val="00C727FE"/>
    <w:rsid w:val="00CB0664"/>
    <w:rsid w:val="00FC693F"/>
    <w:rsid w:val="33A11144"/>
    <w:rsid w:val="531E5EEB"/>
    <w:rsid w:val="6E936B80"/>
    <w:rsid w:val="6EF3040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71A69B4"/>
  <w14:defaultImageDpi w14:val="300"/>
  <w15:docId w15:val="{2A32ECF2-5CB9-CA4D-9CA8-36E3EBD22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Ioan Surdu (2333638)</lastModifiedBy>
  <revision>3</revision>
  <dcterms:created xsi:type="dcterms:W3CDTF">2026-05-31T14:16:00.0000000Z</dcterms:created>
  <dcterms:modified xsi:type="dcterms:W3CDTF">2026-05-31T14:27:55.1799647Z</dcterms:modified>
  <category/>
</coreProperties>
</file>