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939B311" wp14:paraId="6AF5C413" wp14:textId="2B5C077F">
      <w:pPr>
        <w:pStyle w:val="Heading1"/>
        <w:keepNext w:val="1"/>
        <w:keepLines w:val="1"/>
        <w:spacing w:before="0" w:beforeAutospacing="off" w:after="38" w:afterAutospacing="off" w:line="257" w:lineRule="auto"/>
        <w:ind w:left="-5" w:right="0" w:hanging="10"/>
        <w:jc w:val="left"/>
        <w:rPr>
          <w:rFonts w:ascii="Calibri" w:hAnsi="Calibri" w:eastAsia="Calibri" w:cs="Calibri"/>
          <w:b w:val="0"/>
          <w:bCs w:val="0"/>
          <w:i w:val="0"/>
          <w:iCs w:val="0"/>
          <w:caps w:val="0"/>
          <w:smallCaps w:val="0"/>
          <w:noProof w:val="0"/>
          <w:color w:val="0F4761" w:themeColor="accent1" w:themeTint="FF" w:themeShade="BF"/>
          <w:sz w:val="32"/>
          <w:szCs w:val="32"/>
          <w:lang w:val="en-US"/>
        </w:rPr>
      </w:pPr>
      <w:r w:rsidRPr="1939B311" w:rsidR="053BB5B9">
        <w:rPr>
          <w:rFonts w:ascii="Calibri" w:hAnsi="Calibri" w:eastAsia="Calibri" w:cs="Calibri"/>
          <w:b w:val="0"/>
          <w:bCs w:val="0"/>
          <w:i w:val="0"/>
          <w:iCs w:val="0"/>
          <w:caps w:val="0"/>
          <w:smallCaps w:val="0"/>
          <w:noProof w:val="0"/>
          <w:color w:val="0F4761" w:themeColor="accent1" w:themeTint="FF" w:themeShade="BF"/>
          <w:sz w:val="32"/>
          <w:szCs w:val="32"/>
          <w:lang w:val="en-US"/>
        </w:rPr>
        <w:t xml:space="preserve">Basic Acknowledgement format of AI tool use </w:t>
      </w:r>
    </w:p>
    <w:p xmlns:wp14="http://schemas.microsoft.com/office/word/2010/wordml" w:rsidP="1939B311" wp14:paraId="58348809" wp14:textId="75705C5E">
      <w:pPr>
        <w:spacing w:before="240" w:beforeAutospacing="off" w:after="240" w:afterAutospacing="off"/>
        <w:jc w:val="left"/>
        <w:rPr>
          <w:rFonts w:ascii="Calibri" w:hAnsi="Calibri" w:eastAsia="Calibri" w:cs="Calibri"/>
          <w:noProof w:val="0"/>
          <w:sz w:val="24"/>
          <w:szCs w:val="24"/>
          <w:lang w:val="en-US"/>
        </w:rPr>
      </w:pPr>
      <w:r w:rsidRPr="1939B311" w:rsidR="60F88309">
        <w:rPr>
          <w:rFonts w:ascii="Calibri" w:hAnsi="Calibri" w:eastAsia="Calibri" w:cs="Calibri"/>
          <w:noProof w:val="0"/>
          <w:sz w:val="24"/>
          <w:szCs w:val="24"/>
          <w:lang w:val="en-US"/>
        </w:rPr>
        <w:t>I acknowledge the use of Google (</w:t>
      </w:r>
      <w:hyperlink r:id="R35e856e0d6a04f63">
        <w:r w:rsidRPr="1939B311" w:rsidR="60F88309">
          <w:rPr>
            <w:rStyle w:val="Hyperlink"/>
            <w:rFonts w:ascii="Calibri" w:hAnsi="Calibri" w:eastAsia="Calibri" w:cs="Calibri"/>
            <w:noProof w:val="0"/>
            <w:sz w:val="24"/>
            <w:szCs w:val="24"/>
            <w:lang w:val="en-US"/>
          </w:rPr>
          <w:t>www.google.com</w:t>
        </w:r>
      </w:hyperlink>
      <w:r w:rsidRPr="1939B311" w:rsidR="60F88309">
        <w:rPr>
          <w:rFonts w:ascii="Calibri" w:hAnsi="Calibri" w:eastAsia="Calibri" w:cs="Calibri"/>
          <w:noProof w:val="0"/>
          <w:sz w:val="24"/>
          <w:szCs w:val="24"/>
          <w:lang w:val="en-US"/>
        </w:rPr>
        <w:t>) on three separate occasions to support my work on this essay. Specifically, I conducted searches on:</w:t>
      </w:r>
    </w:p>
    <w:p xmlns:wp14="http://schemas.microsoft.com/office/word/2010/wordml" w:rsidP="1939B311" wp14:paraId="483D6975" wp14:textId="4FE4322C">
      <w:pPr>
        <w:pStyle w:val="ListParagraph"/>
        <w:numPr>
          <w:ilvl w:val="0"/>
          <w:numId w:val="4"/>
        </w:numPr>
        <w:spacing w:before="0" w:beforeAutospacing="off" w:after="0" w:afterAutospacing="off"/>
        <w:jc w:val="left"/>
        <w:rPr>
          <w:rFonts w:ascii="Calibri" w:hAnsi="Calibri" w:eastAsia="Calibri" w:cs="Calibri"/>
          <w:noProof w:val="0"/>
          <w:sz w:val="24"/>
          <w:szCs w:val="24"/>
          <w:lang w:val="en-US"/>
        </w:rPr>
      </w:pPr>
      <w:r w:rsidRPr="1939B311" w:rsidR="60F88309">
        <w:rPr>
          <w:rFonts w:ascii="Calibri" w:hAnsi="Calibri" w:eastAsia="Calibri" w:cs="Calibri"/>
          <w:noProof w:val="0"/>
          <w:sz w:val="24"/>
          <w:szCs w:val="24"/>
          <w:lang w:val="en-US"/>
        </w:rPr>
        <w:t>8st</w:t>
      </w:r>
      <w:r w:rsidRPr="1939B311" w:rsidR="60F88309">
        <w:rPr>
          <w:rFonts w:ascii="Calibri" w:hAnsi="Calibri" w:eastAsia="Calibri" w:cs="Calibri"/>
          <w:noProof w:val="0"/>
          <w:sz w:val="24"/>
          <w:szCs w:val="24"/>
          <w:lang w:val="en-US"/>
        </w:rPr>
        <w:t xml:space="preserve"> December </w:t>
      </w:r>
      <w:r w:rsidRPr="1939B311" w:rsidR="29DD759B">
        <w:rPr>
          <w:rFonts w:ascii="Calibri" w:hAnsi="Calibri" w:eastAsia="Calibri" w:cs="Calibri"/>
          <w:noProof w:val="0"/>
          <w:sz w:val="24"/>
          <w:szCs w:val="24"/>
          <w:lang w:val="en-US"/>
        </w:rPr>
        <w:t>2024.</w:t>
      </w:r>
      <w:r w:rsidRPr="1939B311" w:rsidR="60F88309">
        <w:rPr>
          <w:rFonts w:ascii="Calibri" w:hAnsi="Calibri" w:eastAsia="Calibri" w:cs="Calibri"/>
          <w:noProof w:val="0"/>
          <w:sz w:val="24"/>
          <w:szCs w:val="24"/>
          <w:lang w:val="en-US"/>
        </w:rPr>
        <w:t xml:space="preserve"> I used the prompt: Trauma-informed care frameworks.</w:t>
      </w:r>
    </w:p>
    <w:p xmlns:wp14="http://schemas.microsoft.com/office/word/2010/wordml" w:rsidP="1939B311" wp14:paraId="33D0DF71" wp14:textId="793A02D6">
      <w:pPr>
        <w:pStyle w:val="ListParagraph"/>
        <w:numPr>
          <w:ilvl w:val="0"/>
          <w:numId w:val="4"/>
        </w:numPr>
        <w:spacing w:before="0" w:beforeAutospacing="off" w:after="0" w:afterAutospacing="off"/>
        <w:jc w:val="left"/>
        <w:rPr>
          <w:rFonts w:ascii="Calibri" w:hAnsi="Calibri" w:eastAsia="Calibri" w:cs="Calibri"/>
          <w:noProof w:val="0"/>
          <w:sz w:val="24"/>
          <w:szCs w:val="24"/>
          <w:lang w:val="en-US"/>
        </w:rPr>
      </w:pPr>
      <w:r w:rsidRPr="1939B311" w:rsidR="60F88309">
        <w:rPr>
          <w:rFonts w:ascii="Calibri" w:hAnsi="Calibri" w:eastAsia="Calibri" w:cs="Calibri"/>
          <w:noProof w:val="0"/>
          <w:sz w:val="24"/>
          <w:szCs w:val="24"/>
          <w:lang w:val="en-US"/>
        </w:rPr>
        <w:t>15th December 2024. I used the prompts: Culturally sensitive interventions in social work.</w:t>
      </w:r>
    </w:p>
    <w:p xmlns:wp14="http://schemas.microsoft.com/office/word/2010/wordml" w:rsidP="1939B311" wp14:paraId="57E512A9" wp14:textId="62189A61">
      <w:pPr>
        <w:pStyle w:val="ListParagraph"/>
        <w:numPr>
          <w:ilvl w:val="0"/>
          <w:numId w:val="4"/>
        </w:numPr>
        <w:spacing w:before="0" w:beforeAutospacing="off" w:after="0" w:afterAutospacing="off"/>
        <w:jc w:val="left"/>
        <w:rPr>
          <w:rFonts w:ascii="Calibri" w:hAnsi="Calibri" w:eastAsia="Calibri" w:cs="Calibri"/>
          <w:noProof w:val="0"/>
          <w:sz w:val="24"/>
          <w:szCs w:val="24"/>
          <w:lang w:val="en-US"/>
        </w:rPr>
      </w:pPr>
      <w:r w:rsidRPr="1939B311" w:rsidR="60F88309">
        <w:rPr>
          <w:rFonts w:ascii="Calibri" w:hAnsi="Calibri" w:eastAsia="Calibri" w:cs="Calibri"/>
          <w:noProof w:val="0"/>
          <w:sz w:val="24"/>
          <w:szCs w:val="24"/>
          <w:lang w:val="en-US"/>
        </w:rPr>
        <w:t>1</w:t>
      </w:r>
      <w:r w:rsidRPr="1939B311" w:rsidR="7BB6833B">
        <w:rPr>
          <w:rFonts w:ascii="Calibri" w:hAnsi="Calibri" w:eastAsia="Calibri" w:cs="Calibri"/>
          <w:noProof w:val="0"/>
          <w:sz w:val="24"/>
          <w:szCs w:val="24"/>
          <w:lang w:val="en-US"/>
        </w:rPr>
        <w:t>8</w:t>
      </w:r>
      <w:r w:rsidRPr="1939B311" w:rsidR="60F88309">
        <w:rPr>
          <w:rFonts w:ascii="Calibri" w:hAnsi="Calibri" w:eastAsia="Calibri" w:cs="Calibri"/>
          <w:noProof w:val="0"/>
          <w:sz w:val="24"/>
          <w:szCs w:val="24"/>
          <w:lang w:val="en-US"/>
        </w:rPr>
        <w:t>th December 2024</w:t>
      </w:r>
      <w:r w:rsidRPr="1939B311" w:rsidR="239CD61D">
        <w:rPr>
          <w:rFonts w:ascii="Calibri" w:hAnsi="Calibri" w:eastAsia="Calibri" w:cs="Calibri"/>
          <w:noProof w:val="0"/>
          <w:sz w:val="24"/>
          <w:szCs w:val="24"/>
          <w:lang w:val="en-US"/>
        </w:rPr>
        <w:t>. I used the prompts</w:t>
      </w:r>
      <w:r w:rsidRPr="1939B311" w:rsidR="45035F4E">
        <w:rPr>
          <w:rFonts w:ascii="Calibri" w:hAnsi="Calibri" w:eastAsia="Calibri" w:cs="Calibri"/>
          <w:noProof w:val="0"/>
          <w:sz w:val="24"/>
          <w:szCs w:val="24"/>
          <w:lang w:val="en-US"/>
        </w:rPr>
        <w:t>: Adverse</w:t>
      </w:r>
      <w:r w:rsidRPr="1939B311" w:rsidR="60F88309">
        <w:rPr>
          <w:rFonts w:ascii="Calibri" w:hAnsi="Calibri" w:eastAsia="Calibri" w:cs="Calibri"/>
          <w:noProof w:val="0"/>
          <w:sz w:val="24"/>
          <w:szCs w:val="24"/>
          <w:lang w:val="en-US"/>
        </w:rPr>
        <w:t xml:space="preserve"> Childhood Experiences (ACEs) and child recovery strategies</w:t>
      </w:r>
      <w:r w:rsidRPr="1939B311" w:rsidR="595766B6">
        <w:rPr>
          <w:rFonts w:ascii="Calibri" w:hAnsi="Calibri" w:eastAsia="Calibri" w:cs="Calibri"/>
          <w:noProof w:val="0"/>
          <w:sz w:val="24"/>
          <w:szCs w:val="24"/>
          <w:lang w:val="en-US"/>
        </w:rPr>
        <w:t>.</w:t>
      </w:r>
    </w:p>
    <w:p xmlns:wp14="http://schemas.microsoft.com/office/word/2010/wordml" w:rsidP="1939B311" wp14:paraId="43C5A916" wp14:textId="5A81CDDF">
      <w:pPr>
        <w:spacing w:before="240" w:beforeAutospacing="off" w:after="240" w:afterAutospacing="off"/>
        <w:jc w:val="left"/>
      </w:pPr>
      <w:r w:rsidRPr="1939B311" w:rsidR="60F88309">
        <w:rPr>
          <w:rFonts w:ascii="Calibri" w:hAnsi="Calibri" w:eastAsia="Calibri" w:cs="Calibri"/>
          <w:noProof w:val="0"/>
          <w:sz w:val="24"/>
          <w:szCs w:val="24"/>
          <w:lang w:val="en-US"/>
        </w:rPr>
        <w:t>I confirm that I have not presented any information retrieved through Google as my own original work. I also confirm that I have copies of my drafts, notes, and other resources I used before and after conducting these searches, which I may be asked to provide as evidence.</w:t>
      </w:r>
    </w:p>
    <w:p xmlns:wp14="http://schemas.microsoft.com/office/word/2010/wordml" w:rsidP="1939B311" wp14:paraId="1EAF309F" wp14:textId="0F320758">
      <w:pPr>
        <w:spacing w:before="0" w:beforeAutospacing="off" w:after="172" w:afterAutospacing="off" w:line="269" w:lineRule="auto"/>
        <w:ind w:left="-5"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xmlns:wp14="http://schemas.microsoft.com/office/word/2010/wordml" w:rsidP="1939B311" wp14:paraId="7868D471" wp14:textId="44E0F6A4">
      <w:pPr>
        <w:spacing w:before="0" w:beforeAutospacing="off" w:after="183" w:afterAutospacing="off" w:line="257" w:lineRule="auto"/>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939B311" wp14:paraId="7A236F61" wp14:textId="6D1BE170">
      <w:pPr>
        <w:spacing w:before="0" w:beforeAutospacing="off" w:after="183" w:afterAutospacing="off" w:line="257" w:lineRule="auto"/>
        <w:ind w:left="-5"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1"/>
          <w:bCs w:val="1"/>
          <w:i w:val="0"/>
          <w:iCs w:val="0"/>
          <w:caps w:val="0"/>
          <w:smallCaps w:val="0"/>
          <w:noProof w:val="0"/>
          <w:color w:val="000000" w:themeColor="text1" w:themeTint="FF" w:themeShade="FF"/>
          <w:sz w:val="24"/>
          <w:szCs w:val="24"/>
          <w:lang w:val="en-US"/>
        </w:rPr>
        <w:t xml:space="preserve">Example 1: </w:t>
      </w:r>
    </w:p>
    <w:p xmlns:wp14="http://schemas.microsoft.com/office/word/2010/wordml" w:rsidP="1939B311" wp14:paraId="715D0EAC" wp14:textId="04692D5C">
      <w:pPr>
        <w:spacing w:before="0" w:beforeAutospacing="off" w:after="171" w:afterAutospacing="off" w:line="269" w:lineRule="auto"/>
        <w:ind w:left="-5"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I acknowledge the use of Google Scholar (</w:t>
      </w:r>
      <w:hyperlink r:id="Rec415c3552344af3">
        <w:r w:rsidRPr="1939B311" w:rsidR="053BB5B9">
          <w:rPr>
            <w:rStyle w:val="Hyperlink"/>
            <w:rFonts w:ascii="Calibri" w:hAnsi="Calibri" w:eastAsia="Calibri" w:cs="Calibri"/>
            <w:b w:val="0"/>
            <w:bCs w:val="0"/>
            <w:i w:val="0"/>
            <w:iCs w:val="0"/>
            <w:caps w:val="0"/>
            <w:smallCaps w:val="0"/>
            <w:strike w:val="0"/>
            <w:dstrike w:val="0"/>
            <w:noProof w:val="0"/>
            <w:sz w:val="24"/>
            <w:szCs w:val="24"/>
            <w:lang w:val="en-US"/>
          </w:rPr>
          <w:t>https://pmc.ncbi.nlm.nih.gov/articles/PMC9667129/</w:t>
        </w:r>
      </w:hyperlink>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 21 November 2024 to check my work using the prompt(s):  </w:t>
      </w:r>
    </w:p>
    <w:p xmlns:wp14="http://schemas.microsoft.com/office/word/2010/wordml" w:rsidP="1939B311" wp14:paraId="2398B225" wp14:textId="361BA318">
      <w:pPr>
        <w:spacing w:before="0" w:beforeAutospacing="off" w:after="172" w:afterAutospacing="off" w:line="269" w:lineRule="auto"/>
        <w:ind w:left="370"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1.</w:t>
      </w:r>
      <w:r w:rsidRPr="1939B311" w:rsidR="053BB5B9">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Please check the following text for readability, grammar and syntax.  </w:t>
      </w:r>
    </w:p>
    <w:p xmlns:wp14="http://schemas.microsoft.com/office/word/2010/wordml" w:rsidP="1939B311" wp14:paraId="57A24696" wp14:textId="7AF7BF84">
      <w:pPr>
        <w:spacing w:before="0" w:beforeAutospacing="off" w:after="172" w:afterAutospacing="off" w:line="269" w:lineRule="auto"/>
        <w:ind w:left="-5"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p>
    <w:p xmlns:wp14="http://schemas.microsoft.com/office/word/2010/wordml" w:rsidP="1939B311" wp14:paraId="3EED7BEB" wp14:textId="3E104985">
      <w:pPr>
        <w:spacing w:before="0" w:beforeAutospacing="off" w:after="172" w:afterAutospacing="off" w:line="269" w:lineRule="auto"/>
        <w:ind w:left="-5"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confirm that I have not presented any AI generated text as my own work. I confirm I have copies of my drafts, notes, and other resources I used before, and after the use of AI tools which I may be asked to provide in evidence. </w:t>
      </w: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1939B311" wp14:paraId="7326019C" wp14:textId="7B6C3EDE">
      <w:pPr>
        <w:spacing w:before="0" w:beforeAutospacing="off" w:after="172" w:afterAutospacing="off" w:line="269" w:lineRule="auto"/>
        <w:ind w:left="-5" w:right="0" w:hanging="1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xmlns:wp14="http://schemas.microsoft.com/office/word/2010/wordml" w:rsidP="1939B311" wp14:paraId="6F78B568" wp14:textId="582D9094">
      <w:pPr>
        <w:spacing w:before="0" w:beforeAutospacing="off" w:after="172" w:afterAutospacing="off" w:line="269" w:lineRule="auto"/>
        <w:ind w:left="-5" w:right="0" w:hanging="10"/>
        <w:jc w:val="left"/>
      </w:pPr>
      <w:r w:rsidRPr="1939B311" w:rsidR="053BB5B9">
        <w:rPr>
          <w:rFonts w:ascii="Calibri" w:hAnsi="Calibri" w:eastAsia="Calibri" w:cs="Calibri"/>
          <w:b w:val="0"/>
          <w:bCs w:val="0"/>
          <w:i w:val="0"/>
          <w:iCs w:val="0"/>
          <w:caps w:val="0"/>
          <w:smallCaps w:val="0"/>
          <w:noProof w:val="0"/>
          <w:color w:val="000000" w:themeColor="text1" w:themeTint="FF" w:themeShade="FF"/>
          <w:sz w:val="24"/>
          <w:szCs w:val="24"/>
          <w:lang w:val="en-US"/>
        </w:rPr>
        <w:t>D. Havard (Dearna Havard).</w:t>
      </w:r>
      <w:r w:rsidRPr="1939B311" w:rsidR="053BB5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xmlns:wp14="http://schemas.microsoft.com/office/word/2010/wordml" wp14:paraId="579A16FD" wp14:textId="45F9A33D">
      <w:r>
        <w:br w:type="page"/>
      </w:r>
    </w:p>
    <w:p xmlns:wp14="http://schemas.microsoft.com/office/word/2010/wordml" w:rsidP="1939B311" wp14:paraId="7CA4197C" wp14:textId="3C1409B0">
      <w:pPr>
        <w:pStyle w:val="Normal"/>
        <w:spacing w:before="0" w:beforeAutospacing="off" w:after="172" w:afterAutospacing="off" w:line="480" w:lineRule="auto"/>
        <w:ind w:left="-5" w:right="0" w:hanging="10"/>
        <w:jc w:val="center"/>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 Critical Case Study</w:t>
      </w:r>
      <w:r w:rsidRPr="1939B311" w:rsidR="73A03DC1">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358F5552">
        <w:rPr>
          <w:rFonts w:ascii="Times New Roman" w:hAnsi="Times New Roman" w:eastAsia="Times New Roman" w:cs="Times New Roman"/>
          <w:b w:val="0"/>
          <w:bCs w:val="0"/>
          <w:i w:val="0"/>
          <w:iCs w:val="0"/>
          <w:caps w:val="0"/>
          <w:smallCaps w:val="0"/>
          <w:noProof w:val="0"/>
          <w:color w:val="auto"/>
          <w:sz w:val="24"/>
          <w:szCs w:val="24"/>
          <w:lang w:val="en-US"/>
        </w:rPr>
        <w:t>S</w:t>
      </w:r>
      <w:r w:rsidRPr="1939B311" w:rsidR="73A03DC1">
        <w:rPr>
          <w:rFonts w:ascii="Times New Roman" w:hAnsi="Times New Roman" w:eastAsia="Times New Roman" w:cs="Times New Roman"/>
          <w:b w:val="0"/>
          <w:bCs w:val="0"/>
          <w:i w:val="0"/>
          <w:iCs w:val="0"/>
          <w:caps w:val="0"/>
          <w:smallCaps w:val="0"/>
          <w:noProof w:val="0"/>
          <w:color w:val="auto"/>
          <w:sz w:val="24"/>
          <w:szCs w:val="24"/>
          <w:lang w:val="en-US"/>
        </w:rPr>
        <w:t xml:space="preserve">urrounding </w:t>
      </w:r>
      <w:r w:rsidRPr="1939B311" w:rsidR="6DA18A40">
        <w:rPr>
          <w:rFonts w:ascii="Times New Roman" w:hAnsi="Times New Roman" w:eastAsia="Times New Roman" w:cs="Times New Roman"/>
          <w:b w:val="0"/>
          <w:bCs w:val="0"/>
          <w:i w:val="0"/>
          <w:iCs w:val="0"/>
          <w:caps w:val="0"/>
          <w:smallCaps w:val="0"/>
          <w:noProof w:val="0"/>
          <w:color w:val="auto"/>
          <w:sz w:val="24"/>
          <w:szCs w:val="24"/>
          <w:lang w:val="en-US"/>
        </w:rPr>
        <w:t>the</w:t>
      </w:r>
      <w:r w:rsidRPr="1939B311" w:rsidR="6547304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698A1E4F">
        <w:rPr>
          <w:rFonts w:ascii="Times New Roman" w:hAnsi="Times New Roman" w:eastAsia="Times New Roman" w:cs="Times New Roman"/>
          <w:b w:val="0"/>
          <w:bCs w:val="0"/>
          <w:i w:val="0"/>
          <w:iCs w:val="0"/>
          <w:caps w:val="0"/>
          <w:smallCaps w:val="0"/>
          <w:noProof w:val="0"/>
          <w:color w:val="auto"/>
          <w:sz w:val="24"/>
          <w:szCs w:val="24"/>
          <w:lang w:val="en-US"/>
        </w:rPr>
        <w:t>Trauma</w:t>
      </w:r>
      <w:r w:rsidRPr="1939B311" w:rsidR="65473040">
        <w:rPr>
          <w:rFonts w:ascii="Times New Roman" w:hAnsi="Times New Roman" w:eastAsia="Times New Roman" w:cs="Times New Roman"/>
          <w:b w:val="0"/>
          <w:bCs w:val="0"/>
          <w:i w:val="0"/>
          <w:iCs w:val="0"/>
          <w:caps w:val="0"/>
          <w:smallCaps w:val="0"/>
          <w:noProof w:val="0"/>
          <w:color w:val="auto"/>
          <w:sz w:val="24"/>
          <w:szCs w:val="24"/>
          <w:lang w:val="en-US"/>
        </w:rPr>
        <w:t xml:space="preserve"> of </w:t>
      </w:r>
      <w:r w:rsidRPr="1939B311" w:rsidR="26E6571E">
        <w:rPr>
          <w:rFonts w:ascii="Times New Roman" w:hAnsi="Times New Roman" w:eastAsia="Times New Roman" w:cs="Times New Roman"/>
          <w:b w:val="0"/>
          <w:bCs w:val="0"/>
          <w:i w:val="0"/>
          <w:iCs w:val="0"/>
          <w:caps w:val="0"/>
          <w:smallCaps w:val="0"/>
          <w:noProof w:val="0"/>
          <w:color w:val="auto"/>
          <w:sz w:val="24"/>
          <w:szCs w:val="24"/>
          <w:lang w:val="en-US"/>
        </w:rPr>
        <w:t>Poverty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and Reflective Analysis</w:t>
      </w:r>
      <w:r w:rsidRPr="1939B311" w:rsidR="35B8B4E3">
        <w:rPr>
          <w:rFonts w:ascii="Times New Roman" w:hAnsi="Times New Roman" w:eastAsia="Times New Roman" w:cs="Times New Roman"/>
          <w:b w:val="0"/>
          <w:bCs w:val="0"/>
          <w:i w:val="0"/>
          <w:iCs w:val="0"/>
          <w:caps w:val="0"/>
          <w:smallCaps w:val="0"/>
          <w:noProof w:val="0"/>
          <w:color w:val="auto"/>
          <w:sz w:val="24"/>
          <w:szCs w:val="24"/>
          <w:lang w:val="en-US"/>
        </w:rPr>
        <w:t>.</w:t>
      </w:r>
    </w:p>
    <w:p xmlns:wp14="http://schemas.microsoft.com/office/word/2010/wordml" w:rsidP="1939B311" wp14:paraId="077BD3E8" wp14:textId="308184E7">
      <w:pPr>
        <w:pStyle w:val="Normal"/>
        <w:spacing w:before="0" w:beforeAutospacing="off" w:after="172" w:afterAutospacing="off" w:line="480" w:lineRule="auto"/>
        <w:ind w:left="-5" w:right="0" w:hanging="10"/>
        <w:jc w:val="center"/>
        <w:rPr>
          <w:rFonts w:ascii="Times New Roman" w:hAnsi="Times New Roman" w:eastAsia="Times New Roman" w:cs="Times New Roman"/>
          <w:b w:val="0"/>
          <w:bCs w:val="0"/>
          <w:i w:val="0"/>
          <w:iCs w:val="0"/>
          <w:caps w:val="0"/>
          <w:smallCaps w:val="0"/>
          <w:noProof w:val="0"/>
          <w:color w:val="auto"/>
          <w:sz w:val="24"/>
          <w:szCs w:val="24"/>
          <w:lang w:val="en-US"/>
        </w:rPr>
      </w:pPr>
    </w:p>
    <w:p xmlns:wp14="http://schemas.microsoft.com/office/word/2010/wordml" w:rsidP="1939B311" wp14:paraId="700B7605" wp14:textId="2E643C7A">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bookmarkStart w:name="_Int_BCWgxD6f" w:id="1462141890"/>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This essay explores the impact of poverty, neglect, and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Adverse Childhood Experiences (ACEs) on child development, focusing on Amira, an eight-year-old girl navigating significant challenges in her home and school environments. Using Gibbs’ (1988) reflective cycle as a framework, this analysis will evaluate the social worker's role in addressing Amira’s needs while reflecting on the importance of resilience and self-care in managing the emotional demands of such cases. Amira’s erratic school attendance, withdrawal from peers, and caregiving deficits, such as being left alone and unfed, were compounded by unsafe living conditions and her mother’s excessive alcohol consumption. Intervention by social services resulted in Amira being placed with her grandparents,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providing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an opportunity for stability and recovery. According to Gibbs’ reflective cycle (1988), understanding and processing the emotional challenges faced by the social worker is critical. Supporting Amira involves addressing her experiences of poverty, neglect, and trauma, which requires a nuanced, trauma-informed approach rooted in attachment theory (Bowlby, 1988) and ACEs research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In the United Kingdom,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4.2 million children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live in poverty, with minority ethnic families, larger households and lone-parent families disproportionately affected, perpetuating cycles of disadvantage (Hayre &amp; Pollock, 2022). Poverty,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conceptualised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as the inability to meet basic needs, is further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exacerbated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by systemic inequities that undermine developmental outcomes for children (Lansford and Banati, 2018; Hughes et al., 2021). This reflective framework will also assess how the social worker can balance professional and emotional demands while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maintaining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resilience, ensuring effective intervention for Amira’s recovery.</w:t>
      </w:r>
      <w:bookmarkEnd w:id="1462141890"/>
    </w:p>
    <w:p xmlns:wp14="http://schemas.microsoft.com/office/word/2010/wordml" w:rsidP="1939B311" wp14:paraId="4E7A9855" wp14:textId="39307857">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bookmarkStart w:name="_Int_cPDyjYti" w:id="667227749"/>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ACEs framework has been instrumental in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identifying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key risk factors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impacting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child development, such as neglect and parental substance misuse, which are associated with emotional dysregulation, relational difficulties, and long-term developmental challenges (Puma et al., 2024). However, Messmer (2023) critiques this framework for oversimplifying the complex interplay of cultural, social, and systemic factors, advocating for a more nuanced perspective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Firoozmand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Baxman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suggests integrating Bowlby’s (1988) attachment theory with the ACEs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framework to provide a deeper understanding of relational disruptions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Baxman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2024). Thus, this integration underscores the importance of stable caregiving relationships in fostering resilience (Hernandez, 2020).</w:t>
      </w:r>
      <w:bookmarkEnd w:id="667227749"/>
    </w:p>
    <w:p xmlns:wp14="http://schemas.microsoft.com/office/word/2010/wordml" w:rsidP="1939B311" wp14:paraId="03D4BBA3" wp14:textId="0D9D98E9">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bookmarkStart w:name="_Int_tSUMLDOG" w:id="316102405"/>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Collings et al. (2022)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effective trauma-informed care must align with children’s cultural and familial contexts, ensuring interventions resonate with their lived experiences and values (Guevara, 2022). Diab &amp; 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Azzeh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reinforce this perspective, who propose that addressing structural inequities alongside relational factors is crucial for promoting inclusive and sustainable recovery (Henshaw, 2022). Such culturally responsive practices enhance the relevance and impact of interventions, particularly in communities where systemic inequities perpetuate adversity (Guevara, 2022).</w:t>
      </w:r>
      <w:bookmarkEnd w:id="316102405"/>
    </w:p>
    <w:p xmlns:wp14="http://schemas.microsoft.com/office/word/2010/wordml" w:rsidP="1939B311" wp14:paraId="6EBD0B91" wp14:textId="18F5D062">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For Amira, targeted trauma-informed interventions are essential (Brown et al., 2023; SAMHSA, 2014). Strategies such as fostering caregiving stability within her grandparents’ home (Knight, 2020) and incorporating culturally sensitive practices (Collings et al., 2022) are critical. For example, integrating her heritage into daily routines supports her emotional well-being and identity development (Lansford &amp; Banati, 2018; Guevara, 2022). These approaches align with SAMHSA’s (2014) guidelines, which advocate addressing both structural barriers and relational needs to promote recovery (SAMHSA, 2014). Thus, this dual approach not only supports Amira’s immediate needs but also fosters systemic change, building resilience and ensuring long-term well-being (Brown et al., 2023; Lansford &amp; Banati, 2018; Knight, 2020).</w:t>
      </w:r>
    </w:p>
    <w:p xmlns:wp14="http://schemas.microsoft.com/office/word/2010/wordml" w:rsidP="1939B311" wp14:paraId="21F319EB" wp14:textId="4FA71CD7">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Amira’s circumstances highlight the intersection of poverty, familial instability, and neglect, underscoring the urgency of holistic interventions (Hughes et al., 2021). Her erratic school attendance reflects the instability of her home environment and its detrimental effects on her educational engagement (De Pedro et al., 2020; Wilkinson and Pickett, 2020). Weissberg et al. (2021) note that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behaviours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such as withdrawal and reluctance to engage with peers often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indicate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chronic stress and trauma,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necessitating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immediate and informed support (Brown et al., 2023). During a conversation with a trusted nursery teacher, Amira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disclosed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frequent periods of being left alone without adequate food, highlighting the severity of her neglect and the urgent need for trauma-informed and culturally responsive interventions (Brown et al., 2023; Knight, 2020).</w:t>
      </w:r>
    </w:p>
    <w:p xmlns:wp14="http://schemas.microsoft.com/office/word/2010/wordml" w:rsidP="1939B311" wp14:paraId="463ABB58" wp14:textId="7BA19DDC">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subsequent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home visit revealed severe neglect, including unsanitary living conditions and a lack of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basic necessities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such as a mattress and clean bedding, which posed significant risks to Amira’s physical and emotional well-being (Brown et al., 2023; Knight, 2020). Afifi et al. (2022)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identify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caregiving incapacity, exemplified by Amira’s mother’s excessive alcohol consumption, as a critical factor contributing to elevated ACE scores and increased developmental risks (Arnold et al., 2023). Without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timely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intervention, Amira faces the likelihood of long-term challenges, including chronic health issues, mental health disorders, and socio-economic instability (Kirkbride et al., 2024). Placing Amira with her grandparents, as informed by Bowlby’s (1988) attachment theory, offers an opportunity to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stabilise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her environment and support her recovery through consistent and nurturing caregiving. Moreover, these measures address her immediate needs while laying the foundation for long-term resilience and stability (Knight, 2020).</w:t>
      </w:r>
    </w:p>
    <w:p xmlns:wp14="http://schemas.microsoft.com/office/word/2010/wordml" w:rsidP="1939B311" wp14:paraId="62F7B9F9" wp14:textId="747E1B2E">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Kurian (2023)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empowering caregivers through culturally informed strategies significantly enhances their ability to provide stable, nurturing environments for children recovering from trauma.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Hariyati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(2024) argue that incorporating Amira’s cultural strengths into caregiving practices fosters her sense of belonging and reinforces her identity and heritage, both of which are essential for building resilience and supporting emotional recovery (Lansford &amp; Banati, 2018; Brown et al., 2023). Gallou (2022) suggests that specific interventions, such as integrating cultural traditions into daily routines or engaging in storytelling sessions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centred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on her family’s heritage, create a sense of continuity and emotional security. Bunten (2024) highlights that strategies reflecting family traditions and cultural identity effectively bridge the gap between trauma-informed care and cultural sensitivity, promoting Amira’s long-term stability, emotional well-being, and self-esteem (Gallou, 2022).</w:t>
      </w:r>
    </w:p>
    <w:p xmlns:wp14="http://schemas.microsoft.com/office/word/2010/wordml" w:rsidP="1939B311" wp14:paraId="044DE9CA" wp14:textId="70669018">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Amira’s circumstances exemplify the compounded vulnerabilities faced by children living in poverty, underscoring the need for trauma-informed interventions that address both immediate and systemic factors (Bunten, 2024). Akram and Hassan (2023) stress that effective care must simultaneously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prioritise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Amira’s immediate needs for safety and emotional stability while addressing systemic inequities. such as limited access to resources and opportunities, that perpetuate adversity (Islam, 2024). Embedding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ACEs-based interventions within a culturally responsive framework can advance Amira’s recovery by fostering resilience and sustainable well-being (Frederick et al., 2021).</w:t>
      </w:r>
    </w:p>
    <w:p xmlns:wp14="http://schemas.microsoft.com/office/word/2010/wordml" w:rsidP="1939B311" wp14:paraId="0D289D8D" wp14:textId="2A839C06">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Knight (2020)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importance of culturally sensitive interventions in fostering trust and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honouring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Amira’s heritage within her home and wider community. Smith et al. (2022) underscore that trauma care aligned with a child’s lived experiences, traditions, and family dynamics supports emotional and psychological recovery while addressing systemic gaps in care provision (Murphy &amp; Luthar, 2022). Islam (2024) highlights how tailoring interventions to the unique cultural and familial context of the child enhances their relevance and effectiveness (Smith et al., 2022). Horne-Shuttleworth et al. (2024) advocate for integrating Amira’s cultural identity into caregiving and educational strategies, such as incorporating culturally significant symbols or traditions into activities. These approaches foster Amira’s sense of belonging and self-worth, which are essential for building resilience and achieving long-term recovery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Veesar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2024).</w:t>
      </w:r>
    </w:p>
    <w:p xmlns:wp14="http://schemas.microsoft.com/office/word/2010/wordml" w:rsidP="1939B311" wp14:paraId="16CDB508" wp14:textId="73FA75E0">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Lee et al. (2021) highlight the cumulative effects of poverty and elevated ACE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scores on child development, as reflected in Amira’s case. Her experiences of neglect and familial instability illustrate the intersection of deprivation and trauma, such as being left alone without adequate food while her mother struggled with substance misuse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Veesar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2024). Chronic stressors like food insecurity, inadequate housing, and inconsistent caregiving often hinder physical, emotional, and cognitive development (Gallegos et al., 2021). Kearney (2021) proposes that such instability disrupts essential developmental processes, prompting children to adopt survival strategies like withdrawal or erratic attendance. However, Keels (2023)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recognising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these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behaviours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as adaptive responses to distress is critical for delivering compassionate and informed care.</w:t>
      </w:r>
    </w:p>
    <w:p xmlns:wp14="http://schemas.microsoft.com/office/word/2010/wordml" w:rsidP="1939B311" wp14:paraId="5060147F" wp14:textId="3601AEC9">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Blitz et al. (2020) argue that culturally sensitive, trauma-informed care can address Amira’s immediate needs while fostering her engagement and sense of security. Involving Amira’s grandparents in caregiving plans that align with their cultural values strengthens their caregiving role and promotes trust and consistency (Blitz et al., 2020). These collaborative efforts ensure that Amira’s recovery is grounded in both cultural relevance and evidence-based practices, enabling her to build resilience, thrive within her new caregiving environment, and better understand her new circumstances (Alkhaldi et al., 2024).</w:t>
      </w:r>
    </w:p>
    <w:p xmlns:wp14="http://schemas.microsoft.com/office/word/2010/wordml" w:rsidP="1939B311" wp14:paraId="7E1B8A12" wp14:textId="3BAB49D7">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Feldman and Shwartz-Ziv (2024) highlight that Destitution, defined as the inability to meet basic physical needs such as food, clothing, and housing, places children like Amira at a significantly heightened risk of adverse outcomes (Hayre &amp; Pollock, 2022; Kirkbride et al., 2024). Morales et al. (2023)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prolonged deprivation severely compromises immune function, growth, and overall health, increasing susceptibility to chronic illnesses (Arnold et al., 2023; Rook, 2022). Additionally, Kivimäki et al. (2023) document the psychological toll of such deprivation, including heightened risks of anxiety, depression, and post-traumatic stress disorder. Amira’s withdrawal and disengagement exemplify these effects, as instability and neglect undermine her social and emotional development (Arnold et al., 2023; Rook, 2022).</w:t>
      </w:r>
    </w:p>
    <w:p xmlns:wp14="http://schemas.microsoft.com/office/word/2010/wordml" w:rsidP="1939B311" wp14:paraId="549D070C" wp14:textId="28B2273E">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bookmarkStart w:name="_Int_1WcEkKUZ" w:id="205100053"/>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Furthermore, Bowlby (1988) stresses that children facing neglect often struggle to form secure attachments, further hindering their relational capacities and resilience (Alpuğan, 2024). Parker (2024) advocates for tailored interventions that incorporate cultural nuances into attachment and caregiving practices, which can strengthen Amira’s relationships, foster trust, and build resilience within her support network (Parvin et al., 2024).</w:t>
      </w:r>
      <w:bookmarkEnd w:id="205100053"/>
    </w:p>
    <w:p xmlns:wp14="http://schemas.microsoft.com/office/word/2010/wordml" w:rsidP="1939B311" wp14:paraId="0625A28E" wp14:textId="431203FC">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Camacho and Henderson (2022) underscore that the long-term effects of poverty and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ACEs extend beyond childhood, shaping developmental trajectories that perpetuate cycles of disadvantage. Sanz (2024)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observes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children exposed to chronic adversity, like Amira, often underperform academically due to disrupted attendance, difficulty concentrating, and unmet emotional needs (Brewer-Smyth, 2022). Uddin (2023) highlights that systemic discrimination and cultural insensitivity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exacerbate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these inequities, disproportionately affecting children from minority or marginalized backgrounds Uddin (2023) highlights that systemic discrimination and cultural insensitivity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exacerbate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these inequities (Johnson, 2024). Singh (2024) calls for culturally responsive educational strategies that foster belonging and cultural affirmation while addressing academic underperformance (Johnson, 2024). </w:t>
      </w:r>
    </w:p>
    <w:p xmlns:wp14="http://schemas.microsoft.com/office/word/2010/wordml" w:rsidP="1939B311" wp14:paraId="16846B0D" wp14:textId="0274B26B">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For Amira, immediate educational and emotional support is crucial (Johnson, 2024). Cooper (2024)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trauma-informed educational practices reflecting Amira’s cultural background can create inclusive environments where she feels valued and supported (Woodman et al., 2023). Woodman et al. (2023) further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identify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systemic inequalities, including limited access to quality healthcare, inadequate social safety nets, and discrimination, as compounding the adversity faced by children like Amira (Duncan et al., 2023). Johnson (2024) notes that implicit biases within social and educational systems often result in inequitable resource distribution and misinterpretation of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behaviours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as defiance rather than distress (Hayre &amp; Pollock, 2022). Davis (2023) argues that these systemic barriers perpetuate intergenerational cycles of disadvantage, underscoring the necessity of trauma-informed care integrated with systemic reforms to reduce poverty and inequity (Duncan et al., 2023). </w:t>
      </w:r>
    </w:p>
    <w:p xmlns:wp14="http://schemas.microsoft.com/office/word/2010/wordml" w:rsidP="1939B311" wp14:paraId="0D661FDF" wp14:textId="661DB9AA">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Smith et al. (2022) advocate for culturally sensitive systemic interventions that engage the community to address both immediate and long-term challenges (Murphy &amp; Luthar, 2022). For Amira, implementing reforms such as culturally inclusive educational practices,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equitable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mental health access and anti-discriminatory policies is pivotal for her recovery (Diab &amp; 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Azzeh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Hughes et al. (2021) highlight that Amira’s case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demonstrates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importance of addressing her immediate needs while also considering the broader systemic factors that shape her experiences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Moreover,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recognising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her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behaviours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as adaptive responses to chronic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adversity,  rather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than as defiance or disengagement is crucial for fostering a compassionate and effective approach to her care (Suh, 2022). Moreover, Hughes et al. (2021) argue that interventions must confront structural inequities to break cycles of disadvantage, thereby creating pathways for resilience and well-being (Akram &amp; Hassan, 2023).</w:t>
      </w:r>
    </w:p>
    <w:p xmlns:wp14="http://schemas.microsoft.com/office/word/2010/wordml" w:rsidP="1939B311" wp14:paraId="6F65C002" wp14:textId="4CE722B1">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Abdel-Malek (2021) notes that trauma-informed practice provides a comprehensive framework for supporting children like Amira by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prioritising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safety, trust, and empowerment as core components of recovery (Knight, 2020). Trauma,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conceptualised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as a biopsychosocial phenomenon, disrupts neurobiological processes, impairing emotional regulation, relational capacities, and coping mechanisms (Van der Kolk, 2014; Hughes et al., 2021). Amira’s transition to her grandparents’ care offers an opportunity to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establish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stability and predictability, both of which are critical for her recovery (Bowlby, 1988; Knight, 2020). Effective trauma-informed care, however, requires collaboration among caregivers, educators, and social workers to create a consistent and emotionally attuned environment (Collings et al., 2022). Furthermore, integrating culturally responsive practices that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honour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Amira’s heritage and lived experiences fosters trust, strengthens her sense of identity, and ensures interventions resonate with her familial and cultural context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Elbanhawy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2024). This approach not only addresses her immediate needs but also lays the foundation for her long-term resilience and stability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Elbanhawy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2024).</w:t>
      </w:r>
    </w:p>
    <w:p xmlns:wp14="http://schemas.microsoft.com/office/word/2010/wordml" w:rsidP="1939B311" wp14:paraId="57651792" wp14:textId="2A2D3228">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Erickson et al. (2020) suggest that Amira’s heightened stress responses, shaped by chronic neglect and familial instability, can be mitigated through trauma-informed strategies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predictable routines and stable caregiving (Cabrera, 2022). Humphrey (2022) adds that predictable caregiving structures foster a sense of safety, which is crucial for children like Amira recovering from trauma (Murphy &amp; Luthar, 2022). Furthermore, interpreting Amira’s withdrawal and disengagement as adaptive responses rather than defiance aligns with SAMHSA’s (2014) trauma-informed care principles, which promote understanding and compassion over punitive approaches (Brierley-Sollis, 2022; Suh, 2022). Hughes et al.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importance of viewing such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behaviours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as distress indicators (Blitz et al., 2020). These principles align with Maslow’s (1943) hierarchy of needs, which asserts that foundational needs for safety and security must be met for emotional and cognitive development to occur (Maslow, 1943; Lee et al., 2021). Additionally, Humphreys et al. (2022) underscore the importance of caregiver regulation as a modifiable factor in promoting resilience and recovery in children exposed to early adversity (Akram &amp; Hassan, 2023). Brewer-Smyth (2022) propose that incorporating culturally informed caregiving techniques, such as integrating familiar traditions into Amira’s daily routines, reinforces her sense of stability and connection to her heritage, further supporting her recovery (Guevara, 2022).</w:t>
      </w:r>
    </w:p>
    <w:p xmlns:wp14="http://schemas.microsoft.com/office/word/2010/wordml" w:rsidP="1939B311" wp14:paraId="1094AE46" wp14:textId="694B46F3">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Henshaw (2022) highlights that trauma-sensitive interactions in caregiving and school environments are crucial for alleviating Amira’s distress and fostering recovery (Diab &amp; 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Azzeh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Collaborative efforts among caregivers, educators, and social workers are pivotal in building consistent, emotionally attuned support systems (Mahoney et al.,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asserts that culturally sensitive practices, such as integrating Amira’s heritage into interventions, can promote trust and inclusivity, enabling her to rebuild emotional stability (Guevara, 2022).</w:t>
      </w:r>
    </w:p>
    <w:p xmlns:wp14="http://schemas.microsoft.com/office/word/2010/wordml" w:rsidP="1939B311" wp14:paraId="0F877011" wp14:textId="3D2F6791">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Brewer-Smyth (2022) argues that addressing systemic barriers like poverty and discrimination is essential for Amira’s recovery (Camacho &amp; Henderson, 2022). Akram and Hassan (2023)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importance of multi-agency collaboration in addressing root causes of instability, including familial addiction and limited resources (Puma et al., 2024). Interventions such as addiction recovery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for Amira’s mother and financial support for her family can reduce stressors and create stability (Hayre &amp; Pollock, 2022). Policy reforms, including access to affordable housing and mental health services, provide a foundation for addressing both immediate and systemic challenges (Kirkbride et al., 2024).</w:t>
      </w:r>
    </w:p>
    <w:p xmlns:wp14="http://schemas.microsoft.com/office/word/2010/wordml" w:rsidP="1939B311" wp14:paraId="2DCFEC52" wp14:textId="33C11001">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Guldin and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Leget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suggest that grief theories complement trauma-informed care by addressing emotional challenges linked to loss and change (Worden, 2008). Worden’s (2008) model and Klass et al.’s (1996) Continuing Bonds framework offer practical tools for helping Amira adjust to her new caregiving environment (Ridley et al., 2020). Developmentally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appropriate activities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such as memory books and storytelling, can help Amira process grief and reinforce her cultural identity (Brown et al., 2023). Combining grief models with trauma-informed approaches supports emotional resilience and identity development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Elbanhawy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2024).</w:t>
      </w:r>
    </w:p>
    <w:p xmlns:wp14="http://schemas.microsoft.com/office/word/2010/wordml" w:rsidP="1939B311" wp14:paraId="35B48F5C" wp14:textId="2F27DCEC">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Educational settings play a vital role in Amira’s recovery by offering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stabilising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routines and supportive relationships (Masten, 2021). Trauma-informed school practices create safe spaces where Amira can rebuild trust and reengage with learning (Weissberg et al.,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Individualised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Learning Plans (ILPs), providing tutoring and counselling, address her academic challenges while fostering confidence and stability (Ellison et al., 2020). Flexible approaches tailored to Amira’s needs are critical for her long-term development (Horne-Shuttleworth et al., 2024).</w:t>
      </w:r>
    </w:p>
    <w:p xmlns:wp14="http://schemas.microsoft.com/office/word/2010/wordml" w:rsidP="1939B311" wp14:paraId="666FF595" wp14:textId="7BA039F7">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bookmarkStart w:name="_Int_qRTTtoAz" w:id="1305659470"/>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Fields (2024)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social-emotional learning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build emotional regulation and interpersonal skills, addressing relational challenges caused by trauma (Blitz et al., 2020). Strategies such as mindfulness and culturally inclusive practices foster resilience and recovery (Kearney, 2021). These approaches enable Amira to engage effectively in school, develop positive peer relationships, and build a foundation for lasting growth (Weissberg et al., 2021).</w:t>
      </w:r>
      <w:bookmarkEnd w:id="1305659470"/>
    </w:p>
    <w:p xmlns:wp14="http://schemas.microsoft.com/office/word/2010/wordml" w:rsidP="1939B311" wp14:paraId="61AF4E70" wp14:textId="1765C545">
      <w:pPr>
        <w:pStyle w:val="Normal"/>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bookmarkStart w:name="_Int_Y2g7bQSo" w:id="2060550175"/>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Mazzeo and Bendixen (2023) highlight the role of community-based interventions in addressing broader needs, such as social isolation and access to extracurricular activities (Sanz, 2024). Structured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including art clubs and sports, provide Amira with opportunities to build confidence and social skills (Pacheco et al., 2022). Participation in such activities reduces isolation and fosters emotional resilience, creating pathways for Amira’s sustained growth and well-being (Hayre &amp; Pollock, 2022).</w:t>
      </w:r>
      <w:bookmarkEnd w:id="2060550175"/>
    </w:p>
    <w:p xmlns:wp14="http://schemas.microsoft.com/office/word/2010/wordml" w:rsidP="1939B311" wp14:paraId="31D1761C" wp14:textId="60F88D61">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Moreover, community-based parenting support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are integral to equipping Amira’s grandparents with the knowledge and tools needed to provide consistent, trauma-informed caregiving (Osman, 2020). Merrick (2020) highlights that these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foster stable caregiving environments attuned to the needs of children recovering from trauma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Veesar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2024). Black et al. (2023) advocate for incorporating evidence-based strategies into these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to enhance caregivers’ capacity to nurture children like Amira, offering a reliable foundation for emotional recovery and long-term stability (Proulx et al.,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Ultimately, these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community initiatives not only address Amira’s immediate needs but also create a holistic framework that bridges educational, familial, and community resources, fostering sustainable pathways for her recovery and development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2024).</w:t>
      </w:r>
    </w:p>
    <w:p xmlns:wp14="http://schemas.microsoft.com/office/word/2010/wordml" w:rsidP="1939B311" wp14:paraId="4FCD53F4" wp14:textId="196A1AB6">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According to Brewer-Smyth (2022), trauma-informed care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prioritises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safety, trust, and empowerment as critical components in addressing Amira’s multifaceted challenges, including complex trauma, poverty, neglect, and familial instability (Camacho &amp; Henderson, 2022). Camacho and Henderson (2022) highlight the profound impact of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al.’s (1998) ACE framework, as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evidenced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in Amira’s unsafe living conditions, lack of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basic necessities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and her mother’s alcohol misuse (Black et al., 2023). Parvin et al. (2024) note that such adverse circumstances correlate with developmental delays, emotional dysregulation, and a heightened risk of long-term mental health issues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Veesar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2024). Horne-Shuttleworth et al. (2024) assert that these realities may evoke emotional responses in professionals, including sadness, frustration, or vicarious trauma,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necessitating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resilience-building and reflective practices to ensure ethical and effective support (Suh, 2022).</w:t>
      </w:r>
    </w:p>
    <w:p xmlns:wp14="http://schemas.microsoft.com/office/word/2010/wordml" w:rsidP="1939B311" wp14:paraId="53F99696" wp14:textId="727AD2AF">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Bourke et al. (2024) suggest that balancing empathy with professional boundaries is vital for ethical decision-making and emotional sustainability (Collings et al., 2022). For instance, Amira’s disclosure of being left alone without food, reflecting severe neglect, may elicit strong emotional responses from the social worker (Bourke et al., 2024). Similarly, Lee et al.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unannounced visits revealing unsafe and unsanitary conditions, such as the absence of basic bedding, intensify the emotional strain on practitioners (Lee et al., 2021). Woodman et al. (2023) propose that supervision and peer support are essential for processing these experiences constructively, enhancing professional resilience (Banks et al., 2020). </w:t>
      </w:r>
      <w:r w:rsidRPr="1939B311" w:rsidR="34C8BC3B">
        <w:rPr>
          <w:rFonts w:ascii="Times New Roman" w:hAnsi="Times New Roman" w:eastAsia="Times New Roman" w:cs="Times New Roman"/>
          <w:b w:val="0"/>
          <w:bCs w:val="0"/>
          <w:i w:val="0"/>
          <w:iCs w:val="0"/>
          <w:caps w:val="0"/>
          <w:smallCaps w:val="0"/>
          <w:noProof w:val="0"/>
          <w:color w:val="auto"/>
          <w:sz w:val="24"/>
          <w:szCs w:val="24"/>
          <w:lang w:val="en-US"/>
        </w:rPr>
        <w:t>Structured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systems, as noted by Banks et al. (2020), alleviate emotional stress and equip social workers to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remain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focused and effective in their practice (Blitz et al., 2020).</w:t>
      </w:r>
    </w:p>
    <w:p xmlns:wp14="http://schemas.microsoft.com/office/word/2010/wordml" w:rsidP="1939B311" wp14:paraId="3ECA98C3" wp14:textId="2ECCF35E">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Keels (2023) highlights that multi-agency collaboration introduces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additional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complexities, particularly when coordinating trauma-informed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Individualised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Learning Plans (ILPs) with educators. Effective communication and alignment with shared trauma-informed principles are essential for successful collaboration (Mahoney et al., 2021; Blitz et al., 2020). Smith et al. (2022) stress the importance of integrating culturally sensitive guidance for caregivers such as Amira’s grandparents, blending their cultural values with evidence-based caregiving strategies (Abdel-Malek,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Veesar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(2024) argue that such approaches foster trust, consistency, and cultural relevance,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ultimately enhancing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effectiveness of interventions (Abdel-Malek, 2021).</w:t>
      </w:r>
    </w:p>
    <w:p xmlns:wp14="http://schemas.microsoft.com/office/word/2010/wordml" w:rsidP="1939B311" wp14:paraId="31F86173" wp14:textId="379DE4AF">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Jamatia</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(2023) underscores that addressing systemic inequities, such as securing financial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assistance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or advocating for community resources, can present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additional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challenges (Feldman and Shwartz-Ziv, 2024). Poverty-related barriers, as noted by Morales et al. (2023),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exacerbate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developmental risks for children such as Amira. Bisbey et al. (2021) advocate for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equitable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access to resources,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need for persistence and emotional resilience when navigating bureaucratic challenges (Kivimäki et al., 2023). Rook (2022) illustrates how ensuring access to after-school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educational support, and psychological care requires balancing these systemic challenges with Amira’s immediate needs (Bisbey et al., 2021).</w:t>
      </w:r>
    </w:p>
    <w:p xmlns:wp14="http://schemas.microsoft.com/office/word/2010/wordml" w:rsidP="1939B311" wp14:paraId="0AE538D9" wp14:textId="7459F6A4">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Despite these challenges,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observing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Amira’s progress, such as her reengagement with peers or adjustment to her grandparents’ care, can provide a profound sense of professional fulfilment (Abdel-Malek, 2021; Bunten, 2024). Bunten (2024) highlights that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witnessing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positive outcomes reaffirms the transformative potential of trauma-informed care and motivates practitioners (Ismail, 2023). Moreover, Ismail (2023)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these successes underscore the critical role of social workers in fostering meaningful change in Amira’s life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2024).</w:t>
      </w:r>
    </w:p>
    <w:p xmlns:wp14="http://schemas.microsoft.com/office/word/2010/wordml" w:rsidP="1939B311" wp14:paraId="2800D9D1" wp14:textId="0685BF5F">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Uddin (2023) asserts that the social worker’s role in implementing trauma-informed strategies is vital for fostering Amira’s safety, trust, and stability. Collaborative efforts with her grandparents and school are essential for creating a supportive environment conducive to her recovery and long-term development (Gallegos et al., 2021; Henshaw, 2022). These interventions, as outlined by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(2024), address both the immediate and lasting impacts of Amira’s ACEs, highlighting the transformative potential of social work in promoting resilience and well-being (Murphy &amp; Luthar, 2022). Suh (2022) further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that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witnessing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Amira’s progress reinforces the social worker’s meaningful role in her recovery (Mazzeo &amp; Bendixen, 2023).</w:t>
      </w:r>
    </w:p>
    <w:p xmlns:wp14="http://schemas.microsoft.com/office/word/2010/wordml" w:rsidP="1939B311" wp14:paraId="601B2B50" wp14:textId="401CC305">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However, as Gallegos et al. (2021) point out, the emotional challenges associated with cases like Amira’s should not be overlooked. Research highlights the risk of secondary trauma and burnout for professionals working with severely neglected children (Smith, 2021; Brewer-Smyth, 2022). Cole et al. (2024) note that without proactive self-care strategies, such as mindfulness and reflective practices, social workers may become overwhelmed, compromising their effectiveness (Mack, 2020; Pretorius, 2023). Regular supervision and peer discussions are therefore essential for emotional processing, professional guidance, and resilience building, ensuring social workers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remain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effective and motivated in their role (Mack, 2020; Millette, 2023).</w:t>
      </w:r>
    </w:p>
    <w:p xmlns:wp14="http://schemas.microsoft.com/office/word/2010/wordml" w:rsidP="1939B311" wp14:paraId="41DF444D" wp14:textId="60080082">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Mack (2020) advocates for action plans focusing on resilience and self-care for social workers engaged in challenging cases like Amira’s. Regular supervision and peer discussions offer supportive spaces for sharing challenges and seeking advice (Millette, 2023). Pretorius (2023) suggests mindfulness techniques and tools for managing secondary trauma, such as relaxation activities and reflective journaling, to support emotional well-being (Joseph, 2022). Joseph (2022) also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emphasises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establishing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work-life boundaries and engaging in relaxation activities to sustain professional growth and motivation (Johnson &amp; Long, 2020). Kumari et al. (2021) highlight the importance of celebrating milestones in Amira’s progress, which fosters a sense of accomplishment and reinforces the social worker’s commitment to her recovery (Silver et al., 2021).</w:t>
      </w:r>
    </w:p>
    <w:p xmlns:wp14="http://schemas.microsoft.com/office/word/2010/wordml" w:rsidP="1939B311" wp14:paraId="7FF55AB9" wp14:textId="73B4C542">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In conclusion, Amira’s case highlights the profound impact of poverty, neglect, and trauma on child development, emphasizing the critical need for trauma-informed care rooted in the ACE framework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and enriched by grief theories, educational strategies, systemic reforms, and cultural sensitivity. Addressing Amira’s immediate needs through tailored caregiving and targeted interventions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establishes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 foundation for her recovery while respecting and affirming her cultural and familial identity. Complementary models, such as Worden’s (2008) Tasks of Mourning and Klass et al.’s (1996) Continuing Bonds, offer structured, developmentally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appropriate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and culturally sensitive methods to address her grief, fostering a sense of security, mitigating long-term risks, and promoting emotional resilience.</w:t>
      </w:r>
    </w:p>
    <w:p xmlns:wp14="http://schemas.microsoft.com/office/word/2010/wordml" w:rsidP="1939B311" wp14:paraId="2DDD9326" wp14:textId="56E72AA0">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Supporting Amira’s transition to her new home and school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requires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 holistic and collaborative approach. Trauma-informed school practices, including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Individuali</w:t>
      </w:r>
      <w:r w:rsidRPr="1939B311" w:rsidR="05D486D7">
        <w:rPr>
          <w:rFonts w:ascii="Times New Roman" w:hAnsi="Times New Roman" w:eastAsia="Times New Roman" w:cs="Times New Roman"/>
          <w:b w:val="0"/>
          <w:bCs w:val="0"/>
          <w:i w:val="0"/>
          <w:iCs w:val="0"/>
          <w:caps w:val="0"/>
          <w:smallCaps w:val="0"/>
          <w:noProof w:val="0"/>
          <w:color w:val="auto"/>
          <w:sz w:val="24"/>
          <w:szCs w:val="24"/>
          <w:lang w:val="en-US"/>
        </w:rPr>
        <w:t>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Learning Plans (ILPs), flexible support measures, and nurturing peer relationships, will ensure Amira feels safe and supported in her learning environment. Culturally responsive caregiving strategies, such as incorporating storytelling and family traditions, can strengthen her sense of identity and belonging while addressing her emotional needs. These interventions provide Amira with a structured framework for understanding her new circumstances and preventing further developmental harm.</w:t>
      </w:r>
    </w:p>
    <w:p xmlns:wp14="http://schemas.microsoft.com/office/word/2010/wordml" w:rsidP="1939B311" wp14:paraId="3CECF4E1" wp14:textId="0C963D69">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Overcoming systemic barriers, including poverty, educational inequities, and limited resource access, is equally crucial for achieving sustainable progress in Amira’s development. Culturally responsive practices empower communities, foster inclusivity, and enhance resilience, cultural pride, and emotional stability in Amira’s recovery process. Employing critical reflection through Gibbs’ (1988) reflective cycle provides social workers with a structured framework for navigating challenges, refining intervention strategies, and delivering compassionate and effective care (Gibbs, 1988; Abdel-Malek, 2021).</w:t>
      </w:r>
    </w:p>
    <w:p xmlns:wp14="http://schemas.microsoft.com/office/word/2010/wordml" w:rsidP="1939B311" wp14:paraId="51791F7B" wp14:textId="5CB5E1EE">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Additionally, the social worker’s resilience and self-care are vital for sustaining their ability to support Amira effectively. Strategies such as regular peer supervision, mindfulness practices, and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establishing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work-life boundaries can help process the emotional impact of disclosures and prevent burnout. Reflective practices and celebrating Amira’s progress reinforce professional motivation, ensuring the social worker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maintains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their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capacity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to provide ethical and impactful care.</w:t>
      </w:r>
    </w:p>
    <w:p xmlns:wp14="http://schemas.microsoft.com/office/word/2010/wordml" w:rsidP="1939B311" wp14:paraId="6B88E1ED" wp14:textId="2FE10B7E">
      <w:pPr>
        <w:spacing w:before="240" w:beforeAutospacing="off" w:after="240" w:afterAutospacing="off" w:line="480" w:lineRule="auto"/>
        <w:ind w:firstLine="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Ultimately, Amira’s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case illustrates the interconnectedness of trauma-informed care, the ACE framework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et al., 1998), systemic reform, and professional resilience in achieving transformative outcomes. This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holistic approach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not only addresses Amira’s immediate needs but also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establishes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 pathway for her long-term development, reducing the risk of trauma-related challenges in later life and promoting sustained mental and physical well-being.</w:t>
      </w:r>
    </w:p>
    <w:p xmlns:wp14="http://schemas.microsoft.com/office/word/2010/wordml" w:rsidP="1939B311" wp14:paraId="424A1B64" wp14:textId="728A8E40">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p14:paraId="3C2CF054" wp14:textId="56DC5E62">
      <w:r>
        <w:br w:type="page"/>
      </w:r>
    </w:p>
    <w:p xmlns:wp14="http://schemas.microsoft.com/office/word/2010/wordml" w:rsidP="1939B311" wp14:paraId="0E3CABBF" wp14:textId="1481C6C0">
      <w:pPr>
        <w:spacing w:before="240" w:beforeAutospacing="off" w:after="240" w:afterAutospacing="off" w:line="480" w:lineRule="auto"/>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939B311" w:rsidR="098826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Reference</w:t>
      </w:r>
      <w:r w:rsidRPr="1939B311" w:rsidR="4C53CC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List</w:t>
      </w:r>
    </w:p>
    <w:p xmlns:wp14="http://schemas.microsoft.com/office/word/2010/wordml" w:rsidP="1939B311" wp14:paraId="4696A18E" wp14:textId="63F14E35">
      <w:pPr>
        <w:pStyle w:val="Normal"/>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bookmarkStart w:name="_Int_jZHWcQnI" w:id="102677645"/>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Abdel-Malek, A. (2021).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Family Wellbeing: Equitable, Accessible, and Quality Services for Children and Youth with Complex Care Need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 </w:t>
      </w:r>
      <w:bookmarkEnd w:id="102677645"/>
    </w:p>
    <w:p xmlns:wp14="http://schemas.microsoft.com/office/word/2010/wordml" w:rsidP="1939B311" wp14:paraId="4F4E4372" wp14:textId="4152276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Afifi, T. O., Taillieu, T., Salmon, S., Stewart-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Tufescu</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 Struck, S., Fortier, J., ... &amp; Katz, L. Y. (2022). Protective factors for decreasing nicotine, alcohol, and cannabis use among adolescents with a history of adverse childhood experiences (ACEs).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Mental Health and Addiction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1-19. </w:t>
      </w:r>
    </w:p>
    <w:p xmlns:wp14="http://schemas.microsoft.com/office/word/2010/wordml" w:rsidP="1939B311" wp14:paraId="5438C91E" wp14:textId="16F5BC5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Akram, S., &amp; Hassan, A. (2023). Critical Examination of Economic Inequality and Its Societal Implications.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Critical Review of Social Sciences Studies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(01), 65-77. </w:t>
      </w:r>
    </w:p>
    <w:p xmlns:wp14="http://schemas.microsoft.com/office/word/2010/wordml" w:rsidP="1939B311" wp14:paraId="6F288099" wp14:textId="395B145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Alkhaldi, W. M., Bokhari, R. M., Ballo, J. A., Alharbi, H. A., Alghamdi, M. S., Alqarni, S. K., ... &amp; Alotaibi, A. M. (2024). Social Work Theory and Practice in Crisis, Disaster, and Trauma Management: Approaches for Effective Intervention and Support.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Journal of International Crisis and Risk Communication Research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353-365. </w:t>
      </w:r>
    </w:p>
    <w:p xmlns:wp14="http://schemas.microsoft.com/office/word/2010/wordml" w:rsidP="1939B311" wp14:paraId="5BDA0113" wp14:textId="545951D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Alpuğan, Z. (2024). The Impact of Early Childhood Adversity on Neurodevelopment: A Comprehensive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Journal of Neurobehavioral Sciences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(2), 45-59. </w:t>
      </w:r>
    </w:p>
    <w:p xmlns:wp14="http://schemas.microsoft.com/office/word/2010/wordml" w:rsidP="1939B311" wp14:paraId="391376D5" wp14:textId="52562E5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N. A. (2024). THE IMPACT OF EARLY CHILDHOOD ADVERSITY ON MENTAL HEALTH OUTCOMES.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ASEAN Journal of Psychiatry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(6). </w:t>
      </w:r>
    </w:p>
    <w:p xmlns:wp14="http://schemas.microsoft.com/office/word/2010/wordml" w:rsidP="1939B311" wp14:paraId="7E48B4D5" wp14:textId="26BEA41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Alsughier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N. A. (2024). The Impact of Early Childhood Adversity on Mental Health Outcomes.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ASEAN Journal of Psychiatry, 25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(6).</w:t>
      </w:r>
    </w:p>
    <w:p xmlns:wp14="http://schemas.microsoft.com/office/word/2010/wordml" w:rsidP="1939B311" wp14:paraId="1436A408" wp14:textId="4A855DA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Arnold, R., Ahmed, F., Clarke, A., Quinn, N.,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Beenstock</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J., &amp; Holland, P. (2023). The relationship between parental adverse childhood experiences and the health,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well-being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and development outcomes of their children: a systematic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Public Health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219</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146-153. </w:t>
      </w:r>
    </w:p>
    <w:p xmlns:wp14="http://schemas.microsoft.com/office/word/2010/wordml" w:rsidP="1939B311" wp14:paraId="5B0CFD2C" wp14:textId="0846CBF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Banks, S., Cai, T., De Jonge, E., Shears, J., Shum, M.,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Sobocan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 M., ... &amp; Weinberg, M. (2020). Ethical challenges for social workers during Covid-19: A global perspective. </w:t>
      </w:r>
    </w:p>
    <w:p xmlns:wp14="http://schemas.microsoft.com/office/word/2010/wordml" w:rsidP="1939B311" wp14:paraId="3ACBE198" wp14:textId="04B7F2D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Bisbey, T. M., Kilcullen, M. P., &amp; Salas, E. (2021). Maintaining resilience in times of crisis: insights from high-reliability organizations.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Oxford Research Encyclopedia of Politics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6F26241C" wp14:textId="64E49F3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Black, M. M., Walker, S. P., Attanasio, O., Rubio-Codina, M.,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Meghir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 Hamadani, J. D., ... &amp; Grantham-McGregor, S. (2023). Promoting childhood development globally through caregiving interventions.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Pediatrics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151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(Supplement 2). </w:t>
      </w:r>
    </w:p>
    <w:p xmlns:wp14="http://schemas.microsoft.com/office/word/2010/wordml" w:rsidP="1939B311" wp14:paraId="34216FE9" wp14:textId="6C76583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Blitz, L. V.,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Yull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 &amp;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Clauhs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M. (2020). Bringing sanctuary to school: Assessing school climate as a foundation for culturally responsive trauma-informed approaches for urban schools.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Urban Education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55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95-124. </w:t>
      </w:r>
    </w:p>
    <w:p xmlns:wp14="http://schemas.microsoft.com/office/word/2010/wordml" w:rsidP="1939B311" wp14:paraId="2EDED355" wp14:textId="735FFAC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Bourke, R., Pullen, R., &amp; Mincher, N. (2024). Understanding ethical drift in professional decision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making: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dilemmas in practice.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Inclusive Education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28</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(8), 1417-1434. </w:t>
      </w:r>
    </w:p>
    <w:p xmlns:wp14="http://schemas.microsoft.com/office/word/2010/wordml" w:rsidP="1939B311" wp14:paraId="4F2496E1" wp14:textId="2EB033F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Bowlby, J. (1988).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 secure base: Parent-child attachment and healthy human development.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Basic Books. </w:t>
      </w:r>
    </w:p>
    <w:p xmlns:wp14="http://schemas.microsoft.com/office/word/2010/wordml" w:rsidP="1939B311" wp14:paraId="1A2D98AA" wp14:textId="77E35CE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Brewer-Smyth, K. (2022). Primary and Secondary Prevention, Health Equity, and Trauma-Informed Institutional and Public Policies to Promote Healing and Resilience.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Adverse Childhood Experiences: The Neuroscience of Trauma, Resilience and Healing throughout the Life Course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429-454). Cham: Springer International Publishing. </w:t>
      </w:r>
    </w:p>
    <w:p xmlns:wp14="http://schemas.microsoft.com/office/word/2010/wordml" w:rsidP="1939B311" wp14:paraId="62AA15EF" wp14:textId="231650AB">
      <w:pPr>
        <w:pStyle w:val="Normal"/>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bookmarkStart w:name="_Int_O0606rn5" w:id="1517728511"/>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Brierley-Sollis, T. E. (2022). Surfing the Waves of Accountable Compassion: A qualitative study of the emerging trauma-informed culture within North Wales Youth Justice Service. </w:t>
      </w:r>
      <w:bookmarkEnd w:id="1517728511"/>
    </w:p>
    <w:p xmlns:wp14="http://schemas.microsoft.com/office/word/2010/wordml" w:rsidP="1939B311" wp14:paraId="0267C009" wp14:textId="6A758D7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Brown, M. M., Taylor, L., &amp; Devaney, J. (2023). Trauma-informed approaches in social work practice.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Social Work Today.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1C2FA7D2" wp14:textId="2EDDC62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Brown, M. M., Walker, S. P., Attanasio, O., Rubio-Codina, M.,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Meghir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 Hamadani, J. D., ... &amp; Grantham-McGregor, S. (2023). Promoting childhood development globally through caregiving interventions.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Pediatrics, 151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(Supplement 2). </w:t>
      </w:r>
    </w:p>
    <w:p xmlns:wp14="http://schemas.microsoft.com/office/word/2010/wordml" w:rsidP="1939B311" wp14:paraId="39FB23F4" wp14:textId="1D97997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Bunten, M. G. (2024). Building Bridges to Wellbeing: Using Trauma-Informed, Socially Just Practices to Foster Educator Capacity and Resilience to Promote Student Wellbeing. </w:t>
      </w:r>
    </w:p>
    <w:p xmlns:wp14="http://schemas.microsoft.com/office/word/2010/wordml" w:rsidP="1939B311" wp14:paraId="7E41219B" wp14:textId="481D73B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Cabrera, A. (2022).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Supporting Resource Families to Prevent Disruptions and Achieve Stability: A Curriculum</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Master's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thesis, California State University, Long Beach).</w:t>
      </w:r>
    </w:p>
    <w:p xmlns:wp14="http://schemas.microsoft.com/office/word/2010/wordml" w:rsidP="1939B311" wp14:paraId="75A8D89B" wp14:textId="1E52CFE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Camacho, S., &amp; Henderson, S. C. (2022). The social determinants of adverse childhood experiences: an intersectional analysis of place, access to resources, and compounding effects.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environmental research and public health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19</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(17), 10670. </w:t>
      </w:r>
    </w:p>
    <w:p xmlns:wp14="http://schemas.microsoft.com/office/word/2010/wordml" w:rsidP="1939B311" wp14:paraId="7565C430" wp14:textId="189BE9B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Cole, R., Fantus, S., Hawkins, L., &amp; Chakraborty, P. (2024). Professional Self-Care in Social Work Practice: A New Conceptual Framework.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Social Work.</w:t>
      </w:r>
    </w:p>
    <w:p xmlns:wp14="http://schemas.microsoft.com/office/word/2010/wordml" w:rsidP="1939B311" wp14:paraId="4986FE86" wp14:textId="1EDE5AC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Collings, S., Wright, A. C., McLean, L., &amp; Buratti, S. (2022). Trauma-informed family contact practice for children in out-of-home care.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British Journal of Social Work</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52</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(4), 1837-1858. </w:t>
      </w:r>
    </w:p>
    <w:p xmlns:wp14="http://schemas.microsoft.com/office/word/2010/wordml" w:rsidP="1939B311" wp14:paraId="3CA93C90" wp14:textId="75B13CB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Cooper, B. A. (2024). Immediate and lasting results for children and families engaged in the child protection system in Australia. SSRN. </w:t>
      </w:r>
      <w:hyperlink r:id="R6a88416653a449f1">
        <w:r w:rsidRPr="1939B311" w:rsidR="4C53CCE0">
          <w:rPr>
            <w:rStyle w:val="Hyperlink"/>
            <w:rFonts w:ascii="Times New Roman" w:hAnsi="Times New Roman" w:eastAsia="Times New Roman" w:cs="Times New Roman"/>
            <w:b w:val="0"/>
            <w:bCs w:val="0"/>
            <w:i w:val="0"/>
            <w:iCs w:val="0"/>
            <w:caps w:val="0"/>
            <w:smallCaps w:val="0"/>
            <w:strike w:val="0"/>
            <w:dstrike w:val="0"/>
            <w:noProof w:val="0"/>
            <w:color w:val="auto"/>
            <w:sz w:val="24"/>
            <w:szCs w:val="24"/>
            <w:lang w:val="en-US"/>
          </w:rPr>
          <w:t>http://dx.doi.org/10.2139/ssrn.4844641</w:t>
        </w:r>
      </w:hyperlink>
    </w:p>
    <w:p xmlns:wp14="http://schemas.microsoft.com/office/word/2010/wordml" w:rsidP="1939B311" wp14:paraId="2187C613" wp14:textId="06319E4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Davis, K. N. (2023).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Implementing Trauma-informed Approaches to Improve Outcomes for Students in High-poverty Schools.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7F8E7D88" wp14:textId="54D60D3D">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De Pedro, K. M., Astor, R. A., Gilreath, T. 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Benbenishty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 &amp; Esqueda, M. C. (2020).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The role of school climate in mitigating the impact of adverse childhood experiences on academic and behavioral outcomes.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School Psychology Quarterly, 35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34. </w:t>
      </w:r>
    </w:p>
    <w:p xmlns:wp14="http://schemas.microsoft.com/office/word/2010/wordml" w:rsidP="1939B311" wp14:paraId="7A6907B3" wp14:textId="3752657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Diab, J. L., &amp; 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Azzeh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 (2024). Inclusive inquiry: a compassionate journey in trauma-informed qualitative research with GBV survivors from displaced communities.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Frontiers in psychology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1399115. </w:t>
      </w:r>
    </w:p>
    <w:p xmlns:wp14="http://schemas.microsoft.com/office/word/2010/wordml" w:rsidP="1939B311" wp14:paraId="4040F116" wp14:textId="4BB50714">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Duncan, S., Horton, H., Smith, R., Purnell, B., Good, L., &amp; Larkin, H. (2023). The restorative integral support (RIS) model: community-based integration of trauma-informed approaches to advance equity and resilience for boys and men of color.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Behavioral Sciences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(4), 299. </w:t>
      </w:r>
    </w:p>
    <w:p xmlns:wp14="http://schemas.microsoft.com/office/word/2010/wordml" w:rsidP="1939B311" wp14:paraId="1C885680" wp14:textId="7773E6C3">
      <w:pPr>
        <w:pStyle w:val="Normal"/>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bookmarkStart w:name="_Int_ecZgD1Cs" w:id="436798341"/>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Elbanhawy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 (2024).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 xml:space="preserve">A Community Lifeline: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Arab-Canadian</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 xml:space="preserve"> Feminist Anthologies as a Source of Community Building &amp; Knowledge Production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bookmarkEnd w:id="436798341"/>
    </w:p>
    <w:p xmlns:wp14="http://schemas.microsoft.com/office/word/2010/wordml" w:rsidP="1939B311" wp14:paraId="3DB642F9" wp14:textId="4BC390CE">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Ellison, M. L., Huckabee, S., Golden, L., &amp; Biebel, K. (2020).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Incorporating career and technical education in transition planning for students with emotional disturbance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519ADE28" wp14:textId="2421E4A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Erickson, N. L., Julian, M. M.,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Handelzalts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J. E., Wong, G., &amp; Muzik, M. (2020). Trauma and Attachment.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Infanticide and Filicide: Foundations in Maternal Mental Health Forensics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287. </w:t>
      </w:r>
    </w:p>
    <w:p xmlns:wp14="http://schemas.microsoft.com/office/word/2010/wordml" w:rsidP="1939B311" wp14:paraId="4A4B33C1" wp14:textId="1AAAC87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Feldman, G., &amp; Shwartz-Ziv, T. (2024). Negotiating housing insecurity: Parenting in poverty and the struggle for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home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Children and Youth Services Review</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163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107780. </w:t>
      </w:r>
    </w:p>
    <w:p xmlns:wp14="http://schemas.microsoft.com/office/word/2010/wordml" w:rsidP="1939B311" wp14:paraId="03F6C806" wp14:textId="4E297D4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Felitti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V. J., Anda, R. F., Nordenberg, D., Williamson, D. F., Spitz, A. M., Edwards, V., ... &amp; Marks, J. S. (1998). Relationship of childhood abuse and household dysfunction to many of the leading causes of death in adults: The Adverse Childhood Experiences (ACE) study.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American Journal of Preventive Medicine, 14</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(4), 245-258. </w:t>
      </w:r>
    </w:p>
    <w:p xmlns:wp14="http://schemas.microsoft.com/office/word/2010/wordml" w:rsidP="1939B311" wp14:paraId="260C09A5" wp14:textId="2F72DF08">
      <w:pPr>
        <w:spacing w:before="240" w:beforeAutospacing="off" w:after="24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Fields, K. (2024).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Foster care's influence on educators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w:t>
      </w:r>
    </w:p>
    <w:p xmlns:wp14="http://schemas.microsoft.com/office/word/2010/wordml" w:rsidP="1939B311" wp14:paraId="6CD82E53" wp14:textId="624ED39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Firoozmand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 (2024).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Sense of Purpose: A Moderating Factor Between ACEs and Psychological Distress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(Doctoral dissertation, Alliant International University). </w:t>
      </w:r>
    </w:p>
    <w:p xmlns:wp14="http://schemas.microsoft.com/office/word/2010/wordml" w:rsidP="1939B311" wp14:paraId="18227EDE" wp14:textId="1B48819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Frederick, J. J., Tolan, P. H., &amp; Gorman-Smith, D. (2021). Resilience in the face of adverse childhood experiences: Moving beyond ACEs to foster holistic well-being.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Developmental Psychology, 57</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(8), 1161. </w:t>
      </w:r>
    </w:p>
    <w:p xmlns:wp14="http://schemas.microsoft.com/office/word/2010/wordml" w:rsidP="1939B311" wp14:paraId="182F2FAC" wp14:textId="4C0A346E">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Gallegos, 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Eivers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 Sondergeld, P., &amp; Pattinson, C. (2021). Food insecurity and child development: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 state-of-the-art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Environmental Research and public health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18</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(17), 8990. </w:t>
      </w:r>
    </w:p>
    <w:p xmlns:wp14="http://schemas.microsoft.com/office/word/2010/wordml" w:rsidP="1939B311" wp14:paraId="49613284" wp14:textId="3F35B4C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Gallou, E. (2022). Heritage and pathways to wellbeing: From personal to social benefits, between experience identity and capability shaping.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Wellbeing, Space and Society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100084. </w:t>
      </w:r>
    </w:p>
    <w:p xmlns:wp14="http://schemas.microsoft.com/office/word/2010/wordml" w:rsidP="1939B311" wp14:paraId="685310D1" wp14:textId="58EA4C2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Gibbs, G. (1988).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Learning by Doing: A Guide to Teaching and Learning Methods.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Oxford: Further Education Unit</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w:t>
      </w:r>
    </w:p>
    <w:p xmlns:wp14="http://schemas.microsoft.com/office/word/2010/wordml" w:rsidP="1939B311" wp14:paraId="3DDAA284" wp14:textId="5FF2DB7E">
      <w:pPr>
        <w:spacing w:before="240" w:beforeAutospacing="off" w:after="240" w:afterAutospacing="off" w:line="48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Guevara, A. M. M. (2022).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How to Foster Engagement in Child and Family Service Systems using Sociocultural Responsive Frameworks for Families at Higher Risk for Social Exclusion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(Doctoral dissertation, Arizona State University). </w:t>
      </w:r>
    </w:p>
    <w:p xmlns:wp14="http://schemas.microsoft.com/office/word/2010/wordml" w:rsidP="1939B311" wp14:paraId="3FE790AC" wp14:textId="69CFC77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Guldin, M. B., &amp;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Leget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 (2024). Loss, grief, and existential awareness: An integrative approach.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Taylor &amp; Francis.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6947901E" wp14:textId="580F853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Hariyati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 Lubis, D. P.,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Kinseng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 A., &amp;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Sumardjo</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S. (2024). Beyond Forced Migration: The Narrative Communication in the Resilience of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Cipaku's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Displaced Communities.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REiLA: Journal of Research and Innovation in Language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74-93. </w:t>
      </w:r>
    </w:p>
    <w:p xmlns:wp14="http://schemas.microsoft.com/office/word/2010/wordml" w:rsidP="1939B311" wp14:paraId="4F8A8CC7" wp14:textId="14190BB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Hayre, J., &amp; Pollock, A. M. (2022). Children in poverty: Time for action to address rising inequalities in the United Kingdom.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Poverty &amp; Public Policy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14</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(4), 423-436. </w:t>
      </w:r>
    </w:p>
    <w:p xmlns:wp14="http://schemas.microsoft.com/office/word/2010/wordml" w:rsidP="1939B311" wp14:paraId="153359D0" wp14:textId="2AD35C2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Henshaw, L. A. (2022). Building trauma-informed approaches in higher education.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Behavioral Sciences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12</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(10), 368. </w:t>
      </w:r>
    </w:p>
    <w:p xmlns:wp14="http://schemas.microsoft.com/office/word/2010/wordml" w:rsidP="1939B311" wp14:paraId="1B897F83" wp14:textId="4EC1A02C">
      <w:pPr>
        <w:pStyle w:val="Normal"/>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bookmarkStart w:name="_Int_XJhYJfwE" w:id="1892456244"/>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Hernandez, N. (2020). A Systematic Review of Prevention and Mitigation Recommendations for Adverse Childhood Experiences (ACEs). </w:t>
      </w:r>
      <w:bookmarkEnd w:id="1892456244"/>
    </w:p>
    <w:p xmlns:wp14="http://schemas.microsoft.com/office/word/2010/wordml" w:rsidP="1939B311" wp14:paraId="0577DB81" wp14:textId="790EABCE">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Horne-Shuttleworth, M., Somma, M., &amp; Wlodarczyk, K. A. (2024). Mental Health, Student Identity, and the Inclusive Classroom.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Teaching Inclusive Education through Life Story Inquiry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49-66). Cham: Springer Nature Switzerland. </w:t>
      </w:r>
    </w:p>
    <w:p xmlns:wp14="http://schemas.microsoft.com/office/word/2010/wordml" w:rsidP="1939B311" wp14:paraId="3EC90967" wp14:textId="1049527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Hughes, A., Spratt, T., &amp; Devaney, J. (2021). Adverse childhood experiences and social work: Relationship-based practice responses.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British Journal of Social Work, 51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(8), 3018-3034. </w:t>
      </w:r>
    </w:p>
    <w:p xmlns:wp14="http://schemas.microsoft.com/office/word/2010/wordml" w:rsidP="1939B311" wp14:paraId="2DC227B1" wp14:textId="6C804A3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Humphreys, K. L., King, L. S., Guyon-Harris, K. L., &amp; Zeanah, C. H. (2022). Caregiver regulation: A modifiable target promoting resilience to early adverse experiences.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Psychological trauma: theory, research, practice, and policy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14</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(S1), S63. </w:t>
      </w:r>
    </w:p>
    <w:p xmlns:wp14="http://schemas.microsoft.com/office/word/2010/wordml" w:rsidP="1939B311" wp14:paraId="3AC838A7" wp14:textId="3EB1274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Islam, M. R. (2024). Introduction to Social Work.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Fieldwork in Social Work: A Practical Guide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1-26). Cham: Springer Nature Switzerland. </w:t>
      </w:r>
    </w:p>
    <w:p xmlns:wp14="http://schemas.microsoft.com/office/word/2010/wordml" w:rsidP="1939B311" wp14:paraId="263DA309" wp14:textId="770A5D2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Ismail, N. (2023). The Impact of Trauma-Informed Practices in Child Welfare Systems.</w:t>
      </w:r>
    </w:p>
    <w:p xmlns:wp14="http://schemas.microsoft.com/office/word/2010/wordml" w:rsidP="1939B311" wp14:paraId="12586309" wp14:textId="76A344DE">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Jamatia</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 L. (2023). The role of youth in combating social inequality: Empowering the next generation.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Social Science, Educational, Economics, Agriculture Research and Technology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(8), 229-238. </w:t>
      </w:r>
    </w:p>
    <w:p xmlns:wp14="http://schemas.microsoft.com/office/word/2010/wordml" w:rsidP="1939B311" wp14:paraId="64A97967" wp14:textId="5206D82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Johnson, A. (2024). Persisting Inequity: School Administrators’ Social Dominance Orientation and Disciplinary Practices (Doctoral dissertation, University of Nevada, Las Vegas). </w:t>
      </w:r>
    </w:p>
    <w:p xmlns:wp14="http://schemas.microsoft.com/office/word/2010/wordml" w:rsidP="1939B311" wp14:paraId="4C518DB8" wp14:textId="37F5CA8A">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Johnson, A., &amp; Long, D. (2020). The importance of education in self-care in social care work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programmes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for the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professionalisation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of social care work.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Irish Journal of Applied Social Studies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20</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(2), 8. </w:t>
      </w:r>
    </w:p>
    <w:p xmlns:wp14="http://schemas.microsoft.com/office/word/2010/wordml" w:rsidP="1939B311" wp14:paraId="0C4BD48B" wp14:textId="64A3D49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1"/>
          <w:bCs w:val="1"/>
          <w:i w:val="0"/>
          <w:iCs w:val="0"/>
          <w:caps w:val="0"/>
          <w:smallCaps w:val="0"/>
          <w:noProof w:val="0"/>
          <w:color w:val="auto"/>
          <w:sz w:val="24"/>
          <w:szCs w:val="24"/>
          <w:lang w:val="en-US"/>
        </w:rPr>
        <w:t>Joseph, T. D. (2022).</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Burnout and How Self-Care and Self-Compassion Can Help.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Journal of Social Work Practice.</w:t>
      </w:r>
    </w:p>
    <w:p xmlns:wp14="http://schemas.microsoft.com/office/word/2010/wordml" w:rsidP="1939B311" wp14:paraId="6C92E930" wp14:textId="3320E05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Kearney, C. A. (2021). Integrating systemic and analytic approaches to school attendance problems: Synergistic frameworks for research and policy directions.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Child &amp; Youth Care Forum, 50</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(5), 701–742.</w:t>
      </w:r>
    </w:p>
    <w:p xmlns:wp14="http://schemas.microsoft.com/office/word/2010/wordml" w:rsidP="1939B311" wp14:paraId="686C0C3A" wp14:textId="21CFD41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Keels, M. (2023). Trauma Responsive Educational Practices: Helping Students Cope and Learn.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ASCD.</w:t>
      </w:r>
    </w:p>
    <w:p xmlns:wp14="http://schemas.microsoft.com/office/word/2010/wordml" w:rsidP="1939B311" wp14:paraId="5553DF4B" wp14:textId="7EAB56A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Kirkbride, J. B., Anglin, D. M., Colman, I.,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Dykxhoorn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J., Jones, P. B.,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Patalay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 ... &amp; Griffiths, S. L. (2024). The social determinants of mental health and disorder: evidence,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prevention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and recommendations.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World psychiatry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58. </w:t>
      </w:r>
    </w:p>
    <w:p xmlns:wp14="http://schemas.microsoft.com/office/word/2010/wordml" w:rsidP="1939B311" wp14:paraId="115438C1" wp14:textId="11FBE47A">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Kivimäki, M., Bartolomucci, A., &amp; Kawachi, I. (2023). The multiple roles of life stress in metabolic disorders.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Nature Reviews Endocrinology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19</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10-27. </w:t>
      </w:r>
    </w:p>
    <w:p xmlns:wp14="http://schemas.microsoft.com/office/word/2010/wordml" w:rsidP="1939B311" wp14:paraId="6AA5F150" wp14:textId="1C521F5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Klass, D., Silverman, P. R., &amp; Nickman, S. L. (1996).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Continuing bonds: New understandings of grief.</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Taylor &amp; Francis. </w:t>
      </w:r>
    </w:p>
    <w:p xmlns:wp14="http://schemas.microsoft.com/office/word/2010/wordml" w:rsidP="1939B311" wp14:paraId="5DD7DF6A" wp14:textId="542B269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Knight, C. (2020).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 xml:space="preserve">Trauma-Informed Social Work Practice: Practice Considerations and Challenges. </w:t>
      </w:r>
    </w:p>
    <w:p xmlns:wp14="http://schemas.microsoft.com/office/word/2010/wordml" w:rsidP="1939B311" wp14:paraId="4D063EC4" wp14:textId="5DAD75F3">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Kriezi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I. (2023). Exploring opportunities for social and emotional learning in drama classes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Master's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thesis, I.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Kriezi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459BA347" wp14:textId="3F231AAE">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Kumari, K., Barkat Ali, S., Un Nisa Khan, N., &amp; Abbas, J. (2021). Examining the role of motivation and reward in employees’ job performance through mediating effect of job satisfaction: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An empirical evidence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Organizational Leadership</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10</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(4), 401-420. </w:t>
      </w:r>
    </w:p>
    <w:p xmlns:wp14="http://schemas.microsoft.com/office/word/2010/wordml" w:rsidP="1939B311" wp14:paraId="5DA156F7" wp14:textId="5FDAA6E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Kurian, N. (2023). School as a sanctuary: Trauma-informed care to nurture child well-being in high-poverty schools.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Handbook on Education Development in the Asia-Pacific</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2345-2366). Singapore: Springer Nature Singapore. </w:t>
      </w:r>
    </w:p>
    <w:p xmlns:wp14="http://schemas.microsoft.com/office/word/2010/wordml" w:rsidP="1939B311" wp14:paraId="0720671C" wp14:textId="3B051CD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Lansford, J. E., &amp; Banati, P. (2018).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Handbook of adolescent development research and its impact on global policy.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Oxford University Press. </w:t>
      </w:r>
    </w:p>
    <w:p xmlns:wp14="http://schemas.microsoft.com/office/word/2010/wordml" w:rsidP="1939B311" wp14:paraId="077ACF52" wp14:textId="76E07E8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Lee, H., Slack, K. S., Berger, L. M., Mather, R. S., &amp; Murray, R. K. (2021). Childhood poverty, adverse childhood experiences, and adult health outcomes.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Health &amp; Social Work</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46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(3), 159-170. </w:t>
      </w:r>
    </w:p>
    <w:p xmlns:wp14="http://schemas.microsoft.com/office/word/2010/wordml" w:rsidP="1939B311" wp14:paraId="389FA753" wp14:textId="5881CBE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Mack, B. M. (2020). The resiliency-focused supervision model: Addressing stress, burnout, and self-care among social workers.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Advances in Social Work, 20</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(3), 596-614. </w:t>
      </w:r>
    </w:p>
    <w:p xmlns:wp14="http://schemas.microsoft.com/office/word/2010/wordml" w:rsidP="1939B311" wp14:paraId="43F8A436" wp14:textId="38FF07F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Mahoney, J. L., Weissberg, R. P., Greenberg, M. T., Dusenbury, L., Jagers, R. J., Niemi, K., ... &amp; Yoder, N. (2021). Systemic social and emotional learning: Promoting educational success for all preschool to high school students.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American Psychologist</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76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(7), 1128. </w:t>
      </w:r>
    </w:p>
    <w:p xmlns:wp14="http://schemas.microsoft.com/office/word/2010/wordml" w:rsidP="1939B311" wp14:paraId="4CF2A331" wp14:textId="32A86FC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Maslow, A. H. (1943).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 theory of human motivation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Psychological Review, 50(4), 370–396. </w:t>
      </w:r>
    </w:p>
    <w:p xmlns:wp14="http://schemas.microsoft.com/office/word/2010/wordml" w:rsidP="1939B311" wp14:paraId="7095AD66" wp14:textId="5FAAE08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Masten, A. S. (2021). Resilience of children in disasters: A multisystem perspective.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psychology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56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1-11. </w:t>
      </w:r>
    </w:p>
    <w:p xmlns:wp14="http://schemas.microsoft.com/office/word/2010/wordml" w:rsidP="1939B311" wp14:paraId="3A41FB7D" wp14:textId="2638F91A">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Mazzeo, G., &amp; Bendixen, R. (2023). Community-based interventions for childhood trauma: A scoping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OTJR: Occupational Therapy Journal of Research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43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14-23. </w:t>
      </w:r>
    </w:p>
    <w:p xmlns:wp14="http://schemas.microsoft.com/office/word/2010/wordml" w:rsidP="1939B311" wp14:paraId="041A6971" wp14:textId="09EEE34A">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1"/>
          <w:bCs w:val="1"/>
          <w:i w:val="0"/>
          <w:iCs w:val="0"/>
          <w:caps w:val="0"/>
          <w:smallCaps w:val="0"/>
          <w:noProof w:val="0"/>
          <w:color w:val="auto"/>
          <w:sz w:val="24"/>
          <w:szCs w:val="24"/>
          <w:lang w:val="en-US"/>
        </w:rPr>
        <w:t>Mazzeo, G., &amp; Bendixen, R. (2023).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Community-based interventions for childhood trauma: A scoping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OTJR: Occupational Therapy Journal of Research, 43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(1), 14-23.</w:t>
      </w:r>
    </w:p>
    <w:p xmlns:wp14="http://schemas.microsoft.com/office/word/2010/wordml" w:rsidP="1939B311" wp14:paraId="1A30C4BC" wp14:textId="3DBA8281">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Merrick, M. T., Ports, K. A., Guinn, A. S., &amp; Ford, D. C. (2020). Safe, stable, nurturing environments for children.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Adverse childhood experiences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329-347). Academic Press. </w:t>
      </w:r>
    </w:p>
    <w:p xmlns:wp14="http://schemas.microsoft.com/office/word/2010/wordml" w:rsidP="1939B311" wp14:paraId="28309E4E" wp14:textId="04453D7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Merrick, M. T., Ports, K. A., Guinn, A. S., &amp; Ford, D. C. (2020). Safe, stable, nurturing environments for children.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Adverse Childhood Experiences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329-347). Academic Press.</w:t>
      </w:r>
    </w:p>
    <w:p xmlns:wp14="http://schemas.microsoft.com/office/word/2010/wordml" w:rsidP="1939B311" wp14:paraId="45C9E1A3" wp14:textId="406BAED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Messmer, K. (2023).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 xml:space="preserve">A Historical Revisiting of Childhood Maltreatment: A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Metabletic</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 xml:space="preserve"> Inquiry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(Doctoral dissertation, Point Park University). </w:t>
      </w:r>
    </w:p>
    <w:p xmlns:wp14="http://schemas.microsoft.com/office/word/2010/wordml" w:rsidP="1939B311" wp14:paraId="6BE62F3F" wp14:textId="33C69AD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Millette, D. (2023). Emotional Self-Awareness, Self-Care, and Occupational Stress in Mental Health Professionals.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Handbook of Research on Dissecting and Dismantling Occupational Stress in Modern Organizations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237-253). IGI Global. </w:t>
      </w:r>
    </w:p>
    <w:p xmlns:wp14="http://schemas.microsoft.com/office/word/2010/wordml" w:rsidP="1939B311" wp14:paraId="7E892773" wp14:textId="1ABA455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Morales, F., Montserrat-de la Paz, S., Leon, M. J., &amp; Rivero-Pino, F. (2023). Effects of malnutrition on the immune system and infection and the role of nutritional strategies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regarding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improvements in children’s health status: A literature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Nutrients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1. </w:t>
      </w:r>
    </w:p>
    <w:p xmlns:wp14="http://schemas.microsoft.com/office/word/2010/wordml" w:rsidP="1939B311" wp14:paraId="7331E1CF" wp14:textId="2419F33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Murphy, C., &amp; Luthar, L. (2022). Understanding the Responses of Child Victims of Violence to Social Services: Toward Trauma-Informed Support Interventions.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Law and Economics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(2), 103-116. </w:t>
      </w:r>
    </w:p>
    <w:p xmlns:wp14="http://schemas.microsoft.com/office/word/2010/wordml" w:rsidP="1939B311" wp14:paraId="1908FE10" wp14:textId="239ECE2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Osman, F., Mohamed, A., Warner, G., &amp; Sarkadi, A. (2020). Longing for a sense of belonging—Somali immigrant adolescents’ experiences of their acculturation efforts in Sweden.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International journal of qualitative studies on health and well-being</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(sup2), 1784532. </w:t>
      </w:r>
    </w:p>
    <w:p xmlns:wp14="http://schemas.microsoft.com/office/word/2010/wordml" w:rsidP="1939B311" wp14:paraId="1090342C" wp14:textId="5EF117E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Pacheco, E. M., Parrott, E.,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Oktari</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R. S., &amp; Joffe, H. (2022). How schools can aid children’s resilience in disaster settings: The contribution of place attachment, sense of place and social representations theories.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Frontiers in psychology</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1004022. </w:t>
      </w:r>
    </w:p>
    <w:p xmlns:wp14="http://schemas.microsoft.com/office/word/2010/wordml" w:rsidP="1939B311" wp14:paraId="6D3D4B8A" wp14:textId="5D186788">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Parker, C. (2024).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Childhood trauma and recovery: Healing your inner child.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Callie Parker. </w:t>
      </w:r>
    </w:p>
    <w:p xmlns:wp14="http://schemas.microsoft.com/office/word/2010/wordml" w:rsidP="1939B311" wp14:paraId="712812D0" wp14:textId="57ACA55D">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Parvin, M. R.,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Johra</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F. T., Akter, F.,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Wahiduzzaman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M., Akter, K., Das, M., ... &amp; Rony, M. K. K. (2024). The long‐term effects of childhood circumstances on older individuals: A systematic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Aging Medicine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7</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(2), 239-251. </w:t>
      </w:r>
    </w:p>
    <w:p xmlns:wp14="http://schemas.microsoft.com/office/word/2010/wordml" w:rsidP="1939B311" wp14:paraId="72D209C5" wp14:textId="01A00FE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Pretorius, T. (2020). Compassion fatigue and self-care: Voices of newly qualified social workers (Doctoral dissertation, Stellenbosch University). </w:t>
      </w:r>
    </w:p>
    <w:p xmlns:wp14="http://schemas.microsoft.com/office/word/2010/wordml" w:rsidP="1939B311" wp14:paraId="4A0246A0" wp14:textId="74AC871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1"/>
          <w:bCs w:val="1"/>
          <w:i w:val="0"/>
          <w:iCs w:val="0"/>
          <w:caps w:val="0"/>
          <w:smallCaps w:val="0"/>
          <w:noProof w:val="0"/>
          <w:color w:val="auto"/>
          <w:sz w:val="24"/>
          <w:szCs w:val="24"/>
          <w:lang w:val="en-US"/>
        </w:rPr>
        <w:t>Pretorius, T. (2023).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Compassion Fatigue and Self-Care: Voices of Newly Qualified Social Workers.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Doctoral Dissertation, Stellenbosch University.</w:t>
      </w:r>
    </w:p>
    <w:p xmlns:wp14="http://schemas.microsoft.com/office/word/2010/wordml" w:rsidP="1939B311" wp14:paraId="114DAE8D" wp14:textId="0746822D">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Proulx, K., Lenzi-Weisbecker, R., Hatch, R., Hackett, K.,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Omoeva</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C.,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Cavallera</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V., ... &amp; Dua, T. (2021). Responsive caregiving, opportunities for early learning, and children’s safety and security during COVID-19: A rapid review.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MedRxiv</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2021-02. </w:t>
      </w:r>
    </w:p>
    <w:p xmlns:wp14="http://schemas.microsoft.com/office/word/2010/wordml" w:rsidP="1939B311" wp14:paraId="6CE3356C" wp14:textId="45FB7AD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Puma, J., LaRocca, D.,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Risendal</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B., &amp; Leiferman, J. A. (2024). Development of a dissemination and implementation framework for an adverse childhood experiences (ACEs) prevention program in a rural community setting.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Children and Youth Services Review</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164</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107850. </w:t>
      </w:r>
    </w:p>
    <w:p xmlns:wp14="http://schemas.microsoft.com/office/word/2010/wordml" w:rsidP="1939B311" wp14:paraId="18AF05D3" wp14:textId="343D14B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Ridley, A., Spratt, T., &amp; Devaney, J. (2020). Adverse childhood experiences and social work: Relationship-based practice responses.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British Journal of Social Work, 51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(8), 3018-3034. </w:t>
      </w:r>
    </w:p>
    <w:p xmlns:wp14="http://schemas.microsoft.com/office/word/2010/wordml" w:rsidP="1939B311" wp14:paraId="76F55BED" wp14:textId="5FCDF809">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Rook, G. A. (2022). Evolution, the immune system, and the health consequences of socioeconomic inequality.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Msystems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7</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(2), e01438-21. </w:t>
      </w:r>
    </w:p>
    <w:p xmlns:wp14="http://schemas.microsoft.com/office/word/2010/wordml" w:rsidP="1939B311" wp14:paraId="51749657" wp14:textId="6455F8A0">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SAMHSA. (2014). Trauma-informed care in behavioral health services.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Substance Abuse and Mental Health Services Administration.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p>
    <w:p xmlns:wp14="http://schemas.microsoft.com/office/word/2010/wordml" w:rsidP="1939B311" wp14:paraId="08281F37" wp14:textId="1479C5AD">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Sanz, A. (2024).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Impact of Poverty on Educational Achievement: Understanding Socio-Economic Barriers and Opportunities for Change.</w:t>
      </w:r>
    </w:p>
    <w:p xmlns:wp14="http://schemas.microsoft.com/office/word/2010/wordml" w:rsidP="1939B311" wp14:paraId="27CED4EF" wp14:textId="7C86D347">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Silver, D., Singh, S., Precup, D., &amp; Sutton, R. S. (2021).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Reward</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is enough.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Artificial Intelligence, 299,</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103535.</w:t>
      </w:r>
    </w:p>
    <w:p xmlns:wp14="http://schemas.microsoft.com/office/word/2010/wordml" w:rsidP="1939B311" wp14:paraId="170395F4" wp14:textId="1B191554">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Singh, T., Tushir, B., Mittal, S., &amp; Kaur, H. (2024). Unveiling Health Disparities: Navigating the Unique Challenges Faced by Abused Women, Transgender Individuals, and Underprivileged Children.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Handbook of Concepts in Health, Health Behavior and Environmental Health</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1-25). Singapore: Springer Nature Singapore. </w:t>
      </w:r>
    </w:p>
    <w:p xmlns:wp14="http://schemas.microsoft.com/office/word/2010/wordml" w:rsidP="1939B311" wp14:paraId="7E97BEF0" wp14:textId="7BFFAC4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Smith, E. P., Yzaguirre, M. M., Dwanyen, L., &amp; Wieling, E. (2022). Culturally relevant parenting approaches among African American and Latinx children and families: Toward resilient, strengths-based, trauma-informed practices.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Adversity and Resilience Science, 3</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(3), 209-224.</w:t>
      </w:r>
    </w:p>
    <w:p xmlns:wp14="http://schemas.microsoft.com/office/word/2010/wordml" w:rsidP="1939B311" wp14:paraId="4EB1E7F4" wp14:textId="20BD898B">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1"/>
          <w:bCs w:val="1"/>
          <w:i w:val="0"/>
          <w:iCs w:val="0"/>
          <w:caps w:val="0"/>
          <w:smallCaps w:val="0"/>
          <w:noProof w:val="0"/>
          <w:color w:val="auto"/>
          <w:sz w:val="24"/>
          <w:szCs w:val="24"/>
          <w:lang w:val="en-US"/>
        </w:rPr>
        <w:t>Smith, T. D. (2021).</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Teaching Through Trauma: Compassion Fatigue, Burnout, or Secondary Traumatic Stress?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Trauma and Resilience in Music Education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49-63). Routledge.</w:t>
      </w:r>
    </w:p>
    <w:p xmlns:wp14="http://schemas.microsoft.com/office/word/2010/wordml" w:rsidP="1939B311" wp14:paraId="3DC38A9F" wp14:textId="7530132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1"/>
          <w:bCs w:val="1"/>
          <w:i w:val="0"/>
          <w:iCs w:val="0"/>
          <w:caps w:val="0"/>
          <w:smallCaps w:val="0"/>
          <w:noProof w:val="0"/>
          <w:color w:val="auto"/>
          <w:sz w:val="24"/>
          <w:szCs w:val="24"/>
          <w:lang w:val="en-US"/>
        </w:rPr>
        <w:t>Suh, B. (2022).</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The Effects of Adverse Childhood Experiences and Resilience on Child Development: Future Directions in Research, Practice, and Policy.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Doctoral Dissertation, Arizona State University.</w:t>
      </w:r>
    </w:p>
    <w:p xmlns:wp14="http://schemas.microsoft.com/office/word/2010/wordml" w:rsidP="1939B311" wp14:paraId="5AE3BCDC" wp14:textId="68FFC8C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Uddin, E. (2023). Enhancing the school environment for underprivileged minority children through social identity, cultural capital, and preparedness. In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Social psychology theories and methods in education</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(pp. 182-195). IGI Global. </w:t>
      </w:r>
    </w:p>
    <w:p xmlns:wp14="http://schemas.microsoft.com/office/word/2010/wordml" w:rsidP="1939B311" wp14:paraId="0C20E26B" wp14:textId="09383062">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Van der Kolk, B. A. (2014).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The Body Keeps the Score: Brain, Mind, and Body in the Healing of Trauma.</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Penguin. </w:t>
      </w:r>
    </w:p>
    <w:p xmlns:wp14="http://schemas.microsoft.com/office/word/2010/wordml" w:rsidP="1939B311" wp14:paraId="0FC2F51C" wp14:textId="5C94C0F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Veesar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K. A., Bilal, M. S., Noor, S., &amp; Otho, W. A. (2024). Exploring how Positive Psychology-based Parenting Techniques Contribute to Children's Emotional Development, Resilience, and their Ability to form Healthy Social Relationships.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Review of Applied Management and Social Sciences</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7</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(4), 791-808. </w:t>
      </w:r>
    </w:p>
    <w:p xmlns:wp14="http://schemas.microsoft.com/office/word/2010/wordml" w:rsidP="1939B311" wp14:paraId="2CE91ABE" wp14:textId="7AEEEE65">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Weissberg, R. P., Durlak, J. A., Domitrovich, C. E., &amp; Gullotta, T. P. (2021). Social and emotional learning: Past, present, and future.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American Psychologist, 76</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(7), 1128. </w:t>
      </w:r>
    </w:p>
    <w:p xmlns:wp14="http://schemas.microsoft.com/office/word/2010/wordml" w:rsidP="1939B311" wp14:paraId="1A1968AD" wp14:textId="250CACCC">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Woodman, E., Roche, S., &amp; McArthur, M. (2023). Children's participation in child protection—How do practitioners understand children's participation in </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practice?.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Child &amp; family social work</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28</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(1), 125-135. </w:t>
      </w:r>
    </w:p>
    <w:p xmlns:wp14="http://schemas.microsoft.com/office/word/2010/wordml" w:rsidP="1939B311" wp14:paraId="538713BC" wp14:textId="365DD8EF">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Worden, J. W. (2008).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Grief Counseling and Grief Therapy: A Handbook for the Mental Health Practitioner.</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4th ed. Springer. </w:t>
      </w:r>
    </w:p>
    <w:p xmlns:wp14="http://schemas.microsoft.com/office/word/2010/wordml" w:rsidP="1939B311" wp14:paraId="00DD642B" wp14:textId="76A7C996">
      <w:pPr>
        <w:spacing w:before="0" w:beforeAutospacing="off" w:after="160" w:afterAutospacing="off" w:line="360" w:lineRule="auto"/>
        <w:ind w:left="720" w:hanging="720"/>
        <w:rPr>
          <w:rFonts w:ascii="Times New Roman" w:hAnsi="Times New Roman" w:eastAsia="Times New Roman" w:cs="Times New Roman"/>
          <w:b w:val="0"/>
          <w:bCs w:val="0"/>
          <w:i w:val="0"/>
          <w:iCs w:val="0"/>
          <w:caps w:val="0"/>
          <w:smallCaps w:val="0"/>
          <w:noProof w:val="0"/>
          <w:color w:val="auto"/>
          <w:sz w:val="24"/>
          <w:szCs w:val="24"/>
          <w:lang w:val="en-US"/>
        </w:rPr>
      </w:pP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Yousuf-Abramson, S. (2021). Worden’s tasks of mourning through a social work lens.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Journal of Social Work Practice</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1939B311" w:rsidR="4C53CCE0">
        <w:rPr>
          <w:rFonts w:ascii="Times New Roman" w:hAnsi="Times New Roman" w:eastAsia="Times New Roman" w:cs="Times New Roman"/>
          <w:b w:val="0"/>
          <w:bCs w:val="0"/>
          <w:i w:val="1"/>
          <w:iCs w:val="1"/>
          <w:caps w:val="0"/>
          <w:smallCaps w:val="0"/>
          <w:noProof w:val="0"/>
          <w:color w:val="auto"/>
          <w:sz w:val="24"/>
          <w:szCs w:val="24"/>
          <w:lang w:val="en-US"/>
        </w:rPr>
        <w:t>35</w:t>
      </w:r>
      <w:r w:rsidRPr="1939B311" w:rsidR="4C53CCE0">
        <w:rPr>
          <w:rFonts w:ascii="Times New Roman" w:hAnsi="Times New Roman" w:eastAsia="Times New Roman" w:cs="Times New Roman"/>
          <w:b w:val="0"/>
          <w:bCs w:val="0"/>
          <w:i w:val="0"/>
          <w:iCs w:val="0"/>
          <w:caps w:val="0"/>
          <w:smallCaps w:val="0"/>
          <w:noProof w:val="0"/>
          <w:color w:val="auto"/>
          <w:sz w:val="24"/>
          <w:szCs w:val="24"/>
          <w:lang w:val="en-US"/>
        </w:rPr>
        <w:t>(4), 367-379.</w:t>
      </w:r>
    </w:p>
    <w:p xmlns:wp14="http://schemas.microsoft.com/office/word/2010/wordml" wp14:paraId="2C078E63" wp14:textId="4D65CDC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XJhYJfwE" int2:invalidationBookmarkName="" int2:hashCode="PBSqcizY/x5che" int2:id="MiqYN922">
      <int2:state int2:type="WordDesignerDefaultAnnotation" int2:value="Rejected"/>
    </int2:bookmark>
    <int2:bookmark int2:bookmarkName="_Int_ecZgD1Cs" int2:invalidationBookmarkName="" int2:hashCode="jDZRKSFARp0cw6" int2:id="qnUSO3yI">
      <int2:state int2:type="WordDesignerDefaultAnnotation" int2:value="Rejected"/>
    </int2:bookmark>
    <int2:bookmark int2:bookmarkName="_Int_O0606rn5" int2:invalidationBookmarkName="" int2:hashCode="QmDMGmvAWyb6fY" int2:id="CGilPGfz">
      <int2:state int2:type="WordDesignerDefaultAnnotation" int2:value="Rejected"/>
    </int2:bookmark>
    <int2:bookmark int2:bookmarkName="_Int_jZHWcQnI" int2:invalidationBookmarkName="" int2:hashCode="n3yIzTcgSaRaY1" int2:id="fFnDy0b4">
      <int2:state int2:type="WordDesignerDefaultAnnotation" int2:value="Rejected"/>
    </int2:bookmark>
    <int2:bookmark int2:bookmarkName="_Int_Y2g7bQSo" int2:invalidationBookmarkName="" int2:hashCode="5M+xhOpR1t4CCX" int2:id="2PTPIaxD">
      <int2:state int2:type="WordDesignerDefaultAnnotation" int2:value="Rejected"/>
    </int2:bookmark>
    <int2:bookmark int2:bookmarkName="_Int_qRTTtoAz" int2:invalidationBookmarkName="" int2:hashCode="5grSyO2sJQHQ7Y" int2:id="4ZUUb79a">
      <int2:state int2:type="WordDesignerDefaultAnnotation" int2:value="Rejected"/>
    </int2:bookmark>
    <int2:bookmark int2:bookmarkName="_Int_1WcEkKUZ" int2:invalidationBookmarkName="" int2:hashCode="zWSeU4yJjsJdqf" int2:id="1382C7nA">
      <int2:state int2:type="WordDesignerDefaultAnnotation" int2:value="Rejected"/>
    </int2:bookmark>
    <int2:bookmark int2:bookmarkName="_Int_tSUMLDOG" int2:invalidationBookmarkName="" int2:hashCode="sjYvfu+kd0AhOp" int2:id="KwUrCDWk">
      <int2:state int2:type="WordDesignerDefaultAnnotation" int2:value="Rejected"/>
    </int2:bookmark>
    <int2:bookmark int2:bookmarkName="_Int_cPDyjYti" int2:invalidationBookmarkName="" int2:hashCode="4LiHfCu1GJxDAx" int2:id="Axt5PUOf">
      <int2:state int2:type="WordDesignerDefaultAnnotation" int2:value="Rejected"/>
    </int2:bookmark>
    <int2:bookmark int2:bookmarkName="_Int_BCWgxD6f" int2:invalidationBookmarkName="" int2:hashCode="v4KtjQe974tuyD" int2:id="3i3GTyeC">
      <int2:state int2:type="WordDesignerDefaultAnnotation"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f29d3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4a26ef4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b1a2ea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89276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B8510D"/>
    <w:rsid w:val="004C10BF"/>
    <w:rsid w:val="036F0D7C"/>
    <w:rsid w:val="053BB5B9"/>
    <w:rsid w:val="05D486D7"/>
    <w:rsid w:val="082D4573"/>
    <w:rsid w:val="09882680"/>
    <w:rsid w:val="0AC67D16"/>
    <w:rsid w:val="13FA8F01"/>
    <w:rsid w:val="1939B311"/>
    <w:rsid w:val="19650D28"/>
    <w:rsid w:val="1A3EA3F7"/>
    <w:rsid w:val="1CB8510D"/>
    <w:rsid w:val="239CD61D"/>
    <w:rsid w:val="26E6571E"/>
    <w:rsid w:val="29DD759B"/>
    <w:rsid w:val="2A2765FE"/>
    <w:rsid w:val="32C82C6E"/>
    <w:rsid w:val="34C8BC3B"/>
    <w:rsid w:val="3582932D"/>
    <w:rsid w:val="358F5552"/>
    <w:rsid w:val="35B8B4E3"/>
    <w:rsid w:val="3B43FBCF"/>
    <w:rsid w:val="3E40EA81"/>
    <w:rsid w:val="440A557B"/>
    <w:rsid w:val="45035F4E"/>
    <w:rsid w:val="4C53CCE0"/>
    <w:rsid w:val="595766B6"/>
    <w:rsid w:val="60F88309"/>
    <w:rsid w:val="62A3CD3B"/>
    <w:rsid w:val="65473040"/>
    <w:rsid w:val="67F59EE5"/>
    <w:rsid w:val="68CFCF04"/>
    <w:rsid w:val="698A1E4F"/>
    <w:rsid w:val="6DA18A40"/>
    <w:rsid w:val="72CF4518"/>
    <w:rsid w:val="73A03DC1"/>
    <w:rsid w:val="7568AA4D"/>
    <w:rsid w:val="7BB6833B"/>
    <w:rsid w:val="7E6CC8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8510D"/>
  <w15:chartTrackingRefBased/>
  <w15:docId w15:val="{602AF7F5-494B-4AF6-B2F4-D171177283F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google.com/" TargetMode="External" Id="R35e856e0d6a04f63" /><Relationship Type="http://schemas.openxmlformats.org/officeDocument/2006/relationships/hyperlink" Target="https://pmc.ncbi.nlm.nih.gov/articles/PMC9667129/" TargetMode="External" Id="Rec415c3552344af3" /><Relationship Type="http://schemas.openxmlformats.org/officeDocument/2006/relationships/hyperlink" Target="http://dx.doi.org/10.2139/ssrn.4844641" TargetMode="External" Id="R6a88416653a449f1" /><Relationship Type="http://schemas.microsoft.com/office/2020/10/relationships/intelligence" Target="intelligence2.xml" Id="R4a7e683472ab4e92" /><Relationship Type="http://schemas.openxmlformats.org/officeDocument/2006/relationships/numbering" Target="numbering.xml" Id="R3f3fd9abb7c04e4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2024-12-19T14:24:00.1033311Z</dcterms:created>
  <dcterms:modified xsi:type="dcterms:W3CDTF">2024-12-19T14:49:09.5170666Z</dcterms:modified>
  <dc:creator>Dearna Havard (2100056)</dc:creator>
  <lastModifiedBy>Dearna Havard (2100056)</lastModifiedBy>
</coreProperties>
</file>