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F895A" w14:textId="77777777" w:rsidR="003770A0" w:rsidRDefault="003770A0" w:rsidP="003770A0">
      <w:pPr>
        <w:rPr>
          <w:rFonts w:cs="Times New Roman"/>
          <w:lang w:bidi="ar-SA"/>
        </w:rPr>
      </w:pPr>
    </w:p>
    <w:tbl>
      <w:tblPr>
        <w:tblW w:w="8955" w:type="dxa"/>
        <w:tblInd w:w="-100" w:type="dxa"/>
        <w:tblBorders>
          <w:insideH w:val="nil"/>
          <w:insideV w:val="nil"/>
        </w:tblBorders>
        <w:tblLayout w:type="fixed"/>
        <w:tblLook w:val="0600" w:firstRow="0" w:lastRow="0" w:firstColumn="0" w:lastColumn="0" w:noHBand="1" w:noVBand="1"/>
      </w:tblPr>
      <w:tblGrid>
        <w:gridCol w:w="3720"/>
        <w:gridCol w:w="5235"/>
      </w:tblGrid>
      <w:tr w:rsidR="003770A0" w14:paraId="2E1B36BD" w14:textId="77777777" w:rsidTr="003770A0">
        <w:trPr>
          <w:cantSplit/>
          <w:trHeight w:val="810"/>
          <w:tblHeader/>
        </w:trPr>
        <w:tc>
          <w:tcPr>
            <w:tcW w:w="3720" w:type="dxa"/>
            <w:tcBorders>
              <w:top w:val="single" w:sz="8" w:space="0" w:color="000000"/>
              <w:left w:val="single" w:sz="8" w:space="0" w:color="000000"/>
              <w:bottom w:val="single" w:sz="8" w:space="0" w:color="000000"/>
              <w:right w:val="single" w:sz="8" w:space="0" w:color="000000"/>
            </w:tcBorders>
            <w:hideMark/>
          </w:tcPr>
          <w:p w14:paraId="69C53ADA" w14:textId="77777777" w:rsidR="003770A0" w:rsidRDefault="003770A0">
            <w:pPr>
              <w:spacing w:before="240" w:after="240"/>
              <w:rPr>
                <w:rFonts w:cs="Times New Roman"/>
                <w:b/>
                <w:bCs/>
                <w:color w:val="000000"/>
                <w:szCs w:val="24"/>
                <w:lang w:val="en-US" w:bidi="ar-SA"/>
              </w:rPr>
            </w:pPr>
            <w:r>
              <w:rPr>
                <w:rFonts w:cs="Times New Roman"/>
                <w:b/>
                <w:bCs/>
                <w:color w:val="000000"/>
                <w:szCs w:val="24"/>
                <w:lang w:val="en-US" w:bidi="ar-SA"/>
              </w:rPr>
              <w:t>Course:</w:t>
            </w:r>
          </w:p>
        </w:tc>
        <w:tc>
          <w:tcPr>
            <w:tcW w:w="5235" w:type="dxa"/>
            <w:tcBorders>
              <w:top w:val="single" w:sz="8" w:space="0" w:color="000000"/>
              <w:left w:val="single" w:sz="8" w:space="0" w:color="000000"/>
              <w:bottom w:val="single" w:sz="8" w:space="0" w:color="000000"/>
              <w:right w:val="single" w:sz="8" w:space="0" w:color="000000"/>
            </w:tcBorders>
            <w:hideMark/>
          </w:tcPr>
          <w:p w14:paraId="4E6FB262" w14:textId="77777777" w:rsidR="003770A0" w:rsidRDefault="003770A0">
            <w:pPr>
              <w:spacing w:before="240" w:after="240"/>
              <w:rPr>
                <w:rFonts w:cs="Times New Roman"/>
                <w:b/>
                <w:bCs/>
                <w:color w:val="000000"/>
                <w:sz w:val="28"/>
                <w:lang w:val="en-US" w:bidi="ar-SA"/>
              </w:rPr>
            </w:pPr>
            <w:r>
              <w:rPr>
                <w:rFonts w:cs="Times New Roman"/>
                <w:b/>
                <w:bCs/>
                <w:color w:val="000000"/>
                <w:sz w:val="28"/>
                <w:lang w:val="en-US" w:bidi="ar-SA"/>
              </w:rPr>
              <w:t>BA International Hotel Management</w:t>
            </w:r>
          </w:p>
        </w:tc>
      </w:tr>
      <w:tr w:rsidR="003770A0" w14:paraId="40264DBB"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650FC208" w14:textId="77777777" w:rsidR="003770A0" w:rsidRDefault="003770A0">
            <w:pPr>
              <w:spacing w:before="240" w:after="240"/>
              <w:rPr>
                <w:rFonts w:cs="Times New Roman"/>
                <w:b/>
                <w:bCs/>
                <w:color w:val="000000"/>
                <w:szCs w:val="24"/>
                <w:lang w:val="en-US" w:bidi="ar-SA"/>
              </w:rPr>
            </w:pPr>
            <w:r>
              <w:rPr>
                <w:rFonts w:cs="Times New Roman"/>
                <w:b/>
                <w:bCs/>
                <w:color w:val="000000"/>
                <w:szCs w:val="24"/>
                <w:lang w:val="en-US" w:bidi="ar-SA"/>
              </w:rPr>
              <w:t>Module Title:</w:t>
            </w:r>
          </w:p>
        </w:tc>
        <w:tc>
          <w:tcPr>
            <w:tcW w:w="5235" w:type="dxa"/>
            <w:tcBorders>
              <w:top w:val="single" w:sz="8" w:space="0" w:color="000000"/>
              <w:left w:val="single" w:sz="8" w:space="0" w:color="000000"/>
              <w:bottom w:val="single" w:sz="8" w:space="0" w:color="000000"/>
              <w:right w:val="single" w:sz="8" w:space="0" w:color="000000"/>
            </w:tcBorders>
            <w:hideMark/>
          </w:tcPr>
          <w:p w14:paraId="289390CA" w14:textId="77777777" w:rsidR="003770A0" w:rsidRDefault="003770A0">
            <w:pPr>
              <w:spacing w:before="240" w:after="240"/>
              <w:rPr>
                <w:rFonts w:cs="Times New Roman"/>
                <w:b/>
                <w:bCs/>
                <w:color w:val="000000"/>
                <w:szCs w:val="24"/>
                <w:lang w:val="en-US" w:bidi="ar-SA"/>
              </w:rPr>
            </w:pPr>
            <w:r>
              <w:rPr>
                <w:rFonts w:cs="Times New Roman"/>
                <w:b/>
                <w:bCs/>
                <w:color w:val="000000"/>
                <w:szCs w:val="24"/>
                <w:lang w:val="en-US" w:bidi="ar-SA"/>
              </w:rPr>
              <w:t>Financial Management for the Hotel Industry</w:t>
            </w:r>
          </w:p>
        </w:tc>
      </w:tr>
      <w:tr w:rsidR="003770A0" w14:paraId="338CE514"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1880C931" w14:textId="77777777" w:rsidR="003770A0" w:rsidRDefault="003770A0">
            <w:pPr>
              <w:spacing w:before="240" w:after="240"/>
              <w:rPr>
                <w:rFonts w:cs="Times New Roman"/>
                <w:b/>
                <w:bCs/>
                <w:color w:val="000000"/>
                <w:szCs w:val="24"/>
                <w:lang w:val="en-US" w:bidi="ar-SA"/>
              </w:rPr>
            </w:pPr>
            <w:r>
              <w:rPr>
                <w:rFonts w:cs="Times New Roman"/>
                <w:b/>
                <w:bCs/>
                <w:color w:val="000000"/>
                <w:szCs w:val="24"/>
                <w:lang w:val="en-US" w:bidi="ar-SA"/>
              </w:rPr>
              <w:t xml:space="preserve">Module Code:    </w:t>
            </w:r>
          </w:p>
        </w:tc>
        <w:tc>
          <w:tcPr>
            <w:tcW w:w="5235" w:type="dxa"/>
            <w:tcBorders>
              <w:top w:val="single" w:sz="8" w:space="0" w:color="000000"/>
              <w:left w:val="single" w:sz="8" w:space="0" w:color="000000"/>
              <w:bottom w:val="single" w:sz="8" w:space="0" w:color="000000"/>
              <w:right w:val="single" w:sz="8" w:space="0" w:color="000000"/>
            </w:tcBorders>
            <w:hideMark/>
          </w:tcPr>
          <w:p w14:paraId="1FB31081" w14:textId="77777777" w:rsidR="003770A0" w:rsidRDefault="003770A0">
            <w:pPr>
              <w:spacing w:before="240" w:after="240"/>
              <w:rPr>
                <w:rFonts w:cs="Times New Roman"/>
                <w:b/>
                <w:bCs/>
                <w:color w:val="000000"/>
                <w:szCs w:val="24"/>
                <w:lang w:val="en-US" w:bidi="ar-SA"/>
              </w:rPr>
            </w:pPr>
            <w:r>
              <w:rPr>
                <w:rFonts w:cs="Times New Roman"/>
                <w:b/>
                <w:bCs/>
                <w:color w:val="000000"/>
                <w:szCs w:val="24"/>
                <w:lang w:val="en-US" w:bidi="ar-SA"/>
              </w:rPr>
              <w:t>BMIH5007</w:t>
            </w:r>
          </w:p>
        </w:tc>
      </w:tr>
      <w:tr w:rsidR="003770A0" w14:paraId="7553AFC4"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3F3CFD4B" w14:textId="77777777" w:rsidR="003770A0" w:rsidRDefault="003770A0">
            <w:pPr>
              <w:spacing w:before="240" w:after="240"/>
              <w:rPr>
                <w:rFonts w:cs="Times New Roman"/>
                <w:b/>
                <w:bCs/>
                <w:szCs w:val="24"/>
                <w:lang w:val="en-US"/>
              </w:rPr>
            </w:pPr>
            <w:r>
              <w:rPr>
                <w:rFonts w:cs="Times New Roman"/>
                <w:b/>
                <w:bCs/>
                <w:szCs w:val="24"/>
                <w:lang w:val="en-US"/>
              </w:rPr>
              <w:t>Assessment</w:t>
            </w:r>
          </w:p>
        </w:tc>
        <w:tc>
          <w:tcPr>
            <w:tcW w:w="5235" w:type="dxa"/>
            <w:tcBorders>
              <w:top w:val="single" w:sz="8" w:space="0" w:color="000000"/>
              <w:left w:val="single" w:sz="8" w:space="0" w:color="000000"/>
              <w:bottom w:val="single" w:sz="8" w:space="0" w:color="000000"/>
              <w:right w:val="single" w:sz="8" w:space="0" w:color="000000"/>
            </w:tcBorders>
            <w:hideMark/>
          </w:tcPr>
          <w:p w14:paraId="21CDF599" w14:textId="77777777" w:rsidR="003770A0" w:rsidRDefault="003770A0">
            <w:pPr>
              <w:spacing w:before="240" w:after="240"/>
              <w:rPr>
                <w:rFonts w:cs="Times New Roman"/>
                <w:b/>
                <w:bCs/>
                <w:szCs w:val="24"/>
                <w:lang w:val="en-US"/>
              </w:rPr>
            </w:pPr>
            <w:r>
              <w:rPr>
                <w:rFonts w:cs="Times New Roman"/>
                <w:b/>
                <w:bCs/>
                <w:szCs w:val="24"/>
                <w:lang w:val="en-US"/>
              </w:rPr>
              <w:t>1</w:t>
            </w:r>
          </w:p>
        </w:tc>
      </w:tr>
      <w:tr w:rsidR="003770A0" w14:paraId="195852DF"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268AF375" w14:textId="77777777" w:rsidR="003770A0" w:rsidRDefault="003770A0">
            <w:pPr>
              <w:spacing w:before="240" w:after="240" w:line="480" w:lineRule="auto"/>
              <w:rPr>
                <w:rFonts w:cs="Times New Roman"/>
                <w:b/>
                <w:bCs/>
                <w:szCs w:val="24"/>
                <w:lang w:val="en-US"/>
              </w:rPr>
            </w:pPr>
            <w:r>
              <w:rPr>
                <w:rFonts w:cs="Times New Roman"/>
                <w:b/>
                <w:bCs/>
                <w:szCs w:val="24"/>
                <w:lang w:val="en-US"/>
              </w:rPr>
              <w:t>Word Count</w:t>
            </w:r>
          </w:p>
        </w:tc>
        <w:tc>
          <w:tcPr>
            <w:tcW w:w="5235" w:type="dxa"/>
            <w:tcBorders>
              <w:top w:val="single" w:sz="8" w:space="0" w:color="000000"/>
              <w:left w:val="single" w:sz="8" w:space="0" w:color="000000"/>
              <w:bottom w:val="single" w:sz="8" w:space="0" w:color="000000"/>
              <w:right w:val="single" w:sz="8" w:space="0" w:color="000000"/>
            </w:tcBorders>
            <w:hideMark/>
          </w:tcPr>
          <w:p w14:paraId="3BAA8FB8" w14:textId="77777777" w:rsidR="003770A0" w:rsidRDefault="003770A0">
            <w:pPr>
              <w:spacing w:before="240" w:after="240"/>
              <w:rPr>
                <w:rFonts w:cs="Times New Roman"/>
                <w:b/>
                <w:bCs/>
                <w:szCs w:val="24"/>
                <w:lang w:val="en-US"/>
              </w:rPr>
            </w:pPr>
            <w:r>
              <w:rPr>
                <w:rFonts w:cs="Times New Roman"/>
                <w:b/>
                <w:bCs/>
                <w:szCs w:val="24"/>
                <w:lang w:val="en-US"/>
              </w:rPr>
              <w:t>2155</w:t>
            </w:r>
          </w:p>
        </w:tc>
      </w:tr>
      <w:tr w:rsidR="003770A0" w14:paraId="3CEB3F7F"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6C70045C" w14:textId="77777777" w:rsidR="003770A0" w:rsidRDefault="003770A0">
            <w:pPr>
              <w:spacing w:before="240" w:after="240" w:line="480" w:lineRule="auto"/>
              <w:rPr>
                <w:rFonts w:cs="Times New Roman"/>
                <w:b/>
                <w:bCs/>
                <w:szCs w:val="24"/>
                <w:lang w:val="en-US"/>
              </w:rPr>
            </w:pPr>
            <w:r>
              <w:rPr>
                <w:rFonts w:cs="Times New Roman"/>
                <w:b/>
                <w:bCs/>
                <w:szCs w:val="24"/>
                <w:lang w:val="en-US"/>
              </w:rPr>
              <w:t>Student Name</w:t>
            </w:r>
          </w:p>
        </w:tc>
        <w:tc>
          <w:tcPr>
            <w:tcW w:w="5235" w:type="dxa"/>
            <w:tcBorders>
              <w:top w:val="single" w:sz="8" w:space="0" w:color="000000"/>
              <w:left w:val="single" w:sz="8" w:space="0" w:color="000000"/>
              <w:bottom w:val="single" w:sz="8" w:space="0" w:color="000000"/>
              <w:right w:val="single" w:sz="8" w:space="0" w:color="000000"/>
            </w:tcBorders>
            <w:hideMark/>
          </w:tcPr>
          <w:p w14:paraId="206424FA" w14:textId="25095CF4" w:rsidR="003770A0" w:rsidRDefault="003770A0">
            <w:pPr>
              <w:spacing w:before="240" w:after="240"/>
              <w:rPr>
                <w:rFonts w:cs="Times New Roman"/>
                <w:b/>
                <w:bCs/>
                <w:szCs w:val="24"/>
                <w:lang w:val="en-US"/>
              </w:rPr>
            </w:pPr>
            <w:r>
              <w:rPr>
                <w:rFonts w:cs="Times New Roman"/>
                <w:b/>
                <w:bCs/>
                <w:szCs w:val="24"/>
                <w:lang w:val="en-US"/>
              </w:rPr>
              <w:t xml:space="preserve">Daniela </w:t>
            </w:r>
            <w:r>
              <w:rPr>
                <w:rFonts w:cs="Times New Roman"/>
                <w:b/>
                <w:bCs/>
                <w:szCs w:val="24"/>
                <w:lang w:val="en-US"/>
              </w:rPr>
              <w:t xml:space="preserve"> G</w:t>
            </w:r>
            <w:r w:rsidR="007A563D">
              <w:rPr>
                <w:rFonts w:cs="Times New Roman"/>
                <w:b/>
                <w:bCs/>
                <w:szCs w:val="24"/>
                <w:lang w:val="en-US"/>
              </w:rPr>
              <w:t xml:space="preserve">abriela </w:t>
            </w:r>
            <w:r>
              <w:rPr>
                <w:rFonts w:cs="Times New Roman"/>
                <w:b/>
                <w:bCs/>
                <w:szCs w:val="24"/>
                <w:lang w:val="en-US"/>
              </w:rPr>
              <w:t>Vartolomeu</w:t>
            </w:r>
          </w:p>
        </w:tc>
      </w:tr>
      <w:tr w:rsidR="003770A0" w14:paraId="6CD9D654"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27EFB937" w14:textId="77777777" w:rsidR="003770A0" w:rsidRDefault="003770A0">
            <w:pPr>
              <w:spacing w:before="240" w:after="240" w:line="480" w:lineRule="auto"/>
              <w:rPr>
                <w:rFonts w:cs="Times New Roman"/>
                <w:b/>
                <w:bCs/>
                <w:szCs w:val="24"/>
                <w:lang w:val="en-US"/>
              </w:rPr>
            </w:pPr>
            <w:r>
              <w:rPr>
                <w:rFonts w:cs="Times New Roman"/>
                <w:b/>
                <w:bCs/>
                <w:szCs w:val="24"/>
                <w:lang w:val="en-US"/>
              </w:rPr>
              <w:t>Student ID</w:t>
            </w:r>
          </w:p>
        </w:tc>
        <w:tc>
          <w:tcPr>
            <w:tcW w:w="5235" w:type="dxa"/>
            <w:tcBorders>
              <w:top w:val="single" w:sz="8" w:space="0" w:color="000000"/>
              <w:left w:val="single" w:sz="8" w:space="0" w:color="000000"/>
              <w:bottom w:val="single" w:sz="8" w:space="0" w:color="000000"/>
              <w:right w:val="single" w:sz="8" w:space="0" w:color="000000"/>
            </w:tcBorders>
            <w:hideMark/>
          </w:tcPr>
          <w:p w14:paraId="32A130CC" w14:textId="77777777" w:rsidR="003770A0" w:rsidRDefault="003770A0">
            <w:pPr>
              <w:spacing w:before="240" w:after="240"/>
              <w:rPr>
                <w:rFonts w:cs="Times New Roman"/>
                <w:b/>
                <w:bCs/>
                <w:szCs w:val="24"/>
                <w:lang w:val="en-US"/>
              </w:rPr>
            </w:pPr>
            <w:r>
              <w:rPr>
                <w:rFonts w:cs="Times New Roman"/>
                <w:b/>
                <w:bCs/>
                <w:szCs w:val="24"/>
                <w:lang w:val="en-US"/>
              </w:rPr>
              <w:t>2130495</w:t>
            </w:r>
          </w:p>
        </w:tc>
      </w:tr>
      <w:tr w:rsidR="003770A0" w14:paraId="6034C015" w14:textId="77777777" w:rsidTr="003770A0">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hideMark/>
          </w:tcPr>
          <w:p w14:paraId="7C0034A5" w14:textId="77777777" w:rsidR="003770A0" w:rsidRDefault="003770A0">
            <w:pPr>
              <w:spacing w:before="240" w:after="240" w:line="480" w:lineRule="auto"/>
              <w:rPr>
                <w:rFonts w:cs="Times New Roman"/>
                <w:b/>
                <w:bCs/>
                <w:szCs w:val="24"/>
                <w:lang w:val="en-US"/>
              </w:rPr>
            </w:pPr>
            <w:r>
              <w:rPr>
                <w:rFonts w:cs="Times New Roman"/>
                <w:b/>
                <w:bCs/>
                <w:szCs w:val="24"/>
                <w:lang w:val="en-US"/>
              </w:rPr>
              <w:t>Lecturer Name</w:t>
            </w:r>
          </w:p>
        </w:tc>
        <w:tc>
          <w:tcPr>
            <w:tcW w:w="5235" w:type="dxa"/>
            <w:tcBorders>
              <w:top w:val="single" w:sz="8" w:space="0" w:color="000000"/>
              <w:left w:val="single" w:sz="8" w:space="0" w:color="000000"/>
              <w:bottom w:val="single" w:sz="8" w:space="0" w:color="000000"/>
              <w:right w:val="single" w:sz="8" w:space="0" w:color="000000"/>
            </w:tcBorders>
            <w:hideMark/>
          </w:tcPr>
          <w:p w14:paraId="2EF09FF2" w14:textId="77777777" w:rsidR="003770A0" w:rsidRDefault="003770A0">
            <w:pPr>
              <w:spacing w:before="240" w:after="240"/>
              <w:rPr>
                <w:rFonts w:cs="Times New Roman"/>
                <w:b/>
                <w:bCs/>
                <w:szCs w:val="24"/>
                <w:lang w:val="en-US"/>
              </w:rPr>
            </w:pPr>
            <w:r>
              <w:rPr>
                <w:b/>
                <w:bCs/>
                <w:szCs w:val="24"/>
                <w:lang w:val="en-US"/>
              </w:rPr>
              <w:t>Tristan Hawkins</w:t>
            </w:r>
          </w:p>
        </w:tc>
      </w:tr>
    </w:tbl>
    <w:p w14:paraId="62B9D62B" w14:textId="77777777" w:rsidR="003770A0" w:rsidRDefault="003770A0" w:rsidP="003770A0">
      <w:pPr>
        <w:jc w:val="center"/>
        <w:rPr>
          <w:rFonts w:cs="Times New Roman"/>
          <w:b/>
          <w:bCs/>
          <w:sz w:val="56"/>
          <w:szCs w:val="56"/>
        </w:rPr>
      </w:pPr>
    </w:p>
    <w:p w14:paraId="0E5A2915" w14:textId="77777777" w:rsidR="003770A0" w:rsidRDefault="003770A0" w:rsidP="003770A0">
      <w:pPr>
        <w:rPr>
          <w:rFonts w:cs="Times New Roman"/>
          <w:lang w:bidi="ar-SA"/>
        </w:rPr>
      </w:pPr>
    </w:p>
    <w:p w14:paraId="33E6CEF7" w14:textId="77777777" w:rsidR="003770A0" w:rsidRDefault="003770A0" w:rsidP="003770A0">
      <w:pPr>
        <w:rPr>
          <w:rFonts w:cs="Times New Roman"/>
          <w:szCs w:val="24"/>
          <w:lang w:bidi="ar-SA"/>
        </w:rPr>
      </w:pPr>
      <w:r>
        <w:rPr>
          <w:rFonts w:cs="Times New Roman"/>
          <w:kern w:val="0"/>
          <w:lang w:bidi="ar-SA"/>
        </w:rPr>
        <w:br w:type="page"/>
      </w:r>
    </w:p>
    <w:p w14:paraId="389EA662" w14:textId="77777777" w:rsidR="003770A0" w:rsidRDefault="003770A0" w:rsidP="003770A0">
      <w:pPr>
        <w:pStyle w:val="TOCHead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Table of Contents</w:t>
      </w:r>
    </w:p>
    <w:p w14:paraId="3961D079"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r:id="rId6" w:anchor="_Toc148726978" w:history="1">
        <w:r>
          <w:rPr>
            <w:rStyle w:val="Hyperlink"/>
            <w:rFonts w:cs="Times New Roman"/>
          </w:rPr>
          <w:t>Introduction</w:t>
        </w:r>
        <w:r>
          <w:rPr>
            <w:rStyle w:val="Hyperlink"/>
            <w:webHidden/>
            <w:color w:val="auto"/>
          </w:rPr>
          <w:tab/>
        </w:r>
        <w:r>
          <w:rPr>
            <w:rStyle w:val="Hyperlink"/>
            <w:webHidden/>
            <w:color w:val="auto"/>
          </w:rPr>
          <w:fldChar w:fldCharType="begin"/>
        </w:r>
        <w:r>
          <w:rPr>
            <w:rStyle w:val="Hyperlink"/>
            <w:webHidden/>
            <w:color w:val="auto"/>
          </w:rPr>
          <w:instrText xml:space="preserve"> PAGEREF _Toc148726978 \h </w:instrText>
        </w:r>
        <w:r>
          <w:rPr>
            <w:rStyle w:val="Hyperlink"/>
            <w:webHidden/>
            <w:color w:val="auto"/>
          </w:rPr>
        </w:r>
        <w:r>
          <w:rPr>
            <w:rStyle w:val="Hyperlink"/>
            <w:webHidden/>
            <w:color w:val="auto"/>
          </w:rPr>
          <w:fldChar w:fldCharType="separate"/>
        </w:r>
        <w:r>
          <w:rPr>
            <w:rStyle w:val="Hyperlink"/>
            <w:webHidden/>
            <w:color w:val="auto"/>
          </w:rPr>
          <w:t>3</w:t>
        </w:r>
        <w:r>
          <w:rPr>
            <w:rStyle w:val="Hyperlink"/>
            <w:webHidden/>
            <w:color w:val="auto"/>
          </w:rPr>
          <w:fldChar w:fldCharType="end"/>
        </w:r>
      </w:hyperlink>
    </w:p>
    <w:p w14:paraId="788787BF"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7" w:anchor="_Toc148726979" w:history="1">
        <w:r>
          <w:rPr>
            <w:rStyle w:val="Hyperlink"/>
            <w:rFonts w:cs="Times New Roman"/>
            <w:lang w:bidi="bn-IN"/>
          </w:rPr>
          <w:t>Total revenue analysis and comparison</w:t>
        </w:r>
        <w:r>
          <w:rPr>
            <w:rStyle w:val="Hyperlink"/>
            <w:webHidden/>
            <w:color w:val="auto"/>
          </w:rPr>
          <w:tab/>
        </w:r>
        <w:r>
          <w:rPr>
            <w:rStyle w:val="Hyperlink"/>
            <w:webHidden/>
            <w:color w:val="auto"/>
          </w:rPr>
          <w:fldChar w:fldCharType="begin"/>
        </w:r>
        <w:r>
          <w:rPr>
            <w:rStyle w:val="Hyperlink"/>
            <w:webHidden/>
            <w:color w:val="auto"/>
          </w:rPr>
          <w:instrText xml:space="preserve"> PAGEREF _Toc148726979 \h </w:instrText>
        </w:r>
        <w:r>
          <w:rPr>
            <w:rStyle w:val="Hyperlink"/>
            <w:webHidden/>
            <w:color w:val="auto"/>
          </w:rPr>
        </w:r>
        <w:r>
          <w:rPr>
            <w:rStyle w:val="Hyperlink"/>
            <w:webHidden/>
            <w:color w:val="auto"/>
          </w:rPr>
          <w:fldChar w:fldCharType="separate"/>
        </w:r>
        <w:r>
          <w:rPr>
            <w:rStyle w:val="Hyperlink"/>
            <w:webHidden/>
            <w:color w:val="auto"/>
          </w:rPr>
          <w:t>4</w:t>
        </w:r>
        <w:r>
          <w:rPr>
            <w:rStyle w:val="Hyperlink"/>
            <w:webHidden/>
            <w:color w:val="auto"/>
          </w:rPr>
          <w:fldChar w:fldCharType="end"/>
        </w:r>
      </w:hyperlink>
    </w:p>
    <w:p w14:paraId="026FA9C5"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8" w:anchor="_Toc148726980" w:history="1">
        <w:r>
          <w:rPr>
            <w:rStyle w:val="Hyperlink"/>
            <w:rFonts w:cs="Times New Roman"/>
            <w:lang w:bidi="bn-IN"/>
          </w:rPr>
          <w:t>Thee market position of both organisations</w:t>
        </w:r>
        <w:r>
          <w:rPr>
            <w:rStyle w:val="Hyperlink"/>
            <w:webHidden/>
            <w:color w:val="auto"/>
          </w:rPr>
          <w:tab/>
        </w:r>
        <w:r>
          <w:rPr>
            <w:rStyle w:val="Hyperlink"/>
            <w:webHidden/>
            <w:color w:val="auto"/>
          </w:rPr>
          <w:fldChar w:fldCharType="begin"/>
        </w:r>
        <w:r>
          <w:rPr>
            <w:rStyle w:val="Hyperlink"/>
            <w:webHidden/>
            <w:color w:val="auto"/>
          </w:rPr>
          <w:instrText xml:space="preserve"> PAGEREF _Toc148726980 \h </w:instrText>
        </w:r>
        <w:r>
          <w:rPr>
            <w:rStyle w:val="Hyperlink"/>
            <w:webHidden/>
            <w:color w:val="auto"/>
          </w:rPr>
        </w:r>
        <w:r>
          <w:rPr>
            <w:rStyle w:val="Hyperlink"/>
            <w:webHidden/>
            <w:color w:val="auto"/>
          </w:rPr>
          <w:fldChar w:fldCharType="separate"/>
        </w:r>
        <w:r>
          <w:rPr>
            <w:rStyle w:val="Hyperlink"/>
            <w:webHidden/>
            <w:color w:val="auto"/>
          </w:rPr>
          <w:t>7</w:t>
        </w:r>
        <w:r>
          <w:rPr>
            <w:rStyle w:val="Hyperlink"/>
            <w:webHidden/>
            <w:color w:val="auto"/>
          </w:rPr>
          <w:fldChar w:fldCharType="end"/>
        </w:r>
      </w:hyperlink>
    </w:p>
    <w:p w14:paraId="10D095F4"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9" w:anchor="_Toc148726981" w:history="1">
        <w:r>
          <w:rPr>
            <w:rStyle w:val="Hyperlink"/>
            <w:rFonts w:cs="Times New Roman"/>
            <w:lang w:bidi="bn-IN"/>
          </w:rPr>
          <w:t>The growth potential of both organisations</w:t>
        </w:r>
        <w:r>
          <w:rPr>
            <w:rStyle w:val="Hyperlink"/>
            <w:webHidden/>
            <w:color w:val="auto"/>
          </w:rPr>
          <w:tab/>
        </w:r>
        <w:r>
          <w:rPr>
            <w:rStyle w:val="Hyperlink"/>
            <w:webHidden/>
            <w:color w:val="auto"/>
          </w:rPr>
          <w:fldChar w:fldCharType="begin"/>
        </w:r>
        <w:r>
          <w:rPr>
            <w:rStyle w:val="Hyperlink"/>
            <w:webHidden/>
            <w:color w:val="auto"/>
          </w:rPr>
          <w:instrText xml:space="preserve"> PAGEREF _Toc148726981 \h </w:instrText>
        </w:r>
        <w:r>
          <w:rPr>
            <w:rStyle w:val="Hyperlink"/>
            <w:webHidden/>
            <w:color w:val="auto"/>
          </w:rPr>
        </w:r>
        <w:r>
          <w:rPr>
            <w:rStyle w:val="Hyperlink"/>
            <w:webHidden/>
            <w:color w:val="auto"/>
          </w:rPr>
          <w:fldChar w:fldCharType="separate"/>
        </w:r>
        <w:r>
          <w:rPr>
            <w:rStyle w:val="Hyperlink"/>
            <w:webHidden/>
            <w:color w:val="auto"/>
          </w:rPr>
          <w:t>9</w:t>
        </w:r>
        <w:r>
          <w:rPr>
            <w:rStyle w:val="Hyperlink"/>
            <w:webHidden/>
            <w:color w:val="auto"/>
          </w:rPr>
          <w:fldChar w:fldCharType="end"/>
        </w:r>
      </w:hyperlink>
    </w:p>
    <w:p w14:paraId="2D156BA4"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10" w:anchor="_Toc148726982" w:history="1">
        <w:r>
          <w:rPr>
            <w:rStyle w:val="Hyperlink"/>
            <w:rFonts w:cs="Times New Roman"/>
            <w:lang w:bidi="bn-IN"/>
          </w:rPr>
          <w:t>The CSR initiatives of both organisations</w:t>
        </w:r>
        <w:r>
          <w:rPr>
            <w:rStyle w:val="Hyperlink"/>
            <w:webHidden/>
            <w:color w:val="auto"/>
          </w:rPr>
          <w:tab/>
        </w:r>
        <w:r>
          <w:rPr>
            <w:rStyle w:val="Hyperlink"/>
            <w:webHidden/>
            <w:color w:val="auto"/>
          </w:rPr>
          <w:fldChar w:fldCharType="begin"/>
        </w:r>
        <w:r>
          <w:rPr>
            <w:rStyle w:val="Hyperlink"/>
            <w:webHidden/>
            <w:color w:val="auto"/>
          </w:rPr>
          <w:instrText xml:space="preserve"> PAGEREF _Toc148726982 \h </w:instrText>
        </w:r>
        <w:r>
          <w:rPr>
            <w:rStyle w:val="Hyperlink"/>
            <w:webHidden/>
            <w:color w:val="auto"/>
          </w:rPr>
        </w:r>
        <w:r>
          <w:rPr>
            <w:rStyle w:val="Hyperlink"/>
            <w:webHidden/>
            <w:color w:val="auto"/>
          </w:rPr>
          <w:fldChar w:fldCharType="separate"/>
        </w:r>
        <w:r>
          <w:rPr>
            <w:rStyle w:val="Hyperlink"/>
            <w:webHidden/>
            <w:color w:val="auto"/>
          </w:rPr>
          <w:t>11</w:t>
        </w:r>
        <w:r>
          <w:rPr>
            <w:rStyle w:val="Hyperlink"/>
            <w:webHidden/>
            <w:color w:val="auto"/>
          </w:rPr>
          <w:fldChar w:fldCharType="end"/>
        </w:r>
      </w:hyperlink>
    </w:p>
    <w:p w14:paraId="29CF2D53"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11" w:anchor="_Toc148726983" w:history="1">
        <w:r>
          <w:rPr>
            <w:rStyle w:val="Hyperlink"/>
            <w:rFonts w:cs="Times New Roman"/>
            <w:lang w:bidi="bn-IN"/>
          </w:rPr>
          <w:t>Recommendation</w:t>
        </w:r>
        <w:r>
          <w:rPr>
            <w:rStyle w:val="Hyperlink"/>
            <w:webHidden/>
            <w:color w:val="auto"/>
          </w:rPr>
          <w:tab/>
        </w:r>
        <w:r>
          <w:rPr>
            <w:rStyle w:val="Hyperlink"/>
            <w:webHidden/>
            <w:color w:val="auto"/>
          </w:rPr>
          <w:fldChar w:fldCharType="begin"/>
        </w:r>
        <w:r>
          <w:rPr>
            <w:rStyle w:val="Hyperlink"/>
            <w:webHidden/>
            <w:color w:val="auto"/>
          </w:rPr>
          <w:instrText xml:space="preserve"> PAGEREF _Toc148726983 \h </w:instrText>
        </w:r>
        <w:r>
          <w:rPr>
            <w:rStyle w:val="Hyperlink"/>
            <w:webHidden/>
            <w:color w:val="auto"/>
          </w:rPr>
        </w:r>
        <w:r>
          <w:rPr>
            <w:rStyle w:val="Hyperlink"/>
            <w:webHidden/>
            <w:color w:val="auto"/>
          </w:rPr>
          <w:fldChar w:fldCharType="separate"/>
        </w:r>
        <w:r>
          <w:rPr>
            <w:rStyle w:val="Hyperlink"/>
            <w:webHidden/>
            <w:color w:val="auto"/>
          </w:rPr>
          <w:t>12</w:t>
        </w:r>
        <w:r>
          <w:rPr>
            <w:rStyle w:val="Hyperlink"/>
            <w:webHidden/>
            <w:color w:val="auto"/>
          </w:rPr>
          <w:fldChar w:fldCharType="end"/>
        </w:r>
      </w:hyperlink>
    </w:p>
    <w:p w14:paraId="0C0A8C37"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12" w:anchor="_Toc148726984" w:history="1">
        <w:r>
          <w:rPr>
            <w:rStyle w:val="Hyperlink"/>
            <w:rFonts w:cs="Times New Roman"/>
            <w:lang w:bidi="bn-IN"/>
          </w:rPr>
          <w:t>Conclusion</w:t>
        </w:r>
        <w:r>
          <w:rPr>
            <w:rStyle w:val="Hyperlink"/>
            <w:webHidden/>
            <w:color w:val="auto"/>
          </w:rPr>
          <w:tab/>
        </w:r>
        <w:r>
          <w:rPr>
            <w:rStyle w:val="Hyperlink"/>
            <w:webHidden/>
            <w:color w:val="auto"/>
          </w:rPr>
          <w:fldChar w:fldCharType="begin"/>
        </w:r>
        <w:r>
          <w:rPr>
            <w:rStyle w:val="Hyperlink"/>
            <w:webHidden/>
            <w:color w:val="auto"/>
          </w:rPr>
          <w:instrText xml:space="preserve"> PAGEREF _Toc148726984 \h </w:instrText>
        </w:r>
        <w:r>
          <w:rPr>
            <w:rStyle w:val="Hyperlink"/>
            <w:webHidden/>
            <w:color w:val="auto"/>
          </w:rPr>
        </w:r>
        <w:r>
          <w:rPr>
            <w:rStyle w:val="Hyperlink"/>
            <w:webHidden/>
            <w:color w:val="auto"/>
          </w:rPr>
          <w:fldChar w:fldCharType="separate"/>
        </w:r>
        <w:r>
          <w:rPr>
            <w:rStyle w:val="Hyperlink"/>
            <w:webHidden/>
            <w:color w:val="auto"/>
          </w:rPr>
          <w:t>13</w:t>
        </w:r>
        <w:r>
          <w:rPr>
            <w:rStyle w:val="Hyperlink"/>
            <w:webHidden/>
            <w:color w:val="auto"/>
          </w:rPr>
          <w:fldChar w:fldCharType="end"/>
        </w:r>
      </w:hyperlink>
    </w:p>
    <w:p w14:paraId="0BB1E344" w14:textId="77777777" w:rsidR="003770A0" w:rsidRDefault="003770A0" w:rsidP="003770A0">
      <w:pPr>
        <w:pStyle w:val="TOC1"/>
        <w:tabs>
          <w:tab w:val="right" w:leader="dot" w:pos="9010"/>
        </w:tabs>
        <w:rPr>
          <w:rFonts w:asciiTheme="minorHAnsi" w:eastAsiaTheme="minorEastAsia" w:hAnsiTheme="minorHAnsi" w:cstheme="minorBidi"/>
          <w:kern w:val="0"/>
          <w:sz w:val="22"/>
          <w:szCs w:val="22"/>
          <w:lang w:eastAsia="en-GB" w:bidi="ar-SA"/>
        </w:rPr>
      </w:pPr>
      <w:hyperlink r:id="rId13" w:anchor="_Toc148726985" w:history="1">
        <w:r>
          <w:rPr>
            <w:rStyle w:val="Hyperlink"/>
            <w:rFonts w:cs="Times New Roman"/>
            <w:lang w:bidi="bn-IN"/>
          </w:rPr>
          <w:t>Reference</w:t>
        </w:r>
        <w:r>
          <w:rPr>
            <w:rStyle w:val="Hyperlink"/>
            <w:webHidden/>
            <w:color w:val="auto"/>
          </w:rPr>
          <w:tab/>
        </w:r>
        <w:r>
          <w:rPr>
            <w:rStyle w:val="Hyperlink"/>
            <w:webHidden/>
            <w:color w:val="auto"/>
          </w:rPr>
          <w:fldChar w:fldCharType="begin"/>
        </w:r>
        <w:r>
          <w:rPr>
            <w:rStyle w:val="Hyperlink"/>
            <w:webHidden/>
            <w:color w:val="auto"/>
          </w:rPr>
          <w:instrText xml:space="preserve"> PAGEREF _Toc148726985 \h </w:instrText>
        </w:r>
        <w:r>
          <w:rPr>
            <w:rStyle w:val="Hyperlink"/>
            <w:webHidden/>
            <w:color w:val="auto"/>
          </w:rPr>
        </w:r>
        <w:r>
          <w:rPr>
            <w:rStyle w:val="Hyperlink"/>
            <w:webHidden/>
            <w:color w:val="auto"/>
          </w:rPr>
          <w:fldChar w:fldCharType="separate"/>
        </w:r>
        <w:r>
          <w:rPr>
            <w:rStyle w:val="Hyperlink"/>
            <w:webHidden/>
            <w:color w:val="auto"/>
          </w:rPr>
          <w:t>14</w:t>
        </w:r>
        <w:r>
          <w:rPr>
            <w:rStyle w:val="Hyperlink"/>
            <w:webHidden/>
            <w:color w:val="auto"/>
          </w:rPr>
          <w:fldChar w:fldCharType="end"/>
        </w:r>
      </w:hyperlink>
    </w:p>
    <w:p w14:paraId="42684D8B" w14:textId="77777777" w:rsidR="003770A0" w:rsidRDefault="003770A0" w:rsidP="003770A0">
      <w:pPr>
        <w:rPr>
          <w:rFonts w:cs="Times New Roman"/>
        </w:rPr>
      </w:pPr>
      <w:r>
        <w:rPr>
          <w:rFonts w:cs="Times New Roman"/>
          <w:b/>
          <w:bCs/>
          <w:szCs w:val="24"/>
        </w:rPr>
        <w:fldChar w:fldCharType="end"/>
      </w:r>
    </w:p>
    <w:p w14:paraId="36739CEC" w14:textId="77777777" w:rsidR="003770A0" w:rsidRDefault="003770A0" w:rsidP="003770A0">
      <w:pPr>
        <w:spacing w:line="480" w:lineRule="auto"/>
        <w:rPr>
          <w:rFonts w:cs="Times New Roman"/>
          <w:lang w:bidi="ar-SA"/>
        </w:rPr>
      </w:pPr>
    </w:p>
    <w:p w14:paraId="0C57D1E5" w14:textId="77777777" w:rsidR="003770A0" w:rsidRDefault="003770A0" w:rsidP="003770A0">
      <w:pPr>
        <w:rPr>
          <w:rFonts w:eastAsia="SimSun" w:cs="Times New Roman"/>
          <w:sz w:val="32"/>
          <w:szCs w:val="32"/>
          <w:lang w:bidi="ar-SA"/>
        </w:rPr>
      </w:pPr>
      <w:r>
        <w:rPr>
          <w:rFonts w:cs="Times New Roman"/>
          <w:kern w:val="0"/>
          <w:lang w:bidi="ar-SA"/>
        </w:rPr>
        <w:br w:type="page"/>
      </w:r>
    </w:p>
    <w:p w14:paraId="201BEE99" w14:textId="77777777" w:rsidR="003770A0" w:rsidRDefault="003770A0" w:rsidP="003770A0">
      <w:pPr>
        <w:pStyle w:val="Heading1"/>
        <w:rPr>
          <w:rFonts w:cs="Times New Roman"/>
          <w:lang w:bidi="ar-SA"/>
        </w:rPr>
      </w:pPr>
      <w:bookmarkStart w:id="0" w:name="_Toc148205848"/>
      <w:bookmarkStart w:id="1" w:name="_Toc148726978"/>
      <w:r>
        <w:rPr>
          <w:rFonts w:cs="Times New Roman"/>
          <w:lang w:bidi="ar-SA"/>
        </w:rPr>
        <w:lastRenderedPageBreak/>
        <w:t>Introduction</w:t>
      </w:r>
      <w:bookmarkEnd w:id="0"/>
      <w:bookmarkEnd w:id="1"/>
      <w:r>
        <w:rPr>
          <w:rFonts w:cs="Times New Roman"/>
          <w:lang w:bidi="ar-SA"/>
        </w:rPr>
        <w:t xml:space="preserve"> </w:t>
      </w:r>
    </w:p>
    <w:p w14:paraId="6A9D2418" w14:textId="77777777" w:rsidR="003770A0" w:rsidRDefault="003770A0" w:rsidP="003770A0">
      <w:pPr>
        <w:rPr>
          <w:rFonts w:cs="Times New Roman"/>
          <w:lang w:bidi="bn-IN"/>
        </w:rPr>
      </w:pPr>
      <w:r>
        <w:rPr>
          <w:rFonts w:cs="Times New Roman"/>
          <w:lang w:bidi="bn-IN"/>
        </w:rPr>
        <w:t>The following discussions will examine the Mandarin Oriental Hotel Group and Premier Inn, two important international hospitality companies. These companies serve different customer categories based on their needs and preferences. The Mandarin Oriental Hotel Group, a global luxury hospitality brand, is discussed first. The group's financial performance, market positioning, and CSR actions are examined. Ethical business, community engagement, and sustainability are CSR initiatives. The focus shifts to Premier Inn, a UK-based hotel chain expanding internationally. Premier Inn is a mid-range hotel. Premier Inn's financial health, market position, and CSR spending are examined in the report. Both conversations aim to explain the hospitality industry's dynamic terrain, each company's strategic decisions, its challenges, and its growth potential.</w:t>
      </w:r>
    </w:p>
    <w:p w14:paraId="297E959F" w14:textId="77777777" w:rsidR="003770A0" w:rsidRDefault="003770A0" w:rsidP="003770A0">
      <w:pPr>
        <w:rPr>
          <w:rFonts w:cs="Times New Roman"/>
          <w:lang w:bidi="bn-IN"/>
        </w:rPr>
      </w:pPr>
    </w:p>
    <w:p w14:paraId="783EB3A0" w14:textId="77777777" w:rsidR="003770A0" w:rsidRDefault="003770A0" w:rsidP="003770A0">
      <w:pPr>
        <w:rPr>
          <w:rFonts w:cs="Times New Roman"/>
          <w:lang w:bidi="bn-IN"/>
        </w:rPr>
      </w:pPr>
    </w:p>
    <w:p w14:paraId="187DEA2D" w14:textId="77777777" w:rsidR="003770A0" w:rsidRDefault="003770A0" w:rsidP="003770A0">
      <w:pPr>
        <w:rPr>
          <w:rFonts w:cs="Times New Roman"/>
          <w:lang w:bidi="bn-IN"/>
        </w:rPr>
      </w:pPr>
    </w:p>
    <w:p w14:paraId="318D8D4D" w14:textId="77777777" w:rsidR="003770A0" w:rsidRDefault="003770A0" w:rsidP="003770A0">
      <w:pPr>
        <w:rPr>
          <w:rFonts w:cs="Times New Roman"/>
          <w:lang w:bidi="bn-IN"/>
        </w:rPr>
      </w:pPr>
    </w:p>
    <w:p w14:paraId="1E728B5B" w14:textId="77777777" w:rsidR="003770A0" w:rsidRDefault="003770A0" w:rsidP="003770A0">
      <w:pPr>
        <w:rPr>
          <w:rFonts w:cs="Times New Roman"/>
          <w:lang w:bidi="bn-IN"/>
        </w:rPr>
      </w:pPr>
    </w:p>
    <w:p w14:paraId="2B58E75E" w14:textId="77777777" w:rsidR="003770A0" w:rsidRDefault="003770A0" w:rsidP="003770A0">
      <w:pPr>
        <w:rPr>
          <w:rFonts w:cs="Times New Roman"/>
          <w:lang w:bidi="bn-IN"/>
        </w:rPr>
      </w:pPr>
    </w:p>
    <w:p w14:paraId="0CB0DBAA" w14:textId="77777777" w:rsidR="003770A0" w:rsidRDefault="003770A0" w:rsidP="003770A0">
      <w:pPr>
        <w:rPr>
          <w:rFonts w:cs="Times New Roman"/>
          <w:lang w:bidi="bn-IN"/>
        </w:rPr>
      </w:pPr>
    </w:p>
    <w:p w14:paraId="77E7CC6A" w14:textId="77777777" w:rsidR="003770A0" w:rsidRDefault="003770A0" w:rsidP="003770A0">
      <w:pPr>
        <w:rPr>
          <w:rFonts w:cs="Times New Roman"/>
          <w:lang w:bidi="bn-IN"/>
        </w:rPr>
      </w:pPr>
    </w:p>
    <w:p w14:paraId="1299FF8A" w14:textId="77777777" w:rsidR="003770A0" w:rsidRDefault="003770A0" w:rsidP="003770A0">
      <w:pPr>
        <w:rPr>
          <w:rFonts w:cs="Times New Roman"/>
          <w:lang w:bidi="bn-IN"/>
        </w:rPr>
      </w:pPr>
    </w:p>
    <w:p w14:paraId="38ECFC84" w14:textId="77777777" w:rsidR="003770A0" w:rsidRDefault="003770A0" w:rsidP="003770A0">
      <w:pPr>
        <w:rPr>
          <w:rFonts w:cs="Times New Roman"/>
          <w:lang w:bidi="bn-IN"/>
        </w:rPr>
      </w:pPr>
    </w:p>
    <w:p w14:paraId="76A0344F" w14:textId="77777777" w:rsidR="003770A0" w:rsidRDefault="003770A0" w:rsidP="003770A0">
      <w:pPr>
        <w:rPr>
          <w:rFonts w:cs="Times New Roman"/>
          <w:lang w:bidi="bn-IN"/>
        </w:rPr>
      </w:pPr>
    </w:p>
    <w:p w14:paraId="7B03AB2A" w14:textId="77777777" w:rsidR="003770A0" w:rsidRDefault="003770A0" w:rsidP="003770A0">
      <w:pPr>
        <w:pStyle w:val="Heading1"/>
        <w:rPr>
          <w:rFonts w:cs="Times New Roman"/>
          <w:lang w:bidi="bn-IN"/>
        </w:rPr>
      </w:pPr>
    </w:p>
    <w:p w14:paraId="56CA5CD2" w14:textId="77777777" w:rsidR="003770A0" w:rsidRDefault="003770A0" w:rsidP="003770A0">
      <w:pPr>
        <w:pStyle w:val="Heading1"/>
        <w:rPr>
          <w:rFonts w:cs="Times New Roman"/>
          <w:lang w:bidi="bn-IN"/>
        </w:rPr>
      </w:pPr>
      <w:r>
        <w:rPr>
          <w:rFonts w:cs="Times New Roman"/>
          <w:b w:val="0"/>
          <w:kern w:val="0"/>
          <w:lang w:bidi="bn-IN"/>
        </w:rPr>
        <w:br w:type="page"/>
      </w:r>
      <w:bookmarkStart w:id="2" w:name="_Toc148726979"/>
      <w:r>
        <w:rPr>
          <w:rFonts w:cs="Times New Roman"/>
          <w:lang w:bidi="bn-IN"/>
        </w:rPr>
        <w:lastRenderedPageBreak/>
        <w:t>Total revenue analysis and comparison</w:t>
      </w:r>
      <w:bookmarkEnd w:id="2"/>
      <w:r>
        <w:rPr>
          <w:rFonts w:cs="Times New Roman"/>
          <w:lang w:bidi="bn-IN"/>
        </w:rPr>
        <w:t xml:space="preserve"> </w:t>
      </w:r>
    </w:p>
    <w:p w14:paraId="2C57DA27" w14:textId="77777777" w:rsidR="003770A0" w:rsidRDefault="003770A0" w:rsidP="003770A0">
      <w:pPr>
        <w:rPr>
          <w:rFonts w:cs="Times New Roman"/>
          <w:lang w:bidi="bn-IN"/>
        </w:rPr>
      </w:pPr>
      <w:r>
        <w:rPr>
          <w:rFonts w:cs="Times New Roman"/>
          <w:lang w:bidi="bn-IN"/>
        </w:rPr>
        <w:t xml:space="preserve">Mandarin Oriental Hotel Group and Premier Inn are global hospitality giants. Each company has a unique business model, market position, and financial performance. </w:t>
      </w:r>
    </w:p>
    <w:p w14:paraId="4158D94B" w14:textId="77777777" w:rsidR="003770A0" w:rsidRDefault="003770A0" w:rsidP="003770A0">
      <w:pPr>
        <w:rPr>
          <w:rFonts w:cs="Times New Roman"/>
          <w:b/>
          <w:bCs/>
          <w:u w:val="single"/>
          <w:lang w:bidi="bn-IN"/>
        </w:rPr>
      </w:pPr>
      <w:r>
        <w:rPr>
          <w:rFonts w:cs="Times New Roman"/>
          <w:b/>
          <w:bCs/>
          <w:u w:val="single"/>
          <w:lang w:bidi="bn-IN"/>
        </w:rPr>
        <w:t>Mandarin Oriental Hotel Group:</w:t>
      </w:r>
    </w:p>
    <w:p w14:paraId="0894E4E5" w14:textId="77777777" w:rsidR="003770A0" w:rsidRDefault="003770A0" w:rsidP="003770A0">
      <w:pPr>
        <w:rPr>
          <w:rFonts w:cs="Times New Roman"/>
          <w:lang w:bidi="bn-IN"/>
        </w:rPr>
      </w:pPr>
      <w:r>
        <w:rPr>
          <w:rFonts w:cs="Times New Roman"/>
          <w:b/>
          <w:bCs/>
          <w:lang w:bidi="bn-IN"/>
        </w:rPr>
        <w:t>Revenue Overview:</w:t>
      </w:r>
    </w:p>
    <w:p w14:paraId="531DE614" w14:textId="77777777" w:rsidR="003770A0" w:rsidRDefault="003770A0" w:rsidP="003770A0">
      <w:pPr>
        <w:rPr>
          <w:rFonts w:cs="Times New Roman"/>
          <w:lang w:bidi="bn-IN"/>
        </w:rPr>
      </w:pPr>
      <w:r>
        <w:rPr>
          <w:rFonts w:cs="Times New Roman"/>
          <w:lang w:bidi="bn-IN"/>
        </w:rPr>
        <w:t>Mandarin Oriental changed drastically in 2022 after years of severe hardship. The group's success improved after travel restrictions were lifted in Europe, the Middle East, and the US. Hotel under management revenue in the US rose 18% to $1.6 billion in 2022 (Mandarin Oriental Hotel Group, 2023).</w:t>
      </w:r>
    </w:p>
    <w:p w14:paraId="3D1072A5" w14:textId="77777777" w:rsidR="003770A0" w:rsidRDefault="003770A0" w:rsidP="003770A0">
      <w:pPr>
        <w:rPr>
          <w:rFonts w:cs="Times New Roman"/>
          <w:b/>
          <w:bCs/>
          <w:lang w:bidi="bn-IN"/>
        </w:rPr>
      </w:pPr>
      <w:r>
        <w:rPr>
          <w:rFonts w:cs="Times New Roman"/>
          <w:b/>
          <w:bCs/>
          <w:lang w:bidi="bn-IN"/>
        </w:rPr>
        <w:t>Key Initiatives and Achievements:</w:t>
      </w:r>
    </w:p>
    <w:p w14:paraId="3B0AF491" w14:textId="77777777" w:rsidR="003770A0" w:rsidRDefault="003770A0" w:rsidP="003770A0">
      <w:pPr>
        <w:rPr>
          <w:rFonts w:cs="Times New Roman"/>
          <w:lang w:bidi="bn-IN"/>
        </w:rPr>
      </w:pPr>
      <w:r>
        <w:rPr>
          <w:rFonts w:cs="Times New Roman"/>
          <w:b/>
          <w:bCs/>
          <w:lang w:bidi="bn-IN"/>
        </w:rPr>
        <w:t>Digital Transformation:</w:t>
      </w:r>
      <w:r>
        <w:rPr>
          <w:rFonts w:cs="Times New Roman"/>
          <w:lang w:bidi="bn-IN"/>
        </w:rPr>
        <w:t xml:space="preserve"> In 2022, the group relaunched mandarinoriental.com as part of its digital transition. The revamp aims to improve guests' digital experience and boost revenue through digital sales channels.</w:t>
      </w:r>
    </w:p>
    <w:p w14:paraId="2E55233D" w14:textId="77777777" w:rsidR="003770A0" w:rsidRDefault="003770A0" w:rsidP="003770A0">
      <w:pPr>
        <w:rPr>
          <w:rFonts w:cs="Times New Roman"/>
          <w:lang w:bidi="bn-IN"/>
        </w:rPr>
      </w:pPr>
      <w:r>
        <w:rPr>
          <w:rFonts w:cs="Times New Roman"/>
          <w:b/>
          <w:bCs/>
          <w:lang w:bidi="bn-IN"/>
        </w:rPr>
        <w:t>Guest Recognition Programme:</w:t>
      </w:r>
      <w:r>
        <w:rPr>
          <w:rFonts w:cs="Times New Roman"/>
          <w:lang w:bidi="bn-IN"/>
        </w:rPr>
        <w:t xml:space="preserve"> Fans of M.O. grew 32% from 2021 to over 1.4 million members. More than 1.4 million members joined the programme. This implies that consumer loyalty and involvement are valued (Mandarin Oriental Hotel Group, 2023).</w:t>
      </w:r>
    </w:p>
    <w:p w14:paraId="1335965B" w14:textId="77777777" w:rsidR="003770A0" w:rsidRDefault="003770A0" w:rsidP="003770A0">
      <w:pPr>
        <w:rPr>
          <w:rFonts w:cs="Times New Roman"/>
          <w:lang w:bidi="bn-IN"/>
        </w:rPr>
      </w:pPr>
      <w:r>
        <w:rPr>
          <w:rFonts w:cs="Times New Roman"/>
          <w:b/>
          <w:bCs/>
          <w:lang w:bidi="bn-IN"/>
        </w:rPr>
        <w:t>Expansion into Exclusive Homes:</w:t>
      </w:r>
      <w:r>
        <w:rPr>
          <w:rFonts w:cs="Times New Roman"/>
          <w:lang w:bidi="bn-IN"/>
        </w:rPr>
        <w:t xml:space="preserve"> Mandarin Oriental Exclusive Homes marked the group's foray into luxury private dwellings, expanding its offering beyond hotel products.</w:t>
      </w:r>
    </w:p>
    <w:p w14:paraId="09D5E792" w14:textId="77777777" w:rsidR="003770A0" w:rsidRDefault="003770A0" w:rsidP="003770A0">
      <w:pPr>
        <w:rPr>
          <w:rFonts w:cs="Times New Roman"/>
          <w:lang w:bidi="bn-IN"/>
        </w:rPr>
      </w:pPr>
      <w:r>
        <w:rPr>
          <w:rFonts w:cs="Times New Roman"/>
          <w:b/>
          <w:bCs/>
          <w:lang w:bidi="bn-IN"/>
        </w:rPr>
        <w:t xml:space="preserve">Sustainability: </w:t>
      </w:r>
      <w:r>
        <w:rPr>
          <w:rFonts w:cs="Times New Roman"/>
          <w:lang w:bidi="bn-IN"/>
        </w:rPr>
        <w:t>The hotel portfolio's 99% single-use plastic reduction was a sustainability milestone and shows the company's environmental responsibility.</w:t>
      </w:r>
    </w:p>
    <w:p w14:paraId="6E217C97" w14:textId="77777777" w:rsidR="003770A0" w:rsidRDefault="003770A0" w:rsidP="003770A0">
      <w:pPr>
        <w:rPr>
          <w:rFonts w:cs="Times New Roman"/>
          <w:b/>
          <w:bCs/>
          <w:lang w:bidi="bn-IN"/>
        </w:rPr>
      </w:pPr>
      <w:r>
        <w:rPr>
          <w:rFonts w:cs="Times New Roman"/>
          <w:b/>
          <w:bCs/>
          <w:lang w:bidi="bn-IN"/>
        </w:rPr>
        <w:t>2022 Performance:</w:t>
      </w:r>
    </w:p>
    <w:p w14:paraId="15B5A1AC" w14:textId="77777777" w:rsidR="003770A0" w:rsidRDefault="003770A0" w:rsidP="003770A0">
      <w:pPr>
        <w:rPr>
          <w:rFonts w:cs="Times New Roman"/>
          <w:lang w:bidi="bn-IN"/>
        </w:rPr>
      </w:pPr>
      <w:r>
        <w:rPr>
          <w:rFonts w:cs="Times New Roman"/>
          <w:lang w:bidi="bn-IN"/>
        </w:rPr>
        <w:t>The group's finances improved significantly in 2022. After travel restrictions were relaxed in most countries, more individuals looked for hotels, which increased occupancy rates and room rates. Hotels under management generated US$1.568 billion, up 49% from 2021. Revenue growth supported the group's profitability (Mandarin Oriental Hotel Group, 2022).</w:t>
      </w:r>
    </w:p>
    <w:p w14:paraId="7407FDDA" w14:textId="77777777" w:rsidR="003770A0" w:rsidRDefault="003770A0" w:rsidP="003770A0">
      <w:pPr>
        <w:rPr>
          <w:rFonts w:cs="Times New Roman"/>
          <w:b/>
          <w:bCs/>
          <w:lang w:bidi="bn-IN"/>
        </w:rPr>
      </w:pPr>
      <w:r>
        <w:rPr>
          <w:rFonts w:cs="Times New Roman"/>
          <w:b/>
          <w:bCs/>
          <w:lang w:bidi="bn-IN"/>
        </w:rPr>
        <w:t>Geographical Performance:</w:t>
      </w:r>
    </w:p>
    <w:p w14:paraId="71A28123" w14:textId="77777777" w:rsidR="003770A0" w:rsidRDefault="003770A0" w:rsidP="003770A0">
      <w:pPr>
        <w:rPr>
          <w:rFonts w:cs="Times New Roman"/>
          <w:lang w:bidi="bn-IN"/>
        </w:rPr>
      </w:pPr>
      <w:r>
        <w:rPr>
          <w:rFonts w:cs="Times New Roman"/>
          <w:lang w:bidi="bn-IN"/>
        </w:rPr>
        <w:t>In EMEA, the group recorded a RevPAR of US$564, a 45% increase from 2021, driven by improved occupancy and ADR. RevPAR also exceeded 2019 by 22% (Mandarin Oriental Hotel Group, 2023).</w:t>
      </w:r>
    </w:p>
    <w:p w14:paraId="0241201E" w14:textId="77777777" w:rsidR="003770A0" w:rsidRDefault="003770A0" w:rsidP="003770A0">
      <w:pPr>
        <w:rPr>
          <w:rFonts w:cs="Times New Roman"/>
          <w:lang w:bidi="bn-IN"/>
        </w:rPr>
      </w:pPr>
      <w:r>
        <w:rPr>
          <w:rFonts w:cs="Times New Roman"/>
          <w:lang w:bidi="bn-IN"/>
        </w:rPr>
        <w:lastRenderedPageBreak/>
        <w:t>In America, RevPAR reached US$397, a 50% increase from 2021, showcasing strong performance in the region (Mandarin Oriental Hotel Group, 2023).</w:t>
      </w:r>
    </w:p>
    <w:p w14:paraId="1779D0E1" w14:textId="77777777" w:rsidR="003770A0" w:rsidRDefault="003770A0" w:rsidP="003770A0">
      <w:pPr>
        <w:rPr>
          <w:rFonts w:cs="Times New Roman"/>
          <w:lang w:bidi="bn-IN"/>
        </w:rPr>
      </w:pPr>
      <w:r>
        <w:rPr>
          <w:rFonts w:cs="Times New Roman"/>
          <w:lang w:bidi="bn-IN"/>
        </w:rPr>
        <w:t>In Asia, occupancy increased to 39% in 2022, compared to 35% in 2021, with a gradual improvement throughout the year.</w:t>
      </w:r>
    </w:p>
    <w:p w14:paraId="374F0123" w14:textId="77777777" w:rsidR="003770A0" w:rsidRDefault="003770A0" w:rsidP="003770A0">
      <w:pPr>
        <w:rPr>
          <w:rFonts w:cs="Times New Roman"/>
          <w:b/>
          <w:bCs/>
          <w:lang w:bidi="bn-IN"/>
        </w:rPr>
      </w:pPr>
      <w:r>
        <w:rPr>
          <w:rFonts w:cs="Times New Roman"/>
          <w:b/>
          <w:bCs/>
          <w:lang w:bidi="bn-IN"/>
        </w:rPr>
        <w:t>Sources of Revenue:</w:t>
      </w:r>
    </w:p>
    <w:p w14:paraId="6CEB6B70" w14:textId="77777777" w:rsidR="003770A0" w:rsidRDefault="003770A0" w:rsidP="003770A0">
      <w:pPr>
        <w:rPr>
          <w:rFonts w:cs="Times New Roman"/>
          <w:lang w:bidi="bn-IN"/>
        </w:rPr>
      </w:pPr>
      <w:r>
        <w:rPr>
          <w:rFonts w:cs="Times New Roman"/>
          <w:lang w:bidi="bn-IN"/>
        </w:rPr>
        <w:t>Mandarin Oriental Hotel Group generates revenue via hotel ownership, management, and branding. According to company revenue analysis, hotel ownership earns 400.9 million US dollars, while branding and management generate 68.5 million. Total revenue was $454.1 million after accounting for area revenue (Mandarin Oriental Hotel Group, 2023).</w:t>
      </w:r>
    </w:p>
    <w:p w14:paraId="1E858BB8" w14:textId="77777777" w:rsidR="003770A0" w:rsidRDefault="003770A0" w:rsidP="003770A0">
      <w:pPr>
        <w:rPr>
          <w:rFonts w:cs="Times New Roman"/>
          <w:b/>
          <w:bCs/>
          <w:u w:val="single"/>
          <w:lang w:bidi="bn-IN"/>
        </w:rPr>
      </w:pPr>
      <w:r>
        <w:rPr>
          <w:rFonts w:cs="Times New Roman"/>
          <w:b/>
          <w:bCs/>
          <w:u w:val="single"/>
          <w:lang w:bidi="bn-IN"/>
        </w:rPr>
        <w:t>Premier Inn:</w:t>
      </w:r>
    </w:p>
    <w:p w14:paraId="044DD835" w14:textId="77777777" w:rsidR="003770A0" w:rsidRDefault="003770A0" w:rsidP="003770A0">
      <w:pPr>
        <w:rPr>
          <w:rFonts w:cs="Times New Roman"/>
          <w:b/>
          <w:bCs/>
          <w:lang w:bidi="bn-IN"/>
        </w:rPr>
      </w:pPr>
      <w:r>
        <w:rPr>
          <w:rFonts w:cs="Times New Roman"/>
          <w:b/>
          <w:bCs/>
          <w:lang w:bidi="bn-IN"/>
        </w:rPr>
        <w:t>2021/22 Financial Performance:</w:t>
      </w:r>
    </w:p>
    <w:p w14:paraId="396C0BDF" w14:textId="77777777" w:rsidR="003770A0" w:rsidRDefault="003770A0" w:rsidP="003770A0">
      <w:pPr>
        <w:rPr>
          <w:rFonts w:cs="Times New Roman"/>
          <w:lang w:bidi="bn-IN"/>
        </w:rPr>
      </w:pPr>
      <w:r>
        <w:rPr>
          <w:rFonts w:cs="Times New Roman"/>
          <w:lang w:bidi="bn-IN"/>
        </w:rPr>
        <w:t>Premier Inn's return to profitability in 2021/22 was remarkable, with an adjusted loss before tax of £15.8 million compared to a large loss of £635.1 million in 2020/21. The government support, strong sales, and modification items improved the situation (Premier Inn, 2023).</w:t>
      </w:r>
    </w:p>
    <w:p w14:paraId="011040B5" w14:textId="77777777" w:rsidR="003770A0" w:rsidRDefault="003770A0" w:rsidP="003770A0">
      <w:pPr>
        <w:rPr>
          <w:rFonts w:cs="Times New Roman"/>
          <w:lang w:bidi="bn-IN"/>
        </w:rPr>
      </w:pPr>
      <w:r>
        <w:rPr>
          <w:rFonts w:cs="Times New Roman"/>
          <w:b/>
          <w:bCs/>
          <w:lang w:bidi="bn-IN"/>
        </w:rPr>
        <w:t>Revenue performance:</w:t>
      </w:r>
    </w:p>
    <w:p w14:paraId="678F194C" w14:textId="77777777" w:rsidR="003770A0" w:rsidRDefault="003770A0" w:rsidP="003770A0">
      <w:pPr>
        <w:rPr>
          <w:rFonts w:cs="Times New Roman"/>
          <w:lang w:bidi="bn-IN"/>
        </w:rPr>
      </w:pPr>
      <w:r>
        <w:rPr>
          <w:rFonts w:cs="Times New Roman"/>
          <w:lang w:bidi="bn-IN"/>
        </w:rPr>
        <w:t>Premier Inn's UK revenue increased significantly, surpassing pre-pandemic levels. UK accommodation sales grew 14.8 percentage points faster than the market and 17.3 percentage points faster in the second half. In fiscal year 2021/22, the group reported a moderate statutory profit before taxes despite government restrictions and closures (Premier Inn, 2023).</w:t>
      </w:r>
    </w:p>
    <w:p w14:paraId="77CA65A1" w14:textId="77777777" w:rsidR="003770A0" w:rsidRDefault="003770A0" w:rsidP="003770A0">
      <w:pPr>
        <w:rPr>
          <w:rFonts w:cs="Times New Roman"/>
          <w:lang w:bidi="bn-IN"/>
        </w:rPr>
      </w:pPr>
      <w:r>
        <w:rPr>
          <w:rFonts w:cs="Times New Roman"/>
          <w:b/>
          <w:bCs/>
          <w:lang w:bidi="bn-IN"/>
        </w:rPr>
        <w:t>UK operations:</w:t>
      </w:r>
    </w:p>
    <w:p w14:paraId="2AA9C1CF" w14:textId="77777777" w:rsidR="003770A0" w:rsidRDefault="003770A0" w:rsidP="003770A0">
      <w:pPr>
        <w:rPr>
          <w:rFonts w:cs="Times New Roman"/>
          <w:lang w:bidi="bn-IN"/>
        </w:rPr>
      </w:pPr>
      <w:r>
        <w:rPr>
          <w:rFonts w:cs="Times New Roman"/>
          <w:lang w:bidi="bn-IN"/>
        </w:rPr>
        <w:t>Restaurant closures and limitations pushed UK food and beverage sales 32.7% behind in 2019/20 but 163.4% ahead in 2020/21 (Premier Inn, 2022).</w:t>
      </w:r>
    </w:p>
    <w:p w14:paraId="4D7CE077" w14:textId="77777777" w:rsidR="003770A0" w:rsidRDefault="003770A0" w:rsidP="003770A0">
      <w:pPr>
        <w:rPr>
          <w:rFonts w:cs="Times New Roman"/>
          <w:lang w:bidi="bn-IN"/>
        </w:rPr>
      </w:pPr>
      <w:r>
        <w:rPr>
          <w:rFonts w:cs="Times New Roman"/>
          <w:lang w:bidi="bn-IN"/>
        </w:rPr>
        <w:t>Total accommodation sales at Premier Inn Germany climbed by 176.5% from 2021/2022 due to the estate's rapid expansion (Premier Inn, 2023). However, new German market restrictions slowed demand.</w:t>
      </w:r>
    </w:p>
    <w:p w14:paraId="4ABC0CE5" w14:textId="77777777" w:rsidR="003770A0" w:rsidRDefault="003770A0" w:rsidP="003770A0">
      <w:pPr>
        <w:rPr>
          <w:rFonts w:cs="Times New Roman"/>
          <w:b/>
          <w:bCs/>
          <w:lang w:bidi="bn-IN"/>
        </w:rPr>
      </w:pPr>
      <w:r>
        <w:rPr>
          <w:rFonts w:cs="Times New Roman"/>
          <w:b/>
          <w:bCs/>
          <w:lang w:bidi="bn-IN"/>
        </w:rPr>
        <w:t>Sources of Revenue:</w:t>
      </w:r>
    </w:p>
    <w:p w14:paraId="2B479AF7" w14:textId="77777777" w:rsidR="003770A0" w:rsidRDefault="003770A0" w:rsidP="003770A0">
      <w:pPr>
        <w:rPr>
          <w:rFonts w:cs="Times New Roman"/>
          <w:lang w:bidi="bn-IN"/>
        </w:rPr>
      </w:pPr>
      <w:r>
        <w:rPr>
          <w:rFonts w:cs="Times New Roman"/>
          <w:lang w:bidi="bn-IN"/>
        </w:rPr>
        <w:t>Premier Inn's revenue comes from hotels, food, and beverage sales. Total revenue is £1,703.4 million, with lodging contributing £1,186.9 million, food and beverage £516.5 million, and other products £516.5 million (Premier Inn, 2023).</w:t>
      </w:r>
    </w:p>
    <w:p w14:paraId="7510AD2D" w14:textId="77777777" w:rsidR="003770A0" w:rsidRDefault="003770A0" w:rsidP="003770A0">
      <w:pPr>
        <w:rPr>
          <w:rFonts w:cs="Times New Roman"/>
          <w:b/>
          <w:bCs/>
          <w:lang w:bidi="bn-IN"/>
        </w:rPr>
      </w:pPr>
      <w:r>
        <w:rPr>
          <w:rFonts w:cs="Times New Roman"/>
          <w:b/>
          <w:bCs/>
          <w:u w:val="single"/>
          <w:lang w:bidi="bn-IN"/>
        </w:rPr>
        <w:lastRenderedPageBreak/>
        <w:t>Comparison:</w:t>
      </w:r>
    </w:p>
    <w:p w14:paraId="1BD08113" w14:textId="77777777" w:rsidR="003770A0" w:rsidRDefault="003770A0" w:rsidP="003770A0">
      <w:pPr>
        <w:rPr>
          <w:rFonts w:cs="Times New Roman"/>
          <w:lang w:bidi="bn-IN"/>
        </w:rPr>
      </w:pPr>
      <w:r>
        <w:rPr>
          <w:rFonts w:cs="Times New Roman"/>
          <w:b/>
          <w:bCs/>
          <w:lang w:bidi="bn-IN"/>
        </w:rPr>
        <w:t>Revenue Trends:</w:t>
      </w:r>
    </w:p>
    <w:p w14:paraId="28F474C5" w14:textId="77777777" w:rsidR="003770A0" w:rsidRDefault="003770A0" w:rsidP="003770A0">
      <w:pPr>
        <w:rPr>
          <w:rFonts w:cs="Times New Roman"/>
          <w:lang w:bidi="bn-IN"/>
        </w:rPr>
      </w:pPr>
      <w:r>
        <w:rPr>
          <w:rFonts w:cs="Times New Roman"/>
          <w:lang w:bidi="bn-IN"/>
        </w:rPr>
        <w:t>Mandarin Oriental saw a 49% increase in total revenue in 2022, driven by strong demand and improved occupancy.</w:t>
      </w:r>
    </w:p>
    <w:p w14:paraId="45306C41" w14:textId="77777777" w:rsidR="003770A0" w:rsidRDefault="003770A0" w:rsidP="003770A0">
      <w:pPr>
        <w:rPr>
          <w:rFonts w:cs="Times New Roman"/>
          <w:lang w:bidi="bn-IN"/>
        </w:rPr>
      </w:pPr>
      <w:r>
        <w:rPr>
          <w:rFonts w:cs="Times New Roman"/>
          <w:lang w:bidi="bn-IN"/>
        </w:rPr>
        <w:t>Premier Inn's revenue recovery was robust, with total UK accommodation sales growth outperforming the market.</w:t>
      </w:r>
    </w:p>
    <w:p w14:paraId="6DB5C66A" w14:textId="77777777" w:rsidR="003770A0" w:rsidRDefault="003770A0" w:rsidP="003770A0">
      <w:pPr>
        <w:rPr>
          <w:rFonts w:cs="Times New Roman"/>
          <w:b/>
          <w:bCs/>
          <w:lang w:bidi="bn-IN"/>
        </w:rPr>
      </w:pPr>
      <w:r>
        <w:rPr>
          <w:rFonts w:cs="Times New Roman"/>
          <w:b/>
          <w:bCs/>
          <w:lang w:bidi="bn-IN"/>
        </w:rPr>
        <w:t>Geographical Variances:</w:t>
      </w:r>
    </w:p>
    <w:p w14:paraId="7189B150" w14:textId="77777777" w:rsidR="003770A0" w:rsidRDefault="003770A0" w:rsidP="003770A0">
      <w:pPr>
        <w:rPr>
          <w:rFonts w:cs="Times New Roman"/>
          <w:lang w:bidi="bn-IN"/>
        </w:rPr>
      </w:pPr>
      <w:r>
        <w:rPr>
          <w:rFonts w:cs="Times New Roman"/>
          <w:lang w:bidi="bn-IN"/>
        </w:rPr>
        <w:t>Mandarin Oriental faced challenges in China and Japan due to prolonged travel restrictions, impacting the performance in those markets.</w:t>
      </w:r>
    </w:p>
    <w:p w14:paraId="4A643DFA" w14:textId="77777777" w:rsidR="003770A0" w:rsidRDefault="003770A0" w:rsidP="003770A0">
      <w:pPr>
        <w:rPr>
          <w:rFonts w:cs="Times New Roman"/>
          <w:lang w:bidi="bn-IN"/>
        </w:rPr>
      </w:pPr>
      <w:r>
        <w:rPr>
          <w:rFonts w:cs="Times New Roman"/>
          <w:lang w:bidi="bn-IN"/>
        </w:rPr>
        <w:t>Premier Inn's UK operations saw a strong recovery, while the German market faced higher restrictions.</w:t>
      </w:r>
    </w:p>
    <w:p w14:paraId="02AA79AA" w14:textId="77777777" w:rsidR="003770A0" w:rsidRDefault="003770A0" w:rsidP="003770A0">
      <w:pPr>
        <w:rPr>
          <w:rFonts w:cs="Times New Roman"/>
          <w:lang w:bidi="bn-IN"/>
        </w:rPr>
      </w:pPr>
      <w:r>
        <w:rPr>
          <w:rFonts w:cs="Times New Roman"/>
          <w:b/>
          <w:bCs/>
          <w:lang w:bidi="bn-IN"/>
        </w:rPr>
        <w:t>Diversification and Sustainability:</w:t>
      </w:r>
    </w:p>
    <w:p w14:paraId="610A1A11" w14:textId="77777777" w:rsidR="003770A0" w:rsidRDefault="003770A0" w:rsidP="003770A0">
      <w:pPr>
        <w:rPr>
          <w:rFonts w:cs="Times New Roman"/>
          <w:lang w:bidi="bn-IN"/>
        </w:rPr>
      </w:pPr>
      <w:r>
        <w:rPr>
          <w:rFonts w:cs="Times New Roman"/>
          <w:lang w:bidi="bn-IN"/>
        </w:rPr>
        <w:t>Mandarin Oriental diversified its portfolio with initiatives like Exclusive Homes and emphasized sustainability by eliminating 99% of single-use plastics.</w:t>
      </w:r>
    </w:p>
    <w:p w14:paraId="5B96D791" w14:textId="77777777" w:rsidR="003770A0" w:rsidRDefault="003770A0" w:rsidP="003770A0">
      <w:pPr>
        <w:rPr>
          <w:rFonts w:cs="Times New Roman"/>
          <w:lang w:bidi="bn-IN"/>
        </w:rPr>
      </w:pPr>
      <w:r>
        <w:rPr>
          <w:rFonts w:cs="Times New Roman"/>
          <w:lang w:bidi="bn-IN"/>
        </w:rPr>
        <w:t>Premier Inn's focus on recovery and profitability was complemented by government support and strategic adjustments.</w:t>
      </w:r>
    </w:p>
    <w:p w14:paraId="44D8BAE7" w14:textId="77777777" w:rsidR="003770A0" w:rsidRDefault="003770A0" w:rsidP="003770A0">
      <w:pPr>
        <w:rPr>
          <w:rFonts w:cs="Times New Roman"/>
          <w:b/>
          <w:bCs/>
          <w:lang w:bidi="bn-IN"/>
        </w:rPr>
      </w:pPr>
      <w:r>
        <w:rPr>
          <w:rFonts w:cs="Times New Roman"/>
          <w:b/>
          <w:bCs/>
          <w:lang w:bidi="bn-IN"/>
        </w:rPr>
        <w:t>Customer Loyalty:</w:t>
      </w:r>
    </w:p>
    <w:p w14:paraId="498718F8" w14:textId="77777777" w:rsidR="003770A0" w:rsidRDefault="003770A0" w:rsidP="003770A0">
      <w:pPr>
        <w:rPr>
          <w:rFonts w:cs="Times New Roman"/>
          <w:lang w:bidi="bn-IN"/>
        </w:rPr>
      </w:pPr>
      <w:r>
        <w:rPr>
          <w:rFonts w:cs="Times New Roman"/>
          <w:lang w:bidi="bn-IN"/>
        </w:rPr>
        <w:t>Mandarin Oriental's Fans of M.O. program witnessed a 32% increase in members, showcasing a focus on customer loyalty.</w:t>
      </w:r>
    </w:p>
    <w:p w14:paraId="5ED5AEE5" w14:textId="77777777" w:rsidR="003770A0" w:rsidRDefault="003770A0" w:rsidP="003770A0">
      <w:pPr>
        <w:rPr>
          <w:rFonts w:cs="Times New Roman"/>
          <w:lang w:bidi="bn-IN"/>
        </w:rPr>
      </w:pPr>
      <w:r>
        <w:rPr>
          <w:rFonts w:cs="Times New Roman"/>
          <w:lang w:bidi="bn-IN"/>
        </w:rPr>
        <w:t>Premier Inn's revenue recovery indicates resilience and a potential return to pre-pandemic profit levels.</w:t>
      </w:r>
    </w:p>
    <w:p w14:paraId="46A36800" w14:textId="77777777" w:rsidR="003770A0" w:rsidRDefault="003770A0" w:rsidP="003770A0">
      <w:pPr>
        <w:rPr>
          <w:rFonts w:cs="Times New Roman"/>
          <w:lang w:bidi="bn-IN"/>
        </w:rPr>
      </w:pPr>
    </w:p>
    <w:p w14:paraId="05D9958E" w14:textId="77777777" w:rsidR="003770A0" w:rsidRDefault="003770A0" w:rsidP="003770A0">
      <w:pPr>
        <w:pStyle w:val="Heading1"/>
        <w:rPr>
          <w:rFonts w:cs="Times New Roman"/>
          <w:lang w:bidi="bn-IN"/>
        </w:rPr>
      </w:pPr>
    </w:p>
    <w:p w14:paraId="074B1BFE" w14:textId="77777777" w:rsidR="003770A0" w:rsidRDefault="003770A0" w:rsidP="003770A0">
      <w:pPr>
        <w:pStyle w:val="Heading1"/>
        <w:rPr>
          <w:rFonts w:cs="Times New Roman"/>
          <w:lang w:bidi="bn-IN"/>
        </w:rPr>
      </w:pPr>
      <w:r>
        <w:rPr>
          <w:rFonts w:cs="Times New Roman"/>
          <w:b w:val="0"/>
          <w:kern w:val="0"/>
          <w:lang w:bidi="bn-IN"/>
        </w:rPr>
        <w:br w:type="page"/>
      </w:r>
      <w:bookmarkStart w:id="3" w:name="_Toc148726980"/>
      <w:r>
        <w:rPr>
          <w:rFonts w:cs="Times New Roman"/>
          <w:lang w:bidi="bn-IN"/>
        </w:rPr>
        <w:lastRenderedPageBreak/>
        <w:t>The market position of both organisations</w:t>
      </w:r>
      <w:bookmarkEnd w:id="3"/>
    </w:p>
    <w:p w14:paraId="677D839D" w14:textId="77777777" w:rsidR="003770A0" w:rsidRDefault="003770A0" w:rsidP="003770A0">
      <w:pPr>
        <w:rPr>
          <w:rFonts w:cs="Times New Roman"/>
          <w:b/>
          <w:bCs/>
          <w:u w:val="single"/>
          <w:lang w:bidi="bn-IN"/>
        </w:rPr>
      </w:pPr>
      <w:r>
        <w:rPr>
          <w:rFonts w:cs="Times New Roman"/>
          <w:b/>
          <w:bCs/>
          <w:u w:val="single"/>
          <w:lang w:bidi="bn-IN"/>
        </w:rPr>
        <w:t>Mandarin Oriental Hotel Group:</w:t>
      </w:r>
    </w:p>
    <w:p w14:paraId="552EFB8B" w14:textId="77777777" w:rsidR="003770A0" w:rsidRDefault="003770A0" w:rsidP="003770A0">
      <w:pPr>
        <w:rPr>
          <w:rFonts w:cs="Times New Roman"/>
          <w:lang w:bidi="bn-IN"/>
        </w:rPr>
      </w:pPr>
      <w:r>
        <w:rPr>
          <w:rFonts w:cs="Times New Roman"/>
          <w:lang w:bidi="bn-IN"/>
        </w:rPr>
        <w:t>Asian in origin, the Mandarin Oriental Hotel Group is a global luxury hotel leader with a presence in 24 countries and territories. Each of the Group's 36 hotels and nine residences shows its oriental heritage, regional culture, and unique style. Due to its dedication to quality and service, the company has won global awards. Mandarin Oriental targets upscale travellers seeking unique experiences.</w:t>
      </w:r>
    </w:p>
    <w:p w14:paraId="0674F7B7" w14:textId="77777777" w:rsidR="003770A0" w:rsidRDefault="003770A0" w:rsidP="003770A0">
      <w:pPr>
        <w:rPr>
          <w:rFonts w:cs="Times New Roman"/>
          <w:b/>
          <w:bCs/>
          <w:lang w:bidi="bn-IN"/>
        </w:rPr>
      </w:pPr>
      <w:r>
        <w:rPr>
          <w:rFonts w:cs="Times New Roman"/>
          <w:b/>
          <w:bCs/>
          <w:lang w:bidi="bn-IN"/>
        </w:rPr>
        <w:t>Factors Influencing Market Position:</w:t>
      </w:r>
    </w:p>
    <w:p w14:paraId="504FD064" w14:textId="77777777" w:rsidR="003770A0" w:rsidRDefault="003770A0" w:rsidP="003770A0">
      <w:pPr>
        <w:rPr>
          <w:rFonts w:cs="Times New Roman"/>
          <w:lang w:bidi="bn-IN"/>
        </w:rPr>
      </w:pPr>
      <w:r>
        <w:rPr>
          <w:rFonts w:cs="Times New Roman"/>
          <w:b/>
          <w:bCs/>
          <w:lang w:bidi="bn-IN"/>
        </w:rPr>
        <w:t xml:space="preserve">Global Presence: </w:t>
      </w:r>
      <w:r>
        <w:rPr>
          <w:rFonts w:cs="Times New Roman"/>
          <w:lang w:bidi="bn-IN"/>
        </w:rPr>
        <w:t>Mandarin Oriental can serve a wide range of consumers looking for luxury hotels in major tourist destinations due to its global presence. The brand can compete in the premium hotel sector because it is present across Asia, Europe, the Middle East, and the Americas (Baker and Collier, 2018).</w:t>
      </w:r>
    </w:p>
    <w:p w14:paraId="20FA6CEA" w14:textId="77777777" w:rsidR="003770A0" w:rsidRDefault="003770A0" w:rsidP="003770A0">
      <w:pPr>
        <w:rPr>
          <w:rFonts w:cs="Times New Roman"/>
          <w:lang w:bidi="bn-IN"/>
        </w:rPr>
      </w:pPr>
      <w:r>
        <w:rPr>
          <w:rFonts w:cs="Times New Roman"/>
          <w:b/>
          <w:bCs/>
          <w:lang w:bidi="bn-IN"/>
        </w:rPr>
        <w:t>Oriental Heritage and Unique Design:</w:t>
      </w:r>
      <w:r>
        <w:rPr>
          <w:rFonts w:cs="Times New Roman"/>
          <w:lang w:bidi="bn-IN"/>
        </w:rPr>
        <w:t xml:space="preserve"> Oriental heritage and unique design in each Mandarin Oriental property help define the brand and create a unique brand identity for the hotel group. This concentration on cultural diversity attracts discriminating customers who want engaging, true experiences (</w:t>
      </w:r>
      <w:proofErr w:type="spellStart"/>
      <w:r>
        <w:rPr>
          <w:rFonts w:cs="Times New Roman"/>
          <w:lang w:bidi="bn-IN"/>
        </w:rPr>
        <w:t>Buhalis</w:t>
      </w:r>
      <w:proofErr w:type="spellEnd"/>
      <w:r>
        <w:rPr>
          <w:rFonts w:cs="Times New Roman"/>
          <w:lang w:bidi="bn-IN"/>
        </w:rPr>
        <w:t>, 2020).</w:t>
      </w:r>
    </w:p>
    <w:p w14:paraId="423105A7" w14:textId="77777777" w:rsidR="003770A0" w:rsidRDefault="003770A0" w:rsidP="003770A0">
      <w:pPr>
        <w:rPr>
          <w:rFonts w:cs="Times New Roman"/>
          <w:lang w:bidi="bn-IN"/>
        </w:rPr>
      </w:pPr>
      <w:r>
        <w:rPr>
          <w:rFonts w:cs="Times New Roman"/>
          <w:b/>
          <w:bCs/>
          <w:lang w:bidi="bn-IN"/>
        </w:rPr>
        <w:t xml:space="preserve">Equity Interests and Financial Strength: </w:t>
      </w:r>
      <w:r>
        <w:rPr>
          <w:rFonts w:cs="Times New Roman"/>
          <w:lang w:bidi="bn-IN"/>
        </w:rPr>
        <w:t>The Group's financial strength comes from its large adjusted net assets (approximately $4.9 billion as of December 2022) and equity holdings in its buildings. Financial stability boosts the brand's premium market placement and consumer trust (Chang and Lee, 2023).</w:t>
      </w:r>
    </w:p>
    <w:p w14:paraId="6DB2BDCB" w14:textId="77777777" w:rsidR="003770A0" w:rsidRDefault="003770A0" w:rsidP="003770A0">
      <w:pPr>
        <w:rPr>
          <w:rFonts w:cs="Times New Roman"/>
          <w:b/>
          <w:bCs/>
          <w:u w:val="single"/>
          <w:lang w:bidi="bn-IN"/>
        </w:rPr>
      </w:pPr>
      <w:r>
        <w:rPr>
          <w:rFonts w:cs="Times New Roman"/>
          <w:b/>
          <w:bCs/>
          <w:u w:val="single"/>
          <w:lang w:bidi="bn-IN"/>
        </w:rPr>
        <w:t>Premier Inn:</w:t>
      </w:r>
    </w:p>
    <w:p w14:paraId="7D2804B0" w14:textId="77777777" w:rsidR="003770A0" w:rsidRDefault="003770A0" w:rsidP="003770A0">
      <w:pPr>
        <w:rPr>
          <w:rFonts w:cs="Times New Roman"/>
          <w:lang w:bidi="bn-IN"/>
        </w:rPr>
      </w:pPr>
      <w:r>
        <w:rPr>
          <w:rFonts w:cs="Times New Roman"/>
          <w:lang w:bidi="bn-IN"/>
        </w:rPr>
        <w:t>However, Premier Inn is in the middle of the market and has a large UK footprint. It has a large market share and promotes itself as reliable and value-oriented to potential clients.</w:t>
      </w:r>
    </w:p>
    <w:p w14:paraId="0348BC2B" w14:textId="77777777" w:rsidR="003770A0" w:rsidRDefault="003770A0" w:rsidP="003770A0">
      <w:pPr>
        <w:rPr>
          <w:rFonts w:cs="Times New Roman"/>
          <w:b/>
          <w:bCs/>
          <w:lang w:bidi="bn-IN"/>
        </w:rPr>
      </w:pPr>
      <w:r>
        <w:rPr>
          <w:rFonts w:cs="Times New Roman"/>
          <w:b/>
          <w:bCs/>
          <w:lang w:bidi="bn-IN"/>
        </w:rPr>
        <w:t>Factors Influencing Market Position:</w:t>
      </w:r>
    </w:p>
    <w:p w14:paraId="18676436" w14:textId="77777777" w:rsidR="003770A0" w:rsidRDefault="003770A0" w:rsidP="003770A0">
      <w:pPr>
        <w:rPr>
          <w:rFonts w:cs="Times New Roman"/>
          <w:lang w:bidi="bn-IN"/>
        </w:rPr>
      </w:pPr>
      <w:r>
        <w:rPr>
          <w:rFonts w:cs="Times New Roman"/>
          <w:b/>
          <w:bCs/>
          <w:lang w:bidi="bn-IN"/>
        </w:rPr>
        <w:t xml:space="preserve">UK Market Focus: </w:t>
      </w:r>
      <w:r>
        <w:rPr>
          <w:rFonts w:cs="Times New Roman"/>
          <w:lang w:bidi="bn-IN"/>
        </w:rPr>
        <w:t>Premier Inn's main market is the UK, where it has 10% market share (2022). Due to its home focus, the company can adapt its offerings to UK consumers  (Premier Inn, 2023).</w:t>
      </w:r>
    </w:p>
    <w:p w14:paraId="517C3400" w14:textId="77777777" w:rsidR="003770A0" w:rsidRDefault="003770A0" w:rsidP="003770A0">
      <w:pPr>
        <w:rPr>
          <w:rFonts w:cs="Times New Roman"/>
          <w:lang w:bidi="bn-IN"/>
        </w:rPr>
      </w:pPr>
      <w:r>
        <w:rPr>
          <w:rFonts w:cs="Times New Roman"/>
          <w:b/>
          <w:bCs/>
          <w:lang w:bidi="bn-IN"/>
        </w:rPr>
        <w:lastRenderedPageBreak/>
        <w:t>Value-Focused Proposition:</w:t>
      </w:r>
      <w:r>
        <w:rPr>
          <w:rFonts w:cs="Times New Roman"/>
          <w:lang w:bidi="bn-IN"/>
        </w:rPr>
        <w:t xml:space="preserve"> Premier Inn markets itself as a value-focused hotel with reliable accommodations at affordable prices. Budget-conscious vacationers who want luxury rooms without the high price like this method (Premier Inn, 2023).</w:t>
      </w:r>
    </w:p>
    <w:p w14:paraId="24E3C050" w14:textId="77777777" w:rsidR="003770A0" w:rsidRDefault="003770A0" w:rsidP="003770A0">
      <w:pPr>
        <w:rPr>
          <w:rFonts w:cs="Times New Roman"/>
          <w:lang w:bidi="bn-IN"/>
        </w:rPr>
      </w:pPr>
      <w:r>
        <w:rPr>
          <w:rFonts w:cs="Times New Roman"/>
          <w:b/>
          <w:bCs/>
          <w:lang w:bidi="bn-IN"/>
        </w:rPr>
        <w:t xml:space="preserve">Market Share Consistency: </w:t>
      </w:r>
      <w:r>
        <w:rPr>
          <w:rFonts w:cs="Times New Roman"/>
          <w:lang w:bidi="bn-IN"/>
        </w:rPr>
        <w:t>Premier Inn maintained a constant market share despite dropping from 11% in the prior period, suggesting a stable mid-market position. This consistency indicates brand loyalty and a committed clientele (Premier Inn, 2023).</w:t>
      </w:r>
    </w:p>
    <w:p w14:paraId="50558E82" w14:textId="77777777" w:rsidR="003770A0" w:rsidRDefault="003770A0" w:rsidP="003770A0">
      <w:pPr>
        <w:rPr>
          <w:rFonts w:cs="Times New Roman"/>
          <w:b/>
          <w:bCs/>
          <w:u w:val="single"/>
          <w:lang w:bidi="bn-IN"/>
        </w:rPr>
      </w:pPr>
      <w:r>
        <w:rPr>
          <w:rFonts w:cs="Times New Roman"/>
          <w:b/>
          <w:bCs/>
          <w:u w:val="single"/>
          <w:lang w:bidi="bn-IN"/>
        </w:rPr>
        <w:t>Comparative Analysis:</w:t>
      </w:r>
    </w:p>
    <w:p w14:paraId="7D48FC12" w14:textId="77777777" w:rsidR="003770A0" w:rsidRDefault="003770A0" w:rsidP="003770A0">
      <w:pPr>
        <w:rPr>
          <w:rFonts w:cs="Times New Roman"/>
          <w:lang w:bidi="bn-IN"/>
        </w:rPr>
      </w:pPr>
      <w:r>
        <w:rPr>
          <w:rFonts w:cs="Times New Roman"/>
          <w:lang w:bidi="bn-IN"/>
        </w:rPr>
        <w:t>Premier Inn targets the mid-market, notably in the UK, while Mandarin Oriental targets the high-end luxury market worldwide. The Mandarin Oriental attracts affluent, discerning guests seeking an elite experience. Cultural diversity and unique design are the hotel's priorities. Budget-conscious travellers who seek dependability and low rates like Premier Inn's value-oriented service.</w:t>
      </w:r>
    </w:p>
    <w:p w14:paraId="73FB3F7D" w14:textId="77777777" w:rsidR="003770A0" w:rsidRDefault="003770A0" w:rsidP="003770A0">
      <w:pPr>
        <w:rPr>
          <w:rFonts w:cs="Times New Roman"/>
          <w:lang w:bidi="bn-IN"/>
        </w:rPr>
      </w:pPr>
    </w:p>
    <w:p w14:paraId="08BF8F7B" w14:textId="77777777" w:rsidR="003770A0" w:rsidRDefault="003770A0" w:rsidP="003770A0">
      <w:pPr>
        <w:rPr>
          <w:rFonts w:cs="Times New Roman"/>
          <w:lang w:bidi="bn-IN"/>
        </w:rPr>
      </w:pPr>
    </w:p>
    <w:p w14:paraId="37F018E8" w14:textId="77777777" w:rsidR="003770A0" w:rsidRDefault="003770A0" w:rsidP="003770A0">
      <w:pPr>
        <w:rPr>
          <w:rFonts w:cs="Times New Roman"/>
          <w:lang w:bidi="bn-IN"/>
        </w:rPr>
      </w:pPr>
    </w:p>
    <w:p w14:paraId="10F8511A" w14:textId="77777777" w:rsidR="003770A0" w:rsidRDefault="003770A0" w:rsidP="003770A0">
      <w:pPr>
        <w:rPr>
          <w:rFonts w:cs="Times New Roman"/>
          <w:lang w:bidi="bn-IN"/>
        </w:rPr>
      </w:pPr>
    </w:p>
    <w:p w14:paraId="214C1D9A" w14:textId="77777777" w:rsidR="003770A0" w:rsidRDefault="003770A0" w:rsidP="003770A0">
      <w:pPr>
        <w:rPr>
          <w:rFonts w:cs="Times New Roman"/>
          <w:lang w:bidi="bn-IN"/>
        </w:rPr>
      </w:pPr>
      <w:r>
        <w:rPr>
          <w:rFonts w:cs="Times New Roman"/>
          <w:kern w:val="0"/>
          <w:lang w:bidi="bn-IN"/>
        </w:rPr>
        <w:br w:type="page"/>
      </w:r>
    </w:p>
    <w:p w14:paraId="0018578B" w14:textId="77777777" w:rsidR="003770A0" w:rsidRDefault="003770A0" w:rsidP="003770A0">
      <w:pPr>
        <w:pStyle w:val="Heading1"/>
        <w:rPr>
          <w:rFonts w:cs="Times New Roman"/>
          <w:lang w:bidi="bn-IN"/>
        </w:rPr>
      </w:pPr>
      <w:bookmarkStart w:id="4" w:name="_Toc148726981"/>
      <w:r>
        <w:rPr>
          <w:rFonts w:cs="Times New Roman"/>
          <w:lang w:bidi="bn-IN"/>
        </w:rPr>
        <w:lastRenderedPageBreak/>
        <w:t>The growth potential of both organisations</w:t>
      </w:r>
      <w:bookmarkEnd w:id="4"/>
    </w:p>
    <w:p w14:paraId="40E3249F" w14:textId="77777777" w:rsidR="003770A0" w:rsidRDefault="003770A0" w:rsidP="003770A0">
      <w:pPr>
        <w:rPr>
          <w:rFonts w:cs="Times New Roman"/>
          <w:b/>
          <w:bCs/>
          <w:u w:val="single"/>
          <w:lang w:bidi="bn-IN"/>
        </w:rPr>
      </w:pPr>
      <w:r>
        <w:rPr>
          <w:rFonts w:cs="Times New Roman"/>
          <w:b/>
          <w:bCs/>
          <w:u w:val="single"/>
          <w:lang w:bidi="bn-IN"/>
        </w:rPr>
        <w:t>Mandarin Oriental Hotel Group:</w:t>
      </w:r>
    </w:p>
    <w:p w14:paraId="6500B948" w14:textId="77777777" w:rsidR="003770A0" w:rsidRDefault="003770A0" w:rsidP="003770A0">
      <w:pPr>
        <w:rPr>
          <w:rFonts w:cs="Times New Roman"/>
          <w:lang w:bidi="bn-IN"/>
        </w:rPr>
      </w:pPr>
      <w:r>
        <w:rPr>
          <w:rFonts w:cs="Times New Roman"/>
          <w:lang w:bidi="bn-IN"/>
        </w:rPr>
        <w:t>Strategic expansion plans and market prospects have given the Mandarin Oriental Hotel Group, a global premium brand, great growth potential. The following things affect this company's growth:</w:t>
      </w:r>
    </w:p>
    <w:p w14:paraId="67D0FE9B" w14:textId="77777777" w:rsidR="003770A0" w:rsidRDefault="003770A0" w:rsidP="003770A0">
      <w:pPr>
        <w:rPr>
          <w:rFonts w:cs="Times New Roman"/>
          <w:lang w:bidi="bn-IN"/>
        </w:rPr>
      </w:pPr>
      <w:r>
        <w:rPr>
          <w:rFonts w:cs="Times New Roman"/>
          <w:b/>
          <w:bCs/>
          <w:lang w:bidi="bn-IN"/>
        </w:rPr>
        <w:t>Global Expansion Strategy:</w:t>
      </w:r>
      <w:r>
        <w:rPr>
          <w:rFonts w:cs="Times New Roman"/>
          <w:lang w:bidi="bn-IN"/>
        </w:rPr>
        <w:t xml:space="preserve"> Mandarin Oriental's global expansion strategy bodes well for future growth. The company is always looking for intriguing new business opportunities to expand its luxury brand into undiscovered tourist destinations and expand existing ones (Qu </w:t>
      </w:r>
      <w:r>
        <w:rPr>
          <w:rFonts w:cs="Times New Roman"/>
          <w:i/>
          <w:iCs/>
          <w:lang w:bidi="bn-IN"/>
        </w:rPr>
        <w:t>et al.</w:t>
      </w:r>
      <w:r>
        <w:rPr>
          <w:rFonts w:cs="Times New Roman"/>
          <w:lang w:bidi="bn-IN"/>
        </w:rPr>
        <w:t>, 2021).</w:t>
      </w:r>
    </w:p>
    <w:p w14:paraId="57C47F63" w14:textId="77777777" w:rsidR="003770A0" w:rsidRDefault="003770A0" w:rsidP="003770A0">
      <w:pPr>
        <w:rPr>
          <w:rFonts w:cs="Times New Roman"/>
          <w:lang w:bidi="bn-IN"/>
        </w:rPr>
      </w:pPr>
      <w:r>
        <w:rPr>
          <w:rFonts w:cs="Times New Roman"/>
          <w:b/>
          <w:bCs/>
          <w:lang w:bidi="bn-IN"/>
        </w:rPr>
        <w:t xml:space="preserve">Innovative Offerings: </w:t>
      </w:r>
      <w:r>
        <w:rPr>
          <w:rFonts w:cs="Times New Roman"/>
          <w:lang w:bidi="bn-IN"/>
        </w:rPr>
        <w:t>Mandarin Oriental's entry into the exclusive private housing market with Mandarin Oriental Exclusive Homes shows its commitment to diversification and innovation. This venture expands the brand's product line and capitalises on the growing market for luxurious private residences, generating additional revenue (Enz, 2020).</w:t>
      </w:r>
    </w:p>
    <w:p w14:paraId="2857D534" w14:textId="77777777" w:rsidR="003770A0" w:rsidRDefault="003770A0" w:rsidP="003770A0">
      <w:pPr>
        <w:rPr>
          <w:rFonts w:cs="Times New Roman"/>
          <w:lang w:bidi="bn-IN"/>
        </w:rPr>
      </w:pPr>
      <w:r>
        <w:rPr>
          <w:rFonts w:cs="Times New Roman"/>
          <w:b/>
          <w:bCs/>
          <w:lang w:bidi="bn-IN"/>
        </w:rPr>
        <w:t>Financial Strength:</w:t>
      </w:r>
      <w:r>
        <w:rPr>
          <w:rFonts w:cs="Times New Roman"/>
          <w:lang w:bidi="bn-IN"/>
        </w:rPr>
        <w:t xml:space="preserve"> Mandarin Oriental's equity holdings in properties and large adjusted net assets maintain its financial security. This company can invest in new properties and stay ahead of the competition due to its good financial position, which simplifies daily operations and supports future expansion (</w:t>
      </w:r>
      <w:proofErr w:type="spellStart"/>
      <w:r>
        <w:rPr>
          <w:rFonts w:cs="Times New Roman"/>
          <w:lang w:bidi="bn-IN"/>
        </w:rPr>
        <w:t>Gnoth</w:t>
      </w:r>
      <w:proofErr w:type="spellEnd"/>
      <w:r>
        <w:rPr>
          <w:rFonts w:cs="Times New Roman"/>
          <w:lang w:bidi="bn-IN"/>
        </w:rPr>
        <w:t>, Scott, and White, 2021).</w:t>
      </w:r>
    </w:p>
    <w:p w14:paraId="4C9AF65E" w14:textId="77777777" w:rsidR="003770A0" w:rsidRDefault="003770A0" w:rsidP="003770A0">
      <w:pPr>
        <w:rPr>
          <w:rFonts w:cs="Times New Roman"/>
          <w:lang w:bidi="bn-IN"/>
        </w:rPr>
      </w:pPr>
      <w:r>
        <w:rPr>
          <w:rFonts w:cs="Times New Roman"/>
          <w:b/>
          <w:bCs/>
          <w:lang w:bidi="bn-IN"/>
        </w:rPr>
        <w:t>Potential Barriers:</w:t>
      </w:r>
    </w:p>
    <w:p w14:paraId="6FEA631D" w14:textId="77777777" w:rsidR="003770A0" w:rsidRDefault="003770A0" w:rsidP="003770A0">
      <w:pPr>
        <w:rPr>
          <w:rFonts w:cs="Times New Roman"/>
          <w:lang w:bidi="bn-IN"/>
        </w:rPr>
      </w:pPr>
      <w:r>
        <w:rPr>
          <w:rFonts w:cs="Times New Roman"/>
          <w:b/>
          <w:bCs/>
          <w:lang w:bidi="bn-IN"/>
        </w:rPr>
        <w:t>Economic Uncertainty:</w:t>
      </w:r>
      <w:r>
        <w:rPr>
          <w:rFonts w:cs="Times New Roman"/>
          <w:lang w:bidi="bn-IN"/>
        </w:rPr>
        <w:t xml:space="preserve"> Economic downturns and uncertainties may cause consumers to cut discretionary spending, hurting luxury hotels. Economic downturns or worldwide financial crises could slow Mandarin Oriental's growth (Kotler, Bowen, Makens, and </w:t>
      </w:r>
      <w:proofErr w:type="spellStart"/>
      <w:r>
        <w:rPr>
          <w:rFonts w:cs="Times New Roman"/>
          <w:lang w:bidi="bn-IN"/>
        </w:rPr>
        <w:t>Baloglu</w:t>
      </w:r>
      <w:proofErr w:type="spellEnd"/>
      <w:r>
        <w:rPr>
          <w:rFonts w:cs="Times New Roman"/>
          <w:lang w:bidi="bn-IN"/>
        </w:rPr>
        <w:t>, 2017).</w:t>
      </w:r>
    </w:p>
    <w:p w14:paraId="0DE9501E" w14:textId="77777777" w:rsidR="003770A0" w:rsidRDefault="003770A0" w:rsidP="003770A0">
      <w:pPr>
        <w:rPr>
          <w:rFonts w:cs="Times New Roman"/>
          <w:lang w:bidi="bn-IN"/>
        </w:rPr>
      </w:pPr>
      <w:r>
        <w:rPr>
          <w:rFonts w:cs="Times New Roman"/>
          <w:b/>
          <w:bCs/>
          <w:lang w:bidi="bn-IN"/>
        </w:rPr>
        <w:t>Intense Competition:</w:t>
      </w:r>
      <w:r>
        <w:rPr>
          <w:rFonts w:cs="Times New Roman"/>
          <w:lang w:bidi="bn-IN"/>
        </w:rPr>
        <w:t xml:space="preserve"> The luxury hospitality sector is very competitive, with many global firms competing for affluent travellers. Many wealthy travellers visit the market (Middleton and Clarke, 2022).</w:t>
      </w:r>
    </w:p>
    <w:p w14:paraId="4AB336AF" w14:textId="77777777" w:rsidR="003770A0" w:rsidRDefault="003770A0" w:rsidP="003770A0">
      <w:pPr>
        <w:rPr>
          <w:rFonts w:cs="Times New Roman"/>
          <w:lang w:bidi="bn-IN"/>
        </w:rPr>
      </w:pPr>
      <w:r>
        <w:rPr>
          <w:rFonts w:cs="Times New Roman"/>
          <w:b/>
          <w:bCs/>
          <w:u w:val="single"/>
          <w:lang w:bidi="bn-IN"/>
        </w:rPr>
        <w:t>Premier Inn:</w:t>
      </w:r>
    </w:p>
    <w:p w14:paraId="5845C2B8" w14:textId="77777777" w:rsidR="003770A0" w:rsidRDefault="003770A0" w:rsidP="003770A0">
      <w:pPr>
        <w:rPr>
          <w:rFonts w:cs="Times New Roman"/>
          <w:lang w:bidi="bn-IN"/>
        </w:rPr>
      </w:pPr>
      <w:r>
        <w:rPr>
          <w:rFonts w:cs="Times New Roman"/>
          <w:lang w:bidi="bn-IN"/>
        </w:rPr>
        <w:t>Domestic development, brand loyalty, and value-driven approaches drive Premier Inn's mid-market UK growth.</w:t>
      </w:r>
    </w:p>
    <w:p w14:paraId="074C034F" w14:textId="77777777" w:rsidR="003770A0" w:rsidRDefault="003770A0" w:rsidP="003770A0">
      <w:pPr>
        <w:rPr>
          <w:rFonts w:cs="Times New Roman"/>
          <w:lang w:bidi="bn-IN"/>
        </w:rPr>
      </w:pPr>
      <w:r>
        <w:rPr>
          <w:rFonts w:cs="Times New Roman"/>
          <w:b/>
          <w:bCs/>
          <w:lang w:bidi="bn-IN"/>
        </w:rPr>
        <w:t xml:space="preserve">Domestic Market Dominance: </w:t>
      </w:r>
      <w:r>
        <w:rPr>
          <w:rFonts w:cs="Times New Roman"/>
          <w:lang w:bidi="bn-IN"/>
        </w:rPr>
        <w:t xml:space="preserve">Premier Inn focuses on the UK market, where it has a 10% share. Premier Inn's domestic dominance allows for further expansion. Long-standing brand </w:t>
      </w:r>
      <w:r>
        <w:rPr>
          <w:rFonts w:cs="Times New Roman"/>
          <w:lang w:bidi="bn-IN"/>
        </w:rPr>
        <w:lastRenderedPageBreak/>
        <w:t>presence and global awareness help sustain a constant consumer base, while UK expansion allows the company to enter more market subgroups (Morrison, 2018).</w:t>
      </w:r>
    </w:p>
    <w:p w14:paraId="0A27A7D9" w14:textId="77777777" w:rsidR="003770A0" w:rsidRDefault="003770A0" w:rsidP="003770A0">
      <w:pPr>
        <w:rPr>
          <w:rFonts w:cs="Times New Roman"/>
          <w:lang w:bidi="bn-IN"/>
        </w:rPr>
      </w:pPr>
      <w:r>
        <w:rPr>
          <w:rFonts w:cs="Times New Roman"/>
          <w:b/>
          <w:bCs/>
          <w:lang w:bidi="bn-IN"/>
        </w:rPr>
        <w:t xml:space="preserve">Value-Focused Proposition: </w:t>
      </w:r>
      <w:r>
        <w:rPr>
          <w:rFonts w:cs="Times New Roman"/>
          <w:lang w:bidi="bn-IN"/>
        </w:rPr>
        <w:t>Premier Inn's value-</w:t>
      </w:r>
      <w:proofErr w:type="spellStart"/>
      <w:r>
        <w:rPr>
          <w:rFonts w:cs="Times New Roman"/>
          <w:lang w:bidi="bn-IN"/>
        </w:rPr>
        <w:t>centered</w:t>
      </w:r>
      <w:proofErr w:type="spellEnd"/>
      <w:r>
        <w:rPr>
          <w:rFonts w:cs="Times New Roman"/>
          <w:lang w:bidi="bn-IN"/>
        </w:rPr>
        <w:t xml:space="preserve"> offering of reliable rooms at reasonable prices positions the company well for future growth (Ottenbacher and Harrington, 2019).</w:t>
      </w:r>
    </w:p>
    <w:p w14:paraId="2E5EE183" w14:textId="77777777" w:rsidR="003770A0" w:rsidRDefault="003770A0" w:rsidP="003770A0">
      <w:pPr>
        <w:rPr>
          <w:rFonts w:cs="Times New Roman"/>
          <w:lang w:bidi="bn-IN"/>
        </w:rPr>
      </w:pPr>
      <w:r>
        <w:rPr>
          <w:rFonts w:cs="Times New Roman"/>
          <w:b/>
          <w:bCs/>
          <w:lang w:bidi="bn-IN"/>
        </w:rPr>
        <w:t xml:space="preserve">Brand Loyalty: </w:t>
      </w:r>
      <w:r>
        <w:rPr>
          <w:rFonts w:cs="Times New Roman"/>
          <w:lang w:bidi="bn-IN"/>
        </w:rPr>
        <w:t>Premier Inn's consistent market share suggests customer loyalty. The company can use this loyalty to improve the customer experience, establish additional loyalty programmes, and increase its service offerings to get customers to buy again (</w:t>
      </w:r>
      <w:proofErr w:type="spellStart"/>
      <w:r>
        <w:rPr>
          <w:rFonts w:cs="Times New Roman"/>
          <w:lang w:bidi="bn-IN"/>
        </w:rPr>
        <w:t>Pizam</w:t>
      </w:r>
      <w:proofErr w:type="spellEnd"/>
      <w:r>
        <w:rPr>
          <w:rFonts w:cs="Times New Roman"/>
          <w:lang w:bidi="bn-IN"/>
        </w:rPr>
        <w:t xml:space="preserve"> and Mansfeld, 2018).</w:t>
      </w:r>
    </w:p>
    <w:p w14:paraId="08FE227B" w14:textId="77777777" w:rsidR="003770A0" w:rsidRDefault="003770A0" w:rsidP="003770A0">
      <w:pPr>
        <w:rPr>
          <w:rFonts w:cs="Times New Roman"/>
          <w:b/>
          <w:bCs/>
          <w:u w:val="single"/>
          <w:lang w:bidi="bn-IN"/>
        </w:rPr>
      </w:pPr>
      <w:r>
        <w:rPr>
          <w:rFonts w:cs="Times New Roman"/>
          <w:b/>
          <w:bCs/>
          <w:u w:val="single"/>
          <w:lang w:bidi="bn-IN"/>
        </w:rPr>
        <w:t>Potential Barriers:</w:t>
      </w:r>
    </w:p>
    <w:p w14:paraId="187D6B87" w14:textId="77777777" w:rsidR="003770A0" w:rsidRDefault="003770A0" w:rsidP="003770A0">
      <w:pPr>
        <w:rPr>
          <w:rFonts w:cs="Times New Roman"/>
          <w:lang w:bidi="bn-IN"/>
        </w:rPr>
      </w:pPr>
      <w:r>
        <w:rPr>
          <w:rFonts w:cs="Times New Roman"/>
          <w:b/>
          <w:bCs/>
          <w:lang w:bidi="bn-IN"/>
        </w:rPr>
        <w:t xml:space="preserve">Market Saturation: </w:t>
      </w:r>
      <w:r>
        <w:rPr>
          <w:rFonts w:cs="Times New Roman"/>
          <w:lang w:bidi="bn-IN"/>
        </w:rPr>
        <w:t>In the highly competitive mid-market segment, especially in the UK, market saturation may cause problems. Premier Inn must carefully plan its expansion to avoid oversaturating markets (Ritchie and Crouch, 2023).</w:t>
      </w:r>
    </w:p>
    <w:p w14:paraId="1E92DF47" w14:textId="77777777" w:rsidR="003770A0" w:rsidRDefault="003770A0" w:rsidP="003770A0">
      <w:pPr>
        <w:rPr>
          <w:rFonts w:cs="Times New Roman"/>
          <w:lang w:bidi="bn-IN"/>
        </w:rPr>
      </w:pPr>
      <w:r>
        <w:rPr>
          <w:rFonts w:cs="Times New Roman"/>
          <w:b/>
          <w:bCs/>
          <w:lang w:bidi="bn-IN"/>
        </w:rPr>
        <w:t xml:space="preserve">Economic Downturns: </w:t>
      </w:r>
      <w:r>
        <w:rPr>
          <w:rFonts w:cs="Times New Roman"/>
          <w:lang w:bidi="bn-IN"/>
        </w:rPr>
        <w:t>Mid-market customers may spend less during economic downturns. Premier Inn's growth may be impeded if the economy reduces travel and lodging spending (Sigala, 2018).</w:t>
      </w:r>
    </w:p>
    <w:p w14:paraId="038C7A58" w14:textId="77777777" w:rsidR="003770A0" w:rsidRDefault="003770A0" w:rsidP="003770A0">
      <w:pPr>
        <w:rPr>
          <w:rFonts w:cs="Times New Roman"/>
          <w:lang w:bidi="bn-IN"/>
        </w:rPr>
      </w:pPr>
    </w:p>
    <w:p w14:paraId="3F3E2363" w14:textId="77777777" w:rsidR="003770A0" w:rsidRDefault="003770A0" w:rsidP="003770A0">
      <w:pPr>
        <w:pStyle w:val="Heading1"/>
        <w:rPr>
          <w:rFonts w:cs="Times New Roman"/>
          <w:lang w:bidi="bn-IN"/>
        </w:rPr>
      </w:pPr>
    </w:p>
    <w:p w14:paraId="4DE06741" w14:textId="77777777" w:rsidR="003770A0" w:rsidRDefault="003770A0" w:rsidP="003770A0">
      <w:pPr>
        <w:pStyle w:val="Heading1"/>
        <w:rPr>
          <w:rFonts w:cs="Times New Roman"/>
          <w:lang w:bidi="bn-IN"/>
        </w:rPr>
      </w:pPr>
      <w:r>
        <w:rPr>
          <w:rFonts w:cs="Times New Roman"/>
          <w:b w:val="0"/>
          <w:kern w:val="0"/>
          <w:lang w:bidi="bn-IN"/>
        </w:rPr>
        <w:br w:type="page"/>
      </w:r>
      <w:bookmarkStart w:id="5" w:name="_Toc148726982"/>
      <w:r>
        <w:rPr>
          <w:rFonts w:cs="Times New Roman"/>
          <w:lang w:bidi="bn-IN"/>
        </w:rPr>
        <w:lastRenderedPageBreak/>
        <w:t>The CSR initiatives of both organisations</w:t>
      </w:r>
      <w:bookmarkEnd w:id="5"/>
    </w:p>
    <w:p w14:paraId="34E5FDBC" w14:textId="77777777" w:rsidR="003770A0" w:rsidRDefault="003770A0" w:rsidP="003770A0">
      <w:pPr>
        <w:rPr>
          <w:rFonts w:cs="Times New Roman"/>
          <w:b/>
          <w:bCs/>
          <w:u w:val="single"/>
          <w:lang w:bidi="bn-IN"/>
        </w:rPr>
      </w:pPr>
      <w:r>
        <w:rPr>
          <w:rFonts w:cs="Times New Roman"/>
          <w:b/>
          <w:bCs/>
          <w:u w:val="single"/>
          <w:lang w:bidi="bn-IN"/>
        </w:rPr>
        <w:t>Mandarin Oriental Hotel Group:</w:t>
      </w:r>
    </w:p>
    <w:p w14:paraId="7643D5F5" w14:textId="77777777" w:rsidR="003770A0" w:rsidRDefault="003770A0" w:rsidP="003770A0">
      <w:pPr>
        <w:rPr>
          <w:rFonts w:cs="Times New Roman"/>
          <w:lang w:bidi="bn-IN"/>
        </w:rPr>
      </w:pPr>
      <w:r>
        <w:rPr>
          <w:rFonts w:cs="Times New Roman"/>
          <w:lang w:bidi="bn-IN"/>
        </w:rPr>
        <w:t>The Mandarin Oriental Hotel Group invests heavily in Corporate Social Responsibility (CSR) activities that promote sustainability, community involvement, and ethical business practises. The company's environmental sustainability progress is shown by its removal of 99% of single-use plastics from all hotels. This shows a commitment to reducing environmental impact by investing in green practises (Song and Li, 2018).</w:t>
      </w:r>
    </w:p>
    <w:p w14:paraId="23740ED8" w14:textId="77777777" w:rsidR="003770A0" w:rsidRDefault="003770A0" w:rsidP="003770A0">
      <w:pPr>
        <w:rPr>
          <w:rFonts w:cs="Times New Roman"/>
          <w:lang w:bidi="bn-IN"/>
        </w:rPr>
      </w:pPr>
      <w:r>
        <w:rPr>
          <w:rFonts w:cs="Times New Roman"/>
          <w:lang w:bidi="bn-IN"/>
        </w:rPr>
        <w:t>Mandarin Oriental's corporate social responsibility includes community involvement. Mandarin Oriental Exclusive Homes, a collection of luxurious personal dwellings, diversifies the company's operations and boosts the local economy (Witt and Witt, 2015). Their commitment to showcasing local culture in each property goes beyond marketing; it involves collaborations with local craftspeople and cultural preservation organisations and builds community relationships (Mandarin Oriental Hotel Group, 2023).</w:t>
      </w:r>
    </w:p>
    <w:p w14:paraId="366A2B3E" w14:textId="77777777" w:rsidR="003770A0" w:rsidRDefault="003770A0" w:rsidP="003770A0">
      <w:pPr>
        <w:rPr>
          <w:rFonts w:cs="Times New Roman"/>
          <w:lang w:bidi="bn-IN"/>
        </w:rPr>
      </w:pPr>
      <w:r>
        <w:rPr>
          <w:rFonts w:cs="Times New Roman"/>
          <w:b/>
          <w:bCs/>
          <w:u w:val="single"/>
          <w:lang w:bidi="bn-IN"/>
        </w:rPr>
        <w:t>Premier Inn:</w:t>
      </w:r>
    </w:p>
    <w:p w14:paraId="2209BAE6" w14:textId="77777777" w:rsidR="003770A0" w:rsidRDefault="003770A0" w:rsidP="003770A0">
      <w:pPr>
        <w:rPr>
          <w:rFonts w:cs="Times New Roman"/>
          <w:lang w:bidi="bn-IN"/>
        </w:rPr>
      </w:pPr>
      <w:r>
        <w:rPr>
          <w:rFonts w:cs="Times New Roman"/>
          <w:lang w:bidi="bn-IN"/>
        </w:rPr>
        <w:t>Premier Inn invests heavily in CSR, focusing on environmental responsibility, community involvement, and ethical business practises. The organisation has developed energy-efficient lighting and trash-reduction strategies to be environmentally responsible (Tribe, 2015).</w:t>
      </w:r>
    </w:p>
    <w:p w14:paraId="6A53C712" w14:textId="77777777" w:rsidR="003770A0" w:rsidRDefault="003770A0" w:rsidP="003770A0">
      <w:pPr>
        <w:rPr>
          <w:rFonts w:cs="Times New Roman"/>
          <w:lang w:bidi="bn-IN"/>
        </w:rPr>
      </w:pPr>
      <w:r>
        <w:rPr>
          <w:rFonts w:cs="Times New Roman"/>
          <w:lang w:bidi="bn-IN"/>
        </w:rPr>
        <w:t xml:space="preserve"> Premier Inn's impact on local economies shows the value of community involvement. In the UK, the brand boosts employment and the economy. Premier Inn's German market participation boosts economic progress and benefits local communities. The brand's corporate citizenship shows its commitment to local growth (Tsai and Hsieh, 2014).</w:t>
      </w:r>
    </w:p>
    <w:p w14:paraId="2B08DC40" w14:textId="77777777" w:rsidR="003770A0" w:rsidRDefault="003770A0" w:rsidP="003770A0">
      <w:pPr>
        <w:rPr>
          <w:rFonts w:cs="Times New Roman"/>
          <w:lang w:bidi="bn-IN"/>
        </w:rPr>
      </w:pPr>
      <w:r>
        <w:rPr>
          <w:rFonts w:cs="Times New Roman"/>
          <w:lang w:bidi="bn-IN"/>
        </w:rPr>
        <w:t>Fair employment and responsible sourcing demonstrate Premier Inn's ethical business practises. The company's excellent salary and career progression opportunities demonstrate its financial investment in ethical labour practises (Volo, 2015).</w:t>
      </w:r>
    </w:p>
    <w:p w14:paraId="0DF64D82" w14:textId="77777777" w:rsidR="003770A0" w:rsidRDefault="003770A0" w:rsidP="003770A0">
      <w:pPr>
        <w:rPr>
          <w:rFonts w:cs="Times New Roman"/>
          <w:lang w:bidi="bn-IN"/>
        </w:rPr>
      </w:pPr>
    </w:p>
    <w:p w14:paraId="3D0827ED" w14:textId="77777777" w:rsidR="003770A0" w:rsidRDefault="003770A0" w:rsidP="003770A0">
      <w:pPr>
        <w:rPr>
          <w:rFonts w:cs="Times New Roman"/>
          <w:lang w:bidi="bn-IN"/>
        </w:rPr>
      </w:pPr>
    </w:p>
    <w:p w14:paraId="7CF095AC" w14:textId="77777777" w:rsidR="003770A0" w:rsidRDefault="003770A0" w:rsidP="003770A0">
      <w:pPr>
        <w:rPr>
          <w:rFonts w:cs="Times New Roman"/>
          <w:lang w:bidi="bn-IN"/>
        </w:rPr>
      </w:pPr>
      <w:r>
        <w:rPr>
          <w:rFonts w:cs="Times New Roman"/>
          <w:kern w:val="0"/>
          <w:lang w:bidi="bn-IN"/>
        </w:rPr>
        <w:br w:type="page"/>
      </w:r>
    </w:p>
    <w:p w14:paraId="34AADAE0" w14:textId="77777777" w:rsidR="003770A0" w:rsidRDefault="003770A0" w:rsidP="003770A0">
      <w:pPr>
        <w:pStyle w:val="Heading1"/>
        <w:rPr>
          <w:rFonts w:cs="Times New Roman"/>
          <w:lang w:bidi="bn-IN"/>
        </w:rPr>
      </w:pPr>
      <w:bookmarkStart w:id="6" w:name="_Toc148726983"/>
      <w:r>
        <w:rPr>
          <w:rFonts w:cs="Times New Roman"/>
          <w:lang w:bidi="bn-IN"/>
        </w:rPr>
        <w:lastRenderedPageBreak/>
        <w:t>Recommendation</w:t>
      </w:r>
      <w:bookmarkEnd w:id="6"/>
    </w:p>
    <w:p w14:paraId="199B92BA" w14:textId="77777777" w:rsidR="003770A0" w:rsidRDefault="003770A0" w:rsidP="003770A0">
      <w:pPr>
        <w:rPr>
          <w:rFonts w:cs="Times New Roman"/>
          <w:b/>
          <w:bCs/>
          <w:u w:val="single"/>
          <w:lang w:bidi="bn-IN"/>
        </w:rPr>
      </w:pPr>
      <w:r>
        <w:rPr>
          <w:rFonts w:cs="Times New Roman"/>
          <w:b/>
          <w:bCs/>
          <w:u w:val="single"/>
          <w:lang w:bidi="bn-IN"/>
        </w:rPr>
        <w:t>Mandarin Oriental Hotel Group:</w:t>
      </w:r>
    </w:p>
    <w:p w14:paraId="0058AAC3" w14:textId="77777777" w:rsidR="003770A0" w:rsidRDefault="003770A0" w:rsidP="003770A0">
      <w:pPr>
        <w:rPr>
          <w:rFonts w:cs="Times New Roman"/>
          <w:lang w:bidi="bn-IN"/>
        </w:rPr>
      </w:pPr>
      <w:r>
        <w:rPr>
          <w:rFonts w:cs="Times New Roman"/>
          <w:lang w:bidi="bn-IN"/>
        </w:rPr>
        <w:t xml:space="preserve"> Mandarin Oriental should expand into new luxury vacation locations to leverage on rising demand for high-end experiences. </w:t>
      </w:r>
    </w:p>
    <w:p w14:paraId="649BAF5D" w14:textId="77777777" w:rsidR="003770A0" w:rsidRDefault="003770A0" w:rsidP="003770A0">
      <w:pPr>
        <w:rPr>
          <w:rFonts w:cs="Times New Roman"/>
          <w:lang w:bidi="bn-IN"/>
        </w:rPr>
      </w:pPr>
      <w:r>
        <w:rPr>
          <w:rFonts w:cs="Times New Roman"/>
          <w:lang w:bidi="bn-IN"/>
        </w:rPr>
        <w:t xml:space="preserve">Mandarin Oriental should also consider partnering with local artists and cultural institutions to enhance its authenticity, considering its focus on eastern history and unique architecture. </w:t>
      </w:r>
    </w:p>
    <w:p w14:paraId="43A3694A" w14:textId="77777777" w:rsidR="003770A0" w:rsidRDefault="003770A0" w:rsidP="003770A0">
      <w:pPr>
        <w:rPr>
          <w:rFonts w:cs="Times New Roman"/>
          <w:b/>
          <w:bCs/>
          <w:u w:val="single"/>
          <w:lang w:bidi="bn-IN"/>
        </w:rPr>
      </w:pPr>
      <w:r>
        <w:rPr>
          <w:rFonts w:cs="Times New Roman"/>
          <w:lang w:bidi="bn-IN"/>
        </w:rPr>
        <w:t xml:space="preserve">By strategically associating with rising luxury locales and strengthening local communities, Mandarin Oriental will increase its worldwide presence and client retention. </w:t>
      </w:r>
    </w:p>
    <w:p w14:paraId="6F0B1053" w14:textId="77777777" w:rsidR="003770A0" w:rsidRDefault="003770A0" w:rsidP="003770A0">
      <w:pPr>
        <w:rPr>
          <w:rFonts w:cs="Times New Roman"/>
          <w:b/>
          <w:bCs/>
          <w:u w:val="single"/>
          <w:lang w:bidi="bn-IN"/>
        </w:rPr>
      </w:pPr>
      <w:r>
        <w:rPr>
          <w:rFonts w:cs="Times New Roman"/>
          <w:b/>
          <w:bCs/>
          <w:u w:val="single"/>
          <w:lang w:bidi="bn-IN"/>
        </w:rPr>
        <w:t>Premier Inn:</w:t>
      </w:r>
    </w:p>
    <w:p w14:paraId="167E3531" w14:textId="77777777" w:rsidR="003770A0" w:rsidRDefault="003770A0" w:rsidP="003770A0">
      <w:pPr>
        <w:rPr>
          <w:rFonts w:cs="Times New Roman"/>
          <w:lang w:bidi="bn-IN"/>
        </w:rPr>
      </w:pPr>
      <w:r>
        <w:rPr>
          <w:rFonts w:cs="Times New Roman"/>
          <w:lang w:bidi="bn-IN"/>
        </w:rPr>
        <w:t xml:space="preserve">Premier Inn should expand internationally based on its success in Germany and the lessons it learned. </w:t>
      </w:r>
    </w:p>
    <w:p w14:paraId="02CB6827" w14:textId="77777777" w:rsidR="003770A0" w:rsidRDefault="003770A0" w:rsidP="003770A0">
      <w:pPr>
        <w:rPr>
          <w:rFonts w:cs="Times New Roman"/>
          <w:lang w:bidi="bn-IN"/>
        </w:rPr>
      </w:pPr>
      <w:r>
        <w:rPr>
          <w:rFonts w:cs="Times New Roman"/>
          <w:lang w:bidi="bn-IN"/>
        </w:rPr>
        <w:t>Premier Inn should capitalise on its brand loyalty and operational efficiency by expanding into European markets with a need for reliable and affordable hotels. The organisation could also consider expanding its sustainability efforts to meet client demand for ecologically friendly business practises.</w:t>
      </w:r>
    </w:p>
    <w:p w14:paraId="5067615B" w14:textId="77777777" w:rsidR="003770A0" w:rsidRDefault="003770A0" w:rsidP="003770A0">
      <w:pPr>
        <w:rPr>
          <w:rFonts w:cs="Times New Roman"/>
          <w:lang w:bidi="bn-IN"/>
        </w:rPr>
      </w:pPr>
      <w:r>
        <w:rPr>
          <w:rFonts w:cs="Times New Roman"/>
          <w:lang w:bidi="bn-IN"/>
        </w:rPr>
        <w:t xml:space="preserve">Premier Inn may consider strategic partnerships or partnering with local businesses in emerging countries to improve their community engagement efforts. </w:t>
      </w:r>
      <w:r>
        <w:rPr>
          <w:rFonts w:cs="Times New Roman"/>
          <w:lang w:bidi="bn-IN"/>
        </w:rPr>
        <w:br w:type="page"/>
      </w:r>
    </w:p>
    <w:p w14:paraId="290EBAF3" w14:textId="77777777" w:rsidR="003770A0" w:rsidRDefault="003770A0" w:rsidP="003770A0">
      <w:pPr>
        <w:pStyle w:val="Heading1"/>
        <w:rPr>
          <w:rFonts w:cs="Times New Roman"/>
          <w:lang w:bidi="bn-IN"/>
        </w:rPr>
      </w:pPr>
      <w:bookmarkStart w:id="7" w:name="_Toc148726984"/>
      <w:r>
        <w:rPr>
          <w:rFonts w:cs="Times New Roman"/>
          <w:lang w:bidi="bn-IN"/>
        </w:rPr>
        <w:lastRenderedPageBreak/>
        <w:t>Conclusion</w:t>
      </w:r>
      <w:bookmarkEnd w:id="7"/>
    </w:p>
    <w:p w14:paraId="3526D36C" w14:textId="77777777" w:rsidR="003770A0" w:rsidRDefault="003770A0" w:rsidP="003770A0">
      <w:pPr>
        <w:rPr>
          <w:rFonts w:cs="Times New Roman"/>
          <w:lang w:bidi="bn-IN"/>
        </w:rPr>
      </w:pPr>
      <w:r>
        <w:rPr>
          <w:rFonts w:cs="Times New Roman"/>
          <w:lang w:bidi="bn-IN"/>
        </w:rPr>
        <w:t>In conclusion, Mandarin Oriental Hotel Group and Premier Inn investigations illuminate diverse hospitality sector paths. Mandarin Oriental is a luxury brand with a global presence, strong financial success, and a commitment to sustainability and innovation. It belongs to luxury hospitality. Strategic projects like the phase-out of single-use plastics and Exclusive Homes demonstrate the group's endurance and foresight. Premier Inn, a middle-market staple, returns to profitability and wisely expands abroad, particularly in Germany. Both corporations have invested heavily in Corporate Social Responsibility (CSR) projects, reflecting a wider industry trend towards ethical and ecologically responsible business practises. Mandarin Oriental and Premier Inn have contributed to their markets by emphasising cultural opulence and value. These interviews illuminated the approaches, challenges, and opportunities affecting Mandarin Oriental and Premier Inn as they navigate a changing hospitality business.</w:t>
      </w:r>
    </w:p>
    <w:p w14:paraId="2D89933A" w14:textId="77777777" w:rsidR="003770A0" w:rsidRDefault="003770A0" w:rsidP="003770A0">
      <w:pPr>
        <w:rPr>
          <w:rFonts w:cs="Times New Roman"/>
          <w:lang w:bidi="bn-IN"/>
        </w:rPr>
      </w:pPr>
    </w:p>
    <w:p w14:paraId="11E1EC5E" w14:textId="77777777" w:rsidR="003770A0" w:rsidRDefault="003770A0" w:rsidP="003770A0">
      <w:pPr>
        <w:rPr>
          <w:rFonts w:cs="Times New Roman"/>
          <w:lang w:bidi="bn-IN"/>
        </w:rPr>
      </w:pPr>
    </w:p>
    <w:p w14:paraId="233592E3" w14:textId="77777777" w:rsidR="003770A0" w:rsidRDefault="003770A0" w:rsidP="003770A0">
      <w:pPr>
        <w:pStyle w:val="Heading1"/>
        <w:rPr>
          <w:rFonts w:cs="Times New Roman"/>
          <w:lang w:bidi="bn-IN"/>
        </w:rPr>
      </w:pPr>
    </w:p>
    <w:p w14:paraId="5950E5E8" w14:textId="77777777" w:rsidR="003770A0" w:rsidRDefault="003770A0" w:rsidP="003770A0">
      <w:pPr>
        <w:pStyle w:val="Heading1"/>
        <w:rPr>
          <w:rFonts w:cs="Times New Roman"/>
          <w:lang w:bidi="bn-IN"/>
        </w:rPr>
      </w:pPr>
      <w:r>
        <w:rPr>
          <w:rFonts w:cs="Times New Roman"/>
          <w:b w:val="0"/>
          <w:kern w:val="0"/>
          <w:lang w:bidi="bn-IN"/>
        </w:rPr>
        <w:br w:type="page"/>
      </w:r>
      <w:bookmarkStart w:id="8" w:name="_Toc148726985"/>
      <w:r>
        <w:rPr>
          <w:rFonts w:cs="Times New Roman"/>
          <w:lang w:bidi="bn-IN"/>
        </w:rPr>
        <w:lastRenderedPageBreak/>
        <w:t>Reference</w:t>
      </w:r>
      <w:bookmarkEnd w:id="8"/>
      <w:r>
        <w:rPr>
          <w:rFonts w:cs="Times New Roman"/>
          <w:lang w:bidi="bn-IN"/>
        </w:rPr>
        <w:t xml:space="preserve"> </w:t>
      </w:r>
    </w:p>
    <w:p w14:paraId="0F90CE26" w14:textId="77777777" w:rsidR="003770A0" w:rsidRDefault="003770A0" w:rsidP="003770A0">
      <w:pPr>
        <w:rPr>
          <w:rFonts w:cs="Times New Roman"/>
          <w:lang w:bidi="bn-IN"/>
        </w:rPr>
      </w:pPr>
      <w:r>
        <w:rPr>
          <w:rFonts w:cs="Times New Roman"/>
          <w:lang w:bidi="bn-IN"/>
        </w:rPr>
        <w:t>Enz, C. A. (2020). Hospitality Strategic Management: Concepts and Cases. John Wiley and Sons.</w:t>
      </w:r>
    </w:p>
    <w:p w14:paraId="41414B9D" w14:textId="77777777" w:rsidR="003770A0" w:rsidRDefault="003770A0" w:rsidP="003770A0">
      <w:pPr>
        <w:rPr>
          <w:rFonts w:cs="Times New Roman"/>
          <w:lang w:bidi="bn-IN"/>
        </w:rPr>
      </w:pPr>
      <w:proofErr w:type="spellStart"/>
      <w:r>
        <w:rPr>
          <w:rFonts w:cs="Times New Roman"/>
          <w:lang w:bidi="bn-IN"/>
        </w:rPr>
        <w:t>Gnoth</w:t>
      </w:r>
      <w:proofErr w:type="spellEnd"/>
      <w:r>
        <w:rPr>
          <w:rFonts w:cs="Times New Roman"/>
          <w:lang w:bidi="bn-IN"/>
        </w:rPr>
        <w:t>, J., Scott, N., and White, L. (2021). The vacation destination decision: A conceptual model. Annals of Tourism Research, 38(2), 369-389.</w:t>
      </w:r>
    </w:p>
    <w:p w14:paraId="00FEAEA4" w14:textId="77777777" w:rsidR="003770A0" w:rsidRDefault="003770A0" w:rsidP="003770A0">
      <w:pPr>
        <w:rPr>
          <w:rFonts w:cs="Times New Roman"/>
          <w:lang w:bidi="bn-IN"/>
        </w:rPr>
      </w:pPr>
      <w:r>
        <w:rPr>
          <w:rFonts w:cs="Times New Roman"/>
          <w:lang w:bidi="bn-IN"/>
        </w:rPr>
        <w:t xml:space="preserve">Kotler, P., Bowen, J. T., Makens, J. C., and </w:t>
      </w:r>
      <w:proofErr w:type="spellStart"/>
      <w:r>
        <w:rPr>
          <w:rFonts w:cs="Times New Roman"/>
          <w:lang w:bidi="bn-IN"/>
        </w:rPr>
        <w:t>Baloglu</w:t>
      </w:r>
      <w:proofErr w:type="spellEnd"/>
      <w:r>
        <w:rPr>
          <w:rFonts w:cs="Times New Roman"/>
          <w:lang w:bidi="bn-IN"/>
        </w:rPr>
        <w:t>, S. (2017). Marketing for Hospitality and Tourism. Pearson.</w:t>
      </w:r>
    </w:p>
    <w:p w14:paraId="457E6C92" w14:textId="77777777" w:rsidR="003770A0" w:rsidRDefault="003770A0" w:rsidP="003770A0">
      <w:pPr>
        <w:rPr>
          <w:rFonts w:cs="Times New Roman"/>
          <w:lang w:bidi="bn-IN"/>
        </w:rPr>
      </w:pPr>
      <w:r>
        <w:rPr>
          <w:rFonts w:cs="Times New Roman"/>
          <w:lang w:bidi="bn-IN"/>
        </w:rPr>
        <w:t>Lockyer, T. (2014). Hospitality: A Social Lens. Goodfellow Publishers.</w:t>
      </w:r>
    </w:p>
    <w:p w14:paraId="1E17F037" w14:textId="77777777" w:rsidR="003770A0" w:rsidRDefault="003770A0" w:rsidP="003770A0">
      <w:pPr>
        <w:rPr>
          <w:rFonts w:cs="Times New Roman"/>
          <w:lang w:bidi="bn-IN"/>
        </w:rPr>
      </w:pPr>
      <w:r>
        <w:rPr>
          <w:rFonts w:cs="Times New Roman"/>
          <w:lang w:bidi="bn-IN"/>
        </w:rPr>
        <w:t>Mandarin Oriental Hotel Group. (2022). Home. [Online] Available at: https://www.mandarinoriental.com/ [Accessed 14 October 2023].</w:t>
      </w:r>
    </w:p>
    <w:p w14:paraId="17671E63" w14:textId="77777777" w:rsidR="003770A0" w:rsidRDefault="003770A0" w:rsidP="003770A0">
      <w:pPr>
        <w:rPr>
          <w:rFonts w:cs="Times New Roman"/>
          <w:lang w:bidi="bn-IN"/>
        </w:rPr>
      </w:pPr>
      <w:r>
        <w:rPr>
          <w:rFonts w:cs="Times New Roman"/>
          <w:lang w:bidi="bn-IN"/>
        </w:rPr>
        <w:t>Mandarin Oriental Hotel Group. (2023). Press Room. [Online] Available at: https://www.mandarinoriental.com/press-room [Accessed 14 October 2023].</w:t>
      </w:r>
    </w:p>
    <w:p w14:paraId="6A057C7A" w14:textId="77777777" w:rsidR="003770A0" w:rsidRDefault="003770A0" w:rsidP="003770A0">
      <w:pPr>
        <w:rPr>
          <w:rFonts w:cs="Times New Roman"/>
          <w:lang w:bidi="bn-IN"/>
        </w:rPr>
      </w:pPr>
      <w:r>
        <w:rPr>
          <w:rFonts w:cs="Times New Roman"/>
          <w:lang w:bidi="bn-IN"/>
        </w:rPr>
        <w:t>Middleton, V. T. C., and Clarke, J. (2022). Marketing in Travel and Tourism. Routledge.</w:t>
      </w:r>
    </w:p>
    <w:p w14:paraId="6F853D38" w14:textId="77777777" w:rsidR="003770A0" w:rsidRDefault="003770A0" w:rsidP="003770A0">
      <w:pPr>
        <w:rPr>
          <w:rFonts w:cs="Times New Roman"/>
          <w:lang w:bidi="bn-IN"/>
        </w:rPr>
      </w:pPr>
      <w:r>
        <w:rPr>
          <w:rFonts w:cs="Times New Roman"/>
          <w:lang w:bidi="bn-IN"/>
        </w:rPr>
        <w:t>Morrison, A. M. (2018). Marketing and Managing Tourism Destinations. Routledge.</w:t>
      </w:r>
    </w:p>
    <w:p w14:paraId="658A7292" w14:textId="77777777" w:rsidR="003770A0" w:rsidRDefault="003770A0" w:rsidP="003770A0">
      <w:pPr>
        <w:rPr>
          <w:rFonts w:cs="Times New Roman"/>
          <w:lang w:bidi="bn-IN"/>
        </w:rPr>
      </w:pPr>
      <w:r>
        <w:rPr>
          <w:rFonts w:cs="Times New Roman"/>
          <w:lang w:bidi="bn-IN"/>
        </w:rPr>
        <w:t xml:space="preserve">Ottenbacher, M. C., and Harrington, R. J. (2019). The influence of consumer-generated media on consumer hospitality brand attitudes and </w:t>
      </w:r>
      <w:proofErr w:type="spellStart"/>
      <w:r>
        <w:rPr>
          <w:rFonts w:cs="Times New Roman"/>
          <w:lang w:bidi="bn-IN"/>
        </w:rPr>
        <w:t>behavioral</w:t>
      </w:r>
      <w:proofErr w:type="spellEnd"/>
      <w:r>
        <w:rPr>
          <w:rFonts w:cs="Times New Roman"/>
          <w:lang w:bidi="bn-IN"/>
        </w:rPr>
        <w:t xml:space="preserve"> intentions. Journal of Hospitality Marketing and Management, 18(6), 535-556.</w:t>
      </w:r>
    </w:p>
    <w:p w14:paraId="0B5A342B" w14:textId="77777777" w:rsidR="003770A0" w:rsidRDefault="003770A0" w:rsidP="003770A0">
      <w:pPr>
        <w:rPr>
          <w:rFonts w:cs="Times New Roman"/>
          <w:lang w:bidi="bn-IN"/>
        </w:rPr>
      </w:pPr>
      <w:proofErr w:type="spellStart"/>
      <w:r>
        <w:rPr>
          <w:rFonts w:cs="Times New Roman"/>
          <w:lang w:bidi="bn-IN"/>
        </w:rPr>
        <w:t>Pizam</w:t>
      </w:r>
      <w:proofErr w:type="spellEnd"/>
      <w:r>
        <w:rPr>
          <w:rFonts w:cs="Times New Roman"/>
          <w:lang w:bidi="bn-IN"/>
        </w:rPr>
        <w:t xml:space="preserve">, A., and Mansfeld, Y. (2018). Consumer </w:t>
      </w:r>
      <w:proofErr w:type="spellStart"/>
      <w:r>
        <w:rPr>
          <w:rFonts w:cs="Times New Roman"/>
          <w:lang w:bidi="bn-IN"/>
        </w:rPr>
        <w:t>Behavior</w:t>
      </w:r>
      <w:proofErr w:type="spellEnd"/>
      <w:r>
        <w:rPr>
          <w:rFonts w:cs="Times New Roman"/>
          <w:lang w:bidi="bn-IN"/>
        </w:rPr>
        <w:t xml:space="preserve"> in Travel and Tourism. Routledge.</w:t>
      </w:r>
    </w:p>
    <w:p w14:paraId="1E900308" w14:textId="77777777" w:rsidR="003770A0" w:rsidRDefault="003770A0" w:rsidP="003770A0">
      <w:pPr>
        <w:rPr>
          <w:rFonts w:cs="Times New Roman"/>
          <w:lang w:bidi="bn-IN"/>
        </w:rPr>
      </w:pPr>
      <w:r>
        <w:rPr>
          <w:rFonts w:cs="Times New Roman"/>
          <w:lang w:bidi="bn-IN"/>
        </w:rPr>
        <w:t>Premier Inn. (2022). Investors. [Online] Available at: https://www.premierinn.com/gb/en/investors.html [Accessed 13 October 2023].</w:t>
      </w:r>
    </w:p>
    <w:p w14:paraId="15D1003B" w14:textId="77777777" w:rsidR="003770A0" w:rsidRDefault="003770A0" w:rsidP="003770A0">
      <w:pPr>
        <w:rPr>
          <w:rFonts w:cs="Times New Roman"/>
          <w:lang w:bidi="bn-IN"/>
        </w:rPr>
      </w:pPr>
      <w:r>
        <w:rPr>
          <w:rFonts w:cs="Times New Roman"/>
          <w:lang w:bidi="bn-IN"/>
        </w:rPr>
        <w:t>Premier Inn. (2023). Our story. [Online] Available at: https://www.premierinn.com/gb/en/about/our-story.html [Accessed 13 October 2023].</w:t>
      </w:r>
    </w:p>
    <w:p w14:paraId="0E02A55D" w14:textId="77777777" w:rsidR="003770A0" w:rsidRDefault="003770A0" w:rsidP="003770A0">
      <w:pPr>
        <w:rPr>
          <w:rFonts w:cs="Times New Roman"/>
          <w:lang w:bidi="bn-IN"/>
        </w:rPr>
      </w:pPr>
      <w:r>
        <w:rPr>
          <w:rFonts w:cs="Times New Roman"/>
          <w:lang w:bidi="bn-IN"/>
        </w:rPr>
        <w:t xml:space="preserve">Qu, H., Kim, L. H., and </w:t>
      </w:r>
      <w:proofErr w:type="spellStart"/>
      <w:r>
        <w:rPr>
          <w:rFonts w:cs="Times New Roman"/>
          <w:lang w:bidi="bn-IN"/>
        </w:rPr>
        <w:t>Im</w:t>
      </w:r>
      <w:proofErr w:type="spellEnd"/>
      <w:r>
        <w:rPr>
          <w:rFonts w:cs="Times New Roman"/>
          <w:lang w:bidi="bn-IN"/>
        </w:rPr>
        <w:t>, H. H. (2021). A model of destination branding: Integrating the concepts of the branding and destination image. Tourism Management, 32(3), 465-476.</w:t>
      </w:r>
    </w:p>
    <w:p w14:paraId="168E90AB" w14:textId="77777777" w:rsidR="003770A0" w:rsidRDefault="003770A0" w:rsidP="003770A0">
      <w:pPr>
        <w:rPr>
          <w:rFonts w:cs="Times New Roman"/>
          <w:lang w:bidi="bn-IN"/>
        </w:rPr>
      </w:pPr>
      <w:r>
        <w:rPr>
          <w:rFonts w:cs="Times New Roman"/>
          <w:lang w:bidi="bn-IN"/>
        </w:rPr>
        <w:t>Ritchie, B. W., and Crouch, G. I. (2013). The competitive destination: A sustainable tourism perspective. CABI.</w:t>
      </w:r>
    </w:p>
    <w:p w14:paraId="7650A637" w14:textId="77777777" w:rsidR="003770A0" w:rsidRDefault="003770A0" w:rsidP="003770A0">
      <w:pPr>
        <w:rPr>
          <w:rFonts w:cs="Times New Roman"/>
          <w:lang w:bidi="bn-IN"/>
        </w:rPr>
      </w:pPr>
      <w:r>
        <w:rPr>
          <w:rFonts w:cs="Times New Roman"/>
          <w:lang w:bidi="bn-IN"/>
        </w:rPr>
        <w:t>Sigala, M. (2018). The impact of customer-to-customer interactions in social media on hotel brand performance: Moderating effects of hotel type. Tourism Management, 67, 140-154.</w:t>
      </w:r>
    </w:p>
    <w:p w14:paraId="0F0591BB" w14:textId="77777777" w:rsidR="003770A0" w:rsidRDefault="003770A0" w:rsidP="003770A0">
      <w:pPr>
        <w:rPr>
          <w:rFonts w:cs="Times New Roman"/>
          <w:lang w:bidi="bn-IN"/>
        </w:rPr>
      </w:pPr>
      <w:r>
        <w:rPr>
          <w:rFonts w:cs="Times New Roman"/>
          <w:lang w:bidi="bn-IN"/>
        </w:rPr>
        <w:lastRenderedPageBreak/>
        <w:t xml:space="preserve">Song, H., and Li, G. (2018). Tourism demand </w:t>
      </w:r>
      <w:proofErr w:type="spellStart"/>
      <w:r>
        <w:rPr>
          <w:rFonts w:cs="Times New Roman"/>
          <w:lang w:bidi="bn-IN"/>
        </w:rPr>
        <w:t>modeling</w:t>
      </w:r>
      <w:proofErr w:type="spellEnd"/>
      <w:r>
        <w:rPr>
          <w:rFonts w:cs="Times New Roman"/>
          <w:lang w:bidi="bn-IN"/>
        </w:rPr>
        <w:t xml:space="preserve"> and forecasting—A review of recent research. Tourism Management, 29(2), 203-220.</w:t>
      </w:r>
    </w:p>
    <w:p w14:paraId="63B46F40" w14:textId="77777777" w:rsidR="003770A0" w:rsidRDefault="003770A0" w:rsidP="003770A0">
      <w:pPr>
        <w:rPr>
          <w:rFonts w:cs="Times New Roman"/>
          <w:lang w:bidi="bn-IN"/>
        </w:rPr>
      </w:pPr>
      <w:r>
        <w:rPr>
          <w:rFonts w:cs="Times New Roman"/>
          <w:lang w:bidi="bn-IN"/>
        </w:rPr>
        <w:t>Tribe, J. (2015). The Economics of Recreation, Leisure and Tourism. Routledge.</w:t>
      </w:r>
    </w:p>
    <w:p w14:paraId="1C1CCC8F" w14:textId="77777777" w:rsidR="003770A0" w:rsidRDefault="003770A0" w:rsidP="003770A0">
      <w:pPr>
        <w:rPr>
          <w:rFonts w:cs="Times New Roman"/>
          <w:lang w:bidi="bn-IN"/>
        </w:rPr>
      </w:pPr>
      <w:r>
        <w:rPr>
          <w:rFonts w:cs="Times New Roman"/>
          <w:lang w:bidi="bn-IN"/>
        </w:rPr>
        <w:t>Tsai, W. H. S., and Hsieh, M. T. (2014). The value of using the travel blogs to express the information needs of tourists. Tourism Management, 43, 46-54.</w:t>
      </w:r>
    </w:p>
    <w:p w14:paraId="17E0496B" w14:textId="77777777" w:rsidR="003770A0" w:rsidRDefault="003770A0" w:rsidP="003770A0">
      <w:pPr>
        <w:rPr>
          <w:rFonts w:cs="Times New Roman"/>
          <w:lang w:bidi="bn-IN"/>
        </w:rPr>
      </w:pPr>
      <w:r>
        <w:rPr>
          <w:rFonts w:cs="Times New Roman"/>
          <w:lang w:bidi="bn-IN"/>
        </w:rPr>
        <w:t>Volo, S. (2015). Resort Development. Routledge.</w:t>
      </w:r>
    </w:p>
    <w:p w14:paraId="126D3B95" w14:textId="77777777" w:rsidR="003770A0" w:rsidRDefault="003770A0" w:rsidP="003770A0">
      <w:pPr>
        <w:rPr>
          <w:rFonts w:cs="Times New Roman"/>
          <w:lang w:bidi="bn-IN"/>
        </w:rPr>
      </w:pPr>
      <w:r>
        <w:rPr>
          <w:rFonts w:cs="Times New Roman"/>
          <w:lang w:bidi="bn-IN"/>
        </w:rPr>
        <w:t>Witt, S. F., and Witt, C. A. (2015). Tourism Marketing and Management Handbook. Pearson.</w:t>
      </w:r>
    </w:p>
    <w:p w14:paraId="03936EF7" w14:textId="77777777" w:rsidR="003770A0" w:rsidRDefault="003770A0" w:rsidP="003770A0">
      <w:pPr>
        <w:pStyle w:val="TOCHeading"/>
        <w:spacing w:line="360" w:lineRule="auto"/>
        <w:jc w:val="both"/>
        <w:rPr>
          <w:rFonts w:cs="Times New Roman"/>
          <w:lang w:bidi="bn-IN"/>
        </w:rPr>
      </w:pPr>
    </w:p>
    <w:p w14:paraId="29B58F70" w14:textId="6E46C9E5" w:rsidR="00B37F81" w:rsidRPr="003770A0" w:rsidRDefault="00B37F81" w:rsidP="003770A0"/>
    <w:sectPr w:rsidR="00B37F81" w:rsidRPr="003770A0">
      <w:headerReference w:type="default" r:id="rId14"/>
      <w:pgSz w:w="11900" w:h="16840"/>
      <w:pgMar w:top="1440" w:right="1440" w:bottom="1440" w:left="1440" w:header="0" w:footer="10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66744" w14:textId="77777777" w:rsidR="001F1F4D" w:rsidRDefault="001F1F4D">
      <w:pPr>
        <w:spacing w:after="0" w:line="240" w:lineRule="auto"/>
      </w:pPr>
      <w:r>
        <w:separator/>
      </w:r>
    </w:p>
  </w:endnote>
  <w:endnote w:type="continuationSeparator" w:id="0">
    <w:p w14:paraId="045F0960" w14:textId="77777777" w:rsidR="001F1F4D" w:rsidRDefault="001F1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5F11C" w14:textId="77777777" w:rsidR="001F1F4D" w:rsidRDefault="001F1F4D">
      <w:pPr>
        <w:spacing w:after="0" w:line="240" w:lineRule="auto"/>
      </w:pPr>
      <w:r>
        <w:separator/>
      </w:r>
    </w:p>
  </w:footnote>
  <w:footnote w:type="continuationSeparator" w:id="0">
    <w:p w14:paraId="5D88C015" w14:textId="77777777" w:rsidR="001F1F4D" w:rsidRDefault="001F1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B3F40" w14:textId="77777777" w:rsidR="00A65946" w:rsidRPr="00964B74" w:rsidRDefault="00000000">
    <w:pPr>
      <w:pStyle w:val="Header"/>
      <w:jc w:val="right"/>
    </w:pPr>
    <w:r w:rsidRPr="00964B74">
      <w:t xml:space="preserve">                                                                                </w:t>
    </w:r>
  </w:p>
  <w:p w14:paraId="44366B64" w14:textId="77777777" w:rsidR="00A65946" w:rsidRPr="00964B74" w:rsidRDefault="00A659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952"/>
    <w:rsid w:val="00042A3E"/>
    <w:rsid w:val="000D4FCA"/>
    <w:rsid w:val="001A5D72"/>
    <w:rsid w:val="001F1F4D"/>
    <w:rsid w:val="002734D7"/>
    <w:rsid w:val="003770A0"/>
    <w:rsid w:val="0044155B"/>
    <w:rsid w:val="0045039C"/>
    <w:rsid w:val="005414B0"/>
    <w:rsid w:val="00752952"/>
    <w:rsid w:val="007A563D"/>
    <w:rsid w:val="007B5865"/>
    <w:rsid w:val="009616E5"/>
    <w:rsid w:val="00A65946"/>
    <w:rsid w:val="00B20C50"/>
    <w:rsid w:val="00B37F81"/>
    <w:rsid w:val="00BC2299"/>
    <w:rsid w:val="00D9370F"/>
    <w:rsid w:val="00E30C71"/>
    <w:rsid w:val="00F244C5"/>
    <w:rsid w:val="00F443E2"/>
    <w:rsid w:val="00F56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4032F"/>
  <w15:chartTrackingRefBased/>
  <w15:docId w15:val="{651B6942-DA5C-4C33-9FB7-B29B7A24C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4C5"/>
    <w:pPr>
      <w:spacing w:line="360" w:lineRule="auto"/>
      <w:jc w:val="both"/>
    </w:pPr>
    <w:rPr>
      <w:rFonts w:ascii="Times New Roman" w:eastAsia="Calibri" w:hAnsi="Times New Roman" w:cs="Vrinda"/>
      <w:sz w:val="24"/>
      <w:szCs w:val="28"/>
      <w:lang w:bidi="bn-BD"/>
      <w14:ligatures w14:val="none"/>
    </w:rPr>
  </w:style>
  <w:style w:type="paragraph" w:styleId="Heading1">
    <w:name w:val="heading 1"/>
    <w:basedOn w:val="Normal"/>
    <w:next w:val="Normal"/>
    <w:link w:val="Heading1Char"/>
    <w:uiPriority w:val="9"/>
    <w:qFormat/>
    <w:rsid w:val="00F244C5"/>
    <w:pPr>
      <w:keepNext/>
      <w:keepLines/>
      <w:spacing w:before="240" w:after="0"/>
      <w:outlineLvl w:val="0"/>
    </w:pPr>
    <w:rPr>
      <w:rFonts w:eastAsia="SimSun"/>
      <w:b/>
      <w:color w:val="2F5496"/>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4C5"/>
    <w:rPr>
      <w:rFonts w:ascii="Times New Roman" w:eastAsia="SimSun" w:hAnsi="Times New Roman" w:cs="Vrinda"/>
      <w:b/>
      <w:color w:val="2F5496"/>
      <w:sz w:val="32"/>
      <w:szCs w:val="40"/>
      <w:lang w:bidi="bn-BD"/>
      <w14:ligatures w14:val="none"/>
    </w:rPr>
  </w:style>
  <w:style w:type="paragraph" w:styleId="TOCHeading">
    <w:name w:val="TOC Heading"/>
    <w:basedOn w:val="Heading1"/>
    <w:next w:val="Normal"/>
    <w:uiPriority w:val="39"/>
    <w:qFormat/>
    <w:rsid w:val="00F244C5"/>
    <w:pPr>
      <w:spacing w:line="259" w:lineRule="auto"/>
      <w:jc w:val="left"/>
      <w:outlineLvl w:val="9"/>
    </w:pPr>
    <w:rPr>
      <w:rFonts w:ascii="Calibri Light" w:hAnsi="Calibri Light"/>
      <w:b w:val="0"/>
      <w:kern w:val="0"/>
      <w:szCs w:val="32"/>
      <w:lang w:bidi="ar-SA"/>
    </w:rPr>
  </w:style>
  <w:style w:type="paragraph" w:styleId="TOC1">
    <w:name w:val="toc 1"/>
    <w:basedOn w:val="Normal"/>
    <w:next w:val="Normal"/>
    <w:uiPriority w:val="39"/>
    <w:qFormat/>
    <w:rsid w:val="00F244C5"/>
    <w:pPr>
      <w:spacing w:after="100"/>
    </w:pPr>
  </w:style>
  <w:style w:type="character" w:styleId="Hyperlink">
    <w:name w:val="Hyperlink"/>
    <w:basedOn w:val="DefaultParagraphFont"/>
    <w:uiPriority w:val="99"/>
    <w:rsid w:val="00F244C5"/>
    <w:rPr>
      <w:color w:val="0563C1"/>
      <w:u w:val="single"/>
    </w:rPr>
  </w:style>
  <w:style w:type="paragraph" w:styleId="Header">
    <w:name w:val="header"/>
    <w:basedOn w:val="Normal"/>
    <w:link w:val="HeaderChar"/>
    <w:rsid w:val="00F244C5"/>
    <w:pPr>
      <w:tabs>
        <w:tab w:val="center" w:pos="4680"/>
        <w:tab w:val="right" w:pos="9360"/>
      </w:tabs>
      <w:spacing w:after="0" w:line="240" w:lineRule="auto"/>
    </w:pPr>
  </w:style>
  <w:style w:type="character" w:customStyle="1" w:styleId="HeaderChar">
    <w:name w:val="Header Char"/>
    <w:basedOn w:val="DefaultParagraphFont"/>
    <w:link w:val="Header"/>
    <w:rsid w:val="00F244C5"/>
    <w:rPr>
      <w:rFonts w:ascii="Times New Roman" w:eastAsia="Calibri" w:hAnsi="Times New Roman" w:cs="Vrinda"/>
      <w:sz w:val="24"/>
      <w:szCs w:val="28"/>
      <w:lang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03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av\Downloads\Daniela%20G-FinM-1%20(7).docx" TargetMode="External"/><Relationship Id="rId13" Type="http://schemas.openxmlformats.org/officeDocument/2006/relationships/hyperlink" Target="file:///C:\Users\danav\Downloads\Daniela%20G-FinM-1%20(7).docx" TargetMode="External"/><Relationship Id="rId3" Type="http://schemas.openxmlformats.org/officeDocument/2006/relationships/webSettings" Target="webSettings.xml"/><Relationship Id="rId7" Type="http://schemas.openxmlformats.org/officeDocument/2006/relationships/hyperlink" Target="file:///C:\Users\danav\Downloads\Daniela%20G-FinM-1%20(7).docx" TargetMode="External"/><Relationship Id="rId12" Type="http://schemas.openxmlformats.org/officeDocument/2006/relationships/hyperlink" Target="file:///C:\Users\danav\Downloads\Daniela%20G-FinM-1%20(7).doc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danav\Downloads\Daniela%20G-FinM-1%20(7).docx" TargetMode="External"/><Relationship Id="rId11" Type="http://schemas.openxmlformats.org/officeDocument/2006/relationships/hyperlink" Target="file:///C:\Users\danav\Downloads\Daniela%20G-FinM-1%20(7).doc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file:///C:\Users\danav\Downloads\Daniela%20G-FinM-1%20(7).docx" TargetMode="External"/><Relationship Id="rId4" Type="http://schemas.openxmlformats.org/officeDocument/2006/relationships/footnotes" Target="footnotes.xml"/><Relationship Id="rId9" Type="http://schemas.openxmlformats.org/officeDocument/2006/relationships/hyperlink" Target="file:///C:\Users\danav\Downloads\Daniela%20G-FinM-1%20(7).docx"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2936</Words>
  <Characters>16737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Daniela-Gabriela Vartolomeu (2130495)</dc:creator>
  <cp:keywords/>
  <dc:description/>
  <cp:lastModifiedBy>Dana Vartolomeu</cp:lastModifiedBy>
  <cp:revision>12</cp:revision>
  <dcterms:created xsi:type="dcterms:W3CDTF">2023-10-15T13:33:00Z</dcterms:created>
  <dcterms:modified xsi:type="dcterms:W3CDTF">2023-10-20T18:38:00Z</dcterms:modified>
</cp:coreProperties>
</file>