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DB1E85D" w:rsidP="4EA8C7D0" w:rsidRDefault="3DB1E85D" w14:paraId="563759AC" w14:textId="4453B663">
      <w:pPr>
        <w:pStyle w:val="Normal"/>
        <w:jc w:val="center"/>
      </w:pPr>
      <w:r w:rsidRPr="4EA8C7D0" w:rsidR="3DB1E85D">
        <w:rPr>
          <w:rFonts w:ascii="Arial" w:hAnsi="Arial" w:eastAsia="Arial" w:cs="Arial" w:asciiTheme="minorAscii" w:hAnsiTheme="minorAscii" w:eastAsiaTheme="minorAscii" w:cstheme="minorAscii"/>
          <w:b w:val="1"/>
          <w:bCs w:val="1"/>
          <w:noProof w:val="0"/>
          <w:sz w:val="36"/>
          <w:szCs w:val="36"/>
          <w:lang w:val="en-US"/>
        </w:rPr>
        <w:t>Organisational Culture Report: NHS</w:t>
      </w:r>
    </w:p>
    <w:p w:rsidR="4EA8C7D0" w:rsidP="4EA8C7D0" w:rsidRDefault="4EA8C7D0" w14:paraId="44B6DB22" w14:textId="36F14859">
      <w:pPr>
        <w:pStyle w:val="Normal"/>
        <w:jc w:val="center"/>
        <w:rPr>
          <w:rFonts w:ascii="Arial" w:hAnsi="Arial" w:eastAsia="Arial" w:cs="Arial" w:asciiTheme="minorAscii" w:hAnsiTheme="minorAscii" w:eastAsiaTheme="minorAscii" w:cstheme="minorAscii"/>
          <w:b w:val="1"/>
          <w:bCs w:val="1"/>
          <w:noProof w:val="0"/>
          <w:sz w:val="36"/>
          <w:szCs w:val="36"/>
          <w:lang w:val="en-US"/>
        </w:rPr>
      </w:pPr>
    </w:p>
    <w:p w:rsidR="4EA8C7D0" w:rsidP="4EA8C7D0" w:rsidRDefault="4EA8C7D0" w14:paraId="78292E48" w14:textId="034D1FBB">
      <w:pPr>
        <w:pStyle w:val="Normal"/>
        <w:jc w:val="left"/>
        <w:rPr>
          <w:rFonts w:ascii="Arial" w:hAnsi="Arial" w:eastAsia="Arial" w:cs="Arial" w:asciiTheme="minorAscii" w:hAnsiTheme="minorAscii" w:eastAsiaTheme="minorAscii" w:cstheme="minorAscii"/>
          <w:b w:val="1"/>
          <w:bCs w:val="1"/>
          <w:noProof w:val="0"/>
          <w:sz w:val="36"/>
          <w:szCs w:val="36"/>
          <w:lang w:val="en-US"/>
        </w:rPr>
      </w:pPr>
    </w:p>
    <w:p w:rsidR="3DB1E85D" w:rsidP="4EA8C7D0" w:rsidRDefault="3DB1E85D" w14:paraId="61F15B8C" w14:textId="40BA40C2">
      <w:pPr>
        <w:pStyle w:val="Normal"/>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EA8C7D0" w:rsidR="3DB1E85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Introduction </w:t>
      </w:r>
    </w:p>
    <w:p w:rsidR="3DB1E85D" w:rsidP="4EA8C7D0" w:rsidRDefault="3DB1E85D" w14:paraId="6E6C23EF" w14:textId="46073712">
      <w:pPr>
        <w:pStyle w:val="Normal"/>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EA8C7D0" w:rsidR="3DB1E85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Organisational</w:t>
      </w:r>
      <w:r w:rsidRPr="4EA8C7D0" w:rsidR="3DB1E85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Profile </w:t>
      </w:r>
    </w:p>
    <w:p w:rsidR="3DB1E85D" w:rsidP="4EA8C7D0" w:rsidRDefault="3DB1E85D" w14:paraId="321DACD5" w14:textId="7A0A10A0">
      <w:pPr>
        <w:pStyle w:val="Normal"/>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EA8C7D0" w:rsidR="3DB1E85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Theoretical Frameworks for </w:t>
      </w:r>
      <w:r w:rsidRPr="4EA8C7D0" w:rsidR="3DB1E85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Analysing</w:t>
      </w:r>
      <w:r w:rsidRPr="4EA8C7D0" w:rsidR="3DB1E85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Culture </w:t>
      </w:r>
    </w:p>
    <w:p w:rsidR="3DB1E85D" w:rsidP="4EA8C7D0" w:rsidRDefault="3DB1E85D" w14:paraId="1CC0E4DD" w14:textId="045B2522">
      <w:pPr>
        <w:pStyle w:val="Normal"/>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EA8C7D0" w:rsidR="3DB1E85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Analysis of Culture Within the NHS </w:t>
      </w:r>
    </w:p>
    <w:p w:rsidR="3DB1E85D" w:rsidP="4EA8C7D0" w:rsidRDefault="3DB1E85D" w14:paraId="0F7F27D5" w14:textId="13CDCCFB">
      <w:pPr>
        <w:pStyle w:val="Normal"/>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EA8C7D0" w:rsidR="3DB1E85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Culture’s Influence on Structure and Decision-Making </w:t>
      </w:r>
    </w:p>
    <w:p w:rsidR="3DB1E85D" w:rsidP="4EA8C7D0" w:rsidRDefault="3DB1E85D" w14:paraId="03AA2899" w14:textId="780A8B54">
      <w:pPr>
        <w:pStyle w:val="Normal"/>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EA8C7D0" w:rsidR="3DB1E85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External Environment and Cultural Adaptation </w:t>
      </w:r>
    </w:p>
    <w:p w:rsidR="3DB1E85D" w:rsidP="4EA8C7D0" w:rsidRDefault="3DB1E85D" w14:paraId="60B429EF" w14:textId="10A2C687">
      <w:pPr>
        <w:pStyle w:val="Normal"/>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EA8C7D0" w:rsidR="3DB1E85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Culture as Barrier or Enabler </w:t>
      </w:r>
    </w:p>
    <w:p w:rsidR="3DB1E85D" w:rsidP="4EA8C7D0" w:rsidRDefault="3DB1E85D" w14:paraId="07AF6613" w14:textId="2F42DFD4">
      <w:pPr>
        <w:pStyle w:val="Normal"/>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EA8C7D0" w:rsidR="3DB1E85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Impact on Performance and Recommendations </w:t>
      </w:r>
    </w:p>
    <w:p w:rsidR="3DB1E85D" w:rsidP="4EA8C7D0" w:rsidRDefault="3DB1E85D" w14:paraId="5E5CDA03" w14:textId="30337300">
      <w:pPr>
        <w:pStyle w:val="Normal"/>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EA8C7D0" w:rsidR="3DB1E85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Conclusion </w:t>
      </w:r>
    </w:p>
    <w:p w:rsidR="3DB1E85D" w:rsidP="4EA8C7D0" w:rsidRDefault="3DB1E85D" w14:paraId="4CB364FF" w14:textId="7429123A">
      <w:pPr>
        <w:pStyle w:val="Normal"/>
        <w:jc w:val="left"/>
      </w:pPr>
      <w:r w:rsidRPr="4EA8C7D0" w:rsidR="3DB1E85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Reference List </w:t>
      </w:r>
    </w:p>
    <w:p w:rsidR="4EA8C7D0" w:rsidP="4EA8C7D0" w:rsidRDefault="4EA8C7D0" w14:paraId="3F0CC377" w14:textId="59476A8E">
      <w:pPr>
        <w:pStyle w:val="Normal"/>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p>
    <w:p w:rsidR="1796A630" w:rsidP="4EA8C7D0" w:rsidRDefault="1796A630" w14:paraId="4B2A4B5F" w14:textId="2B9D2AEA">
      <w:pPr>
        <w:pStyle w:val="Normal"/>
        <w:jc w:val="left"/>
      </w:pPr>
      <w:r w:rsidRPr="4EA8C7D0" w:rsidR="1796A630">
        <w:rPr>
          <w:rFonts w:ascii="Arial" w:hAnsi="Arial" w:eastAsia="Arial" w:cs="Arial" w:asciiTheme="minorAscii" w:hAnsiTheme="minorAscii" w:eastAsiaTheme="minorAscii" w:cstheme="minorAscii"/>
          <w:b w:val="1"/>
          <w:bCs w:val="1"/>
          <w:i w:val="0"/>
          <w:iCs w:val="0"/>
          <w:noProof w:val="0"/>
          <w:color w:val="000000" w:themeColor="text1" w:themeTint="FF" w:themeShade="FF"/>
          <w:sz w:val="24"/>
          <w:szCs w:val="24"/>
          <w:lang w:val="en-US"/>
        </w:rPr>
        <w:t>Introduction</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w:t>
      </w:r>
    </w:p>
    <w:p w:rsidR="1796A630" w:rsidP="4EA8C7D0" w:rsidRDefault="1796A630" w14:paraId="22110F58" w14:textId="6B94740B">
      <w:pPr>
        <w:pStyle w:val="Normal"/>
        <w:jc w:val="left"/>
      </w:pP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Mullins and Christy (2016, p. 574) define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organisational</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culture as the pervasive pattern of 'how things are done around here', shaped by shared values,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beliefs</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and attitudes, which significantly influences decision-making,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organisational</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structure, group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behaviour</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motivation</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and job satisfaction. They note that as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organisations</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grow in complexity and diversity, understanding and managing culture becomes even more critical to effective functioning. This report applies that perspective to the National Health Service NHS the United Kingdom’s largest public sector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organisation</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The report analyses how culture is formed,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expressed</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and experienced across the service, drawing on established theoretical models to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identify</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prevailing cultural traits. It evaluates how culture interacts with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organisational</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structure and decision-making processes, how it enables or limits responses to external challenges, and whether it acts primarily as a strength or a constraint. Finally, the report assesses the relationship between culture and performance and proposes evidence-based, theory-informed recommendations for improvement.</w:t>
      </w:r>
    </w:p>
    <w:p w:rsidR="1796A630" w:rsidP="4EA8C7D0" w:rsidRDefault="1796A630" w14:paraId="2D2327A7" w14:textId="0EBE88C5">
      <w:pPr>
        <w:pStyle w:val="Normal"/>
        <w:jc w:val="left"/>
        <w:rPr>
          <w:rFonts w:ascii="Arial" w:hAnsi="Arial" w:eastAsia="Arial" w:cs="Arial"/>
          <w:b w:val="1"/>
          <w:bCs w:val="1"/>
          <w:noProof w:val="0"/>
          <w:sz w:val="24"/>
          <w:szCs w:val="24"/>
          <w:lang w:val="en-US"/>
        </w:rPr>
      </w:pPr>
      <w:r w:rsidRPr="4EA8C7D0" w:rsidR="1796A630">
        <w:rPr>
          <w:rFonts w:ascii="Arial" w:hAnsi="Arial" w:eastAsia="Arial" w:cs="Arial"/>
          <w:b w:val="1"/>
          <w:bCs w:val="1"/>
          <w:noProof w:val="0"/>
          <w:sz w:val="24"/>
          <w:szCs w:val="24"/>
          <w:lang w:val="en-US"/>
        </w:rPr>
        <w:t>Organisational Profile</w:t>
      </w:r>
    </w:p>
    <w:p w:rsidR="1796A630" w:rsidP="4EA8C7D0" w:rsidRDefault="1796A630" w14:paraId="0CBCF71E" w14:textId="7AD3EB5D">
      <w:pPr>
        <w:pStyle w:val="Normal"/>
        <w:jc w:val="left"/>
        <w:rPr>
          <w:rFonts w:ascii="Arial" w:hAnsi="Arial" w:eastAsia="Arial" w:cs="Arial" w:asciiTheme="minorAscii" w:hAnsiTheme="minorAscii" w:eastAsiaTheme="minorAscii" w:cstheme="minorAscii"/>
          <w:noProof w:val="0"/>
          <w:sz w:val="24"/>
          <w:szCs w:val="24"/>
          <w:lang w:val="en-US"/>
        </w:rPr>
      </w:pPr>
      <w:r w:rsidRPr="4EA8C7D0" w:rsidR="1796A630">
        <w:rPr>
          <w:rFonts w:ascii="Arial" w:hAnsi="Arial" w:eastAsia="Arial" w:cs="Arial" w:asciiTheme="minorAscii" w:hAnsiTheme="minorAscii" w:eastAsiaTheme="minorAscii" w:cstheme="minorAscii"/>
          <w:noProof w:val="0"/>
          <w:sz w:val="24"/>
          <w:szCs w:val="24"/>
          <w:lang w:val="en-US"/>
        </w:rPr>
        <w:t xml:space="preserve">The National Health Service was established in 1948 as a universal healthcare system providing free care at the point of delivery It is the largest employer in the UK and one of the largest globally, with approximately 1.4 million staff across England, Scotland, Wales and Northern Ireland (NHS England, 2025). Operating across thousands of sites including hospitals, </w:t>
      </w:r>
      <w:r w:rsidRPr="4EA8C7D0" w:rsidR="1796A630">
        <w:rPr>
          <w:rFonts w:ascii="Arial" w:hAnsi="Arial" w:eastAsia="Arial" w:cs="Arial" w:asciiTheme="minorAscii" w:hAnsiTheme="minorAscii" w:eastAsiaTheme="minorAscii" w:cstheme="minorAscii"/>
          <w:noProof w:val="0"/>
          <w:sz w:val="24"/>
          <w:szCs w:val="24"/>
          <w:lang w:val="en-US"/>
        </w:rPr>
        <w:t>general practices</w:t>
      </w:r>
      <w:r w:rsidRPr="4EA8C7D0" w:rsidR="1796A630">
        <w:rPr>
          <w:rFonts w:ascii="Arial" w:hAnsi="Arial" w:eastAsia="Arial" w:cs="Arial" w:asciiTheme="minorAscii" w:hAnsiTheme="minorAscii" w:eastAsiaTheme="minorAscii" w:cstheme="minorAscii"/>
          <w:noProof w:val="0"/>
          <w:sz w:val="24"/>
          <w:szCs w:val="24"/>
          <w:lang w:val="en-US"/>
        </w:rPr>
        <w:t xml:space="preserve">, community services and mental health trusts, the NHS serves every resident, with core principles of universality, comprehensiveness and equity embedded in its founding mandate. The </w:t>
      </w:r>
      <w:r w:rsidRPr="4EA8C7D0" w:rsidR="1796A630">
        <w:rPr>
          <w:rFonts w:ascii="Arial" w:hAnsi="Arial" w:eastAsia="Arial" w:cs="Arial" w:asciiTheme="minorAscii" w:hAnsiTheme="minorAscii" w:eastAsiaTheme="minorAscii" w:cstheme="minorAscii"/>
          <w:noProof w:val="0"/>
          <w:sz w:val="24"/>
          <w:szCs w:val="24"/>
          <w:lang w:val="en-US"/>
        </w:rPr>
        <w:t>organisation</w:t>
      </w:r>
      <w:r w:rsidRPr="4EA8C7D0" w:rsidR="1796A630">
        <w:rPr>
          <w:rFonts w:ascii="Arial" w:hAnsi="Arial" w:eastAsia="Arial" w:cs="Arial" w:asciiTheme="minorAscii" w:hAnsiTheme="minorAscii" w:eastAsiaTheme="minorAscii" w:cstheme="minorAscii"/>
          <w:noProof w:val="0"/>
          <w:sz w:val="24"/>
          <w:szCs w:val="24"/>
          <w:lang w:val="en-US"/>
        </w:rPr>
        <w:t xml:space="preserve"> </w:t>
      </w:r>
      <w:r w:rsidRPr="4EA8C7D0" w:rsidR="1796A630">
        <w:rPr>
          <w:rFonts w:ascii="Arial" w:hAnsi="Arial" w:eastAsia="Arial" w:cs="Arial" w:asciiTheme="minorAscii" w:hAnsiTheme="minorAscii" w:eastAsiaTheme="minorAscii" w:cstheme="minorAscii"/>
          <w:noProof w:val="0"/>
          <w:sz w:val="24"/>
          <w:szCs w:val="24"/>
          <w:lang w:val="en-US"/>
        </w:rPr>
        <w:t>operates</w:t>
      </w:r>
      <w:r w:rsidRPr="4EA8C7D0" w:rsidR="1796A630">
        <w:rPr>
          <w:rFonts w:ascii="Arial" w:hAnsi="Arial" w:eastAsia="Arial" w:cs="Arial" w:asciiTheme="minorAscii" w:hAnsiTheme="minorAscii" w:eastAsiaTheme="minorAscii" w:cstheme="minorAscii"/>
          <w:noProof w:val="0"/>
          <w:sz w:val="24"/>
          <w:szCs w:val="24"/>
          <w:lang w:val="en-US"/>
        </w:rPr>
        <w:t xml:space="preserve"> through a complex </w:t>
      </w:r>
      <w:r w:rsidRPr="4EA8C7D0" w:rsidR="1796A630">
        <w:rPr>
          <w:rFonts w:ascii="Arial" w:hAnsi="Arial" w:eastAsia="Arial" w:cs="Arial" w:asciiTheme="minorAscii" w:hAnsiTheme="minorAscii" w:eastAsiaTheme="minorAscii" w:cstheme="minorAscii"/>
          <w:noProof w:val="0"/>
          <w:sz w:val="24"/>
          <w:szCs w:val="24"/>
          <w:lang w:val="en-US"/>
        </w:rPr>
        <w:t>decentralised</w:t>
      </w:r>
      <w:r w:rsidRPr="4EA8C7D0" w:rsidR="1796A630">
        <w:rPr>
          <w:rFonts w:ascii="Arial" w:hAnsi="Arial" w:eastAsia="Arial" w:cs="Arial" w:asciiTheme="minorAscii" w:hAnsiTheme="minorAscii" w:eastAsiaTheme="minorAscii" w:cstheme="minorAscii"/>
          <w:noProof w:val="0"/>
          <w:sz w:val="24"/>
          <w:szCs w:val="24"/>
          <w:lang w:val="en-US"/>
        </w:rPr>
        <w:t xml:space="preserve"> structure, with national bodies setting strategic direction while individual trusts, boards and clinical commissions design and deliver local services. This balance between national standards and local delivery is central to how the NHS functions and how its culture develops and varies across </w:t>
      </w:r>
      <w:r w:rsidRPr="4EA8C7D0" w:rsidR="1796A630">
        <w:rPr>
          <w:rFonts w:ascii="Arial" w:hAnsi="Arial" w:eastAsia="Arial" w:cs="Arial" w:asciiTheme="minorAscii" w:hAnsiTheme="minorAscii" w:eastAsiaTheme="minorAscii" w:cstheme="minorAscii"/>
          <w:noProof w:val="0"/>
          <w:sz w:val="24"/>
          <w:szCs w:val="24"/>
          <w:lang w:val="en-US"/>
        </w:rPr>
        <w:t>different locations</w:t>
      </w:r>
    </w:p>
    <w:p w:rsidR="4EA8C7D0" w:rsidP="4EA8C7D0" w:rsidRDefault="4EA8C7D0" w14:paraId="23D76B77" w14:textId="40E3629A">
      <w:pPr>
        <w:pStyle w:val="Normal"/>
        <w:jc w:val="left"/>
        <w:rPr>
          <w:rFonts w:ascii="Arial" w:hAnsi="Arial" w:eastAsia="Arial" w:cs="Arial" w:asciiTheme="minorAscii" w:hAnsiTheme="minorAscii" w:eastAsiaTheme="minorAscii" w:cstheme="minorAscii"/>
          <w:noProof w:val="0"/>
          <w:sz w:val="24"/>
          <w:szCs w:val="24"/>
          <w:lang w:val="en-US"/>
        </w:rPr>
      </w:pPr>
    </w:p>
    <w:p w:rsidR="1796A630" w:rsidP="4EA8C7D0" w:rsidRDefault="1796A630" w14:paraId="07B5ECAD" w14:textId="62CD5343">
      <w:pPr>
        <w:pStyle w:val="Normal"/>
        <w:jc w:val="left"/>
      </w:pPr>
      <w:r w:rsidRPr="4EA8C7D0" w:rsidR="1796A630">
        <w:rPr>
          <w:rFonts w:ascii="Arial" w:hAnsi="Arial" w:eastAsia="Arial" w:cs="Arial"/>
          <w:b w:val="1"/>
          <w:bCs w:val="1"/>
          <w:noProof w:val="0"/>
          <w:sz w:val="24"/>
          <w:szCs w:val="24"/>
          <w:lang w:val="en-US"/>
        </w:rPr>
        <w:t>Theoretical Frameworks for Analysing Culture</w:t>
      </w:r>
    </w:p>
    <w:p w:rsidR="1796A630" w:rsidP="4EA8C7D0" w:rsidRDefault="1796A630" w14:paraId="169E6DDF" w14:textId="192E003D">
      <w:pPr>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Schein’s Three Levels of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Organisational</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Culture provides a foundational framework for understanding how culture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operates</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Schein (2010)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identifies</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three interconnected layers: visible artifacts including physical environments, uniforms,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routines</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and meeting structures; espoused values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representing</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stated missions,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policies</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and ethical commitments; and basic underlying assumptions deeply embedded, often unspoken beliefs that guide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behaviour</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and interpretation. This model is particularly valuable in the NHS because it highlights potential gaps between stated values such as patient-first care and the practical realities experienced by staff working under pressure. A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recognised</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limitation of Schein’s approach is that underlying assumptions are difficult to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observe</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and measure, requiring deep engagement rather than surface-level observation (Alvesson, 2016)</w:t>
      </w:r>
    </w:p>
    <w:p w:rsidR="1796A630" w:rsidP="4EA8C7D0" w:rsidRDefault="1796A630" w14:paraId="65E13921" w14:textId="14050A4E">
      <w:pPr>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Handy’s Cultural Types offers a descriptive framework distinguishing four cultural archetypes. A Power Culture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centres</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authority in a small group or individual, with decisions flowing quickly from the top. A Role Culture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operates</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through defined positions, formal procedures and clear hierarchies,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prioritising</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consistency</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and accountability. A Task Culture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organises</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work around teams, projects and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expertise</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emphasising</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flexibility and problem-solving. A Person Culture exists primarily to serve the needs of those within it, with professional autonomy taking precedence over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organisational</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goals. Most real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organisations</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combine elements of multiple types, and the NHS is no exception. While Handy’s model provides a useful starting point for diagnosis, critics note it is descriptive rather than explanatory and does not fully capture how cultures evolve or interact with external pressures (Senior and Swailes, 2016)</w:t>
      </w:r>
    </w:p>
    <w:p w:rsidR="1796A630" w:rsidP="4EA8C7D0" w:rsidRDefault="1796A630" w14:paraId="55F4C05C" w14:textId="5B273A77">
      <w:pPr>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Hofstede’s Cultural Dimensions explores how national cultural values shape workplace expectations. Relevant dimensions include power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distance  the</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extent to which hierarchy and authority are accepted uncertainty avoidance preference for structure and established procedure; and individualism compared to collectivism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prioritising</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personal achievement or group welfare. Within the NHS, these dimensions interact with professional cultures: medical staff may hold different expectations about authority and decision-making compared to administrative or support staff, creating cultural diversity within a single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organisation</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Hofstede’s framework has been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criticised</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for over-</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generalising</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national traits and treating culture as static, yet it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remains</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helpful in understanding how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different groups</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interpret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organisational</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norms (McSweeney, 2002)</w:t>
      </w:r>
    </w:p>
    <w:p w:rsidR="1796A630" w:rsidP="4EA8C7D0" w:rsidRDefault="1796A630" w14:paraId="534E24F6" w14:textId="176E41A0">
      <w:pPr>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The Competing Values Framework developed by Cameron and Quinn (2011) analyses culture along two axes: internal focus compared to external focus, and flexibility compared to stability. This produces four cultural types: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Clan  collaborative</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and people-</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centred</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Adhocracy innovative and entrepreneurial;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Market  results</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-driven and competitive; and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Hierarchy  structured</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rule-bound and efficient. This framework is especially relevant to the NHS because the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organisation</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is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frequently</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pulled in multiple directions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simultaneously  expected</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to be compassionate and inclusive,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efficient</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and consisten innovative and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safe  creating</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competing cultural priorities that require careful management.</w:t>
      </w:r>
    </w:p>
    <w:p w:rsidR="4EA8C7D0" w:rsidP="4EA8C7D0" w:rsidRDefault="4EA8C7D0" w14:paraId="52DC65EF" w14:textId="0E4A5887">
      <w:pPr>
        <w:pStyle w:val="Normal"/>
        <w:jc w:val="left"/>
        <w:rPr>
          <w:rFonts w:ascii="Arial" w:hAnsi="Arial" w:eastAsia="Arial" w:cs="Arial"/>
          <w:b w:val="1"/>
          <w:bCs w:val="1"/>
          <w:noProof w:val="0"/>
          <w:sz w:val="24"/>
          <w:szCs w:val="24"/>
          <w:lang w:val="en-US"/>
        </w:rPr>
      </w:pPr>
    </w:p>
    <w:p w:rsidR="4EA8C7D0" w:rsidP="4EA8C7D0" w:rsidRDefault="4EA8C7D0" w14:paraId="7B2958D4" w14:textId="479A16D2">
      <w:pPr>
        <w:pStyle w:val="Normal"/>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4EA8C7D0" w:rsidP="4EA8C7D0" w:rsidRDefault="4EA8C7D0" w14:paraId="10BD3448" w14:textId="4A9E8131">
      <w:pPr>
        <w:pStyle w:val="Normal"/>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4EA8C7D0" w:rsidP="4EA8C7D0" w:rsidRDefault="4EA8C7D0" w14:paraId="1F074E8C" w14:textId="04BD894B">
      <w:pPr>
        <w:pStyle w:val="Normal"/>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4EA8C7D0" w:rsidP="4EA8C7D0" w:rsidRDefault="4EA8C7D0" w14:paraId="2BA189B1" w14:textId="212C8952">
      <w:pPr>
        <w:pStyle w:val="Normal"/>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4EA8C7D0" w:rsidP="4EA8C7D0" w:rsidRDefault="4EA8C7D0" w14:paraId="6599E8CF" w14:textId="0793EBE7">
      <w:pPr>
        <w:pStyle w:val="Normal"/>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796A630" w:rsidP="4EA8C7D0" w:rsidRDefault="1796A630" w14:paraId="4A5BFF2F" w14:textId="0ABDBF3B">
      <w:pPr>
        <w:pStyle w:val="Normal"/>
        <w:jc w:val="left"/>
      </w:pPr>
      <w:r w:rsidRPr="4EA8C7D0" w:rsidR="1796A630">
        <w:rPr>
          <w:rFonts w:ascii="Arial" w:hAnsi="Arial" w:eastAsia="Arial" w:cs="Arial"/>
          <w:b w:val="1"/>
          <w:bCs w:val="1"/>
          <w:noProof w:val="0"/>
          <w:sz w:val="24"/>
          <w:szCs w:val="24"/>
          <w:lang w:val="en-US"/>
        </w:rPr>
        <w:t>Analysis of Culture Within the NHS</w:t>
      </w:r>
    </w:p>
    <w:p w:rsidR="1796A630" w:rsidP="4EA8C7D0" w:rsidRDefault="1796A630" w14:paraId="78CE93F4" w14:textId="6C15F1E2">
      <w:pPr>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Applying Schein’s model reveals both strong alignment and significant tension across the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organisation</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At the level of artifacts, visible features include distinct professional uniforms, formal governance structures,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standardised</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clinical protocols, multidisciplinary team meetings, patient feedback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systems</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and public recognition events. These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demonstrate</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formality,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professionalism</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and collective purpose. Espoused values are clearly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stated</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working together for patients, respect and dignity, commitment to quality of care, compassion, improving lives and everyone counts (NHS Constitution, 2024) These values are widely communicated and embedded in induction,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training</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and governance documentation. Underlying assumptions are less visible but deeply influential: clinical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expertise</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carries primary authority; patient safety is paramount above all other considerations; service is a public duty rather than a commercial transaction; and resource scarcity is a permanent reality that shapes every decision. The tension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emerges</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when these assumptions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conflict  for</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example, when the imperative to deliver care quickly meets the need to follow safety protocols or when compassionate service is constrained by limited resources.</w:t>
      </w:r>
    </w:p>
    <w:p w:rsidR="1796A630" w:rsidP="4EA8C7D0" w:rsidRDefault="1796A630" w14:paraId="04004E2E" w14:textId="6B263045">
      <w:pPr>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Handy’s cultural types illustrate the NHS as a complex hybrid. Strong elements of Role Culture are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evident</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in extensive procedures, hierarchical reporting lines, formal accountability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structures</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and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standardised</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clinical pathways. This provides essential consistency,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safety</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and accountability across a large and dispersed service. However, powerful elements of Task Culture also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exist  particularly</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within clinical teams where multidisciplinary collaboration, problem-</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solving</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and rapid response are daily requirements. Person Culture is visible among professional groups including doctors,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nurses</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and allied health professionals, where specialist training creates strong professional identity and a degree of autonomy that sits alongside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organisational</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authority. Occasionally this creates friction: professional loyalties may take precedence over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organisational</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objectives</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and different disciplines may approach shared problems from contrasting cultural perspectives. In some areas elements of Market Culture have been introduced through performance targets, competitive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tendering</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and service metrics, creating an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additional</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layer of cultural expectation that may sit uneasily alongside traditional values of public service.</w:t>
      </w:r>
    </w:p>
    <w:p w:rsidR="1796A630" w:rsidP="4EA8C7D0" w:rsidRDefault="1796A630" w14:paraId="5D99E281" w14:textId="51936EB8">
      <w:pPr>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Through Hofstede’s lens, the NHS operates within a UK context of relatively low power distance and moderate uncertainty avoidance, yet internally the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organisation</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reflects higher power distance  traditional deference to medical authority persists in many settings, though this has gradually reduced in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favour</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of shared decision-making. High uncertainty avoidance is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evident</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in reliance on established protocols, clinical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guidelines</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and evidence-based practice, which supports safety but can also discourage innovation where evidence is still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emerging</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The collectivist dimension is strongly reflected in team-based working and collective responsibility for patient care, though individual recognition and professional advancement remain important motivators.</w:t>
      </w:r>
    </w:p>
    <w:p w:rsidR="1796A630" w:rsidP="4EA8C7D0" w:rsidRDefault="1796A630" w14:paraId="2BF6B63B" w14:textId="6395948A">
      <w:pPr>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Using the Competing Values Framework, the NHS displays dominant Hierarchy Culture traits  stability, procedure,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consistency</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and clear accountability  alongside developing Clan Culture elements including teamwork,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compassion</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and shared purpose. Periodic reforms have introduced Market Culture through targets and performance measurement, while Adhocracy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remains</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less developed, with innovation often slow to spread across the system. The prevailing culture can best be described as duty-driven and service-oriented, balancing professional autonomy with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organisational</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structure, and combining deep public service ethos with increasingly formal management practices.</w:t>
      </w:r>
    </w:p>
    <w:p w:rsidR="4EA8C7D0" w:rsidP="4EA8C7D0" w:rsidRDefault="4EA8C7D0" w14:paraId="531C41F0" w14:textId="2BB0AD93">
      <w:pPr>
        <w:pStyle w:val="Normal"/>
        <w:jc w:val="left"/>
        <w:rPr>
          <w:rFonts w:ascii="Arial" w:hAnsi="Arial" w:eastAsia="Arial" w:cs="Arial"/>
          <w:b w:val="1"/>
          <w:bCs w:val="1"/>
          <w:noProof w:val="0"/>
          <w:sz w:val="24"/>
          <w:szCs w:val="24"/>
          <w:lang w:val="en-US"/>
        </w:rPr>
      </w:pPr>
    </w:p>
    <w:p w:rsidR="4F55EA5A" w:rsidP="4F55EA5A" w:rsidRDefault="4F55EA5A" w14:paraId="51466E51" w14:textId="1F7AD037">
      <w:pPr>
        <w:pStyle w:val="Normal"/>
        <w:jc w:val="left"/>
        <w:rPr>
          <w:rFonts w:ascii="Arial" w:hAnsi="Arial" w:eastAsia="Arial" w:cs="Arial"/>
          <w:b w:val="1"/>
          <w:bCs w:val="1"/>
          <w:noProof w:val="0"/>
          <w:sz w:val="24"/>
          <w:szCs w:val="24"/>
          <w:lang w:val="en-US"/>
        </w:rPr>
      </w:pPr>
    </w:p>
    <w:p w:rsidR="4F55EA5A" w:rsidP="4F55EA5A" w:rsidRDefault="4F55EA5A" w14:paraId="6C7BF617" w14:textId="330984AB">
      <w:pPr>
        <w:pStyle w:val="Normal"/>
        <w:jc w:val="left"/>
        <w:rPr>
          <w:rFonts w:ascii="Arial" w:hAnsi="Arial" w:eastAsia="Arial" w:cs="Arial"/>
          <w:b w:val="1"/>
          <w:bCs w:val="1"/>
          <w:noProof w:val="0"/>
          <w:sz w:val="24"/>
          <w:szCs w:val="24"/>
          <w:lang w:val="en-US"/>
        </w:rPr>
      </w:pPr>
    </w:p>
    <w:p w:rsidR="4F55EA5A" w:rsidP="4F55EA5A" w:rsidRDefault="4F55EA5A" w14:paraId="5DC11255" w14:textId="7F92DF7F">
      <w:pPr>
        <w:pStyle w:val="Normal"/>
        <w:jc w:val="left"/>
        <w:rPr>
          <w:rFonts w:ascii="Arial" w:hAnsi="Arial" w:eastAsia="Arial" w:cs="Arial"/>
          <w:b w:val="1"/>
          <w:bCs w:val="1"/>
          <w:noProof w:val="0"/>
          <w:sz w:val="24"/>
          <w:szCs w:val="24"/>
          <w:lang w:val="en-US"/>
        </w:rPr>
      </w:pPr>
    </w:p>
    <w:p w:rsidR="4F55EA5A" w:rsidP="4F55EA5A" w:rsidRDefault="4F55EA5A" w14:paraId="0BCA500C" w14:textId="65609E25">
      <w:pPr>
        <w:pStyle w:val="Normal"/>
        <w:jc w:val="left"/>
        <w:rPr>
          <w:rFonts w:ascii="Arial" w:hAnsi="Arial" w:eastAsia="Arial" w:cs="Arial"/>
          <w:b w:val="1"/>
          <w:bCs w:val="1"/>
          <w:noProof w:val="0"/>
          <w:sz w:val="24"/>
          <w:szCs w:val="24"/>
          <w:lang w:val="en-US"/>
        </w:rPr>
      </w:pPr>
    </w:p>
    <w:p w:rsidR="4F55EA5A" w:rsidP="4F55EA5A" w:rsidRDefault="4F55EA5A" w14:paraId="5601599B" w14:textId="305F845F">
      <w:pPr>
        <w:pStyle w:val="Normal"/>
        <w:jc w:val="left"/>
        <w:rPr>
          <w:rFonts w:ascii="Arial" w:hAnsi="Arial" w:eastAsia="Arial" w:cs="Arial"/>
          <w:b w:val="1"/>
          <w:bCs w:val="1"/>
          <w:noProof w:val="0"/>
          <w:sz w:val="24"/>
          <w:szCs w:val="24"/>
          <w:lang w:val="en-US"/>
        </w:rPr>
      </w:pPr>
    </w:p>
    <w:p w:rsidR="4F55EA5A" w:rsidP="4F55EA5A" w:rsidRDefault="4F55EA5A" w14:paraId="4E1EC8E4" w14:textId="1EA40637">
      <w:pPr>
        <w:pStyle w:val="Normal"/>
        <w:jc w:val="left"/>
        <w:rPr>
          <w:rFonts w:ascii="Arial" w:hAnsi="Arial" w:eastAsia="Arial" w:cs="Arial"/>
          <w:b w:val="1"/>
          <w:bCs w:val="1"/>
          <w:noProof w:val="0"/>
          <w:sz w:val="24"/>
          <w:szCs w:val="24"/>
          <w:lang w:val="en-US"/>
        </w:rPr>
      </w:pPr>
    </w:p>
    <w:p w:rsidR="4F55EA5A" w:rsidP="4F55EA5A" w:rsidRDefault="4F55EA5A" w14:paraId="7189FAB2" w14:textId="7660B41A">
      <w:pPr>
        <w:pStyle w:val="Normal"/>
        <w:jc w:val="left"/>
        <w:rPr>
          <w:rFonts w:ascii="Arial" w:hAnsi="Arial" w:eastAsia="Arial" w:cs="Arial"/>
          <w:b w:val="1"/>
          <w:bCs w:val="1"/>
          <w:noProof w:val="0"/>
          <w:sz w:val="24"/>
          <w:szCs w:val="24"/>
          <w:lang w:val="en-US"/>
        </w:rPr>
      </w:pPr>
    </w:p>
    <w:p w:rsidR="4F55EA5A" w:rsidP="4F55EA5A" w:rsidRDefault="4F55EA5A" w14:paraId="2C98D583" w14:textId="5AA711AB">
      <w:pPr>
        <w:pStyle w:val="Normal"/>
        <w:jc w:val="left"/>
        <w:rPr>
          <w:rFonts w:ascii="Arial" w:hAnsi="Arial" w:eastAsia="Arial" w:cs="Arial"/>
          <w:b w:val="1"/>
          <w:bCs w:val="1"/>
          <w:noProof w:val="0"/>
          <w:sz w:val="24"/>
          <w:szCs w:val="24"/>
          <w:lang w:val="en-US"/>
        </w:rPr>
      </w:pPr>
    </w:p>
    <w:p w:rsidR="1796A630" w:rsidP="4EA8C7D0" w:rsidRDefault="1796A630" w14:paraId="0707D814" w14:textId="78066C92">
      <w:pPr>
        <w:pStyle w:val="Normal"/>
        <w:jc w:val="left"/>
      </w:pPr>
      <w:r w:rsidRPr="4EA8C7D0" w:rsidR="1796A630">
        <w:rPr>
          <w:rFonts w:ascii="Arial" w:hAnsi="Arial" w:eastAsia="Arial" w:cs="Arial"/>
          <w:b w:val="1"/>
          <w:bCs w:val="1"/>
          <w:noProof w:val="0"/>
          <w:sz w:val="24"/>
          <w:szCs w:val="24"/>
          <w:lang w:val="en-US"/>
        </w:rPr>
        <w:t>Culture’s Influence on Structure and Decision-Making</w:t>
      </w:r>
    </w:p>
    <w:p w:rsidR="1796A630" w:rsidP="4EA8C7D0" w:rsidRDefault="1796A630" w14:paraId="773FF800" w14:textId="597DEC8E">
      <w:pPr>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Cultural values directly shape how the NHS is structured and how it functions.</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The cultural emphasis on safety, consistency and accountability supports a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decentralised</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yet formally governed structure, where individual trusts have operational autonomy but must adhere to national standards, regulatory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frameworks</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and clinical guidelines. Authority is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generally matched</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with responsibility: clinical leads influence practice, managers oversee resources and strategy, and boards ensure public accountability. This structure reflects cultural respect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fo</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expertise</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alongside the practical need for coordination across large distances. However, the same cultural traits can also create fragmentation different trusts may interpret shared values differently, professional groups may communicate in distinct ways, and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organisational</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silos can develop where loyalty to a department or profession takes precedence over whole-system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objectives</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As Mullins and Christy (2016)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observe</w:t>
      </w:r>
      <w:r w:rsidRPr="4EA8C7D0" w:rsidR="37EC6075">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culture and structure are mutually reinforcing  cultural norms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establish</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the design, and the design in turn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maintains</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those norms. Changing one without addressing the other is rarely effective.</w:t>
      </w:r>
    </w:p>
    <w:p w:rsidR="1796A630" w:rsidP="4EA8C7D0" w:rsidRDefault="1796A630" w14:paraId="1B9F163B" w14:textId="0E2A3ABF">
      <w:pPr>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Decision-making processes are deeply influenced by cultural factors. Clinical decisions are primarily guided by professional judgement, evidence-based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practice</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and patient welfare, reflecting high regard for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expertise</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and ethical responsibility. Operational and strategic decisions involve consultation across multiple groups, reflecting a cultural expectation that stakeholders should be heard, though this can extend timelines.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Risk is approached with caution patient safety is culturally paramount, so proposals that introduce uncertainty face significant scrutiny.</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This protects service quality but can also mean innovative approaches are slow to be adopted.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Decentralisation</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means decisions are often made locally, allowing responsiveness to specific community needs, but creating variation in how services are designed and delivered. Cultural differences between professional groups can also influence outcomes: a focus on clinical effectiveness may be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prioritised</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over patient experience, or resource constraints may frame decisions in ways that feel at odds with compassionate values, creating ethical and emotional strain for staff.</w:t>
      </w:r>
    </w:p>
    <w:p w:rsidR="1796A630" w:rsidP="4EA8C7D0" w:rsidRDefault="1796A630" w14:paraId="42D88617" w14:textId="7870CA24">
      <w:pPr>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Critical evaluation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shows</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culture provides a valuable framework for decision-making but does not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eliminate</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difficult trade-offs. Resources are finite, demands are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growing</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and solutions are not always clear  cultural values guide priorities but cannot resolve every tension.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Recognising</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these limits is essential: leaders must understand when cultural consensus supports action and when differing perspectives require explicit discussion and compromise</w:t>
      </w:r>
    </w:p>
    <w:p w:rsidR="4EA8C7D0" w:rsidP="4EA8C7D0" w:rsidRDefault="4EA8C7D0" w14:paraId="083F7C1C" w14:textId="2802D30D">
      <w:pPr>
        <w:pStyle w:val="Normal"/>
        <w:jc w:val="left"/>
        <w:rPr>
          <w:rFonts w:ascii="Arial" w:hAnsi="Arial" w:eastAsia="Arial" w:cs="Arial"/>
          <w:b w:val="1"/>
          <w:bCs w:val="1"/>
          <w:noProof w:val="0"/>
          <w:sz w:val="24"/>
          <w:szCs w:val="24"/>
          <w:lang w:val="en-US"/>
        </w:rPr>
      </w:pPr>
    </w:p>
    <w:p w:rsidR="4EA8C7D0" w:rsidP="4EA8C7D0" w:rsidRDefault="4EA8C7D0" w14:paraId="25E73439" w14:textId="319C76AB">
      <w:pPr>
        <w:pStyle w:val="Normal"/>
        <w:jc w:val="left"/>
        <w:rPr>
          <w:rFonts w:ascii="Arial" w:hAnsi="Arial" w:eastAsia="Arial" w:cs="Arial"/>
          <w:b w:val="1"/>
          <w:bCs w:val="1"/>
          <w:noProof w:val="0"/>
          <w:sz w:val="24"/>
          <w:szCs w:val="24"/>
          <w:lang w:val="en-US"/>
        </w:rPr>
      </w:pPr>
    </w:p>
    <w:p w:rsidR="1796A630" w:rsidP="4EA8C7D0" w:rsidRDefault="1796A630" w14:paraId="52AE9085" w14:textId="66F350AB">
      <w:pPr>
        <w:pStyle w:val="Normal"/>
        <w:jc w:val="left"/>
      </w:pPr>
      <w:r w:rsidRPr="4F55EA5A" w:rsidR="4D36E7A9">
        <w:rPr>
          <w:rFonts w:ascii="Arial" w:hAnsi="Arial" w:eastAsia="Arial" w:cs="Arial"/>
          <w:b w:val="1"/>
          <w:bCs w:val="1"/>
          <w:noProof w:val="0"/>
          <w:sz w:val="24"/>
          <w:szCs w:val="24"/>
          <w:lang w:val="en-US"/>
        </w:rPr>
        <w:t>External Environment and Cultural Adaptation</w:t>
      </w:r>
    </w:p>
    <w:p w:rsidR="1796A630" w:rsidP="4EA8C7D0" w:rsidRDefault="1796A630" w14:paraId="28FCCAC2" w14:textId="36C76FA2">
      <w:pPr>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The external environment exerts continuous and significant influence on NHS culture. Demographic change including an ageing population and increasing complexity of long-term conditions increases demand while reshaping expectations about care models. Technological advancement including digital diagnostics, remote monitoring and artificial intelligence creates opportunities but also requires new skills, investment and cultural openness to change. Economic constraints including public spending limits, pay restraint and inflationary pressure influence staffing levels, service capacity and staff wellbeing. Political priorities including restructuring, integration between health and social care, and NHS funding reform create periods of uncertainty and frequent organisational transition. Social shifts including greater patient awareness, demand for personalised care, and expectations around equality and diversity require the organisation to adapt how it communicates and engages with communities. Regulatory change including new safety standards, inspection regimes and workforce legislation shapes practice and accountability throughout the service.</w:t>
      </w:r>
    </w:p>
    <w:p w:rsidR="1796A630" w:rsidP="4EA8C7D0" w:rsidRDefault="1796A630" w14:paraId="1C65F771" w14:textId="12B10436">
      <w:pPr>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The NHS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leverages</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cultural strengths to respond to these challenges. Deep professional commitment and shared public service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purpose</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create resilience  during crises including the COVID-19 pandemic, cultural values of collective responsibility, compassion and duty enabled extraordinary effort and rapid adaptation. Established teamwork and shared mission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facilitate</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coordinated response across specialties and locations. However, cultural traits also create constraints: deeply embedded ways of working can resist change; risk aversion can slow adoption of new models of care; and frequent restructuring can erode trust and willingness to engage with further transformation. The relationship between external pressure and cultural response is not straightforward  urgent threats may unify effort, while sustained incremental pressure can lead to fatigue,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disengagement</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and a defensive preservation of familiar practices.</w:t>
      </w:r>
    </w:p>
    <w:p w:rsidR="1796A630" w:rsidP="4EA8C7D0" w:rsidRDefault="1796A630" w14:paraId="4F1C14F9" w14:textId="71BC7EFC">
      <w:pPr>
        <w:spacing w:before="0" w:beforeAutospacing="off" w:after="0" w:afterAutospacing="off" w:line="360" w:lineRule="auto"/>
        <w:jc w:val="left"/>
      </w:pPr>
      <w:r w:rsidRPr="4F55EA5A" w:rsidR="4D36E7A9">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This </w:t>
      </w:r>
      <w:r w:rsidRPr="4F55EA5A" w:rsidR="4D36E7A9">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demonstrates</w:t>
      </w:r>
      <w:r w:rsidRPr="4F55EA5A" w:rsidR="4D36E7A9">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 core insight from </w:t>
      </w:r>
      <w:r w:rsidRPr="4F55EA5A" w:rsidR="4D36E7A9">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organisational</w:t>
      </w:r>
      <w:r w:rsidRPr="4F55EA5A" w:rsidR="4D36E7A9">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theory culture is both an adaptive resource and a potential constraint. Values that sustain commitment through </w:t>
      </w:r>
      <w:r w:rsidRPr="4F55EA5A" w:rsidR="4D36E7A9">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difficult times</w:t>
      </w:r>
      <w:r w:rsidRPr="4F55EA5A" w:rsidR="4D36E7A9">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may also slow necessary </w:t>
      </w:r>
      <w:r w:rsidRPr="4F55EA5A" w:rsidR="4D36E7A9">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modernisation</w:t>
      </w:r>
      <w:r w:rsidRPr="4F55EA5A" w:rsidR="4D36E7A9">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if not refreshed and reconnected to evolving circumstances.</w:t>
      </w:r>
    </w:p>
    <w:p w:rsidR="4F55EA5A" w:rsidP="4F55EA5A" w:rsidRDefault="4F55EA5A" w14:paraId="5AC95799" w14:textId="44B986F9">
      <w:pPr>
        <w:pStyle w:val="Normal"/>
        <w:spacing w:before="0" w:beforeAutospacing="off" w:after="0" w:afterAutospacing="off" w:line="360" w:lineRule="auto"/>
        <w:jc w:val="left"/>
        <w:rPr>
          <w:rFonts w:ascii="Arial" w:hAnsi="Arial" w:eastAsia="Arial" w:cs="Arial"/>
          <w:b w:val="1"/>
          <w:bCs w:val="1"/>
          <w:noProof w:val="0"/>
          <w:sz w:val="24"/>
          <w:szCs w:val="24"/>
          <w:lang w:val="en-US"/>
        </w:rPr>
      </w:pPr>
    </w:p>
    <w:p w:rsidR="1796A630" w:rsidP="4EA8C7D0" w:rsidRDefault="1796A630" w14:paraId="250A25A2" w14:textId="276E2538">
      <w:pPr>
        <w:pStyle w:val="Normal"/>
        <w:spacing w:before="0" w:beforeAutospacing="off" w:after="0" w:afterAutospacing="off" w:line="360" w:lineRule="auto"/>
        <w:jc w:val="left"/>
      </w:pPr>
      <w:r w:rsidRPr="4EA8C7D0" w:rsidR="1796A630">
        <w:rPr>
          <w:rFonts w:ascii="Arial" w:hAnsi="Arial" w:eastAsia="Arial" w:cs="Arial"/>
          <w:b w:val="1"/>
          <w:bCs w:val="1"/>
          <w:noProof w:val="0"/>
          <w:sz w:val="24"/>
          <w:szCs w:val="24"/>
          <w:lang w:val="en-US"/>
        </w:rPr>
        <w:t>Culture as Barrier or Enabler</w:t>
      </w:r>
    </w:p>
    <w:p w:rsidR="1796A630" w:rsidP="4EA8C7D0" w:rsidRDefault="1796A630" w14:paraId="2BE9AB44" w14:textId="14B2C535">
      <w:pPr>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Across key dimensions, NHS culture acts as both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powerful</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enabler and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significant</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barrier. In relation to patient care and safety, shared commitment to ethical practice protects standards and builds public trust, but defensive practice  </w:t>
      </w:r>
      <w:r w:rsidRPr="4EA8C7D0" w:rsidR="0C9D80C9">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prioritizing</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compliance over improvement  can discourage transparency and honest reporting of concerns. In teamwork and collaboration, strong professional identity creates reliability and mutual support, but silos between disciplines can limit information sharing and coordinated care. In staff engagement, shared purpose is a powerful source of motivation and resilience, yet heavy workloads and limited recognition can erode wellbeing, particularly when values espoused at a national level appear disconnected from local experience. In change management, collective understanding of service mission provides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a strong foundation</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for reform, but repeated restructuring and initiative fatigue can lead to cynicism and disengagement. In reputation and public standing, the cultural legacy of universal, compassionate care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remains</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 source of immense public goodwill, though this trust can be strained by service delays,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inequalities</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and perceived departures from founding principles.</w:t>
      </w:r>
    </w:p>
    <w:p w:rsidR="1796A630" w:rsidP="4EA8C7D0" w:rsidRDefault="1796A630" w14:paraId="034C9EC4" w14:textId="3A69A3EE">
      <w:pPr>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Critical assessment concludes culture functions primarily as an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enabler  the</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enduring commitment to public service, compassion and collective responsibility sustains the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organisation</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through immense pressure and change. However, significant barriers exist that cannot be dismissed as temporary or minor. Cultural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inertia  resistance</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to new ways of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working  is</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reinforced by frequent leadership turnover and shifting priorities. Status differences between professional groups can limit genuine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partnership</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in decision-making. And the gap between stated values and daily working conditions creates dissonance that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impacts</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morale and retention. These are not failures of individual staff but systemic cultural dynamics that require targeted, sustained attention. As Schein (2010) notes, culture is not something that can be switched on or off — it develops over decades and changes only with consistent leadership, safe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dialogue</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and shared commitment to new practices</w:t>
      </w:r>
    </w:p>
    <w:p w:rsidR="4EA8C7D0" w:rsidP="4EA8C7D0" w:rsidRDefault="4EA8C7D0" w14:paraId="11082851" w14:textId="6BFB1127">
      <w:pPr>
        <w:pStyle w:val="Normal"/>
        <w:spacing w:before="0" w:beforeAutospacing="off" w:after="0" w:afterAutospacing="off" w:line="360" w:lineRule="auto"/>
        <w:jc w:val="left"/>
        <w:rPr>
          <w:rFonts w:ascii="Arial" w:hAnsi="Arial" w:eastAsia="Arial" w:cs="Arial"/>
          <w:b w:val="1"/>
          <w:bCs w:val="1"/>
          <w:noProof w:val="0"/>
          <w:sz w:val="24"/>
          <w:szCs w:val="24"/>
          <w:lang w:val="en-US"/>
        </w:rPr>
      </w:pPr>
    </w:p>
    <w:p w:rsidR="4EA8C7D0" w:rsidP="4EA8C7D0" w:rsidRDefault="4EA8C7D0" w14:paraId="20C0EBFC" w14:textId="43D17FA3">
      <w:pPr>
        <w:pStyle w:val="Normal"/>
        <w:jc w:val="left"/>
        <w:rPr>
          <w:rFonts w:ascii="Arial" w:hAnsi="Arial" w:eastAsia="Arial" w:cs="Arial"/>
          <w:b w:val="1"/>
          <w:bCs w:val="1"/>
          <w:noProof w:val="0"/>
          <w:sz w:val="24"/>
          <w:szCs w:val="24"/>
          <w:lang w:val="en-US"/>
        </w:rPr>
      </w:pPr>
    </w:p>
    <w:p w:rsidR="1796A630" w:rsidP="4EA8C7D0" w:rsidRDefault="1796A630" w14:paraId="5E04969A" w14:textId="108492DE">
      <w:pPr>
        <w:pStyle w:val="Normal"/>
        <w:jc w:val="left"/>
      </w:pPr>
      <w:r w:rsidRPr="4EA8C7D0" w:rsidR="1796A630">
        <w:rPr>
          <w:rFonts w:ascii="Arial" w:hAnsi="Arial" w:eastAsia="Arial" w:cs="Arial"/>
          <w:b w:val="1"/>
          <w:bCs w:val="1"/>
          <w:noProof w:val="0"/>
          <w:sz w:val="24"/>
          <w:szCs w:val="24"/>
          <w:lang w:val="en-US"/>
        </w:rPr>
        <w:t>Impact on Performance and Recommendations</w:t>
      </w:r>
    </w:p>
    <w:p w:rsidR="1796A630" w:rsidP="4EA8C7D0" w:rsidRDefault="1796A630" w14:paraId="67301925" w14:textId="31DECC4F">
      <w:pPr>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Cultural influence on performance is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evident</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across every area of operation. Service quality and safety are underpinned by strong ethical and professional standards, though cultural reluctance to admit and learn from errors can limit progress. Staff commitment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remains</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high despite pressure, but retention is increasingly challenged by burnout, workload and feeling undervalued. Innovation and improvement are led by dedicated teams across the service, but successful local initiatives are often difficult to spread  cultural and structural fragmentation slows adoption of best practice. Equity and inclusion are embedded in stated values, but cultural norms and historical patterns mean disparities persist in who advances and how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different groups</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experience the workplace. Public trust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remains</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strong overall, though confidence in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timely</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access and consistent service has declined in recent years.</w:t>
      </w:r>
    </w:p>
    <w:p w:rsidR="1796A630" w:rsidP="4EA8C7D0" w:rsidRDefault="1796A630" w14:paraId="778C91DA" w14:textId="2F411364">
      <w:pPr>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Three evidence-based recommendations are proposed to strengthen culture and performance.</w:t>
      </w:r>
    </w:p>
    <w:p w:rsidR="1796A630" w:rsidP="4EA8C7D0" w:rsidRDefault="1796A630" w14:paraId="348F02F3" w14:textId="6BF29BFD">
      <w:pPr>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The first recommendation is to create structured, safe spaces for honest cultural dialogue. The gap between espoused values and daily experience is a persistent source of stress and disengagement. Independent, anonymous feedback mechanisms should be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established</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to ask staff at all levels where practice conflicts with principle, and where systems or norms prevent them from delivering the care they believe in. Findings should be discussed openly and visibly translated into action. This approach draws on Schein’s insight that unspoken assumptions must be surfaced before they can be addressed  making implicit beliefs explicit enables shared problem-solving rather than defensive silence. Expected outcomes include improved psychological safety, earlier identification of systemic issues, and greater trust that leadership is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listening</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as well as directing.</w:t>
      </w:r>
    </w:p>
    <w:p w:rsidR="1796A630" w:rsidP="4EA8C7D0" w:rsidRDefault="1796A630" w14:paraId="60C2BD02" w14:textId="050D434E">
      <w:pPr>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The second recommendation is to strengthen cross-professional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partnership</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in decision-making. Traditional cultural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deference</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to hierarchy and professional status can exclude valuable perspectives and limit ownership of change. Leadership development should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emphasise</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inclusive practice, and routine decision-making forums should be designed to ensure voices from all roles administrative, clinical,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support</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and specialist  contribute equally. This is grounded in Handy’s observation that Task Culture, built on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expertise</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rather than position, generates engagement and effective problem-solving. Expected outcomes include decisions that reflect operational reality, stronger collective ownership, reduced silos, and better alignment between service design and actual need.</w:t>
      </w:r>
    </w:p>
    <w:p w:rsidR="1796A630" w:rsidP="4EA8C7D0" w:rsidRDefault="1796A630" w14:paraId="453A50A8" w14:textId="74C28D22">
      <w:pPr>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The third recommendation is to build sustainable capacity for cultural adaptability alongside reliability.</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The NHS must remain safe,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consistent</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and accountable while also becoming more agile,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responsive</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and innovative. These priorities are not mutually exclusive, but they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require</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different cultural</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approaches. Protected innovation zones should be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established</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where new practices can be tested with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appropriate oversight</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but without excessive bureaucratic delay, and both reliability and responsible experimentation should be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recognised</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and rewarded in performance frameworks. This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applies</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Cameron and Quinn’s Competing Values Framework acknowledging and valuing multiple cultural orientations explicitly rather than expecting one approach to suit every situation. Expected outcomes include faster adoption of beneficial change, reduced resistance to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new ideas</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and a culture that evolves rather than </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reacts</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 defensively to pressure.</w:t>
      </w:r>
    </w:p>
    <w:p w:rsidR="4EA8C7D0" w:rsidP="4EA8C7D0" w:rsidRDefault="4EA8C7D0" w14:paraId="18072D96" w14:textId="70B769E6">
      <w:pPr>
        <w:pStyle w:val="Normal"/>
        <w:jc w:val="left"/>
        <w:rPr>
          <w:rFonts w:ascii="Arial" w:hAnsi="Arial" w:eastAsia="Arial" w:cs="Arial"/>
          <w:b w:val="1"/>
          <w:bCs w:val="1"/>
          <w:noProof w:val="0"/>
          <w:sz w:val="24"/>
          <w:szCs w:val="24"/>
          <w:lang w:val="en-US"/>
        </w:rPr>
      </w:pPr>
    </w:p>
    <w:p w:rsidR="4EA8C7D0" w:rsidP="4EA8C7D0" w:rsidRDefault="4EA8C7D0" w14:paraId="2B790061" w14:textId="46EB2FEB">
      <w:pPr>
        <w:pStyle w:val="Normal"/>
        <w:jc w:val="left"/>
        <w:rPr>
          <w:rFonts w:ascii="Arial" w:hAnsi="Arial" w:eastAsia="Arial" w:cs="Arial"/>
          <w:b w:val="1"/>
          <w:bCs w:val="1"/>
          <w:noProof w:val="0"/>
          <w:sz w:val="24"/>
          <w:szCs w:val="24"/>
          <w:lang w:val="en-US"/>
        </w:rPr>
      </w:pPr>
    </w:p>
    <w:p w:rsidR="4EA8C7D0" w:rsidP="4EA8C7D0" w:rsidRDefault="4EA8C7D0" w14:paraId="6DAE5B98" w14:textId="17D15634">
      <w:pPr>
        <w:pStyle w:val="Normal"/>
        <w:jc w:val="left"/>
        <w:rPr>
          <w:rFonts w:ascii="Arial" w:hAnsi="Arial" w:eastAsia="Arial" w:cs="Arial"/>
          <w:b w:val="1"/>
          <w:bCs w:val="1"/>
          <w:noProof w:val="0"/>
          <w:sz w:val="24"/>
          <w:szCs w:val="24"/>
          <w:lang w:val="en-US"/>
        </w:rPr>
      </w:pPr>
    </w:p>
    <w:p w:rsidR="4EA8C7D0" w:rsidP="4EA8C7D0" w:rsidRDefault="4EA8C7D0" w14:paraId="18E23F58" w14:textId="43B43BF9">
      <w:pPr>
        <w:pStyle w:val="Normal"/>
        <w:jc w:val="left"/>
        <w:rPr>
          <w:rFonts w:ascii="Arial" w:hAnsi="Arial" w:eastAsia="Arial" w:cs="Arial"/>
          <w:b w:val="1"/>
          <w:bCs w:val="1"/>
          <w:noProof w:val="0"/>
          <w:sz w:val="24"/>
          <w:szCs w:val="24"/>
          <w:lang w:val="en-US"/>
        </w:rPr>
      </w:pPr>
    </w:p>
    <w:p w:rsidR="1796A630" w:rsidP="4EA8C7D0" w:rsidRDefault="1796A630" w14:paraId="4347D9EA" w14:textId="298A7304">
      <w:pPr>
        <w:pStyle w:val="Normal"/>
        <w:jc w:val="left"/>
      </w:pPr>
      <w:r w:rsidRPr="4F55EA5A" w:rsidR="4D36E7A9">
        <w:rPr>
          <w:rFonts w:ascii="Arial" w:hAnsi="Arial" w:eastAsia="Arial" w:cs="Arial"/>
          <w:b w:val="1"/>
          <w:bCs w:val="1"/>
          <w:noProof w:val="0"/>
          <w:sz w:val="24"/>
          <w:szCs w:val="24"/>
          <w:lang w:val="en-US"/>
        </w:rPr>
        <w:t xml:space="preserve">Conclusion </w:t>
      </w:r>
    </w:p>
    <w:p w:rsidR="1796A630" w:rsidP="4EA8C7D0" w:rsidRDefault="1796A630" w14:paraId="6347C016" w14:textId="0534BCB6">
      <w:pPr>
        <w:spacing w:before="0" w:beforeAutospacing="off" w:after="0" w:afterAutospacing="off" w:line="360" w:lineRule="auto"/>
        <w:jc w:val="left"/>
      </w:pPr>
      <w:r w:rsidRPr="4EA8C7D0" w:rsidR="1796A630">
        <w:rPr>
          <w:rFonts w:ascii="system-ui" w:hAnsi="system-ui" w:eastAsia="system-ui" w:cs="system-ui"/>
          <w:b w:val="0"/>
          <w:bCs w:val="0"/>
          <w:i w:val="0"/>
          <w:iCs w:val="0"/>
          <w:noProof w:val="0"/>
          <w:color w:val="000000" w:themeColor="text1" w:themeTint="FF" w:themeShade="FF"/>
          <w:sz w:val="24"/>
          <w:szCs w:val="24"/>
          <w:lang w:val="en-US"/>
        </w:rPr>
        <w:t xml:space="preserve">Mullins and Christy (2016) assert that culture shapes every aspect of </w:t>
      </w:r>
      <w:r w:rsidRPr="4EA8C7D0" w:rsidR="1796A630">
        <w:rPr>
          <w:rFonts w:ascii="system-ui" w:hAnsi="system-ui" w:eastAsia="system-ui" w:cs="system-ui"/>
          <w:b w:val="0"/>
          <w:bCs w:val="0"/>
          <w:i w:val="0"/>
          <w:iCs w:val="0"/>
          <w:noProof w:val="0"/>
          <w:color w:val="000000" w:themeColor="text1" w:themeTint="FF" w:themeShade="FF"/>
          <w:sz w:val="24"/>
          <w:szCs w:val="24"/>
          <w:lang w:val="en-US"/>
        </w:rPr>
        <w:t>organisational</w:t>
      </w:r>
      <w:r w:rsidRPr="4EA8C7D0" w:rsidR="1796A630">
        <w:rPr>
          <w:rFonts w:ascii="system-ui" w:hAnsi="system-ui" w:eastAsia="system-ui" w:cs="system-ui"/>
          <w:b w:val="0"/>
          <w:bCs w:val="0"/>
          <w:i w:val="0"/>
          <w:iCs w:val="0"/>
          <w:noProof w:val="0"/>
          <w:color w:val="000000" w:themeColor="text1" w:themeTint="FF" w:themeShade="FF"/>
          <w:sz w:val="24"/>
          <w:szCs w:val="24"/>
          <w:lang w:val="en-US"/>
        </w:rPr>
        <w:t xml:space="preserve"> life, and analysis of the NHS confirms this. The service’s culture rooted in public duty, compassion, professional </w:t>
      </w:r>
      <w:r w:rsidRPr="4EA8C7D0" w:rsidR="1796A630">
        <w:rPr>
          <w:rFonts w:ascii="system-ui" w:hAnsi="system-ui" w:eastAsia="system-ui" w:cs="system-ui"/>
          <w:b w:val="0"/>
          <w:bCs w:val="0"/>
          <w:i w:val="0"/>
          <w:iCs w:val="0"/>
          <w:noProof w:val="0"/>
          <w:color w:val="000000" w:themeColor="text1" w:themeTint="FF" w:themeShade="FF"/>
          <w:sz w:val="24"/>
          <w:szCs w:val="24"/>
          <w:lang w:val="en-US"/>
        </w:rPr>
        <w:t>responsibility</w:t>
      </w:r>
      <w:r w:rsidRPr="4EA8C7D0" w:rsidR="1796A630">
        <w:rPr>
          <w:rFonts w:ascii="system-ui" w:hAnsi="system-ui" w:eastAsia="system-ui" w:cs="system-ui"/>
          <w:b w:val="0"/>
          <w:bCs w:val="0"/>
          <w:i w:val="0"/>
          <w:iCs w:val="0"/>
          <w:noProof w:val="0"/>
          <w:color w:val="000000" w:themeColor="text1" w:themeTint="FF" w:themeShade="FF"/>
          <w:sz w:val="24"/>
          <w:szCs w:val="24"/>
          <w:lang w:val="en-US"/>
        </w:rPr>
        <w:t xml:space="preserve"> and collective purpose has sustained it through decades of change, </w:t>
      </w:r>
      <w:r w:rsidRPr="4EA8C7D0" w:rsidR="1796A630">
        <w:rPr>
          <w:rFonts w:ascii="system-ui" w:hAnsi="system-ui" w:eastAsia="system-ui" w:cs="system-ui"/>
          <w:b w:val="0"/>
          <w:bCs w:val="0"/>
          <w:i w:val="0"/>
          <w:iCs w:val="0"/>
          <w:noProof w:val="0"/>
          <w:color w:val="000000" w:themeColor="text1" w:themeTint="FF" w:themeShade="FF"/>
          <w:sz w:val="24"/>
          <w:szCs w:val="24"/>
          <w:lang w:val="en-US"/>
        </w:rPr>
        <w:t>expansion</w:t>
      </w:r>
      <w:r w:rsidRPr="4EA8C7D0" w:rsidR="1796A630">
        <w:rPr>
          <w:rFonts w:ascii="system-ui" w:hAnsi="system-ui" w:eastAsia="system-ui" w:cs="system-ui"/>
          <w:b w:val="0"/>
          <w:bCs w:val="0"/>
          <w:i w:val="0"/>
          <w:iCs w:val="0"/>
          <w:noProof w:val="0"/>
          <w:color w:val="000000" w:themeColor="text1" w:themeTint="FF" w:themeShade="FF"/>
          <w:sz w:val="24"/>
          <w:szCs w:val="24"/>
          <w:lang w:val="en-US"/>
        </w:rPr>
        <w:t xml:space="preserve"> and crisis. It provides resilience, public </w:t>
      </w:r>
      <w:r w:rsidRPr="4EA8C7D0" w:rsidR="1796A630">
        <w:rPr>
          <w:rFonts w:ascii="system-ui" w:hAnsi="system-ui" w:eastAsia="system-ui" w:cs="system-ui"/>
          <w:b w:val="0"/>
          <w:bCs w:val="0"/>
          <w:i w:val="0"/>
          <w:iCs w:val="0"/>
          <w:noProof w:val="0"/>
          <w:color w:val="000000" w:themeColor="text1" w:themeTint="FF" w:themeShade="FF"/>
          <w:sz w:val="24"/>
          <w:szCs w:val="24"/>
          <w:lang w:val="en-US"/>
        </w:rPr>
        <w:t>trust</w:t>
      </w:r>
      <w:r w:rsidRPr="4EA8C7D0" w:rsidR="1796A630">
        <w:rPr>
          <w:rFonts w:ascii="system-ui" w:hAnsi="system-ui" w:eastAsia="system-ui" w:cs="system-ui"/>
          <w:b w:val="0"/>
          <w:bCs w:val="0"/>
          <w:i w:val="0"/>
          <w:iCs w:val="0"/>
          <w:noProof w:val="0"/>
          <w:color w:val="000000" w:themeColor="text1" w:themeTint="FF" w:themeShade="FF"/>
          <w:sz w:val="24"/>
          <w:szCs w:val="24"/>
          <w:lang w:val="en-US"/>
        </w:rPr>
        <w:t xml:space="preserve"> and a powerful shared mission that </w:t>
      </w:r>
      <w:r w:rsidRPr="4EA8C7D0" w:rsidR="1796A630">
        <w:rPr>
          <w:rFonts w:ascii="system-ui" w:hAnsi="system-ui" w:eastAsia="system-ui" w:cs="system-ui"/>
          <w:b w:val="0"/>
          <w:bCs w:val="0"/>
          <w:i w:val="0"/>
          <w:iCs w:val="0"/>
          <w:noProof w:val="0"/>
          <w:color w:val="000000" w:themeColor="text1" w:themeTint="FF" w:themeShade="FF"/>
          <w:sz w:val="24"/>
          <w:szCs w:val="24"/>
          <w:lang w:val="en-US"/>
        </w:rPr>
        <w:t>remains</w:t>
      </w:r>
      <w:r w:rsidRPr="4EA8C7D0" w:rsidR="1796A630">
        <w:rPr>
          <w:rFonts w:ascii="system-ui" w:hAnsi="system-ui" w:eastAsia="system-ui" w:cs="system-ui"/>
          <w:b w:val="0"/>
          <w:bCs w:val="0"/>
          <w:i w:val="0"/>
          <w:iCs w:val="0"/>
          <w:noProof w:val="0"/>
          <w:color w:val="000000" w:themeColor="text1" w:themeTint="FF" w:themeShade="FF"/>
          <w:sz w:val="24"/>
          <w:szCs w:val="24"/>
          <w:lang w:val="en-US"/>
        </w:rPr>
        <w:t xml:space="preserve"> unmatched in its reach and significance. Yet this same culture carries limitations: deeply embedded patterns can slow necessary adaptation; professional and </w:t>
      </w:r>
      <w:r w:rsidRPr="4EA8C7D0" w:rsidR="1796A630">
        <w:rPr>
          <w:rFonts w:ascii="system-ui" w:hAnsi="system-ui" w:eastAsia="system-ui" w:cs="system-ui"/>
          <w:b w:val="0"/>
          <w:bCs w:val="0"/>
          <w:i w:val="0"/>
          <w:iCs w:val="0"/>
          <w:noProof w:val="0"/>
          <w:color w:val="000000" w:themeColor="text1" w:themeTint="FF" w:themeShade="FF"/>
          <w:sz w:val="24"/>
          <w:szCs w:val="24"/>
          <w:lang w:val="en-US"/>
        </w:rPr>
        <w:t>organisational</w:t>
      </w:r>
      <w:r w:rsidRPr="4EA8C7D0" w:rsidR="1796A630">
        <w:rPr>
          <w:rFonts w:ascii="system-ui" w:hAnsi="system-ui" w:eastAsia="system-ui" w:cs="system-ui"/>
          <w:b w:val="0"/>
          <w:bCs w:val="0"/>
          <w:i w:val="0"/>
          <w:iCs w:val="0"/>
          <w:noProof w:val="0"/>
          <w:color w:val="000000" w:themeColor="text1" w:themeTint="FF" w:themeShade="FF"/>
          <w:sz w:val="24"/>
          <w:szCs w:val="24"/>
          <w:lang w:val="en-US"/>
        </w:rPr>
        <w:t xml:space="preserve"> boundaries can fragment care; and the gap between ideal values and constrained reality can wear on those who deliver the service.</w:t>
      </w:r>
    </w:p>
    <w:p w:rsidR="1796A630" w:rsidP="4EA8C7D0" w:rsidRDefault="1796A630" w14:paraId="19FF4DCB" w14:textId="63DBDF12">
      <w:pPr>
        <w:spacing w:before="0" w:beforeAutospacing="off" w:after="0" w:afterAutospacing="off" w:line="360" w:lineRule="auto"/>
        <w:jc w:val="left"/>
      </w:pPr>
      <w:r w:rsidRPr="4EA8C7D0" w:rsidR="1796A630">
        <w:rPr>
          <w:rFonts w:ascii="system-ui" w:hAnsi="system-ui" w:eastAsia="system-ui" w:cs="system-ui"/>
          <w:b w:val="0"/>
          <w:bCs w:val="0"/>
          <w:i w:val="0"/>
          <w:iCs w:val="0"/>
          <w:noProof w:val="0"/>
          <w:color w:val="000000" w:themeColor="text1" w:themeTint="FF" w:themeShade="FF"/>
          <w:sz w:val="24"/>
          <w:szCs w:val="24"/>
          <w:lang w:val="en-US"/>
        </w:rPr>
        <w:t xml:space="preserve">The challenge is not to replace the existing culture but to nurture and extend </w:t>
      </w:r>
      <w:r w:rsidRPr="4EA8C7D0" w:rsidR="1796A630">
        <w:rPr>
          <w:rFonts w:ascii="system-ui" w:hAnsi="system-ui" w:eastAsia="system-ui" w:cs="system-ui"/>
          <w:b w:val="0"/>
          <w:bCs w:val="0"/>
          <w:i w:val="0"/>
          <w:iCs w:val="0"/>
          <w:noProof w:val="0"/>
          <w:color w:val="000000" w:themeColor="text1" w:themeTint="FF" w:themeShade="FF"/>
          <w:sz w:val="24"/>
          <w:szCs w:val="24"/>
          <w:lang w:val="en-US"/>
        </w:rPr>
        <w:t>it  preserving</w:t>
      </w:r>
      <w:r w:rsidRPr="4EA8C7D0" w:rsidR="1796A630">
        <w:rPr>
          <w:rFonts w:ascii="system-ui" w:hAnsi="system-ui" w:eastAsia="system-ui" w:cs="system-ui"/>
          <w:b w:val="0"/>
          <w:bCs w:val="0"/>
          <w:i w:val="0"/>
          <w:iCs w:val="0"/>
          <w:noProof w:val="0"/>
          <w:color w:val="000000" w:themeColor="text1" w:themeTint="FF" w:themeShade="FF"/>
          <w:sz w:val="24"/>
          <w:szCs w:val="24"/>
          <w:lang w:val="en-US"/>
        </w:rPr>
        <w:t xml:space="preserve"> the essential values of care, equity and service while building greater agility, </w:t>
      </w:r>
      <w:r w:rsidRPr="4EA8C7D0" w:rsidR="1796A630">
        <w:rPr>
          <w:rFonts w:ascii="system-ui" w:hAnsi="system-ui" w:eastAsia="system-ui" w:cs="system-ui"/>
          <w:b w:val="0"/>
          <w:bCs w:val="0"/>
          <w:i w:val="0"/>
          <w:iCs w:val="0"/>
          <w:noProof w:val="0"/>
          <w:color w:val="000000" w:themeColor="text1" w:themeTint="FF" w:themeShade="FF"/>
          <w:sz w:val="24"/>
          <w:szCs w:val="24"/>
          <w:lang w:val="en-US"/>
        </w:rPr>
        <w:t>inclusion</w:t>
      </w:r>
      <w:r w:rsidRPr="4EA8C7D0" w:rsidR="1796A630">
        <w:rPr>
          <w:rFonts w:ascii="system-ui" w:hAnsi="system-ui" w:eastAsia="system-ui" w:cs="system-ui"/>
          <w:b w:val="0"/>
          <w:bCs w:val="0"/>
          <w:i w:val="0"/>
          <w:iCs w:val="0"/>
          <w:noProof w:val="0"/>
          <w:color w:val="000000" w:themeColor="text1" w:themeTint="FF" w:themeShade="FF"/>
          <w:sz w:val="24"/>
          <w:szCs w:val="24"/>
          <w:lang w:val="en-US"/>
        </w:rPr>
        <w:t xml:space="preserve"> and openness to learning. The recommendations proposed honest dialogue, inclusive </w:t>
      </w:r>
      <w:r w:rsidRPr="4EA8C7D0" w:rsidR="1796A630">
        <w:rPr>
          <w:rFonts w:ascii="system-ui" w:hAnsi="system-ui" w:eastAsia="system-ui" w:cs="system-ui"/>
          <w:b w:val="0"/>
          <w:bCs w:val="0"/>
          <w:i w:val="0"/>
          <w:iCs w:val="0"/>
          <w:noProof w:val="0"/>
          <w:color w:val="000000" w:themeColor="text1" w:themeTint="FF" w:themeShade="FF"/>
          <w:sz w:val="24"/>
          <w:szCs w:val="24"/>
          <w:lang w:val="en-US"/>
        </w:rPr>
        <w:t>partnership</w:t>
      </w:r>
      <w:r w:rsidRPr="4EA8C7D0" w:rsidR="1796A630">
        <w:rPr>
          <w:rFonts w:ascii="system-ui" w:hAnsi="system-ui" w:eastAsia="system-ui" w:cs="system-ui"/>
          <w:b w:val="0"/>
          <w:bCs w:val="0"/>
          <w:i w:val="0"/>
          <w:iCs w:val="0"/>
          <w:noProof w:val="0"/>
          <w:color w:val="000000" w:themeColor="text1" w:themeTint="FF" w:themeShade="FF"/>
          <w:sz w:val="24"/>
          <w:szCs w:val="24"/>
          <w:lang w:val="en-US"/>
        </w:rPr>
        <w:t xml:space="preserve"> and balanced adaptability  offer a pathway to do this, grounded in theory and responsive to real-world conditions. Cultural improvement is </w:t>
      </w:r>
      <w:r w:rsidRPr="4EA8C7D0" w:rsidR="1796A630">
        <w:rPr>
          <w:rFonts w:ascii="system-ui" w:hAnsi="system-ui" w:eastAsia="system-ui" w:cs="system-ui"/>
          <w:b w:val="0"/>
          <w:bCs w:val="0"/>
          <w:i w:val="0"/>
          <w:iCs w:val="0"/>
          <w:noProof w:val="0"/>
          <w:color w:val="000000" w:themeColor="text1" w:themeTint="FF" w:themeShade="FF"/>
          <w:sz w:val="24"/>
          <w:szCs w:val="24"/>
          <w:lang w:val="en-US"/>
        </w:rPr>
        <w:t>incremental,</w:t>
      </w:r>
      <w:r w:rsidRPr="4EA8C7D0" w:rsidR="1796A630">
        <w:rPr>
          <w:rFonts w:ascii="system-ui" w:hAnsi="system-ui" w:eastAsia="system-ui" w:cs="system-ui"/>
          <w:b w:val="0"/>
          <w:bCs w:val="0"/>
          <w:i w:val="0"/>
          <w:iCs w:val="0"/>
          <w:noProof w:val="0"/>
          <w:color w:val="000000" w:themeColor="text1" w:themeTint="FF" w:themeShade="FF"/>
          <w:sz w:val="24"/>
          <w:szCs w:val="24"/>
          <w:lang w:val="en-US"/>
        </w:rPr>
        <w:t xml:space="preserve"> it requires consistent leadership, and it depends on listening to those who know the service best — the staff who deliver it every day. As the external environment continues to evolve, the capacity to hold fast to core principles while </w:t>
      </w:r>
      <w:r w:rsidRPr="4EA8C7D0" w:rsidR="1796A630">
        <w:rPr>
          <w:rFonts w:ascii="system-ui" w:hAnsi="system-ui" w:eastAsia="system-ui" w:cs="system-ui"/>
          <w:b w:val="0"/>
          <w:bCs w:val="0"/>
          <w:i w:val="0"/>
          <w:iCs w:val="0"/>
          <w:noProof w:val="0"/>
          <w:color w:val="000000" w:themeColor="text1" w:themeTint="FF" w:themeShade="FF"/>
          <w:sz w:val="24"/>
          <w:szCs w:val="24"/>
          <w:lang w:val="en-US"/>
        </w:rPr>
        <w:t>remaining</w:t>
      </w:r>
      <w:r w:rsidRPr="4EA8C7D0" w:rsidR="1796A630">
        <w:rPr>
          <w:rFonts w:ascii="system-ui" w:hAnsi="system-ui" w:eastAsia="system-ui" w:cs="system-ui"/>
          <w:b w:val="0"/>
          <w:bCs w:val="0"/>
          <w:i w:val="0"/>
          <w:iCs w:val="0"/>
          <w:noProof w:val="0"/>
          <w:color w:val="000000" w:themeColor="text1" w:themeTint="FF" w:themeShade="FF"/>
          <w:sz w:val="24"/>
          <w:szCs w:val="24"/>
          <w:lang w:val="en-US"/>
        </w:rPr>
        <w:t xml:space="preserve"> open to new ways of working will </w:t>
      </w:r>
      <w:r w:rsidRPr="4EA8C7D0" w:rsidR="1796A630">
        <w:rPr>
          <w:rFonts w:ascii="system-ui" w:hAnsi="system-ui" w:eastAsia="system-ui" w:cs="system-ui"/>
          <w:b w:val="0"/>
          <w:bCs w:val="0"/>
          <w:i w:val="0"/>
          <w:iCs w:val="0"/>
          <w:noProof w:val="0"/>
          <w:color w:val="000000" w:themeColor="text1" w:themeTint="FF" w:themeShade="FF"/>
          <w:sz w:val="24"/>
          <w:szCs w:val="24"/>
          <w:lang w:val="en-US"/>
        </w:rPr>
        <w:t>determine</w:t>
      </w:r>
      <w:r w:rsidRPr="4EA8C7D0" w:rsidR="1796A630">
        <w:rPr>
          <w:rFonts w:ascii="system-ui" w:hAnsi="system-ui" w:eastAsia="system-ui" w:cs="system-ui"/>
          <w:b w:val="0"/>
          <w:bCs w:val="0"/>
          <w:i w:val="0"/>
          <w:iCs w:val="0"/>
          <w:noProof w:val="0"/>
          <w:color w:val="000000" w:themeColor="text1" w:themeTint="FF" w:themeShade="FF"/>
          <w:sz w:val="24"/>
          <w:szCs w:val="24"/>
          <w:lang w:val="en-US"/>
        </w:rPr>
        <w:t xml:space="preserve"> how well the NHS serves future generation</w:t>
      </w:r>
    </w:p>
    <w:p w:rsidR="4EA8C7D0" w:rsidP="4EA8C7D0" w:rsidRDefault="4EA8C7D0" w14:paraId="50BEC9DC" w14:textId="380163B1">
      <w:pPr>
        <w:spacing w:before="0" w:beforeAutospacing="off" w:after="0" w:afterAutospacing="off" w:line="360" w:lineRule="auto"/>
        <w:jc w:val="left"/>
        <w:rPr>
          <w:rFonts w:ascii="system-ui" w:hAnsi="system-ui" w:eastAsia="system-ui" w:cs="system-ui"/>
          <w:b w:val="0"/>
          <w:bCs w:val="0"/>
          <w:i w:val="0"/>
          <w:iCs w:val="0"/>
          <w:noProof w:val="0"/>
          <w:color w:val="000000" w:themeColor="text1" w:themeTint="FF" w:themeShade="FF"/>
          <w:sz w:val="24"/>
          <w:szCs w:val="24"/>
          <w:lang w:val="en-US"/>
        </w:rPr>
      </w:pPr>
    </w:p>
    <w:p w:rsidR="4EA8C7D0" w:rsidP="4EA8C7D0" w:rsidRDefault="4EA8C7D0" w14:paraId="15BCB869" w14:textId="4C3FA738">
      <w:pPr>
        <w:spacing w:before="0" w:beforeAutospacing="off" w:after="0" w:afterAutospacing="off" w:line="360" w:lineRule="auto"/>
        <w:jc w:val="left"/>
        <w:rPr>
          <w:rFonts w:ascii="system-ui" w:hAnsi="system-ui" w:eastAsia="system-ui" w:cs="system-ui"/>
          <w:b w:val="0"/>
          <w:bCs w:val="0"/>
          <w:i w:val="0"/>
          <w:iCs w:val="0"/>
          <w:noProof w:val="0"/>
          <w:color w:val="000000" w:themeColor="text1" w:themeTint="FF" w:themeShade="FF"/>
          <w:sz w:val="24"/>
          <w:szCs w:val="24"/>
          <w:lang w:val="en-US"/>
        </w:rPr>
      </w:pPr>
    </w:p>
    <w:p w:rsidR="4EA8C7D0" w:rsidP="4EA8C7D0" w:rsidRDefault="4EA8C7D0" w14:paraId="0AAAEE6C" w14:textId="641DC34F">
      <w:pPr>
        <w:spacing w:before="0" w:beforeAutospacing="off" w:after="0" w:afterAutospacing="off" w:line="360" w:lineRule="auto"/>
        <w:jc w:val="left"/>
        <w:rPr>
          <w:rFonts w:ascii="system-ui" w:hAnsi="system-ui" w:eastAsia="system-ui" w:cs="system-ui"/>
          <w:b w:val="0"/>
          <w:bCs w:val="0"/>
          <w:i w:val="0"/>
          <w:iCs w:val="0"/>
          <w:noProof w:val="0"/>
          <w:color w:val="000000" w:themeColor="text1" w:themeTint="FF" w:themeShade="FF"/>
          <w:sz w:val="24"/>
          <w:szCs w:val="24"/>
          <w:lang w:val="en-US"/>
        </w:rPr>
      </w:pPr>
    </w:p>
    <w:p w:rsidR="4EA8C7D0" w:rsidP="4EA8C7D0" w:rsidRDefault="4EA8C7D0" w14:paraId="545382B6" w14:textId="40FC6FD3">
      <w:pPr>
        <w:spacing w:before="0" w:beforeAutospacing="off" w:after="0" w:afterAutospacing="off" w:line="360" w:lineRule="auto"/>
        <w:jc w:val="left"/>
        <w:rPr>
          <w:rFonts w:ascii="system-ui" w:hAnsi="system-ui" w:eastAsia="system-ui" w:cs="system-ui"/>
          <w:b w:val="0"/>
          <w:bCs w:val="0"/>
          <w:i w:val="0"/>
          <w:iCs w:val="0"/>
          <w:noProof w:val="0"/>
          <w:color w:val="000000" w:themeColor="text1" w:themeTint="FF" w:themeShade="FF"/>
          <w:sz w:val="24"/>
          <w:szCs w:val="24"/>
          <w:lang w:val="en-US"/>
        </w:rPr>
      </w:pPr>
    </w:p>
    <w:p w:rsidR="4EA8C7D0" w:rsidP="4EA8C7D0" w:rsidRDefault="4EA8C7D0" w14:paraId="23A65B2D" w14:textId="4E221231">
      <w:pPr>
        <w:spacing w:before="0" w:beforeAutospacing="off" w:after="0" w:afterAutospacing="off" w:line="360" w:lineRule="auto"/>
        <w:jc w:val="left"/>
        <w:rPr>
          <w:rFonts w:ascii="system-ui" w:hAnsi="system-ui" w:eastAsia="system-ui" w:cs="system-ui"/>
          <w:b w:val="0"/>
          <w:bCs w:val="0"/>
          <w:i w:val="0"/>
          <w:iCs w:val="0"/>
          <w:noProof w:val="0"/>
          <w:color w:val="000000" w:themeColor="text1" w:themeTint="FF" w:themeShade="FF"/>
          <w:sz w:val="24"/>
          <w:szCs w:val="24"/>
          <w:lang w:val="en-US"/>
        </w:rPr>
      </w:pPr>
    </w:p>
    <w:p w:rsidR="4EA8C7D0" w:rsidP="4EA8C7D0" w:rsidRDefault="4EA8C7D0" w14:paraId="45C5581F" w14:textId="44B0383A">
      <w:pPr>
        <w:spacing w:before="0" w:beforeAutospacing="off" w:after="0" w:afterAutospacing="off" w:line="360" w:lineRule="auto"/>
        <w:jc w:val="left"/>
        <w:rPr>
          <w:rFonts w:ascii="system-ui" w:hAnsi="system-ui" w:eastAsia="system-ui" w:cs="system-ui"/>
          <w:b w:val="0"/>
          <w:bCs w:val="0"/>
          <w:i w:val="0"/>
          <w:iCs w:val="0"/>
          <w:noProof w:val="0"/>
          <w:color w:val="000000" w:themeColor="text1" w:themeTint="FF" w:themeShade="FF"/>
          <w:sz w:val="24"/>
          <w:szCs w:val="24"/>
          <w:lang w:val="en-US"/>
        </w:rPr>
      </w:pPr>
    </w:p>
    <w:p w:rsidR="4EA8C7D0" w:rsidP="4EA8C7D0" w:rsidRDefault="4EA8C7D0" w14:paraId="6248945A" w14:textId="19C4D308">
      <w:pPr>
        <w:spacing w:before="0" w:beforeAutospacing="off" w:after="0" w:afterAutospacing="off" w:line="360" w:lineRule="auto"/>
        <w:jc w:val="left"/>
        <w:rPr>
          <w:rFonts w:ascii="system-ui" w:hAnsi="system-ui" w:eastAsia="system-ui" w:cs="system-ui"/>
          <w:b w:val="0"/>
          <w:bCs w:val="0"/>
          <w:i w:val="0"/>
          <w:iCs w:val="0"/>
          <w:noProof w:val="0"/>
          <w:color w:val="000000" w:themeColor="text1" w:themeTint="FF" w:themeShade="FF"/>
          <w:sz w:val="24"/>
          <w:szCs w:val="24"/>
          <w:lang w:val="en-US"/>
        </w:rPr>
      </w:pPr>
    </w:p>
    <w:p w:rsidR="4EA8C7D0" w:rsidP="4EA8C7D0" w:rsidRDefault="4EA8C7D0" w14:paraId="697266B5" w14:textId="42E92022">
      <w:pPr>
        <w:spacing w:before="0" w:beforeAutospacing="off" w:after="0" w:afterAutospacing="off" w:line="360" w:lineRule="auto"/>
        <w:jc w:val="left"/>
        <w:rPr>
          <w:rFonts w:ascii="system-ui" w:hAnsi="system-ui" w:eastAsia="system-ui" w:cs="system-ui"/>
          <w:b w:val="0"/>
          <w:bCs w:val="0"/>
          <w:i w:val="0"/>
          <w:iCs w:val="0"/>
          <w:noProof w:val="0"/>
          <w:color w:val="000000" w:themeColor="text1" w:themeTint="FF" w:themeShade="FF"/>
          <w:sz w:val="24"/>
          <w:szCs w:val="24"/>
          <w:lang w:val="en-US"/>
        </w:rPr>
      </w:pPr>
    </w:p>
    <w:p w:rsidR="4EA8C7D0" w:rsidP="4EA8C7D0" w:rsidRDefault="4EA8C7D0" w14:paraId="13348F90" w14:textId="7A258143">
      <w:pPr>
        <w:spacing w:before="0" w:beforeAutospacing="off" w:after="0" w:afterAutospacing="off" w:line="360" w:lineRule="auto"/>
        <w:jc w:val="left"/>
        <w:rPr>
          <w:rFonts w:ascii="system-ui" w:hAnsi="system-ui" w:eastAsia="system-ui" w:cs="system-ui"/>
          <w:b w:val="0"/>
          <w:bCs w:val="0"/>
          <w:i w:val="0"/>
          <w:iCs w:val="0"/>
          <w:noProof w:val="0"/>
          <w:color w:val="000000" w:themeColor="text1" w:themeTint="FF" w:themeShade="FF"/>
          <w:sz w:val="24"/>
          <w:szCs w:val="24"/>
          <w:lang w:val="en-US"/>
        </w:rPr>
      </w:pPr>
    </w:p>
    <w:p w:rsidR="4EA8C7D0" w:rsidP="4EA8C7D0" w:rsidRDefault="4EA8C7D0" w14:paraId="4E4807E0" w14:textId="5B90F96A">
      <w:pPr>
        <w:spacing w:before="0" w:beforeAutospacing="off" w:after="0" w:afterAutospacing="off" w:line="360" w:lineRule="auto"/>
        <w:jc w:val="left"/>
        <w:rPr>
          <w:rFonts w:ascii="system-ui" w:hAnsi="system-ui" w:eastAsia="system-ui" w:cs="system-ui"/>
          <w:b w:val="0"/>
          <w:bCs w:val="0"/>
          <w:i w:val="0"/>
          <w:iCs w:val="0"/>
          <w:noProof w:val="0"/>
          <w:color w:val="000000" w:themeColor="text1" w:themeTint="FF" w:themeShade="FF"/>
          <w:sz w:val="24"/>
          <w:szCs w:val="24"/>
          <w:lang w:val="en-US"/>
        </w:rPr>
      </w:pPr>
    </w:p>
    <w:p w:rsidR="1796A630" w:rsidP="4EA8C7D0" w:rsidRDefault="1796A630" w14:paraId="342772B9" w14:textId="7179F973">
      <w:pPr>
        <w:spacing w:before="0" w:beforeAutospacing="off" w:after="0" w:afterAutospacing="off" w:line="360" w:lineRule="auto"/>
        <w:jc w:val="left"/>
      </w:pPr>
      <w:r w:rsidRPr="4F55EA5A" w:rsidR="4D36E7A9">
        <w:rPr>
          <w:rFonts w:ascii="system-ui" w:hAnsi="system-ui" w:eastAsia="system-ui" w:cs="system-ui"/>
          <w:b w:val="0"/>
          <w:bCs w:val="0"/>
          <w:i w:val="0"/>
          <w:iCs w:val="0"/>
          <w:noProof w:val="0"/>
          <w:color w:val="000000" w:themeColor="text1" w:themeTint="FF" w:themeShade="FF"/>
          <w:sz w:val="24"/>
          <w:szCs w:val="24"/>
          <w:lang w:val="en-US"/>
        </w:rPr>
        <w:t>Reference List</w:t>
      </w:r>
    </w:p>
    <w:p w:rsidR="4F55EA5A" w:rsidP="4F55EA5A" w:rsidRDefault="4F55EA5A" w14:paraId="63092301" w14:textId="662C570A">
      <w:pPr>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p>
    <w:p w:rsidR="1796A630" w:rsidP="4EA8C7D0" w:rsidRDefault="1796A630" w14:paraId="081243C7" w14:textId="5EC0F35A">
      <w:pPr>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Alvesson, M. (2016). </w:t>
      </w:r>
      <w:r w:rsidRPr="4EA8C7D0" w:rsidR="1796A630">
        <w:rPr>
          <w:rFonts w:ascii="Arial" w:hAnsi="Arial" w:eastAsia="Arial" w:cs="Arial" w:asciiTheme="minorAscii" w:hAnsiTheme="minorAscii" w:eastAsiaTheme="minorAscii" w:cstheme="minorAscii"/>
          <w:b w:val="0"/>
          <w:bCs w:val="0"/>
          <w:i w:val="1"/>
          <w:iCs w:val="1"/>
          <w:noProof w:val="0"/>
          <w:color w:val="000000" w:themeColor="text1" w:themeTint="FF" w:themeShade="FF"/>
          <w:sz w:val="24"/>
          <w:szCs w:val="24"/>
          <w:lang w:val="en-US"/>
        </w:rPr>
        <w:t>Understanding Organizational Culture</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2nd ed. SAGE Publications.</w:t>
      </w:r>
    </w:p>
    <w:p w:rsidR="1796A630" w:rsidP="4EA8C7D0" w:rsidRDefault="1796A630" w14:paraId="7110CBD9" w14:textId="76EFF05C">
      <w:pPr>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Cameron, K.S. and Quinn, R.E. (2011). </w:t>
      </w:r>
      <w:r w:rsidRPr="4EA8C7D0" w:rsidR="1796A630">
        <w:rPr>
          <w:rFonts w:ascii="Arial" w:hAnsi="Arial" w:eastAsia="Arial" w:cs="Arial" w:asciiTheme="minorAscii" w:hAnsiTheme="minorAscii" w:eastAsiaTheme="minorAscii" w:cstheme="minorAscii"/>
          <w:b w:val="0"/>
          <w:bCs w:val="0"/>
          <w:i w:val="1"/>
          <w:iCs w:val="1"/>
          <w:noProof w:val="0"/>
          <w:color w:val="000000" w:themeColor="text1" w:themeTint="FF" w:themeShade="FF"/>
          <w:sz w:val="24"/>
          <w:szCs w:val="24"/>
          <w:lang w:val="en-US"/>
        </w:rPr>
        <w:t>Diagnosing and Changing Organizational Culture</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3rd ed. Jossey-Bass.</w:t>
      </w:r>
    </w:p>
    <w:p w:rsidR="1796A630" w:rsidP="4EA8C7D0" w:rsidRDefault="1796A630" w14:paraId="4A630350" w14:textId="1B250AB0">
      <w:pPr>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Handy, C.B. (1993). </w:t>
      </w:r>
      <w:r w:rsidRPr="4EA8C7D0" w:rsidR="1796A630">
        <w:rPr>
          <w:rFonts w:ascii="Arial" w:hAnsi="Arial" w:eastAsia="Arial" w:cs="Arial" w:asciiTheme="minorAscii" w:hAnsiTheme="minorAscii" w:eastAsiaTheme="minorAscii" w:cstheme="minorAscii"/>
          <w:b w:val="0"/>
          <w:bCs w:val="0"/>
          <w:i w:val="1"/>
          <w:iCs w:val="1"/>
          <w:noProof w:val="0"/>
          <w:color w:val="000000" w:themeColor="text1" w:themeTint="FF" w:themeShade="FF"/>
          <w:sz w:val="24"/>
          <w:szCs w:val="24"/>
          <w:lang w:val="en-US"/>
        </w:rPr>
        <w:t>Understanding Organizations</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4th ed. Penguin Books.</w:t>
      </w:r>
    </w:p>
    <w:p w:rsidR="1796A630" w:rsidP="4EA8C7D0" w:rsidRDefault="1796A630" w14:paraId="14189A64" w14:textId="0D4BC136">
      <w:pPr>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Hofstede, G. (2001). </w:t>
      </w:r>
      <w:r w:rsidRPr="4EA8C7D0" w:rsidR="1796A630">
        <w:rPr>
          <w:rFonts w:ascii="Arial" w:hAnsi="Arial" w:eastAsia="Arial" w:cs="Arial" w:asciiTheme="minorAscii" w:hAnsiTheme="minorAscii" w:eastAsiaTheme="minorAscii" w:cstheme="minorAscii"/>
          <w:b w:val="0"/>
          <w:bCs w:val="0"/>
          <w:i w:val="1"/>
          <w:iCs w:val="1"/>
          <w:noProof w:val="0"/>
          <w:color w:val="000000" w:themeColor="text1" w:themeTint="FF" w:themeShade="FF"/>
          <w:sz w:val="24"/>
          <w:szCs w:val="24"/>
          <w:lang w:val="en-US"/>
        </w:rPr>
        <w:t>Culture’s Consequences</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2nd ed. Sage Publications.</w:t>
      </w:r>
    </w:p>
    <w:p w:rsidR="1796A630" w:rsidP="4EA8C7D0" w:rsidRDefault="1796A630" w14:paraId="6598A745" w14:textId="1EA3342F">
      <w:pPr>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McSweeney, B. (2002). 'Hofstede's model of national cultural differences and their consequences', </w:t>
      </w:r>
      <w:r w:rsidRPr="4EA8C7D0" w:rsidR="1796A630">
        <w:rPr>
          <w:rFonts w:ascii="Arial" w:hAnsi="Arial" w:eastAsia="Arial" w:cs="Arial" w:asciiTheme="minorAscii" w:hAnsiTheme="minorAscii" w:eastAsiaTheme="minorAscii" w:cstheme="minorAscii"/>
          <w:b w:val="0"/>
          <w:bCs w:val="0"/>
          <w:i w:val="1"/>
          <w:iCs w:val="1"/>
          <w:noProof w:val="0"/>
          <w:color w:val="000000" w:themeColor="text1" w:themeTint="FF" w:themeShade="FF"/>
          <w:sz w:val="24"/>
          <w:szCs w:val="24"/>
          <w:lang w:val="en-US"/>
        </w:rPr>
        <w:t>Human Relations</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55(1), pp. 89–118.</w:t>
      </w:r>
    </w:p>
    <w:p w:rsidR="1796A630" w:rsidP="4EA8C7D0" w:rsidRDefault="1796A630" w14:paraId="2921718E" w14:textId="6E865D52">
      <w:pPr>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Mullins, L. and Christy, G. (2016). </w:t>
      </w:r>
      <w:r w:rsidRPr="4EA8C7D0" w:rsidR="1796A630">
        <w:rPr>
          <w:rFonts w:ascii="Arial" w:hAnsi="Arial" w:eastAsia="Arial" w:cs="Arial" w:asciiTheme="minorAscii" w:hAnsiTheme="minorAscii" w:eastAsiaTheme="minorAscii" w:cstheme="minorAscii"/>
          <w:b w:val="0"/>
          <w:bCs w:val="0"/>
          <w:i w:val="1"/>
          <w:iCs w:val="1"/>
          <w:noProof w:val="0"/>
          <w:color w:val="000000" w:themeColor="text1" w:themeTint="FF" w:themeShade="FF"/>
          <w:sz w:val="24"/>
          <w:szCs w:val="24"/>
          <w:lang w:val="en-US"/>
        </w:rPr>
        <w:t>Management and Organisational Behaviour</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11th ed. Pearson Education Limited.</w:t>
      </w:r>
    </w:p>
    <w:p w:rsidR="1796A630" w:rsidP="4EA8C7D0" w:rsidRDefault="1796A630" w14:paraId="7AE10CE7" w14:textId="7C3CBDBF">
      <w:pPr>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NHS Constitution for England (2024). </w:t>
      </w:r>
      <w:r w:rsidRPr="4EA8C7D0" w:rsidR="1796A630">
        <w:rPr>
          <w:rFonts w:ascii="Arial" w:hAnsi="Arial" w:eastAsia="Arial" w:cs="Arial" w:asciiTheme="minorAscii" w:hAnsiTheme="minorAscii" w:eastAsiaTheme="minorAscii" w:cstheme="minorAscii"/>
          <w:b w:val="0"/>
          <w:bCs w:val="0"/>
          <w:i w:val="1"/>
          <w:iCs w:val="1"/>
          <w:noProof w:val="0"/>
          <w:color w:val="000000" w:themeColor="text1" w:themeTint="FF" w:themeShade="FF"/>
          <w:sz w:val="24"/>
          <w:szCs w:val="24"/>
          <w:lang w:val="en-US"/>
        </w:rPr>
        <w:t>The NHS Constitution</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Department of Health and Social Care.</w:t>
      </w:r>
    </w:p>
    <w:p w:rsidR="1796A630" w:rsidP="4EA8C7D0" w:rsidRDefault="1796A630" w14:paraId="036514E6" w14:textId="637DA1DF">
      <w:pPr>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NHS England (2025). </w:t>
      </w:r>
      <w:r w:rsidRPr="4EA8C7D0" w:rsidR="1796A630">
        <w:rPr>
          <w:rFonts w:ascii="Arial" w:hAnsi="Arial" w:eastAsia="Arial" w:cs="Arial" w:asciiTheme="minorAscii" w:hAnsiTheme="minorAscii" w:eastAsiaTheme="minorAscii" w:cstheme="minorAscii"/>
          <w:b w:val="0"/>
          <w:bCs w:val="0"/>
          <w:i w:val="1"/>
          <w:iCs w:val="1"/>
          <w:noProof w:val="0"/>
          <w:color w:val="000000" w:themeColor="text1" w:themeTint="FF" w:themeShade="FF"/>
          <w:sz w:val="24"/>
          <w:szCs w:val="24"/>
          <w:lang w:val="en-US"/>
        </w:rPr>
        <w:t>NHS Workforce Statistics and Organisational Overview</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NHS Publications.</w:t>
      </w:r>
    </w:p>
    <w:p w:rsidR="1796A630" w:rsidP="4EA8C7D0" w:rsidRDefault="1796A630" w14:paraId="06475C48" w14:textId="05FDACE1">
      <w:pPr>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Schein, E.H. (2010). </w:t>
      </w:r>
      <w:r w:rsidRPr="4EA8C7D0" w:rsidR="1796A630">
        <w:rPr>
          <w:rFonts w:ascii="Arial" w:hAnsi="Arial" w:eastAsia="Arial" w:cs="Arial" w:asciiTheme="minorAscii" w:hAnsiTheme="minorAscii" w:eastAsiaTheme="minorAscii" w:cstheme="minorAscii"/>
          <w:b w:val="0"/>
          <w:bCs w:val="0"/>
          <w:i w:val="1"/>
          <w:iCs w:val="1"/>
          <w:noProof w:val="0"/>
          <w:color w:val="000000" w:themeColor="text1" w:themeTint="FF" w:themeShade="FF"/>
          <w:sz w:val="24"/>
          <w:szCs w:val="24"/>
          <w:lang w:val="en-US"/>
        </w:rPr>
        <w:t>Organizational Culture and Leadership</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4th ed. Jossey-Bass.</w:t>
      </w:r>
    </w:p>
    <w:p w:rsidR="1796A630" w:rsidP="4EA8C7D0" w:rsidRDefault="1796A630" w14:paraId="133A038C" w14:textId="67E6CC3C">
      <w:pPr>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pP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xml:space="preserve">Senior, B. and Swailes, S. (2016). </w:t>
      </w:r>
      <w:r w:rsidRPr="4EA8C7D0" w:rsidR="1796A630">
        <w:rPr>
          <w:rFonts w:ascii="Arial" w:hAnsi="Arial" w:eastAsia="Arial" w:cs="Arial" w:asciiTheme="minorAscii" w:hAnsiTheme="minorAscii" w:eastAsiaTheme="minorAscii" w:cstheme="minorAscii"/>
          <w:b w:val="0"/>
          <w:bCs w:val="0"/>
          <w:i w:val="1"/>
          <w:iCs w:val="1"/>
          <w:noProof w:val="0"/>
          <w:color w:val="000000" w:themeColor="text1" w:themeTint="FF" w:themeShade="FF"/>
          <w:sz w:val="24"/>
          <w:szCs w:val="24"/>
          <w:lang w:val="en-US"/>
        </w:rPr>
        <w:t>Organisational Change</w:t>
      </w:r>
      <w:r w:rsidRPr="4EA8C7D0" w:rsidR="1796A630">
        <w:rPr>
          <w:rFonts w:ascii="Arial" w:hAnsi="Arial" w:eastAsia="Arial" w:cs="Arial" w:asciiTheme="minorAscii" w:hAnsiTheme="minorAscii" w:eastAsiaTheme="minorAscii" w:cstheme="minorAscii"/>
          <w:b w:val="0"/>
          <w:bCs w:val="0"/>
          <w:i w:val="0"/>
          <w:iCs w:val="0"/>
          <w:noProof w:val="0"/>
          <w:color w:val="000000" w:themeColor="text1" w:themeTint="FF" w:themeShade="FF"/>
          <w:sz w:val="24"/>
          <w:szCs w:val="24"/>
          <w:lang w:val="en-US"/>
        </w:rPr>
        <w:t>. 6th ed. Pearson Education.</w:t>
      </w:r>
    </w:p>
    <w:p w:rsidR="4EA8C7D0" w:rsidP="4EA8C7D0" w:rsidRDefault="4EA8C7D0" w14:paraId="602E8EA7" w14:textId="31CB8B5F">
      <w:pPr>
        <w:spacing w:before="0" w:beforeAutospacing="off" w:after="0" w:afterAutospacing="off" w:line="360" w:lineRule="auto"/>
        <w:jc w:val="left"/>
        <w:rPr>
          <w:rFonts w:ascii="system-ui" w:hAnsi="system-ui" w:eastAsia="system-ui" w:cs="system-ui"/>
          <w:b w:val="0"/>
          <w:bCs w:val="0"/>
          <w:i w:val="0"/>
          <w:iC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headerReference w:type="default" r:id="R556e46c474464138"/>
      <w:footerReference w:type="default" r:id="Rd7d2a3f05ae44c8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EA8C7D0" w:rsidTr="4EA8C7D0" w14:paraId="19BB8B07">
      <w:trPr>
        <w:trHeight w:val="300"/>
      </w:trPr>
      <w:tc>
        <w:tcPr>
          <w:tcW w:w="3120" w:type="dxa"/>
          <w:tcMar/>
        </w:tcPr>
        <w:p w:rsidR="4EA8C7D0" w:rsidP="4EA8C7D0" w:rsidRDefault="4EA8C7D0" w14:paraId="6A93056E" w14:textId="4C2FB8AF">
          <w:pPr>
            <w:pStyle w:val="Header"/>
            <w:bidi w:val="0"/>
            <w:ind w:left="-115"/>
            <w:jc w:val="left"/>
          </w:pPr>
        </w:p>
      </w:tc>
      <w:tc>
        <w:tcPr>
          <w:tcW w:w="3120" w:type="dxa"/>
          <w:tcMar/>
        </w:tcPr>
        <w:p w:rsidR="4EA8C7D0" w:rsidP="4EA8C7D0" w:rsidRDefault="4EA8C7D0" w14:paraId="04A53ACF" w14:textId="642D1A30">
          <w:pPr>
            <w:pStyle w:val="Header"/>
            <w:bidi w:val="0"/>
            <w:jc w:val="center"/>
          </w:pPr>
        </w:p>
      </w:tc>
      <w:tc>
        <w:tcPr>
          <w:tcW w:w="3120" w:type="dxa"/>
          <w:tcMar/>
        </w:tcPr>
        <w:p w:rsidR="4EA8C7D0" w:rsidP="4EA8C7D0" w:rsidRDefault="4EA8C7D0" w14:paraId="52BC4F9E" w14:textId="571879B0">
          <w:pPr>
            <w:pStyle w:val="Header"/>
            <w:bidi w:val="0"/>
            <w:ind w:right="-115"/>
            <w:jc w:val="right"/>
          </w:pPr>
        </w:p>
      </w:tc>
    </w:tr>
  </w:tbl>
  <w:p w:rsidR="4EA8C7D0" w:rsidP="4EA8C7D0" w:rsidRDefault="4EA8C7D0" w14:paraId="6417BCE0" w14:textId="3E8940F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EA8C7D0" w:rsidTr="4EA8C7D0" w14:paraId="60FC1666">
      <w:trPr>
        <w:trHeight w:val="300"/>
      </w:trPr>
      <w:tc>
        <w:tcPr>
          <w:tcW w:w="3120" w:type="dxa"/>
          <w:tcMar/>
        </w:tcPr>
        <w:p w:rsidR="4EA8C7D0" w:rsidP="4EA8C7D0" w:rsidRDefault="4EA8C7D0" w14:paraId="16467069" w14:textId="0D1C15EE">
          <w:pPr>
            <w:pStyle w:val="Header"/>
            <w:bidi w:val="0"/>
            <w:ind w:left="-115"/>
            <w:jc w:val="center"/>
          </w:pPr>
          <w:r w:rsidR="4EA8C7D0">
            <w:rPr/>
            <w:t>Calin Gabriel Calin</w:t>
          </w:r>
        </w:p>
        <w:p w:rsidR="4EA8C7D0" w:rsidP="4EA8C7D0" w:rsidRDefault="4EA8C7D0" w14:paraId="3D33ED8B" w14:textId="49E49FDD">
          <w:pPr>
            <w:pStyle w:val="Header"/>
            <w:bidi w:val="0"/>
            <w:ind w:left="-115"/>
            <w:jc w:val="center"/>
          </w:pPr>
          <w:r w:rsidR="4EA8C7D0">
            <w:rPr/>
            <w:t>2410074</w:t>
          </w:r>
        </w:p>
      </w:tc>
      <w:tc>
        <w:tcPr>
          <w:tcW w:w="3120" w:type="dxa"/>
          <w:tcMar/>
        </w:tcPr>
        <w:p w:rsidR="4EA8C7D0" w:rsidP="4EA8C7D0" w:rsidRDefault="4EA8C7D0" w14:paraId="58F223D9" w14:textId="5EF6B489">
          <w:pPr>
            <w:pStyle w:val="Header"/>
            <w:bidi w:val="0"/>
            <w:jc w:val="center"/>
          </w:pPr>
          <w:r w:rsidR="4EA8C7D0">
            <w:rPr/>
            <w:t>Leadership and management skills for the workplace</w:t>
          </w:r>
        </w:p>
      </w:tc>
      <w:tc>
        <w:tcPr>
          <w:tcW w:w="3120" w:type="dxa"/>
          <w:tcMar/>
        </w:tcPr>
        <w:p w:rsidR="4EA8C7D0" w:rsidP="4EA8C7D0" w:rsidRDefault="4EA8C7D0" w14:paraId="4D5C763D" w14:textId="131D95D3">
          <w:pPr>
            <w:pStyle w:val="Header"/>
            <w:bidi w:val="0"/>
            <w:ind w:right="-115"/>
            <w:jc w:val="center"/>
            <w:rPr>
              <w:noProof w:val="0"/>
              <w:lang w:val="en-US"/>
            </w:rPr>
          </w:pPr>
          <w:r w:rsidRPr="4EA8C7D0" w:rsidR="4EA8C7D0">
            <w:rPr>
              <w:rFonts w:ascii="Segoe UI" w:hAnsi="Segoe UI" w:eastAsia="Segoe UI" w:cs="Segoe UI"/>
              <w:b w:val="1"/>
              <w:bCs w:val="1"/>
              <w:i w:val="0"/>
              <w:iCs w:val="0"/>
              <w:caps w:val="0"/>
              <w:smallCaps w:val="0"/>
              <w:noProof w:val="0"/>
              <w:color w:val="1D2125"/>
              <w:sz w:val="22"/>
              <w:szCs w:val="22"/>
              <w:lang w:val="en-US"/>
            </w:rPr>
            <w:t>Taonga Kaonga Sobere-Snithens</w:t>
          </w:r>
        </w:p>
      </w:tc>
    </w:tr>
  </w:tbl>
  <w:p w:rsidR="4EA8C7D0" w:rsidP="4EA8C7D0" w:rsidRDefault="4EA8C7D0" w14:paraId="716CF6EC" w14:textId="0E683646">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0D42F9"/>
    <w:rsid w:val="08300C29"/>
    <w:rsid w:val="08317A4A"/>
    <w:rsid w:val="0C9D80C9"/>
    <w:rsid w:val="0CC32105"/>
    <w:rsid w:val="14239321"/>
    <w:rsid w:val="16FB0FBE"/>
    <w:rsid w:val="1796A630"/>
    <w:rsid w:val="1BAF8DFA"/>
    <w:rsid w:val="1EAFA6AD"/>
    <w:rsid w:val="1F3C08F3"/>
    <w:rsid w:val="22899DB8"/>
    <w:rsid w:val="23568EAF"/>
    <w:rsid w:val="240D42F9"/>
    <w:rsid w:val="249A2444"/>
    <w:rsid w:val="24EB431D"/>
    <w:rsid w:val="2665B3F1"/>
    <w:rsid w:val="2BD97625"/>
    <w:rsid w:val="2C41219C"/>
    <w:rsid w:val="2FC7E042"/>
    <w:rsid w:val="2FCA4C2E"/>
    <w:rsid w:val="31CC57E1"/>
    <w:rsid w:val="33014788"/>
    <w:rsid w:val="355EC9A7"/>
    <w:rsid w:val="37C1B9DF"/>
    <w:rsid w:val="37EC6075"/>
    <w:rsid w:val="3C86E0F2"/>
    <w:rsid w:val="3DB1E85D"/>
    <w:rsid w:val="401CC1F1"/>
    <w:rsid w:val="42A69CC3"/>
    <w:rsid w:val="43674CF0"/>
    <w:rsid w:val="43FD2B05"/>
    <w:rsid w:val="463939DE"/>
    <w:rsid w:val="494C0184"/>
    <w:rsid w:val="4D36E7A9"/>
    <w:rsid w:val="4EA8C7D0"/>
    <w:rsid w:val="4F15FF0F"/>
    <w:rsid w:val="4F55EA5A"/>
    <w:rsid w:val="4F9F54B0"/>
    <w:rsid w:val="551F7EE4"/>
    <w:rsid w:val="552C2C39"/>
    <w:rsid w:val="61730EFE"/>
    <w:rsid w:val="6273F7EA"/>
    <w:rsid w:val="62FA4818"/>
    <w:rsid w:val="6E67A276"/>
    <w:rsid w:val="6F25500F"/>
    <w:rsid w:val="70E1D83C"/>
    <w:rsid w:val="72C79A42"/>
    <w:rsid w:val="73BBF504"/>
    <w:rsid w:val="74273418"/>
    <w:rsid w:val="74ECE55F"/>
    <w:rsid w:val="7916DFEC"/>
    <w:rsid w:val="7B1CBC65"/>
    <w:rsid w:val="7FFCEE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545D65"/>
  <w15:chartTrackingRefBased/>
  <w15:docId w15:val="{350B3CB8-C010-447E-8002-6F83F4E8D21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4EA8C7D0"/>
    <w:pPr>
      <w:tabs>
        <w:tab w:val="center" w:leader="none" w:pos="4680"/>
        <w:tab w:val="right" w:leader="none" w:pos="9360"/>
      </w:tabs>
      <w:spacing w:after="0" w:line="240" w:lineRule="auto"/>
    </w:pPr>
  </w:style>
  <w:style w:type="paragraph" w:styleId="Footer">
    <w:uiPriority w:val="99"/>
    <w:name w:val="footer"/>
    <w:basedOn w:val="Normal"/>
    <w:unhideWhenUsed/>
    <w:rsid w:val="4EA8C7D0"/>
    <w:pPr>
      <w:tabs>
        <w:tab w:val="center" w:leader="none" w:pos="4680"/>
        <w:tab w:val="right" w:leader="none" w:pos="9360"/>
      </w:tabs>
      <w:spacing w:after="0" w:line="240" w:lineRule="auto"/>
    </w:pPr>
  </w:style>
  <w:style w:type="paragraph" w:styleId="Heading2">
    <w:uiPriority w:val="9"/>
    <w:name w:val="heading 2"/>
    <w:basedOn w:val="Normal"/>
    <w:next w:val="Normal"/>
    <w:unhideWhenUsed/>
    <w:qFormat/>
    <w:rsid w:val="4EA8C7D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556e46c474464138" /><Relationship Type="http://schemas.openxmlformats.org/officeDocument/2006/relationships/footer" Target="footer.xml" Id="Rd7d2a3f05ae44c8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2026-10-12T10:36:24.0443448Z</dcterms:created>
  <dcterms:modified xsi:type="dcterms:W3CDTF">2026-10-26T09:54:57.7222318Z</dcterms:modified>
  <dc:creator>Calin Calin (2410074)</dc:creator>
  <lastModifiedBy>Calin Calin (2410074)</lastModifiedBy>
</coreProperties>
</file>