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07"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007"/>
      </w:tblGrid>
      <w:tr w:rsidR="00C66CFD" w:rsidRPr="00210378" w14:paraId="064FF62D" w14:textId="77777777" w:rsidTr="00B412D1">
        <w:trPr>
          <w:trHeight w:val="715"/>
        </w:trPr>
        <w:tc>
          <w:tcPr>
            <w:tcW w:w="10007" w:type="dxa"/>
            <w:shd w:val="clear" w:color="auto" w:fill="auto"/>
          </w:tcPr>
          <w:p w14:paraId="416C51F8" w14:textId="20F135EA" w:rsidR="00C66CFD" w:rsidRPr="00E5484A" w:rsidRDefault="009A0F00" w:rsidP="00B412D1">
            <w:pPr>
              <w:pStyle w:val="Formlabel"/>
              <w:spacing w:line="480" w:lineRule="auto"/>
              <w:jc w:val="center"/>
              <w:rPr>
                <w:b/>
                <w:sz w:val="24"/>
              </w:rPr>
            </w:pPr>
            <w:r>
              <w:rPr>
                <w:b/>
                <w:sz w:val="24"/>
              </w:rPr>
              <w:t>B</w:t>
            </w:r>
            <w:r w:rsidR="00C66CFD" w:rsidRPr="00E5484A">
              <w:rPr>
                <w:b/>
                <w:sz w:val="24"/>
              </w:rPr>
              <w:t>Sc Applied Psychology</w:t>
            </w:r>
          </w:p>
          <w:p w14:paraId="63ACAD1D" w14:textId="77777777" w:rsidR="00991612" w:rsidRDefault="009A0F00" w:rsidP="00B412D1">
            <w:pPr>
              <w:pStyle w:val="Formlabel"/>
              <w:spacing w:line="480" w:lineRule="auto"/>
              <w:jc w:val="center"/>
              <w:rPr>
                <w:b/>
                <w:sz w:val="24"/>
              </w:rPr>
            </w:pPr>
            <w:r>
              <w:rPr>
                <w:b/>
                <w:sz w:val="24"/>
              </w:rPr>
              <w:t>ECAP6003 Forensic Psychology and the Criminal Mind</w:t>
            </w:r>
            <w:r w:rsidR="00E5484A" w:rsidRPr="00E5484A">
              <w:rPr>
                <w:b/>
                <w:sz w:val="24"/>
              </w:rPr>
              <w:t xml:space="preserve">: </w:t>
            </w:r>
          </w:p>
          <w:p w14:paraId="739169BD" w14:textId="2CAF7F20" w:rsidR="00C66CFD" w:rsidRPr="00E5484A" w:rsidRDefault="00E5484A" w:rsidP="00B412D1">
            <w:pPr>
              <w:pStyle w:val="Formlabel"/>
              <w:spacing w:line="480" w:lineRule="auto"/>
              <w:jc w:val="center"/>
              <w:rPr>
                <w:b/>
                <w:sz w:val="24"/>
              </w:rPr>
            </w:pPr>
            <w:r w:rsidRPr="00E5484A">
              <w:rPr>
                <w:b/>
                <w:sz w:val="24"/>
              </w:rPr>
              <w:t>Re</w:t>
            </w:r>
            <w:r w:rsidR="009A0F00">
              <w:rPr>
                <w:b/>
                <w:sz w:val="24"/>
              </w:rPr>
              <w:t>habilitative</w:t>
            </w:r>
            <w:r w:rsidRPr="00E5484A">
              <w:rPr>
                <w:b/>
                <w:sz w:val="24"/>
              </w:rPr>
              <w:t xml:space="preserve"> Proposal </w:t>
            </w:r>
          </w:p>
          <w:p w14:paraId="2C925EEA" w14:textId="77777777" w:rsidR="00E5484A" w:rsidRPr="00210378" w:rsidRDefault="00E5484A" w:rsidP="00B412D1">
            <w:pPr>
              <w:pStyle w:val="Formlabel"/>
              <w:spacing w:line="480" w:lineRule="auto"/>
              <w:jc w:val="center"/>
              <w:rPr>
                <w:b/>
                <w:sz w:val="22"/>
                <w:szCs w:val="22"/>
              </w:rPr>
            </w:pPr>
          </w:p>
        </w:tc>
      </w:tr>
      <w:tr w:rsidR="000F5955" w:rsidRPr="00210378" w14:paraId="6023DF48" w14:textId="77777777" w:rsidTr="00B412D1">
        <w:trPr>
          <w:trHeight w:val="715"/>
        </w:trPr>
        <w:tc>
          <w:tcPr>
            <w:tcW w:w="10007" w:type="dxa"/>
            <w:shd w:val="clear" w:color="auto" w:fill="auto"/>
          </w:tcPr>
          <w:p w14:paraId="78713675" w14:textId="77777777" w:rsidR="000F5955" w:rsidRDefault="009A0F00" w:rsidP="00B412D1">
            <w:pPr>
              <w:pStyle w:val="Formlabel"/>
              <w:spacing w:line="480" w:lineRule="auto"/>
              <w:rPr>
                <w:b/>
                <w:sz w:val="22"/>
                <w:szCs w:val="22"/>
              </w:rPr>
            </w:pPr>
            <w:r w:rsidRPr="00210378">
              <w:rPr>
                <w:b/>
                <w:sz w:val="22"/>
                <w:szCs w:val="22"/>
              </w:rPr>
              <w:t>Pro</w:t>
            </w:r>
            <w:r>
              <w:rPr>
                <w:b/>
                <w:sz w:val="22"/>
                <w:szCs w:val="22"/>
              </w:rPr>
              <w:t>posal title:</w:t>
            </w:r>
          </w:p>
          <w:p w14:paraId="6E5E91D8" w14:textId="58680026" w:rsidR="00991612" w:rsidRPr="00B412D1" w:rsidRDefault="00B412D1" w:rsidP="00B412D1">
            <w:pPr>
              <w:spacing w:line="480" w:lineRule="auto"/>
              <w:rPr>
                <w:bCs/>
              </w:rPr>
            </w:pPr>
            <w:r w:rsidRPr="001577AB">
              <w:rPr>
                <w:bCs/>
              </w:rPr>
              <w:t>From Impulse to Insight: A Rehabilitative Program</w:t>
            </w:r>
            <w:r>
              <w:rPr>
                <w:bCs/>
              </w:rPr>
              <w:t>me</w:t>
            </w:r>
            <w:r w:rsidRPr="001577AB">
              <w:rPr>
                <w:bCs/>
              </w:rPr>
              <w:t xml:space="preserve"> for Young Offenders Using CBT and Restorative Justice</w:t>
            </w:r>
          </w:p>
          <w:p w14:paraId="266DDF7F" w14:textId="2A432E93" w:rsidR="00991612" w:rsidRPr="00210378" w:rsidRDefault="00991612" w:rsidP="00B412D1">
            <w:pPr>
              <w:pStyle w:val="Formlabel"/>
              <w:spacing w:line="480" w:lineRule="auto"/>
              <w:rPr>
                <w:b/>
                <w:sz w:val="22"/>
                <w:szCs w:val="22"/>
              </w:rPr>
            </w:pPr>
          </w:p>
        </w:tc>
      </w:tr>
      <w:tr w:rsidR="00991612" w:rsidRPr="00210378" w14:paraId="422E707E" w14:textId="77777777" w:rsidTr="00B412D1">
        <w:trPr>
          <w:trHeight w:val="715"/>
        </w:trPr>
        <w:tc>
          <w:tcPr>
            <w:tcW w:w="10007" w:type="dxa"/>
            <w:shd w:val="clear" w:color="auto" w:fill="auto"/>
          </w:tcPr>
          <w:p w14:paraId="5381CB6B" w14:textId="77777777" w:rsidR="00991612" w:rsidRDefault="00991612" w:rsidP="00B412D1">
            <w:pPr>
              <w:pStyle w:val="Formlabel"/>
              <w:spacing w:line="480" w:lineRule="auto"/>
              <w:rPr>
                <w:b/>
                <w:sz w:val="22"/>
                <w:szCs w:val="22"/>
              </w:rPr>
            </w:pPr>
            <w:r>
              <w:rPr>
                <w:b/>
                <w:sz w:val="22"/>
                <w:szCs w:val="22"/>
              </w:rPr>
              <w:t>Proposal theme:</w:t>
            </w:r>
          </w:p>
          <w:p w14:paraId="60E166B7" w14:textId="5B73CC5D" w:rsidR="00991612" w:rsidRPr="00B412D1" w:rsidRDefault="00B412D1" w:rsidP="00B412D1">
            <w:pPr>
              <w:pStyle w:val="Formlabel"/>
              <w:spacing w:line="480" w:lineRule="auto"/>
              <w:rPr>
                <w:rFonts w:ascii="Times New Roman" w:hAnsi="Times New Roman" w:cs="Times New Roman"/>
                <w:bCs/>
                <w:sz w:val="24"/>
              </w:rPr>
            </w:pPr>
            <w:r w:rsidRPr="001577AB">
              <w:rPr>
                <w:rFonts w:ascii="Times New Roman" w:hAnsi="Times New Roman" w:cs="Times New Roman"/>
                <w:bCs/>
                <w:sz w:val="24"/>
              </w:rPr>
              <w:t>This rehabilitative treatment proposal focuses on integrating Cognitive Behavioural Therapy (CBT) (Smith et al., 2024) with Restorative Justice (RJ) (Martin et al., 2022) to meet the complex needs of a young offender</w:t>
            </w:r>
            <w:r>
              <w:rPr>
                <w:rFonts w:ascii="Times New Roman" w:hAnsi="Times New Roman" w:cs="Times New Roman"/>
                <w:bCs/>
                <w:sz w:val="24"/>
              </w:rPr>
              <w:t>s</w:t>
            </w:r>
            <w:r w:rsidRPr="001577AB">
              <w:rPr>
                <w:rFonts w:ascii="Times New Roman" w:hAnsi="Times New Roman" w:cs="Times New Roman"/>
                <w:bCs/>
                <w:sz w:val="24"/>
              </w:rPr>
              <w:t xml:space="preserve"> aged </w:t>
            </w:r>
            <w:r>
              <w:rPr>
                <w:rFonts w:ascii="Times New Roman" w:hAnsi="Times New Roman" w:cs="Times New Roman"/>
                <w:bCs/>
                <w:sz w:val="24"/>
              </w:rPr>
              <w:t>10-17</w:t>
            </w:r>
            <w:r w:rsidRPr="001577AB">
              <w:rPr>
                <w:rFonts w:ascii="Times New Roman" w:hAnsi="Times New Roman" w:cs="Times New Roman"/>
                <w:bCs/>
                <w:sz w:val="24"/>
              </w:rPr>
              <w:t>. This merged initiative will work toward emotional regulation, personal accountability, and empathy to reduce the likelihood of reoffending (Hodgkinson et al., 2020). CBT focuses on the connection between thoughts, emotions, and behaviours, helping individuals identify and change negative thought patterns that contribute to emotional distress and problematic behaviours (Stallard, 2021). On the other hand, RJ focuses its interventions on mending the damage created by criminal behaviour through communication among the offender, the victim, and the community (Maluleke &amp; Manganyi, 2021).</w:t>
            </w:r>
            <w:r>
              <w:rPr>
                <w:rFonts w:ascii="Times New Roman" w:hAnsi="Times New Roman" w:cs="Times New Roman"/>
                <w:bCs/>
                <w:sz w:val="24"/>
              </w:rPr>
              <w:t xml:space="preserve"> </w:t>
            </w:r>
            <w:r w:rsidRPr="001577AB">
              <w:rPr>
                <w:rFonts w:ascii="Times New Roman" w:hAnsi="Times New Roman" w:cs="Times New Roman"/>
                <w:bCs/>
                <w:sz w:val="24"/>
              </w:rPr>
              <w:t xml:space="preserve">The goal is to provide an opportunity for positive reintegration into society that favours personal growth and reduces reoffending. </w:t>
            </w:r>
          </w:p>
        </w:tc>
      </w:tr>
      <w:tr w:rsidR="009E10F9" w:rsidRPr="00210378" w14:paraId="2342E4C2" w14:textId="77777777" w:rsidTr="00B412D1">
        <w:trPr>
          <w:trHeight w:val="715"/>
        </w:trPr>
        <w:tc>
          <w:tcPr>
            <w:tcW w:w="10007" w:type="dxa"/>
            <w:shd w:val="clear" w:color="auto" w:fill="auto"/>
          </w:tcPr>
          <w:p w14:paraId="4DAE7779" w14:textId="1DCDE119" w:rsidR="009E10F9" w:rsidRPr="009A0F00" w:rsidRDefault="009A0F00" w:rsidP="00B412D1">
            <w:pPr>
              <w:pStyle w:val="Formlabel"/>
              <w:spacing w:line="480" w:lineRule="auto"/>
              <w:rPr>
                <w:b/>
                <w:bCs/>
                <w:iCs/>
                <w:sz w:val="22"/>
                <w:szCs w:val="22"/>
              </w:rPr>
            </w:pPr>
            <w:r w:rsidRPr="009A0F00">
              <w:rPr>
                <w:b/>
                <w:bCs/>
                <w:iCs/>
                <w:sz w:val="22"/>
                <w:szCs w:val="22"/>
              </w:rPr>
              <w:t>Background literature review:</w:t>
            </w:r>
          </w:p>
          <w:p w14:paraId="4A92DEEA" w14:textId="77777777" w:rsidR="00B412D1" w:rsidRDefault="00B412D1" w:rsidP="00B412D1">
            <w:pPr>
              <w:spacing w:line="480" w:lineRule="auto"/>
            </w:pPr>
            <w:r w:rsidRPr="001577AB">
              <w:t xml:space="preserve">Youth offending is often linked to a complex web of socioeconomic, psychological, and environmental factors (Tharshini et al., 2021). Many young offenders come from backgrounds marked by poverty, trauma, and instability, which increases the likelihood of crime (Jones &amp; Pierce, 2020). These adversities can lead to ineffective coping mechanisms such as aggression, impulsivity, </w:t>
            </w:r>
            <w:r w:rsidRPr="001577AB">
              <w:lastRenderedPageBreak/>
              <w:t>and poor emotional regulation, contributing to criminal behaviour (Yang &amp; Perkins, 2020). Behavioural issues such as these often result from both individual vulnerabilities and adverse environmental conditions, which collectively create a fertile ground for antisocial behaviour.</w:t>
            </w:r>
          </w:p>
          <w:p w14:paraId="4A14D9B5" w14:textId="77777777" w:rsidR="00B412D1" w:rsidRPr="001577AB" w:rsidRDefault="00B412D1" w:rsidP="00B412D1">
            <w:pPr>
              <w:spacing w:line="480" w:lineRule="auto"/>
            </w:pPr>
          </w:p>
          <w:p w14:paraId="7F7E871A" w14:textId="77777777" w:rsidR="00B412D1" w:rsidRDefault="00B412D1" w:rsidP="00B412D1">
            <w:pPr>
              <w:spacing w:line="480" w:lineRule="auto"/>
            </w:pPr>
            <w:r w:rsidRPr="001577AB">
              <w:t>Youth offenders typically exhibit challenges in areas of impulse control, emotional regulation, and social functioning (De Brito et al., 2021). Studies suggest that a lack of positive role models, along with exposure to violence or criminality in their homes or communities, can normalise antisocial behaviours</w:t>
            </w:r>
            <w:r>
              <w:t xml:space="preserve"> </w:t>
            </w:r>
            <w:r w:rsidRPr="001577AB">
              <w:t xml:space="preserve">(Southern &amp; Sullivan, 2021; Burke et al., 2022). These patterns, when left unaddressed, often continue into adulthood, contributing to ongoing criminal behaviour. </w:t>
            </w:r>
          </w:p>
          <w:p w14:paraId="5BD97E69" w14:textId="77777777" w:rsidR="00B412D1" w:rsidRPr="001577AB" w:rsidRDefault="00B412D1" w:rsidP="00B412D1">
            <w:pPr>
              <w:spacing w:line="480" w:lineRule="auto"/>
            </w:pPr>
          </w:p>
          <w:p w14:paraId="3411F751" w14:textId="77777777" w:rsidR="00B412D1" w:rsidRPr="001577AB" w:rsidRDefault="00B412D1" w:rsidP="00B412D1">
            <w:pPr>
              <w:spacing w:line="480" w:lineRule="auto"/>
            </w:pPr>
            <w:r w:rsidRPr="001577AB">
              <w:t xml:space="preserve">Several theories have been developed to explain the causes of youth offending, focusing on both individual traits and social factors. Firstly, Social Learning Theory, proposed by Albert Bandura and later developed by Akers and Jensen (2017), suggests that criminal behaviour is learned through interaction with others, particularly within peer groups or families. This theory emphasises the role of observed behaviour, imitation, and reinforcement in shaping delinquent actions. </w:t>
            </w:r>
          </w:p>
          <w:p w14:paraId="3049B678" w14:textId="77777777" w:rsidR="00B412D1" w:rsidRDefault="00B412D1" w:rsidP="00B412D1">
            <w:pPr>
              <w:spacing w:line="480" w:lineRule="auto"/>
            </w:pPr>
            <w:r w:rsidRPr="001577AB">
              <w:t>Secondly, Strain Theory, proposed by Robert Agnew (1992), posits that individuals may resort to crime as a response to frustration and stress caused by an inability to achieve socially accepted goals. For juveniles in lower socioeconomic environments, the strain of economic disadvantage</w:t>
            </w:r>
            <w:r>
              <w:t xml:space="preserve"> </w:t>
            </w:r>
            <w:r w:rsidRPr="001577AB">
              <w:t xml:space="preserve">can lead to a sense of powerlessness (Mason &amp; Bond, 2024), often manifesting in delinquency as a way of coping with or escaping these pressures. </w:t>
            </w:r>
          </w:p>
          <w:p w14:paraId="63CA6C3C" w14:textId="77777777" w:rsidR="00B412D1" w:rsidRPr="001577AB" w:rsidRDefault="00B412D1" w:rsidP="00B412D1">
            <w:pPr>
              <w:spacing w:line="480" w:lineRule="auto"/>
            </w:pPr>
          </w:p>
          <w:p w14:paraId="16E9DD7B" w14:textId="77777777" w:rsidR="00B412D1" w:rsidRDefault="00B412D1" w:rsidP="00B412D1">
            <w:pPr>
              <w:spacing w:line="480" w:lineRule="auto"/>
            </w:pPr>
            <w:r w:rsidRPr="001577AB">
              <w:t xml:space="preserve">Social Learning Theory and Strain Theory offer different perspectives on the causes of youth offending. Social Learning Theory suggests that criminal behaviour is learned through interactions with others, especially in peer groups and families (Walters, 2021). It emphasises the role of observation and reinforcement, where deviant behaviours are adopted because they are seen as </w:t>
            </w:r>
            <w:r w:rsidRPr="001577AB">
              <w:lastRenderedPageBreak/>
              <w:t xml:space="preserve">rewarding or are reinforced by peers or family members. In contrast, Strain Theory posits that individuals turn to crime due to stress or frustration from an inability to achieve societal goals, particularly in disadvantaged situations (Punia et al., 2024). It suggests that </w:t>
            </w:r>
            <w:r>
              <w:t>these youths</w:t>
            </w:r>
            <w:r w:rsidRPr="001577AB">
              <w:t xml:space="preserve"> may resort to delinquency as a coping mechanism. Furthermore, while Social Learning Theory focuses on the influence of social environments, Strain Theory highlights the emotional and structural pressures that push young people toward crime. Both theories, however, recognise the importance of addressing broader social factors in reducing youth offending (Lerner et al., 2021).</w:t>
            </w:r>
          </w:p>
          <w:p w14:paraId="13637AF4" w14:textId="77777777" w:rsidR="00B412D1" w:rsidRPr="001577AB" w:rsidRDefault="00B412D1" w:rsidP="00B412D1">
            <w:pPr>
              <w:spacing w:line="480" w:lineRule="auto"/>
            </w:pPr>
          </w:p>
          <w:p w14:paraId="24E280E4" w14:textId="77777777" w:rsidR="00B412D1" w:rsidRDefault="00B412D1" w:rsidP="00B412D1">
            <w:pPr>
              <w:spacing w:line="480" w:lineRule="auto"/>
            </w:pPr>
            <w:r w:rsidRPr="001577AB">
              <w:t>Cognitive Behavioural Therapy (CBT) is an effective treatment for addressing youth offending (</w:t>
            </w:r>
            <w:proofErr w:type="spellStart"/>
            <w:r w:rsidRPr="001577AB">
              <w:t>Travaini</w:t>
            </w:r>
            <w:proofErr w:type="spellEnd"/>
            <w:r w:rsidRPr="001577AB">
              <w:t xml:space="preserve"> et al., 2024), addressing aggression, impulsivity, and poor emotional regulation. Grounded in the cognitive theory, CBT posits that thoughts, emotions, and behaviours are interconnected (Ryum &amp; </w:t>
            </w:r>
            <w:proofErr w:type="spellStart"/>
            <w:r w:rsidRPr="001577AB">
              <w:t>Kazantzis</w:t>
            </w:r>
            <w:proofErr w:type="spellEnd"/>
            <w:r w:rsidRPr="001577AB">
              <w:t>, 2024). CBT’s core principle is that negative or maladaptive thought patterns lead to negative emotional states and harmful behaviours (Beshai, 2024). By addressing these cognitive distortions, CBT aims to break the cycle of maladaptive thinking and behaviour, particularly in the context of aggression, impulsivity, and criminal activity.</w:t>
            </w:r>
          </w:p>
          <w:p w14:paraId="7E18F919" w14:textId="77777777" w:rsidR="00B412D1" w:rsidRPr="001577AB" w:rsidRDefault="00B412D1" w:rsidP="00B412D1">
            <w:pPr>
              <w:spacing w:line="480" w:lineRule="auto"/>
            </w:pPr>
          </w:p>
          <w:p w14:paraId="20777010" w14:textId="66EEFF49" w:rsidR="00B412D1" w:rsidRDefault="00B412D1" w:rsidP="00B412D1">
            <w:pPr>
              <w:spacing w:line="480" w:lineRule="auto"/>
            </w:pPr>
            <w:r w:rsidRPr="001577AB">
              <w:t xml:space="preserve">Numerous studies have demonstrated the effectiveness of CBT in reducing recidivism and improving emotional regulation among young offenders </w:t>
            </w:r>
            <w:r w:rsidRPr="00F7123E">
              <w:t>(Docherty et al., 2021</w:t>
            </w:r>
            <w:r w:rsidRPr="001577AB">
              <w:t xml:space="preserve">; </w:t>
            </w:r>
            <w:r w:rsidRPr="00F7123E">
              <w:t>Dumornay et al., 2022</w:t>
            </w:r>
            <w:r w:rsidRPr="001577AB">
              <w:t xml:space="preserve">; &amp; </w:t>
            </w:r>
            <w:r w:rsidRPr="005240AD">
              <w:t>Hausam et al., 2022)</w:t>
            </w:r>
            <w:r w:rsidRPr="001577AB">
              <w:t>. Research has shown that CBT helps youth</w:t>
            </w:r>
            <w:r>
              <w:t>s</w:t>
            </w:r>
            <w:r w:rsidRPr="001577AB">
              <w:t xml:space="preserve"> understand and manage the cognitive distortions that lead to antisocial behaviour (</w:t>
            </w:r>
            <w:proofErr w:type="spellStart"/>
            <w:r w:rsidRPr="001577AB">
              <w:t>Syasyila</w:t>
            </w:r>
            <w:proofErr w:type="spellEnd"/>
            <w:r w:rsidRPr="001577AB">
              <w:t xml:space="preserve"> et al., 2024). Furthermore, CBT program</w:t>
            </w:r>
            <w:r>
              <w:t>me</w:t>
            </w:r>
            <w:r w:rsidRPr="001577AB">
              <w:t>s specifically tailored for young people often include components like anger management, impulse control, and problem-solving skills, which are critical for individuals who have developed maladaptive coping mechanisms (Lochman et al., 2024). The success of CBT in youth rehabilitation has been shown to result in reductions in criminal behaviour, making it a central component of interventions aimed at young offenders (Baskin-Sommers et al., 2021).</w:t>
            </w:r>
          </w:p>
          <w:p w14:paraId="25DD9BEC" w14:textId="77777777" w:rsidR="00B412D1" w:rsidRPr="001577AB" w:rsidRDefault="00B412D1" w:rsidP="00B412D1">
            <w:pPr>
              <w:spacing w:line="480" w:lineRule="auto"/>
            </w:pPr>
          </w:p>
          <w:p w14:paraId="2112E95C" w14:textId="77777777" w:rsidR="00B412D1" w:rsidRDefault="00B412D1" w:rsidP="00B412D1">
            <w:pPr>
              <w:spacing w:line="480" w:lineRule="auto"/>
            </w:pPr>
            <w:r w:rsidRPr="001577AB">
              <w:t>Restorative Justice (RJ) (Wood et al., 2022) provides a unique approach to youth rehabilitation, emphasising repairing the harm caused by criminal behaviour rather than focusing solely on punishment (Wood et al., 2022). RJ aims to foster accountability, empathy, and a sense of responsibility by encouraging offenders to engage with victims and the community in a restorative process (Mpofu et al., 2024). This process involves facilitated dialogues, or "restorative circles," in which the offender, victim, and community members discuss the offense's emotional and social consequences. The primary goal is to allow the offender to understand the impact of their actions, express remorse, and work towards making amends.</w:t>
            </w:r>
          </w:p>
          <w:p w14:paraId="1CCEC324" w14:textId="77777777" w:rsidR="00B412D1" w:rsidRPr="001577AB" w:rsidRDefault="00B412D1" w:rsidP="00B412D1">
            <w:pPr>
              <w:spacing w:line="480" w:lineRule="auto"/>
            </w:pPr>
          </w:p>
          <w:p w14:paraId="6D8F3633" w14:textId="0566D1C1" w:rsidR="00B412D1" w:rsidRDefault="00B412D1" w:rsidP="00B412D1">
            <w:pPr>
              <w:spacing w:line="480" w:lineRule="auto"/>
            </w:pPr>
            <w:r w:rsidRPr="001577AB">
              <w:t xml:space="preserve">Restorative Justice has been shown to be effective in reducing recidivism rates among young offenders by promoting accountability and providing a sense of personal responsibility </w:t>
            </w:r>
            <w:r w:rsidRPr="005813A0">
              <w:t>(Kimbrell et al., 2022</w:t>
            </w:r>
            <w:r w:rsidRPr="001577AB">
              <w:t xml:space="preserve">; </w:t>
            </w:r>
            <w:r w:rsidRPr="005813A0">
              <w:t>Lin et al., 2023</w:t>
            </w:r>
            <w:r w:rsidRPr="001577AB">
              <w:t xml:space="preserve">; &amp; </w:t>
            </w:r>
            <w:r w:rsidRPr="005813A0">
              <w:t>Skinner-Osei &amp; Osei, 2024)</w:t>
            </w:r>
            <w:r w:rsidRPr="001577AB">
              <w:t>. By emphasising empathy, RJ helps offenders recognise the emotional and psychological harm they have caused, which can lead to changes in attitudes and behaviour. Furthermore, RJ encourages reintegration into the community, supporting young offenders in making amends and rebuilding relationships with their families and peers (Cavanagh, 2022). Research has demonstrated that youth</w:t>
            </w:r>
            <w:r>
              <w:t>s</w:t>
            </w:r>
            <w:r w:rsidRPr="001577AB">
              <w:t xml:space="preserve"> who participate in restorative justice program</w:t>
            </w:r>
            <w:r>
              <w:t>me</w:t>
            </w:r>
            <w:r w:rsidRPr="001577AB">
              <w:t>s are less likely to reoffend, especially when they feel a personal connection to the victim or the community (Vooren et al., 2022).</w:t>
            </w:r>
          </w:p>
          <w:p w14:paraId="634AB878" w14:textId="77777777" w:rsidR="00B412D1" w:rsidRPr="001577AB" w:rsidRDefault="00B412D1" w:rsidP="00B412D1">
            <w:pPr>
              <w:spacing w:line="480" w:lineRule="auto"/>
            </w:pPr>
          </w:p>
          <w:p w14:paraId="392A3513" w14:textId="54898818" w:rsidR="00991612" w:rsidRPr="00B412D1" w:rsidRDefault="00B412D1" w:rsidP="00B412D1">
            <w:pPr>
              <w:spacing w:line="480" w:lineRule="auto"/>
            </w:pPr>
            <w:r w:rsidRPr="000C5811">
              <w:t>Th</w:t>
            </w:r>
            <w:r w:rsidRPr="001577AB">
              <w:t>e</w:t>
            </w:r>
            <w:r w:rsidRPr="000C5811">
              <w:t xml:space="preserve"> proposed program</w:t>
            </w:r>
            <w:r>
              <w:t>me</w:t>
            </w:r>
            <w:r w:rsidRPr="000C5811">
              <w:t xml:space="preserve"> combines Cognitive Behavio</w:t>
            </w:r>
            <w:r w:rsidRPr="001577AB">
              <w:t>u</w:t>
            </w:r>
            <w:r w:rsidRPr="000C5811">
              <w:t>ral Therapy (CBT) with Restorative Justice (RJ) to address both internal psychological factors and external social influences on youth offending. CBT helps offenders recogni</w:t>
            </w:r>
            <w:r w:rsidRPr="001577AB">
              <w:t>s</w:t>
            </w:r>
            <w:r w:rsidRPr="000C5811">
              <w:t xml:space="preserve">e and change cognitive distortions, while RJ fosters empathy, accountability, and social reintegration by allowing offenders to understand the consequences of their </w:t>
            </w:r>
            <w:r w:rsidRPr="000C5811">
              <w:lastRenderedPageBreak/>
              <w:t>actions. Research shows that integrating CBT and RJ reduces reoffending by improving individual behavio</w:t>
            </w:r>
            <w:r w:rsidRPr="001577AB">
              <w:t>u</w:t>
            </w:r>
            <w:r w:rsidRPr="000C5811">
              <w:t>r and strengthening community ties</w:t>
            </w:r>
            <w:r>
              <w:t xml:space="preserve"> and personal growth</w:t>
            </w:r>
            <w:r w:rsidRPr="001577AB">
              <w:t xml:space="preserve"> (Mallett, 2023)</w:t>
            </w:r>
            <w:r w:rsidRPr="000C5811">
              <w:t xml:space="preserve">. </w:t>
            </w:r>
          </w:p>
        </w:tc>
      </w:tr>
      <w:tr w:rsidR="009E10F9" w:rsidRPr="00210378" w14:paraId="0696DE9E" w14:textId="77777777" w:rsidTr="00B412D1">
        <w:trPr>
          <w:trHeight w:val="2481"/>
        </w:trPr>
        <w:tc>
          <w:tcPr>
            <w:tcW w:w="10007" w:type="dxa"/>
            <w:shd w:val="clear" w:color="auto" w:fill="auto"/>
          </w:tcPr>
          <w:p w14:paraId="149BDB03" w14:textId="0E002E29" w:rsidR="00991612" w:rsidRDefault="00991612" w:rsidP="00B412D1">
            <w:pPr>
              <w:pStyle w:val="ListParagraph"/>
              <w:spacing w:line="480" w:lineRule="auto"/>
              <w:ind w:left="0"/>
              <w:rPr>
                <w:rFonts w:ascii="Arial" w:hAnsi="Arial" w:cs="Arial"/>
                <w:b/>
              </w:rPr>
            </w:pPr>
            <w:r w:rsidRPr="00210378">
              <w:rPr>
                <w:rFonts w:ascii="Arial" w:hAnsi="Arial" w:cs="Arial"/>
                <w:b/>
              </w:rPr>
              <w:lastRenderedPageBreak/>
              <w:t>Proposed methodology:</w:t>
            </w:r>
          </w:p>
          <w:p w14:paraId="63D3361D" w14:textId="77777777" w:rsidR="00B412D1" w:rsidRDefault="00B412D1" w:rsidP="00B412D1">
            <w:pPr>
              <w:spacing w:line="480" w:lineRule="auto"/>
            </w:pPr>
            <w:r w:rsidRPr="001577AB">
              <w:t>This proposal has been designed for juveniles who have a record of theft, shoplifting, or petty theft. This type of crime is common with young offenders and increased by 23% from 2022-2023 (Youth Justice Statistics, 2024). This type of offense often occurs due to a combination of peer pressure, financial need, a desire for status, or impulsive behaviour. While shoplifting may be considered a relatively minor crime, it can serve as an entry point to more serious criminal behaviour if not addressed early.</w:t>
            </w:r>
          </w:p>
          <w:p w14:paraId="40056B2D" w14:textId="77777777" w:rsidR="00B412D1" w:rsidRPr="001577AB" w:rsidRDefault="00B412D1" w:rsidP="00B412D1">
            <w:pPr>
              <w:spacing w:line="480" w:lineRule="auto"/>
            </w:pPr>
          </w:p>
          <w:p w14:paraId="38CFF22B" w14:textId="77777777" w:rsidR="00B412D1" w:rsidRDefault="00B412D1" w:rsidP="00B412D1">
            <w:pPr>
              <w:spacing w:line="480" w:lineRule="auto"/>
            </w:pPr>
            <w:r w:rsidRPr="001577AB">
              <w:t>To ensure the program reaches its target population, a multi-step recruitment process will be employed, with several key selection criteria. These include referrals from the juvenile justice system, schools, or community organi</w:t>
            </w:r>
            <w:r>
              <w:t>s</w:t>
            </w:r>
            <w:r w:rsidRPr="001577AB">
              <w:t xml:space="preserve">ations, as well as family and self-referrals. Participants must be aged between 10 and 17, and they must be willing to engage in rehabilitative efforts. Additionally, participants must have been arrested for a theft-related crime. Additionally, participants should have a supportive family environment to help reinforce their rehabilitation efforts. </w:t>
            </w:r>
          </w:p>
          <w:p w14:paraId="73839849" w14:textId="77777777" w:rsidR="00B412D1" w:rsidRPr="001577AB" w:rsidRDefault="00B412D1" w:rsidP="00B412D1">
            <w:pPr>
              <w:spacing w:line="480" w:lineRule="auto"/>
            </w:pPr>
          </w:p>
          <w:p w14:paraId="1C8A2A39" w14:textId="77777777" w:rsidR="00B412D1" w:rsidRPr="001577AB" w:rsidRDefault="00B412D1" w:rsidP="00B412D1">
            <w:pPr>
              <w:spacing w:line="480" w:lineRule="auto"/>
            </w:pPr>
            <w:r w:rsidRPr="001577AB">
              <w:t xml:space="preserve">The </w:t>
            </w:r>
            <w:r w:rsidRPr="00DA33BB">
              <w:t>program adopts a dual approach that integrates CBT and</w:t>
            </w:r>
            <w:r w:rsidRPr="001577AB">
              <w:t xml:space="preserve"> </w:t>
            </w:r>
            <w:r w:rsidRPr="00DA33BB">
              <w:t>RJ practices to address both the psychological underpinnings and social influences that contribute to youth offending. This combined methodology ensures that the program tackles the problem from multiple angles, offering a holistic solution to rehabilitate young offenders.</w:t>
            </w:r>
          </w:p>
          <w:p w14:paraId="7B8294EF" w14:textId="77777777" w:rsidR="00B412D1" w:rsidRPr="001577AB" w:rsidRDefault="00B412D1" w:rsidP="00B412D1">
            <w:pPr>
              <w:spacing w:line="480" w:lineRule="auto"/>
            </w:pPr>
          </w:p>
          <w:p w14:paraId="5B9898EC" w14:textId="77777777" w:rsidR="00B412D1" w:rsidRDefault="00B412D1" w:rsidP="00B412D1">
            <w:pPr>
              <w:spacing w:line="480" w:lineRule="auto"/>
            </w:pPr>
            <w:r w:rsidRPr="001577AB">
              <w:t>CBT</w:t>
            </w:r>
            <w:r w:rsidRPr="00DA33BB">
              <w:t xml:space="preserve"> forms the core of the psychological intervention within the program. CBT is a well-established therapeutic approach that focuses on identifying and challenging negative or distorted thinking </w:t>
            </w:r>
            <w:r w:rsidRPr="00DA33BB">
              <w:lastRenderedPageBreak/>
              <w:t xml:space="preserve">patterns that lead to harmful </w:t>
            </w:r>
            <w:r w:rsidRPr="001577AB">
              <w:t>behaviour</w:t>
            </w:r>
            <w:r w:rsidRPr="00DA33BB">
              <w:t>. For young offenders, these cognitive distortions often include justifications for criminal actions (e.g., “everyone does it”</w:t>
            </w:r>
            <w:r w:rsidRPr="001577AB">
              <w:t xml:space="preserve"> </w:t>
            </w:r>
            <w:r w:rsidRPr="00DA33BB">
              <w:t>or “it’s not that big a deal”) and impulsive decision-making. These cognitive distortions often contribute to risk-taking behavio</w:t>
            </w:r>
            <w:r w:rsidRPr="001577AB">
              <w:t>u</w:t>
            </w:r>
            <w:r w:rsidRPr="00DA33BB">
              <w:t>rs, such as theft, by distorting the way offenders perceive themselves, others, and the consequences of their actions. CBT aims to help participants recogni</w:t>
            </w:r>
            <w:r w:rsidRPr="001577AB">
              <w:t>s</w:t>
            </w:r>
            <w:r w:rsidRPr="00DA33BB">
              <w:t>e these faulty thought patterns and replace them with healthier, more rational thinking. The therapy also helps improve emotional regulation, enabling young people to better manage their emotions and reactions in stressful or challenging situations. By improving emotional regulation, participants can learn how to respond to negative emotions, such as frustration or peer pressure, without resorting to criminal behavio</w:t>
            </w:r>
            <w:r w:rsidRPr="001577AB">
              <w:t>u</w:t>
            </w:r>
            <w:r w:rsidRPr="00DA33BB">
              <w:t xml:space="preserve">r. Additionally, CBT focuses on developing </w:t>
            </w:r>
            <w:r w:rsidRPr="001577AB">
              <w:t xml:space="preserve">healthy </w:t>
            </w:r>
            <w:r w:rsidRPr="00DA33BB">
              <w:t>coping mechanisms that allow participants to deal with difficulties in more adaptive ways, such as seeking support, practicing self-control, or using problem-solving strategies, rather than engaging in criminal conduct.</w:t>
            </w:r>
          </w:p>
          <w:p w14:paraId="42E828D0" w14:textId="77777777" w:rsidR="00B412D1" w:rsidRPr="00DA33BB" w:rsidRDefault="00B412D1" w:rsidP="00B412D1">
            <w:pPr>
              <w:spacing w:line="480" w:lineRule="auto"/>
            </w:pPr>
          </w:p>
          <w:p w14:paraId="082F7892" w14:textId="77777777" w:rsidR="00B412D1" w:rsidRPr="00DA33BB" w:rsidRDefault="00B412D1" w:rsidP="00B412D1">
            <w:pPr>
              <w:spacing w:line="480" w:lineRule="auto"/>
            </w:pPr>
            <w:r w:rsidRPr="00DA33BB">
              <w:t>The second key component of the</w:t>
            </w:r>
            <w:r w:rsidRPr="001577AB">
              <w:t xml:space="preserve"> </w:t>
            </w:r>
            <w:r w:rsidRPr="00DA33BB">
              <w:t>program is RJ, which offers a contrasting but complementary approach. While CBT focuses on changing internal thought patterns and behavio</w:t>
            </w:r>
            <w:r w:rsidRPr="001577AB">
              <w:t>u</w:t>
            </w:r>
            <w:r w:rsidRPr="00DA33BB">
              <w:t>rs, RJ addresses the social and relational aspects of offending. RJ practices are based on the principle that crime causes harm not only to victims but also to communities and offenders themselves. Therefore, RJ aims to repair this harm by promoting accountability, empathy, and reintegration into society. The primary tool used in RJ is the restorative justice circle, where offenders meet with victims, community members, and facilitators to discuss the impact of their actions and explore ways to make amends. This dialogue helps participants develop empathy, as they hear firsthand about the emotional, financial, and social consequences of their crimes. It also encourages accountability, as the offender is required to take responsibility for the harm caused and work toward repairing the damage. In these circles, offenders have an opportunity to express remorse, apologi</w:t>
            </w:r>
            <w:r w:rsidRPr="001577AB">
              <w:t>s</w:t>
            </w:r>
            <w:r w:rsidRPr="00DA33BB">
              <w:t xml:space="preserve">e, and engage in reparative actions, such as restitution or community service, which help rebuild trust within the community. By </w:t>
            </w:r>
            <w:r w:rsidRPr="00DA33BB">
              <w:lastRenderedPageBreak/>
              <w:t>being directly involved in this process, participants develop a deeper understanding of the social responsibility that comes with their actions, which can foster long-term changes in their attitudes and behavio</w:t>
            </w:r>
            <w:r w:rsidRPr="001577AB">
              <w:t>u</w:t>
            </w:r>
            <w:r w:rsidRPr="00DA33BB">
              <w:t>r.</w:t>
            </w:r>
          </w:p>
          <w:p w14:paraId="20311C8F" w14:textId="77777777" w:rsidR="00B412D1" w:rsidRPr="001577AB" w:rsidRDefault="00B412D1" w:rsidP="00B412D1">
            <w:pPr>
              <w:spacing w:line="480" w:lineRule="auto"/>
            </w:pPr>
          </w:p>
          <w:p w14:paraId="1721512D" w14:textId="77777777" w:rsidR="00B412D1" w:rsidRDefault="00B412D1" w:rsidP="00B412D1">
            <w:pPr>
              <w:spacing w:line="480" w:lineRule="auto"/>
            </w:pPr>
            <w:r w:rsidRPr="00DA33BB">
              <w:t>Together, CBT and RJ create a comprehensive framework for addressing the factors that contribute to youth offending. CBT focuses on the individual’s internal world</w:t>
            </w:r>
            <w:r w:rsidRPr="001577AB">
              <w:t xml:space="preserve"> </w:t>
            </w:r>
            <w:r w:rsidRPr="00DA33BB">
              <w:t>by modifying harmful thought patterns, improving emotional regulation, and building coping skills</w:t>
            </w:r>
            <w:r w:rsidRPr="001577AB">
              <w:t xml:space="preserve"> </w:t>
            </w:r>
            <w:r w:rsidRPr="00DA33BB">
              <w:t>while RJ works externally to repair relationships, promote empathy, and encourage community reintegration. This integration of internal psychological intervention and external social engagement ensures that young offenders are not only equipped with the skills to change their behavio</w:t>
            </w:r>
            <w:r w:rsidRPr="001577AB">
              <w:t>u</w:t>
            </w:r>
            <w:r w:rsidRPr="00DA33BB">
              <w:t>r but also supported in their reintegration into society in a positive, accountable manner.</w:t>
            </w:r>
          </w:p>
          <w:p w14:paraId="3AA092C4" w14:textId="77777777" w:rsidR="00B412D1" w:rsidRPr="00DA33BB" w:rsidRDefault="00B412D1" w:rsidP="00B412D1">
            <w:pPr>
              <w:spacing w:line="480" w:lineRule="auto"/>
            </w:pPr>
          </w:p>
          <w:p w14:paraId="53267D04" w14:textId="22412AF0" w:rsidR="00991612" w:rsidRPr="00B412D1" w:rsidRDefault="00B412D1" w:rsidP="00B412D1">
            <w:pPr>
              <w:spacing w:line="480" w:lineRule="auto"/>
            </w:pPr>
            <w:r w:rsidRPr="00DA33BB">
              <w:t>By combining these two approaches, the</w:t>
            </w:r>
            <w:r w:rsidRPr="001577AB">
              <w:t xml:space="preserve"> </w:t>
            </w:r>
            <w:r w:rsidRPr="00DA33BB">
              <w:t>program</w:t>
            </w:r>
            <w:r>
              <w:t>me</w:t>
            </w:r>
            <w:r w:rsidRPr="00DA33BB">
              <w:t xml:space="preserve"> addresses both the psychological and social roots of offending, offering a holistic, well-rounded rehabilitative experience. The comprehensive nature of this dual approach enhances the likelihood of long-term success, as it addresses the young offenders’ personal struggles while fostering a sense of connection, accountability, and responsibility to the broader community.</w:t>
            </w:r>
          </w:p>
        </w:tc>
      </w:tr>
      <w:tr w:rsidR="009E10F9" w:rsidRPr="00210378" w14:paraId="6FD11615" w14:textId="77777777" w:rsidTr="00B412D1">
        <w:trPr>
          <w:trHeight w:val="836"/>
        </w:trPr>
        <w:tc>
          <w:tcPr>
            <w:tcW w:w="10007" w:type="dxa"/>
            <w:shd w:val="clear" w:color="auto" w:fill="auto"/>
          </w:tcPr>
          <w:p w14:paraId="4F48D75A" w14:textId="77777777" w:rsidR="00FD04DE" w:rsidRPr="00FD04DE" w:rsidRDefault="00FD04DE" w:rsidP="00B412D1">
            <w:pPr>
              <w:spacing w:line="480" w:lineRule="auto"/>
            </w:pPr>
          </w:p>
          <w:p w14:paraId="2F9EF784" w14:textId="5FBA0F09" w:rsidR="00991612" w:rsidRDefault="00991612" w:rsidP="00B412D1">
            <w:pPr>
              <w:pStyle w:val="ListParagraph"/>
              <w:spacing w:after="0" w:line="480" w:lineRule="auto"/>
              <w:ind w:left="0"/>
              <w:rPr>
                <w:rFonts w:ascii="Arial" w:hAnsi="Arial" w:cs="Arial"/>
                <w:i/>
                <w:iCs/>
                <w:sz w:val="20"/>
                <w:szCs w:val="20"/>
              </w:rPr>
            </w:pPr>
            <w:r w:rsidRPr="00991612">
              <w:rPr>
                <w:rFonts w:ascii="Arial" w:hAnsi="Arial" w:cs="Arial"/>
                <w:b/>
                <w:bCs/>
              </w:rPr>
              <w:t>Procedure:</w:t>
            </w:r>
            <w:r w:rsidR="004B2F08">
              <w:rPr>
                <w:rFonts w:ascii="Arial" w:hAnsi="Arial" w:cs="Arial"/>
                <w:b/>
                <w:bCs/>
              </w:rPr>
              <w:t xml:space="preserve"> </w:t>
            </w:r>
          </w:p>
          <w:p w14:paraId="490ED832" w14:textId="77777777" w:rsidR="00B412D1" w:rsidRDefault="00B412D1" w:rsidP="00B412D1">
            <w:pPr>
              <w:spacing w:line="480" w:lineRule="auto"/>
            </w:pPr>
            <w:r w:rsidRPr="005F1936">
              <w:t>The proposed rehabilitative intervention integrates Cognitive Behavio</w:t>
            </w:r>
            <w:r w:rsidRPr="001577AB">
              <w:t>u</w:t>
            </w:r>
            <w:r w:rsidRPr="005F1936">
              <w:t>ral Therapy (CBT) and Restorative Justice (RJ) to offer a holistic approach addressing the internal psychological factors and external social influences that contribute to youth offending. This intervention aims to equip young offenders with the tools needed to understand and manage their emotional and cognitive challenges, while fostering a sense of accountability and reintegration into society.</w:t>
            </w:r>
          </w:p>
          <w:p w14:paraId="328787D4" w14:textId="77777777" w:rsidR="00B412D1" w:rsidRPr="005F1936" w:rsidRDefault="00B412D1" w:rsidP="00B412D1">
            <w:pPr>
              <w:spacing w:line="480" w:lineRule="auto"/>
            </w:pPr>
          </w:p>
          <w:p w14:paraId="6285B9ED" w14:textId="77777777" w:rsidR="00B412D1" w:rsidRDefault="00B412D1" w:rsidP="00B412D1">
            <w:pPr>
              <w:spacing w:line="480" w:lineRule="auto"/>
            </w:pPr>
            <w:r w:rsidRPr="005F1936">
              <w:lastRenderedPageBreak/>
              <w:t>The program</w:t>
            </w:r>
            <w:r>
              <w:t>me</w:t>
            </w:r>
            <w:r w:rsidRPr="005F1936">
              <w:t xml:space="preserve"> is structured into five key phases, spanning </w:t>
            </w:r>
            <w:r w:rsidRPr="001577AB">
              <w:t xml:space="preserve">over </w:t>
            </w:r>
            <w:r w:rsidRPr="005F1936">
              <w:t xml:space="preserve">a 12-month period, to ensure that participants experience both individual and social development. </w:t>
            </w:r>
          </w:p>
          <w:p w14:paraId="4887EBCD" w14:textId="77777777" w:rsidR="00B412D1" w:rsidRDefault="00B412D1" w:rsidP="00B412D1">
            <w:pPr>
              <w:spacing w:line="480" w:lineRule="auto"/>
            </w:pPr>
          </w:p>
          <w:p w14:paraId="5988E2CF" w14:textId="3F3AA991" w:rsidR="00B412D1" w:rsidRDefault="00B412D1" w:rsidP="00B412D1">
            <w:pPr>
              <w:spacing w:line="480" w:lineRule="auto"/>
            </w:pPr>
            <w:r w:rsidRPr="005F1936">
              <w:t>The first phase, intake and assessment, involves evaluating each participant’s psychological, emotional, and social needs. This is done through standardi</w:t>
            </w:r>
            <w:r w:rsidRPr="001577AB">
              <w:t>s</w:t>
            </w:r>
            <w:r w:rsidRPr="005F1936">
              <w:t xml:space="preserve">ed assessments such as the Youth Self-Report </w:t>
            </w:r>
            <w:r w:rsidRPr="001577AB">
              <w:t xml:space="preserve">(Kook et al., 2022) </w:t>
            </w:r>
            <w:r w:rsidRPr="005F1936">
              <w:t>and</w:t>
            </w:r>
            <w:r w:rsidRPr="001577AB">
              <w:t xml:space="preserve"> the Child and Adolescent Functional Assessment Scale</w:t>
            </w:r>
            <w:r w:rsidRPr="005F1936">
              <w:t xml:space="preserve"> </w:t>
            </w:r>
            <w:r w:rsidRPr="001577AB">
              <w:t>(</w:t>
            </w:r>
            <w:r w:rsidRPr="005F1936">
              <w:t>CAFAS</w:t>
            </w:r>
            <w:r w:rsidRPr="001577AB">
              <w:t>) (</w:t>
            </w:r>
            <w:proofErr w:type="spellStart"/>
            <w:r w:rsidRPr="001577AB">
              <w:t>Selvamenan</w:t>
            </w:r>
            <w:proofErr w:type="spellEnd"/>
            <w:r w:rsidRPr="001577AB">
              <w:t>, 2024)</w:t>
            </w:r>
            <w:r w:rsidRPr="005F1936">
              <w:t>, as well as intake interviews with participants and their families.</w:t>
            </w:r>
          </w:p>
          <w:p w14:paraId="14F43787" w14:textId="77777777" w:rsidR="00B412D1" w:rsidRPr="005F1936" w:rsidRDefault="00B412D1" w:rsidP="00B412D1">
            <w:pPr>
              <w:spacing w:line="480" w:lineRule="auto"/>
            </w:pPr>
          </w:p>
          <w:p w14:paraId="73720792" w14:textId="77777777" w:rsidR="00B412D1" w:rsidRDefault="00B412D1" w:rsidP="00B412D1">
            <w:pPr>
              <w:spacing w:line="480" w:lineRule="auto"/>
            </w:pPr>
            <w:r w:rsidRPr="005F1936">
              <w:t>The second phase, therapeutic intervention, lasts for four months and focuses on providing psychological support and behavio</w:t>
            </w:r>
            <w:r w:rsidRPr="001577AB">
              <w:t>u</w:t>
            </w:r>
            <w:r w:rsidRPr="005F1936">
              <w:t>ral change through CBT. During this phase, participants will engage in CBT sessions that target cognitive restructuring, emotional regulation, and coping strategies. Group therapy will also be conducted to encourage social learning on topics like impulse control and self-awareness, while family therapy will involve the young person’s family to help them support behavio</w:t>
            </w:r>
            <w:r w:rsidRPr="001577AB">
              <w:t>u</w:t>
            </w:r>
            <w:r w:rsidRPr="005F1936">
              <w:t>ral change. This phase aims to improve emotional regulation, reduce cognitive distortions, and enhance problem-solving skills.</w:t>
            </w:r>
          </w:p>
          <w:p w14:paraId="18005CFA" w14:textId="77777777" w:rsidR="00B412D1" w:rsidRPr="005F1936" w:rsidRDefault="00B412D1" w:rsidP="00B412D1">
            <w:pPr>
              <w:spacing w:line="480" w:lineRule="auto"/>
            </w:pPr>
          </w:p>
          <w:p w14:paraId="78996D36" w14:textId="77777777" w:rsidR="00B412D1" w:rsidRDefault="00B412D1" w:rsidP="00B412D1">
            <w:pPr>
              <w:spacing w:line="480" w:lineRule="auto"/>
            </w:pPr>
            <w:r w:rsidRPr="005F1936">
              <w:t>In the third phase, skill</w:t>
            </w:r>
            <w:r w:rsidRPr="001577AB">
              <w:t>-</w:t>
            </w:r>
            <w:r w:rsidRPr="005F1936">
              <w:t xml:space="preserve">building, participants will gain practical skills to assist in their social reintegration and reduce the risk of </w:t>
            </w:r>
            <w:r w:rsidRPr="001577AB">
              <w:t>reoffending</w:t>
            </w:r>
            <w:r w:rsidRPr="005F1936">
              <w:t xml:space="preserve">. This phase includes life skills training in areas such as communication, decision-making, and financial literacy, as well as vocational training in collaboration with local community partners offering opportunities in trades, technology, or arts. The aim is to equip participants with valuable </w:t>
            </w:r>
            <w:r w:rsidRPr="001577AB">
              <w:t>skills and</w:t>
            </w:r>
            <w:r w:rsidRPr="005F1936">
              <w:t xml:space="preserve"> foster greater self-esteem.</w:t>
            </w:r>
          </w:p>
          <w:p w14:paraId="523F9EAA" w14:textId="77777777" w:rsidR="00B412D1" w:rsidRPr="005F1936" w:rsidRDefault="00B412D1" w:rsidP="00B412D1">
            <w:pPr>
              <w:spacing w:line="480" w:lineRule="auto"/>
            </w:pPr>
          </w:p>
          <w:p w14:paraId="30FFB684" w14:textId="77777777" w:rsidR="00B412D1" w:rsidRDefault="00B412D1" w:rsidP="00B412D1">
            <w:pPr>
              <w:spacing w:line="480" w:lineRule="auto"/>
            </w:pPr>
            <w:r w:rsidRPr="005F1936">
              <w:t>The fourth phase, community engagement and restorative justice, occurs in the second half of the program and emphasi</w:t>
            </w:r>
            <w:r w:rsidRPr="001577AB">
              <w:t>s</w:t>
            </w:r>
            <w:r w:rsidRPr="005F1936">
              <w:t xml:space="preserve">es the development of social responsibility and empathy. Participants will engage in restorative justice circles, where they meet with victims, community members, and </w:t>
            </w:r>
            <w:r w:rsidRPr="005F1936">
              <w:lastRenderedPageBreak/>
              <w:t>facilitators to discuss the impact of their actions and work toward reparative outcomes. Additionally, participants will take part in community service projects, reinforcing empathy and responsibility through positive contributions to their local area. Each young offender will also be paired with a community mentor who provides ongoing guidance and accountability. This phase aims to strengthen empathy, promote accountability, and support social reintegration.</w:t>
            </w:r>
          </w:p>
          <w:p w14:paraId="02691969" w14:textId="77777777" w:rsidR="00B412D1" w:rsidRPr="005F1936" w:rsidRDefault="00B412D1" w:rsidP="00B412D1">
            <w:pPr>
              <w:spacing w:line="480" w:lineRule="auto"/>
            </w:pPr>
          </w:p>
          <w:p w14:paraId="5D09B035" w14:textId="77777777" w:rsidR="00B412D1" w:rsidRPr="001577AB" w:rsidRDefault="00B412D1" w:rsidP="00B412D1">
            <w:pPr>
              <w:spacing w:line="480" w:lineRule="auto"/>
            </w:pPr>
            <w:r w:rsidRPr="005F1936">
              <w:t xml:space="preserve">The final phase, transition and aftercare, occurs after the completion of the program and focuses on ensuring the successful reintegration of participants into society. During this phase, participants will receive follow-up </w:t>
            </w:r>
            <w:r w:rsidRPr="001577AB">
              <w:t>counselling</w:t>
            </w:r>
            <w:r w:rsidRPr="005F1936">
              <w:t xml:space="preserve"> for up to six months, providing continued emotional support and guidance. They will also receive assistance with job placement and educational referrals to ensure they have opportunities for continued growth.</w:t>
            </w:r>
          </w:p>
          <w:p w14:paraId="57B9BB51" w14:textId="77777777" w:rsidR="00B412D1" w:rsidRDefault="00B412D1" w:rsidP="00B412D1">
            <w:pPr>
              <w:spacing w:line="480" w:lineRule="auto"/>
            </w:pPr>
            <w:r w:rsidRPr="005F1936">
              <w:t>Family support will also be integral to this phase, helping maintain positive changes at home. The goal is to ensure successful reintegration into society and reduce the risk of reoffending.</w:t>
            </w:r>
          </w:p>
          <w:p w14:paraId="7E59D578" w14:textId="77777777" w:rsidR="00B412D1" w:rsidRPr="005F1936" w:rsidRDefault="00B412D1" w:rsidP="00B412D1">
            <w:pPr>
              <w:spacing w:line="480" w:lineRule="auto"/>
            </w:pPr>
          </w:p>
          <w:p w14:paraId="0B53F902" w14:textId="77777777" w:rsidR="00B412D1" w:rsidRPr="001577AB" w:rsidRDefault="00B412D1" w:rsidP="00B412D1">
            <w:pPr>
              <w:spacing w:line="480" w:lineRule="auto"/>
            </w:pPr>
            <w:r w:rsidRPr="005F1936">
              <w:t>The program will be delivered by a multidisciplinary team, which will include psychologists, social workers, probation officers, educators, vocational trainers, and community mentors. This team will work collaboratively to provide individuali</w:t>
            </w:r>
            <w:r w:rsidRPr="001577AB">
              <w:t>s</w:t>
            </w:r>
            <w:r w:rsidRPr="005F1936">
              <w:t>ed care and ensure that each participant receives the support needed to achieve long-term success.</w:t>
            </w:r>
          </w:p>
          <w:p w14:paraId="2F846864" w14:textId="77777777" w:rsidR="00B412D1" w:rsidRPr="001577AB" w:rsidRDefault="00B412D1" w:rsidP="00B412D1">
            <w:pPr>
              <w:pStyle w:val="ListParagraph"/>
              <w:spacing w:after="0" w:line="480" w:lineRule="auto"/>
              <w:ind w:left="0"/>
              <w:rPr>
                <w:rFonts w:ascii="Times New Roman" w:hAnsi="Times New Roman"/>
                <w:b/>
                <w:bCs/>
                <w:sz w:val="24"/>
                <w:szCs w:val="24"/>
              </w:rPr>
            </w:pPr>
          </w:p>
          <w:p w14:paraId="05A593AE" w14:textId="77777777" w:rsidR="00B412D1" w:rsidRDefault="00B412D1" w:rsidP="00B412D1">
            <w:pPr>
              <w:spacing w:line="480" w:lineRule="auto"/>
            </w:pPr>
            <w:r w:rsidRPr="00DA33BB">
              <w:t>The</w:t>
            </w:r>
            <w:r w:rsidRPr="001577AB">
              <w:t xml:space="preserve"> </w:t>
            </w:r>
            <w:r w:rsidRPr="00DA33BB">
              <w:t xml:space="preserve">program upholds several key ethical considerations to protect the rights and well-being of participants. Informed consent is a </w:t>
            </w:r>
            <w:r w:rsidRPr="001577AB">
              <w:t>key component</w:t>
            </w:r>
            <w:r w:rsidRPr="00DA33BB">
              <w:t xml:space="preserve"> of the program, ensuring that all participants, as well as their guardians, fully understand the nature of the interventions, risks, and benefits before agreeing to participate. This allows for voluntary involvement, with participants having the right to withdraw at any time without consequences. Confidentiality is strictly maintained, especially </w:t>
            </w:r>
            <w:r w:rsidRPr="001577AB">
              <w:t>with</w:t>
            </w:r>
            <w:r w:rsidRPr="00DA33BB">
              <w:t xml:space="preserve">in CBT sessions, where personal and sensitive information is shared. Any discussions in restorative </w:t>
            </w:r>
            <w:r w:rsidRPr="00DA33BB">
              <w:lastRenderedPageBreak/>
              <w:t>justice circles are bound by confidentiality, with clear guidelines to ensure that information is only used for the purpose of repairing harm and promoting accountability.</w:t>
            </w:r>
          </w:p>
          <w:p w14:paraId="131782D4" w14:textId="77777777" w:rsidR="00B412D1" w:rsidRPr="00DA33BB" w:rsidRDefault="00B412D1" w:rsidP="00B412D1">
            <w:pPr>
              <w:spacing w:line="480" w:lineRule="auto"/>
            </w:pPr>
          </w:p>
          <w:p w14:paraId="3C1F3B66" w14:textId="140E4E7F" w:rsidR="00B412D1" w:rsidRPr="00DA33BB" w:rsidRDefault="00B412D1" w:rsidP="00B412D1">
            <w:pPr>
              <w:spacing w:line="480" w:lineRule="auto"/>
            </w:pPr>
            <w:r w:rsidRPr="00DA33BB">
              <w:t>The program</w:t>
            </w:r>
            <w:r>
              <w:t>me</w:t>
            </w:r>
            <w:r w:rsidRPr="00DA33BB">
              <w:t xml:space="preserve"> also prioriti</w:t>
            </w:r>
            <w:r w:rsidRPr="001577AB">
              <w:t>s</w:t>
            </w:r>
            <w:r w:rsidRPr="00DA33BB">
              <w:t>es protection from harm, offering trauma-informed care to prevent distress, especially during emotionally charged restorative justice sessions. Trained facilitators ensure that no participant is retraumati</w:t>
            </w:r>
            <w:r w:rsidRPr="001577AB">
              <w:t>s</w:t>
            </w:r>
            <w:r w:rsidRPr="00DA33BB">
              <w:t>ed or harmed during the process. Additionally, the program</w:t>
            </w:r>
            <w:r>
              <w:t>me</w:t>
            </w:r>
            <w:r w:rsidRPr="00DA33BB">
              <w:t xml:space="preserve"> respects the dignity and autonomy of all participants, working to balance power dynamics, particularly in restorative justice settings, where both offenders and victims have an equal voice.</w:t>
            </w:r>
          </w:p>
          <w:p w14:paraId="153692F2" w14:textId="77777777" w:rsidR="00B412D1" w:rsidRPr="001577AB" w:rsidRDefault="00B412D1" w:rsidP="00B412D1">
            <w:pPr>
              <w:spacing w:line="480" w:lineRule="auto"/>
            </w:pPr>
            <w:r w:rsidRPr="00DA33BB">
              <w:t>Cultural sensitivity is embedded in the program, ensuring that it is inclusive and adaptable to participants from diverse backgrounds. Finally, the program ensures that victims and community members involved in restorative circles are fully informed and their emotional safety is prioriti</w:t>
            </w:r>
            <w:r w:rsidRPr="001577AB">
              <w:t>s</w:t>
            </w:r>
            <w:r w:rsidRPr="00DA33BB">
              <w:t>ed.</w:t>
            </w:r>
          </w:p>
          <w:p w14:paraId="69B00E0D" w14:textId="77777777" w:rsidR="00B412D1" w:rsidRPr="001577AB" w:rsidRDefault="00B412D1" w:rsidP="00B412D1">
            <w:pPr>
              <w:spacing w:line="480" w:lineRule="auto"/>
            </w:pPr>
          </w:p>
          <w:p w14:paraId="2217F525" w14:textId="77777777" w:rsidR="00B412D1" w:rsidRPr="0010302B" w:rsidRDefault="00B412D1" w:rsidP="00B412D1">
            <w:pPr>
              <w:spacing w:line="480" w:lineRule="auto"/>
            </w:pPr>
            <w:r w:rsidRPr="0010302B">
              <w:t xml:space="preserve">The efficacy of the rehabilitative program will be measured in various ways. Firstly, there will be pre- and post-assessments that measure participants' cognitive, emotional, and behavioural functioning. This will be in the format of standardised testing, utilising the </w:t>
            </w:r>
          </w:p>
          <w:p w14:paraId="0C245FEA" w14:textId="2EEAA6EE" w:rsidR="00B412D1" w:rsidRPr="001577AB" w:rsidRDefault="00B412D1" w:rsidP="00B412D1">
            <w:pPr>
              <w:spacing w:line="480" w:lineRule="auto"/>
            </w:pPr>
            <w:r w:rsidRPr="0010302B">
              <w:t>Youth Self-Report (YSR) and the Child and Adolescent Functional Assessment Scale (CAFAS). Secondly, will be the recidivism rate which will be monitored over a 12-month period post-program</w:t>
            </w:r>
            <w:r>
              <w:t>me</w:t>
            </w:r>
            <w:r w:rsidRPr="0010302B">
              <w:t xml:space="preserve"> completion. The completion rate of the program will also be a key</w:t>
            </w:r>
            <w:r w:rsidRPr="001577AB">
              <w:t xml:space="preserve"> </w:t>
            </w:r>
            <w:r w:rsidRPr="0010302B">
              <w:t>metric for evaluating its success. Qualitative data will be collected through participant and family feedback, as well as members of the community via surveys and interviews.</w:t>
            </w:r>
          </w:p>
          <w:p w14:paraId="6A8054D2" w14:textId="77777777" w:rsidR="00B412D1" w:rsidRPr="001577AB" w:rsidRDefault="00B412D1" w:rsidP="00B412D1">
            <w:pPr>
              <w:spacing w:line="480" w:lineRule="auto"/>
            </w:pPr>
          </w:p>
          <w:p w14:paraId="32AB470A" w14:textId="0E40D67D" w:rsidR="00F86126" w:rsidRPr="00B412D1" w:rsidRDefault="00B412D1" w:rsidP="00B412D1">
            <w:pPr>
              <w:spacing w:line="480" w:lineRule="auto"/>
            </w:pPr>
            <w:r w:rsidRPr="001577AB">
              <w:rPr>
                <w:bCs/>
              </w:rPr>
              <w:t>The expected outcomes of this program</w:t>
            </w:r>
            <w:r>
              <w:rPr>
                <w:bCs/>
              </w:rPr>
              <w:t>me</w:t>
            </w:r>
            <w:r w:rsidRPr="001577AB">
              <w:rPr>
                <w:bCs/>
              </w:rPr>
              <w:t xml:space="preserve"> </w:t>
            </w:r>
            <w:r w:rsidRPr="001577AB">
              <w:rPr>
                <w:rFonts w:eastAsia="Calibri"/>
                <w:bCs/>
              </w:rPr>
              <w:t>are</w:t>
            </w:r>
            <w:r w:rsidRPr="001577AB">
              <w:rPr>
                <w:bCs/>
              </w:rPr>
              <w:t xml:space="preserve"> reduction in recidivism, improved emotional regulation and coping mechanisms, enhanced social skills and empathy, strengthened family relationships, a development of life skills, successful reintegration into society, positive behavioural </w:t>
            </w:r>
            <w:r w:rsidRPr="001577AB">
              <w:rPr>
                <w:bCs/>
              </w:rPr>
              <w:lastRenderedPageBreak/>
              <w:t>and cognitive changes, and increased community support. This study aims to foster lasting positive change in young offenders' lives.</w:t>
            </w:r>
          </w:p>
        </w:tc>
      </w:tr>
      <w:tr w:rsidR="00AC16C0" w:rsidRPr="00210378" w14:paraId="6B79BC24" w14:textId="77777777" w:rsidTr="00B412D1">
        <w:trPr>
          <w:trHeight w:val="4650"/>
        </w:trPr>
        <w:tc>
          <w:tcPr>
            <w:tcW w:w="10007" w:type="dxa"/>
            <w:shd w:val="clear" w:color="auto" w:fill="auto"/>
          </w:tcPr>
          <w:p w14:paraId="6A9C456F" w14:textId="38A27BEE" w:rsidR="00AC16C0" w:rsidRDefault="00991612" w:rsidP="00B412D1">
            <w:pPr>
              <w:pStyle w:val="ListParagraph"/>
              <w:spacing w:line="480" w:lineRule="auto"/>
              <w:ind w:left="0"/>
              <w:rPr>
                <w:rFonts w:ascii="Arial" w:hAnsi="Arial" w:cs="Arial"/>
                <w:b/>
              </w:rPr>
            </w:pPr>
            <w:r>
              <w:rPr>
                <w:rFonts w:ascii="Arial" w:hAnsi="Arial" w:cs="Arial"/>
                <w:b/>
              </w:rPr>
              <w:lastRenderedPageBreak/>
              <w:t>R</w:t>
            </w:r>
            <w:r w:rsidR="00AC16C0" w:rsidRPr="00210378">
              <w:rPr>
                <w:rFonts w:ascii="Arial" w:hAnsi="Arial" w:cs="Arial"/>
                <w:b/>
              </w:rPr>
              <w:t xml:space="preserve">eferences </w:t>
            </w:r>
          </w:p>
          <w:p w14:paraId="082094BC" w14:textId="77777777" w:rsidR="00C97318" w:rsidRDefault="00C97318" w:rsidP="00B412D1">
            <w:pPr>
              <w:pStyle w:val="ListParagraph"/>
              <w:spacing w:line="480" w:lineRule="auto"/>
              <w:ind w:left="0"/>
              <w:rPr>
                <w:rFonts w:ascii="Arial" w:hAnsi="Arial" w:cs="Arial"/>
                <w:b/>
              </w:rPr>
            </w:pPr>
          </w:p>
          <w:p w14:paraId="67754249" w14:textId="696FE9C7" w:rsidR="00B412D1" w:rsidRDefault="00B412D1" w:rsidP="00B412D1">
            <w:pPr>
              <w:pStyle w:val="ListParagraph"/>
              <w:spacing w:line="480" w:lineRule="auto"/>
              <w:ind w:hanging="720"/>
            </w:pPr>
            <w:r w:rsidRPr="00B412D1">
              <w:t xml:space="preserve">Agnew, R. (1992). FOUNDATION FOR a GENERAL STRAIN THEORY OF CRIME AND DELINQUENCY*. </w:t>
            </w:r>
            <w:r w:rsidRPr="00B412D1">
              <w:rPr>
                <w:i/>
                <w:iCs/>
              </w:rPr>
              <w:t>Criminology</w:t>
            </w:r>
            <w:r w:rsidRPr="00B412D1">
              <w:t xml:space="preserve">, </w:t>
            </w:r>
            <w:r w:rsidRPr="00B412D1">
              <w:rPr>
                <w:i/>
                <w:iCs/>
              </w:rPr>
              <w:t>30</w:t>
            </w:r>
            <w:r w:rsidRPr="00B412D1">
              <w:t xml:space="preserve">(1), 47–88. </w:t>
            </w:r>
            <w:hyperlink r:id="rId7" w:history="1">
              <w:r w:rsidRPr="00B412D1">
                <w:rPr>
                  <w:rStyle w:val="Hyperlink"/>
                </w:rPr>
                <w:t>https://doi.org/10.1111/j.1745-9125.1992.tb01093.x</w:t>
              </w:r>
            </w:hyperlink>
          </w:p>
          <w:p w14:paraId="4B84021A" w14:textId="77777777" w:rsidR="00B412D1" w:rsidRPr="00B412D1" w:rsidRDefault="00B412D1" w:rsidP="00B412D1">
            <w:pPr>
              <w:pStyle w:val="ListParagraph"/>
              <w:spacing w:line="480" w:lineRule="auto"/>
              <w:ind w:hanging="720"/>
            </w:pPr>
          </w:p>
          <w:p w14:paraId="187CD9DE" w14:textId="686BDE27" w:rsidR="00B412D1" w:rsidRDefault="00B412D1" w:rsidP="00B412D1">
            <w:pPr>
              <w:pStyle w:val="ListParagraph"/>
              <w:spacing w:line="480" w:lineRule="auto"/>
              <w:ind w:hanging="720"/>
            </w:pPr>
            <w:r w:rsidRPr="00B412D1">
              <w:t xml:space="preserve">Akers, R. L., &amp; Jensen, G. F. (2017). The Empirical Status of Social Learning Theory of Crime and Deviance: The Past, Present, and Future. In </w:t>
            </w:r>
            <w:r w:rsidRPr="00B412D1">
              <w:rPr>
                <w:i/>
                <w:iCs/>
              </w:rPr>
              <w:t>Routledge eBooks</w:t>
            </w:r>
            <w:r w:rsidRPr="00B412D1">
              <w:t xml:space="preserve"> (pp. 37–76). </w:t>
            </w:r>
            <w:hyperlink r:id="rId8" w:history="1">
              <w:r w:rsidRPr="00B412D1">
                <w:rPr>
                  <w:rStyle w:val="Hyperlink"/>
                </w:rPr>
                <w:t>https://doi.org/10.4324/9781315130620-2</w:t>
              </w:r>
            </w:hyperlink>
          </w:p>
          <w:p w14:paraId="65FA9F11" w14:textId="77777777" w:rsidR="00B412D1" w:rsidRPr="00B412D1" w:rsidRDefault="00B412D1" w:rsidP="00B412D1">
            <w:pPr>
              <w:pStyle w:val="ListParagraph"/>
              <w:spacing w:line="480" w:lineRule="auto"/>
              <w:ind w:hanging="720"/>
            </w:pPr>
          </w:p>
          <w:p w14:paraId="08BEC9FB" w14:textId="4DDF1747" w:rsidR="00B412D1" w:rsidRDefault="00B412D1" w:rsidP="00B412D1">
            <w:pPr>
              <w:pStyle w:val="ListParagraph"/>
              <w:spacing w:line="480" w:lineRule="auto"/>
              <w:ind w:hanging="720"/>
            </w:pPr>
            <w:r w:rsidRPr="00B412D1">
              <w:t xml:space="preserve">Baskin-Sommers, A., Chang, S., Estrada, S., &amp; Chan, L. (2021). Toward Targeted Interventions: Examining the science behind interventions for youth who offend. </w:t>
            </w:r>
            <w:r w:rsidRPr="00B412D1">
              <w:rPr>
                <w:i/>
                <w:iCs/>
              </w:rPr>
              <w:t>Annual Review of Criminology</w:t>
            </w:r>
            <w:r w:rsidRPr="00B412D1">
              <w:t xml:space="preserve">, </w:t>
            </w:r>
            <w:r w:rsidRPr="00B412D1">
              <w:rPr>
                <w:i/>
                <w:iCs/>
              </w:rPr>
              <w:t>5</w:t>
            </w:r>
            <w:r w:rsidRPr="00B412D1">
              <w:t xml:space="preserve">(1), 345–369. </w:t>
            </w:r>
            <w:hyperlink r:id="rId9" w:history="1">
              <w:r w:rsidRPr="00B412D1">
                <w:rPr>
                  <w:rStyle w:val="Hyperlink"/>
                </w:rPr>
                <w:t>https://doi.org/10.1146/annurev-criminol-030620-023027</w:t>
              </w:r>
            </w:hyperlink>
          </w:p>
          <w:p w14:paraId="5E9F1D4F" w14:textId="77777777" w:rsidR="00B412D1" w:rsidRPr="00B412D1" w:rsidRDefault="00B412D1" w:rsidP="00B412D1">
            <w:pPr>
              <w:pStyle w:val="ListParagraph"/>
              <w:spacing w:line="480" w:lineRule="auto"/>
              <w:ind w:hanging="720"/>
            </w:pPr>
          </w:p>
          <w:p w14:paraId="1A575BBB" w14:textId="6CC928A1" w:rsidR="00B412D1" w:rsidRDefault="00B412D1" w:rsidP="00B412D1">
            <w:pPr>
              <w:pStyle w:val="ListParagraph"/>
              <w:spacing w:line="480" w:lineRule="auto"/>
              <w:ind w:hanging="720"/>
            </w:pPr>
            <w:r w:rsidRPr="00B412D1">
              <w:t xml:space="preserve">Beshai, S. (2024). Mindfulness and CBT: a conceptual integration bridging ancient wisdom and modern cognitive theories of psychopathology. </w:t>
            </w:r>
            <w:r w:rsidRPr="00B412D1">
              <w:rPr>
                <w:i/>
                <w:iCs/>
              </w:rPr>
              <w:t>Frontiers in Psychology</w:t>
            </w:r>
            <w:r w:rsidRPr="00B412D1">
              <w:t xml:space="preserve">, </w:t>
            </w:r>
            <w:r w:rsidRPr="00B412D1">
              <w:rPr>
                <w:i/>
                <w:iCs/>
              </w:rPr>
              <w:t>15</w:t>
            </w:r>
            <w:r w:rsidRPr="00B412D1">
              <w:t xml:space="preserve">. </w:t>
            </w:r>
            <w:hyperlink r:id="rId10" w:history="1">
              <w:r w:rsidRPr="00B412D1">
                <w:rPr>
                  <w:rStyle w:val="Hyperlink"/>
                </w:rPr>
                <w:t>https://doi.org/10.3389/fpsyg.2024.1489798</w:t>
              </w:r>
            </w:hyperlink>
          </w:p>
          <w:p w14:paraId="5EDE8B59" w14:textId="77777777" w:rsidR="00B412D1" w:rsidRPr="00B412D1" w:rsidRDefault="00B412D1" w:rsidP="00B412D1">
            <w:pPr>
              <w:pStyle w:val="ListParagraph"/>
              <w:spacing w:line="480" w:lineRule="auto"/>
              <w:ind w:hanging="720"/>
            </w:pPr>
          </w:p>
          <w:p w14:paraId="2466DB98" w14:textId="26565C50" w:rsidR="00B412D1" w:rsidRDefault="00B412D1" w:rsidP="00B412D1">
            <w:pPr>
              <w:pStyle w:val="ListParagraph"/>
              <w:spacing w:line="480" w:lineRule="auto"/>
              <w:ind w:hanging="720"/>
            </w:pPr>
            <w:r w:rsidRPr="00B412D1">
              <w:t xml:space="preserve">Burke, C., Ellis, J. D., Peltier, M. R., Roberts, W., </w:t>
            </w:r>
            <w:proofErr w:type="spellStart"/>
            <w:r w:rsidRPr="00B412D1">
              <w:t>Verplaetse</w:t>
            </w:r>
            <w:proofErr w:type="spellEnd"/>
            <w:r w:rsidRPr="00B412D1">
              <w:t xml:space="preserve">, T. L., Phillips, S., Moore, K. E., Marotta, P. L., &amp; McKee, S. A. (2022). Adverse childhood experiences and pathways to violent </w:t>
            </w:r>
            <w:proofErr w:type="spellStart"/>
            <w:r w:rsidRPr="00B412D1">
              <w:t>behavior</w:t>
            </w:r>
            <w:proofErr w:type="spellEnd"/>
            <w:r w:rsidRPr="00B412D1">
              <w:t xml:space="preserve"> for women and men. </w:t>
            </w:r>
            <w:r w:rsidRPr="00B412D1">
              <w:rPr>
                <w:i/>
                <w:iCs/>
              </w:rPr>
              <w:t>Journal of Interpersonal Violence</w:t>
            </w:r>
            <w:r w:rsidRPr="00B412D1">
              <w:t xml:space="preserve">, </w:t>
            </w:r>
            <w:r w:rsidRPr="00B412D1">
              <w:rPr>
                <w:i/>
                <w:iCs/>
              </w:rPr>
              <w:t>38</w:t>
            </w:r>
            <w:r w:rsidRPr="00B412D1">
              <w:t xml:space="preserve">(3–4), 4034–4060. </w:t>
            </w:r>
            <w:hyperlink r:id="rId11" w:history="1">
              <w:r w:rsidRPr="00B412D1">
                <w:rPr>
                  <w:rStyle w:val="Hyperlink"/>
                </w:rPr>
                <w:t>https://doi.org/10.1177/08862605221113012</w:t>
              </w:r>
            </w:hyperlink>
          </w:p>
          <w:p w14:paraId="70ECDAF7" w14:textId="77777777" w:rsidR="00B412D1" w:rsidRPr="00B412D1" w:rsidRDefault="00B412D1" w:rsidP="00B412D1">
            <w:pPr>
              <w:pStyle w:val="ListParagraph"/>
              <w:spacing w:line="480" w:lineRule="auto"/>
              <w:ind w:hanging="720"/>
            </w:pPr>
          </w:p>
          <w:p w14:paraId="190314B6" w14:textId="64325C82" w:rsidR="00B412D1" w:rsidRDefault="00B412D1" w:rsidP="00B412D1">
            <w:pPr>
              <w:pStyle w:val="ListParagraph"/>
              <w:spacing w:line="480" w:lineRule="auto"/>
              <w:ind w:hanging="720"/>
            </w:pPr>
            <w:r w:rsidRPr="00B412D1">
              <w:lastRenderedPageBreak/>
              <w:t xml:space="preserve">Cavanagh, C. (2022). Healthy adolescent development and the juvenile justice system: Challenges and solutions. </w:t>
            </w:r>
            <w:r w:rsidRPr="00B412D1">
              <w:rPr>
                <w:i/>
                <w:iCs/>
              </w:rPr>
              <w:t>Child Development Perspectives</w:t>
            </w:r>
            <w:r w:rsidRPr="00B412D1">
              <w:t xml:space="preserve">, </w:t>
            </w:r>
            <w:r w:rsidRPr="00B412D1">
              <w:rPr>
                <w:i/>
                <w:iCs/>
              </w:rPr>
              <w:t>16</w:t>
            </w:r>
            <w:r w:rsidRPr="00B412D1">
              <w:t xml:space="preserve">(3), 141–147. </w:t>
            </w:r>
            <w:hyperlink r:id="rId12" w:history="1">
              <w:r w:rsidRPr="00B412D1">
                <w:rPr>
                  <w:rStyle w:val="Hyperlink"/>
                </w:rPr>
                <w:t>https://doi.org/10.1111/cdep.12461</w:t>
              </w:r>
            </w:hyperlink>
          </w:p>
          <w:p w14:paraId="35911B1E" w14:textId="77777777" w:rsidR="00B412D1" w:rsidRPr="00B412D1" w:rsidRDefault="00B412D1" w:rsidP="00B412D1">
            <w:pPr>
              <w:pStyle w:val="ListParagraph"/>
              <w:spacing w:line="480" w:lineRule="auto"/>
              <w:ind w:hanging="720"/>
            </w:pPr>
          </w:p>
          <w:p w14:paraId="263E5054" w14:textId="178A47BB" w:rsidR="00B412D1" w:rsidRDefault="00B412D1" w:rsidP="00B412D1">
            <w:pPr>
              <w:pStyle w:val="ListParagraph"/>
              <w:spacing w:line="480" w:lineRule="auto"/>
              <w:ind w:hanging="720"/>
            </w:pPr>
            <w:r w:rsidRPr="00B412D1">
              <w:t xml:space="preserve">De Brito, S. A., Forth, A. E., Baskin-Sommers, A. R., Brazil, I. A., </w:t>
            </w:r>
            <w:proofErr w:type="spellStart"/>
            <w:r w:rsidRPr="00B412D1">
              <w:t>Kimonis</w:t>
            </w:r>
            <w:proofErr w:type="spellEnd"/>
            <w:r w:rsidRPr="00B412D1">
              <w:t xml:space="preserve">, E. R., Pardini, D., Frick, P. J., Blair, R. J. R., &amp; </w:t>
            </w:r>
            <w:proofErr w:type="spellStart"/>
            <w:r w:rsidRPr="00B412D1">
              <w:t>Viding</w:t>
            </w:r>
            <w:proofErr w:type="spellEnd"/>
            <w:r w:rsidRPr="00B412D1">
              <w:t xml:space="preserve">, E. (2021). Psychopathy. </w:t>
            </w:r>
            <w:r w:rsidRPr="00B412D1">
              <w:rPr>
                <w:i/>
                <w:iCs/>
              </w:rPr>
              <w:t>Nature Reviews Disease Primers</w:t>
            </w:r>
            <w:r w:rsidRPr="00B412D1">
              <w:t xml:space="preserve">, </w:t>
            </w:r>
            <w:r w:rsidRPr="00B412D1">
              <w:rPr>
                <w:i/>
                <w:iCs/>
              </w:rPr>
              <w:t>7</w:t>
            </w:r>
            <w:r w:rsidRPr="00B412D1">
              <w:t xml:space="preserve">(1). </w:t>
            </w:r>
            <w:hyperlink r:id="rId13" w:history="1">
              <w:r w:rsidRPr="00B412D1">
                <w:rPr>
                  <w:rStyle w:val="Hyperlink"/>
                </w:rPr>
                <w:t>https://doi.org/10.1038/s41572-021-00282-1</w:t>
              </w:r>
            </w:hyperlink>
          </w:p>
          <w:p w14:paraId="5601641D" w14:textId="77777777" w:rsidR="00B412D1" w:rsidRPr="00B412D1" w:rsidRDefault="00B412D1" w:rsidP="00B412D1">
            <w:pPr>
              <w:pStyle w:val="ListParagraph"/>
              <w:spacing w:line="480" w:lineRule="auto"/>
              <w:ind w:hanging="720"/>
            </w:pPr>
          </w:p>
          <w:p w14:paraId="3F9C618F" w14:textId="65AEED32" w:rsidR="00B412D1" w:rsidRDefault="00B412D1" w:rsidP="00B412D1">
            <w:pPr>
              <w:pStyle w:val="ListParagraph"/>
              <w:spacing w:line="480" w:lineRule="auto"/>
              <w:ind w:hanging="720"/>
            </w:pPr>
            <w:r w:rsidRPr="00B412D1">
              <w:t xml:space="preserve">Docherty, M., Lieman, A., &amp; Gordon, B. L. (2021). Improvement in emotion regulation while detained predicts lower juvenile recidivism. </w:t>
            </w:r>
            <w:r w:rsidRPr="00B412D1">
              <w:rPr>
                <w:i/>
                <w:iCs/>
              </w:rPr>
              <w:t>Youth Violence and Juvenile Justice</w:t>
            </w:r>
            <w:r w:rsidRPr="00B412D1">
              <w:t xml:space="preserve">, </w:t>
            </w:r>
            <w:r w:rsidRPr="00B412D1">
              <w:rPr>
                <w:i/>
                <w:iCs/>
              </w:rPr>
              <w:t>20</w:t>
            </w:r>
            <w:r w:rsidRPr="00B412D1">
              <w:t xml:space="preserve">(2), 164–183. </w:t>
            </w:r>
            <w:hyperlink r:id="rId14" w:history="1">
              <w:r w:rsidRPr="00B412D1">
                <w:rPr>
                  <w:rStyle w:val="Hyperlink"/>
                </w:rPr>
                <w:t>https://doi.org/10.1177/15412040211053786</w:t>
              </w:r>
            </w:hyperlink>
          </w:p>
          <w:p w14:paraId="1330B237" w14:textId="77777777" w:rsidR="00B412D1" w:rsidRPr="00B412D1" w:rsidRDefault="00B412D1" w:rsidP="00B412D1">
            <w:pPr>
              <w:pStyle w:val="ListParagraph"/>
              <w:spacing w:line="480" w:lineRule="auto"/>
              <w:ind w:hanging="720"/>
            </w:pPr>
          </w:p>
          <w:p w14:paraId="6D5789E2" w14:textId="0A8DA6A6" w:rsidR="00B412D1" w:rsidRDefault="00B412D1" w:rsidP="00B412D1">
            <w:pPr>
              <w:pStyle w:val="ListParagraph"/>
              <w:spacing w:line="480" w:lineRule="auto"/>
              <w:ind w:hanging="720"/>
            </w:pPr>
            <w:r w:rsidRPr="00B412D1">
              <w:t xml:space="preserve">Dumornay, N. M., Finegold, K. E., </w:t>
            </w:r>
            <w:proofErr w:type="spellStart"/>
            <w:r w:rsidRPr="00B412D1">
              <w:t>Chablani</w:t>
            </w:r>
            <w:proofErr w:type="spellEnd"/>
            <w:r w:rsidRPr="00B412D1">
              <w:t>, A., Elkins, L., Krouch, S., Baldwin, M., Youn, S. J., Marques, L., Ressler, K. J., &amp; Moreland-</w:t>
            </w:r>
            <w:proofErr w:type="spellStart"/>
            <w:r w:rsidRPr="00B412D1">
              <w:t>Capuia</w:t>
            </w:r>
            <w:proofErr w:type="spellEnd"/>
            <w:r w:rsidRPr="00B412D1">
              <w:t xml:space="preserve">, A. (2022). Improved emotion regulation following a trauma-informed CBT-based intervention associates with reduced risk for recidivism in justice-involved emerging adults. </w:t>
            </w:r>
            <w:r w:rsidRPr="00B412D1">
              <w:rPr>
                <w:i/>
                <w:iCs/>
              </w:rPr>
              <w:t>Frontiers in Psychiatry</w:t>
            </w:r>
            <w:r w:rsidRPr="00B412D1">
              <w:t xml:space="preserve">, </w:t>
            </w:r>
            <w:r w:rsidRPr="00B412D1">
              <w:rPr>
                <w:i/>
                <w:iCs/>
              </w:rPr>
              <w:t>13</w:t>
            </w:r>
            <w:r w:rsidRPr="00B412D1">
              <w:t xml:space="preserve">. </w:t>
            </w:r>
            <w:hyperlink r:id="rId15" w:history="1">
              <w:r w:rsidRPr="00B412D1">
                <w:rPr>
                  <w:rStyle w:val="Hyperlink"/>
                </w:rPr>
                <w:t>https://doi.org/10.3389/fpsyt.2022.951429</w:t>
              </w:r>
            </w:hyperlink>
          </w:p>
          <w:p w14:paraId="07D3C8BF" w14:textId="77777777" w:rsidR="00B412D1" w:rsidRPr="00B412D1" w:rsidRDefault="00B412D1" w:rsidP="00B412D1">
            <w:pPr>
              <w:pStyle w:val="ListParagraph"/>
              <w:spacing w:line="480" w:lineRule="auto"/>
              <w:ind w:hanging="720"/>
            </w:pPr>
          </w:p>
          <w:p w14:paraId="52518242" w14:textId="486B6B25" w:rsidR="00B412D1" w:rsidRDefault="00B412D1" w:rsidP="00B412D1">
            <w:pPr>
              <w:pStyle w:val="ListParagraph"/>
              <w:spacing w:line="480" w:lineRule="auto"/>
              <w:ind w:hanging="720"/>
            </w:pPr>
            <w:r w:rsidRPr="00B412D1">
              <w:t xml:space="preserve">Hausam, J., Franke, M., Lehmann, R. J. B., &amp; Dahle, K. (2022). Effectiveness of social-therapeutic treatment for serious offenders in juvenile detention: A quasi-experimental study of recidivism. </w:t>
            </w:r>
            <w:r w:rsidRPr="00B412D1">
              <w:rPr>
                <w:i/>
                <w:iCs/>
              </w:rPr>
              <w:t>Frontiers in Psychiatry</w:t>
            </w:r>
            <w:r w:rsidRPr="00B412D1">
              <w:t xml:space="preserve">, </w:t>
            </w:r>
            <w:r w:rsidRPr="00B412D1">
              <w:rPr>
                <w:i/>
                <w:iCs/>
              </w:rPr>
              <w:t>13</w:t>
            </w:r>
            <w:r w:rsidRPr="00B412D1">
              <w:t xml:space="preserve">. </w:t>
            </w:r>
            <w:hyperlink r:id="rId16" w:history="1">
              <w:r w:rsidRPr="00B412D1">
                <w:rPr>
                  <w:rStyle w:val="Hyperlink"/>
                </w:rPr>
                <w:t>https://doi.org/10.3389/fpsyt.2022.909781</w:t>
              </w:r>
            </w:hyperlink>
          </w:p>
          <w:p w14:paraId="46F3032B" w14:textId="77777777" w:rsidR="00B412D1" w:rsidRPr="00B412D1" w:rsidRDefault="00B412D1" w:rsidP="00B412D1">
            <w:pPr>
              <w:pStyle w:val="ListParagraph"/>
              <w:spacing w:line="480" w:lineRule="auto"/>
              <w:ind w:hanging="720"/>
            </w:pPr>
          </w:p>
          <w:p w14:paraId="1BFF1231" w14:textId="5E26E713" w:rsidR="00B412D1" w:rsidRDefault="00B412D1" w:rsidP="00B412D1">
            <w:pPr>
              <w:pStyle w:val="ListParagraph"/>
              <w:spacing w:line="480" w:lineRule="auto"/>
              <w:ind w:hanging="720"/>
            </w:pPr>
            <w:r w:rsidRPr="00B412D1">
              <w:t xml:space="preserve">Hodgkinson, R., Beattie, S., Roberts, R., &amp; Hardy, L. (2020). Psychological Resilience Interventions to Reduce Recidivism in Young people: A Systematic review. </w:t>
            </w:r>
            <w:r w:rsidRPr="00B412D1">
              <w:rPr>
                <w:i/>
                <w:iCs/>
              </w:rPr>
              <w:t>Adolescent Research Review</w:t>
            </w:r>
            <w:r w:rsidRPr="00B412D1">
              <w:t xml:space="preserve">, </w:t>
            </w:r>
            <w:r w:rsidRPr="00B412D1">
              <w:rPr>
                <w:i/>
                <w:iCs/>
              </w:rPr>
              <w:t>6</w:t>
            </w:r>
            <w:r w:rsidRPr="00B412D1">
              <w:t xml:space="preserve">(4), 333–357. </w:t>
            </w:r>
            <w:hyperlink r:id="rId17" w:history="1">
              <w:r w:rsidRPr="00B412D1">
                <w:rPr>
                  <w:rStyle w:val="Hyperlink"/>
                </w:rPr>
                <w:t>https://doi.org/10.1007/s40894-020-00138-x</w:t>
              </w:r>
            </w:hyperlink>
          </w:p>
          <w:p w14:paraId="08B199A4" w14:textId="77777777" w:rsidR="00B412D1" w:rsidRPr="00B412D1" w:rsidRDefault="00B412D1" w:rsidP="00B412D1">
            <w:pPr>
              <w:pStyle w:val="ListParagraph"/>
              <w:spacing w:line="480" w:lineRule="auto"/>
              <w:ind w:hanging="720"/>
            </w:pPr>
          </w:p>
          <w:p w14:paraId="2369B114" w14:textId="534D61C1" w:rsidR="00B412D1" w:rsidRDefault="00B412D1" w:rsidP="00B412D1">
            <w:pPr>
              <w:pStyle w:val="ListParagraph"/>
              <w:spacing w:line="480" w:lineRule="auto"/>
              <w:ind w:hanging="720"/>
            </w:pPr>
            <w:r w:rsidRPr="00B412D1">
              <w:lastRenderedPageBreak/>
              <w:t xml:space="preserve">Jones, M. S., &amp; Pierce, H. (2020). Early exposure to adverse childhood experiences and youth delinquent </w:t>
            </w:r>
            <w:proofErr w:type="spellStart"/>
            <w:r w:rsidRPr="00B412D1">
              <w:t>behavior</w:t>
            </w:r>
            <w:proofErr w:type="spellEnd"/>
            <w:r w:rsidRPr="00B412D1">
              <w:t xml:space="preserve"> in fragile families. </w:t>
            </w:r>
            <w:r w:rsidRPr="00B412D1">
              <w:rPr>
                <w:i/>
                <w:iCs/>
              </w:rPr>
              <w:t>Youth &amp; Society</w:t>
            </w:r>
            <w:r w:rsidRPr="00B412D1">
              <w:t xml:space="preserve">, </w:t>
            </w:r>
            <w:r w:rsidRPr="00B412D1">
              <w:rPr>
                <w:i/>
                <w:iCs/>
              </w:rPr>
              <w:t>53</w:t>
            </w:r>
            <w:r w:rsidRPr="00B412D1">
              <w:t xml:space="preserve">(5), 841–867. </w:t>
            </w:r>
            <w:hyperlink r:id="rId18" w:history="1">
              <w:r w:rsidRPr="00B412D1">
                <w:rPr>
                  <w:rStyle w:val="Hyperlink"/>
                </w:rPr>
                <w:t>https://doi.org/10.1177/0044118x20908759</w:t>
              </w:r>
            </w:hyperlink>
          </w:p>
          <w:p w14:paraId="1B0A5F8F" w14:textId="77777777" w:rsidR="00B412D1" w:rsidRPr="00B412D1" w:rsidRDefault="00B412D1" w:rsidP="00B412D1">
            <w:pPr>
              <w:pStyle w:val="ListParagraph"/>
              <w:spacing w:line="480" w:lineRule="auto"/>
              <w:ind w:hanging="720"/>
            </w:pPr>
          </w:p>
          <w:p w14:paraId="28BB067D" w14:textId="1240F44F" w:rsidR="00B412D1" w:rsidRDefault="00B412D1" w:rsidP="00B412D1">
            <w:pPr>
              <w:pStyle w:val="ListParagraph"/>
              <w:spacing w:line="480" w:lineRule="auto"/>
              <w:ind w:hanging="720"/>
            </w:pPr>
            <w:r w:rsidRPr="00B412D1">
              <w:t xml:space="preserve">Kimbrell, C. S., Wilson, D. B., &amp; </w:t>
            </w:r>
            <w:proofErr w:type="spellStart"/>
            <w:r w:rsidRPr="00B412D1">
              <w:t>Olaghere</w:t>
            </w:r>
            <w:proofErr w:type="spellEnd"/>
            <w:r w:rsidRPr="00B412D1">
              <w:t xml:space="preserve">, A. (2022). Restorative justice programs and practices in juvenile justice: An updated systematic review and meta‐analysis for effectiveness. </w:t>
            </w:r>
            <w:r w:rsidRPr="00B412D1">
              <w:rPr>
                <w:i/>
                <w:iCs/>
              </w:rPr>
              <w:t>Criminology &amp; Public Policy</w:t>
            </w:r>
            <w:r w:rsidRPr="00B412D1">
              <w:t xml:space="preserve">, </w:t>
            </w:r>
            <w:r w:rsidRPr="00B412D1">
              <w:rPr>
                <w:i/>
                <w:iCs/>
              </w:rPr>
              <w:t>22</w:t>
            </w:r>
            <w:r w:rsidRPr="00B412D1">
              <w:t xml:space="preserve">(1), 161–195. </w:t>
            </w:r>
            <w:hyperlink r:id="rId19" w:history="1">
              <w:r w:rsidRPr="00B412D1">
                <w:rPr>
                  <w:rStyle w:val="Hyperlink"/>
                </w:rPr>
                <w:t>https://doi.org/10.1111/1745-9133.12613</w:t>
              </w:r>
            </w:hyperlink>
          </w:p>
          <w:p w14:paraId="742B9C92" w14:textId="77777777" w:rsidR="00B412D1" w:rsidRPr="00B412D1" w:rsidRDefault="00B412D1" w:rsidP="00B412D1">
            <w:pPr>
              <w:pStyle w:val="ListParagraph"/>
              <w:spacing w:line="480" w:lineRule="auto"/>
              <w:ind w:hanging="720"/>
            </w:pPr>
          </w:p>
          <w:p w14:paraId="29F4A20F" w14:textId="7B18E827" w:rsidR="00B412D1" w:rsidRDefault="00B412D1" w:rsidP="00B412D1">
            <w:pPr>
              <w:pStyle w:val="ListParagraph"/>
              <w:spacing w:line="480" w:lineRule="auto"/>
              <w:ind w:hanging="720"/>
            </w:pPr>
            <w:r w:rsidRPr="00B412D1">
              <w:t xml:space="preserve">Kook, M., Clinger, J. W., Lee, E., Schneider, S. C., Storch, E. A., &amp; Guzick, A. G. (2022). A content analysis of self-report child anxiety measures. </w:t>
            </w:r>
            <w:r w:rsidRPr="00B412D1">
              <w:rPr>
                <w:i/>
                <w:iCs/>
              </w:rPr>
              <w:t>Child Psychiatry &amp; Human Development</w:t>
            </w:r>
            <w:r w:rsidRPr="00B412D1">
              <w:t xml:space="preserve">. </w:t>
            </w:r>
            <w:hyperlink r:id="rId20" w:history="1">
              <w:r w:rsidRPr="00B412D1">
                <w:rPr>
                  <w:rStyle w:val="Hyperlink"/>
                </w:rPr>
                <w:t>https://doi.org/10.1007/s10578-022-01455-z</w:t>
              </w:r>
            </w:hyperlink>
          </w:p>
          <w:p w14:paraId="32746A6B" w14:textId="77777777" w:rsidR="00B412D1" w:rsidRPr="00B412D1" w:rsidRDefault="00B412D1" w:rsidP="00B412D1">
            <w:pPr>
              <w:pStyle w:val="ListParagraph"/>
              <w:spacing w:line="480" w:lineRule="auto"/>
              <w:ind w:hanging="720"/>
            </w:pPr>
          </w:p>
          <w:p w14:paraId="28F9D937" w14:textId="4540DF6D" w:rsidR="00B412D1" w:rsidRDefault="00B412D1" w:rsidP="00B412D1">
            <w:pPr>
              <w:pStyle w:val="ListParagraph"/>
              <w:spacing w:line="480" w:lineRule="auto"/>
              <w:ind w:hanging="720"/>
            </w:pPr>
            <w:r w:rsidRPr="00B412D1">
              <w:t xml:space="preserve">Lerner, R. M., Lerner, J. V., Murry, V. M., Smith, E. P., Bowers, E. P., Geldhof, G. J., &amp; Buckingham, M. H. (2021). Positive Youth Development in 2020: theory, research, programs, and the Promotion of Social Justice. </w:t>
            </w:r>
            <w:r w:rsidRPr="00B412D1">
              <w:rPr>
                <w:i/>
                <w:iCs/>
              </w:rPr>
              <w:t>Journal of Research on Adolescence</w:t>
            </w:r>
            <w:r w:rsidRPr="00B412D1">
              <w:t xml:space="preserve">, </w:t>
            </w:r>
            <w:r w:rsidRPr="00B412D1">
              <w:rPr>
                <w:i/>
                <w:iCs/>
              </w:rPr>
              <w:t>31</w:t>
            </w:r>
            <w:r w:rsidRPr="00B412D1">
              <w:t xml:space="preserve">(4), 1114–1134. </w:t>
            </w:r>
            <w:hyperlink r:id="rId21" w:history="1">
              <w:r w:rsidRPr="00B412D1">
                <w:rPr>
                  <w:rStyle w:val="Hyperlink"/>
                </w:rPr>
                <w:t>https://doi.org/10.1111/jora.12609</w:t>
              </w:r>
            </w:hyperlink>
          </w:p>
          <w:p w14:paraId="32DD7E91" w14:textId="77777777" w:rsidR="00B412D1" w:rsidRPr="00B412D1" w:rsidRDefault="00B412D1" w:rsidP="00B412D1">
            <w:pPr>
              <w:pStyle w:val="ListParagraph"/>
              <w:spacing w:line="480" w:lineRule="auto"/>
              <w:ind w:hanging="720"/>
            </w:pPr>
          </w:p>
          <w:p w14:paraId="140EDC90" w14:textId="4144739E" w:rsidR="00B412D1" w:rsidRDefault="00B412D1" w:rsidP="00B412D1">
            <w:pPr>
              <w:pStyle w:val="ListParagraph"/>
              <w:spacing w:line="480" w:lineRule="auto"/>
              <w:ind w:hanging="720"/>
            </w:pPr>
            <w:r w:rsidRPr="00B412D1">
              <w:t xml:space="preserve">Lin, T., Chen, H., &amp; Wu, J. (2023, November 10). </w:t>
            </w:r>
            <w:r w:rsidRPr="00B412D1">
              <w:rPr>
                <w:i/>
                <w:iCs/>
              </w:rPr>
              <w:t>Research on the impact of restorative justice implementation on the social reintegration of offenders and the reduction of recidivism rates</w:t>
            </w:r>
            <w:r w:rsidRPr="00B412D1">
              <w:t xml:space="preserve">. </w:t>
            </w:r>
            <w:hyperlink r:id="rId22" w:history="1">
              <w:r w:rsidRPr="00B412D1">
                <w:rPr>
                  <w:rStyle w:val="Hyperlink"/>
                </w:rPr>
                <w:t>https://www.paradigmpress.org/le/article/view/864</w:t>
              </w:r>
            </w:hyperlink>
          </w:p>
          <w:p w14:paraId="42568997" w14:textId="77777777" w:rsidR="00B412D1" w:rsidRPr="00B412D1" w:rsidRDefault="00B412D1" w:rsidP="00B412D1">
            <w:pPr>
              <w:pStyle w:val="ListParagraph"/>
              <w:spacing w:line="480" w:lineRule="auto"/>
              <w:ind w:hanging="720"/>
            </w:pPr>
          </w:p>
          <w:p w14:paraId="19304207" w14:textId="67042312" w:rsidR="00B412D1" w:rsidRDefault="00B412D1" w:rsidP="00B412D1">
            <w:pPr>
              <w:pStyle w:val="ListParagraph"/>
              <w:spacing w:line="480" w:lineRule="auto"/>
              <w:ind w:hanging="720"/>
            </w:pPr>
            <w:r w:rsidRPr="00B412D1">
              <w:t xml:space="preserve">Lochman, J. E., </w:t>
            </w:r>
            <w:proofErr w:type="spellStart"/>
            <w:r w:rsidRPr="00B412D1">
              <w:t>Boxmeyer</w:t>
            </w:r>
            <w:proofErr w:type="spellEnd"/>
            <w:r w:rsidRPr="00B412D1">
              <w:t xml:space="preserve">, C. L., Powell, N. P., Siddiqui, S., Stromeyer, S. L., &amp; Sallee, M. (2024). Anger and aggression. In </w:t>
            </w:r>
            <w:r w:rsidRPr="00B412D1">
              <w:rPr>
                <w:i/>
                <w:iCs/>
              </w:rPr>
              <w:t>Routledge eBooks</w:t>
            </w:r>
            <w:r w:rsidRPr="00B412D1">
              <w:t xml:space="preserve"> (pp. 272–296). </w:t>
            </w:r>
            <w:hyperlink r:id="rId23" w:history="1">
              <w:r w:rsidRPr="00B412D1">
                <w:rPr>
                  <w:rStyle w:val="Hyperlink"/>
                </w:rPr>
                <w:t>https://doi.org/10.4324/9781003392439-17</w:t>
              </w:r>
            </w:hyperlink>
          </w:p>
          <w:p w14:paraId="68AF0099" w14:textId="77777777" w:rsidR="00B412D1" w:rsidRPr="00B412D1" w:rsidRDefault="00B412D1" w:rsidP="00B412D1">
            <w:pPr>
              <w:pStyle w:val="ListParagraph"/>
              <w:spacing w:line="480" w:lineRule="auto"/>
              <w:ind w:hanging="720"/>
            </w:pPr>
          </w:p>
          <w:p w14:paraId="6B61C57B" w14:textId="414B862B" w:rsidR="00B412D1" w:rsidRDefault="00B412D1" w:rsidP="00B412D1">
            <w:pPr>
              <w:pStyle w:val="ListParagraph"/>
              <w:spacing w:line="480" w:lineRule="auto"/>
              <w:ind w:hanging="720"/>
            </w:pPr>
            <w:r w:rsidRPr="00B412D1">
              <w:t xml:space="preserve">Mallett, C. A. (2023). Building resilience in juvenile offenders. In </w:t>
            </w:r>
            <w:r w:rsidRPr="00B412D1">
              <w:rPr>
                <w:i/>
                <w:iCs/>
              </w:rPr>
              <w:t>Springer eBooks</w:t>
            </w:r>
            <w:r w:rsidRPr="00B412D1">
              <w:t xml:space="preserve"> (pp. 303–325). </w:t>
            </w:r>
            <w:hyperlink r:id="rId24" w:history="1">
              <w:r w:rsidRPr="00B412D1">
                <w:rPr>
                  <w:rStyle w:val="Hyperlink"/>
                </w:rPr>
                <w:t>https://doi.org/10.1007/978-3-031-14728-9_16</w:t>
              </w:r>
            </w:hyperlink>
          </w:p>
          <w:p w14:paraId="53CE942C" w14:textId="77777777" w:rsidR="00B412D1" w:rsidRPr="00B412D1" w:rsidRDefault="00B412D1" w:rsidP="00B412D1">
            <w:pPr>
              <w:pStyle w:val="ListParagraph"/>
              <w:spacing w:line="480" w:lineRule="auto"/>
              <w:ind w:hanging="720"/>
            </w:pPr>
          </w:p>
          <w:p w14:paraId="20E1EFB4" w14:textId="42DFF9C0" w:rsidR="00B412D1" w:rsidRDefault="00B412D1" w:rsidP="00B412D1">
            <w:pPr>
              <w:pStyle w:val="ListParagraph"/>
              <w:spacing w:line="480" w:lineRule="auto"/>
              <w:ind w:hanging="720"/>
            </w:pPr>
            <w:r w:rsidRPr="00B412D1">
              <w:t xml:space="preserve">Maluleke, W., &amp; Manganyi, F. (2021). </w:t>
            </w:r>
            <w:r w:rsidRPr="00B412D1">
              <w:rPr>
                <w:i/>
                <w:iCs/>
              </w:rPr>
              <w:t>The effectiveness of victim-offender mediation and family group conference programmes on recidivism in Polokwane Municipality, Limpopo Province</w:t>
            </w:r>
            <w:r w:rsidRPr="00B412D1">
              <w:t xml:space="preserve">. </w:t>
            </w:r>
            <w:hyperlink r:id="rId25" w:history="1">
              <w:r w:rsidRPr="00B412D1">
                <w:rPr>
                  <w:rStyle w:val="Hyperlink"/>
                </w:rPr>
                <w:t>http://ulspace.ul.ac.za/handle/10386/3762</w:t>
              </w:r>
            </w:hyperlink>
          </w:p>
          <w:p w14:paraId="36117A50" w14:textId="77777777" w:rsidR="00B412D1" w:rsidRPr="00B412D1" w:rsidRDefault="00B412D1" w:rsidP="00B412D1">
            <w:pPr>
              <w:pStyle w:val="ListParagraph"/>
              <w:spacing w:line="480" w:lineRule="auto"/>
              <w:ind w:hanging="720"/>
            </w:pPr>
          </w:p>
          <w:p w14:paraId="16B59526" w14:textId="3C6FDA41" w:rsidR="00B412D1" w:rsidRDefault="00B412D1" w:rsidP="00B412D1">
            <w:pPr>
              <w:pStyle w:val="ListParagraph"/>
              <w:spacing w:line="480" w:lineRule="auto"/>
              <w:ind w:hanging="720"/>
            </w:pPr>
            <w:r w:rsidRPr="00B412D1">
              <w:t xml:space="preserve">Marshall, C. D. (2020). Restorative justice. In </w:t>
            </w:r>
            <w:r w:rsidRPr="00B412D1">
              <w:rPr>
                <w:i/>
                <w:iCs/>
              </w:rPr>
              <w:t>Springer eBooks</w:t>
            </w:r>
            <w:r w:rsidRPr="00B412D1">
              <w:t xml:space="preserve"> (pp. 101–117). </w:t>
            </w:r>
            <w:hyperlink r:id="rId26" w:history="1">
              <w:r w:rsidRPr="00B412D1">
                <w:rPr>
                  <w:rStyle w:val="Hyperlink"/>
                </w:rPr>
                <w:t>https://doi.org/10.1007/978-981-15-2489-9_7</w:t>
              </w:r>
            </w:hyperlink>
          </w:p>
          <w:p w14:paraId="15B1DA17" w14:textId="77777777" w:rsidR="00B412D1" w:rsidRPr="00B412D1" w:rsidRDefault="00B412D1" w:rsidP="00B412D1">
            <w:pPr>
              <w:pStyle w:val="ListParagraph"/>
              <w:spacing w:line="480" w:lineRule="auto"/>
              <w:ind w:hanging="720"/>
            </w:pPr>
          </w:p>
          <w:p w14:paraId="4F279497" w14:textId="6F3BB998" w:rsidR="00B412D1" w:rsidRDefault="00B412D1" w:rsidP="00B412D1">
            <w:pPr>
              <w:pStyle w:val="ListParagraph"/>
              <w:spacing w:line="480" w:lineRule="auto"/>
              <w:ind w:hanging="720"/>
            </w:pPr>
            <w:r w:rsidRPr="00B412D1">
              <w:t xml:space="preserve">Martin, K., Paul, S., Campbell, E., &amp; Bickle, K. (2022). Restorative Justice Practices in Forensic Mental Health Settings – A scoping review. </w:t>
            </w:r>
            <w:r w:rsidRPr="00B412D1">
              <w:rPr>
                <w:i/>
                <w:iCs/>
              </w:rPr>
              <w:t>International Journal of Forensic Mental Health</w:t>
            </w:r>
            <w:r w:rsidRPr="00B412D1">
              <w:t xml:space="preserve">, </w:t>
            </w:r>
            <w:r w:rsidRPr="00B412D1">
              <w:rPr>
                <w:i/>
                <w:iCs/>
              </w:rPr>
              <w:t>22</w:t>
            </w:r>
            <w:r w:rsidRPr="00B412D1">
              <w:t xml:space="preserve">(2), 147–158. </w:t>
            </w:r>
            <w:hyperlink r:id="rId27" w:history="1">
              <w:r w:rsidRPr="00B412D1">
                <w:rPr>
                  <w:rStyle w:val="Hyperlink"/>
                </w:rPr>
                <w:t>https://doi.org/10.1080/14999013.2022.2105992</w:t>
              </w:r>
            </w:hyperlink>
          </w:p>
          <w:p w14:paraId="5BC64428" w14:textId="77777777" w:rsidR="00B412D1" w:rsidRPr="00B412D1" w:rsidRDefault="00B412D1" w:rsidP="00B412D1">
            <w:pPr>
              <w:pStyle w:val="ListParagraph"/>
              <w:spacing w:line="480" w:lineRule="auto"/>
              <w:ind w:hanging="720"/>
            </w:pPr>
          </w:p>
          <w:p w14:paraId="3C7C5121" w14:textId="494B7683" w:rsidR="00B412D1" w:rsidRDefault="00B412D1" w:rsidP="00B412D1">
            <w:pPr>
              <w:pStyle w:val="ListParagraph"/>
              <w:spacing w:line="480" w:lineRule="auto"/>
              <w:ind w:hanging="720"/>
            </w:pPr>
            <w:r w:rsidRPr="00B412D1">
              <w:t xml:space="preserve">Mason, K., &amp; Bond, E. (2024). 35. Educating for Justice in the Era of Mass Incarceration. In </w:t>
            </w:r>
            <w:r w:rsidRPr="00B412D1">
              <w:rPr>
                <w:i/>
                <w:iCs/>
              </w:rPr>
              <w:t>Columbia University Press eBooks</w:t>
            </w:r>
            <w:r w:rsidRPr="00B412D1">
              <w:t xml:space="preserve"> (pp. 301–308). </w:t>
            </w:r>
            <w:hyperlink r:id="rId28" w:history="1">
              <w:r w:rsidRPr="00B412D1">
                <w:rPr>
                  <w:rStyle w:val="Hyperlink"/>
                </w:rPr>
                <w:t>https://doi.org/10.7312/eise21216-036</w:t>
              </w:r>
            </w:hyperlink>
          </w:p>
          <w:p w14:paraId="7B421252" w14:textId="77777777" w:rsidR="00B412D1" w:rsidRPr="00B412D1" w:rsidRDefault="00B412D1" w:rsidP="00B412D1">
            <w:pPr>
              <w:pStyle w:val="ListParagraph"/>
              <w:spacing w:line="480" w:lineRule="auto"/>
              <w:ind w:hanging="720"/>
            </w:pPr>
          </w:p>
          <w:p w14:paraId="08412487" w14:textId="5A5C46A1" w:rsidR="00B412D1" w:rsidRDefault="00B412D1" w:rsidP="00B412D1">
            <w:pPr>
              <w:pStyle w:val="ListParagraph"/>
              <w:spacing w:line="480" w:lineRule="auto"/>
              <w:ind w:hanging="720"/>
            </w:pPr>
            <w:r w:rsidRPr="00B412D1">
              <w:t xml:space="preserve">Mpofu, Z. F., Mkhize, S. M., &amp; Akpan, J. U. (2024). Empathy, remorse, and restoration of dignity contributing to reduced recidivism: assessing the role of restorative justice in promoting offender rehabilitation and reintegration in Durban. </w:t>
            </w:r>
            <w:r w:rsidRPr="00B412D1">
              <w:rPr>
                <w:i/>
                <w:iCs/>
              </w:rPr>
              <w:t>Cogent Social Sciences</w:t>
            </w:r>
            <w:r w:rsidRPr="00B412D1">
              <w:t xml:space="preserve">, </w:t>
            </w:r>
            <w:r w:rsidRPr="00B412D1">
              <w:rPr>
                <w:i/>
                <w:iCs/>
              </w:rPr>
              <w:t>10</w:t>
            </w:r>
            <w:r w:rsidRPr="00B412D1">
              <w:t xml:space="preserve">(1). </w:t>
            </w:r>
            <w:hyperlink r:id="rId29" w:history="1">
              <w:r w:rsidRPr="00B412D1">
                <w:rPr>
                  <w:rStyle w:val="Hyperlink"/>
                </w:rPr>
                <w:t>https://doi.org/10.1080/23311886.2024.2429018</w:t>
              </w:r>
            </w:hyperlink>
          </w:p>
          <w:p w14:paraId="0A04E544" w14:textId="77777777" w:rsidR="00B412D1" w:rsidRPr="00B412D1" w:rsidRDefault="00B412D1" w:rsidP="00B412D1">
            <w:pPr>
              <w:pStyle w:val="ListParagraph"/>
              <w:spacing w:line="480" w:lineRule="auto"/>
              <w:ind w:hanging="720"/>
            </w:pPr>
          </w:p>
          <w:p w14:paraId="4622F1BC" w14:textId="3BDCC0AA" w:rsidR="00B412D1" w:rsidRDefault="00B412D1" w:rsidP="00B412D1">
            <w:pPr>
              <w:pStyle w:val="ListParagraph"/>
              <w:spacing w:line="480" w:lineRule="auto"/>
              <w:ind w:hanging="720"/>
            </w:pPr>
            <w:r w:rsidRPr="00B412D1">
              <w:t xml:space="preserve">Punia, P., </w:t>
            </w:r>
            <w:proofErr w:type="spellStart"/>
            <w:r w:rsidRPr="00B412D1">
              <w:t>Jangra</w:t>
            </w:r>
            <w:proofErr w:type="spellEnd"/>
            <w:r w:rsidRPr="00B412D1">
              <w:t xml:space="preserve">, S., &amp; Phor, M. (2024). Unveiling Connections between Stress, Anxiety, Depression, and Delinquency Proneness: Analysing the General Strain Theory. </w:t>
            </w:r>
            <w:r w:rsidRPr="00B412D1">
              <w:rPr>
                <w:i/>
                <w:iCs/>
              </w:rPr>
              <w:t>Open Education Studies</w:t>
            </w:r>
            <w:r w:rsidRPr="00B412D1">
              <w:t xml:space="preserve">, </w:t>
            </w:r>
            <w:r w:rsidRPr="00B412D1">
              <w:rPr>
                <w:i/>
                <w:iCs/>
              </w:rPr>
              <w:t>6</w:t>
            </w:r>
            <w:r w:rsidRPr="00B412D1">
              <w:t xml:space="preserve">(1). </w:t>
            </w:r>
            <w:hyperlink r:id="rId30" w:history="1">
              <w:r w:rsidRPr="00B412D1">
                <w:rPr>
                  <w:rStyle w:val="Hyperlink"/>
                </w:rPr>
                <w:t>https://doi.org/10.1515/edu-2024-0013</w:t>
              </w:r>
            </w:hyperlink>
          </w:p>
          <w:p w14:paraId="79E17EA0" w14:textId="77777777" w:rsidR="00B412D1" w:rsidRPr="00B412D1" w:rsidRDefault="00B412D1" w:rsidP="00B412D1">
            <w:pPr>
              <w:pStyle w:val="ListParagraph"/>
              <w:spacing w:line="480" w:lineRule="auto"/>
              <w:ind w:hanging="720"/>
            </w:pPr>
          </w:p>
          <w:p w14:paraId="45A096F5" w14:textId="097CE09B" w:rsidR="00B412D1" w:rsidRDefault="00B412D1" w:rsidP="00B412D1">
            <w:pPr>
              <w:pStyle w:val="ListParagraph"/>
              <w:spacing w:line="480" w:lineRule="auto"/>
              <w:ind w:hanging="720"/>
            </w:pPr>
            <w:r w:rsidRPr="00B412D1">
              <w:lastRenderedPageBreak/>
              <w:t xml:space="preserve">Ryum, T., &amp; </w:t>
            </w:r>
            <w:proofErr w:type="spellStart"/>
            <w:r w:rsidRPr="00B412D1">
              <w:t>Kazantzis</w:t>
            </w:r>
            <w:proofErr w:type="spellEnd"/>
            <w:r w:rsidRPr="00B412D1">
              <w:t xml:space="preserve">, N. N. (2024). Elucidating the process-based emphasis in cognitive </w:t>
            </w:r>
            <w:proofErr w:type="spellStart"/>
            <w:r w:rsidRPr="00B412D1">
              <w:t>behavioral</w:t>
            </w:r>
            <w:proofErr w:type="spellEnd"/>
            <w:r w:rsidRPr="00B412D1">
              <w:t xml:space="preserve"> therapy. </w:t>
            </w:r>
            <w:r w:rsidRPr="00B412D1">
              <w:rPr>
                <w:i/>
                <w:iCs/>
              </w:rPr>
              <w:t xml:space="preserve">Journal of Contextual </w:t>
            </w:r>
            <w:proofErr w:type="spellStart"/>
            <w:r w:rsidRPr="00B412D1">
              <w:rPr>
                <w:i/>
                <w:iCs/>
              </w:rPr>
              <w:t>Behavioral</w:t>
            </w:r>
            <w:proofErr w:type="spellEnd"/>
            <w:r w:rsidRPr="00B412D1">
              <w:rPr>
                <w:i/>
                <w:iCs/>
              </w:rPr>
              <w:t xml:space="preserve"> Science</w:t>
            </w:r>
            <w:r w:rsidRPr="00B412D1">
              <w:t xml:space="preserve">, </w:t>
            </w:r>
            <w:r w:rsidRPr="00B412D1">
              <w:rPr>
                <w:i/>
                <w:iCs/>
              </w:rPr>
              <w:t>33</w:t>
            </w:r>
            <w:r w:rsidRPr="00B412D1">
              <w:t xml:space="preserve">, 100819. </w:t>
            </w:r>
            <w:hyperlink r:id="rId31" w:history="1">
              <w:r w:rsidRPr="00B412D1">
                <w:rPr>
                  <w:rStyle w:val="Hyperlink"/>
                </w:rPr>
                <w:t>https://doi.org/10.1016/j.jcbs.2024.100819</w:t>
              </w:r>
            </w:hyperlink>
          </w:p>
          <w:p w14:paraId="32334B75" w14:textId="77777777" w:rsidR="00B412D1" w:rsidRPr="00B412D1" w:rsidRDefault="00B412D1" w:rsidP="00B412D1">
            <w:pPr>
              <w:pStyle w:val="ListParagraph"/>
              <w:spacing w:line="480" w:lineRule="auto"/>
              <w:ind w:hanging="720"/>
            </w:pPr>
          </w:p>
          <w:p w14:paraId="3CCC10CB" w14:textId="4EB15890" w:rsidR="00B412D1" w:rsidRDefault="00B412D1" w:rsidP="00B412D1">
            <w:pPr>
              <w:pStyle w:val="ListParagraph"/>
              <w:spacing w:line="480" w:lineRule="auto"/>
              <w:ind w:hanging="720"/>
            </w:pPr>
            <w:proofErr w:type="spellStart"/>
            <w:r w:rsidRPr="00B412D1">
              <w:t>Selvamenan</w:t>
            </w:r>
            <w:proofErr w:type="spellEnd"/>
            <w:r w:rsidRPr="00B412D1">
              <w:t xml:space="preserve">, M. (2024, October 7). </w:t>
            </w:r>
            <w:r w:rsidRPr="00B412D1">
              <w:rPr>
                <w:i/>
                <w:iCs/>
              </w:rPr>
              <w:t>Assessing youth functioning, strengths, and goals: CAFAS and PECFAS</w:t>
            </w:r>
            <w:r w:rsidRPr="00B412D1">
              <w:t xml:space="preserve">. Multi-Health Systems (MHS). </w:t>
            </w:r>
            <w:hyperlink r:id="rId32" w:history="1">
              <w:r w:rsidRPr="00B412D1">
                <w:rPr>
                  <w:rStyle w:val="Hyperlink"/>
                </w:rPr>
                <w:t>https://mhs.com/blog/assessing-youth-functioning-strengths-and-goals-cafas-and-pecfas/</w:t>
              </w:r>
            </w:hyperlink>
          </w:p>
          <w:p w14:paraId="6B0FD5B0" w14:textId="77777777" w:rsidR="00B412D1" w:rsidRPr="00B412D1" w:rsidRDefault="00B412D1" w:rsidP="00B412D1">
            <w:pPr>
              <w:pStyle w:val="ListParagraph"/>
              <w:spacing w:line="480" w:lineRule="auto"/>
              <w:ind w:hanging="720"/>
            </w:pPr>
          </w:p>
          <w:p w14:paraId="7BAD02C6" w14:textId="74B3BC78" w:rsidR="00B412D1" w:rsidRDefault="00B412D1" w:rsidP="00B412D1">
            <w:pPr>
              <w:pStyle w:val="ListParagraph"/>
              <w:spacing w:line="480" w:lineRule="auto"/>
              <w:ind w:hanging="720"/>
            </w:pPr>
            <w:r w:rsidRPr="00B412D1">
              <w:t xml:space="preserve">Skinner-Osei, P., &amp; Osei, P. C. (2024). Integrating restorative justice principles into </w:t>
            </w:r>
            <w:proofErr w:type="spellStart"/>
            <w:r w:rsidRPr="00B412D1">
              <w:t>reentry</w:t>
            </w:r>
            <w:proofErr w:type="spellEnd"/>
            <w:r w:rsidRPr="00B412D1">
              <w:t xml:space="preserve"> programs and recidivism measures using the C.A.R.E. model. </w:t>
            </w:r>
            <w:r w:rsidRPr="00B412D1">
              <w:rPr>
                <w:i/>
                <w:iCs/>
              </w:rPr>
              <w:t xml:space="preserve">Journal of Human </w:t>
            </w:r>
            <w:proofErr w:type="spellStart"/>
            <w:r w:rsidRPr="00B412D1">
              <w:rPr>
                <w:i/>
                <w:iCs/>
              </w:rPr>
              <w:t>Behavior</w:t>
            </w:r>
            <w:proofErr w:type="spellEnd"/>
            <w:r w:rsidRPr="00B412D1">
              <w:rPr>
                <w:i/>
                <w:iCs/>
              </w:rPr>
              <w:t xml:space="preserve"> in the Social Environment</w:t>
            </w:r>
            <w:r w:rsidRPr="00B412D1">
              <w:t xml:space="preserve">, 1–13. </w:t>
            </w:r>
            <w:hyperlink r:id="rId33" w:history="1">
              <w:r w:rsidRPr="00B412D1">
                <w:rPr>
                  <w:rStyle w:val="Hyperlink"/>
                </w:rPr>
                <w:t>https://doi.org/10.1080/10911359.2024.2434699</w:t>
              </w:r>
            </w:hyperlink>
          </w:p>
          <w:p w14:paraId="409916F0" w14:textId="77777777" w:rsidR="00B412D1" w:rsidRPr="00B412D1" w:rsidRDefault="00B412D1" w:rsidP="00B412D1">
            <w:pPr>
              <w:pStyle w:val="ListParagraph"/>
              <w:spacing w:line="480" w:lineRule="auto"/>
              <w:ind w:hanging="720"/>
            </w:pPr>
          </w:p>
          <w:p w14:paraId="37506DA0" w14:textId="77B2A784" w:rsidR="00B412D1" w:rsidRDefault="00B412D1" w:rsidP="00B412D1">
            <w:pPr>
              <w:pStyle w:val="ListParagraph"/>
              <w:spacing w:line="480" w:lineRule="auto"/>
              <w:ind w:hanging="720"/>
            </w:pPr>
            <w:r w:rsidRPr="00B412D1">
              <w:t xml:space="preserve">Smith, A., Roberts, A., </w:t>
            </w:r>
            <w:proofErr w:type="spellStart"/>
            <w:r w:rsidRPr="00B412D1">
              <w:t>Krzemieniewska</w:t>
            </w:r>
            <w:proofErr w:type="spellEnd"/>
            <w:r w:rsidRPr="00B412D1">
              <w:t xml:space="preserve">‐Nandwani, K., Eggins, E., Cook, W., Fox, C., Maruna, S., Wallace, S., &amp; </w:t>
            </w:r>
            <w:proofErr w:type="spellStart"/>
            <w:r w:rsidRPr="00B412D1">
              <w:t>Szifris</w:t>
            </w:r>
            <w:proofErr w:type="spellEnd"/>
            <w:r w:rsidRPr="00B412D1">
              <w:t xml:space="preserve">, K. (2024). Revisiting the effectiveness of cognitive‐behavioural therapy for reducing reoffending in the criminal justice system: A systematic review. </w:t>
            </w:r>
            <w:r w:rsidRPr="00B412D1">
              <w:rPr>
                <w:i/>
                <w:iCs/>
              </w:rPr>
              <w:t>Campbell Systematic Reviews</w:t>
            </w:r>
            <w:r w:rsidRPr="00B412D1">
              <w:t xml:space="preserve">, </w:t>
            </w:r>
            <w:r w:rsidRPr="00B412D1">
              <w:rPr>
                <w:i/>
                <w:iCs/>
              </w:rPr>
              <w:t>20</w:t>
            </w:r>
            <w:r w:rsidRPr="00B412D1">
              <w:t xml:space="preserve">(3). </w:t>
            </w:r>
            <w:hyperlink r:id="rId34" w:history="1">
              <w:r w:rsidRPr="00B412D1">
                <w:rPr>
                  <w:rStyle w:val="Hyperlink"/>
                </w:rPr>
                <w:t>https://doi.org/10.1002/cl2.1425</w:t>
              </w:r>
            </w:hyperlink>
          </w:p>
          <w:p w14:paraId="137E648A" w14:textId="77777777" w:rsidR="00B412D1" w:rsidRPr="00B412D1" w:rsidRDefault="00B412D1" w:rsidP="00B412D1">
            <w:pPr>
              <w:pStyle w:val="ListParagraph"/>
              <w:spacing w:line="480" w:lineRule="auto"/>
              <w:ind w:hanging="720"/>
            </w:pPr>
          </w:p>
          <w:p w14:paraId="238A6B2B" w14:textId="4FCE04F7" w:rsidR="00B412D1" w:rsidRDefault="00B412D1" w:rsidP="00B412D1">
            <w:pPr>
              <w:pStyle w:val="ListParagraph"/>
              <w:spacing w:line="480" w:lineRule="auto"/>
              <w:ind w:hanging="720"/>
            </w:pPr>
            <w:r w:rsidRPr="00B412D1">
              <w:t xml:space="preserve">Southern, S., &amp; Sullivan, R. D. (2021). Family Violence in context: an intergenerational systemic model. </w:t>
            </w:r>
            <w:r w:rsidRPr="00B412D1">
              <w:rPr>
                <w:i/>
                <w:iCs/>
              </w:rPr>
              <w:t>The Family Journal</w:t>
            </w:r>
            <w:r w:rsidRPr="00B412D1">
              <w:t xml:space="preserve">, </w:t>
            </w:r>
            <w:r w:rsidRPr="00B412D1">
              <w:rPr>
                <w:i/>
                <w:iCs/>
              </w:rPr>
              <w:t>29</w:t>
            </w:r>
            <w:r w:rsidRPr="00B412D1">
              <w:t xml:space="preserve">(3), 260–291. </w:t>
            </w:r>
            <w:hyperlink r:id="rId35" w:history="1">
              <w:r w:rsidRPr="00B412D1">
                <w:rPr>
                  <w:rStyle w:val="Hyperlink"/>
                </w:rPr>
                <w:t>https://doi.org/10.1177/10664807211006274</w:t>
              </w:r>
            </w:hyperlink>
          </w:p>
          <w:p w14:paraId="65E31ECA" w14:textId="77777777" w:rsidR="00B412D1" w:rsidRPr="00B412D1" w:rsidRDefault="00B412D1" w:rsidP="00B412D1">
            <w:pPr>
              <w:pStyle w:val="ListParagraph"/>
              <w:spacing w:line="480" w:lineRule="auto"/>
              <w:ind w:hanging="720"/>
            </w:pPr>
          </w:p>
          <w:p w14:paraId="103E1482" w14:textId="06D6E157" w:rsidR="00B412D1" w:rsidRDefault="00B412D1" w:rsidP="00B412D1">
            <w:pPr>
              <w:pStyle w:val="ListParagraph"/>
              <w:spacing w:line="480" w:lineRule="auto"/>
              <w:ind w:hanging="720"/>
            </w:pPr>
            <w:r w:rsidRPr="00B412D1">
              <w:t xml:space="preserve">Stallard, P. (2021). Evidence-based practice in cognitive–behavioural therapy. </w:t>
            </w:r>
            <w:r w:rsidRPr="00B412D1">
              <w:rPr>
                <w:i/>
                <w:iCs/>
              </w:rPr>
              <w:t>Archives of Disease in Childhood</w:t>
            </w:r>
            <w:r w:rsidRPr="00B412D1">
              <w:t xml:space="preserve">, </w:t>
            </w:r>
            <w:r w:rsidRPr="00B412D1">
              <w:rPr>
                <w:i/>
                <w:iCs/>
              </w:rPr>
              <w:t>107</w:t>
            </w:r>
            <w:r w:rsidRPr="00B412D1">
              <w:t xml:space="preserve">(2), 109–113. </w:t>
            </w:r>
            <w:hyperlink r:id="rId36" w:history="1">
              <w:r w:rsidRPr="00B412D1">
                <w:rPr>
                  <w:rStyle w:val="Hyperlink"/>
                </w:rPr>
                <w:t>https://doi.org/10.1136/archdischild-2020-321249</w:t>
              </w:r>
            </w:hyperlink>
          </w:p>
          <w:p w14:paraId="3B974935" w14:textId="77777777" w:rsidR="00B412D1" w:rsidRPr="00B412D1" w:rsidRDefault="00B412D1" w:rsidP="00B412D1">
            <w:pPr>
              <w:pStyle w:val="ListParagraph"/>
              <w:spacing w:line="480" w:lineRule="auto"/>
              <w:ind w:hanging="720"/>
            </w:pPr>
          </w:p>
          <w:p w14:paraId="38A5886F" w14:textId="2DF743B1" w:rsidR="00B412D1" w:rsidRDefault="00B412D1" w:rsidP="00B412D1">
            <w:pPr>
              <w:pStyle w:val="ListParagraph"/>
              <w:spacing w:line="480" w:lineRule="auto"/>
              <w:ind w:hanging="720"/>
            </w:pPr>
            <w:proofErr w:type="spellStart"/>
            <w:r w:rsidRPr="00B412D1">
              <w:t>Syasyila</w:t>
            </w:r>
            <w:proofErr w:type="spellEnd"/>
            <w:r w:rsidRPr="00B412D1">
              <w:t xml:space="preserve">, K., Gin, L. L., </w:t>
            </w:r>
            <w:proofErr w:type="gramStart"/>
            <w:r w:rsidRPr="00B412D1">
              <w:t>Nor,</w:t>
            </w:r>
            <w:proofErr w:type="gramEnd"/>
            <w:r w:rsidRPr="00B412D1">
              <w:t xml:space="preserve"> H. a. M., &amp; Kamaluddin, M. R. (2024). The role of cognitive distortion in criminal </w:t>
            </w:r>
            <w:proofErr w:type="spellStart"/>
            <w:r w:rsidRPr="00B412D1">
              <w:t>behavior</w:t>
            </w:r>
            <w:proofErr w:type="spellEnd"/>
            <w:r w:rsidRPr="00B412D1">
              <w:t xml:space="preserve">: a systematic literature review. </w:t>
            </w:r>
            <w:r w:rsidRPr="00B412D1">
              <w:rPr>
                <w:i/>
                <w:iCs/>
              </w:rPr>
              <w:t>BMC Psychology</w:t>
            </w:r>
            <w:r w:rsidRPr="00B412D1">
              <w:t xml:space="preserve">, </w:t>
            </w:r>
            <w:r w:rsidRPr="00B412D1">
              <w:rPr>
                <w:i/>
                <w:iCs/>
              </w:rPr>
              <w:t>12</w:t>
            </w:r>
            <w:r w:rsidRPr="00B412D1">
              <w:t xml:space="preserve">(1). </w:t>
            </w:r>
            <w:hyperlink r:id="rId37" w:history="1">
              <w:r w:rsidRPr="00B412D1">
                <w:rPr>
                  <w:rStyle w:val="Hyperlink"/>
                </w:rPr>
                <w:t>https://doi.org/10.1186/s40359-024-02228-0</w:t>
              </w:r>
            </w:hyperlink>
          </w:p>
          <w:p w14:paraId="44D61A47" w14:textId="77777777" w:rsidR="00B412D1" w:rsidRPr="00B412D1" w:rsidRDefault="00B412D1" w:rsidP="00B412D1">
            <w:pPr>
              <w:pStyle w:val="ListParagraph"/>
              <w:spacing w:line="480" w:lineRule="auto"/>
              <w:ind w:hanging="720"/>
            </w:pPr>
          </w:p>
          <w:p w14:paraId="416FCF8F" w14:textId="703F2864" w:rsidR="00B412D1" w:rsidRDefault="00B412D1" w:rsidP="00B412D1">
            <w:pPr>
              <w:pStyle w:val="ListParagraph"/>
              <w:spacing w:line="480" w:lineRule="auto"/>
              <w:ind w:hanging="720"/>
            </w:pPr>
            <w:r w:rsidRPr="00B412D1">
              <w:t xml:space="preserve">Tharshini, N. K., Ibrahim, F., Kamaluddin, M. R., </w:t>
            </w:r>
            <w:proofErr w:type="spellStart"/>
            <w:r w:rsidRPr="00B412D1">
              <w:t>Rathakrishnan</w:t>
            </w:r>
            <w:proofErr w:type="spellEnd"/>
            <w:r w:rsidRPr="00B412D1">
              <w:t xml:space="preserve">, B., &amp; Nasir, N. C. M. (2021). The Link between Individual Personality Traits and Criminality: A Systematic Review. </w:t>
            </w:r>
            <w:r w:rsidRPr="00B412D1">
              <w:rPr>
                <w:i/>
                <w:iCs/>
              </w:rPr>
              <w:t>International Journal of Environmental Research and Public Health</w:t>
            </w:r>
            <w:r w:rsidRPr="00B412D1">
              <w:t xml:space="preserve">, </w:t>
            </w:r>
            <w:r w:rsidRPr="00B412D1">
              <w:rPr>
                <w:i/>
                <w:iCs/>
              </w:rPr>
              <w:t>18</w:t>
            </w:r>
            <w:r w:rsidRPr="00B412D1">
              <w:t xml:space="preserve">(16), 8663. </w:t>
            </w:r>
            <w:hyperlink r:id="rId38" w:history="1">
              <w:r w:rsidRPr="00B412D1">
                <w:rPr>
                  <w:rStyle w:val="Hyperlink"/>
                </w:rPr>
                <w:t>https://doi.org/10.3390/ijerph18168663</w:t>
              </w:r>
            </w:hyperlink>
          </w:p>
          <w:p w14:paraId="7C7BB25E" w14:textId="77777777" w:rsidR="00B412D1" w:rsidRPr="00B412D1" w:rsidRDefault="00B412D1" w:rsidP="00B412D1">
            <w:pPr>
              <w:pStyle w:val="ListParagraph"/>
              <w:spacing w:line="480" w:lineRule="auto"/>
              <w:ind w:hanging="720"/>
            </w:pPr>
          </w:p>
          <w:p w14:paraId="797A747E" w14:textId="4F3928C2" w:rsidR="00B412D1" w:rsidRDefault="00B412D1" w:rsidP="00B412D1">
            <w:pPr>
              <w:pStyle w:val="ListParagraph"/>
              <w:spacing w:line="480" w:lineRule="auto"/>
              <w:ind w:hanging="720"/>
            </w:pPr>
            <w:proofErr w:type="spellStart"/>
            <w:r w:rsidRPr="00B412D1">
              <w:t>Travaini</w:t>
            </w:r>
            <w:proofErr w:type="spellEnd"/>
            <w:r w:rsidRPr="00B412D1">
              <w:t xml:space="preserve">, G., </w:t>
            </w:r>
            <w:proofErr w:type="spellStart"/>
            <w:r w:rsidRPr="00B412D1">
              <w:t>Flutti</w:t>
            </w:r>
            <w:proofErr w:type="spellEnd"/>
            <w:r w:rsidRPr="00B412D1">
              <w:t xml:space="preserve">, E., Moretti, G., </w:t>
            </w:r>
            <w:proofErr w:type="spellStart"/>
            <w:r w:rsidRPr="00B412D1">
              <w:t>Carabellese</w:t>
            </w:r>
            <w:proofErr w:type="spellEnd"/>
            <w:r w:rsidRPr="00B412D1">
              <w:t xml:space="preserve">, F., </w:t>
            </w:r>
            <w:proofErr w:type="spellStart"/>
            <w:r w:rsidRPr="00B412D1">
              <w:t>Catanesi</w:t>
            </w:r>
            <w:proofErr w:type="spellEnd"/>
            <w:r w:rsidRPr="00B412D1">
              <w:t xml:space="preserve">, R., </w:t>
            </w:r>
            <w:proofErr w:type="spellStart"/>
            <w:r w:rsidRPr="00B412D1">
              <w:t>Mandarelli</w:t>
            </w:r>
            <w:proofErr w:type="spellEnd"/>
            <w:r w:rsidRPr="00B412D1">
              <w:t xml:space="preserve">, G., Buongiorno, L., </w:t>
            </w:r>
            <w:proofErr w:type="spellStart"/>
            <w:r w:rsidRPr="00B412D1">
              <w:t>Carabellese</w:t>
            </w:r>
            <w:proofErr w:type="spellEnd"/>
            <w:r w:rsidRPr="00B412D1">
              <w:t xml:space="preserve">, F., </w:t>
            </w:r>
            <w:proofErr w:type="spellStart"/>
            <w:r w:rsidRPr="00B412D1">
              <w:t>Ferracuti</w:t>
            </w:r>
            <w:proofErr w:type="spellEnd"/>
            <w:r w:rsidRPr="00B412D1">
              <w:t xml:space="preserve">, S., &amp; Parmigiani, G. (2024). Efficacy of treatment approaches for stalking offenders: a systematic review. </w:t>
            </w:r>
            <w:r w:rsidRPr="00B412D1">
              <w:rPr>
                <w:i/>
                <w:iCs/>
              </w:rPr>
              <w:t>International Review of Psychiatry</w:t>
            </w:r>
            <w:r w:rsidRPr="00B412D1">
              <w:t xml:space="preserve">, </w:t>
            </w:r>
            <w:r w:rsidRPr="00B412D1">
              <w:rPr>
                <w:i/>
                <w:iCs/>
              </w:rPr>
              <w:t>36</w:t>
            </w:r>
            <w:r w:rsidRPr="00B412D1">
              <w:t xml:space="preserve">(7), 812–825. </w:t>
            </w:r>
            <w:hyperlink r:id="rId39" w:history="1">
              <w:r w:rsidRPr="00B412D1">
                <w:rPr>
                  <w:rStyle w:val="Hyperlink"/>
                </w:rPr>
                <w:t>https://doi.org/10.1080/09540261.2024.2368796</w:t>
              </w:r>
            </w:hyperlink>
          </w:p>
          <w:p w14:paraId="69352F1F" w14:textId="77777777" w:rsidR="00B412D1" w:rsidRPr="00B412D1" w:rsidRDefault="00B412D1" w:rsidP="00B412D1">
            <w:pPr>
              <w:pStyle w:val="ListParagraph"/>
              <w:spacing w:line="480" w:lineRule="auto"/>
              <w:ind w:hanging="720"/>
            </w:pPr>
          </w:p>
          <w:p w14:paraId="69D3F3EA" w14:textId="625A81C3" w:rsidR="00B412D1" w:rsidRDefault="00B412D1" w:rsidP="00B412D1">
            <w:pPr>
              <w:pStyle w:val="ListParagraph"/>
              <w:spacing w:line="480" w:lineRule="auto"/>
              <w:ind w:hanging="720"/>
            </w:pPr>
            <w:r w:rsidRPr="00B412D1">
              <w:t xml:space="preserve">Vooren, M., Rud, I., Cornelisz, I., Van </w:t>
            </w:r>
            <w:proofErr w:type="spellStart"/>
            <w:r w:rsidRPr="00B412D1">
              <w:t>Klaveren</w:t>
            </w:r>
            <w:proofErr w:type="spellEnd"/>
            <w:r w:rsidRPr="00B412D1">
              <w:t xml:space="preserve">, C., Groot, W., &amp; Van Den Brink, H. M. (2022). The effects of a restorative justice programme (Halt) on educational outcomes and recidivism of young people. </w:t>
            </w:r>
            <w:r w:rsidRPr="00B412D1">
              <w:rPr>
                <w:i/>
                <w:iCs/>
              </w:rPr>
              <w:t>Journal of Experimental Criminology</w:t>
            </w:r>
            <w:r w:rsidRPr="00B412D1">
              <w:t xml:space="preserve">, </w:t>
            </w:r>
            <w:r w:rsidRPr="00B412D1">
              <w:rPr>
                <w:i/>
                <w:iCs/>
              </w:rPr>
              <w:t>19</w:t>
            </w:r>
            <w:r w:rsidRPr="00B412D1">
              <w:t xml:space="preserve">(3), 691–711. </w:t>
            </w:r>
            <w:hyperlink r:id="rId40" w:history="1">
              <w:r w:rsidRPr="00B412D1">
                <w:rPr>
                  <w:rStyle w:val="Hyperlink"/>
                </w:rPr>
                <w:t>https://doi.org/10.1007/s11292-022-09502-4</w:t>
              </w:r>
            </w:hyperlink>
          </w:p>
          <w:p w14:paraId="492A4928" w14:textId="77777777" w:rsidR="00B412D1" w:rsidRPr="00B412D1" w:rsidRDefault="00B412D1" w:rsidP="00B412D1">
            <w:pPr>
              <w:pStyle w:val="ListParagraph"/>
              <w:spacing w:line="480" w:lineRule="auto"/>
              <w:ind w:hanging="720"/>
            </w:pPr>
          </w:p>
          <w:p w14:paraId="034158D0" w14:textId="4CD761EF" w:rsidR="00B412D1" w:rsidRDefault="00B412D1" w:rsidP="00B412D1">
            <w:pPr>
              <w:pStyle w:val="ListParagraph"/>
              <w:spacing w:line="480" w:lineRule="auto"/>
              <w:ind w:hanging="720"/>
            </w:pPr>
            <w:r w:rsidRPr="00B412D1">
              <w:t xml:space="preserve">Walters, G. D. (2021). Explaining the drug-crime connection with peers, proactive criminal thinking, and victimization: Systemic, cognitive social learning, and person proximity mechanisms. </w:t>
            </w:r>
            <w:r w:rsidRPr="00B412D1">
              <w:rPr>
                <w:i/>
                <w:iCs/>
              </w:rPr>
              <w:t xml:space="preserve">Psychology of Addictive </w:t>
            </w:r>
            <w:proofErr w:type="spellStart"/>
            <w:r w:rsidRPr="00B412D1">
              <w:rPr>
                <w:i/>
                <w:iCs/>
              </w:rPr>
              <w:t>Behaviors</w:t>
            </w:r>
            <w:proofErr w:type="spellEnd"/>
            <w:r w:rsidRPr="00B412D1">
              <w:t xml:space="preserve">, </w:t>
            </w:r>
            <w:r w:rsidRPr="00B412D1">
              <w:rPr>
                <w:i/>
                <w:iCs/>
              </w:rPr>
              <w:t>35</w:t>
            </w:r>
            <w:r w:rsidRPr="00B412D1">
              <w:t xml:space="preserve">(3), 366–376. </w:t>
            </w:r>
            <w:hyperlink r:id="rId41" w:history="1">
              <w:r w:rsidRPr="00B412D1">
                <w:rPr>
                  <w:rStyle w:val="Hyperlink"/>
                </w:rPr>
                <w:t>https://doi.org/10.1037/adb0000606</w:t>
              </w:r>
            </w:hyperlink>
          </w:p>
          <w:p w14:paraId="3FFE032F" w14:textId="77777777" w:rsidR="00B412D1" w:rsidRPr="00B412D1" w:rsidRDefault="00B412D1" w:rsidP="00B412D1">
            <w:pPr>
              <w:pStyle w:val="ListParagraph"/>
              <w:spacing w:line="480" w:lineRule="auto"/>
              <w:ind w:hanging="720"/>
            </w:pPr>
          </w:p>
          <w:p w14:paraId="7CF8E040" w14:textId="69DBDA90" w:rsidR="00B412D1" w:rsidRDefault="00B412D1" w:rsidP="00B412D1">
            <w:pPr>
              <w:pStyle w:val="ListParagraph"/>
              <w:spacing w:line="480" w:lineRule="auto"/>
              <w:ind w:hanging="720"/>
            </w:pPr>
            <w:r w:rsidRPr="00B412D1">
              <w:t xml:space="preserve">Wood, W. R., Suzuki, M., &amp; Hayes, H. (2022). Restorative justice in youth and adult criminal justice. </w:t>
            </w:r>
            <w:r w:rsidRPr="00B412D1">
              <w:rPr>
                <w:i/>
                <w:iCs/>
              </w:rPr>
              <w:t xml:space="preserve">Oxford Research </w:t>
            </w:r>
            <w:proofErr w:type="spellStart"/>
            <w:r w:rsidRPr="00B412D1">
              <w:rPr>
                <w:i/>
                <w:iCs/>
              </w:rPr>
              <w:t>Encyclopedia</w:t>
            </w:r>
            <w:proofErr w:type="spellEnd"/>
            <w:r w:rsidRPr="00B412D1">
              <w:rPr>
                <w:i/>
                <w:iCs/>
              </w:rPr>
              <w:t xml:space="preserve"> of Criminology and Criminal Justice</w:t>
            </w:r>
            <w:r w:rsidRPr="00B412D1">
              <w:t xml:space="preserve">. </w:t>
            </w:r>
            <w:hyperlink r:id="rId42" w:history="1">
              <w:r w:rsidRPr="00B412D1">
                <w:rPr>
                  <w:rStyle w:val="Hyperlink"/>
                </w:rPr>
                <w:t>https://doi.org/10.1093/acrefore/9780190264079.013.658</w:t>
              </w:r>
            </w:hyperlink>
          </w:p>
          <w:p w14:paraId="21009546" w14:textId="77777777" w:rsidR="00B412D1" w:rsidRPr="00B412D1" w:rsidRDefault="00B412D1" w:rsidP="00B412D1">
            <w:pPr>
              <w:pStyle w:val="ListParagraph"/>
              <w:spacing w:line="480" w:lineRule="auto"/>
              <w:ind w:hanging="720"/>
            </w:pPr>
          </w:p>
          <w:p w14:paraId="72BFFC66" w14:textId="0DD77CA1" w:rsidR="00B412D1" w:rsidRDefault="00B412D1" w:rsidP="00B412D1">
            <w:pPr>
              <w:pStyle w:val="ListParagraph"/>
              <w:spacing w:line="480" w:lineRule="auto"/>
              <w:ind w:hanging="720"/>
            </w:pPr>
            <w:r w:rsidRPr="00B412D1">
              <w:t xml:space="preserve">Yang, Y., &amp; Perkins, D. R. (2020). Association between childhood adversity and criminal thinking: the role of attachment. </w:t>
            </w:r>
            <w:r w:rsidRPr="00B412D1">
              <w:rPr>
                <w:i/>
                <w:iCs/>
              </w:rPr>
              <w:t>Psychology Crime and Law</w:t>
            </w:r>
            <w:r w:rsidRPr="00B412D1">
              <w:t xml:space="preserve">, </w:t>
            </w:r>
            <w:r w:rsidRPr="00B412D1">
              <w:rPr>
                <w:i/>
                <w:iCs/>
              </w:rPr>
              <w:t>27</w:t>
            </w:r>
            <w:r w:rsidRPr="00B412D1">
              <w:t xml:space="preserve">(8), 796–814. </w:t>
            </w:r>
            <w:hyperlink r:id="rId43" w:history="1">
              <w:r w:rsidRPr="00B412D1">
                <w:rPr>
                  <w:rStyle w:val="Hyperlink"/>
                </w:rPr>
                <w:t>https://doi.org/10.1080/1068316x.2020.1850724</w:t>
              </w:r>
            </w:hyperlink>
          </w:p>
          <w:p w14:paraId="5316F29B" w14:textId="77777777" w:rsidR="00B412D1" w:rsidRPr="00B412D1" w:rsidRDefault="00B412D1" w:rsidP="00B412D1">
            <w:pPr>
              <w:pStyle w:val="ListParagraph"/>
              <w:spacing w:line="480" w:lineRule="auto"/>
              <w:ind w:hanging="720"/>
            </w:pPr>
          </w:p>
          <w:p w14:paraId="7461BEF5" w14:textId="16CF3C3B" w:rsidR="00B412D1" w:rsidRDefault="00B412D1" w:rsidP="00B412D1">
            <w:pPr>
              <w:pStyle w:val="ListParagraph"/>
              <w:spacing w:line="480" w:lineRule="auto"/>
              <w:ind w:hanging="720"/>
            </w:pPr>
            <w:r w:rsidRPr="00B412D1">
              <w:rPr>
                <w:i/>
                <w:iCs/>
              </w:rPr>
              <w:t>Youth Justice Statistics: 2022 to 2023</w:t>
            </w:r>
            <w:r w:rsidRPr="00B412D1">
              <w:t xml:space="preserve">. (2024, January 25). GOV.UK. </w:t>
            </w:r>
            <w:hyperlink r:id="rId44" w:history="1">
              <w:r w:rsidRPr="00B412D1">
                <w:rPr>
                  <w:rStyle w:val="Hyperlink"/>
                </w:rPr>
                <w:t>https://www.gov.uk/government/statistics/youth-justice-statistics-2022-to-2023/youth-justice-statistics-2022-to-2023-accessible-version#:~:text=The%20number%20of%20proven%20offences,goods%20(rising%20by%2023%25)</w:t>
              </w:r>
            </w:hyperlink>
            <w:r w:rsidRPr="00B412D1">
              <w:t>.</w:t>
            </w:r>
          </w:p>
          <w:p w14:paraId="2396B7FA" w14:textId="77777777" w:rsidR="00B412D1" w:rsidRPr="00B412D1" w:rsidRDefault="00B412D1" w:rsidP="00B412D1">
            <w:pPr>
              <w:pStyle w:val="ListParagraph"/>
              <w:spacing w:line="480" w:lineRule="auto"/>
              <w:ind w:hanging="720"/>
            </w:pPr>
          </w:p>
          <w:p w14:paraId="1C545CD3" w14:textId="4C792B22" w:rsidR="00C97318" w:rsidRPr="00C97318" w:rsidRDefault="00C97318" w:rsidP="00B412D1">
            <w:pPr>
              <w:pStyle w:val="ListParagraph"/>
              <w:spacing w:line="480" w:lineRule="auto"/>
              <w:ind w:hanging="720"/>
              <w:rPr>
                <w:rFonts w:ascii="Times New Roman" w:hAnsi="Times New Roman"/>
                <w:sz w:val="24"/>
                <w:szCs w:val="24"/>
              </w:rPr>
            </w:pPr>
          </w:p>
        </w:tc>
      </w:tr>
    </w:tbl>
    <w:p w14:paraId="38339D17" w14:textId="77777777" w:rsidR="009E10F9" w:rsidRDefault="009E10F9" w:rsidP="00B412D1">
      <w:pPr>
        <w:spacing w:line="480" w:lineRule="auto"/>
        <w:jc w:val="both"/>
        <w:rPr>
          <w:rFonts w:ascii="Arial" w:hAnsi="Arial" w:cs="Arial"/>
        </w:rPr>
      </w:pPr>
    </w:p>
    <w:p w14:paraId="2F1E3BB8" w14:textId="77777777" w:rsidR="009E10F9" w:rsidRDefault="009E10F9" w:rsidP="00B412D1">
      <w:pPr>
        <w:spacing w:line="480" w:lineRule="auto"/>
        <w:jc w:val="both"/>
        <w:rPr>
          <w:rFonts w:ascii="Arial" w:hAnsi="Arial" w:cs="Arial"/>
        </w:rPr>
      </w:pPr>
    </w:p>
    <w:p w14:paraId="35E5DCCF" w14:textId="77777777" w:rsidR="009E10F9" w:rsidRDefault="009E10F9" w:rsidP="00B412D1">
      <w:pPr>
        <w:spacing w:line="480" w:lineRule="auto"/>
        <w:jc w:val="both"/>
        <w:rPr>
          <w:rFonts w:ascii="Arial" w:hAnsi="Arial" w:cs="Arial"/>
        </w:rPr>
      </w:pPr>
    </w:p>
    <w:p w14:paraId="4E54B84E" w14:textId="77777777" w:rsidR="002A36C9" w:rsidRDefault="002A36C9" w:rsidP="00B412D1">
      <w:pPr>
        <w:spacing w:line="480" w:lineRule="auto"/>
      </w:pPr>
    </w:p>
    <w:sectPr w:rsidR="002A36C9">
      <w:footerReference w:type="even" r:id="rId45"/>
      <w:footerReference w:type="default" r:id="rId4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F6384" w14:textId="77777777" w:rsidR="00FD24D1" w:rsidRDefault="00FD24D1">
      <w:r>
        <w:separator/>
      </w:r>
    </w:p>
  </w:endnote>
  <w:endnote w:type="continuationSeparator" w:id="0">
    <w:p w14:paraId="21750787" w14:textId="77777777" w:rsidR="00FD24D1" w:rsidRDefault="00FD2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EA968"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000000" w:rsidRDefault="00000000"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755"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000000" w:rsidRDefault="00000000"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DE453" w14:textId="77777777" w:rsidR="00FD24D1" w:rsidRDefault="00FD24D1">
      <w:r>
        <w:separator/>
      </w:r>
    </w:p>
  </w:footnote>
  <w:footnote w:type="continuationSeparator" w:id="0">
    <w:p w14:paraId="3654D285" w14:textId="77777777" w:rsidR="00FD24D1" w:rsidRDefault="00FD2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45B17"/>
    <w:rsid w:val="000B404A"/>
    <w:rsid w:val="000F5955"/>
    <w:rsid w:val="00150FF0"/>
    <w:rsid w:val="001521B8"/>
    <w:rsid w:val="00186027"/>
    <w:rsid w:val="001D2066"/>
    <w:rsid w:val="001D5C70"/>
    <w:rsid w:val="00210378"/>
    <w:rsid w:val="00223612"/>
    <w:rsid w:val="002A36C9"/>
    <w:rsid w:val="002E474C"/>
    <w:rsid w:val="00415064"/>
    <w:rsid w:val="00447680"/>
    <w:rsid w:val="004655CA"/>
    <w:rsid w:val="00497AD4"/>
    <w:rsid w:val="004A4FCC"/>
    <w:rsid w:val="004B2F08"/>
    <w:rsid w:val="004F3881"/>
    <w:rsid w:val="005749BB"/>
    <w:rsid w:val="00581836"/>
    <w:rsid w:val="005E34DB"/>
    <w:rsid w:val="00613328"/>
    <w:rsid w:val="00647302"/>
    <w:rsid w:val="00685585"/>
    <w:rsid w:val="006C7528"/>
    <w:rsid w:val="006D0BA6"/>
    <w:rsid w:val="00723291"/>
    <w:rsid w:val="00724428"/>
    <w:rsid w:val="00756B3D"/>
    <w:rsid w:val="007A7E58"/>
    <w:rsid w:val="007F4982"/>
    <w:rsid w:val="00861763"/>
    <w:rsid w:val="008C1B8E"/>
    <w:rsid w:val="008C59A3"/>
    <w:rsid w:val="008E6471"/>
    <w:rsid w:val="008F3AFA"/>
    <w:rsid w:val="009275EA"/>
    <w:rsid w:val="009312E4"/>
    <w:rsid w:val="0094288F"/>
    <w:rsid w:val="00982567"/>
    <w:rsid w:val="00982BEA"/>
    <w:rsid w:val="00985278"/>
    <w:rsid w:val="00991612"/>
    <w:rsid w:val="009A0F00"/>
    <w:rsid w:val="009D59A2"/>
    <w:rsid w:val="009E10F9"/>
    <w:rsid w:val="00A024DA"/>
    <w:rsid w:val="00A36276"/>
    <w:rsid w:val="00A55E3E"/>
    <w:rsid w:val="00A93728"/>
    <w:rsid w:val="00AB7B22"/>
    <w:rsid w:val="00AC16C0"/>
    <w:rsid w:val="00B15D0E"/>
    <w:rsid w:val="00B412D1"/>
    <w:rsid w:val="00C13A5E"/>
    <w:rsid w:val="00C66CFD"/>
    <w:rsid w:val="00C97318"/>
    <w:rsid w:val="00CF7040"/>
    <w:rsid w:val="00E1606E"/>
    <w:rsid w:val="00E41099"/>
    <w:rsid w:val="00E5484A"/>
    <w:rsid w:val="00EB11D7"/>
    <w:rsid w:val="00F86126"/>
    <w:rsid w:val="00FD04DE"/>
    <w:rsid w:val="00FD24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412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96543">
      <w:bodyDiv w:val="1"/>
      <w:marLeft w:val="0"/>
      <w:marRight w:val="0"/>
      <w:marTop w:val="0"/>
      <w:marBottom w:val="0"/>
      <w:divBdr>
        <w:top w:val="none" w:sz="0" w:space="0" w:color="auto"/>
        <w:left w:val="none" w:sz="0" w:space="0" w:color="auto"/>
        <w:bottom w:val="none" w:sz="0" w:space="0" w:color="auto"/>
        <w:right w:val="none" w:sz="0" w:space="0" w:color="auto"/>
      </w:divBdr>
      <w:divsChild>
        <w:div w:id="1103914492">
          <w:marLeft w:val="-720"/>
          <w:marRight w:val="0"/>
          <w:marTop w:val="0"/>
          <w:marBottom w:val="0"/>
          <w:divBdr>
            <w:top w:val="none" w:sz="0" w:space="0" w:color="auto"/>
            <w:left w:val="none" w:sz="0" w:space="0" w:color="auto"/>
            <w:bottom w:val="none" w:sz="0" w:space="0" w:color="auto"/>
            <w:right w:val="none" w:sz="0" w:space="0" w:color="auto"/>
          </w:divBdr>
        </w:div>
      </w:divsChild>
    </w:div>
    <w:div w:id="1215236807">
      <w:bodyDiv w:val="1"/>
      <w:marLeft w:val="0"/>
      <w:marRight w:val="0"/>
      <w:marTop w:val="0"/>
      <w:marBottom w:val="0"/>
      <w:divBdr>
        <w:top w:val="none" w:sz="0" w:space="0" w:color="auto"/>
        <w:left w:val="none" w:sz="0" w:space="0" w:color="auto"/>
        <w:bottom w:val="none" w:sz="0" w:space="0" w:color="auto"/>
        <w:right w:val="none" w:sz="0" w:space="0" w:color="auto"/>
      </w:divBdr>
      <w:divsChild>
        <w:div w:id="1972010842">
          <w:marLeft w:val="-720"/>
          <w:marRight w:val="0"/>
          <w:marTop w:val="0"/>
          <w:marBottom w:val="0"/>
          <w:divBdr>
            <w:top w:val="none" w:sz="0" w:space="0" w:color="auto"/>
            <w:left w:val="none" w:sz="0" w:space="0" w:color="auto"/>
            <w:bottom w:val="none" w:sz="0" w:space="0" w:color="auto"/>
            <w:right w:val="none" w:sz="0" w:space="0" w:color="auto"/>
          </w:divBdr>
        </w:div>
      </w:divsChild>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1572-021-00282-1" TargetMode="External"/><Relationship Id="rId18" Type="http://schemas.openxmlformats.org/officeDocument/2006/relationships/hyperlink" Target="https://doi.org/10.1177/0044118x20908759" TargetMode="External"/><Relationship Id="rId26" Type="http://schemas.openxmlformats.org/officeDocument/2006/relationships/hyperlink" Target="https://doi.org/10.1007/978-981-15-2489-9_7" TargetMode="External"/><Relationship Id="rId39" Type="http://schemas.openxmlformats.org/officeDocument/2006/relationships/hyperlink" Target="https://doi.org/10.1080/09540261.2024.2368796" TargetMode="External"/><Relationship Id="rId21" Type="http://schemas.openxmlformats.org/officeDocument/2006/relationships/hyperlink" Target="https://doi.org/10.1111/jora.12609" TargetMode="External"/><Relationship Id="rId34" Type="http://schemas.openxmlformats.org/officeDocument/2006/relationships/hyperlink" Target="https://doi.org/10.1002/cl2.1425" TargetMode="External"/><Relationship Id="rId42" Type="http://schemas.openxmlformats.org/officeDocument/2006/relationships/hyperlink" Target="https://doi.org/10.1093/acrefore/9780190264079.013.658" TargetMode="External"/><Relationship Id="rId47" Type="http://schemas.openxmlformats.org/officeDocument/2006/relationships/fontTable" Target="fontTable.xml"/><Relationship Id="rId7" Type="http://schemas.openxmlformats.org/officeDocument/2006/relationships/hyperlink" Target="https://doi.org/10.1111/j.1745-9125.1992.tb01093.x" TargetMode="External"/><Relationship Id="rId2" Type="http://schemas.openxmlformats.org/officeDocument/2006/relationships/styles" Target="styles.xml"/><Relationship Id="rId16" Type="http://schemas.openxmlformats.org/officeDocument/2006/relationships/hyperlink" Target="https://doi.org/10.3389/fpsyt.2022.909781" TargetMode="External"/><Relationship Id="rId29" Type="http://schemas.openxmlformats.org/officeDocument/2006/relationships/hyperlink" Target="https://doi.org/10.1080/23311886.2024.2429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8862605221113012" TargetMode="External"/><Relationship Id="rId24" Type="http://schemas.openxmlformats.org/officeDocument/2006/relationships/hyperlink" Target="https://doi.org/10.1007/978-3-031-14728-9_16" TargetMode="External"/><Relationship Id="rId32" Type="http://schemas.openxmlformats.org/officeDocument/2006/relationships/hyperlink" Target="https://mhs.com/blog/assessing-youth-functioning-strengths-and-goals-cafas-and-pecfas/" TargetMode="External"/><Relationship Id="rId37" Type="http://schemas.openxmlformats.org/officeDocument/2006/relationships/hyperlink" Target="https://doi.org/10.1186/s40359-024-02228-0" TargetMode="External"/><Relationship Id="rId40" Type="http://schemas.openxmlformats.org/officeDocument/2006/relationships/hyperlink" Target="https://doi.org/10.1007/s11292-022-09502-4"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3389/fpsyt.2022.951429" TargetMode="External"/><Relationship Id="rId23" Type="http://schemas.openxmlformats.org/officeDocument/2006/relationships/hyperlink" Target="https://doi.org/10.4324/9781003392439-17" TargetMode="External"/><Relationship Id="rId28" Type="http://schemas.openxmlformats.org/officeDocument/2006/relationships/hyperlink" Target="https://doi.org/10.7312/eise21216-036" TargetMode="External"/><Relationship Id="rId36" Type="http://schemas.openxmlformats.org/officeDocument/2006/relationships/hyperlink" Target="https://doi.org/10.1136/archdischild-2020-321249" TargetMode="External"/><Relationship Id="rId10" Type="http://schemas.openxmlformats.org/officeDocument/2006/relationships/hyperlink" Target="https://doi.org/10.3389/fpsyg.2024.1489798" TargetMode="External"/><Relationship Id="rId19" Type="http://schemas.openxmlformats.org/officeDocument/2006/relationships/hyperlink" Target="https://doi.org/10.1111/1745-9133.12613" TargetMode="External"/><Relationship Id="rId31" Type="http://schemas.openxmlformats.org/officeDocument/2006/relationships/hyperlink" Target="https://doi.org/10.1016/j.jcbs.2024.100819" TargetMode="External"/><Relationship Id="rId44" Type="http://schemas.openxmlformats.org/officeDocument/2006/relationships/hyperlink" Target="https://www.gov.uk/government/statistics/youth-justice-statistics-2022-to-2023/youth-justice-statistics-2022-to-2023-accessible-version#:~:text=The%20number%20of%20proven%20offences,goods%20(rising%20by%2023%25)" TargetMode="External"/><Relationship Id="rId4" Type="http://schemas.openxmlformats.org/officeDocument/2006/relationships/webSettings" Target="webSettings.xml"/><Relationship Id="rId9" Type="http://schemas.openxmlformats.org/officeDocument/2006/relationships/hyperlink" Target="https://doi.org/10.1146/annurev-criminol-030620-023027" TargetMode="External"/><Relationship Id="rId14" Type="http://schemas.openxmlformats.org/officeDocument/2006/relationships/hyperlink" Target="https://doi.org/10.1177/15412040211053786" TargetMode="External"/><Relationship Id="rId22" Type="http://schemas.openxmlformats.org/officeDocument/2006/relationships/hyperlink" Target="https://www.paradigmpress.org/le/article/view/864" TargetMode="External"/><Relationship Id="rId27" Type="http://schemas.openxmlformats.org/officeDocument/2006/relationships/hyperlink" Target="https://doi.org/10.1080/14999013.2022.2105992" TargetMode="External"/><Relationship Id="rId30" Type="http://schemas.openxmlformats.org/officeDocument/2006/relationships/hyperlink" Target="https://doi.org/10.1515/edu-2024-0013" TargetMode="External"/><Relationship Id="rId35" Type="http://schemas.openxmlformats.org/officeDocument/2006/relationships/hyperlink" Target="https://doi.org/10.1177/10664807211006274" TargetMode="External"/><Relationship Id="rId43" Type="http://schemas.openxmlformats.org/officeDocument/2006/relationships/hyperlink" Target="https://doi.org/10.1080/1068316x.2020.1850724" TargetMode="External"/><Relationship Id="rId48" Type="http://schemas.openxmlformats.org/officeDocument/2006/relationships/theme" Target="theme/theme1.xml"/><Relationship Id="rId8" Type="http://schemas.openxmlformats.org/officeDocument/2006/relationships/hyperlink" Target="https://doi.org/10.4324/9781315130620-2" TargetMode="External"/><Relationship Id="rId3" Type="http://schemas.openxmlformats.org/officeDocument/2006/relationships/settings" Target="settings.xml"/><Relationship Id="rId12" Type="http://schemas.openxmlformats.org/officeDocument/2006/relationships/hyperlink" Target="https://doi.org/10.1111/cdep.12461" TargetMode="External"/><Relationship Id="rId17" Type="http://schemas.openxmlformats.org/officeDocument/2006/relationships/hyperlink" Target="https://doi.org/10.1007/s40894-020-00138-x" TargetMode="External"/><Relationship Id="rId25" Type="http://schemas.openxmlformats.org/officeDocument/2006/relationships/hyperlink" Target="http://ulspace.ul.ac.za/handle/10386/3762" TargetMode="External"/><Relationship Id="rId33" Type="http://schemas.openxmlformats.org/officeDocument/2006/relationships/hyperlink" Target="https://doi.org/10.1080/10911359.2024.2434699" TargetMode="External"/><Relationship Id="rId38" Type="http://schemas.openxmlformats.org/officeDocument/2006/relationships/hyperlink" Target="https://doi.org/10.3390/ijerph18168663" TargetMode="External"/><Relationship Id="rId46" Type="http://schemas.openxmlformats.org/officeDocument/2006/relationships/footer" Target="footer2.xml"/><Relationship Id="rId20" Type="http://schemas.openxmlformats.org/officeDocument/2006/relationships/hyperlink" Target="https://doi.org/10.1007/s10578-022-01455-z" TargetMode="External"/><Relationship Id="rId41" Type="http://schemas.openxmlformats.org/officeDocument/2006/relationships/hyperlink" Target="https://doi.org/10.1037/adb0000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4674</Words>
  <Characters>26644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Katy Monk</cp:lastModifiedBy>
  <cp:revision>2</cp:revision>
  <dcterms:created xsi:type="dcterms:W3CDTF">2025-01-14T00:27:00Z</dcterms:created>
  <dcterms:modified xsi:type="dcterms:W3CDTF">2025-01-14T00:27:00Z</dcterms:modified>
</cp:coreProperties>
</file>