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right"/>
        <w:rPr>
          <w:sz w:val="28"/>
          <w:szCs w:val="28"/>
        </w:rPr>
      </w:pPr>
      <w:r w:rsidDel="00000000" w:rsidR="00000000" w:rsidRPr="00000000">
        <w:rPr>
          <w:sz w:val="28"/>
          <w:szCs w:val="28"/>
          <w:rtl w:val="0"/>
        </w:rPr>
        <w:t xml:space="preserve">1</w:t>
      </w:r>
      <w:r w:rsidDel="00000000" w:rsidR="00000000" w:rsidRPr="00000000">
        <w:drawing>
          <wp:anchor allowOverlap="1" behindDoc="1" distB="114300" distT="114300" distL="114300" distR="114300" hidden="0" layoutInCell="1" locked="0" relativeHeight="0" simplePos="0">
            <wp:simplePos x="0" y="0"/>
            <wp:positionH relativeFrom="column">
              <wp:posOffset>-504824</wp:posOffset>
            </wp:positionH>
            <wp:positionV relativeFrom="paragraph">
              <wp:posOffset>114300</wp:posOffset>
            </wp:positionV>
            <wp:extent cx="2550787" cy="1135567"/>
            <wp:effectExtent b="0" l="0" r="0" t="0"/>
            <wp:wrapNone/>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550787" cy="1135567"/>
                    </a:xfrm>
                    <a:prstGeom prst="rect"/>
                    <a:ln/>
                  </pic:spPr>
                </pic:pic>
              </a:graphicData>
            </a:graphic>
          </wp:anchor>
        </w:drawing>
      </w:r>
    </w:p>
    <w:p w:rsidR="00000000" w:rsidDel="00000000" w:rsidP="00000000" w:rsidRDefault="00000000" w:rsidRPr="00000000" w14:paraId="00000002">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360" w:lineRule="auto"/>
        <w:jc w:val="center"/>
        <w:rPr>
          <w:sz w:val="28"/>
          <w:szCs w:val="28"/>
        </w:rPr>
      </w:pPr>
      <w:r w:rsidDel="00000000" w:rsidR="00000000" w:rsidRPr="00000000">
        <w:rPr>
          <w:sz w:val="28"/>
          <w:szCs w:val="28"/>
          <w:rtl w:val="0"/>
        </w:rPr>
        <w:t xml:space="preserve">BSc</w:t>
      </w:r>
    </w:p>
    <w:p w:rsidR="00000000" w:rsidDel="00000000" w:rsidP="00000000" w:rsidRDefault="00000000" w:rsidRPr="00000000" w14:paraId="00000007">
      <w:pPr>
        <w:spacing w:line="360" w:lineRule="auto"/>
        <w:jc w:val="center"/>
        <w:rPr>
          <w:sz w:val="28"/>
          <w:szCs w:val="28"/>
        </w:rPr>
      </w:pPr>
      <w:r w:rsidDel="00000000" w:rsidR="00000000" w:rsidRPr="00000000">
        <w:rPr>
          <w:sz w:val="28"/>
          <w:szCs w:val="28"/>
          <w:rtl w:val="0"/>
        </w:rPr>
        <w:t xml:space="preserve">Sport and Exercise Therapy</w:t>
      </w:r>
    </w:p>
    <w:p w:rsidR="00000000" w:rsidDel="00000000" w:rsidP="00000000" w:rsidRDefault="00000000" w:rsidRPr="00000000" w14:paraId="00000008">
      <w:pPr>
        <w:spacing w:line="360" w:lineRule="auto"/>
        <w:jc w:val="center"/>
        <w:rPr>
          <w:sz w:val="28"/>
          <w:szCs w:val="28"/>
        </w:rPr>
      </w:pPr>
      <w:r w:rsidDel="00000000" w:rsidR="00000000" w:rsidRPr="00000000">
        <w:rPr>
          <w:rtl w:val="0"/>
        </w:rPr>
      </w:r>
    </w:p>
    <w:p w:rsidR="00000000" w:rsidDel="00000000" w:rsidP="00000000" w:rsidRDefault="00000000" w:rsidRPr="00000000" w14:paraId="00000009">
      <w:pPr>
        <w:spacing w:line="360" w:lineRule="auto"/>
        <w:rPr>
          <w:sz w:val="28"/>
          <w:szCs w:val="28"/>
        </w:rPr>
      </w:pPr>
      <w:r w:rsidDel="00000000" w:rsidR="00000000" w:rsidRPr="00000000">
        <w:rPr>
          <w:rtl w:val="0"/>
        </w:rPr>
      </w:r>
    </w:p>
    <w:p w:rsidR="00000000" w:rsidDel="00000000" w:rsidP="00000000" w:rsidRDefault="00000000" w:rsidRPr="00000000" w14:paraId="0000000A">
      <w:pPr>
        <w:spacing w:line="360" w:lineRule="auto"/>
        <w:jc w:val="center"/>
        <w:rPr>
          <w:sz w:val="28"/>
          <w:szCs w:val="28"/>
        </w:rPr>
      </w:pPr>
      <w:r w:rsidDel="00000000" w:rsidR="00000000" w:rsidRPr="00000000">
        <w:rPr>
          <w:sz w:val="28"/>
          <w:szCs w:val="28"/>
          <w:rtl w:val="0"/>
        </w:rPr>
        <w:t xml:space="preserve">Name Trystan Nunes </w:t>
      </w:r>
    </w:p>
    <w:p w:rsidR="00000000" w:rsidDel="00000000" w:rsidP="00000000" w:rsidRDefault="00000000" w:rsidRPr="00000000" w14:paraId="0000000B">
      <w:pPr>
        <w:spacing w:line="360" w:lineRule="auto"/>
        <w:jc w:val="center"/>
        <w:rPr>
          <w:sz w:val="28"/>
          <w:szCs w:val="28"/>
        </w:rPr>
      </w:pPr>
      <w:r w:rsidDel="00000000" w:rsidR="00000000" w:rsidRPr="00000000">
        <w:rPr>
          <w:rtl w:val="0"/>
        </w:rPr>
      </w:r>
    </w:p>
    <w:p w:rsidR="00000000" w:rsidDel="00000000" w:rsidP="00000000" w:rsidRDefault="00000000" w:rsidRPr="00000000" w14:paraId="0000000C">
      <w:pPr>
        <w:spacing w:line="360" w:lineRule="auto"/>
        <w:jc w:val="center"/>
        <w:rPr>
          <w:sz w:val="28"/>
          <w:szCs w:val="28"/>
        </w:rPr>
      </w:pPr>
      <w:r w:rsidDel="00000000" w:rsidR="00000000" w:rsidRPr="00000000">
        <w:rPr>
          <w:sz w:val="28"/>
          <w:szCs w:val="28"/>
          <w:rtl w:val="0"/>
        </w:rPr>
        <w:t xml:space="preserve">Student ID: 2223739</w:t>
      </w:r>
    </w:p>
    <w:p w:rsidR="00000000" w:rsidDel="00000000" w:rsidP="00000000" w:rsidRDefault="00000000" w:rsidRPr="00000000" w14:paraId="0000000D">
      <w:pPr>
        <w:spacing w:line="360" w:lineRule="auto"/>
        <w:jc w:val="center"/>
        <w:rPr>
          <w:sz w:val="28"/>
          <w:szCs w:val="28"/>
        </w:rPr>
      </w:pPr>
      <w:r w:rsidDel="00000000" w:rsidR="00000000" w:rsidRPr="00000000">
        <w:rPr>
          <w:rtl w:val="0"/>
        </w:rPr>
      </w:r>
    </w:p>
    <w:p w:rsidR="00000000" w:rsidDel="00000000" w:rsidP="00000000" w:rsidRDefault="00000000" w:rsidRPr="00000000" w14:paraId="0000000E">
      <w:pPr>
        <w:spacing w:line="360" w:lineRule="auto"/>
        <w:jc w:val="center"/>
        <w:rPr>
          <w:sz w:val="28"/>
          <w:szCs w:val="28"/>
        </w:rPr>
      </w:pPr>
      <w:r w:rsidDel="00000000" w:rsidR="00000000" w:rsidRPr="00000000">
        <w:rPr>
          <w:sz w:val="28"/>
          <w:szCs w:val="28"/>
          <w:rtl w:val="0"/>
        </w:rPr>
        <w:t xml:space="preserve">Module: Professional Practise for Sport and Exercise Therapists </w:t>
      </w:r>
    </w:p>
    <w:p w:rsidR="00000000" w:rsidDel="00000000" w:rsidP="00000000" w:rsidRDefault="00000000" w:rsidRPr="00000000" w14:paraId="0000000F">
      <w:pPr>
        <w:spacing w:line="360" w:lineRule="auto"/>
        <w:jc w:val="center"/>
        <w:rPr>
          <w:sz w:val="28"/>
          <w:szCs w:val="28"/>
        </w:rPr>
      </w:pPr>
      <w:r w:rsidDel="00000000" w:rsidR="00000000" w:rsidRPr="00000000">
        <w:rPr>
          <w:rtl w:val="0"/>
        </w:rPr>
      </w:r>
    </w:p>
    <w:p w:rsidR="00000000" w:rsidDel="00000000" w:rsidP="00000000" w:rsidRDefault="00000000" w:rsidRPr="00000000" w14:paraId="00000010">
      <w:pPr>
        <w:spacing w:line="360" w:lineRule="auto"/>
        <w:jc w:val="center"/>
        <w:rPr>
          <w:sz w:val="28"/>
          <w:szCs w:val="28"/>
        </w:rPr>
      </w:pPr>
      <w:r w:rsidDel="00000000" w:rsidR="00000000" w:rsidRPr="00000000">
        <w:rPr>
          <w:rtl w:val="0"/>
        </w:rPr>
      </w:r>
    </w:p>
    <w:p w:rsidR="00000000" w:rsidDel="00000000" w:rsidP="00000000" w:rsidRDefault="00000000" w:rsidRPr="00000000" w14:paraId="00000011">
      <w:pPr>
        <w:spacing w:line="360" w:lineRule="auto"/>
        <w:jc w:val="center"/>
        <w:rPr>
          <w:sz w:val="28"/>
          <w:szCs w:val="28"/>
        </w:rPr>
      </w:pPr>
      <w:r w:rsidDel="00000000" w:rsidR="00000000" w:rsidRPr="00000000">
        <w:rPr>
          <w:rtl w:val="0"/>
        </w:rPr>
      </w:r>
    </w:p>
    <w:p w:rsidR="00000000" w:rsidDel="00000000" w:rsidP="00000000" w:rsidRDefault="00000000" w:rsidRPr="00000000" w14:paraId="00000012">
      <w:pPr>
        <w:spacing w:line="360" w:lineRule="auto"/>
        <w:jc w:val="center"/>
        <w:rPr>
          <w:sz w:val="28"/>
          <w:szCs w:val="28"/>
        </w:rPr>
      </w:pPr>
      <w:r w:rsidDel="00000000" w:rsidR="00000000" w:rsidRPr="00000000">
        <w:rPr>
          <w:rtl w:val="0"/>
        </w:rPr>
      </w:r>
    </w:p>
    <w:p w:rsidR="00000000" w:rsidDel="00000000" w:rsidP="00000000" w:rsidRDefault="00000000" w:rsidRPr="00000000" w14:paraId="00000013">
      <w:pPr>
        <w:spacing w:line="360" w:lineRule="auto"/>
        <w:jc w:val="center"/>
        <w:rPr>
          <w:sz w:val="28"/>
          <w:szCs w:val="28"/>
        </w:rPr>
      </w:pPr>
      <w:r w:rsidDel="00000000" w:rsidR="00000000" w:rsidRPr="00000000">
        <w:rPr>
          <w:rtl w:val="0"/>
        </w:rPr>
      </w:r>
    </w:p>
    <w:p w:rsidR="00000000" w:rsidDel="00000000" w:rsidP="00000000" w:rsidRDefault="00000000" w:rsidRPr="00000000" w14:paraId="00000014">
      <w:pPr>
        <w:spacing w:line="360" w:lineRule="auto"/>
        <w:jc w:val="center"/>
        <w:rPr>
          <w:sz w:val="28"/>
          <w:szCs w:val="28"/>
        </w:rPr>
      </w:pPr>
      <w:r w:rsidDel="00000000" w:rsidR="00000000" w:rsidRPr="00000000">
        <w:rPr>
          <w:rtl w:val="0"/>
        </w:rPr>
      </w:r>
    </w:p>
    <w:p w:rsidR="00000000" w:rsidDel="00000000" w:rsidP="00000000" w:rsidRDefault="00000000" w:rsidRPr="00000000" w14:paraId="00000015">
      <w:pPr>
        <w:spacing w:line="360" w:lineRule="auto"/>
        <w:jc w:val="center"/>
        <w:rPr>
          <w:b w:val="1"/>
          <w:sz w:val="17"/>
          <w:szCs w:val="17"/>
        </w:rPr>
      </w:pPr>
      <w:r w:rsidDel="00000000" w:rsidR="00000000" w:rsidRPr="00000000">
        <w:rPr>
          <w:sz w:val="28"/>
          <w:szCs w:val="28"/>
          <w:rtl w:val="0"/>
        </w:rPr>
        <w:t xml:space="preserve">Title of Study: </w:t>
      </w:r>
      <w:r w:rsidDel="00000000" w:rsidR="00000000" w:rsidRPr="00000000">
        <w:rPr>
          <w:sz w:val="28"/>
          <w:szCs w:val="28"/>
          <w:rtl w:val="0"/>
        </w:rPr>
        <w:t xml:space="preserve">Review of literature for contemporary methods in SET</w:t>
      </w:r>
      <w:r w:rsidDel="00000000" w:rsidR="00000000" w:rsidRPr="00000000">
        <w:rPr>
          <w:rtl w:val="0"/>
        </w:rPr>
      </w:r>
    </w:p>
    <w:p w:rsidR="00000000" w:rsidDel="00000000" w:rsidP="00000000" w:rsidRDefault="00000000" w:rsidRPr="00000000" w14:paraId="00000016">
      <w:pPr>
        <w:spacing w:line="360" w:lineRule="auto"/>
        <w:jc w:val="center"/>
        <w:rPr>
          <w:sz w:val="28"/>
          <w:szCs w:val="28"/>
        </w:rPr>
      </w:pPr>
      <w:r w:rsidDel="00000000" w:rsidR="00000000" w:rsidRPr="00000000">
        <w:rPr>
          <w:rtl w:val="0"/>
        </w:rPr>
      </w:r>
    </w:p>
    <w:p w:rsidR="00000000" w:rsidDel="00000000" w:rsidP="00000000" w:rsidRDefault="00000000" w:rsidRPr="00000000" w14:paraId="00000017">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360" w:lineRule="auto"/>
        <w:rPr>
          <w:b w:val="1"/>
          <w:sz w:val="28"/>
          <w:szCs w:val="28"/>
        </w:rPr>
      </w:pPr>
      <w:r w:rsidDel="00000000" w:rsidR="00000000" w:rsidRPr="00000000">
        <w:rPr>
          <w:rtl w:val="0"/>
        </w:rPr>
      </w:r>
    </w:p>
    <w:p w:rsidR="00000000" w:rsidDel="00000000" w:rsidP="00000000" w:rsidRDefault="00000000" w:rsidRPr="00000000" w14:paraId="00000019">
      <w:pPr>
        <w:spacing w:line="360" w:lineRule="auto"/>
        <w:rPr>
          <w:b w:val="1"/>
          <w:sz w:val="28"/>
          <w:szCs w:val="28"/>
        </w:rPr>
      </w:pPr>
      <w:r w:rsidDel="00000000" w:rsidR="00000000" w:rsidRPr="00000000">
        <w:rPr>
          <w:rtl w:val="0"/>
        </w:rPr>
      </w:r>
    </w:p>
    <w:p w:rsidR="00000000" w:rsidDel="00000000" w:rsidP="00000000" w:rsidRDefault="00000000" w:rsidRPr="00000000" w14:paraId="0000001A">
      <w:pPr>
        <w:spacing w:line="360" w:lineRule="auto"/>
        <w:rPr>
          <w:b w:val="1"/>
          <w:sz w:val="28"/>
          <w:szCs w:val="28"/>
        </w:rPr>
      </w:pPr>
      <w:r w:rsidDel="00000000" w:rsidR="00000000" w:rsidRPr="00000000">
        <w:rPr>
          <w:rtl w:val="0"/>
        </w:rPr>
      </w:r>
    </w:p>
    <w:p w:rsidR="00000000" w:rsidDel="00000000" w:rsidP="00000000" w:rsidRDefault="00000000" w:rsidRPr="00000000" w14:paraId="0000001B">
      <w:pPr>
        <w:spacing w:line="360" w:lineRule="auto"/>
        <w:rPr>
          <w:b w:val="1"/>
          <w:sz w:val="28"/>
          <w:szCs w:val="28"/>
        </w:rPr>
      </w:pPr>
      <w:r w:rsidDel="00000000" w:rsidR="00000000" w:rsidRPr="00000000">
        <w:rPr>
          <w:rtl w:val="0"/>
        </w:rPr>
      </w:r>
    </w:p>
    <w:p w:rsidR="00000000" w:rsidDel="00000000" w:rsidP="00000000" w:rsidRDefault="00000000" w:rsidRPr="00000000" w14:paraId="0000001C">
      <w:pPr>
        <w:spacing w:line="360" w:lineRule="auto"/>
        <w:rPr>
          <w:b w:val="1"/>
          <w:sz w:val="28"/>
          <w:szCs w:val="28"/>
        </w:rPr>
      </w:pPr>
      <w:r w:rsidDel="00000000" w:rsidR="00000000" w:rsidRPr="00000000">
        <w:rPr>
          <w:rtl w:val="0"/>
        </w:rPr>
      </w:r>
    </w:p>
    <w:p w:rsidR="00000000" w:rsidDel="00000000" w:rsidP="00000000" w:rsidRDefault="00000000" w:rsidRPr="00000000" w14:paraId="0000001D">
      <w:pPr>
        <w:spacing w:line="360" w:lineRule="auto"/>
        <w:jc w:val="center"/>
        <w:rPr>
          <w:b w:val="1"/>
          <w:sz w:val="28"/>
          <w:szCs w:val="28"/>
        </w:rPr>
      </w:pPr>
      <w:r w:rsidDel="00000000" w:rsidR="00000000" w:rsidRPr="00000000">
        <w:rPr>
          <w:sz w:val="28"/>
          <w:szCs w:val="28"/>
          <w:rtl w:val="0"/>
        </w:rPr>
        <w:t xml:space="preserve">Word count: 1547</w:t>
      </w:r>
      <w:r w:rsidDel="00000000" w:rsidR="00000000" w:rsidRPr="00000000">
        <w:rPr>
          <w:rtl w:val="0"/>
        </w:rPr>
      </w:r>
    </w:p>
    <w:p w:rsidR="00000000" w:rsidDel="00000000" w:rsidP="00000000" w:rsidRDefault="00000000" w:rsidRPr="00000000" w14:paraId="0000001E">
      <w:pPr>
        <w:spacing w:line="360" w:lineRule="auto"/>
        <w:jc w:val="right"/>
        <w:rPr>
          <w:sz w:val="28"/>
          <w:szCs w:val="28"/>
        </w:rPr>
      </w:pPr>
      <w:r w:rsidDel="00000000" w:rsidR="00000000" w:rsidRPr="00000000">
        <w:rPr>
          <w:sz w:val="28"/>
          <w:szCs w:val="28"/>
          <w:rtl w:val="0"/>
        </w:rPr>
        <w:t xml:space="preserve">2</w:t>
      </w:r>
    </w:p>
    <w:p w:rsidR="00000000" w:rsidDel="00000000" w:rsidP="00000000" w:rsidRDefault="00000000" w:rsidRPr="00000000" w14:paraId="0000001F">
      <w:pPr>
        <w:spacing w:line="360" w:lineRule="auto"/>
        <w:jc w:val="right"/>
        <w:rPr>
          <w:sz w:val="28"/>
          <w:szCs w:val="28"/>
        </w:rPr>
      </w:pPr>
      <w:r w:rsidDel="00000000" w:rsidR="00000000" w:rsidRPr="00000000">
        <w:rPr>
          <w:rtl w:val="0"/>
        </w:rPr>
      </w:r>
    </w:p>
    <w:p w:rsidR="00000000" w:rsidDel="00000000" w:rsidP="00000000" w:rsidRDefault="00000000" w:rsidRPr="00000000" w14:paraId="00000020">
      <w:pPr>
        <w:spacing w:line="360" w:lineRule="auto"/>
        <w:rPr>
          <w:b w:val="1"/>
          <w:sz w:val="28"/>
          <w:szCs w:val="28"/>
        </w:rPr>
      </w:pPr>
      <w:r w:rsidDel="00000000" w:rsidR="00000000" w:rsidRPr="00000000">
        <w:rPr>
          <w:b w:val="1"/>
          <w:sz w:val="28"/>
          <w:szCs w:val="28"/>
          <w:rtl w:val="0"/>
        </w:rPr>
        <w:t xml:space="preserve">Introduction</w:t>
      </w:r>
    </w:p>
    <w:p w:rsidR="00000000" w:rsidDel="00000000" w:rsidP="00000000" w:rsidRDefault="00000000" w:rsidRPr="00000000" w14:paraId="00000021">
      <w:pPr>
        <w:spacing w:line="360" w:lineRule="auto"/>
        <w:rPr>
          <w:sz w:val="24"/>
          <w:szCs w:val="24"/>
        </w:rPr>
      </w:pPr>
      <w:r w:rsidDel="00000000" w:rsidR="00000000" w:rsidRPr="00000000">
        <w:rPr>
          <w:rtl w:val="0"/>
        </w:rPr>
      </w:r>
    </w:p>
    <w:p w:rsidR="00000000" w:rsidDel="00000000" w:rsidP="00000000" w:rsidRDefault="00000000" w:rsidRPr="00000000" w14:paraId="00000022">
      <w:pPr>
        <w:spacing w:line="360" w:lineRule="auto"/>
        <w:rPr>
          <w:sz w:val="24"/>
          <w:szCs w:val="24"/>
        </w:rPr>
      </w:pPr>
      <w:r w:rsidDel="00000000" w:rsidR="00000000" w:rsidRPr="00000000">
        <w:rPr>
          <w:sz w:val="24"/>
          <w:szCs w:val="24"/>
          <w:rtl w:val="0"/>
        </w:rPr>
        <w:t xml:space="preserve">In the rehabilitation field, Interferential Therapy (ITF) is a popular electrotherapy treatment which according to </w:t>
      </w:r>
      <w:r w:rsidDel="00000000" w:rsidR="00000000" w:rsidRPr="00000000">
        <w:rPr>
          <w:sz w:val="24"/>
          <w:szCs w:val="24"/>
          <w:rtl w:val="0"/>
        </w:rPr>
        <w:t xml:space="preserve">Khiyami, Almalki and Khayame (2023)</w:t>
      </w:r>
      <w:r w:rsidDel="00000000" w:rsidR="00000000" w:rsidRPr="00000000">
        <w:rPr>
          <w:sz w:val="24"/>
          <w:szCs w:val="24"/>
          <w:rtl w:val="0"/>
        </w:rPr>
        <w:t xml:space="preserve"> is mostly utilised for muscle stimulation, pain control and reducing swelling. </w:t>
      </w:r>
      <w:r w:rsidDel="00000000" w:rsidR="00000000" w:rsidRPr="00000000">
        <w:rPr>
          <w:sz w:val="24"/>
          <w:szCs w:val="24"/>
          <w:rtl w:val="0"/>
        </w:rPr>
        <w:t xml:space="preserve">Rampazo and Liebano (2022) shows that t</w:t>
      </w:r>
      <w:r w:rsidDel="00000000" w:rsidR="00000000" w:rsidRPr="00000000">
        <w:rPr>
          <w:sz w:val="24"/>
          <w:szCs w:val="24"/>
          <w:rtl w:val="0"/>
        </w:rPr>
        <w:t xml:space="preserve">hrough the use of medium-frequency electrical currents that intersect within bodily tissues, ITF seeks to enhance circulation and lessen pain. This type of therapy is also used due to it’s supposed effects of deep penetration and nerve-stimulating properties without inflicting discomfort </w:t>
      </w:r>
      <w:r w:rsidDel="00000000" w:rsidR="00000000" w:rsidRPr="00000000">
        <w:rPr>
          <w:sz w:val="24"/>
          <w:szCs w:val="24"/>
          <w:rtl w:val="0"/>
        </w:rPr>
        <w:t xml:space="preserve">(Tella, Oghumu and Gbiri, 2021).</w:t>
      </w:r>
    </w:p>
    <w:p w:rsidR="00000000" w:rsidDel="00000000" w:rsidP="00000000" w:rsidRDefault="00000000" w:rsidRPr="00000000" w14:paraId="00000023">
      <w:pPr>
        <w:spacing w:line="360" w:lineRule="auto"/>
        <w:rPr>
          <w:sz w:val="24"/>
          <w:szCs w:val="24"/>
        </w:rPr>
      </w:pPr>
      <w:r w:rsidDel="00000000" w:rsidR="00000000" w:rsidRPr="00000000">
        <w:rPr>
          <w:sz w:val="24"/>
          <w:szCs w:val="24"/>
          <w:rtl w:val="0"/>
        </w:rPr>
        <w:t xml:space="preserve">The goal of this write up is to execute a thorough analysis of ITF electrotherapy, looking at its advantages, disadvantages, therapeutic uses, and mechanics. ITF's efficacy in treating a range of neurological and musculoskeletal disorders will be investigated through an analysis of current research and literature. Furthermore, gaining knowledge about ITF's function in contemporary electrotherapy can help one better understand its clinical importance and potential future developments. </w:t>
      </w:r>
    </w:p>
    <w:p w:rsidR="00000000" w:rsidDel="00000000" w:rsidP="00000000" w:rsidRDefault="00000000" w:rsidRPr="00000000" w14:paraId="00000024">
      <w:pPr>
        <w:spacing w:line="360" w:lineRule="auto"/>
        <w:rPr>
          <w:sz w:val="24"/>
          <w:szCs w:val="24"/>
        </w:rPr>
      </w:pPr>
      <w:r w:rsidDel="00000000" w:rsidR="00000000" w:rsidRPr="00000000">
        <w:rPr>
          <w:rtl w:val="0"/>
        </w:rPr>
      </w:r>
    </w:p>
    <w:p w:rsidR="00000000" w:rsidDel="00000000" w:rsidP="00000000" w:rsidRDefault="00000000" w:rsidRPr="00000000" w14:paraId="00000025">
      <w:pPr>
        <w:spacing w:line="360" w:lineRule="auto"/>
        <w:rPr>
          <w:b w:val="1"/>
          <w:sz w:val="28"/>
          <w:szCs w:val="28"/>
        </w:rPr>
      </w:pPr>
      <w:r w:rsidDel="00000000" w:rsidR="00000000" w:rsidRPr="00000000">
        <w:rPr>
          <w:b w:val="1"/>
          <w:sz w:val="28"/>
          <w:szCs w:val="28"/>
          <w:rtl w:val="0"/>
        </w:rPr>
        <w:t xml:space="preserve">Mechanisms</w:t>
      </w:r>
    </w:p>
    <w:p w:rsidR="00000000" w:rsidDel="00000000" w:rsidP="00000000" w:rsidRDefault="00000000" w:rsidRPr="00000000" w14:paraId="00000026">
      <w:pPr>
        <w:spacing w:line="360" w:lineRule="auto"/>
        <w:rPr>
          <w:sz w:val="24"/>
          <w:szCs w:val="24"/>
        </w:rPr>
      </w:pPr>
      <w:r w:rsidDel="00000000" w:rsidR="00000000" w:rsidRPr="00000000">
        <w:rPr>
          <w:sz w:val="24"/>
          <w:szCs w:val="24"/>
          <w:rtl w:val="0"/>
        </w:rPr>
        <w:t xml:space="preserve">Two medium-frequency alternating currents that intersect inside the body are used in ITF to achieve therapeutic results. Theologou, Trevlaki and Trevlakis (2022) supports that the low-frequency beat produced by the interaction of the currents in the tissue has multiple mechanisms of action, the main one among them being the regulation of pain perception and the promotion of healing </w:t>
      </w:r>
      <w:r w:rsidDel="00000000" w:rsidR="00000000" w:rsidRPr="00000000">
        <w:rPr>
          <w:sz w:val="24"/>
          <w:szCs w:val="24"/>
          <w:rtl w:val="0"/>
        </w:rPr>
        <w:t xml:space="preserve">.</w:t>
      </w:r>
      <w:r w:rsidDel="00000000" w:rsidR="00000000" w:rsidRPr="00000000">
        <w:rPr>
          <w:sz w:val="24"/>
          <w:szCs w:val="24"/>
          <w:rtl w:val="0"/>
        </w:rPr>
        <w:t xml:space="preserve"> ITF is believed to relieve the sensation of pain through two mechanisms: the opiate (endorphin) mechanism and the pain gate mechanism (Bala and None Muthukumaran Jothilingam, 2024).</w:t>
      </w:r>
    </w:p>
    <w:p w:rsidR="00000000" w:rsidDel="00000000" w:rsidP="00000000" w:rsidRDefault="00000000" w:rsidRPr="00000000" w14:paraId="00000027">
      <w:pPr>
        <w:spacing w:after="240" w:before="240" w:line="360" w:lineRule="auto"/>
        <w:rPr>
          <w:sz w:val="24"/>
          <w:szCs w:val="24"/>
        </w:rPr>
      </w:pPr>
      <w:r w:rsidDel="00000000" w:rsidR="00000000" w:rsidRPr="00000000">
        <w:rPr>
          <w:sz w:val="24"/>
          <w:szCs w:val="24"/>
          <w:rtl w:val="0"/>
        </w:rPr>
        <w:t xml:space="preserve">According  Khan </w:t>
      </w:r>
      <w:r w:rsidDel="00000000" w:rsidR="00000000" w:rsidRPr="00000000">
        <w:rPr>
          <w:i w:val="1"/>
          <w:sz w:val="24"/>
          <w:szCs w:val="24"/>
          <w:rtl w:val="0"/>
        </w:rPr>
        <w:t xml:space="preserve">et al.</w:t>
      </w:r>
      <w:r w:rsidDel="00000000" w:rsidR="00000000" w:rsidRPr="00000000">
        <w:rPr>
          <w:sz w:val="24"/>
          <w:szCs w:val="24"/>
          <w:rtl w:val="0"/>
        </w:rPr>
        <w:t xml:space="preserve"> (2024) ITF makes use of medium-frequency currents (2,000–10,000 Hz), which have little difficulty passing through the skin. These currents combine to provide a low-frequency therapeutic action that penetrates deep into the tissues, reaching muscles, nerves, and joints. This effect is usually in the range of 1 to 150 Hz.  </w:t>
      </w:r>
    </w:p>
    <w:p w:rsidR="00000000" w:rsidDel="00000000" w:rsidP="00000000" w:rsidRDefault="00000000" w:rsidRPr="00000000" w14:paraId="00000028">
      <w:pPr>
        <w:spacing w:after="240" w:before="240" w:line="360" w:lineRule="auto"/>
        <w:jc w:val="right"/>
        <w:rPr>
          <w:sz w:val="28"/>
          <w:szCs w:val="28"/>
        </w:rPr>
      </w:pPr>
      <w:r w:rsidDel="00000000" w:rsidR="00000000" w:rsidRPr="00000000">
        <w:rPr>
          <w:sz w:val="28"/>
          <w:szCs w:val="28"/>
          <w:rtl w:val="0"/>
        </w:rPr>
        <w:t xml:space="preserve">3</w:t>
      </w:r>
    </w:p>
    <w:p w:rsidR="00000000" w:rsidDel="00000000" w:rsidP="00000000" w:rsidRDefault="00000000" w:rsidRPr="00000000" w14:paraId="00000029">
      <w:pPr>
        <w:spacing w:after="240" w:before="240" w:line="360" w:lineRule="auto"/>
        <w:rPr>
          <w:sz w:val="24"/>
          <w:szCs w:val="24"/>
        </w:rPr>
      </w:pPr>
      <w:r w:rsidDel="00000000" w:rsidR="00000000" w:rsidRPr="00000000">
        <w:rPr>
          <w:sz w:val="24"/>
          <w:szCs w:val="24"/>
          <w:rtl w:val="0"/>
        </w:rPr>
        <w:t xml:space="preserve">The pain gate theory, first proposed by Melzack and Wall (1965), is one of the main mechanism which ITF relieves pain. According too Melzack and Wall (1965) the pain gate mechanism works by small-diameter nociceptive (pain) fibres (A-delta and C fibres) carry pain signals to the brain. On the other hand, non-nociceptive input from larger-diameter (A-beta) sensory fibres can prevent pain signals from reaching the spinal cord. The hypothesis suggests that there is a "gate" in the spinal cord that has the ability to permit or prohibit certain impulses. Katz and Rosenbloom (2015) suggest that by "closing" the pain gate at the spinal cord level, high-frequency electrical stimulation administered by ITF activates large-diameter sensory fibres, which prevents the passing of pain signals. Due to the blockage of the body's perception of discomfort, pain experience is hence reduced. The therapy of acute pain is believed to benefit greatly from this mechanism.</w:t>
      </w:r>
    </w:p>
    <w:p w:rsidR="00000000" w:rsidDel="00000000" w:rsidP="00000000" w:rsidRDefault="00000000" w:rsidRPr="00000000" w14:paraId="0000002A">
      <w:pPr>
        <w:spacing w:after="240" w:before="240" w:line="360" w:lineRule="auto"/>
        <w:rPr>
          <w:sz w:val="24"/>
          <w:szCs w:val="24"/>
        </w:rPr>
      </w:pPr>
      <w:r w:rsidDel="00000000" w:rsidR="00000000" w:rsidRPr="00000000">
        <w:rPr>
          <w:sz w:val="24"/>
          <w:szCs w:val="24"/>
          <w:rtl w:val="0"/>
        </w:rPr>
        <w:t xml:space="preserve">Along with the pain gate mechanism, it is thought that ITF triggers the body's natural opioid system, which is essential for pain management. Resende </w:t>
      </w:r>
      <w:r w:rsidDel="00000000" w:rsidR="00000000" w:rsidRPr="00000000">
        <w:rPr>
          <w:i w:val="1"/>
          <w:sz w:val="24"/>
          <w:szCs w:val="24"/>
          <w:rtl w:val="0"/>
        </w:rPr>
        <w:t xml:space="preserve">et al.</w:t>
      </w:r>
      <w:r w:rsidDel="00000000" w:rsidR="00000000" w:rsidRPr="00000000">
        <w:rPr>
          <w:sz w:val="24"/>
          <w:szCs w:val="24"/>
          <w:rtl w:val="0"/>
        </w:rPr>
        <w:t xml:space="preserve"> (2017) suggest that endogenous opioids including dynorphins, enkephalins, and endorphins are released as part of this system during ITF treatments. These opioids attach to opioid receptors in the brain and spinal cord to prevent the transmission of pain (Srungarapu, 2024). ITF promotes these endogenous opioids' synthesis and release, particularly when used at lower frequencies (1–10 Hz). By interacting with opioid receptors, the released endorphins block pain pathways and produce an analgesic effect that may last long after treatment is over. According too Almeida </w:t>
      </w:r>
      <w:r w:rsidDel="00000000" w:rsidR="00000000" w:rsidRPr="00000000">
        <w:rPr>
          <w:i w:val="1"/>
          <w:sz w:val="24"/>
          <w:szCs w:val="24"/>
          <w:rtl w:val="0"/>
        </w:rPr>
        <w:t xml:space="preserve">et al.</w:t>
      </w:r>
      <w:r w:rsidDel="00000000" w:rsidR="00000000" w:rsidRPr="00000000">
        <w:rPr>
          <w:sz w:val="24"/>
          <w:szCs w:val="24"/>
          <w:rtl w:val="0"/>
        </w:rPr>
        <w:t xml:space="preserve"> (2020) patients with chronic pain disorders benefit most from this mechanism since it offers long-lasting pain relief.</w:t>
      </w:r>
    </w:p>
    <w:p w:rsidR="00000000" w:rsidDel="00000000" w:rsidP="00000000" w:rsidRDefault="00000000" w:rsidRPr="00000000" w14:paraId="0000002B">
      <w:pPr>
        <w:spacing w:after="240" w:before="240" w:line="360" w:lineRule="auto"/>
        <w:rPr>
          <w:sz w:val="24"/>
          <w:szCs w:val="24"/>
        </w:rPr>
      </w:pPr>
      <w:r w:rsidDel="00000000" w:rsidR="00000000" w:rsidRPr="00000000">
        <w:rPr>
          <w:sz w:val="24"/>
          <w:szCs w:val="24"/>
          <w:rtl w:val="0"/>
        </w:rPr>
        <w:t xml:space="preserve">According too Zubair </w:t>
      </w:r>
      <w:r w:rsidDel="00000000" w:rsidR="00000000" w:rsidRPr="00000000">
        <w:rPr>
          <w:i w:val="1"/>
          <w:sz w:val="24"/>
          <w:szCs w:val="24"/>
          <w:rtl w:val="0"/>
        </w:rPr>
        <w:t xml:space="preserve">et al.</w:t>
      </w:r>
      <w:r w:rsidDel="00000000" w:rsidR="00000000" w:rsidRPr="00000000">
        <w:rPr>
          <w:sz w:val="24"/>
          <w:szCs w:val="24"/>
          <w:rtl w:val="0"/>
        </w:rPr>
        <w:t xml:space="preserve"> (2023) the two systems together lessen discomfort and enhance tissue function in general. The opiate mechanism acts in the background to produce longer-term analgesia by affecting the body's natural pain management systems, whereas the pain gate mechanism blocks pain signals to provide instant relief.</w:t>
      </w:r>
    </w:p>
    <w:p w:rsidR="00000000" w:rsidDel="00000000" w:rsidP="00000000" w:rsidRDefault="00000000" w:rsidRPr="00000000" w14:paraId="0000002C">
      <w:pPr>
        <w:spacing w:after="240" w:before="240" w:line="360" w:lineRule="auto"/>
        <w:rPr>
          <w:sz w:val="24"/>
          <w:szCs w:val="24"/>
          <w:u w:val="single"/>
        </w:rPr>
      </w:pPr>
      <w:r w:rsidDel="00000000" w:rsidR="00000000" w:rsidRPr="00000000">
        <w:rPr>
          <w:sz w:val="24"/>
          <w:szCs w:val="24"/>
          <w:u w:val="single"/>
          <w:rtl w:val="0"/>
        </w:rPr>
        <w:t xml:space="preserve">Evidence base benefits</w:t>
      </w:r>
    </w:p>
    <w:p w:rsidR="00000000" w:rsidDel="00000000" w:rsidP="00000000" w:rsidRDefault="00000000" w:rsidRPr="00000000" w14:paraId="0000002D">
      <w:pPr>
        <w:spacing w:after="240" w:before="240" w:line="360" w:lineRule="auto"/>
        <w:jc w:val="right"/>
        <w:rPr>
          <w:sz w:val="28"/>
          <w:szCs w:val="28"/>
        </w:rPr>
      </w:pPr>
      <w:r w:rsidDel="00000000" w:rsidR="00000000" w:rsidRPr="00000000">
        <w:rPr>
          <w:sz w:val="28"/>
          <w:szCs w:val="28"/>
          <w:rtl w:val="0"/>
        </w:rPr>
        <w:t xml:space="preserve">4</w:t>
      </w:r>
    </w:p>
    <w:p w:rsidR="00000000" w:rsidDel="00000000" w:rsidP="00000000" w:rsidRDefault="00000000" w:rsidRPr="00000000" w14:paraId="0000002E">
      <w:pPr>
        <w:spacing w:after="240" w:before="240" w:line="360" w:lineRule="auto"/>
        <w:rPr>
          <w:sz w:val="24"/>
          <w:szCs w:val="24"/>
        </w:rPr>
      </w:pPr>
      <w:r w:rsidDel="00000000" w:rsidR="00000000" w:rsidRPr="00000000">
        <w:rPr>
          <w:sz w:val="24"/>
          <w:szCs w:val="24"/>
          <w:rtl w:val="0"/>
        </w:rPr>
        <w:t xml:space="preserve">Whether ITF has the physiological and therapeutic effects it claims has been the subject of numerous investigations. While some studies doubt its superiority over alternative therapies, others affirm its effectiveness in pain reduction, muscle rehabilitation, and functional improvement. In a research comparing ITF to sham electrotherapy, for example, Johnson and Tabasam (2003) discovered that ITF considerably decreased pain intensity, indicating that the therapy had a real therapeutic impact that went beyond a placebo reaction. On the other hand, when comparing ITF to TENS, another popular electrotherapy technique, some research have found conflicting outcomes. </w:t>
      </w:r>
    </w:p>
    <w:p w:rsidR="00000000" w:rsidDel="00000000" w:rsidP="00000000" w:rsidRDefault="00000000" w:rsidRPr="00000000" w14:paraId="0000002F">
      <w:pPr>
        <w:spacing w:after="240" w:before="240" w:line="360" w:lineRule="auto"/>
        <w:rPr>
          <w:sz w:val="24"/>
          <w:szCs w:val="24"/>
        </w:rPr>
      </w:pPr>
      <w:r w:rsidDel="00000000" w:rsidR="00000000" w:rsidRPr="00000000">
        <w:rPr>
          <w:sz w:val="24"/>
          <w:szCs w:val="24"/>
          <w:rtl w:val="0"/>
        </w:rPr>
        <w:t xml:space="preserve">According to a recent study by None Nalini K et al. (2024), ITF was superior than TENS in reducing cervical spondylosis pain, indicating that ITF might be useful in some circumstances when deeper stimulation is advantageous. S et al. (2024), on the other hand, found no discernible difference in pain alleviation between ITF and TENS, which begs the question of whether ITF is indeed better or if its advantages depend on the situation. ITF may not always work better than other electrotherapy modalities in all circumstances, despite its effectiveness in some situations, according to the diversity in study results.</w:t>
      </w:r>
    </w:p>
    <w:p w:rsidR="00000000" w:rsidDel="00000000" w:rsidP="00000000" w:rsidRDefault="00000000" w:rsidRPr="00000000" w14:paraId="00000030">
      <w:pPr>
        <w:spacing w:after="240" w:before="240" w:line="360" w:lineRule="auto"/>
        <w:rPr>
          <w:sz w:val="24"/>
          <w:szCs w:val="24"/>
          <w:u w:val="single"/>
        </w:rPr>
      </w:pPr>
      <w:r w:rsidDel="00000000" w:rsidR="00000000" w:rsidRPr="00000000">
        <w:rPr>
          <w:sz w:val="24"/>
          <w:szCs w:val="24"/>
          <w:u w:val="single"/>
          <w:rtl w:val="0"/>
        </w:rPr>
        <w:t xml:space="preserve">Evidence base mechanisms</w:t>
      </w:r>
    </w:p>
    <w:p w:rsidR="00000000" w:rsidDel="00000000" w:rsidP="00000000" w:rsidRDefault="00000000" w:rsidRPr="00000000" w14:paraId="00000031">
      <w:pPr>
        <w:spacing w:after="240" w:before="240" w:line="360" w:lineRule="auto"/>
        <w:rPr>
          <w:sz w:val="24"/>
          <w:szCs w:val="24"/>
        </w:rPr>
      </w:pPr>
      <w:r w:rsidDel="00000000" w:rsidR="00000000" w:rsidRPr="00000000">
        <w:rPr>
          <w:sz w:val="24"/>
          <w:szCs w:val="24"/>
          <w:rtl w:val="0"/>
        </w:rPr>
        <w:t xml:space="preserve">The apparent benefits may be explained by other factors, such as placebo effects, patient expectation, or general neuromodulation, although some studies have documented physiological changes that are compatible with these mechanisms. Johnson and Tabasam (2003), for instance, showed that ITF significantly reduced pain when compared to sham therapy, suggesting that a true neuromodulatory effect took place. Nevertheless, research contrasting ITF with TENS frequently reveals no appreciable variation in results (S et al., 2024), indicating that ITF might not have any special mechanisms beyond standard electrical stimulation.</w:t>
      </w:r>
    </w:p>
    <w:p w:rsidR="00000000" w:rsidDel="00000000" w:rsidP="00000000" w:rsidRDefault="00000000" w:rsidRPr="00000000" w14:paraId="00000032">
      <w:pPr>
        <w:spacing w:after="240" w:before="240" w:line="360" w:lineRule="auto"/>
        <w:rPr>
          <w:sz w:val="24"/>
          <w:szCs w:val="24"/>
          <w:u w:val="single"/>
        </w:rPr>
      </w:pPr>
      <w:r w:rsidDel="00000000" w:rsidR="00000000" w:rsidRPr="00000000">
        <w:rPr>
          <w:sz w:val="24"/>
          <w:szCs w:val="24"/>
          <w:u w:val="single"/>
          <w:rtl w:val="0"/>
        </w:rPr>
        <w:t xml:space="preserve">Study comparisons</w:t>
      </w:r>
    </w:p>
    <w:p w:rsidR="00000000" w:rsidDel="00000000" w:rsidP="00000000" w:rsidRDefault="00000000" w:rsidRPr="00000000" w14:paraId="00000033">
      <w:pPr>
        <w:spacing w:after="240" w:before="240" w:line="360" w:lineRule="auto"/>
        <w:rPr>
          <w:sz w:val="24"/>
          <w:szCs w:val="24"/>
        </w:rPr>
      </w:pPr>
      <w:r w:rsidDel="00000000" w:rsidR="00000000" w:rsidRPr="00000000">
        <w:rPr>
          <w:sz w:val="24"/>
          <w:szCs w:val="24"/>
          <w:rtl w:val="0"/>
        </w:rPr>
        <w:t xml:space="preserve">A study comparing ITF with TENS in patients with cervical spondylosis, a degenerative neck disorder that causes pain and stiffness, was carried out by Nalini </w:t>
      </w:r>
    </w:p>
    <w:p w:rsidR="00000000" w:rsidDel="00000000" w:rsidP="00000000" w:rsidRDefault="00000000" w:rsidRPr="00000000" w14:paraId="00000034">
      <w:pPr>
        <w:spacing w:after="240" w:before="240" w:line="360" w:lineRule="auto"/>
        <w:jc w:val="right"/>
        <w:rPr>
          <w:sz w:val="28"/>
          <w:szCs w:val="28"/>
        </w:rPr>
      </w:pPr>
      <w:r w:rsidDel="00000000" w:rsidR="00000000" w:rsidRPr="00000000">
        <w:rPr>
          <w:sz w:val="28"/>
          <w:szCs w:val="28"/>
          <w:rtl w:val="0"/>
        </w:rPr>
        <w:t xml:space="preserve">5</w:t>
      </w:r>
    </w:p>
    <w:p w:rsidR="00000000" w:rsidDel="00000000" w:rsidP="00000000" w:rsidRDefault="00000000" w:rsidRPr="00000000" w14:paraId="00000035">
      <w:pPr>
        <w:spacing w:after="240" w:before="240" w:line="360" w:lineRule="auto"/>
        <w:rPr>
          <w:sz w:val="24"/>
          <w:szCs w:val="24"/>
        </w:rPr>
      </w:pPr>
      <w:r w:rsidDel="00000000" w:rsidR="00000000" w:rsidRPr="00000000">
        <w:rPr>
          <w:sz w:val="24"/>
          <w:szCs w:val="24"/>
          <w:rtl w:val="0"/>
        </w:rPr>
        <w:t xml:space="preserve">K et al. (2024). According to their findings, ITF produced more functional improvement and pain alleviation than TENS. This lends credence to the notion that ITF may be more advantageous than TENS due to its deeper penetration and superior capacity to target afflicted tissues, especially in musculoskeletal disorders that call for more intense stimulation.</w:t>
      </w:r>
    </w:p>
    <w:p w:rsidR="00000000" w:rsidDel="00000000" w:rsidP="00000000" w:rsidRDefault="00000000" w:rsidRPr="00000000" w14:paraId="00000036">
      <w:pPr>
        <w:spacing w:after="240" w:before="240" w:line="360" w:lineRule="auto"/>
        <w:rPr>
          <w:sz w:val="24"/>
          <w:szCs w:val="24"/>
        </w:rPr>
      </w:pPr>
      <w:r w:rsidDel="00000000" w:rsidR="00000000" w:rsidRPr="00000000">
        <w:rPr>
          <w:sz w:val="24"/>
          <w:szCs w:val="24"/>
          <w:rtl w:val="0"/>
        </w:rPr>
        <w:t xml:space="preserve">In contrast, S et al. (2024) compared ITF with TENS and found no discernible difference in pain alleviation. This implies that the advantages of ITF could not outweigh those of conventional TENS for many situations, especially those causing neuropathic pain as opposed to deep musculoskeletal dysfunction. Important questions are raised by this research regarding whether ITF is consistently better in all applications or if its effects are mostly condition-specific.</w:t>
      </w:r>
    </w:p>
    <w:p w:rsidR="00000000" w:rsidDel="00000000" w:rsidP="00000000" w:rsidRDefault="00000000" w:rsidRPr="00000000" w14:paraId="00000037">
      <w:pPr>
        <w:spacing w:after="240" w:before="240" w:line="360" w:lineRule="auto"/>
        <w:rPr>
          <w:sz w:val="24"/>
          <w:szCs w:val="24"/>
        </w:rPr>
      </w:pPr>
      <w:r w:rsidDel="00000000" w:rsidR="00000000" w:rsidRPr="00000000">
        <w:rPr>
          <w:sz w:val="24"/>
          <w:szCs w:val="24"/>
          <w:rtl w:val="0"/>
        </w:rPr>
        <w:t xml:space="preserve">The effectiveness of ITF in comparison to a placebo (sham) electrotherapy intervention was investigated by Johnson and Tabasam (2003). According to their findings, the ITF group saw a statistically significant decrease in pain intensity, suggesting that ITF was actually having an analgesic impact rather than just eliciting a placebo reaction. Although this work offers important proof that ITF does activate neuromodulatory pathways, it is unclear if these effects are brought on by the release of endorphins, the pain gate mechanism, or some other physiological process that was not mentioned.</w:t>
      </w:r>
    </w:p>
    <w:p w:rsidR="00000000" w:rsidDel="00000000" w:rsidP="00000000" w:rsidRDefault="00000000" w:rsidRPr="00000000" w14:paraId="00000038">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39">
      <w:pPr>
        <w:spacing w:after="240" w:before="240" w:line="360" w:lineRule="auto"/>
        <w:rPr>
          <w:sz w:val="24"/>
          <w:szCs w:val="24"/>
          <w:u w:val="single"/>
        </w:rPr>
      </w:pPr>
      <w:r w:rsidDel="00000000" w:rsidR="00000000" w:rsidRPr="00000000">
        <w:rPr>
          <w:sz w:val="24"/>
          <w:szCs w:val="24"/>
          <w:u w:val="single"/>
          <w:rtl w:val="0"/>
        </w:rPr>
        <w:t xml:space="preserve">Traffic Light Rating</w:t>
      </w:r>
    </w:p>
    <w:p w:rsidR="00000000" w:rsidDel="00000000" w:rsidP="00000000" w:rsidRDefault="00000000" w:rsidRPr="00000000" w14:paraId="0000003A">
      <w:pPr>
        <w:spacing w:after="240" w:before="240" w:line="360" w:lineRule="auto"/>
        <w:rPr>
          <w:sz w:val="24"/>
          <w:szCs w:val="24"/>
        </w:rPr>
      </w:pPr>
      <w:r w:rsidDel="00000000" w:rsidR="00000000" w:rsidRPr="00000000">
        <w:rPr>
          <w:sz w:val="24"/>
          <w:szCs w:val="24"/>
          <w:rtl w:val="0"/>
        </w:rPr>
        <w:t xml:space="preserve">Although there is continuous discussion on ITF's superiority over other modalities, giving it a green-yellow rating recognises its proven efficacy in pain management. Consistent proof that ITF works better than other therapies would be necessary for a fully green grade, but the conflicting results especially when compared to TENS required a yellow component to emphasise the need for more study. ITF is still a safe and efficient electrotherapy alternative, particularly for illnesses that call for deep tissue stimulation. However, evidence-based practice, not presumptions of superiority, should direct its usage.</w:t>
      </w:r>
    </w:p>
    <w:p w:rsidR="00000000" w:rsidDel="00000000" w:rsidP="00000000" w:rsidRDefault="00000000" w:rsidRPr="00000000" w14:paraId="0000003B">
      <w:pPr>
        <w:spacing w:after="240" w:before="240" w:line="360" w:lineRule="auto"/>
        <w:jc w:val="right"/>
        <w:rPr>
          <w:sz w:val="28"/>
          <w:szCs w:val="28"/>
        </w:rPr>
      </w:pPr>
      <w:r w:rsidDel="00000000" w:rsidR="00000000" w:rsidRPr="00000000">
        <w:rPr>
          <w:sz w:val="28"/>
          <w:szCs w:val="28"/>
          <w:rtl w:val="0"/>
        </w:rPr>
        <w:t xml:space="preserve">6</w:t>
      </w:r>
    </w:p>
    <w:p w:rsidR="00000000" w:rsidDel="00000000" w:rsidP="00000000" w:rsidRDefault="00000000" w:rsidRPr="00000000" w14:paraId="0000003C">
      <w:pPr>
        <w:spacing w:after="240" w:before="240" w:line="360" w:lineRule="auto"/>
        <w:rPr>
          <w:b w:val="1"/>
          <w:sz w:val="28"/>
          <w:szCs w:val="28"/>
        </w:rPr>
      </w:pPr>
      <w:r w:rsidDel="00000000" w:rsidR="00000000" w:rsidRPr="00000000">
        <w:rPr>
          <w:b w:val="1"/>
          <w:sz w:val="28"/>
          <w:szCs w:val="28"/>
          <w:rtl w:val="0"/>
        </w:rPr>
        <w:t xml:space="preserve">Conclusion</w:t>
      </w:r>
    </w:p>
    <w:p w:rsidR="00000000" w:rsidDel="00000000" w:rsidP="00000000" w:rsidRDefault="00000000" w:rsidRPr="00000000" w14:paraId="0000003D">
      <w:pPr>
        <w:spacing w:after="240" w:before="240" w:line="360" w:lineRule="auto"/>
        <w:rPr>
          <w:sz w:val="24"/>
          <w:szCs w:val="24"/>
        </w:rPr>
      </w:pPr>
      <w:r w:rsidDel="00000000" w:rsidR="00000000" w:rsidRPr="00000000">
        <w:rPr>
          <w:sz w:val="24"/>
          <w:szCs w:val="24"/>
          <w:rtl w:val="0"/>
        </w:rPr>
        <w:t xml:space="preserve">Regardless of whether it outperforms other electrotherapy techniques like transcutaneous electrical nerve stimulation (TENS), the evaluated research consistently show the effectiveness of ITF in relieving pain. None of the investigations found ITF to be ineffective, despite the fact that the degree of its effects varies. Notably, ITF was found to be more effective than TENS in treating cervical spondylosis by Nalini K et al. (2024), suggesting that it may be useful for disorders that call for deep tissue penetration. ITF's effects go beyond placebo, as Johnson and Tabasam (2003) showed when they showed that it considerably decreased pain intensity when compared to a sham intervention. Though ITF is beneficial, its benefits could vary depending on the ailment being treated, according to S et al. (2024), who observed no discernible difference between ITF and TENS.</w:t>
      </w:r>
    </w:p>
    <w:p w:rsidR="00000000" w:rsidDel="00000000" w:rsidP="00000000" w:rsidRDefault="00000000" w:rsidRPr="00000000" w14:paraId="0000003E">
      <w:pPr>
        <w:spacing w:after="240" w:before="240" w:line="360" w:lineRule="auto"/>
        <w:rPr>
          <w:sz w:val="24"/>
          <w:szCs w:val="24"/>
        </w:rPr>
      </w:pPr>
      <w:r w:rsidDel="00000000" w:rsidR="00000000" w:rsidRPr="00000000">
        <w:rPr>
          <w:sz w:val="24"/>
          <w:szCs w:val="24"/>
          <w:rtl w:val="0"/>
        </w:rPr>
        <w:t xml:space="preserve">ITF's analgesic effects are commonly explained by the endorphin release mechanism and the pain gate theory. Although ITF is well known for its ability to effectively modulate pain, there is continuous discussion on whether these particular mechanisms are responsible for its effects or whether the advantages are due to more general neuromodulation or even placebo effects. Johnson and Tabasam (2003) demonstrated that ITF outperformed sham electrotherapy, demonstrating that it has a real physiological effect. Studies that found no discernible difference between ITF and TENS, however, point to the possibility that its mechanisms are similar to those of other electrical stimulation modalities rather than being distinct.</w:t>
      </w:r>
    </w:p>
    <w:p w:rsidR="00000000" w:rsidDel="00000000" w:rsidP="00000000" w:rsidRDefault="00000000" w:rsidRPr="00000000" w14:paraId="0000003F">
      <w:pPr>
        <w:spacing w:after="240" w:before="240" w:line="360" w:lineRule="auto"/>
        <w:rPr>
          <w:sz w:val="24"/>
          <w:szCs w:val="24"/>
        </w:rPr>
      </w:pPr>
      <w:r w:rsidDel="00000000" w:rsidR="00000000" w:rsidRPr="00000000">
        <w:rPr>
          <w:sz w:val="24"/>
          <w:szCs w:val="24"/>
          <w:rtl w:val="0"/>
        </w:rPr>
        <w:t xml:space="preserve">Even if there are still questions over whether ITF is better than other electrotherapy methods, it is still a useful clinical tool for pain management. ITF is reliable in controlling pain under a variety of situations, as evidenced by the constant conclusion that it is efficacious across all examined investigations. However, due to differences in its relative efficacy, clinical competence, condition-specific criteria, and the needs of each individual patient should guide its application.</w:t>
      </w:r>
    </w:p>
    <w:p w:rsidR="00000000" w:rsidDel="00000000" w:rsidP="00000000" w:rsidRDefault="00000000" w:rsidRPr="00000000" w14:paraId="00000040">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41">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42">
      <w:pPr>
        <w:spacing w:after="240" w:before="240" w:line="360" w:lineRule="auto"/>
        <w:jc w:val="right"/>
        <w:rPr>
          <w:sz w:val="28"/>
          <w:szCs w:val="28"/>
        </w:rPr>
      </w:pPr>
      <w:r w:rsidDel="00000000" w:rsidR="00000000" w:rsidRPr="00000000">
        <w:rPr>
          <w:sz w:val="28"/>
          <w:szCs w:val="28"/>
          <w:rtl w:val="0"/>
        </w:rPr>
        <w:t xml:space="preserve">7</w:t>
      </w:r>
    </w:p>
    <w:p w:rsidR="00000000" w:rsidDel="00000000" w:rsidP="00000000" w:rsidRDefault="00000000" w:rsidRPr="00000000" w14:paraId="00000043">
      <w:pPr>
        <w:spacing w:after="240" w:before="240" w:line="360" w:lineRule="auto"/>
        <w:rPr>
          <w:sz w:val="24"/>
          <w:szCs w:val="24"/>
        </w:rPr>
      </w:pPr>
      <w:r w:rsidDel="00000000" w:rsidR="00000000" w:rsidRPr="00000000">
        <w:rPr>
          <w:b w:val="1"/>
          <w:sz w:val="28"/>
          <w:szCs w:val="28"/>
          <w:rtl w:val="0"/>
        </w:rPr>
        <w:t xml:space="preserve">References</w:t>
      </w:r>
      <w:r w:rsidDel="00000000" w:rsidR="00000000" w:rsidRPr="00000000">
        <w:rPr>
          <w:sz w:val="24"/>
          <w:szCs w:val="24"/>
          <w:rtl w:val="0"/>
        </w:rPr>
        <w:t xml:space="preserve"> </w:t>
      </w:r>
    </w:p>
    <w:p w:rsidR="00000000" w:rsidDel="00000000" w:rsidP="00000000" w:rsidRDefault="00000000" w:rsidRPr="00000000" w14:paraId="00000044">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Almeida, 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(2020) ‘Immediate Effects of the Combination of Interferential Therapy Parameters on Chronic Low Back Pain: A Randomized Controlled Trial’, </w:t>
      </w:r>
      <w:r w:rsidDel="00000000" w:rsidR="00000000" w:rsidRPr="00000000">
        <w:rPr>
          <w:rFonts w:ascii="Times New Roman" w:cs="Times New Roman" w:eastAsia="Times New Roman" w:hAnsi="Times New Roman"/>
          <w:i w:val="1"/>
          <w:sz w:val="24"/>
          <w:szCs w:val="24"/>
          <w:rtl w:val="0"/>
        </w:rPr>
        <w:t xml:space="preserve">Pain Practice</w:t>
      </w:r>
      <w:r w:rsidDel="00000000" w:rsidR="00000000" w:rsidRPr="00000000">
        <w:rPr>
          <w:rFonts w:ascii="Times New Roman" w:cs="Times New Roman" w:eastAsia="Times New Roman" w:hAnsi="Times New Roman"/>
          <w:sz w:val="24"/>
          <w:szCs w:val="24"/>
          <w:rtl w:val="0"/>
        </w:rPr>
        <w:t xml:space="preserve">, 20(6). Available at: https://doi.org/10.1111/papr.12888.</w:t>
      </w:r>
    </w:p>
    <w:p w:rsidR="00000000" w:rsidDel="00000000" w:rsidP="00000000" w:rsidRDefault="00000000" w:rsidRPr="00000000" w14:paraId="00000045">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Bala, P.M. and None Muthukumaran Jothilingam (2024) ‘Effect of Dry Needling in Patient with Cervical Radiculopathy in Reducing Pain and Increasing Rom Compared to Interferential Therapy’, </w:t>
      </w:r>
      <w:r w:rsidDel="00000000" w:rsidR="00000000" w:rsidRPr="00000000">
        <w:rPr>
          <w:rFonts w:ascii="Times New Roman" w:cs="Times New Roman" w:eastAsia="Times New Roman" w:hAnsi="Times New Roman"/>
          <w:i w:val="1"/>
          <w:sz w:val="24"/>
          <w:szCs w:val="24"/>
          <w:rtl w:val="0"/>
        </w:rPr>
        <w:t xml:space="preserve">Indian Journal of Physiotherapy and Occupational Therapy</w:t>
      </w:r>
      <w:r w:rsidDel="00000000" w:rsidR="00000000" w:rsidRPr="00000000">
        <w:rPr>
          <w:rFonts w:ascii="Times New Roman" w:cs="Times New Roman" w:eastAsia="Times New Roman" w:hAnsi="Times New Roman"/>
          <w:sz w:val="24"/>
          <w:szCs w:val="24"/>
          <w:rtl w:val="0"/>
        </w:rPr>
        <w:t xml:space="preserve">, 18, pp. 436–440. Available at: https://doi.org/10.37506/pv9zbp03.</w:t>
      </w:r>
    </w:p>
    <w:p w:rsidR="00000000" w:rsidDel="00000000" w:rsidP="00000000" w:rsidRDefault="00000000" w:rsidRPr="00000000" w14:paraId="00000046">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Johnson, M.I. and Tabasam, G. (2003) ‘An Investigation Into the Analgesic Effects of Interferential Currents and Transcutaneous Electrical Nerve Stimulation on Experimentally Induced Ischemic Pain in Otherwise Pain-Free Volunteers’, </w:t>
      </w:r>
      <w:r w:rsidDel="00000000" w:rsidR="00000000" w:rsidRPr="00000000">
        <w:rPr>
          <w:rFonts w:ascii="Times New Roman" w:cs="Times New Roman" w:eastAsia="Times New Roman" w:hAnsi="Times New Roman"/>
          <w:i w:val="1"/>
          <w:sz w:val="24"/>
          <w:szCs w:val="24"/>
          <w:rtl w:val="0"/>
        </w:rPr>
        <w:t xml:space="preserve">Physical Therapy</w:t>
      </w:r>
      <w:r w:rsidDel="00000000" w:rsidR="00000000" w:rsidRPr="00000000">
        <w:rPr>
          <w:rFonts w:ascii="Times New Roman" w:cs="Times New Roman" w:eastAsia="Times New Roman" w:hAnsi="Times New Roman"/>
          <w:sz w:val="24"/>
          <w:szCs w:val="24"/>
          <w:rtl w:val="0"/>
        </w:rPr>
        <w:t xml:space="preserve">, 83(3), pp. 208–223. Available at: https://doi.org/10.1093/ptj/83.3.208.</w:t>
      </w:r>
    </w:p>
    <w:p w:rsidR="00000000" w:rsidDel="00000000" w:rsidP="00000000" w:rsidRDefault="00000000" w:rsidRPr="00000000" w14:paraId="00000047">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Katz, J. and Rosenbloom, B.N. (2015) ‘The Golden Anniversary of Melzack and Wall’S Gate Control Theory of Pain: Celebrating 50 Years of Pain Research and Management’, </w:t>
      </w:r>
      <w:r w:rsidDel="00000000" w:rsidR="00000000" w:rsidRPr="00000000">
        <w:rPr>
          <w:rFonts w:ascii="Times New Roman" w:cs="Times New Roman" w:eastAsia="Times New Roman" w:hAnsi="Times New Roman"/>
          <w:i w:val="1"/>
          <w:sz w:val="24"/>
          <w:szCs w:val="24"/>
          <w:rtl w:val="0"/>
        </w:rPr>
        <w:t xml:space="preserve">Pain Research and Management</w:t>
      </w:r>
      <w:r w:rsidDel="00000000" w:rsidR="00000000" w:rsidRPr="00000000">
        <w:rPr>
          <w:rFonts w:ascii="Times New Roman" w:cs="Times New Roman" w:eastAsia="Times New Roman" w:hAnsi="Times New Roman"/>
          <w:sz w:val="24"/>
          <w:szCs w:val="24"/>
          <w:rtl w:val="0"/>
        </w:rPr>
        <w:t xml:space="preserve">, 20(6), pp. 285–286. Available at: https://doi.org/10.1155/2015/865487.</w:t>
      </w:r>
    </w:p>
    <w:p w:rsidR="00000000" w:rsidDel="00000000" w:rsidP="00000000" w:rsidRDefault="00000000" w:rsidRPr="00000000" w14:paraId="00000048">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Khan, A.J.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‘EFFECTIVENESS OF ULTRASOUND THERAPY AND INTERFERENTIAL THERAPY IN REDUCING PAIN AND IMPROVING THE QUALITY OF LIFE IN CARPAL TUNNEL SYNDROME PATIENTS’, </w:t>
      </w:r>
      <w:r w:rsidDel="00000000" w:rsidR="00000000" w:rsidRPr="00000000">
        <w:rPr>
          <w:rFonts w:ascii="Times New Roman" w:cs="Times New Roman" w:eastAsia="Times New Roman" w:hAnsi="Times New Roman"/>
          <w:i w:val="1"/>
          <w:sz w:val="24"/>
          <w:szCs w:val="24"/>
          <w:rtl w:val="0"/>
        </w:rPr>
        <w:t xml:space="preserve">Insights-Journal of Health and Rehabilitation </w:t>
      </w:r>
      <w:r w:rsidDel="00000000" w:rsidR="00000000" w:rsidRPr="00000000">
        <w:rPr>
          <w:rFonts w:ascii="Times New Roman" w:cs="Times New Roman" w:eastAsia="Times New Roman" w:hAnsi="Times New Roman"/>
          <w:sz w:val="24"/>
          <w:szCs w:val="24"/>
          <w:rtl w:val="0"/>
        </w:rPr>
        <w:t xml:space="preserve">, 2(2 (Health &amp; Rehab)), pp. 490–498. Available at: https://doi.org/10.71000/90sj3820.</w:t>
      </w:r>
    </w:p>
    <w:p w:rsidR="00000000" w:rsidDel="00000000" w:rsidP="00000000" w:rsidRDefault="00000000" w:rsidRPr="00000000" w14:paraId="00000049">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Khiyami, A., Almalki, R.S. and Khayame, N. (2023) ‘A review of interferential therapy application in sport physical therapy’, </w:t>
      </w:r>
      <w:r w:rsidDel="00000000" w:rsidR="00000000" w:rsidRPr="00000000">
        <w:rPr>
          <w:rFonts w:ascii="Times New Roman" w:cs="Times New Roman" w:eastAsia="Times New Roman" w:hAnsi="Times New Roman"/>
          <w:i w:val="1"/>
          <w:sz w:val="24"/>
          <w:szCs w:val="24"/>
          <w:rtl w:val="0"/>
        </w:rPr>
        <w:t xml:space="preserve">Saudi Journal of Sports Medicine</w:t>
      </w:r>
      <w:r w:rsidDel="00000000" w:rsidR="00000000" w:rsidRPr="00000000">
        <w:rPr>
          <w:rFonts w:ascii="Times New Roman" w:cs="Times New Roman" w:eastAsia="Times New Roman" w:hAnsi="Times New Roman"/>
          <w:sz w:val="24"/>
          <w:szCs w:val="24"/>
          <w:rtl w:val="0"/>
        </w:rPr>
        <w:t xml:space="preserve">, 23(1), p. 10. Available at: https://doi.org/10.4103/sjsm.sjsm_4_23.</w:t>
      </w:r>
    </w:p>
    <w:p w:rsidR="00000000" w:rsidDel="00000000" w:rsidP="00000000" w:rsidRDefault="00000000" w:rsidRPr="00000000" w14:paraId="0000004A">
      <w:pPr>
        <w:spacing w:after="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None Nalini K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‘Comparison of Effectiveness of Interferential Therapy and Transcutaneous Electrical Nerve Stimulation in Construction Workers having Cervical Spondylosis Using McGill Pain Questionnaire’, </w:t>
      </w:r>
      <w:r w:rsidDel="00000000" w:rsidR="00000000" w:rsidRPr="00000000">
        <w:rPr>
          <w:rFonts w:ascii="Times New Roman" w:cs="Times New Roman" w:eastAsia="Times New Roman" w:hAnsi="Times New Roman"/>
          <w:i w:val="1"/>
          <w:sz w:val="24"/>
          <w:szCs w:val="24"/>
          <w:rtl w:val="0"/>
        </w:rPr>
        <w:t xml:space="preserve">Indian Journal of Physiotherapy and </w:t>
      </w:r>
    </w:p>
    <w:p w:rsidR="00000000" w:rsidDel="00000000" w:rsidP="00000000" w:rsidRDefault="00000000" w:rsidRPr="00000000" w14:paraId="0000004B">
      <w:pPr>
        <w:spacing w:after="240" w:line="360" w:lineRule="auto"/>
        <w:jc w:val="right"/>
        <w:rPr>
          <w:sz w:val="28"/>
          <w:szCs w:val="28"/>
        </w:rPr>
      </w:pPr>
      <w:r w:rsidDel="00000000" w:rsidR="00000000" w:rsidRPr="00000000">
        <w:rPr>
          <w:sz w:val="28"/>
          <w:szCs w:val="28"/>
          <w:rtl w:val="0"/>
        </w:rPr>
        <w:t xml:space="preserve">8</w:t>
      </w:r>
    </w:p>
    <w:p w:rsidR="00000000" w:rsidDel="00000000" w:rsidP="00000000" w:rsidRDefault="00000000" w:rsidRPr="00000000" w14:paraId="0000004C">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Occupational Therapy—An International Journal</w:t>
      </w:r>
      <w:r w:rsidDel="00000000" w:rsidR="00000000" w:rsidRPr="00000000">
        <w:rPr>
          <w:rFonts w:ascii="Times New Roman" w:cs="Times New Roman" w:eastAsia="Times New Roman" w:hAnsi="Times New Roman"/>
          <w:sz w:val="24"/>
          <w:szCs w:val="24"/>
          <w:rtl w:val="0"/>
        </w:rPr>
        <w:t xml:space="preserve">, 18, pp. 640–645. Available at: https://doi.org/10.37506/vxt11y18.</w:t>
      </w:r>
    </w:p>
    <w:p w:rsidR="00000000" w:rsidDel="00000000" w:rsidP="00000000" w:rsidRDefault="00000000" w:rsidRPr="00000000" w14:paraId="0000004D">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Rampazo, É.P. and Liebano, R.E. (2022) ‘Analgesic Effects of Interferential Current Therapy: A Narrative Review’, </w:t>
      </w:r>
      <w:r w:rsidDel="00000000" w:rsidR="00000000" w:rsidRPr="00000000">
        <w:rPr>
          <w:rFonts w:ascii="Times New Roman" w:cs="Times New Roman" w:eastAsia="Times New Roman" w:hAnsi="Times New Roman"/>
          <w:i w:val="1"/>
          <w:sz w:val="24"/>
          <w:szCs w:val="24"/>
          <w:rtl w:val="0"/>
        </w:rPr>
        <w:t xml:space="preserve">Medicina</w:t>
      </w:r>
      <w:r w:rsidDel="00000000" w:rsidR="00000000" w:rsidRPr="00000000">
        <w:rPr>
          <w:rFonts w:ascii="Times New Roman" w:cs="Times New Roman" w:eastAsia="Times New Roman" w:hAnsi="Times New Roman"/>
          <w:sz w:val="24"/>
          <w:szCs w:val="24"/>
          <w:rtl w:val="0"/>
        </w:rPr>
        <w:t xml:space="preserve">, 58(1), p. 141. Available at: https://doi.org/10.3390/medicina58010141.</w:t>
      </w:r>
    </w:p>
    <w:p w:rsidR="00000000" w:rsidDel="00000000" w:rsidP="00000000" w:rsidRDefault="00000000" w:rsidRPr="00000000" w14:paraId="0000004E">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Resende, L.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(2017) ‘Meta-analysis of transcutaneous electrical nerve stimulation for relief of spinal pain’, </w:t>
      </w:r>
      <w:r w:rsidDel="00000000" w:rsidR="00000000" w:rsidRPr="00000000">
        <w:rPr>
          <w:rFonts w:ascii="Times New Roman" w:cs="Times New Roman" w:eastAsia="Times New Roman" w:hAnsi="Times New Roman"/>
          <w:i w:val="1"/>
          <w:sz w:val="24"/>
          <w:szCs w:val="24"/>
          <w:rtl w:val="0"/>
        </w:rPr>
        <w:t xml:space="preserve">European Journal of Pain</w:t>
      </w:r>
      <w:r w:rsidDel="00000000" w:rsidR="00000000" w:rsidRPr="00000000">
        <w:rPr>
          <w:rFonts w:ascii="Times New Roman" w:cs="Times New Roman" w:eastAsia="Times New Roman" w:hAnsi="Times New Roman"/>
          <w:sz w:val="24"/>
          <w:szCs w:val="24"/>
          <w:rtl w:val="0"/>
        </w:rPr>
        <w:t xml:space="preserve">, 22(4), pp. 663–678. Available at: https://doi.org/10.1002/ejp.1168.</w:t>
      </w:r>
    </w:p>
    <w:p w:rsidR="00000000" w:rsidDel="00000000" w:rsidP="00000000" w:rsidRDefault="00000000" w:rsidRPr="00000000" w14:paraId="0000004F">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 S.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‘Comparison and Evaluation of Interferential Current Therapy and Transcutaneous Electrical Nerve Stimulation in Temporomandibular Joint Disorders: A Prospective Interventional Study’. Available at: https://doi.org/10.21203/rs.3.rs-5290367/v1.</w:t>
      </w:r>
    </w:p>
    <w:p w:rsidR="00000000" w:rsidDel="00000000" w:rsidP="00000000" w:rsidRDefault="00000000" w:rsidRPr="00000000" w14:paraId="00000050">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Srungarapu, Y.R. (2024) ‘An Overview of Electrical Nerve Stimulation via Transdermal Application’, </w:t>
      </w:r>
      <w:r w:rsidDel="00000000" w:rsidR="00000000" w:rsidRPr="00000000">
        <w:rPr>
          <w:rFonts w:ascii="Times New Roman" w:cs="Times New Roman" w:eastAsia="Times New Roman" w:hAnsi="Times New Roman"/>
          <w:i w:val="1"/>
          <w:sz w:val="24"/>
          <w:szCs w:val="24"/>
          <w:rtl w:val="0"/>
        </w:rPr>
        <w:t xml:space="preserve">UPI Journal of Pharmaceutical, Medical and Health Sciences</w:t>
      </w:r>
      <w:r w:rsidDel="00000000" w:rsidR="00000000" w:rsidRPr="00000000">
        <w:rPr>
          <w:rFonts w:ascii="Times New Roman" w:cs="Times New Roman" w:eastAsia="Times New Roman" w:hAnsi="Times New Roman"/>
          <w:sz w:val="24"/>
          <w:szCs w:val="24"/>
          <w:rtl w:val="0"/>
        </w:rPr>
        <w:t xml:space="preserve">, 7(2), pp. 11–15. Available at: </w:t>
      </w:r>
      <w:r w:rsidDel="00000000" w:rsidR="00000000" w:rsidRPr="00000000">
        <w:rPr>
          <w:rFonts w:ascii="Times New Roman" w:cs="Times New Roman" w:eastAsia="Times New Roman" w:hAnsi="Times New Roman"/>
          <w:sz w:val="24"/>
          <w:szCs w:val="24"/>
          <w:rtl w:val="0"/>
        </w:rPr>
        <w:t xml:space="preserve">https://doi.org/10.37022/jpmhs.v7i2.110</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51">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Tella, B.A., Oghumu, S.N. and Gbiri, C.A.O. (2021) ‘Efficacy of Transcutaneous Electrical Nerve Stimulation and Interferential Current on Tactile Acuity of Individuals With Nonspecific Chronic Low Back Pain’, </w:t>
      </w:r>
      <w:r w:rsidDel="00000000" w:rsidR="00000000" w:rsidRPr="00000000">
        <w:rPr>
          <w:rFonts w:ascii="Times New Roman" w:cs="Times New Roman" w:eastAsia="Times New Roman" w:hAnsi="Times New Roman"/>
          <w:i w:val="1"/>
          <w:sz w:val="24"/>
          <w:szCs w:val="24"/>
          <w:rtl w:val="0"/>
        </w:rPr>
        <w:t xml:space="preserve">Neuromodulation: Technology at the Neural Interface</w:t>
      </w:r>
      <w:r w:rsidDel="00000000" w:rsidR="00000000" w:rsidRPr="00000000">
        <w:rPr>
          <w:rFonts w:ascii="Times New Roman" w:cs="Times New Roman" w:eastAsia="Times New Roman" w:hAnsi="Times New Roman"/>
          <w:sz w:val="24"/>
          <w:szCs w:val="24"/>
          <w:rtl w:val="0"/>
        </w:rPr>
        <w:t xml:space="preserve">, 25(8). Available at: https://doi.org/10.1111/ner.13522.</w:t>
      </w:r>
    </w:p>
    <w:p w:rsidR="00000000" w:rsidDel="00000000" w:rsidP="00000000" w:rsidRDefault="00000000" w:rsidRPr="00000000" w14:paraId="00000052">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Theologou, S., Trevlaki, E. and Trevlakis, E. (2022) ‘Effectiveness of Interferential Current for the Treatment of Chronic Low Back Pain’, </w:t>
      </w:r>
      <w:r w:rsidDel="00000000" w:rsidR="00000000" w:rsidRPr="00000000">
        <w:rPr>
          <w:rFonts w:ascii="Times New Roman" w:cs="Times New Roman" w:eastAsia="Times New Roman" w:hAnsi="Times New Roman"/>
          <w:i w:val="1"/>
          <w:sz w:val="24"/>
          <w:szCs w:val="24"/>
          <w:rtl w:val="0"/>
        </w:rPr>
        <w:t xml:space="preserve">European Journal of Medical and Health Sciences</w:t>
      </w:r>
      <w:r w:rsidDel="00000000" w:rsidR="00000000" w:rsidRPr="00000000">
        <w:rPr>
          <w:rFonts w:ascii="Times New Roman" w:cs="Times New Roman" w:eastAsia="Times New Roman" w:hAnsi="Times New Roman"/>
          <w:sz w:val="24"/>
          <w:szCs w:val="24"/>
          <w:rtl w:val="0"/>
        </w:rPr>
        <w:t xml:space="preserve">, 4(6), pp. 113–118. Available at: https://doi.org/10.24018/ejmed.2022.4.6.1609.</w:t>
      </w:r>
    </w:p>
    <w:p w:rsidR="00000000" w:rsidDel="00000000" w:rsidP="00000000" w:rsidRDefault="00000000" w:rsidRPr="00000000" w14:paraId="00000053">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Zubair, A.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‘Efficacy of Muscle Energy Technique alone and in combination with Interferential Therapy for the Treatment of Non-specific Low Back Pain’, </w:t>
      </w:r>
      <w:r w:rsidDel="00000000" w:rsidR="00000000" w:rsidRPr="00000000">
        <w:rPr>
          <w:rFonts w:ascii="Times New Roman" w:cs="Times New Roman" w:eastAsia="Times New Roman" w:hAnsi="Times New Roman"/>
          <w:i w:val="1"/>
          <w:sz w:val="24"/>
          <w:szCs w:val="24"/>
          <w:rtl w:val="0"/>
        </w:rPr>
        <w:t xml:space="preserve">Pakistan Journal of Health Sciences</w:t>
      </w:r>
      <w:r w:rsidDel="00000000" w:rsidR="00000000" w:rsidRPr="00000000">
        <w:rPr>
          <w:rFonts w:ascii="Times New Roman" w:cs="Times New Roman" w:eastAsia="Times New Roman" w:hAnsi="Times New Roman"/>
          <w:sz w:val="24"/>
          <w:szCs w:val="24"/>
          <w:rtl w:val="0"/>
        </w:rPr>
        <w:t xml:space="preserve">, 4(10), pp. 140–144. Available at: https://doi.org/10.54393/pjhs.v4i10.1122.</w:t>
      </w:r>
    </w:p>
    <w:p w:rsidR="00000000" w:rsidDel="00000000" w:rsidP="00000000" w:rsidRDefault="00000000" w:rsidRPr="00000000" w14:paraId="00000054">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360" w:lineRule="auto"/>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