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D7F" w:rsidRPr="00B62D7F" w:rsidRDefault="00B62D7F" w:rsidP="00B62D7F">
      <w:pPr>
        <w:spacing w:line="257" w:lineRule="auto"/>
        <w:rPr>
          <w:rFonts w:ascii="Calibri" w:eastAsia="Calibri" w:hAnsi="Calibri" w:cs="Calibri"/>
          <w:b/>
          <w:bCs/>
          <w:sz w:val="48"/>
          <w:szCs w:val="48"/>
          <w:lang w:val="en-US"/>
        </w:rPr>
      </w:pPr>
      <w:r w:rsidRPr="00B62D7F">
        <w:rPr>
          <w:rFonts w:ascii="Calibri" w:eastAsia="Calibri" w:hAnsi="Calibri" w:cs="Calibri"/>
          <w:b/>
          <w:bCs/>
          <w:sz w:val="48"/>
          <w:szCs w:val="48"/>
          <w:lang w:val="en-US"/>
        </w:rPr>
        <w:t xml:space="preserve"> Student Name: Sharmin Akter Miah</w:t>
      </w:r>
    </w:p>
    <w:p w:rsidR="00B62D7F" w:rsidRPr="00B62D7F" w:rsidRDefault="00B62D7F" w:rsidP="00B62D7F">
      <w:pPr>
        <w:spacing w:line="257" w:lineRule="auto"/>
        <w:rPr>
          <w:rFonts w:ascii="Calibri" w:eastAsia="Calibri" w:hAnsi="Calibri" w:cs="Calibri"/>
          <w:b/>
          <w:bCs/>
          <w:sz w:val="48"/>
          <w:szCs w:val="48"/>
          <w:lang w:val="en-US"/>
        </w:rPr>
      </w:pPr>
      <w:r w:rsidRPr="00B62D7F">
        <w:rPr>
          <w:rFonts w:ascii="Calibri" w:eastAsia="Calibri" w:hAnsi="Calibri" w:cs="Calibri"/>
          <w:b/>
          <w:bCs/>
          <w:sz w:val="48"/>
          <w:szCs w:val="48"/>
          <w:lang w:val="en-US"/>
        </w:rPr>
        <w:t xml:space="preserve"> Module name:Sustainable Hospitality and Turism (BMIH5006)</w:t>
      </w:r>
    </w:p>
    <w:p w:rsidR="00B62D7F" w:rsidRPr="00B62D7F" w:rsidRDefault="00B62D7F" w:rsidP="00B62D7F">
      <w:pPr>
        <w:spacing w:line="257" w:lineRule="auto"/>
        <w:rPr>
          <w:rFonts w:ascii="Calibri" w:eastAsia="Calibri" w:hAnsi="Calibri" w:cs="Calibri"/>
          <w:b/>
          <w:bCs/>
          <w:sz w:val="48"/>
          <w:szCs w:val="48"/>
          <w:lang w:val="en-US"/>
        </w:rPr>
      </w:pPr>
      <w:r w:rsidRPr="00B62D7F">
        <w:rPr>
          <w:rFonts w:ascii="Calibri" w:eastAsia="Calibri" w:hAnsi="Calibri" w:cs="Calibri"/>
          <w:b/>
          <w:bCs/>
          <w:sz w:val="48"/>
          <w:szCs w:val="48"/>
          <w:lang w:val="en-US"/>
        </w:rPr>
        <w:t xml:space="preserve"> Name of lecturer: Lisa Marie Bassler</w:t>
      </w:r>
    </w:p>
    <w:p w:rsidR="00B62D7F" w:rsidRPr="00B62D7F" w:rsidRDefault="00B62D7F" w:rsidP="00B62D7F">
      <w:pPr>
        <w:spacing w:line="257" w:lineRule="auto"/>
        <w:rPr>
          <w:rFonts w:ascii="Calibri" w:eastAsia="Calibri" w:hAnsi="Calibri" w:cs="Calibri"/>
          <w:b/>
          <w:bCs/>
          <w:sz w:val="40"/>
          <w:szCs w:val="40"/>
          <w:lang w:val="en-US"/>
        </w:rPr>
      </w:pPr>
      <w:r w:rsidRPr="00B62D7F">
        <w:rPr>
          <w:rFonts w:ascii="Calibri" w:eastAsia="Calibri" w:hAnsi="Calibri" w:cs="Calibri"/>
          <w:b/>
          <w:bCs/>
          <w:sz w:val="48"/>
          <w:szCs w:val="48"/>
          <w:lang w:val="en-US"/>
        </w:rPr>
        <w:t xml:space="preserve"> </w:t>
      </w:r>
      <w:r w:rsidRPr="00B62D7F">
        <w:rPr>
          <w:rFonts w:ascii="Calibri" w:eastAsia="Calibri" w:hAnsi="Calibri" w:cs="Calibri"/>
          <w:b/>
          <w:bCs/>
          <w:sz w:val="48"/>
          <w:szCs w:val="48"/>
        </w:rPr>
        <w:t>Student number: 2209262</w:t>
      </w:r>
    </w:p>
    <w:p w:rsidR="00B62D7F" w:rsidRDefault="00B62D7F" w:rsidP="00B62D7F"/>
    <w:p w:rsidR="00B62D7F" w:rsidRDefault="00B62D7F" w:rsidP="00B62D7F"/>
    <w:p w:rsidR="00B62D7F" w:rsidRPr="00B62D7F" w:rsidRDefault="00B62D7F" w:rsidP="00B62D7F"/>
    <w:p w:rsidR="00B62D7F" w:rsidRDefault="00B62D7F">
      <w:pPr>
        <w:pStyle w:val="Title"/>
        <w:jc w:val="center"/>
      </w:pPr>
    </w:p>
    <w:p w:rsidR="00B62D7F" w:rsidRDefault="00B62D7F">
      <w:pPr>
        <w:pStyle w:val="Title"/>
        <w:jc w:val="center"/>
      </w:pPr>
    </w:p>
    <w:p w:rsidR="00B62D7F" w:rsidRDefault="00B62D7F">
      <w:pPr>
        <w:pStyle w:val="Title"/>
        <w:jc w:val="center"/>
      </w:pPr>
    </w:p>
    <w:p w:rsidR="00B62D7F" w:rsidRDefault="00B62D7F">
      <w:pPr>
        <w:pStyle w:val="Title"/>
        <w:jc w:val="center"/>
      </w:pPr>
    </w:p>
    <w:p w:rsidR="00B62D7F" w:rsidRDefault="00B62D7F">
      <w:pPr>
        <w:pStyle w:val="Title"/>
        <w:jc w:val="center"/>
      </w:pPr>
    </w:p>
    <w:p w:rsidR="00B62D7F" w:rsidRDefault="00B62D7F">
      <w:pPr>
        <w:pStyle w:val="Title"/>
        <w:jc w:val="center"/>
      </w:pPr>
    </w:p>
    <w:p w:rsidR="00972536" w:rsidRDefault="00972536">
      <w:pPr>
        <w:pStyle w:val="Title"/>
        <w:jc w:val="center"/>
      </w:pPr>
    </w:p>
    <w:p w:rsidR="00910DDA" w:rsidRDefault="005C54E0">
      <w:pPr>
        <w:pStyle w:val="Title"/>
        <w:jc w:val="center"/>
      </w:pPr>
      <w:bookmarkStart w:id="0" w:name="_GoBack"/>
      <w:bookmarkEnd w:id="0"/>
      <w:r>
        <w:lastRenderedPageBreak/>
        <w:t>Embracing Environmental Sustainability:</w:t>
      </w:r>
    </w:p>
    <w:p w:rsidR="00910DDA" w:rsidRDefault="005C54E0">
      <w:pPr>
        <w:pStyle w:val="Title"/>
        <w:jc w:val="center"/>
      </w:pPr>
      <w:r>
        <w:t>A Strategic Roadmap for the Hospitality Industry</w:t>
      </w:r>
    </w:p>
    <w:p w:rsidR="00910DDA" w:rsidRDefault="005C54E0">
      <w:pPr>
        <w:spacing w:line="259" w:lineRule="auto"/>
        <w:jc w:val="left"/>
        <w:rPr>
          <w:sz w:val="56"/>
          <w:szCs w:val="56"/>
        </w:rPr>
      </w:pPr>
      <w:r>
        <w:br w:type="page"/>
      </w:r>
    </w:p>
    <w:p w:rsidR="00910DDA" w:rsidRDefault="005C54E0">
      <w:pPr>
        <w:pStyle w:val="Heading1"/>
      </w:pPr>
      <w:bookmarkStart w:id="1" w:name="_gjdgxs" w:colFirst="0" w:colLast="0"/>
      <w:bookmarkEnd w:id="1"/>
      <w:r>
        <w:lastRenderedPageBreak/>
        <w:t>Executive Summary</w:t>
      </w:r>
    </w:p>
    <w:p w:rsidR="00910DDA" w:rsidRDefault="005C54E0">
      <w:r>
        <w:t>The worldwide hotel business is quickly adopting environmental sustainability to suit customer demand for ecologically responsible tourism. This study examines difficulties and opportunities for hotels implementing sustainable practices. The key findings imply that top eco-certifications like the Green major demand tight energy and water conservation, waste management, environmental policies, and staff training. However, reduced expenses, operational efficiency, brand reputation, and stringent regulation compliance surpass the initial investment expenditures.</w:t>
      </w:r>
    </w:p>
    <w:p w:rsidR="00910DDA" w:rsidRDefault="005C54E0">
      <w:r>
        <w:t>Greenwashing concerns, high upfront costs, complicated operational changes, stakeholder resistance, and difficulty guaranteeing sustainability program and reporting uniformity are major challenges to sustainable adoption. To overcome these challenges, innovative financing methods, careful stakeholder involvement, sector-wide cooperation to set benchmarks, and cutting-edge technologies like IoT, AI, and AR/VR must be adopted.</w:t>
      </w:r>
    </w:p>
    <w:p w:rsidR="00910DDA" w:rsidRDefault="005C54E0">
      <w:r>
        <w:t>Political incentives, environmental partnerships, and circular economy principles will influence sustainable hospitality. Since 87% of millennials consider environmental restrictions before booking (Deloitte, 2022), hotels that focus on sustainability may have an advantage.</w:t>
      </w:r>
    </w:p>
    <w:p w:rsidR="00910DDA" w:rsidRDefault="005C54E0">
      <w:r>
        <w:t>Sustainable tourism is a long-term trend. In an environmentally conscious market, hotels must intentionally employ sustainable practises to maximise revenue, comply with legislation, boost brand perception, and assure long-term viability.</w:t>
      </w:r>
    </w:p>
    <w:p w:rsidR="00910DDA" w:rsidRDefault="005C54E0">
      <w:pPr>
        <w:spacing w:line="259" w:lineRule="auto"/>
        <w:jc w:val="left"/>
      </w:pPr>
      <w:r>
        <w:br w:type="page"/>
      </w:r>
    </w:p>
    <w:p w:rsidR="00910DDA" w:rsidRDefault="005C54E0">
      <w:pPr>
        <w:keepNext/>
        <w:keepLines/>
        <w:pBdr>
          <w:top w:val="nil"/>
          <w:left w:val="nil"/>
          <w:bottom w:val="nil"/>
          <w:right w:val="nil"/>
          <w:between w:val="nil"/>
        </w:pBdr>
        <w:spacing w:before="240" w:after="0" w:line="259" w:lineRule="auto"/>
        <w:jc w:val="left"/>
        <w:rPr>
          <w:rFonts w:ascii="Calibri" w:eastAsia="Calibri" w:hAnsi="Calibri" w:cs="Calibri"/>
          <w:color w:val="2F5496"/>
          <w:sz w:val="32"/>
          <w:szCs w:val="32"/>
        </w:rPr>
      </w:pPr>
      <w:r>
        <w:rPr>
          <w:rFonts w:ascii="Calibri" w:eastAsia="Calibri" w:hAnsi="Calibri" w:cs="Calibri"/>
          <w:color w:val="2F5496"/>
          <w:sz w:val="32"/>
          <w:szCs w:val="32"/>
        </w:rPr>
        <w:lastRenderedPageBreak/>
        <w:t>Table of Contents</w:t>
      </w:r>
    </w:p>
    <w:sdt>
      <w:sdtPr>
        <w:id w:val="-155382055"/>
        <w:docPartObj>
          <w:docPartGallery w:val="Table of Contents"/>
          <w:docPartUnique/>
        </w:docPartObj>
      </w:sdtPr>
      <w:sdtEndPr/>
      <w:sdtContent>
        <w:p w:rsidR="00910DDA" w:rsidRDefault="005C54E0">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gjdgxs">
            <w:r>
              <w:rPr>
                <w:color w:val="000000"/>
              </w:rPr>
              <w:t>Executive Summary</w:t>
            </w:r>
            <w:r>
              <w:rPr>
                <w:color w:val="000000"/>
              </w:rPr>
              <w:tab/>
              <w:t>1</w:t>
            </w:r>
          </w:hyperlink>
        </w:p>
        <w:p w:rsidR="00910DDA" w:rsidRDefault="00F63C4D">
          <w:pPr>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hyperlink w:anchor="_30j0zll">
            <w:r w:rsidR="005C54E0">
              <w:rPr>
                <w:color w:val="000000"/>
              </w:rPr>
              <w:t>1.</w:t>
            </w:r>
          </w:hyperlink>
          <w:hyperlink w:anchor="_30j0zll">
            <w:r w:rsidR="005C54E0">
              <w:rPr>
                <w:rFonts w:ascii="Calibri" w:eastAsia="Calibri" w:hAnsi="Calibri" w:cs="Calibri"/>
                <w:color w:val="000000"/>
                <w:sz w:val="22"/>
                <w:szCs w:val="22"/>
              </w:rPr>
              <w:tab/>
            </w:r>
          </w:hyperlink>
          <w:r w:rsidR="005C54E0">
            <w:fldChar w:fldCharType="begin"/>
          </w:r>
          <w:r w:rsidR="005C54E0">
            <w:instrText xml:space="preserve"> PAGEREF _30j0zll \h </w:instrText>
          </w:r>
          <w:r w:rsidR="005C54E0">
            <w:fldChar w:fldCharType="separate"/>
          </w:r>
          <w:r w:rsidR="005C54E0">
            <w:rPr>
              <w:color w:val="000000"/>
            </w:rPr>
            <w:t>Introduction</w:t>
          </w:r>
          <w:r w:rsidR="005C54E0">
            <w:rPr>
              <w:color w:val="000000"/>
            </w:rPr>
            <w:tab/>
            <w:t>3</w:t>
          </w:r>
          <w:r w:rsidR="005C54E0">
            <w:fldChar w:fldCharType="end"/>
          </w:r>
        </w:p>
        <w:p w:rsidR="00910DDA" w:rsidRDefault="00F63C4D">
          <w:pPr>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hyperlink w:anchor="_1fob9te">
            <w:r w:rsidR="005C54E0">
              <w:rPr>
                <w:color w:val="000000"/>
              </w:rPr>
              <w:t>2.</w:t>
            </w:r>
          </w:hyperlink>
          <w:hyperlink w:anchor="_1fob9te">
            <w:r w:rsidR="005C54E0">
              <w:rPr>
                <w:rFonts w:ascii="Calibri" w:eastAsia="Calibri" w:hAnsi="Calibri" w:cs="Calibri"/>
                <w:color w:val="000000"/>
                <w:sz w:val="22"/>
                <w:szCs w:val="22"/>
              </w:rPr>
              <w:tab/>
            </w:r>
          </w:hyperlink>
          <w:r w:rsidR="005C54E0">
            <w:fldChar w:fldCharType="begin"/>
          </w:r>
          <w:r w:rsidR="005C54E0">
            <w:instrText xml:space="preserve"> PAGEREF _1fob9te \h </w:instrText>
          </w:r>
          <w:r w:rsidR="005C54E0">
            <w:fldChar w:fldCharType="separate"/>
          </w:r>
          <w:r w:rsidR="005C54E0">
            <w:rPr>
              <w:color w:val="000000"/>
            </w:rPr>
            <w:t>Main Body</w:t>
          </w:r>
          <w:r w:rsidR="005C54E0">
            <w:rPr>
              <w:color w:val="000000"/>
            </w:rPr>
            <w:tab/>
            <w:t>3</w:t>
          </w:r>
          <w:r w:rsidR="005C54E0">
            <w:fldChar w:fldCharType="end"/>
          </w:r>
        </w:p>
        <w:p w:rsidR="00910DDA" w:rsidRDefault="00F63C4D">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3znysh7">
            <w:r w:rsidR="005C54E0">
              <w:rPr>
                <w:color w:val="000000"/>
              </w:rPr>
              <w:t>2.1. Complying with Sustainable Accreditation</w:t>
            </w:r>
            <w:r w:rsidR="005C54E0">
              <w:rPr>
                <w:color w:val="000000"/>
              </w:rPr>
              <w:tab/>
              <w:t>3</w:t>
            </w:r>
          </w:hyperlink>
        </w:p>
        <w:p w:rsidR="00910DDA" w:rsidRDefault="00F63C4D">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2et92p0">
            <w:r w:rsidR="005C54E0">
              <w:rPr>
                <w:color w:val="000000"/>
              </w:rPr>
              <w:t>2.2. Benefits of Integrating Sustainability</w:t>
            </w:r>
            <w:r w:rsidR="005C54E0">
              <w:rPr>
                <w:color w:val="000000"/>
              </w:rPr>
              <w:tab/>
              <w:t>5</w:t>
            </w:r>
          </w:hyperlink>
        </w:p>
        <w:p w:rsidR="00910DDA" w:rsidRDefault="00F63C4D">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tyjcwt">
            <w:r w:rsidR="005C54E0">
              <w:rPr>
                <w:color w:val="000000"/>
              </w:rPr>
              <w:t>2.3. The Future of Eco-Friendly Hospitality</w:t>
            </w:r>
            <w:r w:rsidR="005C54E0">
              <w:rPr>
                <w:color w:val="000000"/>
              </w:rPr>
              <w:tab/>
              <w:t>6</w:t>
            </w:r>
          </w:hyperlink>
        </w:p>
        <w:p w:rsidR="00910DDA" w:rsidRDefault="00F63C4D">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3dy6vkm">
            <w:r w:rsidR="005C54E0">
              <w:rPr>
                <w:color w:val="000000"/>
              </w:rPr>
              <w:t>2.4. Barriers to sustainable practices</w:t>
            </w:r>
            <w:r w:rsidR="005C54E0">
              <w:rPr>
                <w:color w:val="000000"/>
              </w:rPr>
              <w:tab/>
              <w:t>8</w:t>
            </w:r>
          </w:hyperlink>
        </w:p>
        <w:p w:rsidR="00910DDA" w:rsidRDefault="00F63C4D">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1t3h5sf">
            <w:r w:rsidR="005C54E0">
              <w:rPr>
                <w:color w:val="000000"/>
              </w:rPr>
              <w:t>2.5. Government rules and acts</w:t>
            </w:r>
            <w:r w:rsidR="005C54E0">
              <w:rPr>
                <w:color w:val="000000"/>
              </w:rPr>
              <w:tab/>
              <w:t>10</w:t>
            </w:r>
          </w:hyperlink>
        </w:p>
        <w:p w:rsidR="00910DDA" w:rsidRDefault="00F63C4D">
          <w:pPr>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hyperlink w:anchor="_4d34og8">
            <w:r w:rsidR="005C54E0">
              <w:rPr>
                <w:color w:val="000000"/>
              </w:rPr>
              <w:t>3.</w:t>
            </w:r>
          </w:hyperlink>
          <w:hyperlink w:anchor="_4d34og8">
            <w:r w:rsidR="005C54E0">
              <w:rPr>
                <w:rFonts w:ascii="Calibri" w:eastAsia="Calibri" w:hAnsi="Calibri" w:cs="Calibri"/>
                <w:color w:val="000000"/>
                <w:sz w:val="22"/>
                <w:szCs w:val="22"/>
              </w:rPr>
              <w:tab/>
            </w:r>
          </w:hyperlink>
          <w:r w:rsidR="005C54E0">
            <w:fldChar w:fldCharType="begin"/>
          </w:r>
          <w:r w:rsidR="005C54E0">
            <w:instrText xml:space="preserve"> PAGEREF _4d34og8 \h </w:instrText>
          </w:r>
          <w:r w:rsidR="005C54E0">
            <w:fldChar w:fldCharType="separate"/>
          </w:r>
          <w:r w:rsidR="005C54E0">
            <w:rPr>
              <w:color w:val="000000"/>
            </w:rPr>
            <w:t>Conclusion</w:t>
          </w:r>
          <w:r w:rsidR="005C54E0">
            <w:rPr>
              <w:color w:val="000000"/>
            </w:rPr>
            <w:tab/>
            <w:t>11</w:t>
          </w:r>
          <w:r w:rsidR="005C54E0">
            <w:fldChar w:fldCharType="end"/>
          </w:r>
        </w:p>
        <w:p w:rsidR="00910DDA" w:rsidRDefault="00F63C4D">
          <w:pPr>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hyperlink w:anchor="_2s8eyo1">
            <w:r w:rsidR="005C54E0">
              <w:rPr>
                <w:color w:val="000000"/>
              </w:rPr>
              <w:t>4.</w:t>
            </w:r>
          </w:hyperlink>
          <w:hyperlink w:anchor="_2s8eyo1">
            <w:r w:rsidR="005C54E0">
              <w:rPr>
                <w:rFonts w:ascii="Calibri" w:eastAsia="Calibri" w:hAnsi="Calibri" w:cs="Calibri"/>
                <w:color w:val="000000"/>
                <w:sz w:val="22"/>
                <w:szCs w:val="22"/>
              </w:rPr>
              <w:tab/>
            </w:r>
          </w:hyperlink>
          <w:r w:rsidR="005C54E0">
            <w:fldChar w:fldCharType="begin"/>
          </w:r>
          <w:r w:rsidR="005C54E0">
            <w:instrText xml:space="preserve"> PAGEREF _2s8eyo1 \h </w:instrText>
          </w:r>
          <w:r w:rsidR="005C54E0">
            <w:fldChar w:fldCharType="separate"/>
          </w:r>
          <w:r w:rsidR="005C54E0">
            <w:rPr>
              <w:color w:val="000000"/>
            </w:rPr>
            <w:t>Recommendations</w:t>
          </w:r>
          <w:r w:rsidR="005C54E0">
            <w:rPr>
              <w:color w:val="000000"/>
            </w:rPr>
            <w:tab/>
            <w:t>11</w:t>
          </w:r>
          <w:r w:rsidR="005C54E0">
            <w:fldChar w:fldCharType="end"/>
          </w:r>
        </w:p>
        <w:p w:rsidR="00910DDA" w:rsidRDefault="00F63C4D">
          <w:pPr>
            <w:pBdr>
              <w:top w:val="nil"/>
              <w:left w:val="nil"/>
              <w:bottom w:val="nil"/>
              <w:right w:val="nil"/>
              <w:between w:val="nil"/>
            </w:pBdr>
            <w:tabs>
              <w:tab w:val="right" w:leader="dot" w:pos="9350"/>
            </w:tabs>
            <w:spacing w:after="100"/>
            <w:rPr>
              <w:rFonts w:ascii="Calibri" w:eastAsia="Calibri" w:hAnsi="Calibri" w:cs="Calibri"/>
              <w:color w:val="000000"/>
              <w:sz w:val="22"/>
              <w:szCs w:val="22"/>
            </w:rPr>
          </w:pPr>
          <w:hyperlink w:anchor="_17dp8vu">
            <w:r w:rsidR="005C54E0">
              <w:rPr>
                <w:color w:val="000000"/>
              </w:rPr>
              <w:t>References</w:t>
            </w:r>
            <w:r w:rsidR="005C54E0">
              <w:rPr>
                <w:color w:val="000000"/>
              </w:rPr>
              <w:tab/>
              <w:t>13</w:t>
            </w:r>
          </w:hyperlink>
        </w:p>
        <w:p w:rsidR="00910DDA" w:rsidRDefault="005C54E0">
          <w:r>
            <w:fldChar w:fldCharType="end"/>
          </w:r>
        </w:p>
      </w:sdtContent>
    </w:sdt>
    <w:p w:rsidR="00910DDA" w:rsidRDefault="00910DDA">
      <w:pPr>
        <w:pStyle w:val="Heading1"/>
      </w:pPr>
    </w:p>
    <w:p w:rsidR="00910DDA" w:rsidRDefault="005C54E0">
      <w:pPr>
        <w:spacing w:line="259" w:lineRule="auto"/>
        <w:jc w:val="left"/>
        <w:rPr>
          <w:b/>
          <w:sz w:val="32"/>
          <w:szCs w:val="32"/>
        </w:rPr>
      </w:pPr>
      <w:r>
        <w:br w:type="page"/>
      </w:r>
    </w:p>
    <w:p w:rsidR="00910DDA" w:rsidRDefault="005C54E0">
      <w:pPr>
        <w:pStyle w:val="Heading1"/>
        <w:numPr>
          <w:ilvl w:val="0"/>
          <w:numId w:val="1"/>
        </w:numPr>
      </w:pPr>
      <w:bookmarkStart w:id="2" w:name="_30j0zll" w:colFirst="0" w:colLast="0"/>
      <w:bookmarkEnd w:id="2"/>
      <w:r>
        <w:lastRenderedPageBreak/>
        <w:t>Introduction</w:t>
      </w:r>
    </w:p>
    <w:p w:rsidR="00910DDA" w:rsidRDefault="005C54E0">
      <w:r>
        <w:t>As hotels and resorts globally prioritise environmental sustainability, the hospitality industry is changing dramatically. Responsible and environmentally friendly tourism has grown in popularity as global awareness of human impact on the environment grows. Younger consumers are more environmentally conscious and actively seek sustainable hotels.</w:t>
      </w:r>
    </w:p>
    <w:p w:rsidR="00910DDA" w:rsidRDefault="005C54E0">
      <w:r>
        <w:t>As conditions change, more hotel and hospitality owners are realizing the importance of green initiatives and ethical business practices. Hotels may save money, preserve natural resources, reduce pollution, and improve operational efficiency by adopting green practices. Due to environmental awareness, hotels are pursuing sustainable accreditations like the Green Key. Hotels with these certifications follow stringent sustainability standards and reduce their environmental impact. Sustainability in the hotel industry is not a trend but a fundamental shift toward a more responsible and sustainable future. Hotels that implement sustainable practices will stand out in a competitive market and help conserve our planet's resources for future generations as demand for environmentally friendly stays rises (Bohdanowicz, 2006).</w:t>
      </w:r>
    </w:p>
    <w:p w:rsidR="00910DDA" w:rsidRDefault="005C54E0">
      <w:r>
        <w:t>This article analyses the challenges of integrating sustainability into hotel operations. It examines sustainable accrediting requirements, the pros and cons of this change, and the future of green hospitality. This article provides a detailed approach for hotels starting or improving sustainability. It will help them understand and overcome the challenges of responsible tourism while reaping the rewards.</w:t>
      </w:r>
    </w:p>
    <w:p w:rsidR="00910DDA" w:rsidRDefault="005C54E0">
      <w:pPr>
        <w:pStyle w:val="Heading1"/>
        <w:numPr>
          <w:ilvl w:val="0"/>
          <w:numId w:val="1"/>
        </w:numPr>
      </w:pPr>
      <w:bookmarkStart w:id="3" w:name="_1fob9te" w:colFirst="0" w:colLast="0"/>
      <w:bookmarkEnd w:id="3"/>
      <w:r>
        <w:t>Main Body</w:t>
      </w:r>
    </w:p>
    <w:p w:rsidR="00910DDA" w:rsidRDefault="005C54E0">
      <w:pPr>
        <w:pStyle w:val="Heading2"/>
      </w:pPr>
      <w:bookmarkStart w:id="4" w:name="_3znysh7" w:colFirst="0" w:colLast="0"/>
      <w:bookmarkEnd w:id="4"/>
      <w:r>
        <w:t>2.1. Complying with Sustainable Accreditation</w:t>
      </w:r>
    </w:p>
    <w:p w:rsidR="00910DDA" w:rsidRDefault="005C54E0">
      <w:pPr>
        <w:rPr>
          <w:b/>
        </w:rPr>
      </w:pPr>
      <w:r>
        <w:rPr>
          <w:b/>
        </w:rPr>
        <w:t xml:space="preserve">The Green Key Certification: </w:t>
      </w:r>
      <w:r>
        <w:t>Travel and tourism facilities worldwide respect the Foundation for Environmental Education's 1994 Green Key certification. Over 3200 hotels in 65 countries are certified by Green Key Global for their environmental and sustainability practices (Foundation for Environmental Education, 2023).</w:t>
      </w:r>
    </w:p>
    <w:p w:rsidR="00910DDA" w:rsidRDefault="00910DDA"/>
    <w:p w:rsidR="00910DDA" w:rsidRDefault="005C54E0">
      <w:r>
        <w:lastRenderedPageBreak/>
        <w:t>Hotels must meet high standards to receive sustainable accreditation. These might include energy and water saving, waste management, environmental legislation, and worker training (Green Key Global, 2023).</w:t>
      </w:r>
    </w:p>
    <w:p w:rsidR="00910DDA" w:rsidRDefault="005C54E0">
      <w:pPr>
        <w:rPr>
          <w:b/>
        </w:rPr>
      </w:pPr>
      <w:r>
        <w:rPr>
          <w:b/>
        </w:rPr>
        <w:t>Energy and water conservation methods</w:t>
      </w:r>
    </w:p>
    <w:p w:rsidR="00910DDA" w:rsidRDefault="005C54E0">
      <w:r>
        <w:t>Hotels must install energy-efficient lighting, appliances, and heating/cooling systems. Important water conservation measures include low-flow showerheads, faucet aerators, and greywater recycling systems (Bohdanowicz, 2005). These methods save the environment and make hotels money.</w:t>
      </w:r>
    </w:p>
    <w:p w:rsidR="00910DDA" w:rsidRDefault="005C54E0">
      <w:pPr>
        <w:rPr>
          <w:b/>
        </w:rPr>
      </w:pPr>
      <w:r>
        <w:rPr>
          <w:b/>
        </w:rPr>
        <w:t>Efficient Waste Management</w:t>
      </w:r>
    </w:p>
    <w:p w:rsidR="00910DDA" w:rsidRDefault="005C54E0">
      <w:r>
        <w:t>Eco-certification requires recycling, composting, and minimizing disposable plastics (Pirani and Arafat, 2016). Hotels can work with local recycling and trash management companies to ensure proper garbage disposal.</w:t>
      </w:r>
    </w:p>
    <w:p w:rsidR="00910DDA" w:rsidRDefault="005C54E0">
      <w:pPr>
        <w:rPr>
          <w:b/>
        </w:rPr>
      </w:pPr>
      <w:r>
        <w:rPr>
          <w:b/>
        </w:rPr>
        <w:t>Environmental Policies and Staff Training</w:t>
      </w:r>
    </w:p>
    <w:p w:rsidR="00910DDA" w:rsidRDefault="005C54E0">
      <w:r>
        <w:t>Environmental regulations and personnel training are crucial to sustainability and environmental protection. These policies govern how organizations must decrease their carbon footprint and promote sustainability. Staff training programs teach employees about these policies and give them the skills they need. To promote company-wide sustainability, hotels should have comprehensive environmental policies and teach staff on sustainable practices (Bohdanowicz, 2006). This includes training staff on energy and water conservation, garbage management, and visitor environmental awareness.</w:t>
      </w:r>
    </w:p>
    <w:p w:rsidR="00910DDA" w:rsidRDefault="005C54E0">
      <w:pPr>
        <w:rPr>
          <w:b/>
        </w:rPr>
      </w:pPr>
      <w:r>
        <w:rPr>
          <w:b/>
        </w:rPr>
        <w:t>Other notable eco-certifications:</w:t>
      </w:r>
    </w:p>
    <w:p w:rsidR="00910DDA" w:rsidRDefault="005C54E0">
      <w:pPr>
        <w:numPr>
          <w:ilvl w:val="0"/>
          <w:numId w:val="3"/>
        </w:numPr>
        <w:pBdr>
          <w:top w:val="nil"/>
          <w:left w:val="nil"/>
          <w:bottom w:val="nil"/>
          <w:right w:val="nil"/>
          <w:between w:val="nil"/>
        </w:pBdr>
        <w:spacing w:after="0"/>
      </w:pPr>
      <w:r>
        <w:rPr>
          <w:color w:val="000000"/>
        </w:rPr>
        <w:t>The 1987-founded EarthCheck (EC3 Global) is a leader in scientific benchmarking, certification, and consultancy services for the travel and tourism industry. Energy, water, waste, and society comprise their score system.</w:t>
      </w:r>
    </w:p>
    <w:p w:rsidR="00910DDA" w:rsidRDefault="005C54E0">
      <w:pPr>
        <w:numPr>
          <w:ilvl w:val="0"/>
          <w:numId w:val="3"/>
        </w:numPr>
        <w:pBdr>
          <w:top w:val="nil"/>
          <w:left w:val="nil"/>
          <w:bottom w:val="nil"/>
          <w:right w:val="nil"/>
          <w:between w:val="nil"/>
        </w:pBdr>
        <w:spacing w:after="0"/>
      </w:pPr>
      <w:r>
        <w:rPr>
          <w:color w:val="000000"/>
        </w:rPr>
        <w:t>Corporate social responsibility accreditation Travelife. Human rights, labour, and environmental sustainability are its standards. European favourite.</w:t>
      </w:r>
    </w:p>
    <w:p w:rsidR="00910DDA" w:rsidRDefault="005C54E0">
      <w:pPr>
        <w:numPr>
          <w:ilvl w:val="0"/>
          <w:numId w:val="3"/>
        </w:numPr>
        <w:pBdr>
          <w:top w:val="nil"/>
          <w:left w:val="nil"/>
          <w:bottom w:val="nil"/>
          <w:right w:val="nil"/>
          <w:between w:val="nil"/>
        </w:pBdr>
        <w:spacing w:after="0"/>
      </w:pPr>
      <w:r>
        <w:rPr>
          <w:color w:val="000000"/>
        </w:rPr>
        <w:t>Sustainable agriculture, forestry, and tourism are promoted by the Rainforest Alliance to protect biodiversity and strengthen local communities.</w:t>
      </w:r>
    </w:p>
    <w:p w:rsidR="00910DDA" w:rsidRDefault="005C54E0">
      <w:pPr>
        <w:numPr>
          <w:ilvl w:val="0"/>
          <w:numId w:val="3"/>
        </w:numPr>
        <w:pBdr>
          <w:top w:val="nil"/>
          <w:left w:val="nil"/>
          <w:bottom w:val="nil"/>
          <w:right w:val="nil"/>
          <w:between w:val="nil"/>
        </w:pBdr>
        <w:spacing w:after="0"/>
      </w:pPr>
      <w:r>
        <w:rPr>
          <w:color w:val="000000"/>
        </w:rPr>
        <w:lastRenderedPageBreak/>
        <w:t>Green Globe, a global tourism organization, offers sustainability certification, training, and marketing assistance.</w:t>
      </w:r>
    </w:p>
    <w:p w:rsidR="00910DDA" w:rsidRDefault="005C54E0">
      <w:pPr>
        <w:numPr>
          <w:ilvl w:val="0"/>
          <w:numId w:val="3"/>
        </w:numPr>
        <w:pBdr>
          <w:top w:val="nil"/>
          <w:left w:val="nil"/>
          <w:bottom w:val="nil"/>
          <w:right w:val="nil"/>
          <w:between w:val="nil"/>
        </w:pBdr>
      </w:pPr>
      <w:r>
        <w:rPr>
          <w:color w:val="000000"/>
        </w:rPr>
        <w:t>The US Green Building Council's LEED program benefits all structures. For hotels seeking net zero emissions, LEED Zero Carbon accreditation is crucial.</w:t>
      </w:r>
    </w:p>
    <w:p w:rsidR="00910DDA" w:rsidRDefault="005C54E0">
      <w:r>
        <w:t>Hotels can fully support their environmental claims with eco-certifications. These opportunities help companies satisfy regulations, enhance efficiency, and distinguish out as consumers become more environmentally concerned (Swallow, 2024).</w:t>
      </w:r>
    </w:p>
    <w:p w:rsidR="00910DDA" w:rsidRDefault="005C54E0">
      <w:pPr>
        <w:pStyle w:val="Heading2"/>
      </w:pPr>
      <w:bookmarkStart w:id="5" w:name="_2et92p0" w:colFirst="0" w:colLast="0"/>
      <w:bookmarkEnd w:id="5"/>
      <w:r>
        <w:t>2.2. Benefits of Integrating Sustainability</w:t>
      </w:r>
    </w:p>
    <w:p w:rsidR="00910DDA" w:rsidRDefault="005C54E0">
      <w:pPr>
        <w:rPr>
          <w:b/>
        </w:rPr>
      </w:pPr>
      <w:r>
        <w:rPr>
          <w:b/>
        </w:rPr>
        <w:t>Resource efficiency and cost reduction</w:t>
      </w:r>
    </w:p>
    <w:p w:rsidR="00910DDA" w:rsidRDefault="005C54E0">
      <w:r>
        <w:t>Sustainability improves hotel operations by conserving resources and cutting costs. Eco-friendly practices conserve energy, water, and raw materials, reducing environmental impact and operational costs (Mensah, 2006).</w:t>
      </w:r>
    </w:p>
    <w:p w:rsidR="00910DDA" w:rsidRDefault="005C54E0">
      <w:pPr>
        <w:rPr>
          <w:b/>
        </w:rPr>
      </w:pPr>
      <w:r>
        <w:rPr>
          <w:b/>
        </w:rPr>
        <w:t>Better operations and profits</w:t>
      </w:r>
    </w:p>
    <w:p w:rsidR="00910DDA" w:rsidRDefault="005C54E0">
      <w:r>
        <w:t>Sustainable practices optimise operations and reduce waste, increasing operational efficiency and profitability (Radwan et al., 2012). Installing energy-efficient devices can cut energy use and costs. Good waste management can reduce disposal expenses and earn money by encouraging recycling.</w:t>
      </w:r>
    </w:p>
    <w:p w:rsidR="00910DDA" w:rsidRDefault="005C54E0">
      <w:pPr>
        <w:rPr>
          <w:b/>
        </w:rPr>
      </w:pPr>
      <w:r>
        <w:rPr>
          <w:b/>
        </w:rPr>
        <w:t>Better Brand Reputation and Consumer Appeal</w:t>
      </w:r>
    </w:p>
    <w:p w:rsidR="00910DDA" w:rsidRDefault="005C54E0">
      <w:r>
        <w:t>Sustainable hotels can attract eco-conscious customers and boost their brand reputation (Han et al., 2011). Due to environmental consciousness, people are actively seeking eco-friendly accommodations. Sustainable hotels can edge over competitors.</w:t>
      </w:r>
    </w:p>
    <w:p w:rsidR="00910DDA" w:rsidRDefault="005C54E0">
      <w:pPr>
        <w:rPr>
          <w:b/>
        </w:rPr>
      </w:pPr>
      <w:r>
        <w:rPr>
          <w:b/>
        </w:rPr>
        <w:t>Regulation compliance and penalty avoidance</w:t>
      </w:r>
    </w:p>
    <w:p w:rsidR="00910DDA" w:rsidRDefault="005C54E0">
      <w:r>
        <w:t>Sustainable methods help hotels meet environmental regulations and avoid penalties (Filimonau et al., 2011). By adopting eco-friendly methods, hotels can stay competitive and avoid costly penalties or legal issues for violating environmental standards.</w:t>
      </w:r>
    </w:p>
    <w:p w:rsidR="00910DDA" w:rsidRDefault="005C54E0">
      <w:pPr>
        <w:rPr>
          <w:b/>
        </w:rPr>
      </w:pPr>
      <w:r>
        <w:rPr>
          <w:b/>
        </w:rPr>
        <w:t>Corporate Social Responsibility</w:t>
      </w:r>
    </w:p>
    <w:p w:rsidR="00910DDA" w:rsidRDefault="005C54E0">
      <w:r>
        <w:lastRenderedPageBreak/>
        <w:t>Corporate social responsibility (CSR) transcends environmental sustainability. A firm's consequences and moral obligations to its stakeholders—employees, communities, shareholders, and society—are considered. A complete corporate social responsibility program might encompass social and economic sustainability activities for hotels. Hotels may boost employee engagement, attract responsible investors and partners, and build a responsible brand by executing a thorough CSR program. A Hilton poll found that 33% of candidates rejected employment offers from organizations without a sustainability plan. In a world that is becoming more environmentally conscious, hotels can optimise expenses, reduce risks, gain competitive advantages in human resources, and improve their brand reputation by integrating sustainability into their CSR programs (Radwan et al., 2012).</w:t>
      </w:r>
    </w:p>
    <w:p w:rsidR="00910DDA" w:rsidRDefault="005C54E0">
      <w:pPr>
        <w:pStyle w:val="Heading2"/>
      </w:pPr>
      <w:bookmarkStart w:id="6" w:name="_tyjcwt" w:colFirst="0" w:colLast="0"/>
      <w:bookmarkEnd w:id="6"/>
      <w:r>
        <w:t>2.3. The Future of Eco-Friendly Hospitality</w:t>
      </w:r>
    </w:p>
    <w:p w:rsidR="00910DDA" w:rsidRDefault="005C54E0">
      <w:pPr>
        <w:rPr>
          <w:b/>
        </w:rPr>
      </w:pPr>
      <w:r>
        <w:rPr>
          <w:b/>
        </w:rPr>
        <w:t>Renewable energy and technology integration</w:t>
      </w:r>
    </w:p>
    <w:p w:rsidR="00910DDA" w:rsidRDefault="005C54E0">
      <w:r>
        <w:t>Sustainability is vital to the hotel and hospitality industry. Hotels must go green to stay competitive as consumers expect responsible travel. Advanced technologies and renewable energy sources are shaping environmentally friendly hotels. Hotels will gradually install sophisticated building automation systems to automatically adjust lighting, heating, and cooling to occupancy and environmental conditions, saving energy. Solar panels and wind turbines will help hotels reduce their carbon footprint and improve sustainability (Dalton et al., 2008).</w:t>
      </w:r>
    </w:p>
    <w:p w:rsidR="00910DDA" w:rsidRDefault="005C54E0">
      <w:pPr>
        <w:rPr>
          <w:b/>
        </w:rPr>
      </w:pPr>
      <w:r>
        <w:rPr>
          <w:b/>
        </w:rPr>
        <w:t>Waste reduction and Circular Economy principles</w:t>
      </w:r>
    </w:p>
    <w:p w:rsidR="00910DDA" w:rsidRDefault="005C54E0">
      <w:r>
        <w:t>Circular economy concepts are shaping environmentally responsible hospitality. This comprises reducing waste, reusing, and recycling to create a self-sustaining system (Schröder et al., 2020).</w:t>
      </w:r>
    </w:p>
    <w:p w:rsidR="00910DDA" w:rsidRDefault="005C54E0">
      <w:pPr>
        <w:rPr>
          <w:b/>
        </w:rPr>
      </w:pPr>
      <w:r>
        <w:rPr>
          <w:b/>
        </w:rPr>
        <w:t>Long-term tourism development partnerships</w:t>
      </w:r>
    </w:p>
    <w:p w:rsidR="00910DDA" w:rsidRDefault="005C54E0">
      <w:r>
        <w:t xml:space="preserve">Erkuş-Öztürk and Eraydin (2010) suggest forming coalitions between hotels, communities, and environmental organizations to promote sustainable tourism and reduce environmental impact. Hotels can use local resources and talents to embrace </w:t>
      </w:r>
      <w:r>
        <w:lastRenderedPageBreak/>
        <w:t>eco-friendly ways that meet local requirements and challenges. Environmental NGOs offer sustainability advice and conservation and education collaborations.</w:t>
      </w:r>
    </w:p>
    <w:p w:rsidR="00910DDA" w:rsidRDefault="005C54E0">
      <w:pPr>
        <w:rPr>
          <w:b/>
        </w:rPr>
      </w:pPr>
      <w:r>
        <w:rPr>
          <w:b/>
        </w:rPr>
        <w:t>Motivation and dynamic regulatory system changes</w:t>
      </w:r>
    </w:p>
    <w:p w:rsidR="00910DDA" w:rsidRDefault="005C54E0">
      <w:r>
        <w:t>Environmental constraints and incentives from governments and international agencies may force hotels to emphasise sustainability and adopt environmentally friendly practices, according to Filimonau et al. (2011). These operations could improve energy efficiency, waste management, and pollution control. Tax refunds, financial incentives, and eco-friendly accreditation may encourage hotels to invest in green operations and infrastructure. By quickly adjusting to regulatory changes and adopting eco-friendly practices, hotels may lead the market and avoid penalties.</w:t>
      </w:r>
    </w:p>
    <w:p w:rsidR="00910DDA" w:rsidRDefault="005C54E0">
      <w:pPr>
        <w:rPr>
          <w:b/>
        </w:rPr>
      </w:pPr>
      <w:r>
        <w:rPr>
          <w:b/>
        </w:rPr>
        <w:t>Tourist Expectations and Ecotourism</w:t>
      </w:r>
    </w:p>
    <w:p w:rsidR="00910DDA" w:rsidRDefault="005C54E0">
      <w:r>
        <w:t>More environmentally conscious hotel guests will expect sustainability to be a priority. This will influence their hotel bookings and the sector's future (Han et al., 2011). Younger consumers are more ecologically conscious and actively seek eco-friendly hotels. Hotels that ignore this trend may lose customers and competitiveness. Hotels must clearly communicate their sustainability efforts, environmentally friendly projects, and ecological footprint to meet guests' changing needs.</w:t>
      </w:r>
    </w:p>
    <w:p w:rsidR="00910DDA" w:rsidRDefault="005C54E0">
      <w:pPr>
        <w:rPr>
          <w:b/>
        </w:rPr>
      </w:pPr>
      <w:r>
        <w:rPr>
          <w:b/>
        </w:rPr>
        <w:t>Innovative Sustainable Hospitality Strategies</w:t>
      </w:r>
    </w:p>
    <w:p w:rsidR="00910DDA" w:rsidRDefault="005C54E0">
      <w:r>
        <w:t>Innovative ways that challenge convention will also shape environmentally responsible hospitality. A "zero-waste" hotel uses comprehensive recycling and composting systems, local materials, and little packaging to eliminate waste (Pirani and Arafat, 2014). Biophilic design, which incorporates plants, natural lighting, and outdoor spaces into the hotel's architecture, is another unique approach. This strategy promotes resource conservation and guest pleasure by connecting guests to nature and boosting well-being (Browning et al., 2014). Sustainable building materials and construction procedures will become more popular in hotels. This includes using reused materials, energy-efficient insulation, and eco-friendly roofing systems to reduce the urban heat island effect (Akadiri et al., 2012).</w:t>
      </w:r>
    </w:p>
    <w:p w:rsidR="00910DDA" w:rsidRDefault="005C54E0">
      <w:pPr>
        <w:pStyle w:val="Heading2"/>
      </w:pPr>
      <w:bookmarkStart w:id="7" w:name="_3dy6vkm" w:colFirst="0" w:colLast="0"/>
      <w:bookmarkEnd w:id="7"/>
      <w:r>
        <w:lastRenderedPageBreak/>
        <w:t>2.4. Barriers to sustainable practices</w:t>
      </w:r>
    </w:p>
    <w:p w:rsidR="00910DDA" w:rsidRDefault="005C54E0">
      <w:r>
        <w:t>Hotels may face several challenges while adopting sustainable practices, notwithstanding the benefits. Hotels struggle to handle the many sustainability programs and activities due to the lack of uniform criteria and certifications (Bonilla-Priego et al., 2014). Without standardization, sustainable methods may be confusing and inconsistent. Greenwashing—hotels exaggerating their sustainability efforts for marketing—is another issue. This practice can gradually erode consumer trust in a company and undermine legitimate sustainability efforts (Millar and Baloglu, 2011). Hotels must be transparent about their sustainability goals to avoid greenwashing and maintain consumer trust.</w:t>
      </w:r>
    </w:p>
    <w:p w:rsidR="00910DDA" w:rsidRDefault="005C54E0">
      <w:pPr>
        <w:rPr>
          <w:b/>
        </w:rPr>
      </w:pPr>
      <w:r>
        <w:rPr>
          <w:b/>
        </w:rPr>
        <w:t>Overcoming Economic Challenges</w:t>
      </w:r>
    </w:p>
    <w:p w:rsidR="00910DDA" w:rsidRDefault="005C54E0">
      <w:r>
        <w:t>High upfront costs for eco-friendly technologies and infrastructure are the biggest barrier to sustainable practises (Singal, 2015). The initial costs may be too high for many hotels, especially smaller or independent ones, despite the potential for long-term financial and environmental gains. Hotels can use green loans, government incentives, or sustainability-focused partnerships to solve this problem. Cost-benefit analyses can also help hotels choose the most cost-effective and effective sustainability solutions.</w:t>
      </w:r>
    </w:p>
    <w:p w:rsidR="00910DDA" w:rsidRDefault="005C54E0">
      <w:pPr>
        <w:rPr>
          <w:b/>
        </w:rPr>
      </w:pPr>
      <w:r>
        <w:rPr>
          <w:b/>
        </w:rPr>
        <w:t>Stakeholder engagement and change management</w:t>
      </w:r>
    </w:p>
    <w:p w:rsidR="00910DDA" w:rsidRDefault="005C54E0">
      <w:r>
        <w:t>Sustainable practices can require major changes in business culture, processes, and mindsets. Overcoming stakeholder resistance, such as employees, guests, and suppliers, can be difficult (Radwan et al., 2012). Effective communication, extensive training, and appealing incentives are needed to foster a sustainable corporate culture. Hotels should communicate with stakeholders early on, explaining the benefits and rationale of sustainability. Training and educational materials can help employees understand sustainability and their role in environmental protection. In addition, incentives and recognition programs can motivate stakeholders to embrace sustainability practices and support the hotel's environmental activities.</w:t>
      </w:r>
    </w:p>
    <w:p w:rsidR="00910DDA" w:rsidRDefault="005C54E0">
      <w:pPr>
        <w:rPr>
          <w:b/>
        </w:rPr>
      </w:pPr>
      <w:r>
        <w:rPr>
          <w:b/>
        </w:rPr>
        <w:t>Cooperation and information sharing</w:t>
      </w:r>
    </w:p>
    <w:p w:rsidR="00910DDA" w:rsidRDefault="005C54E0">
      <w:r>
        <w:lastRenderedPageBreak/>
        <w:t>Hotel owners, industry groups, and regulators must collaborate to develop sustainable practices. Specific criteria, protocols, and accreditations for sustainable hospitality practices can help hotels manage sustainability efforts and ensure industry standardization. Hotels need knowledge sharing and best practice exchange platforms to share information and collaborate. Industry groups, academic institutions, and sustainability organizations can support and promote these platforms, allowing hotels to learn from one other, share strategies, and meet common challenges.</w:t>
      </w:r>
    </w:p>
    <w:p w:rsidR="00910DDA" w:rsidRDefault="005C54E0">
      <w:pPr>
        <w:rPr>
          <w:b/>
        </w:rPr>
      </w:pPr>
      <w:r>
        <w:rPr>
          <w:b/>
        </w:rPr>
        <w:t>Technological advances and future developments</w:t>
      </w:r>
    </w:p>
    <w:p w:rsidR="00910DDA" w:rsidRDefault="005C54E0">
      <w:r>
        <w:t>Technological advancements and trends will shape eco-friendly hospitality. The hotel business is adopting IoT technology. Real-time energy and water monitoring and optimization by these technologies saves hotels a lot of resources (Bai and Sarkis, 2020). Sustainable tourist experiences using AR and VR technology. These technologies can help hotels offer immersive virtual tours, educate guests about local ecosystems and culture, and promote responsible tourism (Cheong and Ogle, 2022).</w:t>
      </w:r>
    </w:p>
    <w:p w:rsidR="00910DDA" w:rsidRDefault="005C54E0">
      <w:r>
        <w:rPr>
          <w:noProof/>
        </w:rPr>
        <w:drawing>
          <wp:inline distT="0" distB="0" distL="0" distR="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10DDA" w:rsidRDefault="005C54E0">
      <w:r>
        <w:t xml:space="preserve">The hotel industry in Europe and the UK faces many challenges. Forty-five percent of respondents think supply chain resilience is an immediate issue, while seventeen percent think it will be a major issue in one to three years. GDPR and TCFD are seen </w:t>
      </w:r>
      <w:r>
        <w:lastRenderedPageBreak/>
        <w:t>as a threat by 34% of respondents, and 31% expect them to be a major issue in one to three years. 24% are concerned about climate change disruptions, while 33% say it poses a severe risk within three years. Non-compliance with sustainability targets is a major issue for 39% of the population in the next three years, compared to 15% who perceive it as an imminent threat (Deloitte, 2022).</w:t>
      </w:r>
    </w:p>
    <w:p w:rsidR="00910DDA" w:rsidRDefault="005C54E0">
      <w:pPr>
        <w:pStyle w:val="Heading2"/>
      </w:pPr>
      <w:bookmarkStart w:id="8" w:name="_1t3h5sf" w:colFirst="0" w:colLast="0"/>
      <w:bookmarkEnd w:id="8"/>
      <w:r>
        <w:t>2.5. Government rules and acts</w:t>
      </w:r>
    </w:p>
    <w:p w:rsidR="00910DDA" w:rsidRDefault="005C54E0">
      <w:r>
        <w:t>Government and international organizations must encourage sustainable hotel and hospitality practises. Environmental challenges are severe, thus regulatory agencies are increasing environmental regulations and promoting eco-friendly businesses.</w:t>
      </w:r>
    </w:p>
    <w:p w:rsidR="00910DDA" w:rsidRDefault="005C54E0">
      <w:pPr>
        <w:rPr>
          <w:b/>
        </w:rPr>
      </w:pPr>
      <w:r>
        <w:rPr>
          <w:b/>
        </w:rPr>
        <w:t>Environmental laws and regulations</w:t>
      </w:r>
    </w:p>
    <w:p w:rsidR="00910DDA" w:rsidRDefault="005C54E0">
      <w:r>
        <w:t>Several nations have passed laws to reduce the hospitality industry's environmental impact. Filimonau et al. (2011) suggest pollution, water conservation, energy efficiency, and waste management are important. New and renovated hotels must meet energy performance standards. Energy Star, WaterSense, and others promote hotel energy and water saving (EPA, 2023). Hotels that meet these standards and implement sustainability can compete.</w:t>
      </w:r>
    </w:p>
    <w:p w:rsidR="00910DDA" w:rsidRDefault="005C54E0">
      <w:pPr>
        <w:rPr>
          <w:b/>
        </w:rPr>
      </w:pPr>
      <w:r>
        <w:rPr>
          <w:b/>
        </w:rPr>
        <w:t>Government aid and financial incentives</w:t>
      </w:r>
    </w:p>
    <w:p w:rsidR="00910DDA" w:rsidRDefault="005C54E0">
      <w:r>
        <w:t>Several countries give incentives to promote eco-friendly hotel practices. Funding options include tax credits, subsidies, grants, and loans. Examples include the US Department of Energy tax credit for energy-efficient commercial buildings. This deduction lowers energy-efficient construction taxes (DOE, 2023). LIFE (European Commission, 2023) funds tourism and hospitality projects that address environmental and climate change challenges. These incentives lower the initial costs of environmentally friendly technologies and infrastructure, making eco-friendly hotels more financially viable.</w:t>
      </w:r>
    </w:p>
    <w:p w:rsidR="00910DDA" w:rsidRDefault="005C54E0">
      <w:pPr>
        <w:rPr>
          <w:b/>
        </w:rPr>
      </w:pPr>
      <w:r>
        <w:rPr>
          <w:b/>
        </w:rPr>
        <w:t>Collaboration/PPP</w:t>
      </w:r>
    </w:p>
    <w:p w:rsidR="00910DDA" w:rsidRDefault="005C54E0">
      <w:r>
        <w:t xml:space="preserve">PPPs and joint ventures can support hotels. These alliances can modify and achieve environmental goals by combining expertise, assets, and influence from both sectors. </w:t>
      </w:r>
      <w:r>
        <w:lastRenderedPageBreak/>
        <w:t>The non-profit International Tourism Partnership (ITP) works with premier hotel chains, corporate clients, and other stakeholders to address hospitality sustainability concerns (ITP, 2023). Hotels can improve sustainability by using ITP best practices, processes, and technologies. To build sustainable tourist certification systems, governments can work with industry and environmental groups. These programs allow hotels to demonstrate their environmental responsibility.</w:t>
      </w:r>
    </w:p>
    <w:p w:rsidR="00910DDA" w:rsidRDefault="005C54E0">
      <w:pPr>
        <w:pStyle w:val="Heading1"/>
        <w:numPr>
          <w:ilvl w:val="0"/>
          <w:numId w:val="1"/>
        </w:numPr>
      </w:pPr>
      <w:bookmarkStart w:id="9" w:name="_4d34og8" w:colFirst="0" w:colLast="0"/>
      <w:bookmarkEnd w:id="9"/>
      <w:r>
        <w:t>Conclusion</w:t>
      </w:r>
    </w:p>
    <w:p w:rsidR="00910DDA" w:rsidRDefault="005C54E0">
      <w:r>
        <w:t>As sustainable tourism grows, hotels and other hospitality organizations must go green to compete. Integration of sustainability into daily operations contributes to resource conservation, cost reduction, brand reputation, and regulatory compliance, despite upfront costs, operational complexity, and stakeholder resistance.</w:t>
      </w:r>
    </w:p>
    <w:p w:rsidR="00910DDA" w:rsidRDefault="005C54E0">
      <w:r>
        <w:t>Technological advances, circular economy concepts, collaborative collaborations, changing rules, and guest expectations will affect green hospitality. Hotel chains that follow these sustainability trends will impress eco-conscious guests. These hotels support responsible tourism, helping the environment. Hotels need creative finance, stakeholder management, industry cooperation, and cutting-edge technology to implement sustainable practices. Government and regulatory incentives, legislation, and teamwork can affect the environment. Environmentally friendly and sustainable measures can boost hotels' competitiveness, profitability, and customer satisfaction.</w:t>
      </w:r>
    </w:p>
    <w:p w:rsidR="00910DDA" w:rsidRDefault="005C54E0">
      <w:pPr>
        <w:pStyle w:val="Heading1"/>
        <w:numPr>
          <w:ilvl w:val="0"/>
          <w:numId w:val="1"/>
        </w:numPr>
      </w:pPr>
      <w:bookmarkStart w:id="10" w:name="_2s8eyo1" w:colFirst="0" w:colLast="0"/>
      <w:bookmarkEnd w:id="10"/>
      <w:r>
        <w:t>Recommendations</w:t>
      </w:r>
    </w:p>
    <w:p w:rsidR="00910DDA" w:rsidRDefault="005C54E0">
      <w:pPr>
        <w:numPr>
          <w:ilvl w:val="1"/>
          <w:numId w:val="2"/>
        </w:numPr>
        <w:pBdr>
          <w:top w:val="nil"/>
          <w:left w:val="nil"/>
          <w:bottom w:val="nil"/>
          <w:right w:val="nil"/>
          <w:between w:val="nil"/>
        </w:pBdr>
        <w:spacing w:after="0"/>
      </w:pPr>
      <w:r>
        <w:rPr>
          <w:color w:val="000000"/>
        </w:rPr>
        <w:t>Conduct a complete sustainability audit using the Hotel Footprinting Tool to identify areas for improvement and assess green project costs and benefits.</w:t>
      </w:r>
    </w:p>
    <w:p w:rsidR="00910DDA" w:rsidRDefault="005C54E0">
      <w:pPr>
        <w:numPr>
          <w:ilvl w:val="1"/>
          <w:numId w:val="2"/>
        </w:numPr>
        <w:pBdr>
          <w:top w:val="nil"/>
          <w:left w:val="nil"/>
          <w:bottom w:val="nil"/>
          <w:right w:val="nil"/>
          <w:between w:val="nil"/>
        </w:pBdr>
        <w:spacing w:after="0"/>
      </w:pPr>
      <w:r>
        <w:rPr>
          <w:color w:val="000000"/>
        </w:rPr>
        <w:t>Green Key or another reputable eco-certification can help you plan and behave sustainably. Certified brands get eco-conscious consumers' trust.</w:t>
      </w:r>
    </w:p>
    <w:p w:rsidR="00910DDA" w:rsidRDefault="005C54E0">
      <w:pPr>
        <w:numPr>
          <w:ilvl w:val="1"/>
          <w:numId w:val="2"/>
        </w:numPr>
        <w:pBdr>
          <w:top w:val="nil"/>
          <w:left w:val="nil"/>
          <w:bottom w:val="nil"/>
          <w:right w:val="nil"/>
          <w:between w:val="nil"/>
        </w:pBdr>
        <w:spacing w:after="0"/>
      </w:pPr>
      <w:r>
        <w:rPr>
          <w:color w:val="000000"/>
        </w:rPr>
        <w:t>A lasting corporate culture requires education, incentives, and transparency with employees, suppliers, and guests.</w:t>
      </w:r>
    </w:p>
    <w:p w:rsidR="00910DDA" w:rsidRDefault="005C54E0">
      <w:pPr>
        <w:numPr>
          <w:ilvl w:val="1"/>
          <w:numId w:val="2"/>
        </w:numPr>
        <w:pBdr>
          <w:top w:val="nil"/>
          <w:left w:val="nil"/>
          <w:bottom w:val="nil"/>
          <w:right w:val="nil"/>
          <w:between w:val="nil"/>
        </w:pBdr>
        <w:spacing w:after="0"/>
      </w:pPr>
      <w:r>
        <w:rPr>
          <w:color w:val="000000"/>
        </w:rPr>
        <w:t>Consider green financing, sustainability-linked loans, tax incentives, and collaborations to reduce startup costs.</w:t>
      </w:r>
    </w:p>
    <w:p w:rsidR="00910DDA" w:rsidRDefault="005C54E0">
      <w:pPr>
        <w:numPr>
          <w:ilvl w:val="1"/>
          <w:numId w:val="2"/>
        </w:numPr>
        <w:pBdr>
          <w:top w:val="nil"/>
          <w:left w:val="nil"/>
          <w:bottom w:val="nil"/>
          <w:right w:val="nil"/>
          <w:between w:val="nil"/>
        </w:pBdr>
        <w:spacing w:after="0"/>
      </w:pPr>
      <w:r>
        <w:rPr>
          <w:color w:val="000000"/>
        </w:rPr>
        <w:lastRenderedPageBreak/>
        <w:t>Improve operational efficiency and guest satisfaction with IoT building monitoring, AI predictive maintenance, and AR/VR tourism experiences.</w:t>
      </w:r>
    </w:p>
    <w:p w:rsidR="00910DDA" w:rsidRDefault="005C54E0">
      <w:pPr>
        <w:numPr>
          <w:ilvl w:val="1"/>
          <w:numId w:val="2"/>
        </w:numPr>
        <w:pBdr>
          <w:top w:val="nil"/>
          <w:left w:val="nil"/>
          <w:bottom w:val="nil"/>
          <w:right w:val="nil"/>
          <w:between w:val="nil"/>
        </w:pBdr>
        <w:spacing w:after="0"/>
      </w:pPr>
      <w:r>
        <w:rPr>
          <w:color w:val="000000"/>
        </w:rPr>
        <w:t>Implement the circular economy by managing waste with renewable energy, sustainable materials, and recycling and reuse.</w:t>
      </w:r>
    </w:p>
    <w:p w:rsidR="00910DDA" w:rsidRDefault="005C54E0">
      <w:pPr>
        <w:numPr>
          <w:ilvl w:val="1"/>
          <w:numId w:val="2"/>
        </w:numPr>
        <w:pBdr>
          <w:top w:val="nil"/>
          <w:left w:val="nil"/>
          <w:bottom w:val="nil"/>
          <w:right w:val="nil"/>
          <w:between w:val="nil"/>
        </w:pBdr>
        <w:spacing w:after="0"/>
      </w:pPr>
      <w:r>
        <w:rPr>
          <w:color w:val="000000"/>
        </w:rPr>
        <w:t>Tourism boards, environmental NGOs, academic institutions, and industry associations must collaborate to exchange best practises and accomplish sustainable goals.</w:t>
      </w:r>
    </w:p>
    <w:p w:rsidR="00910DDA" w:rsidRDefault="005C54E0">
      <w:pPr>
        <w:numPr>
          <w:ilvl w:val="1"/>
          <w:numId w:val="2"/>
        </w:numPr>
        <w:pBdr>
          <w:top w:val="nil"/>
          <w:left w:val="nil"/>
          <w:bottom w:val="nil"/>
          <w:right w:val="nil"/>
          <w:between w:val="nil"/>
        </w:pBdr>
      </w:pPr>
      <w:r>
        <w:rPr>
          <w:color w:val="000000"/>
        </w:rPr>
        <w:t>To avoid greenwashing, annual CSR reports must track and provide sustainability indicators.</w:t>
      </w:r>
    </w:p>
    <w:p w:rsidR="00910DDA" w:rsidRDefault="00910DDA"/>
    <w:p w:rsidR="00910DDA" w:rsidRDefault="00910DDA"/>
    <w:p w:rsidR="00910DDA" w:rsidRDefault="00910DDA"/>
    <w:p w:rsidR="00910DDA" w:rsidRDefault="00910DDA"/>
    <w:p w:rsidR="00910DDA" w:rsidRDefault="00910DDA"/>
    <w:p w:rsidR="00910DDA" w:rsidRDefault="00910DDA"/>
    <w:p w:rsidR="00910DDA" w:rsidRDefault="00910DDA"/>
    <w:p w:rsidR="00910DDA" w:rsidRDefault="00910DDA"/>
    <w:p w:rsidR="00910DDA" w:rsidRDefault="00910DDA"/>
    <w:p w:rsidR="00910DDA" w:rsidRDefault="00910DDA"/>
    <w:p w:rsidR="00910DDA" w:rsidRDefault="00910DDA"/>
    <w:p w:rsidR="00910DDA" w:rsidRDefault="00910DDA"/>
    <w:p w:rsidR="00910DDA" w:rsidRDefault="00910DDA"/>
    <w:p w:rsidR="00910DDA" w:rsidRDefault="00910DDA"/>
    <w:p w:rsidR="00910DDA" w:rsidRDefault="00910DDA"/>
    <w:p w:rsidR="00910DDA" w:rsidRDefault="00910DDA"/>
    <w:p w:rsidR="00910DDA" w:rsidRDefault="00910DDA"/>
    <w:p w:rsidR="00910DDA" w:rsidRDefault="00910DDA"/>
    <w:p w:rsidR="00910DDA" w:rsidRDefault="005C54E0">
      <w:pPr>
        <w:pStyle w:val="Heading1"/>
      </w:pPr>
      <w:bookmarkStart w:id="11" w:name="_17dp8vu" w:colFirst="0" w:colLast="0"/>
      <w:bookmarkEnd w:id="11"/>
      <w:r>
        <w:t>References</w:t>
      </w:r>
    </w:p>
    <w:p w:rsidR="00910DDA" w:rsidRDefault="005C54E0">
      <w:r>
        <w:t xml:space="preserve">Akadiri, P. O., Chinyio, E. A., &amp; Olomolaiye, P. O. (2012). Design of a sustainable building: A conceptual framework for implementing sustainability in the building sector. Buildings, 2(2), 126-152. </w:t>
      </w:r>
      <w:hyperlink r:id="rId9">
        <w:r>
          <w:rPr>
            <w:color w:val="0563C1"/>
            <w:u w:val="single"/>
          </w:rPr>
          <w:t>https://doi.org/10.3390/buildings2020126</w:t>
        </w:r>
      </w:hyperlink>
    </w:p>
    <w:p w:rsidR="00910DDA" w:rsidRDefault="005C54E0">
      <w:r>
        <w:t xml:space="preserve">Bai, C., &amp; Sarkis, J. (2020). Integrating and advancing data and analytics study for sustainable intelligent manufacturing. Technological Forecasting and Social Change, 160, 120248. </w:t>
      </w:r>
      <w:hyperlink r:id="rId10">
        <w:r>
          <w:rPr>
            <w:color w:val="0563C1"/>
            <w:u w:val="single"/>
          </w:rPr>
          <w:t>https://doi.org/10.1016/j.techfore.2020.120248</w:t>
        </w:r>
      </w:hyperlink>
    </w:p>
    <w:p w:rsidR="00910DDA" w:rsidRDefault="005C54E0">
      <w:r>
        <w:t xml:space="preserve">Bohdanowicz, P. (2005). European hoteliers' environmental attitudes: Greening the business. Cornell Hotel and Restaurant Administration Quarterly, 46(2), 188-204. </w:t>
      </w:r>
      <w:hyperlink r:id="rId11">
        <w:r>
          <w:rPr>
            <w:color w:val="0563C1"/>
            <w:u w:val="single"/>
          </w:rPr>
          <w:t>https://doi.org/10.1177/0010880404273891</w:t>
        </w:r>
      </w:hyperlink>
    </w:p>
    <w:p w:rsidR="00910DDA" w:rsidRDefault="005C54E0">
      <w:r>
        <w:t xml:space="preserve">Bohdanowicz, P. (2006). Environmental awareness and initiatives in the Swedish and Polish hotel industries—survey results. International Journal of Hospitality Management, 25(4), 662-682. </w:t>
      </w:r>
      <w:hyperlink r:id="rId12">
        <w:r>
          <w:rPr>
            <w:color w:val="0563C1"/>
            <w:u w:val="single"/>
          </w:rPr>
          <w:t>https://doi.org/10.1016/j.ijhm.2005.06.006</w:t>
        </w:r>
      </w:hyperlink>
    </w:p>
    <w:p w:rsidR="00910DDA" w:rsidRDefault="005C54E0">
      <w:r>
        <w:t xml:space="preserve">Bonilla-Priego, M. J., Najera, J. J., &amp; Font, X. (2014). Environmental management decision-making in certified hotels. Journal of Sustainable Tourism, 22(3), 410-428. </w:t>
      </w:r>
      <w:hyperlink r:id="rId13">
        <w:r>
          <w:rPr>
            <w:color w:val="0563C1"/>
            <w:u w:val="single"/>
          </w:rPr>
          <w:t>https://doi.org/10.1080/09669582.2013.785556</w:t>
        </w:r>
      </w:hyperlink>
    </w:p>
    <w:p w:rsidR="00910DDA" w:rsidRDefault="005C54E0">
      <w:r>
        <w:t>Browning, W. D., Ryan, C. O., &amp; Clancy, J. O. (2014). 14 patterns of biophilic design. Terrapin Bright Green LLC, 1-64.</w:t>
      </w:r>
    </w:p>
    <w:p w:rsidR="00910DDA" w:rsidRDefault="005C54E0">
      <w:r>
        <w:t xml:space="preserve">Cheong, S. N., &amp; Ogle, A. (2022). The use of virtual reality in sustainable tourism marketing: A review and analysis of existing studies. Journal of Sustainable Tourism, 1-19. </w:t>
      </w:r>
      <w:hyperlink r:id="rId14">
        <w:r>
          <w:rPr>
            <w:color w:val="0563C1"/>
            <w:u w:val="single"/>
          </w:rPr>
          <w:t>https://doi.org/10.1080/09669582.2022.2072447</w:t>
        </w:r>
      </w:hyperlink>
    </w:p>
    <w:p w:rsidR="00910DDA" w:rsidRDefault="005C54E0">
      <w:r>
        <w:t xml:space="preserve">Dalton, G. J., Lockington, D. A., &amp; Baldock, T. E. (2008). A survey of tourist attitudes to renewable energy supply in Australian hotel accommodation. Renewable Energy, 33(10), 2174-2185. </w:t>
      </w:r>
      <w:hyperlink r:id="rId15">
        <w:r>
          <w:rPr>
            <w:color w:val="0563C1"/>
            <w:u w:val="single"/>
          </w:rPr>
          <w:t>https://doi.org/10.1016/j.renene.2007.12.016</w:t>
        </w:r>
      </w:hyperlink>
    </w:p>
    <w:p w:rsidR="00910DDA" w:rsidRDefault="005C54E0">
      <w:r>
        <w:lastRenderedPageBreak/>
        <w:t>Deloitte (2022). Sustainability in the hospitality industry | Deloitte UK. [online] www.deloitte.com. Available at: https://www.deloitte.com/uk/en/Industries/consumer/blogs/sustainability-in-the-hospitality-industry.html.</w:t>
      </w:r>
    </w:p>
    <w:p w:rsidR="00910DDA" w:rsidRDefault="005C54E0">
      <w:r>
        <w:t xml:space="preserve">DOE (2023). Energy Efficient Commercial Buildings Tax Deduction. U.S. Department of Energy. </w:t>
      </w:r>
      <w:hyperlink r:id="rId16">
        <w:r>
          <w:rPr>
            <w:color w:val="0563C1"/>
            <w:u w:val="single"/>
          </w:rPr>
          <w:t>https://www.energy.gov/eere/buildings/energy-efficient-commercial-buildings-tax-deduction</w:t>
        </w:r>
      </w:hyperlink>
    </w:p>
    <w:p w:rsidR="00910DDA" w:rsidRDefault="005C54E0">
      <w:r>
        <w:t xml:space="preserve">EarthCheck. (2023). </w:t>
      </w:r>
      <w:hyperlink r:id="rId17">
        <w:r>
          <w:rPr>
            <w:color w:val="0563C1"/>
            <w:u w:val="single"/>
          </w:rPr>
          <w:t>https://earthcheck.org/</w:t>
        </w:r>
      </w:hyperlink>
    </w:p>
    <w:p w:rsidR="00910DDA" w:rsidRDefault="005C54E0">
      <w:r>
        <w:t xml:space="preserve">Environmental Protection Agency (EPA). (2023). Sector Resources: Hospitality. </w:t>
      </w:r>
      <w:hyperlink r:id="rId18">
        <w:r>
          <w:rPr>
            <w:color w:val="0563C1"/>
            <w:u w:val="single"/>
          </w:rPr>
          <w:t>https://www.epa.gov/greeningepa/sector-resources-hospitality</w:t>
        </w:r>
      </w:hyperlink>
    </w:p>
    <w:p w:rsidR="00910DDA" w:rsidRDefault="005C54E0">
      <w:r>
        <w:t xml:space="preserve">Erkuş-Öztürk, H., &amp; Eraydin, A. (2010). Environmental governance for sustainable tourism development: Collaborative networks and organisation building in the Antalya tourism region. Tourism Management, 31(1), 113-124. </w:t>
      </w:r>
      <w:hyperlink r:id="rId19">
        <w:r>
          <w:rPr>
            <w:color w:val="0563C1"/>
            <w:u w:val="single"/>
          </w:rPr>
          <w:t>https://doi.org/10.1016/j.tourman.2009.01.002</w:t>
        </w:r>
      </w:hyperlink>
    </w:p>
    <w:p w:rsidR="00910DDA" w:rsidRDefault="005C54E0">
      <w:r>
        <w:t xml:space="preserve">European Commission. (2010). Energy Performance of Buildings Directive. </w:t>
      </w:r>
      <w:hyperlink r:id="rId20">
        <w:r>
          <w:rPr>
            <w:color w:val="0563C1"/>
            <w:u w:val="single"/>
          </w:rPr>
          <w:t>https://energy.ec.europa.eu/topics/energy-efficiency/energy-efficient-buildings/energy-performance-buildings-directive_en</w:t>
        </w:r>
      </w:hyperlink>
    </w:p>
    <w:p w:rsidR="00910DDA" w:rsidRDefault="005C54E0">
      <w:r>
        <w:t xml:space="preserve">European Commission. (2023). LIFE Programme. </w:t>
      </w:r>
      <w:hyperlink r:id="rId21">
        <w:r>
          <w:rPr>
            <w:color w:val="0563C1"/>
            <w:u w:val="single"/>
          </w:rPr>
          <w:t>https://cinea.ec.europa.eu/life_en</w:t>
        </w:r>
      </w:hyperlink>
    </w:p>
    <w:p w:rsidR="00910DDA" w:rsidRDefault="005C54E0">
      <w:r>
        <w:t xml:space="preserve">Filimonau, V., Dickinson, J., Robbins, D., &amp; Huijbregts, M. A. (2011). Reviewing the carbon footprint analysis of hotels: Life cycle energy analysis (LCEA) as a holistic method for carbon impact appraisal of tourist accommodation. Journal of Cleaner Production, 19(17-18), 1917-1930. </w:t>
      </w:r>
      <w:hyperlink r:id="rId22">
        <w:r>
          <w:rPr>
            <w:color w:val="0563C1"/>
            <w:u w:val="single"/>
          </w:rPr>
          <w:t>https://doi.org/10.1016/j.jclepro.2011.07.002</w:t>
        </w:r>
      </w:hyperlink>
    </w:p>
    <w:p w:rsidR="00910DDA" w:rsidRDefault="005C54E0">
      <w:r>
        <w:t>Foundation for Environmental Education (2023). Green Key. [online] Green Key. Available at: https://www.greenkey.global/.</w:t>
      </w:r>
    </w:p>
    <w:p w:rsidR="00910DDA" w:rsidRDefault="005C54E0">
      <w:r>
        <w:t xml:space="preserve">Green Key Global. (2023). Green Key Criteria. </w:t>
      </w:r>
      <w:hyperlink r:id="rId23">
        <w:r>
          <w:rPr>
            <w:color w:val="0563C1"/>
            <w:u w:val="single"/>
          </w:rPr>
          <w:t>https://greenkey.global/criteria/</w:t>
        </w:r>
      </w:hyperlink>
    </w:p>
    <w:p w:rsidR="00910DDA" w:rsidRDefault="005C54E0">
      <w:r>
        <w:lastRenderedPageBreak/>
        <w:t xml:space="preserve">Han, H., Hsu, L. T. J., &amp; Sheu, C. (2011). Application of the theory of planned behavior to green hotel choice: Testing the effect of environmental friendly activities. Tourism Management, 31(3), 325-334. </w:t>
      </w:r>
      <w:hyperlink r:id="rId24">
        <w:r>
          <w:rPr>
            <w:color w:val="0563C1"/>
            <w:u w:val="single"/>
          </w:rPr>
          <w:t>https://doi.org/10.1016/j.tourman.2009.03.013</w:t>
        </w:r>
      </w:hyperlink>
    </w:p>
    <w:p w:rsidR="00910DDA" w:rsidRDefault="005C54E0">
      <w:r>
        <w:t xml:space="preserve">International Tourism Partnership (ITP). (2023). </w:t>
      </w:r>
      <w:hyperlink r:id="rId25">
        <w:r>
          <w:rPr>
            <w:color w:val="0563C1"/>
            <w:u w:val="single"/>
          </w:rPr>
          <w:t>https://tourismpartnership.org/</w:t>
        </w:r>
      </w:hyperlink>
    </w:p>
    <w:p w:rsidR="00910DDA" w:rsidRDefault="005C54E0">
      <w:r>
        <w:t xml:space="preserve">Mensah, I. (2006). Environmental management practices among hotels in the greater Accra region. International Journal of Hospitality Management, 25(3), 414-431. </w:t>
      </w:r>
      <w:hyperlink r:id="rId26">
        <w:r>
          <w:rPr>
            <w:color w:val="0563C1"/>
            <w:u w:val="single"/>
          </w:rPr>
          <w:t>https://doi.org/10.1016/j.ijhm.2005.02.003</w:t>
        </w:r>
      </w:hyperlink>
    </w:p>
    <w:p w:rsidR="00910DDA" w:rsidRDefault="005C54E0">
      <w:r>
        <w:t xml:space="preserve">Millar, M., &amp; Baloglu, S. (2011). Hotel guests' preferences for green guest room attributes. Cornell Hospitality Quarterly, 52(3), 302-311. </w:t>
      </w:r>
      <w:hyperlink r:id="rId27">
        <w:r>
          <w:rPr>
            <w:color w:val="0563C1"/>
            <w:u w:val="single"/>
          </w:rPr>
          <w:t>https://doi.org/10.1177/1938965510395163</w:t>
        </w:r>
      </w:hyperlink>
    </w:p>
    <w:p w:rsidR="00910DDA" w:rsidRDefault="005C54E0">
      <w:r>
        <w:t xml:space="preserve">Pirani, S. I., &amp; Arafat, H. A. (2014). Solid waste management in the hospitality industry: A review. Journal of Environmental Management, 146, 320-336. </w:t>
      </w:r>
      <w:hyperlink r:id="rId28">
        <w:r>
          <w:rPr>
            <w:color w:val="0563C1"/>
            <w:u w:val="single"/>
          </w:rPr>
          <w:t>https://doi.org/10.1016/j.jenvman.2014.07.038</w:t>
        </w:r>
      </w:hyperlink>
    </w:p>
    <w:p w:rsidR="00910DDA" w:rsidRDefault="005C54E0">
      <w:r>
        <w:t xml:space="preserve">Pirani, S. I., &amp; Arafat, H. A. (2016). Reduction of food waste generation in the hospitality industry. Journal of Cleaner Production, 132, 129-145. </w:t>
      </w:r>
      <w:hyperlink r:id="rId29">
        <w:r>
          <w:rPr>
            <w:color w:val="0563C1"/>
            <w:u w:val="single"/>
          </w:rPr>
          <w:t>https://doi.org/10.1016/j.jclepro.2015.07.146</w:t>
        </w:r>
      </w:hyperlink>
    </w:p>
    <w:p w:rsidR="00910DDA" w:rsidRDefault="005C54E0">
      <w:r>
        <w:t xml:space="preserve">Radwan, H. R., Jones, E., &amp; Minoli, D. (2012). Solid waste management in small hotels: a comparison of green and non-green small hotels in Wales. Journal of Sustainable Tourism, 20(4), 533-550. </w:t>
      </w:r>
      <w:hyperlink r:id="rId30">
        <w:r>
          <w:rPr>
            <w:color w:val="0563C1"/>
            <w:u w:val="single"/>
          </w:rPr>
          <w:t>https://doi.org/10.1080/09669582.2011.621539</w:t>
        </w:r>
      </w:hyperlink>
    </w:p>
    <w:p w:rsidR="00910DDA" w:rsidRDefault="005C54E0">
      <w:r>
        <w:t xml:space="preserve">Schröder, P., Lemille, A., &amp; Desmond, P. (2020). Making the circular economy work for human development. Resources, Conservation and Recycling, 156, 104686. </w:t>
      </w:r>
      <w:hyperlink r:id="rId31">
        <w:r>
          <w:rPr>
            <w:color w:val="0563C1"/>
            <w:u w:val="single"/>
          </w:rPr>
          <w:t>https://doi.org/10.1016/j.resconrec.2020.104686</w:t>
        </w:r>
      </w:hyperlink>
    </w:p>
    <w:p w:rsidR="00910DDA" w:rsidRDefault="005C54E0">
      <w:r>
        <w:t xml:space="preserve">Singal, M. (2015). How is the hospitality and tourism industry different? An empirical test of some structural characteristics. International Journal of Hospitality Management, 47, 116-119. </w:t>
      </w:r>
      <w:hyperlink r:id="rId32">
        <w:r>
          <w:rPr>
            <w:color w:val="0563C1"/>
            <w:u w:val="single"/>
          </w:rPr>
          <w:t>https://doi.org/10.1016/j.ijhm.2015.03.006</w:t>
        </w:r>
      </w:hyperlink>
    </w:p>
    <w:p w:rsidR="00910DDA" w:rsidRDefault="005C54E0">
      <w:r>
        <w:t>Swallow, T. (2024). Top 10: Sustainability Certifications. [online] sustainabilitymag.com. Available at: https://sustainabilitymag.com/top10/top-10-sustainability-certifications.</w:t>
      </w:r>
    </w:p>
    <w:p w:rsidR="00910DDA" w:rsidRDefault="005C54E0">
      <w:r>
        <w:lastRenderedPageBreak/>
        <w:t xml:space="preserve">USGBC (2023). LEED Rating System. U.S. Green Building Council. </w:t>
      </w:r>
      <w:hyperlink r:id="rId33">
        <w:r>
          <w:rPr>
            <w:color w:val="0563C1"/>
            <w:u w:val="single"/>
          </w:rPr>
          <w:t>https://www.usgbc.org/leed</w:t>
        </w:r>
      </w:hyperlink>
    </w:p>
    <w:p w:rsidR="00910DDA" w:rsidRDefault="00910DDA"/>
    <w:sectPr w:rsidR="00910DDA">
      <w:footerReference w:type="default" r:id="rId34"/>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C4D" w:rsidRDefault="00F63C4D">
      <w:pPr>
        <w:spacing w:after="0" w:line="240" w:lineRule="auto"/>
      </w:pPr>
      <w:r>
        <w:separator/>
      </w:r>
    </w:p>
  </w:endnote>
  <w:endnote w:type="continuationSeparator" w:id="0">
    <w:p w:rsidR="00F63C4D" w:rsidRDefault="00F63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DDA" w:rsidRDefault="005C54E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72536">
      <w:rPr>
        <w:noProof/>
        <w:color w:val="000000"/>
      </w:rPr>
      <w:t>2</w:t>
    </w:r>
    <w:r>
      <w:rPr>
        <w:color w:val="000000"/>
      </w:rPr>
      <w:fldChar w:fldCharType="end"/>
    </w:r>
  </w:p>
  <w:p w:rsidR="00910DDA" w:rsidRDefault="00910DD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C4D" w:rsidRDefault="00F63C4D">
      <w:pPr>
        <w:spacing w:after="0" w:line="240" w:lineRule="auto"/>
      </w:pPr>
      <w:r>
        <w:separator/>
      </w:r>
    </w:p>
  </w:footnote>
  <w:footnote w:type="continuationSeparator" w:id="0">
    <w:p w:rsidR="00F63C4D" w:rsidRDefault="00F63C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265691"/>
    <w:multiLevelType w:val="multilevel"/>
    <w:tmpl w:val="748CA8BA"/>
    <w:lvl w:ilvl="0">
      <w:start w:val="1"/>
      <w:numFmt w:val="decimal"/>
      <w:lvlText w:val="%1."/>
      <w:lvlJc w:val="left"/>
      <w:pPr>
        <w:ind w:left="360" w:hanging="360"/>
      </w:pPr>
    </w:lvl>
    <w:lvl w:ilvl="1">
      <w:start w:val="1"/>
      <w:numFmt w:val="bullet"/>
      <w:lvlText w:val="●"/>
      <w:lvlJc w:val="left"/>
      <w:pPr>
        <w:ind w:left="792" w:hanging="432"/>
      </w:pPr>
      <w:rPr>
        <w:rFonts w:ascii="Noto Sans Symbols" w:eastAsia="Noto Sans Symbols" w:hAnsi="Noto Sans Symbols" w:cs="Noto Sans Symbols"/>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5"/>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1">
    <w:nsid w:val="39495BA8"/>
    <w:multiLevelType w:val="multilevel"/>
    <w:tmpl w:val="0E4CC4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587250C2"/>
    <w:multiLevelType w:val="multilevel"/>
    <w:tmpl w:val="BB4027E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10DDA"/>
    <w:rsid w:val="005C54E0"/>
    <w:rsid w:val="00910DDA"/>
    <w:rsid w:val="00972536"/>
    <w:rsid w:val="00B62D7F"/>
    <w:rsid w:val="00F63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n-GB" w:eastAsia="en-GB"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0"/>
      <w:outlineLvl w:val="0"/>
    </w:pPr>
    <w:rPr>
      <w:b/>
      <w:sz w:val="32"/>
      <w:szCs w:val="32"/>
    </w:rPr>
  </w:style>
  <w:style w:type="paragraph" w:styleId="Heading2">
    <w:name w:val="heading 2"/>
    <w:basedOn w:val="Normal"/>
    <w:next w:val="Normal"/>
    <w:pPr>
      <w:keepNext/>
      <w:keepLines/>
      <w:spacing w:before="40" w:after="0"/>
      <w:outlineLvl w:val="1"/>
    </w:pPr>
    <w:rPr>
      <w:b/>
      <w:sz w:val="26"/>
      <w:szCs w:val="26"/>
    </w:rPr>
  </w:style>
  <w:style w:type="paragraph" w:styleId="Heading3">
    <w:name w:val="heading 3"/>
    <w:basedOn w:val="Normal"/>
    <w:next w:val="Normal"/>
    <w:pPr>
      <w:keepNext/>
      <w:keepLines/>
      <w:spacing w:before="40" w:after="0"/>
      <w:outlineLvl w:val="2"/>
    </w:pPr>
    <w:rPr>
      <w:rFonts w:ascii="Calibri" w:eastAsia="Calibri" w:hAnsi="Calibri" w:cs="Calibri"/>
      <w:color w:val="1F3863"/>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jc w:val="left"/>
    </w:pPr>
    <w:rPr>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B62D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D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en-GB" w:eastAsia="en-GB"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0"/>
      <w:outlineLvl w:val="0"/>
    </w:pPr>
    <w:rPr>
      <w:b/>
      <w:sz w:val="32"/>
      <w:szCs w:val="32"/>
    </w:rPr>
  </w:style>
  <w:style w:type="paragraph" w:styleId="Heading2">
    <w:name w:val="heading 2"/>
    <w:basedOn w:val="Normal"/>
    <w:next w:val="Normal"/>
    <w:pPr>
      <w:keepNext/>
      <w:keepLines/>
      <w:spacing w:before="40" w:after="0"/>
      <w:outlineLvl w:val="1"/>
    </w:pPr>
    <w:rPr>
      <w:b/>
      <w:sz w:val="26"/>
      <w:szCs w:val="26"/>
    </w:rPr>
  </w:style>
  <w:style w:type="paragraph" w:styleId="Heading3">
    <w:name w:val="heading 3"/>
    <w:basedOn w:val="Normal"/>
    <w:next w:val="Normal"/>
    <w:pPr>
      <w:keepNext/>
      <w:keepLines/>
      <w:spacing w:before="40" w:after="0"/>
      <w:outlineLvl w:val="2"/>
    </w:pPr>
    <w:rPr>
      <w:rFonts w:ascii="Calibri" w:eastAsia="Calibri" w:hAnsi="Calibri" w:cs="Calibri"/>
      <w:color w:val="1F3863"/>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jc w:val="left"/>
    </w:pPr>
    <w:rPr>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B62D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D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s://doi.org/10.1080/09669582.2013.785556" TargetMode="External"/><Relationship Id="rId18" Type="http://schemas.openxmlformats.org/officeDocument/2006/relationships/hyperlink" Target="https://www.epa.gov/greeningepa/sector-resources-hospitality" TargetMode="External"/><Relationship Id="rId26" Type="http://schemas.openxmlformats.org/officeDocument/2006/relationships/hyperlink" Target="https://doi.org/10.1016/j.ijhm.2005.02.003" TargetMode="External"/><Relationship Id="rId3" Type="http://schemas.microsoft.com/office/2007/relationships/stylesWithEffects" Target="stylesWithEffects.xml"/><Relationship Id="rId21" Type="http://schemas.openxmlformats.org/officeDocument/2006/relationships/hyperlink" Target="https://cinea.ec.europa.eu/life_en"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016/j.ijhm.2005.06.006" TargetMode="External"/><Relationship Id="rId17" Type="http://schemas.openxmlformats.org/officeDocument/2006/relationships/hyperlink" Target="https://earthcheck.org/" TargetMode="External"/><Relationship Id="rId25" Type="http://schemas.openxmlformats.org/officeDocument/2006/relationships/hyperlink" Target="https://tourismpartnership.org/" TargetMode="External"/><Relationship Id="rId33" Type="http://schemas.openxmlformats.org/officeDocument/2006/relationships/hyperlink" Target="https://www.usgbc.org/leed" TargetMode="External"/><Relationship Id="rId2" Type="http://schemas.openxmlformats.org/officeDocument/2006/relationships/styles" Target="styles.xml"/><Relationship Id="rId16" Type="http://schemas.openxmlformats.org/officeDocument/2006/relationships/hyperlink" Target="https://www.energy.gov/eere/buildings/energy-efficient-commercial-buildings-tax-deduction" TargetMode="External"/><Relationship Id="rId20" Type="http://schemas.openxmlformats.org/officeDocument/2006/relationships/hyperlink" Target="https://energy.ec.europa.eu/topics/energy-efficiency/energy-efficient-buildings/energy-performance-buildings-directive_en" TargetMode="External"/><Relationship Id="rId29" Type="http://schemas.openxmlformats.org/officeDocument/2006/relationships/hyperlink" Target="https://doi.org/10.1016/j.jclepro.2015.07.14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i.org/10.1177/0010880404273891" TargetMode="External"/><Relationship Id="rId24" Type="http://schemas.openxmlformats.org/officeDocument/2006/relationships/hyperlink" Target="https://doi.org/10.1016/j.tourman.2009.03.013" TargetMode="External"/><Relationship Id="rId32" Type="http://schemas.openxmlformats.org/officeDocument/2006/relationships/hyperlink" Target="https://doi.org/10.1016/j.ijhm.2015.03.006" TargetMode="External"/><Relationship Id="rId5" Type="http://schemas.openxmlformats.org/officeDocument/2006/relationships/webSettings" Target="webSettings.xml"/><Relationship Id="rId15" Type="http://schemas.openxmlformats.org/officeDocument/2006/relationships/hyperlink" Target="https://doi.org/10.1016/j.renene.2007.12.016" TargetMode="External"/><Relationship Id="rId23" Type="http://schemas.openxmlformats.org/officeDocument/2006/relationships/hyperlink" Target="https://greenkey.global/criteria/" TargetMode="External"/><Relationship Id="rId28" Type="http://schemas.openxmlformats.org/officeDocument/2006/relationships/hyperlink" Target="https://doi.org/10.1016/j.jenvman.2014.07.038" TargetMode="External"/><Relationship Id="rId36" Type="http://schemas.openxmlformats.org/officeDocument/2006/relationships/theme" Target="theme/theme1.xml"/><Relationship Id="rId10" Type="http://schemas.openxmlformats.org/officeDocument/2006/relationships/hyperlink" Target="https://doi.org/10.1016/j.techfore.2020.120248" TargetMode="External"/><Relationship Id="rId19" Type="http://schemas.openxmlformats.org/officeDocument/2006/relationships/hyperlink" Target="https://doi.org/10.1016/j.tourman.2009.01.002" TargetMode="External"/><Relationship Id="rId31" Type="http://schemas.openxmlformats.org/officeDocument/2006/relationships/hyperlink" Target="https://doi.org/10.1016/j.resconrec.2020.104686" TargetMode="External"/><Relationship Id="rId4" Type="http://schemas.openxmlformats.org/officeDocument/2006/relationships/settings" Target="settings.xml"/><Relationship Id="rId9" Type="http://schemas.openxmlformats.org/officeDocument/2006/relationships/hyperlink" Target="https://doi.org/10.3390/buildings2020126" TargetMode="External"/><Relationship Id="rId14" Type="http://schemas.openxmlformats.org/officeDocument/2006/relationships/hyperlink" Target="https://doi.org/10.1080/09669582.2022.2072447" TargetMode="External"/><Relationship Id="rId22" Type="http://schemas.openxmlformats.org/officeDocument/2006/relationships/hyperlink" Target="https://doi.org/10.1016/j.jclepro.2011.07.002" TargetMode="External"/><Relationship Id="rId27" Type="http://schemas.openxmlformats.org/officeDocument/2006/relationships/hyperlink" Target="https://doi.org/10.1177/1938965510395163" TargetMode="External"/><Relationship Id="rId30" Type="http://schemas.openxmlformats.org/officeDocument/2006/relationships/hyperlink" Target="https://doi.org/10.1080/09669582.2011.621539" TargetMode="External"/><Relationship Id="rId35" Type="http://schemas.openxmlformats.org/officeDocument/2006/relationships/fontTable" Target="fontTable.xm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Key Risks to Hotel</a:t>
            </a:r>
            <a:r>
              <a:rPr lang="en-GB" baseline="0"/>
              <a:t> Industries</a:t>
            </a:r>
            <a:endParaRPr lang="en-GB"/>
          </a:p>
        </c:rich>
      </c:tx>
      <c:overlay val="0"/>
      <c:spPr>
        <a:noFill/>
        <a:ln>
          <a:noFill/>
        </a:ln>
        <a:effectLst/>
      </c:spPr>
    </c:title>
    <c:autoTitleDeleted val="0"/>
    <c:plotArea>
      <c:layout/>
      <c:barChart>
        <c:barDir val="col"/>
        <c:grouping val="clustered"/>
        <c:varyColors val="0"/>
        <c:ser>
          <c:idx val="0"/>
          <c:order val="0"/>
          <c:tx>
            <c:strRef>
              <c:f>Sheet1!$B$1</c:f>
              <c:strCache>
                <c:ptCount val="1"/>
                <c:pt idx="0">
                  <c:v>Already Threatening</c:v>
                </c:pt>
              </c:strCache>
            </c:strRef>
          </c:tx>
          <c:spPr>
            <a:solidFill>
              <a:schemeClr val="accent1"/>
            </a:solidFill>
            <a:ln>
              <a:noFill/>
            </a:ln>
            <a:effectLst/>
          </c:spPr>
          <c:invertIfNegative val="0"/>
          <c:cat>
            <c:strRef>
              <c:f>Sheet1!$A$2:$A$5</c:f>
              <c:strCache>
                <c:ptCount val="4"/>
                <c:pt idx="0">
                  <c:v> supply chain resilience </c:v>
                </c:pt>
                <c:pt idx="1">
                  <c:v>Increased Regulatory Burden</c:v>
                </c:pt>
                <c:pt idx="2">
                  <c:v>Climate Change Disruptions</c:v>
                </c:pt>
                <c:pt idx="3">
                  <c:v>Non-Compliance with Growing Sustainability Agenda</c:v>
                </c:pt>
              </c:strCache>
            </c:strRef>
          </c:cat>
          <c:val>
            <c:numRef>
              <c:f>Sheet1!$B$2:$B$5</c:f>
              <c:numCache>
                <c:formatCode>General</c:formatCode>
                <c:ptCount val="4"/>
                <c:pt idx="0">
                  <c:v>45</c:v>
                </c:pt>
                <c:pt idx="1">
                  <c:v>34</c:v>
                </c:pt>
                <c:pt idx="2">
                  <c:v>24</c:v>
                </c:pt>
                <c:pt idx="3">
                  <c:v>15</c:v>
                </c:pt>
              </c:numCache>
            </c:numRef>
          </c:val>
          <c:extLst xmlns:c16r2="http://schemas.microsoft.com/office/drawing/2015/06/chart">
            <c:ext xmlns:c16="http://schemas.microsoft.com/office/drawing/2014/chart" uri="{C3380CC4-5D6E-409C-BE32-E72D297353CC}">
              <c16:uniqueId val="{00000000-954F-43FD-8C3D-A682E9A69869}"/>
            </c:ext>
          </c:extLst>
        </c:ser>
        <c:ser>
          <c:idx val="1"/>
          <c:order val="1"/>
          <c:tx>
            <c:strRef>
              <c:f>Sheet1!$C$1</c:f>
              <c:strCache>
                <c:ptCount val="1"/>
                <c:pt idx="0">
                  <c:v>High risk 1-3 years</c:v>
                </c:pt>
              </c:strCache>
            </c:strRef>
          </c:tx>
          <c:spPr>
            <a:solidFill>
              <a:schemeClr val="accent2"/>
            </a:solidFill>
            <a:ln>
              <a:noFill/>
            </a:ln>
            <a:effectLst/>
          </c:spPr>
          <c:invertIfNegative val="0"/>
          <c:cat>
            <c:strRef>
              <c:f>Sheet1!$A$2:$A$5</c:f>
              <c:strCache>
                <c:ptCount val="4"/>
                <c:pt idx="0">
                  <c:v> supply chain resilience </c:v>
                </c:pt>
                <c:pt idx="1">
                  <c:v>Increased Regulatory Burden</c:v>
                </c:pt>
                <c:pt idx="2">
                  <c:v>Climate Change Disruptions</c:v>
                </c:pt>
                <c:pt idx="3">
                  <c:v>Non-Compliance with Growing Sustainability Agenda</c:v>
                </c:pt>
              </c:strCache>
            </c:strRef>
          </c:cat>
          <c:val>
            <c:numRef>
              <c:f>Sheet1!$C$2:$C$5</c:f>
              <c:numCache>
                <c:formatCode>General</c:formatCode>
                <c:ptCount val="4"/>
                <c:pt idx="0">
                  <c:v>17</c:v>
                </c:pt>
                <c:pt idx="1">
                  <c:v>31</c:v>
                </c:pt>
                <c:pt idx="2">
                  <c:v>23</c:v>
                </c:pt>
                <c:pt idx="3">
                  <c:v>24</c:v>
                </c:pt>
              </c:numCache>
            </c:numRef>
          </c:val>
          <c:extLst xmlns:c16r2="http://schemas.microsoft.com/office/drawing/2015/06/chart">
            <c:ext xmlns:c16="http://schemas.microsoft.com/office/drawing/2014/chart" uri="{C3380CC4-5D6E-409C-BE32-E72D297353CC}">
              <c16:uniqueId val="{00000001-954F-43FD-8C3D-A682E9A69869}"/>
            </c:ext>
          </c:extLst>
        </c:ser>
        <c:ser>
          <c:idx val="2"/>
          <c:order val="2"/>
          <c:tx>
            <c:strRef>
              <c:f>Sheet1!$D$1</c:f>
              <c:strCache>
                <c:ptCount val="1"/>
                <c:pt idx="0">
                  <c:v>High risk over 3 years</c:v>
                </c:pt>
              </c:strCache>
            </c:strRef>
          </c:tx>
          <c:spPr>
            <a:solidFill>
              <a:schemeClr val="accent3"/>
            </a:solidFill>
            <a:ln>
              <a:noFill/>
            </a:ln>
            <a:effectLst/>
          </c:spPr>
          <c:invertIfNegative val="0"/>
          <c:cat>
            <c:strRef>
              <c:f>Sheet1!$A$2:$A$5</c:f>
              <c:strCache>
                <c:ptCount val="4"/>
                <c:pt idx="0">
                  <c:v> supply chain resilience </c:v>
                </c:pt>
                <c:pt idx="1">
                  <c:v>Increased Regulatory Burden</c:v>
                </c:pt>
                <c:pt idx="2">
                  <c:v>Climate Change Disruptions</c:v>
                </c:pt>
                <c:pt idx="3">
                  <c:v>Non-Compliance with Growing Sustainability Agenda</c:v>
                </c:pt>
              </c:strCache>
            </c:strRef>
          </c:cat>
          <c:val>
            <c:numRef>
              <c:f>Sheet1!$D$2:$D$5</c:f>
              <c:numCache>
                <c:formatCode>General</c:formatCode>
                <c:ptCount val="4"/>
                <c:pt idx="0">
                  <c:v>3</c:v>
                </c:pt>
                <c:pt idx="1">
                  <c:v>14</c:v>
                </c:pt>
                <c:pt idx="2">
                  <c:v>33</c:v>
                </c:pt>
                <c:pt idx="3">
                  <c:v>39</c:v>
                </c:pt>
              </c:numCache>
            </c:numRef>
          </c:val>
          <c:extLst xmlns:c16r2="http://schemas.microsoft.com/office/drawing/2015/06/chart">
            <c:ext xmlns:c16="http://schemas.microsoft.com/office/drawing/2014/chart" uri="{C3380CC4-5D6E-409C-BE32-E72D297353CC}">
              <c16:uniqueId val="{00000002-954F-43FD-8C3D-A682E9A69869}"/>
            </c:ext>
          </c:extLst>
        </c:ser>
        <c:ser>
          <c:idx val="3"/>
          <c:order val="3"/>
          <c:tx>
            <c:strRef>
              <c:f>Sheet1!$E$1</c:f>
              <c:strCache>
                <c:ptCount val="1"/>
                <c:pt idx="0">
                  <c:v>Don't know</c:v>
                </c:pt>
              </c:strCache>
            </c:strRef>
          </c:tx>
          <c:spPr>
            <a:solidFill>
              <a:schemeClr val="accent4"/>
            </a:solidFill>
            <a:ln>
              <a:noFill/>
            </a:ln>
            <a:effectLst/>
          </c:spPr>
          <c:invertIfNegative val="0"/>
          <c:cat>
            <c:strRef>
              <c:f>Sheet1!$A$2:$A$5</c:f>
              <c:strCache>
                <c:ptCount val="4"/>
                <c:pt idx="0">
                  <c:v> supply chain resilience </c:v>
                </c:pt>
                <c:pt idx="1">
                  <c:v>Increased Regulatory Burden</c:v>
                </c:pt>
                <c:pt idx="2">
                  <c:v>Climate Change Disruptions</c:v>
                </c:pt>
                <c:pt idx="3">
                  <c:v>Non-Compliance with Growing Sustainability Agenda</c:v>
                </c:pt>
              </c:strCache>
            </c:strRef>
          </c:cat>
          <c:val>
            <c:numRef>
              <c:f>Sheet1!$E$2:$E$5</c:f>
              <c:numCache>
                <c:formatCode>General</c:formatCode>
                <c:ptCount val="4"/>
                <c:pt idx="0">
                  <c:v>9</c:v>
                </c:pt>
                <c:pt idx="1">
                  <c:v>10</c:v>
                </c:pt>
                <c:pt idx="2">
                  <c:v>8</c:v>
                </c:pt>
                <c:pt idx="3">
                  <c:v>12</c:v>
                </c:pt>
              </c:numCache>
            </c:numRef>
          </c:val>
          <c:extLst xmlns:c16r2="http://schemas.microsoft.com/office/drawing/2015/06/chart">
            <c:ext xmlns:c16="http://schemas.microsoft.com/office/drawing/2014/chart" uri="{C3380CC4-5D6E-409C-BE32-E72D297353CC}">
              <c16:uniqueId val="{00000004-954F-43FD-8C3D-A682E9A69869}"/>
            </c:ext>
          </c:extLst>
        </c:ser>
        <c:ser>
          <c:idx val="4"/>
          <c:order val="4"/>
          <c:tx>
            <c:strRef>
              <c:f>Sheet1!$F$1</c:f>
              <c:strCache>
                <c:ptCount val="1"/>
                <c:pt idx="0">
                  <c:v>Not a risk</c:v>
                </c:pt>
              </c:strCache>
            </c:strRef>
          </c:tx>
          <c:spPr>
            <a:solidFill>
              <a:schemeClr val="accent5"/>
            </a:solidFill>
            <a:ln>
              <a:noFill/>
            </a:ln>
            <a:effectLst/>
          </c:spPr>
          <c:invertIfNegative val="0"/>
          <c:cat>
            <c:strRef>
              <c:f>Sheet1!$A$2:$A$5</c:f>
              <c:strCache>
                <c:ptCount val="4"/>
                <c:pt idx="0">
                  <c:v> supply chain resilience </c:v>
                </c:pt>
                <c:pt idx="1">
                  <c:v>Increased Regulatory Burden</c:v>
                </c:pt>
                <c:pt idx="2">
                  <c:v>Climate Change Disruptions</c:v>
                </c:pt>
                <c:pt idx="3">
                  <c:v>Non-Compliance with Growing Sustainability Agenda</c:v>
                </c:pt>
              </c:strCache>
            </c:strRef>
          </c:cat>
          <c:val>
            <c:numRef>
              <c:f>Sheet1!$F$2:$F$5</c:f>
              <c:numCache>
                <c:formatCode>General</c:formatCode>
                <c:ptCount val="4"/>
                <c:pt idx="0">
                  <c:v>25</c:v>
                </c:pt>
                <c:pt idx="1">
                  <c:v>12</c:v>
                </c:pt>
                <c:pt idx="2">
                  <c:v>12</c:v>
                </c:pt>
                <c:pt idx="3">
                  <c:v>11</c:v>
                </c:pt>
              </c:numCache>
            </c:numRef>
          </c:val>
          <c:extLst xmlns:c16r2="http://schemas.microsoft.com/office/drawing/2015/06/chart">
            <c:ext xmlns:c16="http://schemas.microsoft.com/office/drawing/2014/chart" uri="{C3380CC4-5D6E-409C-BE32-E72D297353CC}">
              <c16:uniqueId val="{00000005-954F-43FD-8C3D-A682E9A69869}"/>
            </c:ext>
          </c:extLst>
        </c:ser>
        <c:dLbls>
          <c:showLegendKey val="0"/>
          <c:showVal val="0"/>
          <c:showCatName val="0"/>
          <c:showSerName val="0"/>
          <c:showPercent val="0"/>
          <c:showBubbleSize val="0"/>
        </c:dLbls>
        <c:gapWidth val="219"/>
        <c:axId val="164011008"/>
        <c:axId val="222622784"/>
      </c:barChart>
      <c:catAx>
        <c:axId val="164011008"/>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622784"/>
        <c:crosses val="autoZero"/>
        <c:auto val="1"/>
        <c:lblAlgn val="ctr"/>
        <c:lblOffset val="100"/>
        <c:noMultiLvlLbl val="0"/>
      </c:catAx>
      <c:valAx>
        <c:axId val="222622784"/>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011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4126</Words>
  <Characters>23523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2024-05-31T21:00:00Z</dcterms:created>
  <dcterms:modified xsi:type="dcterms:W3CDTF">2024-05-31T21:00:00Z</dcterms:modified>
</cp:coreProperties>
</file>