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pPr>
      <w:r w:rsidDel="00000000" w:rsidR="00000000" w:rsidRPr="00000000">
        <w:rPr>
          <w:rtl w:val="0"/>
        </w:rPr>
        <w:t xml:space="preserve">A Critical Review of Plutarch’s De Defectu Oraculorum (On the Obsolescence of Oracles)</w:t>
      </w:r>
    </w:p>
    <w:p w:rsidR="00000000" w:rsidDel="00000000" w:rsidP="00000000" w:rsidRDefault="00000000" w:rsidRPr="00000000" w14:paraId="00000002">
      <w:pPr>
        <w:spacing w:line="480" w:lineRule="auto"/>
        <w:rPr/>
      </w:pPr>
      <w:r w:rsidDel="00000000" w:rsidR="00000000" w:rsidRPr="00000000">
        <w:rPr>
          <w:rtl w:val="0"/>
        </w:rPr>
      </w:r>
    </w:p>
    <w:p w:rsidR="00000000" w:rsidDel="00000000" w:rsidP="00000000" w:rsidRDefault="00000000" w:rsidRPr="00000000" w14:paraId="00000003">
      <w:pPr>
        <w:spacing w:line="480" w:lineRule="auto"/>
        <w:rPr/>
      </w:pPr>
      <w:r w:rsidDel="00000000" w:rsidR="00000000" w:rsidRPr="00000000">
        <w:rPr>
          <w:rtl w:val="0"/>
        </w:rPr>
        <w:t xml:space="preserve">Plutarch was a Greek philosopher writing in the first century AD, and his De Defectu Oraculorum was one of a rather prolific body of work, much of which has been lost to us.</w:t>
      </w:r>
      <w:r w:rsidDel="00000000" w:rsidR="00000000" w:rsidRPr="00000000">
        <w:rPr>
          <w:vertAlign w:val="superscript"/>
        </w:rPr>
        <w:footnoteReference w:customMarkFollows="0" w:id="0"/>
      </w:r>
      <w:r w:rsidDel="00000000" w:rsidR="00000000" w:rsidRPr="00000000">
        <w:rPr>
          <w:rtl w:val="0"/>
        </w:rPr>
        <w:t xml:space="preserve"> Schröder characterises Plutarch, from the perspective of studying Plutarch’s works, as someone who “defends the compatibility of believing in divination with Academic philosophy”.</w:t>
      </w:r>
      <w:r w:rsidDel="00000000" w:rsidR="00000000" w:rsidRPr="00000000">
        <w:rPr>
          <w:vertAlign w:val="superscript"/>
        </w:rPr>
        <w:footnoteReference w:customMarkFollows="0" w:id="1"/>
      </w:r>
      <w:r w:rsidDel="00000000" w:rsidR="00000000" w:rsidRPr="00000000">
        <w:rPr>
          <w:rtl w:val="0"/>
        </w:rPr>
        <w:t xml:space="preserve"> The text in particular that is the concentration of this paper is in a dialogue format, featuring a conversation between a group of men as to the state of the current positions of the oracles within the Greek landscape at this current time, while also touching upon a myriad of other topics. This area of contention that he focuses upon is something which is in some ways personal to him, and something that must be considered is the context from which Plutarch is writing; he had himself been a priest at Delphi.</w:t>
      </w:r>
      <w:r w:rsidDel="00000000" w:rsidR="00000000" w:rsidRPr="00000000">
        <w:rPr>
          <w:vertAlign w:val="superscript"/>
        </w:rPr>
        <w:footnoteReference w:customMarkFollows="0" w:id="2"/>
      </w:r>
      <w:r w:rsidDel="00000000" w:rsidR="00000000" w:rsidRPr="00000000">
        <w:rPr>
          <w:rtl w:val="0"/>
        </w:rPr>
        <w:t xml:space="preserve"> This within itself makes Plutarch’s position easy to guess; he clearly had been involved within Delphic traditions, meaning that it is not unreasonable to assume that he had an element of allegiance to their religious practises, which primarily focused around divination. Plutarch settles into this surprisingly long written dialogue with what does appear to be the intention of creating some kind of acceptable middle-ground for the approaches of philosophy and religion (and we mourn the loss of a lost work on whether divination is, in actuality, useful).</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04">
      <w:pPr>
        <w:spacing w:line="480" w:lineRule="auto"/>
        <w:rPr/>
      </w:pPr>
      <w:r w:rsidDel="00000000" w:rsidR="00000000" w:rsidRPr="00000000">
        <w:rPr>
          <w:rtl w:val="0"/>
        </w:rPr>
      </w:r>
    </w:p>
    <w:p w:rsidR="00000000" w:rsidDel="00000000" w:rsidP="00000000" w:rsidRDefault="00000000" w:rsidRPr="00000000" w14:paraId="00000005">
      <w:pPr>
        <w:spacing w:line="480" w:lineRule="auto"/>
        <w:rPr/>
      </w:pPr>
      <w:r w:rsidDel="00000000" w:rsidR="00000000" w:rsidRPr="00000000">
        <w:rPr>
          <w:rtl w:val="0"/>
        </w:rPr>
        <w:t xml:space="preserve">The question of Plutarch’s stylistic decision in the choice of using a dialogue to elucidate upon the content of what is essentially an essay on his philosophical thoughts upon what could be seen as the fall of the oracle at this point in history, has not received as much scholarly attention as one would expect.</w:t>
      </w:r>
      <w:r w:rsidDel="00000000" w:rsidR="00000000" w:rsidRPr="00000000">
        <w:rPr>
          <w:vertAlign w:val="superscript"/>
        </w:rPr>
        <w:footnoteReference w:customMarkFollows="0" w:id="4"/>
      </w:r>
      <w:r w:rsidDel="00000000" w:rsidR="00000000" w:rsidRPr="00000000">
        <w:rPr>
          <w:rtl w:val="0"/>
        </w:rPr>
        <w:t xml:space="preserve"> The choice of dialogue is an important one, and would not have been undertaken lightly, and there will have been a reason for it. This appears to be a way in which Plutarch can discuss other schools of thought while still seeming to purport as one which he supports, shown through the usage of his brother Lamprias, which some scholars believe to have been actually a representation of himself, because of the official position that he holds within Delphi.</w:t>
      </w:r>
      <w:r w:rsidDel="00000000" w:rsidR="00000000" w:rsidRPr="00000000">
        <w:rPr>
          <w:vertAlign w:val="superscript"/>
        </w:rPr>
        <w:footnoteReference w:customMarkFollows="0" w:id="5"/>
      </w:r>
      <w:r w:rsidDel="00000000" w:rsidR="00000000" w:rsidRPr="00000000">
        <w:rPr>
          <w:rtl w:val="0"/>
        </w:rPr>
        <w:t xml:space="preserve"> This is undercut by the way in which scholars do not know what his actual position upon rhetoric was, writing at a time when his contemporaries that have survived to us were living in Italy, and not seeing the way in which Greece’s society was fluctuating over the 300 years prior.</w:t>
      </w:r>
      <w:r w:rsidDel="00000000" w:rsidR="00000000" w:rsidRPr="00000000">
        <w:rPr>
          <w:vertAlign w:val="superscript"/>
        </w:rPr>
        <w:footnoteReference w:customMarkFollows="0" w:id="6"/>
      </w:r>
      <w:r w:rsidDel="00000000" w:rsidR="00000000" w:rsidRPr="00000000">
        <w:rPr>
          <w:rtl w:val="0"/>
        </w:rPr>
        <w:t xml:space="preserve"> The way in which Plutarch conceives of this work as a debate enables him to engage in a much more meaningful way with several different lines of thoughts, while also showing himself to be something of an expert in rhetoric.</w:t>
      </w:r>
      <w:r w:rsidDel="00000000" w:rsidR="00000000" w:rsidRPr="00000000">
        <w:rPr>
          <w:vertAlign w:val="superscript"/>
        </w:rPr>
        <w:footnoteReference w:customMarkFollows="0" w:id="7"/>
      </w:r>
      <w:r w:rsidDel="00000000" w:rsidR="00000000" w:rsidRPr="00000000">
        <w:rPr>
          <w:rtl w:val="0"/>
        </w:rPr>
        <w:t xml:space="preserve"> This framing of his work within a dialogue actually sheds light on much more of historical thinking and philosophy to us than something framed in another way would; it enables us to see several different trains of thought that were known within the time, though Plutarch himself, in many ways, remains a mystery to us.</w:t>
      </w:r>
      <w:r w:rsidDel="00000000" w:rsidR="00000000" w:rsidRPr="00000000">
        <w:rPr>
          <w:vertAlign w:val="superscript"/>
        </w:rPr>
        <w:footnoteReference w:customMarkFollows="0" w:id="8"/>
      </w:r>
      <w:r w:rsidDel="00000000" w:rsidR="00000000" w:rsidRPr="00000000">
        <w:rPr>
          <w:rtl w:val="0"/>
        </w:rPr>
        <w:t xml:space="preserve"> This dialogue enables Plutarch to question divination and from where the force behind divination comes from, but even so he does not question the act itself - he does not question whether divination </w:t>
      </w:r>
      <w:r w:rsidDel="00000000" w:rsidR="00000000" w:rsidRPr="00000000">
        <w:rPr>
          <w:i w:val="1"/>
          <w:rtl w:val="0"/>
        </w:rPr>
        <w:t xml:space="preserve">works</w:t>
      </w:r>
      <w:r w:rsidDel="00000000" w:rsidR="00000000" w:rsidRPr="00000000">
        <w:rPr>
          <w:rtl w:val="0"/>
        </w:rPr>
        <w:t xml:space="preserve">, and that question within itself is irrelevant to the content of this paper. Plutarch does not ever posit anything that could leave the reader to question whether he believes in such - as shown by his mention of the serpent that had once been attracted to desolation at Delphi; within the schema of his contemporaries this isn’t a rare sort of belief; magic and reality intertwine in a world where myth is dogma.</w:t>
      </w:r>
      <w:r w:rsidDel="00000000" w:rsidR="00000000" w:rsidRPr="00000000">
        <w:rPr>
          <w:vertAlign w:val="superscript"/>
        </w:rPr>
        <w:footnoteReference w:customMarkFollows="0" w:id="9"/>
      </w:r>
      <w:r w:rsidDel="00000000" w:rsidR="00000000" w:rsidRPr="00000000">
        <w:rPr>
          <w:rtl w:val="0"/>
        </w:rPr>
        <w:t xml:space="preserve"> </w:t>
      </w:r>
    </w:p>
    <w:p w:rsidR="00000000" w:rsidDel="00000000" w:rsidP="00000000" w:rsidRDefault="00000000" w:rsidRPr="00000000" w14:paraId="00000006">
      <w:pPr>
        <w:spacing w:line="480" w:lineRule="auto"/>
        <w:rPr/>
      </w:pPr>
      <w:r w:rsidDel="00000000" w:rsidR="00000000" w:rsidRPr="00000000">
        <w:rPr>
          <w:rtl w:val="0"/>
        </w:rPr>
      </w:r>
    </w:p>
    <w:p w:rsidR="00000000" w:rsidDel="00000000" w:rsidP="00000000" w:rsidRDefault="00000000" w:rsidRPr="00000000" w14:paraId="00000007">
      <w:pPr>
        <w:spacing w:line="480" w:lineRule="auto"/>
        <w:rPr/>
      </w:pPr>
      <w:r w:rsidDel="00000000" w:rsidR="00000000" w:rsidRPr="00000000">
        <w:rPr>
          <w:rtl w:val="0"/>
        </w:rPr>
        <w:t xml:space="preserve">This interweaving of life and the inexplicable is read as something like some sort of confusing for a modern audience, but has been clearly illustrated as a simple part of life for the ancient world; this is shown even within Herodotus’ Histories, where as the first known historian he still speaks of many things as fact that we would now view as fantastical.</w:t>
      </w:r>
      <w:r w:rsidDel="00000000" w:rsidR="00000000" w:rsidRPr="00000000">
        <w:rPr>
          <w:vertAlign w:val="superscript"/>
        </w:rPr>
        <w:footnoteReference w:customMarkFollows="0" w:id="10"/>
      </w:r>
      <w:r w:rsidDel="00000000" w:rsidR="00000000" w:rsidRPr="00000000">
        <w:rPr>
          <w:rtl w:val="0"/>
        </w:rPr>
        <w:t xml:space="preserve"> This is an important element of understanding that which is not an issue of any sort of question for Plutarch and his contemporaries; the Cynic may question what is going on with the Pythia, and may posit some kind of atheist philosophical argument, but this is a society that is largely accepting of that which could be seen as beyond the standard understanding of the world, that which could be referred to as the experiential dimension.</w:t>
      </w:r>
      <w:r w:rsidDel="00000000" w:rsidR="00000000" w:rsidRPr="00000000">
        <w:rPr>
          <w:vertAlign w:val="superscript"/>
        </w:rPr>
        <w:footnoteReference w:customMarkFollows="0" w:id="11"/>
      </w:r>
      <w:r w:rsidDel="00000000" w:rsidR="00000000" w:rsidRPr="00000000">
        <w:rPr>
          <w:rtl w:val="0"/>
        </w:rPr>
        <w:t xml:space="preserve"> Myth is understood, largely, to be something which happened, and the gods are closer than we would think.</w:t>
      </w:r>
      <w:r w:rsidDel="00000000" w:rsidR="00000000" w:rsidRPr="00000000">
        <w:rPr>
          <w:rtl w:val="0"/>
        </w:rPr>
      </w:r>
    </w:p>
    <w:p w:rsidR="00000000" w:rsidDel="00000000" w:rsidP="00000000" w:rsidRDefault="00000000" w:rsidRPr="00000000" w14:paraId="00000008">
      <w:pPr>
        <w:spacing w:line="480" w:lineRule="auto"/>
        <w:rPr/>
      </w:pPr>
      <w:r w:rsidDel="00000000" w:rsidR="00000000" w:rsidRPr="00000000">
        <w:rPr>
          <w:rtl w:val="0"/>
        </w:rPr>
      </w:r>
    </w:p>
    <w:p w:rsidR="00000000" w:rsidDel="00000000" w:rsidP="00000000" w:rsidRDefault="00000000" w:rsidRPr="00000000" w14:paraId="00000009">
      <w:pPr>
        <w:spacing w:line="480" w:lineRule="auto"/>
        <w:rPr/>
      </w:pPr>
      <w:r w:rsidDel="00000000" w:rsidR="00000000" w:rsidRPr="00000000">
        <w:rPr>
          <w:rtl w:val="0"/>
        </w:rPr>
        <w:t xml:space="preserve">Plutarch also wrote what could be viewed as an accompanying dialogue, within the large amount of texts he wrote that expressed his concern in religious prophecy, but even with the knowledge that would have been allowed to him as an official of Delphi he does not go into huge detail of how, exactly, the Pythia works.</w:t>
      </w:r>
      <w:r w:rsidDel="00000000" w:rsidR="00000000" w:rsidRPr="00000000">
        <w:rPr>
          <w:vertAlign w:val="superscript"/>
        </w:rPr>
        <w:footnoteReference w:customMarkFollows="0" w:id="12"/>
      </w:r>
      <w:r w:rsidDel="00000000" w:rsidR="00000000" w:rsidRPr="00000000">
        <w:rPr>
          <w:rtl w:val="0"/>
        </w:rPr>
        <w:t xml:space="preserve"> His concern with oracles does not seem to sprout from knowledge or, even, the lack of knowledge, of how oracles and divine inspiration work; when he is concerned with it he is merely concerned with presenting to the doubting audience within his dialogues some kind of reasoning for the way that oracles seem to be falling out of favour. This other dialogue, </w:t>
      </w:r>
      <w:r w:rsidDel="00000000" w:rsidR="00000000" w:rsidRPr="00000000">
        <w:rPr>
          <w:i w:val="1"/>
          <w:rtl w:val="0"/>
        </w:rPr>
        <w:t xml:space="preserve">De Pythiae oraculis</w:t>
      </w:r>
      <w:r w:rsidDel="00000000" w:rsidR="00000000" w:rsidRPr="00000000">
        <w:rPr>
          <w:rtl w:val="0"/>
        </w:rPr>
        <w:t xml:space="preserve"> (The Pythia’s Prophecies), concerns itself much more with defending the way in which there has been felt a loss, across Greece, in the sheer number of oracles that were still practising. This conversation is then echoed in the beginning of </w:t>
      </w:r>
      <w:r w:rsidDel="00000000" w:rsidR="00000000" w:rsidRPr="00000000">
        <w:rPr>
          <w:i w:val="1"/>
          <w:rtl w:val="0"/>
        </w:rPr>
        <w:t xml:space="preserve">De Defectu oraculorum</w:t>
      </w:r>
      <w:r w:rsidDel="00000000" w:rsidR="00000000" w:rsidRPr="00000000">
        <w:rPr>
          <w:rtl w:val="0"/>
        </w:rPr>
        <w:t xml:space="preserve">, and Plutarch again attempts to presents arguments that leave the blame out of the god’s hands, emphasising both nature and the natural progression of things, instead of strafing too far into either laying the blame with the gods or in actuality taking all of the element of the divine out of this interaction with them.</w:t>
      </w:r>
      <w:r w:rsidDel="00000000" w:rsidR="00000000" w:rsidRPr="00000000">
        <w:rPr>
          <w:vertAlign w:val="superscript"/>
        </w:rPr>
        <w:footnoteReference w:customMarkFollows="0" w:id="13"/>
      </w:r>
      <w:r w:rsidDel="00000000" w:rsidR="00000000" w:rsidRPr="00000000">
        <w:rPr>
          <w:rtl w:val="0"/>
        </w:rPr>
        <w:t xml:space="preserve"> </w:t>
      </w:r>
      <w:r w:rsidDel="00000000" w:rsidR="00000000" w:rsidRPr="00000000">
        <w:rPr>
          <w:i w:val="1"/>
          <w:rtl w:val="0"/>
        </w:rPr>
        <w:t xml:space="preserve">De Pythiae oraculis</w:t>
      </w:r>
      <w:r w:rsidDel="00000000" w:rsidR="00000000" w:rsidRPr="00000000">
        <w:rPr>
          <w:rtl w:val="0"/>
        </w:rPr>
        <w:t xml:space="preserve">, on the other hand, while it does consider what could be seen as a lowering of quality of the oracles, this seems more concerned with the stylistic question of the oracle, and the oracles as they are given, in verse or prose format.</w:t>
      </w:r>
      <w:r w:rsidDel="00000000" w:rsidR="00000000" w:rsidRPr="00000000">
        <w:rPr>
          <w:vertAlign w:val="superscript"/>
        </w:rPr>
        <w:footnoteReference w:customMarkFollows="0" w:id="14"/>
      </w:r>
      <w:r w:rsidDel="00000000" w:rsidR="00000000" w:rsidRPr="00000000">
        <w:rPr>
          <w:rtl w:val="0"/>
        </w:rPr>
        <w:t xml:space="preserve"> This movement removes some of the belief of the public in the oracles themselves, and this can even be seen in Cicero’s treatise that argues </w:t>
      </w:r>
      <w:r w:rsidDel="00000000" w:rsidR="00000000" w:rsidRPr="00000000">
        <w:rPr>
          <w:i w:val="1"/>
          <w:rtl w:val="0"/>
        </w:rPr>
        <w:t xml:space="preserve">against</w:t>
      </w:r>
      <w:r w:rsidDel="00000000" w:rsidR="00000000" w:rsidRPr="00000000">
        <w:rPr>
          <w:rtl w:val="0"/>
        </w:rPr>
        <w:t xml:space="preserve"> the qualities of divination, saying that surely this shows a lack of inspiration.</w:t>
      </w:r>
      <w:r w:rsidDel="00000000" w:rsidR="00000000" w:rsidRPr="00000000">
        <w:rPr>
          <w:vertAlign w:val="superscript"/>
        </w:rPr>
        <w:footnoteReference w:customMarkFollows="0" w:id="15"/>
      </w:r>
      <w:r w:rsidDel="00000000" w:rsidR="00000000" w:rsidRPr="00000000">
        <w:rPr>
          <w:rtl w:val="0"/>
        </w:rPr>
        <w:t xml:space="preserve"> This situation calls into question the reliability of the oracle, and is obviously then followed with Plutarch affecting a dialogue style to devise a variety of reasons for why this is, actually, merely endemic of the times, without being any sort of statement of a losing of power for this method of divination.</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0A">
      <w:pPr>
        <w:spacing w:line="480" w:lineRule="auto"/>
        <w:rPr/>
      </w:pPr>
      <w:r w:rsidDel="00000000" w:rsidR="00000000" w:rsidRPr="00000000">
        <w:rPr>
          <w:rtl w:val="0"/>
        </w:rPr>
      </w:r>
    </w:p>
    <w:p w:rsidR="00000000" w:rsidDel="00000000" w:rsidP="00000000" w:rsidRDefault="00000000" w:rsidRPr="00000000" w14:paraId="0000000B">
      <w:pPr>
        <w:spacing w:line="480" w:lineRule="auto"/>
        <w:rPr/>
      </w:pPr>
      <w:r w:rsidDel="00000000" w:rsidR="00000000" w:rsidRPr="00000000">
        <w:rPr>
          <w:rtl w:val="0"/>
        </w:rPr>
        <w:t xml:space="preserve">In an echo of </w:t>
      </w:r>
      <w:r w:rsidDel="00000000" w:rsidR="00000000" w:rsidRPr="00000000">
        <w:rPr>
          <w:i w:val="1"/>
          <w:rtl w:val="0"/>
        </w:rPr>
        <w:t xml:space="preserve">De Pythiae oraculis </w:t>
      </w:r>
      <w:r w:rsidDel="00000000" w:rsidR="00000000" w:rsidRPr="00000000">
        <w:rPr>
          <w:rtl w:val="0"/>
        </w:rPr>
        <w:t xml:space="preserve">we begin with a statement of a less than favourable situation for the oracles to be in, and this is then followed by attempts by this group of men to find a suitably pleasing reason for this to have happened, one that does right by the gods and also their own religion. This look at the oracles then turns into something of a speculation of how, exactly, they get their divinatory powers, and talk of the process of prophecy springs forth.</w:t>
      </w:r>
      <w:r w:rsidDel="00000000" w:rsidR="00000000" w:rsidRPr="00000000">
        <w:rPr>
          <w:vertAlign w:val="superscript"/>
        </w:rPr>
        <w:footnoteReference w:customMarkFollows="0" w:id="17"/>
      </w:r>
      <w:r w:rsidDel="00000000" w:rsidR="00000000" w:rsidRPr="00000000">
        <w:rPr>
          <w:rtl w:val="0"/>
        </w:rPr>
        <w:t xml:space="preserve"> Plutarch spends a large amount of the text speaking of the irrational state that the Pythia must be within to be of a suitable frame of mind to receive inspiration, and then </w:t>
      </w:r>
      <w:r w:rsidDel="00000000" w:rsidR="00000000" w:rsidRPr="00000000">
        <w:rPr>
          <w:i w:val="1"/>
          <w:rtl w:val="0"/>
        </w:rPr>
        <w:t xml:space="preserve">pnuema</w:t>
      </w:r>
      <w:r w:rsidDel="00000000" w:rsidR="00000000" w:rsidRPr="00000000">
        <w:rPr>
          <w:rtl w:val="0"/>
        </w:rPr>
        <w:t xml:space="preserve">s are able to breathe some form of inspiration into them.</w:t>
      </w:r>
      <w:r w:rsidDel="00000000" w:rsidR="00000000" w:rsidRPr="00000000">
        <w:rPr>
          <w:vertAlign w:val="superscript"/>
        </w:rPr>
        <w:footnoteReference w:customMarkFollows="0" w:id="18"/>
      </w:r>
      <w:r w:rsidDel="00000000" w:rsidR="00000000" w:rsidRPr="00000000">
        <w:rPr>
          <w:rtl w:val="0"/>
        </w:rPr>
        <w:t xml:space="preserve"> This section is confusing at best, but these explanations eventually digress into positive commentary upon this form of divination itself.</w:t>
      </w:r>
      <w:r w:rsidDel="00000000" w:rsidR="00000000" w:rsidRPr="00000000">
        <w:rPr>
          <w:vertAlign w:val="superscript"/>
        </w:rPr>
        <w:footnoteReference w:customMarkFollows="0" w:id="19"/>
      </w:r>
      <w:r w:rsidDel="00000000" w:rsidR="00000000" w:rsidRPr="00000000">
        <w:rPr>
          <w:rtl w:val="0"/>
        </w:rPr>
        <w:t xml:space="preserve"> Even within this Plutarch, while still not clear on what, exactly, is the foundation or the powering process for the oracle, continues to purely have positive things to say for this practise. This presentation within this dialogue shows the speakers themselves to potentially be unsure, and can be read as guessing, almost, this confusing speculation that takes place, but this is </w:t>
      </w:r>
      <w:r w:rsidDel="00000000" w:rsidR="00000000" w:rsidRPr="00000000">
        <w:rPr>
          <w:i w:val="1"/>
          <w:rtl w:val="0"/>
        </w:rPr>
        <w:t xml:space="preserve">still</w:t>
      </w:r>
      <w:r w:rsidDel="00000000" w:rsidR="00000000" w:rsidRPr="00000000">
        <w:rPr>
          <w:rtl w:val="0"/>
        </w:rPr>
        <w:t xml:space="preserve"> somewhere in which Plutarch has positive statements to make about the Pythia.</w:t>
      </w:r>
    </w:p>
    <w:p w:rsidR="00000000" w:rsidDel="00000000" w:rsidP="00000000" w:rsidRDefault="00000000" w:rsidRPr="00000000" w14:paraId="0000000C">
      <w:pPr>
        <w:spacing w:line="480" w:lineRule="auto"/>
        <w:rPr/>
      </w:pPr>
      <w:r w:rsidDel="00000000" w:rsidR="00000000" w:rsidRPr="00000000">
        <w:rPr>
          <w:rtl w:val="0"/>
        </w:rPr>
      </w:r>
    </w:p>
    <w:p w:rsidR="00000000" w:rsidDel="00000000" w:rsidP="00000000" w:rsidRDefault="00000000" w:rsidRPr="00000000" w14:paraId="0000000D">
      <w:pPr>
        <w:spacing w:line="480" w:lineRule="auto"/>
        <w:rPr/>
      </w:pPr>
      <w:r w:rsidDel="00000000" w:rsidR="00000000" w:rsidRPr="00000000">
        <w:rPr>
          <w:rtl w:val="0"/>
        </w:rPr>
        <w:t xml:space="preserve">This is followed by conversation within the text upon </w:t>
      </w:r>
      <w:r w:rsidDel="00000000" w:rsidR="00000000" w:rsidRPr="00000000">
        <w:rPr>
          <w:i w:val="1"/>
          <w:rtl w:val="0"/>
        </w:rPr>
        <w:t xml:space="preserve">daimones</w:t>
      </w:r>
      <w:r w:rsidDel="00000000" w:rsidR="00000000" w:rsidRPr="00000000">
        <w:rPr>
          <w:rtl w:val="0"/>
        </w:rPr>
        <w:t xml:space="preserve">, and this too is somewhat confusing and unsure; </w:t>
      </w:r>
      <w:r w:rsidDel="00000000" w:rsidR="00000000" w:rsidRPr="00000000">
        <w:rPr>
          <w:rtl w:val="0"/>
        </w:rPr>
        <w:t xml:space="preserve">Schröder does not think that Plutarch is particularly fond of this view of the importance of </w:t>
      </w:r>
      <w:r w:rsidDel="00000000" w:rsidR="00000000" w:rsidRPr="00000000">
        <w:rPr>
          <w:i w:val="1"/>
          <w:rtl w:val="0"/>
        </w:rPr>
        <w:t xml:space="preserve">daimones</w:t>
      </w:r>
      <w:r w:rsidDel="00000000" w:rsidR="00000000" w:rsidRPr="00000000">
        <w:rPr>
          <w:rtl w:val="0"/>
        </w:rPr>
        <w:t xml:space="preserve"> as being the source of divinatory power (the scholar also raises that </w:t>
      </w:r>
      <w:r w:rsidDel="00000000" w:rsidR="00000000" w:rsidRPr="00000000">
        <w:rPr>
          <w:i w:val="1"/>
          <w:rtl w:val="0"/>
        </w:rPr>
        <w:t xml:space="preserve">daimones</w:t>
      </w:r>
      <w:r w:rsidDel="00000000" w:rsidR="00000000" w:rsidRPr="00000000">
        <w:rPr>
          <w:rtl w:val="0"/>
        </w:rPr>
        <w:t xml:space="preserve"> are not raised in the dialogue within </w:t>
      </w:r>
      <w:r w:rsidDel="00000000" w:rsidR="00000000" w:rsidRPr="00000000">
        <w:rPr>
          <w:i w:val="1"/>
          <w:rtl w:val="0"/>
        </w:rPr>
        <w:t xml:space="preserve">De Pythiae oraculis</w:t>
      </w:r>
      <w:r w:rsidDel="00000000" w:rsidR="00000000" w:rsidRPr="00000000">
        <w:rPr>
          <w:rtl w:val="0"/>
        </w:rPr>
        <w:t xml:space="preserve">).</w:t>
      </w:r>
      <w:r w:rsidDel="00000000" w:rsidR="00000000" w:rsidRPr="00000000">
        <w:rPr>
          <w:vertAlign w:val="superscript"/>
        </w:rPr>
        <w:footnoteReference w:customMarkFollows="0" w:id="20"/>
      </w:r>
      <w:r w:rsidDel="00000000" w:rsidR="00000000" w:rsidRPr="00000000">
        <w:rPr>
          <w:rtl w:val="0"/>
        </w:rPr>
        <w:t xml:space="preserve"> Ammonius, who is an assured voice within Plutarch’s works, being his teacher, does not appear to be particularly pleased with this idea of the </w:t>
      </w:r>
      <w:r w:rsidDel="00000000" w:rsidR="00000000" w:rsidRPr="00000000">
        <w:rPr>
          <w:i w:val="1"/>
          <w:rtl w:val="0"/>
        </w:rPr>
        <w:t xml:space="preserve">daimones</w:t>
      </w:r>
      <w:r w:rsidDel="00000000" w:rsidR="00000000" w:rsidRPr="00000000">
        <w:rPr>
          <w:rtl w:val="0"/>
        </w:rPr>
        <w:t xml:space="preserve">, something which echoes the thought that perhaps Plutarch is not quite won over to this argument.</w:t>
      </w:r>
      <w:r w:rsidDel="00000000" w:rsidR="00000000" w:rsidRPr="00000000">
        <w:rPr>
          <w:vertAlign w:val="superscript"/>
        </w:rPr>
        <w:footnoteReference w:customMarkFollows="0" w:id="21"/>
      </w:r>
      <w:r w:rsidDel="00000000" w:rsidR="00000000" w:rsidRPr="00000000">
        <w:rPr>
          <w:rtl w:val="0"/>
        </w:rPr>
        <w:t xml:space="preserve"> This is the same with the phenomena of the </w:t>
      </w:r>
      <w:r w:rsidDel="00000000" w:rsidR="00000000" w:rsidRPr="00000000">
        <w:rPr>
          <w:i w:val="1"/>
          <w:rtl w:val="0"/>
        </w:rPr>
        <w:t xml:space="preserve">pneuma</w:t>
      </w:r>
      <w:r w:rsidDel="00000000" w:rsidR="00000000" w:rsidRPr="00000000">
        <w:rPr>
          <w:rtl w:val="0"/>
        </w:rPr>
        <w:t xml:space="preserve"> - Plutarch does not fully commit to this either.</w:t>
      </w:r>
      <w:r w:rsidDel="00000000" w:rsidR="00000000" w:rsidRPr="00000000">
        <w:rPr>
          <w:vertAlign w:val="superscript"/>
        </w:rPr>
        <w:footnoteReference w:customMarkFollows="0" w:id="22"/>
      </w:r>
      <w:r w:rsidDel="00000000" w:rsidR="00000000" w:rsidRPr="00000000">
        <w:rPr>
          <w:rtl w:val="0"/>
        </w:rPr>
        <w:t xml:space="preserve"> This inability from Plutarch to commit to these conventional explanations that linger in the middle ground of science and religion convey that Plutarch actually may linger somewhere closer to profound belief in the mystical over the rational. This approach gives us more of a view of someone who believes in the </w:t>
      </w:r>
      <w:r w:rsidDel="00000000" w:rsidR="00000000" w:rsidRPr="00000000">
        <w:rPr>
          <w:i w:val="1"/>
          <w:rtl w:val="0"/>
        </w:rPr>
        <w:t xml:space="preserve">magic</w:t>
      </w:r>
      <w:r w:rsidDel="00000000" w:rsidR="00000000" w:rsidRPr="00000000">
        <w:rPr>
          <w:rtl w:val="0"/>
        </w:rPr>
        <w:t xml:space="preserve"> of the divinatory practise, and does not wish to explain it away. Plutarch’s scepticism extends only to the explanations of how these practices might work, and does not actually at all apply to the art of divination itself. He very clearly </w:t>
      </w:r>
      <w:r w:rsidDel="00000000" w:rsidR="00000000" w:rsidRPr="00000000">
        <w:rPr>
          <w:i w:val="1"/>
          <w:rtl w:val="0"/>
        </w:rPr>
        <w:t xml:space="preserve">believes </w:t>
      </w:r>
      <w:r w:rsidDel="00000000" w:rsidR="00000000" w:rsidRPr="00000000">
        <w:rPr>
          <w:rtl w:val="0"/>
        </w:rPr>
        <w:t xml:space="preserve">in the oracles, but he does not appear to lay much weight in the claims of mortals and their attempts to explain them. </w:t>
      </w:r>
      <w:r w:rsidDel="00000000" w:rsidR="00000000" w:rsidRPr="00000000">
        <w:rPr>
          <w:rtl w:val="0"/>
        </w:rPr>
      </w:r>
    </w:p>
    <w:p w:rsidR="00000000" w:rsidDel="00000000" w:rsidP="00000000" w:rsidRDefault="00000000" w:rsidRPr="00000000" w14:paraId="0000000E">
      <w:pPr>
        <w:spacing w:line="480" w:lineRule="auto"/>
        <w:rPr/>
      </w:pPr>
      <w:r w:rsidDel="00000000" w:rsidR="00000000" w:rsidRPr="00000000">
        <w:rPr>
          <w:rtl w:val="0"/>
        </w:rPr>
      </w:r>
    </w:p>
    <w:p w:rsidR="00000000" w:rsidDel="00000000" w:rsidP="00000000" w:rsidRDefault="00000000" w:rsidRPr="00000000" w14:paraId="0000000F">
      <w:pPr>
        <w:spacing w:line="480" w:lineRule="auto"/>
        <w:rPr/>
      </w:pPr>
      <w:r w:rsidDel="00000000" w:rsidR="00000000" w:rsidRPr="00000000">
        <w:rPr>
          <w:rtl w:val="0"/>
        </w:rPr>
        <w:t xml:space="preserve">Plutarch’s concentration upon the work of the Pythia, and of oracles in general, shows his implicit bias as would be expected of someone who had spent so much time at the Delphic oracle, in service to it. Lloyd details several other forms of divination that were in use by the Greeks, such as the examination of ritually sacrificed animal's entrails, and the flight patterns of birds.</w:t>
      </w:r>
      <w:r w:rsidDel="00000000" w:rsidR="00000000" w:rsidRPr="00000000">
        <w:rPr>
          <w:vertAlign w:val="superscript"/>
        </w:rPr>
        <w:footnoteReference w:customMarkFollows="0" w:id="23"/>
      </w:r>
      <w:r w:rsidDel="00000000" w:rsidR="00000000" w:rsidRPr="00000000">
        <w:rPr>
          <w:rtl w:val="0"/>
        </w:rPr>
        <w:t xml:space="preserve"> Plutarch concentrates upon the oracles as the method of divination that he prefers, and he devotes rather a large amount of time to defending the use of oracles when it could be argued that maybe this appearance of a devolving oracle should point to the increased usage of other methods of divination. Instead of showing himself to be interested in others, he instead shores up the position of the Pythia within the minds of those who may read his works, showing what is a clear attempt from his position to persuade others to circle to his way of thinking. Ultimately this is what the format of the dialogue is for; it is to reinforce the position of this form of divination, to communicate clearly and advocate for it, the dialogue form allowing him to answer questions before they can even be asked, and present this opinion on divination as wholly a rational, reasonable, approach. The dialogue enables him to present both sides of the argument, without needing to step away from the clear signs that he positions himself on the side of the power of this divinationary practise.</w:t>
      </w:r>
    </w:p>
    <w:p w:rsidR="00000000" w:rsidDel="00000000" w:rsidP="00000000" w:rsidRDefault="00000000" w:rsidRPr="00000000" w14:paraId="00000010">
      <w:pPr>
        <w:spacing w:line="480" w:lineRule="auto"/>
        <w:rPr/>
      </w:pPr>
      <w:r w:rsidDel="00000000" w:rsidR="00000000" w:rsidRPr="00000000">
        <w:rPr>
          <w:rtl w:val="0"/>
        </w:rPr>
      </w:r>
    </w:p>
    <w:p w:rsidR="00000000" w:rsidDel="00000000" w:rsidP="00000000" w:rsidRDefault="00000000" w:rsidRPr="00000000" w14:paraId="00000011">
      <w:pPr>
        <w:spacing w:line="480" w:lineRule="auto"/>
        <w:rPr/>
      </w:pPr>
      <w:r w:rsidDel="00000000" w:rsidR="00000000" w:rsidRPr="00000000">
        <w:rPr>
          <w:rtl w:val="0"/>
        </w:rPr>
        <w:t xml:space="preserve">Plutarch within this dialogue presents several sides when surveying the power of the Delphic oracle, and in fact all of the oracles around Greece, but he ultimately sides with the power of the divinatory practices within itself. He does not hold sway with the claimants of others to explain these powers, and he also does not even bother to indulge in questions of whether the Pythia continues to have power or not, for he clearly believes that the oracle continues to reign in the sense of telling the future. The dialogue gives him a clear and simple way in which to present his arguments to the reader, and this also enables him to tackle many arguments all within one text, predicting responses before they could be made. Ultimately, as part of his </w:t>
      </w:r>
      <w:r w:rsidDel="00000000" w:rsidR="00000000" w:rsidRPr="00000000">
        <w:rPr>
          <w:i w:val="1"/>
          <w:rtl w:val="0"/>
        </w:rPr>
        <w:t xml:space="preserve">Moralia</w:t>
      </w:r>
      <w:r w:rsidDel="00000000" w:rsidR="00000000" w:rsidRPr="00000000">
        <w:rPr>
          <w:rtl w:val="0"/>
        </w:rPr>
        <w:t xml:space="preserve">, this text is designed to put across his belief in the power of the divinatory practises of the oracle. </w:t>
      </w:r>
      <w:r w:rsidDel="00000000" w:rsidR="00000000" w:rsidRPr="00000000">
        <w:br w:type="page"/>
      </w:r>
      <w:r w:rsidDel="00000000" w:rsidR="00000000" w:rsidRPr="00000000">
        <w:rPr>
          <w:rtl w:val="0"/>
        </w:rPr>
      </w:r>
    </w:p>
    <w:p w:rsidR="00000000" w:rsidDel="00000000" w:rsidP="00000000" w:rsidRDefault="00000000" w:rsidRPr="00000000" w14:paraId="00000012">
      <w:pPr>
        <w:spacing w:line="480" w:lineRule="auto"/>
        <w:rPr/>
      </w:pPr>
      <w:r w:rsidDel="00000000" w:rsidR="00000000" w:rsidRPr="00000000">
        <w:rPr>
          <w:b w:val="1"/>
          <w:u w:val="single"/>
          <w:rtl w:val="0"/>
        </w:rPr>
        <w:t xml:space="preserve">Bibliography</w:t>
      </w:r>
      <w:r w:rsidDel="00000000" w:rsidR="00000000" w:rsidRPr="00000000">
        <w:rPr>
          <w:rtl w:val="0"/>
        </w:rPr>
      </w:r>
    </w:p>
    <w:p w:rsidR="00000000" w:rsidDel="00000000" w:rsidP="00000000" w:rsidRDefault="00000000" w:rsidRPr="00000000" w14:paraId="00000013">
      <w:pPr>
        <w:rPr>
          <w:highlight w:val="white"/>
        </w:rPr>
      </w:pPr>
      <w:r w:rsidDel="00000000" w:rsidR="00000000" w:rsidRPr="00000000">
        <w:rPr>
          <w:highlight w:val="white"/>
          <w:rtl w:val="0"/>
        </w:rPr>
        <w:t xml:space="preserve">Plutarch. </w:t>
      </w:r>
      <w:r w:rsidDel="00000000" w:rsidR="00000000" w:rsidRPr="00000000">
        <w:rPr>
          <w:i w:val="1"/>
          <w:highlight w:val="white"/>
          <w:rtl w:val="0"/>
        </w:rPr>
        <w:t xml:space="preserve">Moralia</w:t>
      </w:r>
      <w:r w:rsidDel="00000000" w:rsidR="00000000" w:rsidRPr="00000000">
        <w:rPr>
          <w:highlight w:val="white"/>
          <w:rtl w:val="0"/>
        </w:rPr>
        <w:t xml:space="preserve">. F. Cole Babbitt (trans.). 1936. Cambridge, MA: Harvard University Press.</w:t>
      </w:r>
    </w:p>
    <w:p w:rsidR="00000000" w:rsidDel="00000000" w:rsidP="00000000" w:rsidRDefault="00000000" w:rsidRPr="00000000" w14:paraId="00000014">
      <w:pPr>
        <w:rPr>
          <w:highlight w:val="white"/>
        </w:rPr>
      </w:pPr>
      <w:r w:rsidDel="00000000" w:rsidR="00000000" w:rsidRPr="00000000">
        <w:rPr>
          <w:rtl w:val="0"/>
        </w:rPr>
      </w:r>
    </w:p>
    <w:p w:rsidR="00000000" w:rsidDel="00000000" w:rsidP="00000000" w:rsidRDefault="00000000" w:rsidRPr="00000000" w14:paraId="00000015">
      <w:pPr>
        <w:rPr>
          <w:highlight w:val="white"/>
        </w:rPr>
      </w:pPr>
      <w:r w:rsidDel="00000000" w:rsidR="00000000" w:rsidRPr="00000000">
        <w:rPr>
          <w:highlight w:val="white"/>
          <w:rtl w:val="0"/>
        </w:rPr>
        <w:t xml:space="preserve">Herodotus. </w:t>
      </w:r>
      <w:r w:rsidDel="00000000" w:rsidR="00000000" w:rsidRPr="00000000">
        <w:rPr>
          <w:i w:val="1"/>
          <w:highlight w:val="white"/>
          <w:rtl w:val="0"/>
        </w:rPr>
        <w:t xml:space="preserve">The Histories</w:t>
      </w:r>
      <w:r w:rsidDel="00000000" w:rsidR="00000000" w:rsidRPr="00000000">
        <w:rPr>
          <w:highlight w:val="white"/>
          <w:rtl w:val="0"/>
        </w:rPr>
        <w:t xml:space="preserve">. A. D. Godley (trans.). 1920. Cambridge: Harvard University Press.</w:t>
      </w:r>
    </w:p>
    <w:p w:rsidR="00000000" w:rsidDel="00000000" w:rsidP="00000000" w:rsidRDefault="00000000" w:rsidRPr="00000000" w14:paraId="00000016">
      <w:pPr>
        <w:rPr>
          <w:highlight w:val="white"/>
        </w:rPr>
      </w:pP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highlight w:val="white"/>
          <w:rtl w:val="0"/>
        </w:rPr>
        <w:t xml:space="preserve">Cicero. </w:t>
      </w:r>
      <w:r w:rsidDel="00000000" w:rsidR="00000000" w:rsidRPr="00000000">
        <w:rPr>
          <w:i w:val="1"/>
          <w:rtl w:val="0"/>
        </w:rPr>
        <w:t xml:space="preserve">De Senectute De Amicitia De Divinatione. </w:t>
      </w:r>
      <w:r w:rsidDel="00000000" w:rsidR="00000000" w:rsidRPr="00000000">
        <w:rPr>
          <w:rtl w:val="0"/>
        </w:rPr>
        <w:t xml:space="preserve">W. A. Falconer (trans.). 1923. Cambridge: Harvard University Press.</w:t>
      </w:r>
      <w:r w:rsidDel="00000000" w:rsidR="00000000" w:rsidRPr="00000000">
        <w:rPr>
          <w:rtl w:val="0"/>
        </w:rPr>
      </w:r>
    </w:p>
    <w:p w:rsidR="00000000" w:rsidDel="00000000" w:rsidP="00000000" w:rsidRDefault="00000000" w:rsidRPr="00000000" w14:paraId="00000018">
      <w:pPr>
        <w:rPr>
          <w:highlight w:val="white"/>
        </w:rPr>
      </w:pPr>
      <w:r w:rsidDel="00000000" w:rsidR="00000000" w:rsidRPr="00000000">
        <w:rPr>
          <w:rtl w:val="0"/>
        </w:rPr>
      </w:r>
    </w:p>
    <w:p w:rsidR="00000000" w:rsidDel="00000000" w:rsidP="00000000" w:rsidRDefault="00000000" w:rsidRPr="00000000" w14:paraId="00000019">
      <w:pPr>
        <w:rPr>
          <w:highlight w:val="white"/>
        </w:rPr>
      </w:pPr>
      <w:r w:rsidDel="00000000" w:rsidR="00000000" w:rsidRPr="00000000">
        <w:rPr>
          <w:highlight w:val="white"/>
          <w:rtl w:val="0"/>
        </w:rPr>
        <w:t xml:space="preserve">HARRISON, G., 1987. Rhetoric, Writing and Plutarch. </w:t>
      </w:r>
      <w:r w:rsidDel="00000000" w:rsidR="00000000" w:rsidRPr="00000000">
        <w:rPr>
          <w:i w:val="1"/>
          <w:highlight w:val="white"/>
          <w:rtl w:val="0"/>
        </w:rPr>
        <w:t xml:space="preserve">Ancient Society</w:t>
      </w:r>
      <w:r w:rsidDel="00000000" w:rsidR="00000000" w:rsidRPr="00000000">
        <w:rPr>
          <w:highlight w:val="white"/>
          <w:rtl w:val="0"/>
        </w:rPr>
        <w:t xml:space="preserve">, 18(0), pp.271-279.</w:t>
      </w:r>
    </w:p>
    <w:p w:rsidR="00000000" w:rsidDel="00000000" w:rsidP="00000000" w:rsidRDefault="00000000" w:rsidRPr="00000000" w14:paraId="0000001A">
      <w:pPr>
        <w:rPr>
          <w:highlight w:val="white"/>
        </w:rPr>
      </w:pPr>
      <w:r w:rsidDel="00000000" w:rsidR="00000000" w:rsidRPr="00000000">
        <w:rPr>
          <w:rtl w:val="0"/>
        </w:rPr>
      </w:r>
    </w:p>
    <w:p w:rsidR="00000000" w:rsidDel="00000000" w:rsidP="00000000" w:rsidRDefault="00000000" w:rsidRPr="00000000" w14:paraId="0000001B">
      <w:pPr>
        <w:rPr>
          <w:highlight w:val="white"/>
        </w:rPr>
      </w:pPr>
      <w:r w:rsidDel="00000000" w:rsidR="00000000" w:rsidRPr="00000000">
        <w:rPr>
          <w:highlight w:val="white"/>
          <w:rtl w:val="0"/>
        </w:rPr>
        <w:t xml:space="preserve">Martin, D. B., 2009. </w:t>
      </w:r>
      <w:r w:rsidDel="00000000" w:rsidR="00000000" w:rsidRPr="00000000">
        <w:rPr>
          <w:i w:val="1"/>
          <w:highlight w:val="white"/>
          <w:rtl w:val="0"/>
        </w:rPr>
        <w:t xml:space="preserve">Inventing Superstition</w:t>
      </w:r>
      <w:r w:rsidDel="00000000" w:rsidR="00000000" w:rsidRPr="00000000">
        <w:rPr>
          <w:highlight w:val="white"/>
          <w:rtl w:val="0"/>
        </w:rPr>
        <w:t xml:space="preserve">. Cracks in the Philosophical System:. pp.93-108.</w:t>
      </w:r>
    </w:p>
    <w:p w:rsidR="00000000" w:rsidDel="00000000" w:rsidP="00000000" w:rsidRDefault="00000000" w:rsidRPr="00000000" w14:paraId="0000001C">
      <w:pPr>
        <w:rPr>
          <w:highlight w:val="white"/>
        </w:rPr>
      </w:pPr>
      <w:r w:rsidDel="00000000" w:rsidR="00000000" w:rsidRPr="00000000">
        <w:rPr>
          <w:rtl w:val="0"/>
        </w:rPr>
      </w:r>
    </w:p>
    <w:p w:rsidR="00000000" w:rsidDel="00000000" w:rsidP="00000000" w:rsidRDefault="00000000" w:rsidRPr="00000000" w14:paraId="0000001D">
      <w:pPr>
        <w:rPr>
          <w:highlight w:val="white"/>
        </w:rPr>
      </w:pPr>
      <w:r w:rsidDel="00000000" w:rsidR="00000000" w:rsidRPr="00000000">
        <w:rPr>
          <w:highlight w:val="white"/>
          <w:rtl w:val="0"/>
        </w:rPr>
        <w:t xml:space="preserve">Russell, D. and Schröder, S., 2010. </w:t>
      </w:r>
      <w:r w:rsidDel="00000000" w:rsidR="00000000" w:rsidRPr="00000000">
        <w:rPr>
          <w:i w:val="1"/>
          <w:highlight w:val="white"/>
          <w:rtl w:val="0"/>
        </w:rPr>
        <w:t xml:space="preserve">On The Daimonion Of Socrates: Plutarch</w:t>
      </w:r>
      <w:r w:rsidDel="00000000" w:rsidR="00000000" w:rsidRPr="00000000">
        <w:rPr>
          <w:highlight w:val="white"/>
          <w:rtl w:val="0"/>
        </w:rPr>
        <w:t xml:space="preserve">. Mohr Siebeck GmbH &amp; Co. KG.</w:t>
      </w:r>
    </w:p>
    <w:p w:rsidR="00000000" w:rsidDel="00000000" w:rsidP="00000000" w:rsidRDefault="00000000" w:rsidRPr="00000000" w14:paraId="0000001E">
      <w:pPr>
        <w:rPr>
          <w:highlight w:val="white"/>
        </w:rPr>
      </w:pPr>
      <w:r w:rsidDel="00000000" w:rsidR="00000000" w:rsidRPr="00000000">
        <w:rPr>
          <w:rtl w:val="0"/>
        </w:rPr>
      </w:r>
    </w:p>
    <w:p w:rsidR="00000000" w:rsidDel="00000000" w:rsidP="00000000" w:rsidRDefault="00000000" w:rsidRPr="00000000" w14:paraId="0000001F">
      <w:pPr>
        <w:rPr>
          <w:highlight w:val="white"/>
        </w:rPr>
      </w:pPr>
      <w:r w:rsidDel="00000000" w:rsidR="00000000" w:rsidRPr="00000000">
        <w:rPr>
          <w:highlight w:val="white"/>
          <w:rtl w:val="0"/>
        </w:rPr>
        <w:t xml:space="preserve">Lloyd, G., 1999. Divination : traditions and controversies, Chinese and Greek. </w:t>
      </w:r>
      <w:r w:rsidDel="00000000" w:rsidR="00000000" w:rsidRPr="00000000">
        <w:rPr>
          <w:i w:val="1"/>
          <w:highlight w:val="white"/>
          <w:rtl w:val="0"/>
        </w:rPr>
        <w:t xml:space="preserve">Extrême orient Extrême occident</w:t>
      </w:r>
      <w:r w:rsidDel="00000000" w:rsidR="00000000" w:rsidRPr="00000000">
        <w:rPr>
          <w:highlight w:val="white"/>
          <w:rtl w:val="0"/>
        </w:rPr>
        <w:t xml:space="preserve">, 21(21), pp.155-165.</w:t>
      </w:r>
    </w:p>
    <w:p w:rsidR="00000000" w:rsidDel="00000000" w:rsidP="00000000" w:rsidRDefault="00000000" w:rsidRPr="00000000" w14:paraId="00000020">
      <w:pPr>
        <w:rPr>
          <w:highlight w:val="white"/>
        </w:rPr>
      </w:pPr>
      <w:r w:rsidDel="00000000" w:rsidR="00000000" w:rsidRPr="00000000">
        <w:rPr>
          <w:rtl w:val="0"/>
        </w:rPr>
      </w:r>
    </w:p>
    <w:p w:rsidR="00000000" w:rsidDel="00000000" w:rsidP="00000000" w:rsidRDefault="00000000" w:rsidRPr="00000000" w14:paraId="00000021">
      <w:pPr>
        <w:spacing w:line="480" w:lineRule="auto"/>
        <w:rPr/>
      </w:pPr>
      <w:r w:rsidDel="00000000" w:rsidR="00000000" w:rsidRPr="00000000">
        <w:rPr>
          <w:rtl w:val="0"/>
        </w:rPr>
        <w:t xml:space="preserve"> Smart, N. 1969. </w:t>
      </w:r>
      <w:r w:rsidDel="00000000" w:rsidR="00000000" w:rsidRPr="00000000">
        <w:rPr>
          <w:i w:val="1"/>
          <w:rtl w:val="0"/>
        </w:rPr>
        <w:t xml:space="preserve">The Religious Experience of Mankind. </w:t>
      </w:r>
      <w:r w:rsidDel="00000000" w:rsidR="00000000" w:rsidRPr="00000000">
        <w:rPr>
          <w:rtl w:val="0"/>
        </w:rPr>
        <w:t xml:space="preserve">Scribner: New York.</w:t>
      </w:r>
    </w:p>
    <w:p w:rsidR="00000000" w:rsidDel="00000000" w:rsidP="00000000" w:rsidRDefault="00000000" w:rsidRPr="00000000" w14:paraId="00000022">
      <w:pPr>
        <w:rPr>
          <w:highlight w:val="white"/>
        </w:rPr>
      </w:pPr>
      <w:r w:rsidDel="00000000" w:rsidR="00000000" w:rsidRPr="00000000">
        <w:rPr>
          <w:rtl w:val="0"/>
        </w:rPr>
      </w:r>
    </w:p>
    <w:p w:rsidR="00000000" w:rsidDel="00000000" w:rsidP="00000000" w:rsidRDefault="00000000" w:rsidRPr="00000000" w14:paraId="00000023">
      <w:pPr>
        <w:spacing w:line="480" w:lineRule="auto"/>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Martin 2004:93, Schröder 2010:145</w:t>
      </w:r>
    </w:p>
  </w:footnote>
  <w:footnote w:id="1">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2010:145</w:t>
      </w:r>
    </w:p>
  </w:footnote>
  <w:footnote w:id="4">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Harrison 1987:271</w:t>
      </w:r>
    </w:p>
  </w:footnote>
  <w:footnote w:id="5">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Babbitt 1936:1</w:t>
      </w:r>
    </w:p>
  </w:footnote>
  <w:footnote w:id="6">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Harrison 1987:273</w:t>
      </w:r>
    </w:p>
  </w:footnote>
  <w:footnote w:id="7">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Harrison 1987:277</w:t>
      </w:r>
    </w:p>
  </w:footnote>
  <w:footnote w:id="8">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Harrison 1987:274, Martin 2004:94</w:t>
      </w:r>
    </w:p>
  </w:footnote>
  <w:footnote w:id="2">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2010:146</w:t>
      </w:r>
    </w:p>
  </w:footnote>
  <w:footnote w:id="9">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Plut. De Defect. 8</w:t>
      </w:r>
    </w:p>
  </w:footnote>
  <w:footnote w:id="12">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2010:146</w:t>
      </w:r>
    </w:p>
  </w:footnote>
  <w:footnote w:id="3">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2010:145</w:t>
      </w:r>
    </w:p>
  </w:footnote>
  <w:footnote w:id="1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Plut. De Defect. 9</w:t>
      </w:r>
    </w:p>
  </w:footnote>
  <w:footnote w:id="10">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Hdt. 4.9</w:t>
      </w:r>
    </w:p>
  </w:footnote>
  <w:footnote w:id="11">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Plut. De Defect. 7, Smart 1969:25</w:t>
      </w:r>
    </w:p>
  </w:footnote>
  <w:footnote w:id="14">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2010:147</w:t>
      </w:r>
    </w:p>
  </w:footnote>
  <w:footnote w:id="15">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Cic. Div. 2. 116.</w:t>
      </w:r>
    </w:p>
  </w:footnote>
  <w:footnote w:id="16">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2010:150</w:t>
      </w:r>
    </w:p>
  </w:footnote>
  <w:footnote w:id="23">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Lloyd 1999:157</w:t>
      </w:r>
    </w:p>
  </w:footnote>
  <w:footnote w:id="17">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2010:154</w:t>
      </w:r>
    </w:p>
  </w:footnote>
  <w:footnote w:id="18">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2010:155</w:t>
      </w:r>
    </w:p>
  </w:footnote>
  <w:footnote w:id="19">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2010:156</w:t>
      </w:r>
    </w:p>
  </w:footnote>
  <w:footnote w:id="20">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2010:157</w:t>
      </w:r>
    </w:p>
  </w:footnote>
  <w:footnote w:id="21">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Plut. De Defect.20</w:t>
      </w:r>
    </w:p>
  </w:footnote>
  <w:footnote w:id="22">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Schröder 2010:158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