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F7C764" w14:textId="77777777" w:rsidR="001423B9" w:rsidRDefault="001423B9"/>
    <w:p w14:paraId="61A92DAE" w14:textId="77777777" w:rsidR="001423B9" w:rsidRDefault="001423B9"/>
    <w:p w14:paraId="324A4AB2" w14:textId="77777777" w:rsidR="001423B9" w:rsidRDefault="001423B9"/>
    <w:p w14:paraId="67206A60" w14:textId="77777777" w:rsidR="001423B9" w:rsidRDefault="00946CBD">
      <w:pPr>
        <w:spacing w:after="480" w:line="276" w:lineRule="auto"/>
        <w:jc w:val="center"/>
      </w:pPr>
      <w:r>
        <w:rPr>
          <w:b/>
          <w:sz w:val="32"/>
        </w:rPr>
        <w:t>AN ANALYSIS OF COMMUNICATION, ADMINISTRATION, AND MULTI-AGENCY COLLABORATION WITHIN HEALTH AND SOCIAL CARE: THE CASE OF MR O’CONNOR</w:t>
      </w:r>
    </w:p>
    <w:p w14:paraId="112CC259" w14:textId="52F6130B" w:rsidR="001423B9" w:rsidRDefault="00E70E49" w:rsidP="00E70E49">
      <w:pPr>
        <w:spacing w:after="960"/>
        <w:jc w:val="center"/>
      </w:pPr>
      <w:r>
        <w:rPr>
          <w:i/>
          <w:sz w:val="24"/>
        </w:rPr>
        <w:t>Component 2</w:t>
      </w:r>
    </w:p>
    <w:p w14:paraId="4875E494" w14:textId="77777777" w:rsidR="00DF3615" w:rsidRDefault="00946CBD">
      <w:pPr>
        <w:spacing w:line="312" w:lineRule="auto"/>
      </w:pPr>
      <w:r>
        <w:t>Module Code: LCHS4003</w:t>
      </w:r>
    </w:p>
    <w:p w14:paraId="6005A7BD" w14:textId="5BDF96F6" w:rsidR="00E80091" w:rsidRDefault="00F8079F">
      <w:pPr>
        <w:spacing w:line="312" w:lineRule="auto"/>
      </w:pPr>
      <w:r>
        <w:t xml:space="preserve">Submitted by </w:t>
      </w:r>
      <w:r w:rsidR="007704DE">
        <w:t>:</w:t>
      </w:r>
      <w:r w:rsidR="00E80091">
        <w:t xml:space="preserve"> </w:t>
      </w:r>
      <w:proofErr w:type="spellStart"/>
      <w:r w:rsidR="00E80091">
        <w:t>Samina</w:t>
      </w:r>
      <w:proofErr w:type="spellEnd"/>
      <w:r w:rsidR="00E80091">
        <w:t xml:space="preserve"> </w:t>
      </w:r>
      <w:proofErr w:type="spellStart"/>
      <w:r w:rsidR="00E80091">
        <w:t>Nazli</w:t>
      </w:r>
      <w:proofErr w:type="spellEnd"/>
      <w:r w:rsidR="00E80091">
        <w:t xml:space="preserve"> </w:t>
      </w:r>
    </w:p>
    <w:p w14:paraId="40608F46" w14:textId="64C85690" w:rsidR="00E80091" w:rsidRDefault="00E80091">
      <w:pPr>
        <w:spacing w:line="312" w:lineRule="auto"/>
      </w:pPr>
      <w:r>
        <w:t xml:space="preserve">Student </w:t>
      </w:r>
      <w:r w:rsidR="003F125D">
        <w:t>Number:  2539712</w:t>
      </w:r>
    </w:p>
    <w:p w14:paraId="5AEA7B23" w14:textId="2B3203E8" w:rsidR="00C0619F" w:rsidRDefault="00C0619F">
      <w:pPr>
        <w:spacing w:line="312" w:lineRule="auto"/>
      </w:pPr>
      <w:r>
        <w:t xml:space="preserve">Lecture's </w:t>
      </w:r>
      <w:r w:rsidR="00CF1777">
        <w:t xml:space="preserve">Name: </w:t>
      </w:r>
      <w:r w:rsidR="00EE7AE0">
        <w:t xml:space="preserve"> </w:t>
      </w:r>
      <w:proofErr w:type="spellStart"/>
      <w:r w:rsidR="00EE7AE0">
        <w:t>Dr</w:t>
      </w:r>
      <w:proofErr w:type="spellEnd"/>
      <w:r w:rsidR="00EE7AE0">
        <w:t xml:space="preserve"> </w:t>
      </w:r>
      <w:r w:rsidR="00CF1777">
        <w:t>Helen</w:t>
      </w:r>
      <w:r w:rsidR="00F8079F">
        <w:t xml:space="preserve"> </w:t>
      </w:r>
      <w:r w:rsidR="00EE7AE0">
        <w:t xml:space="preserve">Persons </w:t>
      </w:r>
    </w:p>
    <w:p w14:paraId="7D287DBC" w14:textId="70F0C6C0" w:rsidR="001423B9" w:rsidRDefault="00946CBD">
      <w:pPr>
        <w:spacing w:line="312" w:lineRule="auto"/>
      </w:pPr>
      <w:r>
        <w:t xml:space="preserve">Date: </w:t>
      </w:r>
      <w:r w:rsidR="0074616D">
        <w:t xml:space="preserve"> 20 O</w:t>
      </w:r>
      <w:r>
        <w:t>ctober 2026</w:t>
      </w:r>
    </w:p>
    <w:p w14:paraId="0EC7E3DB" w14:textId="77777777" w:rsidR="00DF3615" w:rsidRDefault="00DF3615">
      <w:pPr>
        <w:spacing w:line="312" w:lineRule="auto"/>
      </w:pPr>
    </w:p>
    <w:p w14:paraId="156C9859" w14:textId="77777777" w:rsidR="001423B9" w:rsidRDefault="00946CBD">
      <w:r>
        <w:br w:type="page"/>
      </w:r>
    </w:p>
    <w:p w14:paraId="021D5C56" w14:textId="77777777" w:rsidR="001423B9" w:rsidRDefault="00946CBD">
      <w:pPr>
        <w:keepNext/>
        <w:spacing w:before="360" w:after="160"/>
      </w:pPr>
      <w:r>
        <w:rPr>
          <w:b/>
          <w:sz w:val="26"/>
        </w:rPr>
        <w:t>Introduction</w:t>
      </w:r>
    </w:p>
    <w:p w14:paraId="3B6C0617" w14:textId="77777777" w:rsidR="001423B9" w:rsidRDefault="00946CBD">
      <w:r>
        <w:t>This report provides a critical, multi-dimensional analysis of the holistic care provision, legislative compliance, and systemic vulnerabilities surrounding Mr O’Connor, a 91-year-old gentleman living alone in a retirement bungalow. Following an acute hospital admission and subsequent discharge for chronic heart failure (CHF), Mr O’Connor requires structured daily domiciliary care to assist with meal preparation and vital medication prompts. His clinical presentation is complicated by intersecting age-relat</w:t>
      </w:r>
      <w:r>
        <w:t>ed vulnerabilities, specifically progressive sensorineural hearing loss and mild cognitive impairment (MCI).</w:t>
      </w:r>
    </w:p>
    <w:p w14:paraId="3A3278B3" w14:textId="77777777" w:rsidR="001423B9" w:rsidRDefault="00946CBD">
      <w:r>
        <w:t>The fragile nature of his community support network was highlighted by a recent administrative error in which a modification to his pharmaceutical regimen was inaccurately recorded. This procedural oversight caused Mr O’Connor to miss his prescribed loop diuretic for two consecutive days, precipitating swift clinical deterioration characterized by severe breathlessness and significant peripheral ankle edema. This incident serves as a critical case study demonstrating the potential dangers of communication f</w:t>
      </w:r>
      <w:r>
        <w:t>ailures, poor documentation, and fragmented inter-professional partnerships. Consequently, this report will evaluate the central importance of patient-centered communication within statutory equality frameworks, assess the legislative mandates of robust administrative record-keeping under data protection laws, and examine proactive strategies for fostering effective multi-agency collaboration to preserve patient safety and prevent avoidable clinical harm.</w:t>
      </w:r>
    </w:p>
    <w:p w14:paraId="3D4D3B6D" w14:textId="77777777" w:rsidR="001423B9" w:rsidRDefault="00946CBD">
      <w:pPr>
        <w:keepNext/>
        <w:spacing w:before="360" w:after="160"/>
      </w:pPr>
      <w:r>
        <w:rPr>
          <w:b/>
          <w:sz w:val="26"/>
        </w:rPr>
        <w:t>Section 1: Effective Communication and Inclusive Practice</w:t>
      </w:r>
    </w:p>
    <w:p w14:paraId="56ED9A9D" w14:textId="77777777" w:rsidR="001423B9" w:rsidRDefault="00946CBD">
      <w:r>
        <w:t>Within contemporary health and social care, effective communication functions not merely as an interpersonal asset but as a vital clinical safeguard and an ethical obligation (Argyle, 2014). In the case of Mr O’Connor, establishing robust communication pathways is profoundly challenged by his intersecting sensory and cognitive impairments. These impairments must be addressed using a structured, person-centered approach rather than viewed as simple hindrances.</w:t>
      </w:r>
    </w:p>
    <w:p w14:paraId="745166F4" w14:textId="77777777" w:rsidR="001423B9" w:rsidRDefault="00946CBD">
      <w:r>
        <w:t>From a statutory perspective, Mr O’Connor possesses two distinct protected characteristics under the Equality Act 2010: age and disability. Section 20 of the Equality Act 2010 places a strict, proactive legal duty on care providers to implement "reasonable adjustments" to ensure that individuals with substantial physical or mental impairments are not subjected to systemic disadvantage compared to non-disabled service users (Legislation.gov.uk, 2010). Failing to adapt professional communication techniques to</w:t>
      </w:r>
      <w:r>
        <w:t xml:space="preserve"> account for Mr O’Connor’s age-related hearing loss and mild cognitive impairment constitutes a direct breach of this statutory duty, rendering care inaccessible and fundamentally unsafe.</w:t>
      </w:r>
    </w:p>
    <w:p w14:paraId="71E78A63" w14:textId="77777777" w:rsidR="001423B9" w:rsidRDefault="00946CBD">
      <w:r>
        <w:t>To achieve legal compliance and promote therapeutic efficacy, care practitioners must apply specific, practical communication adaptations. To mitigate his sensorineural hearing loss, care workers must deliberately alter the physical environment by minimizing ambient background noise, ensuring optimal lighting, and facing him directly to allow for natural lip-reading and non-verbal facial cues (Department of Health and Social Care, 2021). Speech must be clear, well-modulated, and unhurried, avoiding the coun</w:t>
      </w:r>
      <w:r>
        <w:t>terproductive practice of shouting, which distorts sound frequencies and damages rapport.</w:t>
      </w:r>
    </w:p>
    <w:p w14:paraId="5AB4D972" w14:textId="77777777" w:rsidR="001423B9" w:rsidRDefault="00946CBD">
      <w:r>
        <w:t xml:space="preserve">To address his mild cognitive impairment, professionals must reduce cognitive load by utilizing short, syntactically clear sentences, delivering information sequentially, and avoiding complex medical jargon. Crucially, practitioners should employ the "teach-back" method—asking Mr O’Connor to explain the care instructions back in his own words—to ensure active comprehension rather than passive compliance (National Institute for Health and Care Excellence, 2018). Furthermore, incorporating his daughter as an </w:t>
      </w:r>
      <w:r>
        <w:t>essential informal caregiver provides an invaluable layer of communication support, compensating for his memory deficits while preserving his personal autonomy.</w:t>
      </w:r>
    </w:p>
    <w:p w14:paraId="6706D064" w14:textId="77777777" w:rsidR="001423B9" w:rsidRDefault="00946CBD">
      <w:r>
        <w:t>This dynamic can be analyzed theoretically through the lens of Berlo’s Source-Message-Channel-Receiver (SMCR) communication model (Berlo, 1960). In this case, the care professional acts as the 'Source', who must encode a critical care 'Message' regarding a medication modification. The 'Channel' traditionally relies on auditory and verbal pathways. However, Mr O’Connor’s sensory impairment acts as environmental and physiological 'noise' that disrupts the integrity of this channel, while his mild cognitive im</w:t>
      </w:r>
      <w:r>
        <w:t>pairment impacts his capability as the 'Receiver' to decode the message accurately.</w:t>
      </w:r>
    </w:p>
    <w:p w14:paraId="0B756E56" w14:textId="77777777" w:rsidR="001423B9" w:rsidRDefault="00946CBD">
      <w:r>
        <w:t>If the professional fails to adapt the channel—such as by failing to supplement verbal statements with visual charts, written logs, or assistive hearing devices—the communication cycle breaks down completely. Without an altered channel, the critical feedback loop is severed, preventing the source from recognizing that the receiver has misconstrued or forgotten the instruction, thereby directly leading to failures in patient safety.</w:t>
      </w:r>
    </w:p>
    <w:p w14:paraId="3316A333" w14:textId="77777777" w:rsidR="001423B9" w:rsidRDefault="00946CBD">
      <w:pPr>
        <w:keepNext/>
        <w:spacing w:before="360" w:after="160"/>
      </w:pPr>
      <w:r>
        <w:rPr>
          <w:b/>
          <w:sz w:val="26"/>
        </w:rPr>
        <w:t>Section 2: Professional Documentation and Data Legislation</w:t>
      </w:r>
    </w:p>
    <w:p w14:paraId="067F99B9" w14:textId="77777777" w:rsidR="001423B9" w:rsidRDefault="00946CBD">
      <w:r>
        <w:t>Professional administrative proficiency and immaculate record-keeping are foundational pillars of clinical accountability, acting as the clinical backbone for continuity of care across health and social sectors (Nursing and Midwifery Council, 2018). The administrative oversight that occurred during Mr O’Connor’s care—where a verified modification to his diuretic regimen was not logged—is a stark reminder that poor record-keeping is not a minor bureaucratic error but a direct threat to life. Within the Unite</w:t>
      </w:r>
      <w:r>
        <w:t>d Kingdom, all administrative processing of health and social care records is stringently governed by the Data Protection Act (DPA) 2018, which integrates the rigorous standards of the UK General Data Protection Regulation (GDPR). Under this legal framework, Mr O’Connor’s medication charts, diagnostic histories, and personalized care plans are classified as "special category data," requiring heightened security, strict governance, and meticulous accuracy (Information Commissioner's Office, 2020).</w:t>
      </w:r>
    </w:p>
    <w:p w14:paraId="6838F88A" w14:textId="77777777" w:rsidR="001423B9" w:rsidRDefault="00946CBD">
      <w:r>
        <w:t>The administrative error in this case represents a significant violation of Core Principle (d) of the DPA 2018: Accuracy. This principle explicitly mandates that personal data must be accurate and, where necessary, kept strictly up to date, requiring every reasonable step to be taken to erase or rectify inaccuracies without delay (Legislation.gov.uk, 2018). By failing to record the medication amendment immediately, the service created a corrupted and inaccurate historical record. This directly misinformed t</w:t>
      </w:r>
      <w:r>
        <w:t xml:space="preserve">he frontline domiciliary care workers who depended on that document to provide medication prompts. Furthermore, the principles of integrity and confidentiality require that health records be maintained within secure, centralized systems—such as password-protected electronic health records (EHR) or locked physical archives—to ensure information is instantly accessible to authorized professionals while remaining protected against unauthorized interception. If records are not kept up to date in real-time, the </w:t>
      </w:r>
      <w:r>
        <w:t>data becomes useless, directly resulting in severe clinical events like Mr O’Connor’s acute breathlessness and peripheral edema.</w:t>
      </w:r>
    </w:p>
    <w:p w14:paraId="6CA3B805" w14:textId="77777777" w:rsidR="001423B9" w:rsidRDefault="00946CBD">
      <w:r>
        <w:t>Beyond broad statutory data laws, specific health and social care policy frameworks heavily enforce administrative precision. The Care Quality Commission (CQC), which acts as the independent regulator of health and adult social care in England, enforces Regulation 17: Good Governance. This regulation states that care providers must maintain a secure, accurate, and complete contemporaneous record for every service user, alongside detailed records of the management of regulated activities (Care Quality Commis</w:t>
      </w:r>
      <w:r>
        <w:t>sion, 2014). Similarly, the Caldicott Principles state that information sharing should be justified, minimal, and secure, yet emphasize that the duty to share information for direct care can be as important as the duty to protect patient confidentiality (National Data Guardian, 2021). Professional bodies, including Social Work England and the Health and Care Professions Council (HCPC), highlight that contemporaneous, clear documentation provides a vital audit trail, protects practitioners from liability, an</w:t>
      </w:r>
      <w:r>
        <w:t>d serves as an active clinical intervention necessary to maintain patient safety.</w:t>
      </w:r>
    </w:p>
    <w:p w14:paraId="5FD79B9D" w14:textId="77777777" w:rsidR="001423B9" w:rsidRDefault="00946CBD">
      <w:pPr>
        <w:keepNext/>
        <w:spacing w:before="360" w:after="160"/>
      </w:pPr>
      <w:r>
        <w:rPr>
          <w:b/>
          <w:sz w:val="26"/>
        </w:rPr>
        <w:t>Section 3: Collaborative Multi-Agency Working</w:t>
      </w:r>
    </w:p>
    <w:p w14:paraId="6D79C35A" w14:textId="77777777" w:rsidR="001423B9" w:rsidRDefault="00946CBD">
      <w:r>
        <w:t>The successful delivery of community-based care for an individual with complex needs like Mr O’Connor requires an integrated, multi-agency approach. His care involves a diverse multidisciplinary team (MDT), including his General Practitioner (GP), the community nursing team, and domiciliary care workers. Each agent holds an essential piece of Mr O’Connor’s clinical picture: the GP provides macro-level clinical oversight and prescribing authority; the community nurse provides specialist monitoring of his chr</w:t>
      </w:r>
      <w:r>
        <w:t>onic heart failure; and the domiciliary care workers provide micro-level daily observations during meal prep and medication prompting. To maintain patient safety, these separate entities must move away from isolated practice and operate within an integrated care system (Glasby, 2012). This ensures that any clinical changes observed in the home are communicated immediately to the prescribing clinician.</w:t>
      </w:r>
    </w:p>
    <w:p w14:paraId="7348546B" w14:textId="77777777" w:rsidR="001423B9" w:rsidRDefault="00946CBD">
      <w:r>
        <w:t>However, executing effective multi-agency care is frequently hindered by significant structural and cultural challenges. These include professional silos, fragmented communication networks, incompatible IT infrastructure, and defensive professional boundaries regarding clinical responsibility (Barrett, Sellman and Thomas, 2005). In Mr O’Connor’s case, the failure to smoothly communicate and record the medication alteration highlights these exact barriers. The domiciliary care staff prompted medication based</w:t>
      </w:r>
      <w:r>
        <w:t xml:space="preserve"> on outdated records, while the GP's surgery operated under the assumption that the change had been successfully communicated and implemented.</w:t>
      </w:r>
    </w:p>
    <w:p w14:paraId="38DB8F52" w14:textId="77777777" w:rsidR="001423B9" w:rsidRDefault="00946CBD">
      <w:r>
        <w:t>To overcome these deeply ingrained operational challenges, care providers must implement standardized, structured communication tools. A key strategy is the universal adoption of the SBAR (Situation, Background, Assessment, Recommendation) communication tool (NHS England, 2021). SBAR provides frontline care workers with a clear, reliable template to articulate acute physiological changes—such as Mr O’Connor’s sudden peripheral edema—to community nurses or GPs, ensuring that critical data is transferred effi</w:t>
      </w:r>
      <w:r>
        <w:t>ciently and acted upon swiftly. Additionally, moving away from fragmented agency logbooks toward shared electronic care records across health and social care providers ensures that any modification made by a clinician is updated instantly across all care systems. This approach eliminates manual transcription errors and builds a unified, transparent network centered around the service user.</w:t>
      </w:r>
    </w:p>
    <w:p w14:paraId="5A161FC5" w14:textId="77777777" w:rsidR="001423B9" w:rsidRDefault="00946CBD">
      <w:pPr>
        <w:keepNext/>
        <w:spacing w:before="360" w:after="160"/>
      </w:pPr>
      <w:r>
        <w:rPr>
          <w:b/>
          <w:sz w:val="26"/>
        </w:rPr>
        <w:t>Conclusion</w:t>
      </w:r>
    </w:p>
    <w:p w14:paraId="1DCDA063" w14:textId="77777777" w:rsidR="001423B9" w:rsidRDefault="00946CBD">
      <w:r>
        <w:t xml:space="preserve">This report has provided a critical evaluation of the care failures in the case of Mr O’Connor, demonstrating how minor administrative or communication breakdowns can quickly escalate into serious clinical risks for vulnerable older adults. The analysis shows that effective communication is not merely an interpersonal skill but a legal requirement under the Equality Act 2010. Care providers must actively implement reasonable adjustments to overcome sensory and cognitive barriers, ensuring care remains safe </w:t>
      </w:r>
      <w:r>
        <w:t>and patient-centered.</w:t>
      </w:r>
    </w:p>
    <w:p w14:paraId="748EA4F1" w14:textId="77777777" w:rsidR="001423B9" w:rsidRDefault="00946CBD">
      <w:r>
        <w:t>Furthermore, professional administrative skills and meticulous record-keeping are vital clinical duties governed by the Data Protection Act 2018 and CQC regulations. Accurate, real-time documentation is essential to prevent dangerous errors in medication management. Finally, overcoming the challenges of multi-agency care requires shifting away from professional silos and adopting structured communication tools like SBAR alongside integrated electronic records. In conclusion, protecting service users with co</w:t>
      </w:r>
      <w:r>
        <w:t>mplex needs requires a system where communication, data legislation, and inter-professional collaboration are treated as core components of clinical safety.</w:t>
      </w:r>
    </w:p>
    <w:p w14:paraId="1F5AAD7C" w14:textId="77777777" w:rsidR="001423B9" w:rsidRDefault="00946CBD">
      <w:r>
        <w:br w:type="page"/>
      </w:r>
    </w:p>
    <w:p w14:paraId="74BE3227" w14:textId="77777777" w:rsidR="001423B9" w:rsidRDefault="00946CBD">
      <w:pPr>
        <w:spacing w:before="360"/>
      </w:pPr>
      <w:r>
        <w:rPr>
          <w:b/>
          <w:sz w:val="26"/>
        </w:rPr>
        <w:t>Reference List</w:t>
      </w:r>
    </w:p>
    <w:p w14:paraId="3F9706A4" w14:textId="77777777" w:rsidR="001423B9" w:rsidRDefault="00946CBD">
      <w:pPr>
        <w:spacing w:after="120"/>
        <w:ind w:left="720" w:hanging="720"/>
      </w:pPr>
      <w:r>
        <w:t>Argyle, M., 2014. The psychology of interpersonal behaviour. 5th ed. London: Routledge.</w:t>
      </w:r>
    </w:p>
    <w:p w14:paraId="1FE6A0D0" w14:textId="77777777" w:rsidR="001423B9" w:rsidRDefault="00946CBD">
      <w:pPr>
        <w:spacing w:after="120"/>
        <w:ind w:left="720" w:hanging="720"/>
      </w:pPr>
      <w:r>
        <w:t>Barrett, G., Sellman, D. and Thomas, J., 2005. Interprofessional working in health and social care: Professional perspectives. London: Palgrave Macmillan.</w:t>
      </w:r>
    </w:p>
    <w:p w14:paraId="6DB4203B" w14:textId="77777777" w:rsidR="001423B9" w:rsidRDefault="00946CBD">
      <w:pPr>
        <w:spacing w:after="120"/>
        <w:ind w:left="720" w:hanging="720"/>
      </w:pPr>
      <w:r>
        <w:t>Berlo, D.K., 1960. The process of communication: An introduction to theory and practice. New York: Holt, Rinehart and Winston.</w:t>
      </w:r>
    </w:p>
    <w:p w14:paraId="32455B04" w14:textId="77777777" w:rsidR="001423B9" w:rsidRDefault="00946CBD">
      <w:pPr>
        <w:spacing w:after="120"/>
        <w:ind w:left="720" w:hanging="720"/>
      </w:pPr>
      <w:r>
        <w:t>Care Quality Commission (CQC), 2014. Regulation 17: Good governance. London: CQC.</w:t>
      </w:r>
    </w:p>
    <w:p w14:paraId="29C16B5E" w14:textId="77777777" w:rsidR="001423B9" w:rsidRDefault="00946CBD">
      <w:pPr>
        <w:spacing w:after="120"/>
        <w:ind w:left="720" w:hanging="720"/>
      </w:pPr>
      <w:r>
        <w:t>Department of Health and Social Care, 2021. Adult social care bsl and communication passport guidance. London: Open Government Licence.</w:t>
      </w:r>
    </w:p>
    <w:p w14:paraId="7C40B07D" w14:textId="77777777" w:rsidR="001423B9" w:rsidRDefault="00946CBD">
      <w:pPr>
        <w:spacing w:after="120"/>
        <w:ind w:left="720" w:hanging="720"/>
      </w:pPr>
      <w:r>
        <w:t>Glasby, J., 2012. Understanding health and social care. 2nd ed. Bristol: Policy Press.</w:t>
      </w:r>
    </w:p>
    <w:p w14:paraId="58BFA637" w14:textId="77777777" w:rsidR="001423B9" w:rsidRDefault="00946CBD">
      <w:pPr>
        <w:spacing w:after="120"/>
        <w:ind w:left="720" w:hanging="720"/>
      </w:pPr>
      <w:r>
        <w:t>Information Commissioner's Office (ICO), 2020. Guide to the data protection act 2018. Wilmslow: ICO.</w:t>
      </w:r>
    </w:p>
    <w:p w14:paraId="4B588118" w14:textId="77777777" w:rsidR="001423B9" w:rsidRDefault="00946CBD">
      <w:pPr>
        <w:spacing w:after="120"/>
        <w:ind w:left="720" w:hanging="720"/>
      </w:pPr>
      <w:r>
        <w:t>Data Protection Act 2018, c. 12. London: Legislation.gov.uk. Available at: &lt;https://www.legislation.gov.uk/ukpga/2018/12/contents/enacted&gt; [Accessed 20 October 2026].</w:t>
      </w:r>
    </w:p>
    <w:p w14:paraId="1D5D4BE4" w14:textId="77777777" w:rsidR="001423B9" w:rsidRDefault="00946CBD">
      <w:pPr>
        <w:spacing w:after="120"/>
        <w:ind w:left="720" w:hanging="720"/>
      </w:pPr>
      <w:r>
        <w:t>Equality Act 2010, c. 15. London: Legislation.gov.uk. Available at: &lt;https://www.legislation.gov.uk/ukpga/2010/15/contents&gt; [Accessed 20 October 2026].</w:t>
      </w:r>
    </w:p>
    <w:p w14:paraId="1F3518F6" w14:textId="77777777" w:rsidR="001423B9" w:rsidRDefault="00946CBD">
      <w:pPr>
        <w:spacing w:after="120"/>
        <w:ind w:left="720" w:hanging="720"/>
      </w:pPr>
      <w:r>
        <w:t>National Data Guardian, 2021. The Caldicott Principles: Guidance on the handling of patient-identifiable information. London: Department of Health and Social Care.</w:t>
      </w:r>
    </w:p>
    <w:p w14:paraId="530B5282" w14:textId="77777777" w:rsidR="001423B9" w:rsidRDefault="00946CBD">
      <w:pPr>
        <w:spacing w:after="120"/>
        <w:ind w:left="720" w:hanging="720"/>
      </w:pPr>
      <w:r>
        <w:t>National Institute for Health and Care Excellence (NICE), 2018. Chronic heart failure in adults: Diagnosis and management (NICE Guideline NG106). London: NICE.</w:t>
      </w:r>
    </w:p>
    <w:p w14:paraId="74692774" w14:textId="77777777" w:rsidR="001423B9" w:rsidRDefault="00946CBD">
      <w:pPr>
        <w:spacing w:after="120"/>
        <w:ind w:left="720" w:hanging="720"/>
      </w:pPr>
      <w:r>
        <w:t>NHS England, 2021. SBAR communication tool and toolkit. London: NHS England.</w:t>
      </w:r>
    </w:p>
    <w:p w14:paraId="011B925E" w14:textId="77777777" w:rsidR="001423B9" w:rsidRDefault="00946CBD">
      <w:pPr>
        <w:spacing w:after="120"/>
        <w:ind w:left="720" w:hanging="720"/>
      </w:pPr>
      <w:r>
        <w:t>Nursing and Midwifery Council (NMC), 2018. The Code: Professional standards of practice and behaviour for nurses, midwives and nursing associates. London: NMC.</w:t>
      </w:r>
    </w:p>
    <w:sectPr w:rsidR="001423B9"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97852308">
    <w:abstractNumId w:val="8"/>
  </w:num>
  <w:num w:numId="2" w16cid:durableId="47609179">
    <w:abstractNumId w:val="6"/>
  </w:num>
  <w:num w:numId="3" w16cid:durableId="1425951714">
    <w:abstractNumId w:val="5"/>
  </w:num>
  <w:num w:numId="4" w16cid:durableId="1187065058">
    <w:abstractNumId w:val="4"/>
  </w:num>
  <w:num w:numId="5" w16cid:durableId="248543050">
    <w:abstractNumId w:val="7"/>
  </w:num>
  <w:num w:numId="6" w16cid:durableId="803699423">
    <w:abstractNumId w:val="3"/>
  </w:num>
  <w:num w:numId="7" w16cid:durableId="824516153">
    <w:abstractNumId w:val="2"/>
  </w:num>
  <w:num w:numId="8" w16cid:durableId="2092465819">
    <w:abstractNumId w:val="1"/>
  </w:num>
  <w:num w:numId="9" w16cid:durableId="1419980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proofState w:spelling="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423B9"/>
    <w:rsid w:val="0015074B"/>
    <w:rsid w:val="0029639D"/>
    <w:rsid w:val="00326F90"/>
    <w:rsid w:val="00373F0C"/>
    <w:rsid w:val="003F125D"/>
    <w:rsid w:val="0074616D"/>
    <w:rsid w:val="007704DE"/>
    <w:rsid w:val="00934B76"/>
    <w:rsid w:val="00AA1D8D"/>
    <w:rsid w:val="00B47730"/>
    <w:rsid w:val="00C0619F"/>
    <w:rsid w:val="00CB0664"/>
    <w:rsid w:val="00CF1777"/>
    <w:rsid w:val="00DF3615"/>
    <w:rsid w:val="00E70E49"/>
    <w:rsid w:val="00E80091"/>
    <w:rsid w:val="00EE7AE0"/>
    <w:rsid w:val="00F8079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9C52753"/>
  <w14:defaultImageDpi w14:val="300"/>
  <w15:docId w15:val="{167AC0EF-A79B-E54B-9CED-885323501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240"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2113</Words>
  <Characters>12048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14133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Rohan Aly</cp:lastModifiedBy>
  <cp:revision>2</cp:revision>
  <dcterms:created xsi:type="dcterms:W3CDTF">2026-10-20T10:17:00Z</dcterms:created>
  <dcterms:modified xsi:type="dcterms:W3CDTF">2026-10-20T10:17:00Z</dcterms:modified>
  <cp:category/>
</cp:coreProperties>
</file>