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8FC69" w14:textId="4AD2CE74" w:rsidR="00CC3B8C" w:rsidRPr="003829A2" w:rsidRDefault="00333075">
      <w:pPr>
        <w:pStyle w:val="Heading1"/>
        <w:rPr>
          <w:color w:val="auto"/>
        </w:rPr>
      </w:pPr>
      <w:r w:rsidRPr="003829A2">
        <w:rPr>
          <w:color w:val="auto"/>
        </w:rPr>
        <w:t>In</w:t>
      </w:r>
      <w:r w:rsidR="003829A2" w:rsidRPr="003829A2">
        <w:rPr>
          <w:color w:val="auto"/>
        </w:rPr>
        <w:t>i</w:t>
      </w:r>
      <w:r w:rsidRPr="003829A2">
        <w:rPr>
          <w:color w:val="auto"/>
        </w:rPr>
        <w:t>tial Financial Ratio Observations and Interpretations (Accor 2021–2025)</w:t>
      </w:r>
    </w:p>
    <w:p w14:paraId="3D6FA135" w14:textId="77777777" w:rsidR="003829A2" w:rsidRPr="003829A2" w:rsidRDefault="003829A2" w:rsidP="003829A2"/>
    <w:p w14:paraId="05D81254" w14:textId="77777777" w:rsidR="00CC3B8C" w:rsidRDefault="00333075">
      <w:r>
        <w:t>The financial ratio analysis indicates that Accor's financial performance improved substantially between 2021 and 2024 following the recovery of the hospitality industry. Revenue growth, stronger operating profitability and improved operational efficiency contributed to healthier financial performance. Although 2025 remained profitable, some indicators suggest a moderation in earnings compared with the previous year.</w:t>
      </w:r>
    </w:p>
    <w:p w14:paraId="4D43CD3F" w14:textId="77777777" w:rsidR="00CC3B8C" w:rsidRPr="003829A2" w:rsidRDefault="00333075" w:rsidP="003829A2">
      <w:pPr>
        <w:rPr>
          <w:b/>
          <w:bCs/>
        </w:rPr>
      </w:pPr>
      <w:r w:rsidRPr="003829A2">
        <w:rPr>
          <w:b/>
          <w:bCs/>
        </w:rPr>
        <w:t>Profitability</w:t>
      </w:r>
    </w:p>
    <w:p w14:paraId="3D25D496" w14:textId="77777777" w:rsidR="00CC3B8C" w:rsidRDefault="00333075">
      <w:r>
        <w:t>Profitability ratios demonstrate a clear recovery after 2021. Improvements in operating margin, EBITDA margin and net profit margin indicate that the company generated higher earnings from its revenue base as hotel occupancy and demand increased. While profitability remained positive in 2025, lower net profit compared with 2024 suggests that higher finance costs and other operating pressures reduced overall profitability.</w:t>
      </w:r>
    </w:p>
    <w:p w14:paraId="6F594B24" w14:textId="77777777" w:rsidR="00CC3B8C" w:rsidRPr="003829A2" w:rsidRDefault="00333075" w:rsidP="003829A2">
      <w:pPr>
        <w:rPr>
          <w:b/>
          <w:bCs/>
        </w:rPr>
      </w:pPr>
      <w:r w:rsidRPr="003829A2">
        <w:rPr>
          <w:b/>
          <w:bCs/>
        </w:rPr>
        <w:t>Liquidity</w:t>
      </w:r>
    </w:p>
    <w:p w14:paraId="4FA49D50" w14:textId="08378872" w:rsidR="00CC3B8C" w:rsidRDefault="00333075">
      <w:r>
        <w:t xml:space="preserve">Liquidity remained </w:t>
      </w:r>
      <w:r w:rsidR="003829A2">
        <w:t>good</w:t>
      </w:r>
      <w:r>
        <w:t xml:space="preserve"> throughout the five-year period. Accor maintained significant cash balances while continuing to fund investments and operational activities. This suggests that the business was able to meet its short-term obligations without experiencing major liquidity concerns.</w:t>
      </w:r>
    </w:p>
    <w:p w14:paraId="7933DC01" w14:textId="77777777" w:rsidR="00CC3B8C" w:rsidRPr="003829A2" w:rsidRDefault="00333075" w:rsidP="003829A2">
      <w:pPr>
        <w:rPr>
          <w:b/>
          <w:bCs/>
        </w:rPr>
      </w:pPr>
      <w:r w:rsidRPr="003829A2">
        <w:rPr>
          <w:b/>
          <w:bCs/>
        </w:rPr>
        <w:t>Efficiency</w:t>
      </w:r>
    </w:p>
    <w:p w14:paraId="558BF950" w14:textId="77777777" w:rsidR="00CC3B8C" w:rsidRDefault="00333075">
      <w:r>
        <w:t>Efficiency ratios indicate that management made more effective use of company assets over time. Asset turnover and fixed asset turnover generally improved, demonstrating that assets generated higher levels of revenue as business activity recovered.</w:t>
      </w:r>
    </w:p>
    <w:p w14:paraId="75E86214" w14:textId="77777777" w:rsidR="00CC3B8C" w:rsidRPr="003829A2" w:rsidRDefault="00333075" w:rsidP="003829A2">
      <w:pPr>
        <w:rPr>
          <w:b/>
          <w:bCs/>
        </w:rPr>
      </w:pPr>
      <w:r w:rsidRPr="003829A2">
        <w:rPr>
          <w:b/>
          <w:bCs/>
        </w:rPr>
        <w:t>Leverage</w:t>
      </w:r>
    </w:p>
    <w:p w14:paraId="6F07884F" w14:textId="77777777" w:rsidR="00CC3B8C" w:rsidRDefault="00333075">
      <w:r>
        <w:t>Leverage ratios suggest that Accor continued to finance growth through a combination of debt and equity. Although borrowing remained significant, stronger operating performance improved the company's capacity to meet interest obligations, reducing overall financial risk.</w:t>
      </w:r>
    </w:p>
    <w:p w14:paraId="0F052009" w14:textId="77777777" w:rsidR="00CC3B8C" w:rsidRPr="003829A2" w:rsidRDefault="00333075" w:rsidP="003829A2">
      <w:pPr>
        <w:rPr>
          <w:b/>
          <w:bCs/>
        </w:rPr>
      </w:pPr>
      <w:r w:rsidRPr="003829A2">
        <w:rPr>
          <w:b/>
          <w:bCs/>
        </w:rPr>
        <w:t>Overall Assessment</w:t>
      </w:r>
    </w:p>
    <w:p w14:paraId="52AAAAF2" w14:textId="79580C7A" w:rsidR="00CC3B8C" w:rsidRDefault="003829A2">
      <w:r>
        <w:t>T</w:t>
      </w:r>
      <w:r w:rsidR="00333075">
        <w:t>he financial ratios suggest a positive long-term trend. The strongest improvements were observed in profitability and operational efficiency following the post-pandemic recovery. While some measures softened during 2025, Accor continued to demonstrate financial resilience, a stable capital structure and an ability to generate sustainable earnings.</w:t>
      </w:r>
    </w:p>
    <w:sectPr w:rsidR="00CC3B8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17142493">
    <w:abstractNumId w:val="8"/>
  </w:num>
  <w:num w:numId="2" w16cid:durableId="1819035740">
    <w:abstractNumId w:val="6"/>
  </w:num>
  <w:num w:numId="3" w16cid:durableId="537399034">
    <w:abstractNumId w:val="5"/>
  </w:num>
  <w:num w:numId="4" w16cid:durableId="1171867113">
    <w:abstractNumId w:val="4"/>
  </w:num>
  <w:num w:numId="5" w16cid:durableId="1277326236">
    <w:abstractNumId w:val="7"/>
  </w:num>
  <w:num w:numId="6" w16cid:durableId="1313558893">
    <w:abstractNumId w:val="3"/>
  </w:num>
  <w:num w:numId="7" w16cid:durableId="290213740">
    <w:abstractNumId w:val="2"/>
  </w:num>
  <w:num w:numId="8" w16cid:durableId="2032297656">
    <w:abstractNumId w:val="1"/>
  </w:num>
  <w:num w:numId="9" w16cid:durableId="2087146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33075"/>
    <w:rsid w:val="003829A2"/>
    <w:rsid w:val="005C20A4"/>
    <w:rsid w:val="00AA1D8D"/>
    <w:rsid w:val="00B47730"/>
    <w:rsid w:val="00CB0664"/>
    <w:rsid w:val="00CC3B8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7ADEA6"/>
  <w14:defaultImageDpi w14:val="300"/>
  <w15:docId w15:val="{6701D569-2852-4226-8E8D-D64CF82FC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 Pinto</cp:lastModifiedBy>
  <cp:revision>2</cp:revision>
  <dcterms:created xsi:type="dcterms:W3CDTF">2026-07-17T15:57:00Z</dcterms:created>
  <dcterms:modified xsi:type="dcterms:W3CDTF">2026-07-17T15:57:00Z</dcterms:modified>
  <cp:category/>
</cp:coreProperties>
</file>