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F9E298" w14:textId="10998EA1" w:rsidR="000361C5" w:rsidRPr="004E7C14" w:rsidRDefault="000361C5" w:rsidP="000361C5">
      <w:pPr>
        <w:pStyle w:val="Title"/>
        <w:jc w:val="center"/>
        <w:rPr>
          <w:rFonts w:asciiTheme="minorHAnsi" w:hAnsiTheme="minorHAnsi" w:cstheme="minorHAnsi"/>
        </w:rPr>
      </w:pPr>
      <w:r w:rsidRPr="004E7C14">
        <w:rPr>
          <w:rFonts w:asciiTheme="minorHAnsi" w:hAnsiTheme="minorHAnsi" w:cstheme="minorHAnsi"/>
        </w:rPr>
        <w:t>Cowley_1700561_HPAR6013_</w:t>
      </w:r>
      <w:r>
        <w:rPr>
          <w:rFonts w:asciiTheme="minorHAnsi" w:hAnsiTheme="minorHAnsi" w:cstheme="minorHAnsi"/>
        </w:rPr>
        <w:t>2</w:t>
      </w:r>
    </w:p>
    <w:p w14:paraId="6176C3BF" w14:textId="77777777" w:rsidR="000361C5" w:rsidRPr="004E7C14" w:rsidRDefault="000361C5" w:rsidP="000361C5"/>
    <w:p w14:paraId="71285981" w14:textId="2AEED988" w:rsidR="002D6210" w:rsidRPr="002D6210" w:rsidRDefault="000361C5" w:rsidP="00D4617C">
      <w:pPr>
        <w:spacing w:line="360" w:lineRule="auto"/>
        <w:rPr>
          <w:rFonts w:cstheme="minorHAnsi"/>
        </w:rPr>
      </w:pPr>
      <w:r w:rsidRPr="00B27A52">
        <w:rPr>
          <w:rFonts w:cstheme="minorHAnsi"/>
          <w:b/>
          <w:bCs/>
        </w:rPr>
        <w:t>Q.</w:t>
      </w:r>
      <w:r w:rsidRPr="00B27A52">
        <w:rPr>
          <w:rFonts w:cstheme="minorHAnsi"/>
        </w:rPr>
        <w:t xml:space="preserve"> </w:t>
      </w:r>
      <w:r w:rsidR="00D4617C" w:rsidRPr="00B27A52">
        <w:t xml:space="preserve">"Contact trace" scientific evidence, utilised in convictions prior to 1989 in the UK, provided inconclusive outcomes in some cases. Critically evaluate Contact Trace Evidence and discuss cases where the introduction of DNA and amplification methods of profile extraction changed the </w:t>
      </w:r>
      <w:proofErr w:type="gramStart"/>
      <w:r w:rsidR="00D4617C" w:rsidRPr="00B27A52">
        <w:t>final outcome</w:t>
      </w:r>
      <w:proofErr w:type="gramEnd"/>
      <w:r w:rsidR="00D4617C" w:rsidRPr="00B27A52">
        <w:t>.</w:t>
      </w:r>
    </w:p>
    <w:p w14:paraId="6BD2CD2E" w14:textId="77777777" w:rsidR="00BB0F97" w:rsidRDefault="00BB0F97"/>
    <w:p w14:paraId="5CFFBB22" w14:textId="217366E5" w:rsidR="00FC4AB6" w:rsidRDefault="00FC4AB6" w:rsidP="00324AF4">
      <w:pPr>
        <w:spacing w:line="360" w:lineRule="auto"/>
      </w:pPr>
      <w:r>
        <w:t>In 1985, Sir Alec Jeff</w:t>
      </w:r>
      <w:r w:rsidR="00CB022D">
        <w:t xml:space="preserve">reys </w:t>
      </w:r>
      <w:r>
        <w:t xml:space="preserve">accidently discovered </w:t>
      </w:r>
      <w:r w:rsidR="00462714">
        <w:t>one of</w:t>
      </w:r>
      <w:r>
        <w:t xml:space="preserve"> the most influential type</w:t>
      </w:r>
      <w:r w:rsidR="00462714">
        <w:t>s</w:t>
      </w:r>
      <w:r>
        <w:t xml:space="preserve"> of evidence in recent years, in the form of deoxyribonucleic acid, more commonly abbreviated to DNA. </w:t>
      </w:r>
      <w:r w:rsidR="00534847">
        <w:t>This falls into the category of c</w:t>
      </w:r>
      <w:r w:rsidR="00324AF4">
        <w:t xml:space="preserve">ontact trace </w:t>
      </w:r>
      <w:r w:rsidR="00534847">
        <w:t>evidence, which</w:t>
      </w:r>
      <w:r w:rsidR="00324AF4">
        <w:t xml:space="preserve"> refers to the idea that there is always a transfer of material when two items </w:t>
      </w:r>
      <w:r w:rsidR="00B27A52">
        <w:t>encounter</w:t>
      </w:r>
      <w:r w:rsidR="00324AF4">
        <w:t xml:space="preserve"> one another, as stated by </w:t>
      </w:r>
      <w:proofErr w:type="spellStart"/>
      <w:r w:rsidR="002D6210">
        <w:t>Locard’s</w:t>
      </w:r>
      <w:proofErr w:type="spellEnd"/>
      <w:r w:rsidR="002D6210">
        <w:t xml:space="preserve"> Principle of Exchange</w:t>
      </w:r>
      <w:r w:rsidR="00324AF4">
        <w:t xml:space="preserve"> (</w:t>
      </w:r>
      <w:r w:rsidR="00324AF4">
        <w:rPr>
          <w:rFonts w:cstheme="minorHAnsi"/>
        </w:rPr>
        <w:t>Beaufort-Moore</w:t>
      </w:r>
      <w:r w:rsidR="00324AF4" w:rsidRPr="000833BE">
        <w:rPr>
          <w:rFonts w:cstheme="minorHAnsi"/>
        </w:rPr>
        <w:t>, 2015, p. xvi</w:t>
      </w:r>
      <w:r w:rsidR="00534847" w:rsidRPr="000833BE">
        <w:rPr>
          <w:rFonts w:cstheme="minorHAnsi"/>
        </w:rPr>
        <w:t xml:space="preserve"> &amp; 126</w:t>
      </w:r>
      <w:r w:rsidR="00324AF4" w:rsidRPr="000833BE">
        <w:rPr>
          <w:rFonts w:cstheme="minorHAnsi"/>
        </w:rPr>
        <w:t>)</w:t>
      </w:r>
      <w:r w:rsidR="00324AF4" w:rsidRPr="000833BE">
        <w:t>.</w:t>
      </w:r>
      <w:r w:rsidR="00534847" w:rsidRPr="000833BE">
        <w:t xml:space="preserve"> However, before the discovery of DNA,</w:t>
      </w:r>
      <w:r w:rsidR="00324AF4" w:rsidRPr="000833BE">
        <w:t xml:space="preserve"> </w:t>
      </w:r>
      <w:r w:rsidR="00C15060" w:rsidRPr="000833BE">
        <w:t xml:space="preserve">a variety of </w:t>
      </w:r>
      <w:r w:rsidR="00534847" w:rsidRPr="000833BE">
        <w:t>other</w:t>
      </w:r>
      <w:r w:rsidR="00C15060" w:rsidRPr="000833BE">
        <w:t xml:space="preserve"> forms</w:t>
      </w:r>
      <w:r w:rsidR="00534847" w:rsidRPr="000833BE">
        <w:t xml:space="preserve"> of </w:t>
      </w:r>
      <w:r w:rsidR="00462714" w:rsidRPr="000833BE">
        <w:t xml:space="preserve">contact trace </w:t>
      </w:r>
      <w:r w:rsidR="00534847" w:rsidRPr="000833BE">
        <w:t>evidence</w:t>
      </w:r>
      <w:r w:rsidR="00C15060" w:rsidRPr="000833BE">
        <w:t>, such as fingerprints</w:t>
      </w:r>
      <w:r w:rsidR="00534847" w:rsidRPr="000833BE">
        <w:t xml:space="preserve">, </w:t>
      </w:r>
      <w:r w:rsidR="000833BE" w:rsidRPr="000833BE">
        <w:t>blood,</w:t>
      </w:r>
      <w:r w:rsidR="000833BE">
        <w:t xml:space="preserve"> </w:t>
      </w:r>
      <w:r w:rsidR="00C15060" w:rsidRPr="000833BE">
        <w:t xml:space="preserve">shoeprints, </w:t>
      </w:r>
      <w:r w:rsidR="0079457A" w:rsidRPr="000833BE">
        <w:t>and fibres</w:t>
      </w:r>
      <w:r w:rsidR="00534847" w:rsidRPr="000833BE">
        <w:t>, were used in order to solve criminal investigations. As such, an examination of these types of evidence is required in order to fully understand the impact of DNA in forensic</w:t>
      </w:r>
      <w:r w:rsidR="0072596E" w:rsidRPr="000833BE">
        <w:t xml:space="preserve"> cases</w:t>
      </w:r>
      <w:r w:rsidR="00534847" w:rsidRPr="000833BE">
        <w:t>.</w:t>
      </w:r>
    </w:p>
    <w:p w14:paraId="515FF590" w14:textId="77777777" w:rsidR="0072596E" w:rsidRDefault="0072596E" w:rsidP="009A6327">
      <w:pPr>
        <w:spacing w:line="360" w:lineRule="auto"/>
      </w:pPr>
    </w:p>
    <w:p w14:paraId="2AAF2A0C" w14:textId="1B996733" w:rsidR="00C83A22" w:rsidRDefault="008250E9" w:rsidP="009A6327">
      <w:pPr>
        <w:spacing w:line="360" w:lineRule="auto"/>
      </w:pPr>
      <w:r>
        <w:t xml:space="preserve">One type of contact trace evidence </w:t>
      </w:r>
      <w:r w:rsidR="00DB0492">
        <w:t>used in criminal cases before the development of DNA was that of fingerprint</w:t>
      </w:r>
      <w:r w:rsidR="00800E84">
        <w:t xml:space="preserve">s, which </w:t>
      </w:r>
      <w:r w:rsidR="00462714">
        <w:t>are caused by an</w:t>
      </w:r>
      <w:r w:rsidR="00800E84">
        <w:t xml:space="preserve"> impression of the various ridges and </w:t>
      </w:r>
      <w:r w:rsidR="001830E0">
        <w:t>farrows</w:t>
      </w:r>
      <w:r w:rsidR="00800E84">
        <w:t xml:space="preserve"> on our fingers</w:t>
      </w:r>
      <w:r w:rsidR="001830E0">
        <w:t>.</w:t>
      </w:r>
      <w:r w:rsidR="00AA60CE">
        <w:t xml:space="preserve"> Due to the </w:t>
      </w:r>
      <w:r w:rsidR="00AA60CE" w:rsidRPr="00CF3A78">
        <w:t>unique pattern of</w:t>
      </w:r>
      <w:r w:rsidR="0043505B" w:rsidRPr="00CF3A78">
        <w:t xml:space="preserve"> these friction ridges</w:t>
      </w:r>
      <w:r w:rsidR="000C5358" w:rsidRPr="00CF3A78">
        <w:t xml:space="preserve">, a fingerprint can usually identify an individual as no two prints are </w:t>
      </w:r>
      <w:r w:rsidR="00B27A52" w:rsidRPr="00CF3A78">
        <w:t>the same</w:t>
      </w:r>
      <w:r w:rsidR="0043505B" w:rsidRPr="00CF3A78">
        <w:t xml:space="preserve">, and they </w:t>
      </w:r>
      <w:r w:rsidR="000C5358" w:rsidRPr="00CF3A78">
        <w:t>remain a constant factor throughout our lives</w:t>
      </w:r>
      <w:r w:rsidR="000833BE">
        <w:t xml:space="preserve"> </w:t>
      </w:r>
      <w:r w:rsidR="00DD0D22" w:rsidRPr="00CF3A78">
        <w:t>(Hamilton, 2016, p. 19).</w:t>
      </w:r>
      <w:r w:rsidR="00DD0D22">
        <w:t xml:space="preserve"> </w:t>
      </w:r>
      <w:r w:rsidR="000833BE">
        <w:t>The</w:t>
      </w:r>
      <w:r w:rsidR="00797C02">
        <w:t xml:space="preserve"> late 1880’s </w:t>
      </w:r>
      <w:r w:rsidR="000833BE">
        <w:t>marked the first use of</w:t>
      </w:r>
      <w:r w:rsidR="00797C02">
        <w:t xml:space="preserve"> fingerprint</w:t>
      </w:r>
      <w:r w:rsidR="000833BE">
        <w:t>s</w:t>
      </w:r>
      <w:r w:rsidR="00797C02">
        <w:t xml:space="preserve"> as a way of identifying criminals in the UK, thanks to the work of Sir Francis Galton</w:t>
      </w:r>
      <w:r w:rsidR="0043505B">
        <w:t>, who</w:t>
      </w:r>
      <w:r w:rsidR="00A65497">
        <w:t xml:space="preserve"> collated </w:t>
      </w:r>
      <w:r w:rsidR="0043505B">
        <w:t xml:space="preserve">and studied </w:t>
      </w:r>
      <w:r w:rsidR="00A65497">
        <w:t>over 8,000 fingerprint impressions</w:t>
      </w:r>
      <w:r w:rsidR="0043505B">
        <w:t xml:space="preserve"> </w:t>
      </w:r>
      <w:r w:rsidR="00A65497">
        <w:t xml:space="preserve">before publishing his findings in 1892. </w:t>
      </w:r>
      <w:r w:rsidR="006B6A67">
        <w:t>These findings</w:t>
      </w:r>
      <w:r w:rsidR="00A65497">
        <w:t xml:space="preserve"> </w:t>
      </w:r>
      <w:r w:rsidR="006B6A67">
        <w:t>were</w:t>
      </w:r>
      <w:r w:rsidR="00A65497">
        <w:t xml:space="preserve"> revolutionary at the time as </w:t>
      </w:r>
      <w:r w:rsidR="006B6A67">
        <w:t>they</w:t>
      </w:r>
      <w:r w:rsidR="00A65497">
        <w:t xml:space="preserve"> detailed the individuality behind each print </w:t>
      </w:r>
      <w:r w:rsidR="006B6A67">
        <w:t>and</w:t>
      </w:r>
      <w:r w:rsidR="00A65497">
        <w:t xml:space="preserve"> classified different aspects of the patterns, such as the three main categories</w:t>
      </w:r>
      <w:r w:rsidR="00680146">
        <w:t xml:space="preserve"> of loops, whorls, and arches</w:t>
      </w:r>
      <w:r w:rsidR="006B6A67">
        <w:t xml:space="preserve"> </w:t>
      </w:r>
      <w:r w:rsidR="00A65497">
        <w:t>that fingerprint</w:t>
      </w:r>
      <w:r w:rsidR="00680146">
        <w:t>s</w:t>
      </w:r>
      <w:r w:rsidR="00A65497">
        <w:t xml:space="preserve"> fall </w:t>
      </w:r>
      <w:r w:rsidR="006B6A67">
        <w:t>into</w:t>
      </w:r>
      <w:r w:rsidR="00C2604F">
        <w:t xml:space="preserve"> (Hamilton, 2016, pp. 83 – 84)</w:t>
      </w:r>
      <w:r w:rsidR="00BE4B73">
        <w:t xml:space="preserve">. Not only this, but Galton was also the first individual to examine friction ridge detail, providing terms for </w:t>
      </w:r>
      <w:r w:rsidR="00E466EA">
        <w:t>all</w:t>
      </w:r>
      <w:r w:rsidR="00BE4B73">
        <w:t xml:space="preserve"> the </w:t>
      </w:r>
      <w:r w:rsidR="00E466EA">
        <w:t>ridge characteristics</w:t>
      </w:r>
      <w:r w:rsidR="006B6A67">
        <w:t xml:space="preserve"> and</w:t>
      </w:r>
      <w:r w:rsidR="00EF7525">
        <w:t xml:space="preserve"> claiming that these characteristics could be used to match two prints together (</w:t>
      </w:r>
      <w:r w:rsidR="00E466EA">
        <w:t>Cole, 2001, pp. 77 – 97).</w:t>
      </w:r>
      <w:r w:rsidR="00EF7525">
        <w:t xml:space="preserve"> As is evident here, Galton</w:t>
      </w:r>
      <w:r w:rsidR="006B6A67">
        <w:t>’s work</w:t>
      </w:r>
      <w:r w:rsidR="00EF7525">
        <w:t xml:space="preserve"> lay the foundation for later fingerprint identification methods, </w:t>
      </w:r>
      <w:r w:rsidR="00A32D41">
        <w:t xml:space="preserve">which </w:t>
      </w:r>
      <w:r w:rsidR="006B6A67">
        <w:t>were</w:t>
      </w:r>
      <w:r w:rsidR="00A32D41">
        <w:t xml:space="preserve"> first used </w:t>
      </w:r>
      <w:r w:rsidR="006B6A67">
        <w:t>i</w:t>
      </w:r>
      <w:r w:rsidR="00A32D41">
        <w:t>n 1902 to successfully convict a thief by the name of Harry Jackson. Following a break in</w:t>
      </w:r>
      <w:r w:rsidR="0084138A">
        <w:t xml:space="preserve"> in</w:t>
      </w:r>
      <w:r w:rsidR="00A32D41">
        <w:t xml:space="preserve"> South London, police uncovered a fingerprint </w:t>
      </w:r>
      <w:r w:rsidR="00502ADE">
        <w:t>on</w:t>
      </w:r>
      <w:r w:rsidR="00A32D41">
        <w:t xml:space="preserve"> the frame of a newly painted window, which was photographed an</w:t>
      </w:r>
      <w:r w:rsidR="0084138A">
        <w:t>d</w:t>
      </w:r>
      <w:r w:rsidR="00A32D41">
        <w:t xml:space="preserve"> compared </w:t>
      </w:r>
      <w:r w:rsidR="00301D4E">
        <w:t xml:space="preserve">with other prints from the Scotland Yard fingerprint register </w:t>
      </w:r>
      <w:r w:rsidR="00502ADE">
        <w:t>established</w:t>
      </w:r>
      <w:r w:rsidR="00301D4E">
        <w:t xml:space="preserve"> the previous year. The fingerprint from this </w:t>
      </w:r>
      <w:r w:rsidR="00301D4E">
        <w:lastRenderedPageBreak/>
        <w:t xml:space="preserve">scene matched that of Jackson, who had previously been convicted of burglary, and as such the 41-year-old was </w:t>
      </w:r>
      <w:r w:rsidR="00502ADE">
        <w:t>sentenced to</w:t>
      </w:r>
      <w:r w:rsidR="00301D4E">
        <w:t xml:space="preserve"> 7 years in prison (Beadle &amp; Harrison, 2007, p. 102). </w:t>
      </w:r>
    </w:p>
    <w:p w14:paraId="11D37002" w14:textId="49FC3688" w:rsidR="00F57C5B" w:rsidRDefault="006720C3" w:rsidP="00502ADE">
      <w:pPr>
        <w:spacing w:line="360" w:lineRule="auto"/>
      </w:pPr>
      <w:r>
        <w:t xml:space="preserve">However, sometimes fingerprint analysis for criminal identification </w:t>
      </w:r>
      <w:r w:rsidR="00A06021">
        <w:t xml:space="preserve">does not </w:t>
      </w:r>
      <w:r w:rsidR="009A6C06">
        <w:t xml:space="preserve">always provide the right results, due to various issues </w:t>
      </w:r>
      <w:r w:rsidR="00502ADE">
        <w:t>regarding</w:t>
      </w:r>
      <w:r w:rsidR="009A6C06">
        <w:t xml:space="preserve"> this form of contact trace evidence. </w:t>
      </w:r>
      <w:r w:rsidR="0040299B">
        <w:t xml:space="preserve">This mainly revolves around </w:t>
      </w:r>
      <w:r w:rsidR="005A07EF">
        <w:t xml:space="preserve">the </w:t>
      </w:r>
      <w:r w:rsidR="00AE577E">
        <w:t>subjective-ness of fingerprint</w:t>
      </w:r>
      <w:r w:rsidR="005A07EF">
        <w:t xml:space="preserve"> identification</w:t>
      </w:r>
      <w:r w:rsidR="00AE577E">
        <w:t xml:space="preserve">, both in terms of the </w:t>
      </w:r>
      <w:r w:rsidR="005A07EF">
        <w:t>impression and</w:t>
      </w:r>
      <w:r w:rsidR="00AE577E">
        <w:t xml:space="preserve"> human bias. </w:t>
      </w:r>
      <w:r w:rsidR="00502ADE">
        <w:t>With the</w:t>
      </w:r>
      <w:r w:rsidR="00AE577E">
        <w:t xml:space="preserve"> former</w:t>
      </w:r>
      <w:r w:rsidR="007F1EF1">
        <w:t xml:space="preserve">, the questions revolve around whether the unique pattern of </w:t>
      </w:r>
      <w:r w:rsidR="00830900">
        <w:t>our fingerprints</w:t>
      </w:r>
      <w:r w:rsidR="00767D77">
        <w:t>,</w:t>
      </w:r>
      <w:r w:rsidR="00830900">
        <w:t xml:space="preserve"> found in varying degrees of quality</w:t>
      </w:r>
      <w:r w:rsidR="00767D77">
        <w:t xml:space="preserve">, </w:t>
      </w:r>
      <w:r w:rsidR="00830900">
        <w:t xml:space="preserve">can be used as evidence, </w:t>
      </w:r>
      <w:r w:rsidR="005A07EF">
        <w:t xml:space="preserve">as </w:t>
      </w:r>
      <w:r w:rsidR="00830900">
        <w:t xml:space="preserve">the friction ridges may not successfully transfer over to </w:t>
      </w:r>
      <w:r w:rsidR="00502ADE">
        <w:t>the contact</w:t>
      </w:r>
      <w:r w:rsidR="00830900">
        <w:t xml:space="preserve"> </w:t>
      </w:r>
      <w:r w:rsidR="00502ADE">
        <w:t>surface</w:t>
      </w:r>
      <w:r w:rsidR="00830900">
        <w:t>.</w:t>
      </w:r>
      <w:r w:rsidR="00767D77">
        <w:t xml:space="preserve"> This could lead to issues as the prints of two individuals may look identical because they are badly preserved partial prints, which could lead to either the wrong person being convicted or the collapse of </w:t>
      </w:r>
      <w:r w:rsidR="005A07EF">
        <w:t>the</w:t>
      </w:r>
      <w:r w:rsidR="00767D77">
        <w:t xml:space="preserve"> case</w:t>
      </w:r>
      <w:r w:rsidR="00EF0E92">
        <w:t xml:space="preserve"> entirely (Hamilton, 2016, p. 23).</w:t>
      </w:r>
      <w:r w:rsidR="00A2359C">
        <w:t xml:space="preserve"> </w:t>
      </w:r>
      <w:r w:rsidR="008B6464">
        <w:t xml:space="preserve">Continuing from this, the examination undertaken by the fingerprint experts is also highly subjective due to the very nature of the profession, in that </w:t>
      </w:r>
      <w:r w:rsidR="006C3FE9">
        <w:t>these specialists are attempting to identify characteristics that are not always clear. For example, one specialist may identify a print as containing a bifurcation, while another may claim that it is a lake</w:t>
      </w:r>
      <w:r w:rsidR="00874E34">
        <w:t xml:space="preserve"> (Hamilton, 2016, pp. 20 – 23)</w:t>
      </w:r>
      <w:r w:rsidR="006C3FE9">
        <w:t xml:space="preserve">. This sort of incident is evident </w:t>
      </w:r>
      <w:r w:rsidR="00874E34">
        <w:t xml:space="preserve">with the Scottish case of </w:t>
      </w:r>
      <w:r w:rsidR="009377AC">
        <w:t xml:space="preserve">Shirley </w:t>
      </w:r>
      <w:r w:rsidR="00874E34">
        <w:t xml:space="preserve">McKie, </w:t>
      </w:r>
      <w:r w:rsidR="009377AC">
        <w:t>a detective constable who was accused of being at a murder</w:t>
      </w:r>
      <w:r w:rsidR="0045688B">
        <w:t>,</w:t>
      </w:r>
      <w:r w:rsidR="00502ADE">
        <w:t xml:space="preserve"> as her fingerprints were discovered at the</w:t>
      </w:r>
      <w:r w:rsidR="00502ADE" w:rsidRPr="00502ADE">
        <w:t xml:space="preserve"> </w:t>
      </w:r>
      <w:r w:rsidR="00502ADE">
        <w:t>scene</w:t>
      </w:r>
      <w:r w:rsidR="00502ADE">
        <w:t xml:space="preserve">, </w:t>
      </w:r>
      <w:r w:rsidR="0045688B">
        <w:t xml:space="preserve">despite </w:t>
      </w:r>
      <w:r w:rsidR="00502ADE">
        <w:t>claim</w:t>
      </w:r>
      <w:r w:rsidR="0045688B">
        <w:t xml:space="preserve">ing </w:t>
      </w:r>
      <w:r w:rsidR="009377AC">
        <w:t xml:space="preserve">she was </w:t>
      </w:r>
      <w:r w:rsidR="0045688B">
        <w:t>not</w:t>
      </w:r>
      <w:r w:rsidR="00412210">
        <w:t xml:space="preserve">, </w:t>
      </w:r>
      <w:r w:rsidR="00DB01A0">
        <w:t xml:space="preserve">which </w:t>
      </w:r>
      <w:r w:rsidR="00412210">
        <w:t>result</w:t>
      </w:r>
      <w:r w:rsidR="00DB01A0">
        <w:t>ed</w:t>
      </w:r>
      <w:r w:rsidR="00412210">
        <w:t xml:space="preserve"> in her dismissal from the force</w:t>
      </w:r>
      <w:r w:rsidR="009377AC">
        <w:t xml:space="preserve"> </w:t>
      </w:r>
      <w:r w:rsidR="00CD7AD3">
        <w:t>(Rogers, et al., 2011, p. 296).</w:t>
      </w:r>
      <w:r w:rsidR="00AB11B1">
        <w:t xml:space="preserve"> However, there was contention over her print between the original fingerprint specialist and the</w:t>
      </w:r>
      <w:r w:rsidR="00CA66E9">
        <w:t xml:space="preserve"> expert</w:t>
      </w:r>
      <w:r w:rsidR="00AB11B1">
        <w:t xml:space="preserve"> who verified their assessment</w:t>
      </w:r>
      <w:r w:rsidR="00CA66E9">
        <w:t>, marking the first time in the public eye that this sort of thing had occurred. As such, the subjective nature of fingerprint identification has led some critics to dismiss this method of contact trace evidence (Hamilton, 2016, p. 24)</w:t>
      </w:r>
      <w:r w:rsidR="000833BE">
        <w:t xml:space="preserve">. </w:t>
      </w:r>
    </w:p>
    <w:p w14:paraId="5B3AB992" w14:textId="60077678" w:rsidR="006720C3" w:rsidRDefault="006720C3" w:rsidP="00324AF4">
      <w:pPr>
        <w:spacing w:line="360" w:lineRule="auto"/>
      </w:pPr>
    </w:p>
    <w:p w14:paraId="79DA275F" w14:textId="3786F806" w:rsidR="000614D4" w:rsidRDefault="000E1864" w:rsidP="00324AF4">
      <w:pPr>
        <w:spacing w:line="360" w:lineRule="auto"/>
      </w:pPr>
      <w:r>
        <w:t>An analysis of blood is</w:t>
      </w:r>
      <w:r w:rsidR="002B6924">
        <w:t xml:space="preserve"> another type of contact trace evidence used before the development of DNA</w:t>
      </w:r>
      <w:r w:rsidR="0045688B">
        <w:t>.</w:t>
      </w:r>
      <w:r w:rsidR="00BA0B99">
        <w:t xml:space="preserve"> </w:t>
      </w:r>
      <w:r w:rsidR="00FC2723">
        <w:t>At the turn of the 20</w:t>
      </w:r>
      <w:r w:rsidR="00FC2723" w:rsidRPr="00FC2723">
        <w:rPr>
          <w:vertAlign w:val="superscript"/>
        </w:rPr>
        <w:t>th</w:t>
      </w:r>
      <w:r w:rsidR="00FC2723">
        <w:t xml:space="preserve"> Century, the discovery of blood groups revolutionised crime scene investigation as it enabled investigators to narrow down </w:t>
      </w:r>
      <w:r w:rsidR="00AB52AB">
        <w:t>their</w:t>
      </w:r>
      <w:r w:rsidR="00FC2723">
        <w:t xml:space="preserve"> list of suspects </w:t>
      </w:r>
      <w:r w:rsidR="00AB52AB">
        <w:t xml:space="preserve">based on what category of the ABO system that an individual </w:t>
      </w:r>
      <w:r w:rsidR="00F10097">
        <w:t>fell</w:t>
      </w:r>
      <w:r w:rsidR="00AB52AB">
        <w:t xml:space="preserve"> </w:t>
      </w:r>
      <w:r w:rsidR="00F10097">
        <w:t>int</w:t>
      </w:r>
      <w:r w:rsidR="007A392F">
        <w:t>o</w:t>
      </w:r>
      <w:r w:rsidR="00CB5F65">
        <w:t xml:space="preserve">. </w:t>
      </w:r>
      <w:r w:rsidR="00F10097">
        <w:t>The majority of the populous have Type A and Type O blood groups, while only about 10% have Type B, and less than 5% hav</w:t>
      </w:r>
      <w:r w:rsidR="007A392F">
        <w:t>e</w:t>
      </w:r>
      <w:r w:rsidR="00F10097">
        <w:t xml:space="preserve"> Type AB, meaning that </w:t>
      </w:r>
      <w:r w:rsidR="00CB5F65">
        <w:t>it is possibl</w:t>
      </w:r>
      <w:r w:rsidR="007A392F">
        <w:t>e</w:t>
      </w:r>
      <w:r w:rsidR="00CB5F65">
        <w:t xml:space="preserve"> to eliminate a large proportion of suspects based on their blood group</w:t>
      </w:r>
      <w:r w:rsidR="00F10097">
        <w:t xml:space="preserve"> (Bell, 2008, pp. 37 – 38). </w:t>
      </w:r>
      <w:r w:rsidR="008F761C">
        <w:t xml:space="preserve">The first-time blood typing was used to solve a crime was that of the German murderer, Ludwig </w:t>
      </w:r>
      <w:proofErr w:type="spellStart"/>
      <w:r w:rsidR="008F761C">
        <w:t>Tessnow</w:t>
      </w:r>
      <w:proofErr w:type="spellEnd"/>
      <w:r w:rsidR="008F761C">
        <w:t>. In 1898, 2 young girls went missing and were later found murdered in the woods nearby</w:t>
      </w:r>
      <w:r w:rsidR="008F761C" w:rsidRPr="008F761C">
        <w:t xml:space="preserve"> </w:t>
      </w:r>
      <w:r w:rsidR="008F761C">
        <w:t xml:space="preserve">the small German village of </w:t>
      </w:r>
      <w:proofErr w:type="spellStart"/>
      <w:r w:rsidR="008F761C" w:rsidRPr="007A392F">
        <w:rPr>
          <w:i/>
          <w:iCs/>
        </w:rPr>
        <w:t>Lechtingen</w:t>
      </w:r>
      <w:proofErr w:type="spellEnd"/>
      <w:r w:rsidR="008F761C">
        <w:t xml:space="preserve">. Witnesses reported that a stranger was seen exiting said forest wearing a stained leather apron, however when police questioned this man, </w:t>
      </w:r>
      <w:r w:rsidR="007C06EB">
        <w:t>he</w:t>
      </w:r>
      <w:r w:rsidR="008F761C">
        <w:t xml:space="preserve"> claimed that the stains were from the wood dye he used for his carpentry projects. </w:t>
      </w:r>
      <w:r w:rsidR="007C06EB">
        <w:t xml:space="preserve">As such, </w:t>
      </w:r>
      <w:proofErr w:type="spellStart"/>
      <w:r w:rsidR="007C06EB">
        <w:t>Tessnow</w:t>
      </w:r>
      <w:proofErr w:type="spellEnd"/>
      <w:r w:rsidR="007C06EB">
        <w:t xml:space="preserve"> escaped justice on this occasion, but would go on to kill another 2 children, this time boys, in 1901. The same events occurred, in that the boys were found in a local woodland and </w:t>
      </w:r>
      <w:proofErr w:type="spellStart"/>
      <w:r w:rsidR="007C06EB">
        <w:t>Tessnow</w:t>
      </w:r>
      <w:proofErr w:type="spellEnd"/>
      <w:r w:rsidR="007C06EB">
        <w:t xml:space="preserve"> was again seen near the area of the crime wearing stained clothing. He even tried to use the same alibi as before, but this time, the police examined the stains in more detail and discovered that the stains </w:t>
      </w:r>
      <w:r w:rsidR="007A392F">
        <w:t>were</w:t>
      </w:r>
      <w:r w:rsidR="007C06EB">
        <w:t xml:space="preserve"> blood belonging to the 2 boys. As such, he was convicted of multiple accounts of murder and sentenced to death in 1904/1905 (</w:t>
      </w:r>
      <w:proofErr w:type="spellStart"/>
      <w:r w:rsidR="007C06EB">
        <w:t>Latta</w:t>
      </w:r>
      <w:proofErr w:type="spellEnd"/>
      <w:r w:rsidR="007C06EB">
        <w:t xml:space="preserve">, 2012, pp. 21 – 24). As is evident here, </w:t>
      </w:r>
      <w:r w:rsidR="00DA1CBF">
        <w:t>blood stains were used before the introduction of DNA as a form of contact trace scientific evidence.</w:t>
      </w:r>
    </w:p>
    <w:p w14:paraId="5A906359" w14:textId="419391DB" w:rsidR="004E5A29" w:rsidRDefault="00277101" w:rsidP="00324AF4">
      <w:pPr>
        <w:spacing w:line="360" w:lineRule="auto"/>
      </w:pPr>
      <w:r>
        <w:t>Although</w:t>
      </w:r>
      <w:r w:rsidR="002C2F19">
        <w:t xml:space="preserve"> blood as a type of contact trace evidence </w:t>
      </w:r>
      <w:r w:rsidR="00EF46C6">
        <w:t>can narrow down a list of suspects</w:t>
      </w:r>
      <w:r w:rsidR="008540F4">
        <w:t xml:space="preserve"> to help identify the criminal</w:t>
      </w:r>
      <w:r w:rsidR="00EF46C6">
        <w:t xml:space="preserve">, there are various issues </w:t>
      </w:r>
      <w:r w:rsidR="008540F4">
        <w:t xml:space="preserve">surrounding this form of scientific evidence. Firstly, in terms of the ABO system, </w:t>
      </w:r>
      <w:r w:rsidR="007A392F">
        <w:t>sometimes a larger sample is required in order to identify a blood group, which</w:t>
      </w:r>
      <w:r w:rsidR="007D66DD">
        <w:t xml:space="preserve"> </w:t>
      </w:r>
      <w:r w:rsidR="00AD5913">
        <w:t>is a problem as</w:t>
      </w:r>
      <w:r w:rsidR="007D66DD">
        <w:t xml:space="preserve"> blood stains at</w:t>
      </w:r>
      <w:r w:rsidR="00724175">
        <w:t xml:space="preserve"> a</w:t>
      </w:r>
      <w:r w:rsidR="007D66DD">
        <w:t xml:space="preserve"> crime scene</w:t>
      </w:r>
      <w:r w:rsidR="00AD5913">
        <w:t xml:space="preserve"> </w:t>
      </w:r>
      <w:r w:rsidR="007D66DD">
        <w:t>are limited in both their quantity and quality, as the police can only analyse the amount of blood at the scene</w:t>
      </w:r>
      <w:r w:rsidR="00AD5913">
        <w:t xml:space="preserve"> </w:t>
      </w:r>
      <w:r w:rsidR="007D66DD">
        <w:t xml:space="preserve">(Bell, 2008, p. 37). Furthermore, the other major criticism </w:t>
      </w:r>
      <w:r w:rsidR="00B45ECD">
        <w:t xml:space="preserve">is that </w:t>
      </w:r>
      <w:r w:rsidR="00AD5913">
        <w:t>this form of evidence</w:t>
      </w:r>
      <w:r w:rsidR="0076190B">
        <w:t xml:space="preserve"> can only identify a person’s blood group, and not always the individual responsible for a crime.</w:t>
      </w:r>
      <w:r w:rsidR="00A94424">
        <w:t xml:space="preserve"> For example, if the blood </w:t>
      </w:r>
      <w:r w:rsidR="00724175">
        <w:t xml:space="preserve">found at a scene </w:t>
      </w:r>
      <w:r w:rsidR="00A94424">
        <w:t xml:space="preserve">was of Type B, and of 5 suspects rounded up, </w:t>
      </w:r>
      <w:r w:rsidR="009A2905">
        <w:t xml:space="preserve">only one of them had Type B blood, then it is highly likely that this individual was the criminal. However, if this blood was instead matched to Type A or Type O, then firstly, the person with Type B blood can be released, and secondly, </w:t>
      </w:r>
      <w:r w:rsidR="00726269">
        <w:t xml:space="preserve">the 4 remaining individuals who </w:t>
      </w:r>
      <w:r w:rsidR="009545A7">
        <w:t xml:space="preserve">have </w:t>
      </w:r>
      <w:r w:rsidR="00724175">
        <w:t xml:space="preserve">Type A or Type O </w:t>
      </w:r>
      <w:r w:rsidR="00726269">
        <w:t>are all still suspects. However, this is as far as blood can be used to narrow down a list of suspects,</w:t>
      </w:r>
      <w:r w:rsidR="00FC3535">
        <w:t xml:space="preserve"> and as such, it is for these reasons that blood as a form of contact trace evidence is problematic when used to identi</w:t>
      </w:r>
      <w:r w:rsidR="00AD5913">
        <w:t>fy</w:t>
      </w:r>
      <w:r w:rsidR="00726269">
        <w:t xml:space="preserve"> </w:t>
      </w:r>
      <w:r w:rsidR="00FC3535">
        <w:t>individuals responsible for crimes before the development of DNA (Rudin &amp; Inman, 2002, p. 9).</w:t>
      </w:r>
    </w:p>
    <w:p w14:paraId="58D2B406" w14:textId="77777777" w:rsidR="00457058" w:rsidRDefault="00457058" w:rsidP="00324AF4">
      <w:pPr>
        <w:spacing w:line="360" w:lineRule="auto"/>
      </w:pPr>
    </w:p>
    <w:p w14:paraId="485EBE9D" w14:textId="35450BA4" w:rsidR="00724175" w:rsidRDefault="002E5F56" w:rsidP="00996E32">
      <w:pPr>
        <w:spacing w:line="360" w:lineRule="auto"/>
      </w:pPr>
      <w:r>
        <w:t xml:space="preserve">Another type of contact trace evidence used before the introduction of DNA </w:t>
      </w:r>
      <w:r w:rsidR="00152AEC">
        <w:t xml:space="preserve">is </w:t>
      </w:r>
      <w:r w:rsidR="0070383D">
        <w:t xml:space="preserve">that produced by </w:t>
      </w:r>
      <w:r w:rsidR="00F33E0C">
        <w:t>footwear and</w:t>
      </w:r>
      <w:r w:rsidR="0070383D">
        <w:t xml:space="preserve"> </w:t>
      </w:r>
      <w:r w:rsidR="00152AEC">
        <w:t xml:space="preserve">occurs when an individual enters </w:t>
      </w:r>
      <w:r w:rsidR="00F33E0C">
        <w:t>or</w:t>
      </w:r>
      <w:r w:rsidR="00152AEC">
        <w:t xml:space="preserve"> exits the crime scene</w:t>
      </w:r>
      <w:r w:rsidR="0070383D">
        <w:t xml:space="preserve">. </w:t>
      </w:r>
      <w:r w:rsidR="00F33E0C">
        <w:t>Footprint evidence is extremely useful as it can enable investigators to link a suspect to a scene, either through impressions left by downward pressure or traces picked up by the shoe</w:t>
      </w:r>
      <w:r w:rsidR="00465176">
        <w:t xml:space="preserve">. Shoeprints can even lead police to making connections between various crimes, such as if the same footprint </w:t>
      </w:r>
      <w:r w:rsidR="009A67F2">
        <w:t>ended up at multiple burglaries, then it is likely that the thief is a serial burglar</w:t>
      </w:r>
      <w:r w:rsidR="002255A9">
        <w:t xml:space="preserve"> (</w:t>
      </w:r>
      <w:r w:rsidR="00000F92">
        <w:rPr>
          <w:rFonts w:cstheme="minorHAnsi"/>
        </w:rPr>
        <w:t>Beaufort-Moore, 2015, pp. 92 – 94)</w:t>
      </w:r>
      <w:r w:rsidR="00000F92">
        <w:t>.</w:t>
      </w:r>
      <w:r w:rsidR="00E5004F">
        <w:t xml:space="preserve"> For example, a series of burglaries and murders ravaged the northeast of the US, with the individual responsibl</w:t>
      </w:r>
      <w:r w:rsidR="009545A7">
        <w:t>e</w:t>
      </w:r>
      <w:r w:rsidR="00E5004F">
        <w:t xml:space="preserve"> finally being arrested following</w:t>
      </w:r>
      <w:r w:rsidR="00375422">
        <w:t xml:space="preserve"> the discovery of a dead </w:t>
      </w:r>
      <w:r w:rsidR="00E5004F">
        <w:t xml:space="preserve">store owner </w:t>
      </w:r>
      <w:r w:rsidR="00375422">
        <w:t xml:space="preserve">with </w:t>
      </w:r>
      <w:r w:rsidR="00E5004F">
        <w:t>his cash-register emptied</w:t>
      </w:r>
      <w:r w:rsidR="00375422">
        <w:t>. The criminal attempted to flee police on foot in the snow, but was eventually detained, however, without his murder weapon. As such, the police retraced their steps and eventually found the firearm along with footprints belonging to the killer</w:t>
      </w:r>
      <w:r w:rsidR="00724175">
        <w:t xml:space="preserve"> </w:t>
      </w:r>
      <w:r w:rsidR="00375422">
        <w:t>(</w:t>
      </w:r>
      <w:proofErr w:type="spellStart"/>
      <w:r w:rsidR="00E0387A">
        <w:t>Bodziak</w:t>
      </w:r>
      <w:proofErr w:type="spellEnd"/>
      <w:r w:rsidR="00E0387A">
        <w:t>, 2005, p. 373)</w:t>
      </w:r>
      <w:r w:rsidR="00375422">
        <w:t>.</w:t>
      </w:r>
      <w:r w:rsidR="00CF3A78">
        <w:t xml:space="preserve"> </w:t>
      </w:r>
      <w:r w:rsidR="009A1386">
        <w:t xml:space="preserve">As is evident here, </w:t>
      </w:r>
      <w:r w:rsidR="00CF3A78">
        <w:t>shoeprints as</w:t>
      </w:r>
      <w:r w:rsidR="00603F12">
        <w:t xml:space="preserve"> a form of contact trace evidence</w:t>
      </w:r>
      <w:r w:rsidR="00CF3A78">
        <w:t xml:space="preserve"> could help police find and convict a criminal </w:t>
      </w:r>
      <w:r w:rsidR="00603F12">
        <w:t>before the development of DNA.</w:t>
      </w:r>
    </w:p>
    <w:p w14:paraId="1C386194" w14:textId="44CCA387" w:rsidR="002E5F56" w:rsidRDefault="004B620D" w:rsidP="00996E32">
      <w:pPr>
        <w:spacing w:line="360" w:lineRule="auto"/>
      </w:pPr>
      <w:r>
        <w:t xml:space="preserve">Continuing from this, footprints can also allow investigators to identify potential characteristics that may help them uncover </w:t>
      </w:r>
      <w:r w:rsidR="00724175">
        <w:t>their culprit</w:t>
      </w:r>
      <w:r>
        <w:t xml:space="preserve">, such as in 1959, where the forensic pathologist, Sir Sidney Smith, successfully speculated that the individual </w:t>
      </w:r>
      <w:r w:rsidR="00DA3708">
        <w:t xml:space="preserve">responsible for a crime in Falkirk would be small in stature, </w:t>
      </w:r>
      <w:r w:rsidR="00724175">
        <w:t>have</w:t>
      </w:r>
      <w:r w:rsidR="00DA3708">
        <w:t xml:space="preserve"> a short left leg</w:t>
      </w:r>
      <w:r w:rsidR="00523B9D">
        <w:t>,</w:t>
      </w:r>
      <w:r w:rsidR="00DA3708">
        <w:t xml:space="preserve"> and a deformed lesser toe on their left foot. All of this was estimated based </w:t>
      </w:r>
      <w:r w:rsidR="00DF7CB2">
        <w:t>off</w:t>
      </w:r>
      <w:r w:rsidR="00DA3708">
        <w:t xml:space="preserve"> shoeprint evidence, which clearly demonstrates </w:t>
      </w:r>
      <w:r w:rsidR="00E4173C">
        <w:t xml:space="preserve">the ability by a skilled specialist to identify defining characteristics </w:t>
      </w:r>
      <w:r w:rsidR="00192E57">
        <w:t xml:space="preserve">that may remain unknown until </w:t>
      </w:r>
      <w:r w:rsidR="00523B9D">
        <w:t>a criminal</w:t>
      </w:r>
      <w:r w:rsidR="00192E57">
        <w:t xml:space="preserve"> </w:t>
      </w:r>
      <w:r w:rsidR="00523B9D">
        <w:t>is</w:t>
      </w:r>
      <w:r w:rsidR="00192E57">
        <w:t xml:space="preserve"> apprehended (</w:t>
      </w:r>
      <w:r w:rsidR="00AB0D20">
        <w:t>Vernon, 2007, p. 304)</w:t>
      </w:r>
      <w:r w:rsidR="00192E57">
        <w:t xml:space="preserve">. </w:t>
      </w:r>
      <w:r w:rsidR="002064F2">
        <w:t>Saying this, criticisms have been raised regarding this type of contact trace evidence, mainly due to the very nature of what it is, in that the soles of our shoes slowly degrade overtime through use, meaning that the impression</w:t>
      </w:r>
      <w:r w:rsidR="00976D16">
        <w:t>s</w:t>
      </w:r>
      <w:r w:rsidR="002064F2">
        <w:t xml:space="preserve"> they leave </w:t>
      </w:r>
      <w:r w:rsidR="00693922">
        <w:t>could be incomplete</w:t>
      </w:r>
      <w:r w:rsidR="00976D16">
        <w:t xml:space="preserve"> and missing </w:t>
      </w:r>
      <w:r w:rsidR="00523B9D">
        <w:t xml:space="preserve">identifiable </w:t>
      </w:r>
      <w:r w:rsidR="00976D16">
        <w:t>characteristics</w:t>
      </w:r>
      <w:r w:rsidR="00693922">
        <w:t>.</w:t>
      </w:r>
      <w:r w:rsidR="00976D16">
        <w:t xml:space="preserve"> Likewise, there is also the issue that shoeprint analysis can only inform investigators of what type of shoe the assailant wore, and unless the suspects shoes can be examined to see if the soles match the prints, then it is impossible for footprint evidence to identify an individual by itself (Li, 2009, p. 562). </w:t>
      </w:r>
      <w:r w:rsidR="00507945">
        <w:t>However, I would suggest that overall, shoeprints as a type of contact trace evidence are useful, especially before the introduction of DNA, as they do provide investigators an idea of the person they are looking for, whether that be by make of shoe or bodily characteristics</w:t>
      </w:r>
      <w:r w:rsidR="00005AF5">
        <w:t>. As such,</w:t>
      </w:r>
      <w:r w:rsidR="00421E4D">
        <w:t xml:space="preserve"> the </w:t>
      </w:r>
      <w:r w:rsidR="00005AF5">
        <w:t>beforementioned</w:t>
      </w:r>
      <w:r w:rsidR="00421E4D">
        <w:t xml:space="preserve"> criticism</w:t>
      </w:r>
      <w:r w:rsidR="00005AF5">
        <w:t>s</w:t>
      </w:r>
      <w:r w:rsidR="00421E4D">
        <w:t xml:space="preserve"> regarding foot printing </w:t>
      </w:r>
      <w:r w:rsidR="00005AF5">
        <w:t>are</w:t>
      </w:r>
      <w:r w:rsidR="00421E4D">
        <w:t xml:space="preserve"> </w:t>
      </w:r>
      <w:r w:rsidR="00005AF5">
        <w:t xml:space="preserve">less </w:t>
      </w:r>
      <w:r w:rsidR="00421E4D">
        <w:t>valid</w:t>
      </w:r>
      <w:r w:rsidR="00507945">
        <w:t>.</w:t>
      </w:r>
    </w:p>
    <w:p w14:paraId="6843BD6B" w14:textId="77777777" w:rsidR="00931CD8" w:rsidRDefault="00931CD8" w:rsidP="00996E32">
      <w:pPr>
        <w:spacing w:line="360" w:lineRule="auto"/>
      </w:pPr>
    </w:p>
    <w:p w14:paraId="13CCC917" w14:textId="3E1E9C5C" w:rsidR="0022640C" w:rsidRDefault="00931CD8" w:rsidP="00324AF4">
      <w:pPr>
        <w:spacing w:line="360" w:lineRule="auto"/>
      </w:pPr>
      <w:r>
        <w:t>One final type of contact trace evidence used</w:t>
      </w:r>
      <w:r w:rsidR="00457058">
        <w:t xml:space="preserve"> in criminal cases</w:t>
      </w:r>
      <w:r>
        <w:t xml:space="preserve"> before the development of DNA was that of </w:t>
      </w:r>
      <w:r w:rsidR="00457058">
        <w:t xml:space="preserve">fibres, which </w:t>
      </w:r>
      <w:r w:rsidR="007C60F7">
        <w:t xml:space="preserve">can be used to identify the presence of an individual at a scene. This is </w:t>
      </w:r>
      <w:r w:rsidR="00523B9D">
        <w:t>because</w:t>
      </w:r>
      <w:r w:rsidR="007C60F7">
        <w:t xml:space="preserve"> fibres come in many different types and </w:t>
      </w:r>
      <w:r w:rsidR="00DC14C6">
        <w:t>forms and</w:t>
      </w:r>
      <w:r w:rsidR="007C60F7">
        <w:t xml:space="preserve"> can easily be transferred between individuals and places as they constantly surround</w:t>
      </w:r>
      <w:r w:rsidR="00523B9D">
        <w:t xml:space="preserve"> us</w:t>
      </w:r>
      <w:r w:rsidR="00DC14C6">
        <w:t>.</w:t>
      </w:r>
      <w:r w:rsidR="00197C4F">
        <w:t xml:space="preserve"> As such, when involved in a crime scene, investigators must identify those fibres that are native to the scene, as in those that naturally occur at the site, and those that are alien or foreign, as in those that are not native to the scene</w:t>
      </w:r>
      <w:r w:rsidR="00412669">
        <w:t xml:space="preserve"> (Houck, 2007, pp. 83 – 85)</w:t>
      </w:r>
      <w:r w:rsidR="00197C4F">
        <w:t xml:space="preserve">. </w:t>
      </w:r>
      <w:r w:rsidR="00BB6588">
        <w:t>For example, one of the most identifiable characteristics in fibres is their colour</w:t>
      </w:r>
      <w:r w:rsidR="00446FF6">
        <w:t xml:space="preserve">, as if a bright red fibre is discovered on a light blue surface, and there is no evident source of this alien fibre, then it is highly likely that said red fibre was deposited from someone or something that had previously been at the location. Furthermore, the type of fibre is also an important identifier, as clarifying whether a fibre is natural or manufactured </w:t>
      </w:r>
      <w:r w:rsidR="00B62E16">
        <w:t>can narrow down where the alien fibre originate</w:t>
      </w:r>
      <w:r w:rsidR="00523B9D">
        <w:t>d</w:t>
      </w:r>
      <w:r w:rsidR="00B62E16">
        <w:t xml:space="preserve"> from</w:t>
      </w:r>
      <w:r w:rsidR="00AD49F8">
        <w:t>.</w:t>
      </w:r>
      <w:r w:rsidR="00F8709B">
        <w:t xml:space="preserve"> Once these characteristics have been identified by a specialist, an </w:t>
      </w:r>
      <w:r w:rsidR="00523B9D">
        <w:t>individual</w:t>
      </w:r>
      <w:r w:rsidR="00F8709B">
        <w:t xml:space="preserve"> connected to the crime can be discovered. Although fibres can be used in any criminal case, there are some </w:t>
      </w:r>
      <w:r w:rsidR="00215D88">
        <w:t xml:space="preserve">crimes </w:t>
      </w:r>
      <w:r w:rsidR="00F8709B">
        <w:t xml:space="preserve">that </w:t>
      </w:r>
      <w:r w:rsidR="00215D88">
        <w:t xml:space="preserve">fibres are extremely important to solving, such as sexual or physical assault, due to the physical contact that occurs between the victim and the perpetrator </w:t>
      </w:r>
      <w:r w:rsidR="005E3B9D">
        <w:t>(Houck, 2007, pp. 84 – 85).</w:t>
      </w:r>
      <w:r w:rsidR="00AC5FA2">
        <w:t xml:space="preserve"> The case of the Bullseye Killer in Pembrokeshire is an excellent example of a case where fibre evidence was used to convict the culprit. Between 1985 and 1989, John William Cooper murdered siblings Helen and Richard Thomas and partners Gwenda and Peter Dixon respectively (</w:t>
      </w:r>
      <w:proofErr w:type="spellStart"/>
      <w:r w:rsidR="00AC5FA2">
        <w:t>Allsop</w:t>
      </w:r>
      <w:proofErr w:type="spellEnd"/>
      <w:r w:rsidR="00AC5FA2">
        <w:t>, 2017, p. 569).</w:t>
      </w:r>
      <w:r w:rsidR="001C767D">
        <w:t xml:space="preserve"> These murders were only a</w:t>
      </w:r>
      <w:r w:rsidR="00AC5FA2">
        <w:t xml:space="preserve">mong </w:t>
      </w:r>
      <w:r w:rsidR="001C767D">
        <w:t xml:space="preserve">some of the many </w:t>
      </w:r>
      <w:r w:rsidR="00AC5FA2">
        <w:t xml:space="preserve">crimes </w:t>
      </w:r>
      <w:r w:rsidR="001C767D">
        <w:t xml:space="preserve">that Cooper committed, </w:t>
      </w:r>
      <w:r w:rsidR="00AC5FA2">
        <w:t>such as robber</w:t>
      </w:r>
      <w:r w:rsidR="006C551A">
        <w:t>y</w:t>
      </w:r>
      <w:r w:rsidR="00443585">
        <w:t xml:space="preserve">, the rape of a 16-year-old girl, and </w:t>
      </w:r>
      <w:r w:rsidR="0022640C">
        <w:t xml:space="preserve">the </w:t>
      </w:r>
      <w:r w:rsidR="00443585">
        <w:t>indecent assault of a 15-year-old gir</w:t>
      </w:r>
      <w:r w:rsidR="003B5D04">
        <w:t>l</w:t>
      </w:r>
      <w:r w:rsidR="00443585">
        <w:t>, all at Milford Haven in March 1996.</w:t>
      </w:r>
      <w:r w:rsidR="006C551A">
        <w:t xml:space="preserve"> </w:t>
      </w:r>
      <w:r w:rsidR="003B5D04">
        <w:t xml:space="preserve">Fibre evidence was used in this case for solving the robbery element of Cooper’s crime, as various fibres from the </w:t>
      </w:r>
      <w:r w:rsidR="0022640C">
        <w:t>clothing</w:t>
      </w:r>
      <w:r w:rsidR="003B5D04">
        <w:t xml:space="preserve"> used in the crime were discovered </w:t>
      </w:r>
      <w:r w:rsidR="0022640C">
        <w:t>on</w:t>
      </w:r>
      <w:r w:rsidR="003B5D04">
        <w:t xml:space="preserve"> the floor of Cooper’s workshop, leading to his arrest later that year</w:t>
      </w:r>
      <w:r w:rsidR="00F26CC8">
        <w:t xml:space="preserve"> (Wilkins &amp; Hill, 2013, pp. 150 – 250)</w:t>
      </w:r>
      <w:r w:rsidR="003B5D04">
        <w:t>.</w:t>
      </w:r>
      <w:r w:rsidR="00A9331B">
        <w:t xml:space="preserve"> As is evident here, fibre evidence can clearly be used as a form of evidence in criminal cases. </w:t>
      </w:r>
    </w:p>
    <w:p w14:paraId="589AC023" w14:textId="6246C1B5" w:rsidR="0083585B" w:rsidRDefault="0083585B" w:rsidP="00324AF4">
      <w:pPr>
        <w:spacing w:line="360" w:lineRule="auto"/>
      </w:pPr>
      <w:r>
        <w:t xml:space="preserve">Despite the success of fibre-based evidence, there </w:t>
      </w:r>
      <w:r w:rsidR="00005AF5">
        <w:t>are</w:t>
      </w:r>
      <w:r>
        <w:t xml:space="preserve"> also a variety of issues ris</w:t>
      </w:r>
      <w:r w:rsidR="0022640C">
        <w:t>ing</w:t>
      </w:r>
      <w:r>
        <w:t xml:space="preserve"> from its use. Firstly, in terms of fibre identification </w:t>
      </w:r>
      <w:r w:rsidR="0022640C">
        <w:t>from</w:t>
      </w:r>
      <w:r>
        <w:t xml:space="preserve"> colour, there is, according to Houck (2007, p. 83), over 7,000 pigments and dyes available for purchase </w:t>
      </w:r>
      <w:r w:rsidR="00EF2E88">
        <w:t>commercial</w:t>
      </w:r>
      <w:r w:rsidR="0022640C">
        <w:t>ly</w:t>
      </w:r>
      <w:r w:rsidR="00EF2E88">
        <w:t xml:space="preserve">, with most colours used in our fibres being a mixture of these dyes. Likewise, </w:t>
      </w:r>
      <w:r w:rsidR="00A40FD7">
        <w:t xml:space="preserve">it is also suggested that, based on research </w:t>
      </w:r>
      <w:r w:rsidR="0022640C">
        <w:t>in</w:t>
      </w:r>
      <w:r w:rsidR="00A40FD7">
        <w:t xml:space="preserve"> the UK and Germany, there is a 4/1,000,000 chance of being able to successfully identify a specific item of clothing based on fibre evidence.</w:t>
      </w:r>
      <w:r w:rsidR="00950A3E">
        <w:t xml:space="preserve"> </w:t>
      </w:r>
      <w:r w:rsidR="00EF2E88">
        <w:t xml:space="preserve">As </w:t>
      </w:r>
      <w:r w:rsidR="00005AF5">
        <w:t>such</w:t>
      </w:r>
      <w:r w:rsidR="00950A3E">
        <w:t xml:space="preserve">, </w:t>
      </w:r>
      <w:r w:rsidR="00EF2E88">
        <w:t xml:space="preserve">it is extremely difficult to match an unknown fibre to its source </w:t>
      </w:r>
      <w:r w:rsidR="00950A3E">
        <w:t xml:space="preserve">simply based on the fibre itself, so a sample of a potential source, such as an item of a suspect’s clothing, must </w:t>
      </w:r>
      <w:r w:rsidR="00EF2E88">
        <w:t xml:space="preserve">first </w:t>
      </w:r>
      <w:r w:rsidR="00950A3E">
        <w:t xml:space="preserve">be gathered </w:t>
      </w:r>
      <w:r w:rsidR="005908E8">
        <w:t xml:space="preserve">and subsequently </w:t>
      </w:r>
      <w:r w:rsidR="00EF2E88">
        <w:t>compar</w:t>
      </w:r>
      <w:r w:rsidR="005908E8">
        <w:t>ed to the fibre in order to discover the fibres</w:t>
      </w:r>
      <w:r w:rsidR="00005AF5">
        <w:t>’</w:t>
      </w:r>
      <w:r w:rsidR="005908E8">
        <w:t xml:space="preserve"> origin</w:t>
      </w:r>
      <w:r w:rsidR="002408E3">
        <w:t xml:space="preserve"> (Houck, 2007, pp. 83 – 90)</w:t>
      </w:r>
      <w:r w:rsidR="005908E8">
        <w:t>.</w:t>
      </w:r>
      <w:r w:rsidR="00A9331B">
        <w:t xml:space="preserve"> Due to these criticisms, fibres as a type of contact trace evidence are only able to potentially link a suspect to a scene,</w:t>
      </w:r>
      <w:r w:rsidR="00DB0BAE">
        <w:t xml:space="preserve"> and cannot definitely do so,</w:t>
      </w:r>
      <w:r w:rsidR="00A9331B">
        <w:t xml:space="preserve"> </w:t>
      </w:r>
      <w:r w:rsidR="00DB0BAE">
        <w:t>thanks</w:t>
      </w:r>
      <w:r w:rsidR="00A9331B">
        <w:t xml:space="preserve"> to the vast quantity of </w:t>
      </w:r>
      <w:r w:rsidR="00DB0BAE">
        <w:t>items of clothing out in the world, and the unmeasurable number and types of colour variation that the modern world has to offer.</w:t>
      </w:r>
    </w:p>
    <w:p w14:paraId="68F188A2" w14:textId="77777777" w:rsidR="00EF2E88" w:rsidRDefault="00EF2E88" w:rsidP="00324AF4">
      <w:pPr>
        <w:spacing w:line="360" w:lineRule="auto"/>
      </w:pPr>
    </w:p>
    <w:p w14:paraId="2011236E" w14:textId="55454184" w:rsidR="003366F8" w:rsidRDefault="00534847" w:rsidP="00324AF4">
      <w:pPr>
        <w:spacing w:line="360" w:lineRule="auto"/>
      </w:pPr>
      <w:r>
        <w:t xml:space="preserve">As mentioned, DNA was discovered in 1985, and </w:t>
      </w:r>
      <w:r w:rsidR="0072596E">
        <w:t xml:space="preserve">refers to </w:t>
      </w:r>
      <w:r>
        <w:t>the unchanging, self-copying code that forms the genetic makeup of an individual</w:t>
      </w:r>
      <w:r w:rsidR="00CE1C67">
        <w:t xml:space="preserve">. It is </w:t>
      </w:r>
      <w:r>
        <w:t xml:space="preserve">available </w:t>
      </w:r>
      <w:r w:rsidR="00AB70C1">
        <w:t>from</w:t>
      </w:r>
      <w:r>
        <w:t xml:space="preserve"> all cells</w:t>
      </w:r>
      <w:r w:rsidR="00AB70C1">
        <w:t xml:space="preserve"> in the body</w:t>
      </w:r>
      <w:r>
        <w:t xml:space="preserve">, except red blood </w:t>
      </w:r>
      <w:r w:rsidR="00CE1C67">
        <w:t xml:space="preserve">cells, but </w:t>
      </w:r>
      <w:r>
        <w:t xml:space="preserve">can come in a variety of different forms depending on which part of the cell the </w:t>
      </w:r>
      <w:r w:rsidR="008077EF">
        <w:t>DNA is</w:t>
      </w:r>
      <w:r w:rsidRPr="00AB70C1">
        <w:t xml:space="preserve"> from, such as nuclear DNA</w:t>
      </w:r>
      <w:r w:rsidR="00AB70C1" w:rsidRPr="00AB70C1">
        <w:t>, from the nucleus,</w:t>
      </w:r>
      <w:r w:rsidRPr="00AB70C1">
        <w:t xml:space="preserve"> or mitochondrial DNA</w:t>
      </w:r>
      <w:r w:rsidR="00AB70C1" w:rsidRPr="00AB70C1">
        <w:t>, from the outer cell</w:t>
      </w:r>
      <w:r w:rsidR="00654301" w:rsidRPr="00AB70C1">
        <w:t>.</w:t>
      </w:r>
      <w:r w:rsidRPr="00AB70C1">
        <w:t xml:space="preserve"> </w:t>
      </w:r>
      <w:r w:rsidR="00654301" w:rsidRPr="00AB70C1">
        <w:t>A</w:t>
      </w:r>
      <w:r w:rsidRPr="00AB70C1">
        <w:t xml:space="preserve"> DNA s</w:t>
      </w:r>
      <w:r>
        <w:t xml:space="preserve">ample </w:t>
      </w:r>
      <w:r w:rsidR="002C3437">
        <w:t>can</w:t>
      </w:r>
      <w:r>
        <w:t xml:space="preserve"> originate from a variety of different sources, such as blood, semen, and saliva, as well as various other bodily fluids and products (</w:t>
      </w:r>
      <w:r>
        <w:rPr>
          <w:rFonts w:cstheme="minorHAnsi"/>
        </w:rPr>
        <w:t>Beaufort-Moore, 2015, pp. 125 – 135)</w:t>
      </w:r>
      <w:r>
        <w:t>.</w:t>
      </w:r>
      <w:r w:rsidR="00AB70C1">
        <w:t xml:space="preserve"> </w:t>
      </w:r>
      <w:r w:rsidR="00654FC7">
        <w:t>The first time DNA was used to successfully convict a criminal was in</w:t>
      </w:r>
      <w:r w:rsidR="00883138">
        <w:t xml:space="preserve"> 1988, where it put Colin Pitchfork behind bars following his rape and murder of two teenage girls in 1983 and 1986 respectively. Pitchfork’s DNA</w:t>
      </w:r>
      <w:r w:rsidR="00CB022D">
        <w:t xml:space="preserve">, from </w:t>
      </w:r>
      <w:r w:rsidR="00CB022D">
        <w:t xml:space="preserve">sperm traces found </w:t>
      </w:r>
      <w:r w:rsidR="00CB022D">
        <w:t xml:space="preserve">at the scenes, was </w:t>
      </w:r>
      <w:r w:rsidR="00883138">
        <w:t xml:space="preserve">isolated using Jeffreys’ newly developed techniques </w:t>
      </w:r>
      <w:r w:rsidR="00CB022D">
        <w:t>and</w:t>
      </w:r>
      <w:r w:rsidR="00883138">
        <w:t xml:space="preserve"> a genetic profile of the culprit </w:t>
      </w:r>
      <w:r w:rsidR="00CB022D">
        <w:t>was</w:t>
      </w:r>
      <w:r w:rsidR="00883138">
        <w:t xml:space="preserve"> </w:t>
      </w:r>
      <w:r w:rsidR="00130DF0">
        <w:t>identified</w:t>
      </w:r>
      <w:r w:rsidR="00883138">
        <w:t>.</w:t>
      </w:r>
      <w:r w:rsidR="00130DF0">
        <w:t xml:space="preserve"> Despite attempts by Pitchfork to bypass the police’s request for a blood test, in which he persuaded a friend to take said test for him, he was eventually arrested and convicted in January 1988. </w:t>
      </w:r>
      <w:r w:rsidR="006B3B6C">
        <w:t>Although Pitchfork was the first man convicted using DNA, he certainly would not be the last as since the end of the 1980’s, DNA has been used in over 75,000 cases in the UK alone (</w:t>
      </w:r>
      <w:proofErr w:type="spellStart"/>
      <w:r w:rsidR="006B3B6C">
        <w:t>Renneberg</w:t>
      </w:r>
      <w:proofErr w:type="spellEnd"/>
      <w:r w:rsidR="006B3B6C">
        <w:t xml:space="preserve">, 2008, p. 302). </w:t>
      </w:r>
    </w:p>
    <w:p w14:paraId="568A11DB" w14:textId="18389D05" w:rsidR="00361154" w:rsidRDefault="0053785B" w:rsidP="00324AF4">
      <w:pPr>
        <w:spacing w:line="360" w:lineRule="auto"/>
      </w:pPr>
      <w:r>
        <w:t xml:space="preserve">DNA </w:t>
      </w:r>
      <w:r w:rsidR="006875B2">
        <w:t>and alternative amplification methods ha</w:t>
      </w:r>
      <w:r w:rsidR="008077EF">
        <w:t>ve</w:t>
      </w:r>
      <w:r w:rsidR="006875B2">
        <w:t xml:space="preserve"> </w:t>
      </w:r>
      <w:r w:rsidR="003366F8">
        <w:t xml:space="preserve">also </w:t>
      </w:r>
      <w:r w:rsidR="006875B2">
        <w:t xml:space="preserve">enabled more information to be gathered from </w:t>
      </w:r>
      <w:r w:rsidR="0027507E">
        <w:t>an individual’s fingerprint</w:t>
      </w:r>
      <w:r w:rsidR="003366F8">
        <w:t xml:space="preserve"> </w:t>
      </w:r>
      <w:r w:rsidR="00BE68C0">
        <w:t>because our fingers and hands contain eccrine glands, one of the three glands responsible for the secretion of sweat</w:t>
      </w:r>
      <w:r w:rsidR="003366F8">
        <w:t xml:space="preserve">. This means that </w:t>
      </w:r>
      <w:r w:rsidR="00BE68C0">
        <w:t xml:space="preserve">when we </w:t>
      </w:r>
      <w:r w:rsidR="003366F8">
        <w:t>encounter</w:t>
      </w:r>
      <w:r w:rsidR="00BE68C0">
        <w:t xml:space="preserve"> something, our fingerprints will leave traces of our sweat, which is predominantly made of water, but also contains amino acids and </w:t>
      </w:r>
      <w:r w:rsidR="00BE68C0" w:rsidRPr="006E1FB8">
        <w:t>sugars</w:t>
      </w:r>
      <w:r w:rsidR="003366F8" w:rsidRPr="006E1FB8">
        <w:t xml:space="preserve">, on the surface </w:t>
      </w:r>
      <w:r w:rsidR="00BE68C0" w:rsidRPr="006E1FB8">
        <w:t xml:space="preserve">(Smith &amp; Bond, 2015, p. 29). </w:t>
      </w:r>
      <w:r w:rsidR="00CF3B6A" w:rsidRPr="006E1FB8">
        <w:t>It is the amino acids in our sweat</w:t>
      </w:r>
      <w:r w:rsidR="00361154" w:rsidRPr="006E1FB8">
        <w:t>, as well as the cells on the outer layer of our skin,</w:t>
      </w:r>
      <w:r w:rsidR="00CF3B6A" w:rsidRPr="006E1FB8">
        <w:t xml:space="preserve"> </w:t>
      </w:r>
      <w:r w:rsidR="006E1FB8" w:rsidRPr="006E1FB8">
        <w:t>that contain DNA so</w:t>
      </w:r>
      <w:r w:rsidR="00361154" w:rsidRPr="006E1FB8">
        <w:t xml:space="preserve"> it is possible for police to get a DNA sample simply by finding something the assailant has touched (Rudin &amp; Inman, 2002, p. 61).</w:t>
      </w:r>
      <w:r w:rsidR="00361154">
        <w:t xml:space="preserve"> </w:t>
      </w:r>
      <w:r w:rsidR="006E1FB8">
        <w:t xml:space="preserve">This is evident in the case of </w:t>
      </w:r>
      <w:r w:rsidR="00C96553">
        <w:t xml:space="preserve">Michael Little, </w:t>
      </w:r>
      <w:r w:rsidR="006E1FB8">
        <w:t xml:space="preserve">who </w:t>
      </w:r>
      <w:r w:rsidR="00C96553">
        <w:t xml:space="preserve">while driving along the M3 in 2003, was struck and fatally wounded by a brick which had been dropped from </w:t>
      </w:r>
      <w:r w:rsidR="008077EF">
        <w:t>a</w:t>
      </w:r>
      <w:r w:rsidR="00C96553">
        <w:t xml:space="preserve"> footbridge. Following analysis</w:t>
      </w:r>
      <w:r w:rsidR="00C96553">
        <w:t xml:space="preserve"> of </w:t>
      </w:r>
      <w:r w:rsidR="00C96553">
        <w:t>the brick</w:t>
      </w:r>
      <w:r w:rsidR="00C96553">
        <w:t xml:space="preserve"> </w:t>
      </w:r>
      <w:r w:rsidR="00C96553">
        <w:t>and the isolation of a DNA profile</w:t>
      </w:r>
      <w:r w:rsidR="00C96553">
        <w:t xml:space="preserve"> </w:t>
      </w:r>
      <w:r w:rsidR="008D3BEE">
        <w:t>from fingerprints</w:t>
      </w:r>
      <w:r w:rsidR="00C96553">
        <w:t>,</w:t>
      </w:r>
      <w:r w:rsidR="00C96553">
        <w:t xml:space="preserve"> Police ran the profile through their database and, although not finding an identical match, found an individual close enough to the assailant that suggested the two were related. Based on </w:t>
      </w:r>
      <w:r w:rsidR="008D3BEE">
        <w:t>these findings</w:t>
      </w:r>
      <w:r w:rsidR="00C96553">
        <w:t>, Craig Harman was arrested and sentenced to 6 years for manslaughter</w:t>
      </w:r>
      <w:r w:rsidR="008D3BEE">
        <w:t xml:space="preserve"> (</w:t>
      </w:r>
      <w:r w:rsidR="008D3BEE">
        <w:rPr>
          <w:rFonts w:cstheme="minorHAnsi"/>
        </w:rPr>
        <w:t>Beaufort-Moore, 2015, p</w:t>
      </w:r>
      <w:r w:rsidR="008D3BEE">
        <w:rPr>
          <w:rFonts w:cstheme="minorHAnsi"/>
        </w:rPr>
        <w:t>. 143).</w:t>
      </w:r>
    </w:p>
    <w:p w14:paraId="022DBB9C" w14:textId="231F5276" w:rsidR="006E1FB8" w:rsidRDefault="00740D8E" w:rsidP="006E1FB8">
      <w:pPr>
        <w:spacing w:line="360" w:lineRule="auto"/>
      </w:pPr>
      <w:r>
        <w:t xml:space="preserve">Furthermore, </w:t>
      </w:r>
      <w:r w:rsidR="005431CA">
        <w:t xml:space="preserve">the introduction of DNA </w:t>
      </w:r>
      <w:r w:rsidR="003366F8">
        <w:t>has</w:t>
      </w:r>
      <w:r w:rsidR="005431CA">
        <w:t xml:space="preserve"> also greatly increased the amount of knowledge that </w:t>
      </w:r>
      <w:r w:rsidR="008077EF">
        <w:t>can</w:t>
      </w:r>
      <w:r w:rsidR="005431CA">
        <w:t xml:space="preserve"> be gained from </w:t>
      </w:r>
      <w:r w:rsidR="003366F8">
        <w:t>blood b</w:t>
      </w:r>
      <w:r w:rsidR="005B0A26">
        <w:t xml:space="preserve">ecause, as previously mentioned, </w:t>
      </w:r>
      <w:r w:rsidR="007F666C">
        <w:t xml:space="preserve">all the cells in the body contain DNA, which includes the white blood cells that rush to an open wound </w:t>
      </w:r>
      <w:r w:rsidR="007A15FE">
        <w:t xml:space="preserve">in order to prevent blood loss as part of the body’s first protocol following damage. As such, these white blood cells usually depart the body during bleeding, which is why </w:t>
      </w:r>
      <w:r w:rsidR="002D44FE">
        <w:t>CSIs</w:t>
      </w:r>
      <w:r w:rsidR="007A15FE">
        <w:t xml:space="preserve"> will attempt to identify and take samples from the point of initial blood loss, as this is the source mos</w:t>
      </w:r>
      <w:r w:rsidR="00F61372">
        <w:t>t likely to contain extractable DNA (</w:t>
      </w:r>
      <w:r w:rsidR="00F61372">
        <w:rPr>
          <w:rFonts w:cstheme="minorHAnsi"/>
        </w:rPr>
        <w:t>Beaufort-Moore, 2015, pp. 125 – 128)</w:t>
      </w:r>
      <w:r w:rsidR="00F61372">
        <w:t>.</w:t>
      </w:r>
      <w:r w:rsidR="002A2FC7">
        <w:t xml:space="preserve"> An example of this occurred with the murder of Lynette White in 1988. White, a prostitute, was discovered brutally murdered in her flat in Cardiff, likely after a disagreement with a customer regarding payment. Following investigations by police, 3 men were convicted and given life imprisonment, however, it was soon revealed that these individuals had been intimidated by police into confessing</w:t>
      </w:r>
      <w:r w:rsidR="00DC4596">
        <w:t>, so i</w:t>
      </w:r>
      <w:r w:rsidR="003366F8">
        <w:t xml:space="preserve">t </w:t>
      </w:r>
      <w:r w:rsidR="002A2FC7">
        <w:t xml:space="preserve">was not until 2003 that the real killer, Jeffrey </w:t>
      </w:r>
      <w:proofErr w:type="spellStart"/>
      <w:r w:rsidR="002A2FC7">
        <w:t>Gafoor</w:t>
      </w:r>
      <w:proofErr w:type="spellEnd"/>
      <w:r w:rsidR="002A2FC7">
        <w:t xml:space="preserve">, </w:t>
      </w:r>
      <w:r w:rsidR="00DC4596">
        <w:t>was found, thanks to</w:t>
      </w:r>
      <w:r w:rsidR="002A2FC7">
        <w:t xml:space="preserve"> DNA evidence </w:t>
      </w:r>
      <w:r w:rsidR="00DC4596">
        <w:t xml:space="preserve">taken </w:t>
      </w:r>
      <w:r w:rsidR="002A2FC7">
        <w:t>from blood sp</w:t>
      </w:r>
      <w:r w:rsidR="007658F4">
        <w:t>l</w:t>
      </w:r>
      <w:r w:rsidR="002A2FC7">
        <w:t>atter</w:t>
      </w:r>
      <w:r w:rsidR="007658F4">
        <w:t xml:space="preserve"> </w:t>
      </w:r>
      <w:r w:rsidR="002A2FC7">
        <w:t xml:space="preserve">discovered </w:t>
      </w:r>
      <w:r w:rsidR="007658F4">
        <w:t xml:space="preserve">on </w:t>
      </w:r>
      <w:r w:rsidR="002A2FC7">
        <w:t>the skirting boards in White’s flat (Wade, 2009, pp. 40 – 80).</w:t>
      </w:r>
      <w:r w:rsidR="007658F4">
        <w:t xml:space="preserve"> It is </w:t>
      </w:r>
      <w:r w:rsidR="00966D01">
        <w:t>not un</w:t>
      </w:r>
      <w:r w:rsidR="007658F4">
        <w:t>usual that</w:t>
      </w:r>
      <w:r w:rsidR="002D44FE">
        <w:t xml:space="preserve"> </w:t>
      </w:r>
      <w:r w:rsidR="007658F4">
        <w:t xml:space="preserve">during a </w:t>
      </w:r>
      <w:r w:rsidR="00966D01">
        <w:t xml:space="preserve">violent sexual assault like this, the attacker </w:t>
      </w:r>
      <w:r w:rsidR="008077EF">
        <w:t xml:space="preserve">is </w:t>
      </w:r>
      <w:r w:rsidR="00966D01">
        <w:t>also injur</w:t>
      </w:r>
      <w:r w:rsidR="008077EF">
        <w:t>ed</w:t>
      </w:r>
      <w:r w:rsidR="00DC4596">
        <w:t xml:space="preserve">, </w:t>
      </w:r>
      <w:r w:rsidR="00966D01">
        <w:t xml:space="preserve">which </w:t>
      </w:r>
      <w:r w:rsidR="00DC4596">
        <w:t>explains</w:t>
      </w:r>
      <w:r w:rsidR="00966D01">
        <w:t xml:space="preserve"> </w:t>
      </w:r>
      <w:r w:rsidR="002D44FE">
        <w:t xml:space="preserve">how </w:t>
      </w:r>
      <w:proofErr w:type="spellStart"/>
      <w:r w:rsidR="002D44FE">
        <w:t>Gafoor’s</w:t>
      </w:r>
      <w:proofErr w:type="spellEnd"/>
      <w:r w:rsidR="00966D01">
        <w:t xml:space="preserve"> DNA </w:t>
      </w:r>
      <w:r w:rsidR="002D44FE">
        <w:t>ended up on</w:t>
      </w:r>
      <w:r w:rsidR="00966D01">
        <w:t xml:space="preserve"> </w:t>
      </w:r>
      <w:r w:rsidR="002D44FE">
        <w:t>White’s</w:t>
      </w:r>
      <w:r w:rsidR="00966D01">
        <w:t xml:space="preserve"> skirting board</w:t>
      </w:r>
      <w:r w:rsidR="002D44FE">
        <w:t xml:space="preserve"> </w:t>
      </w:r>
      <w:r w:rsidR="00966D01">
        <w:t>(Gunn, 2009, pp. 50 – 200).</w:t>
      </w:r>
      <w:r w:rsidR="007658F4">
        <w:t xml:space="preserve"> As is evident here, DNA </w:t>
      </w:r>
      <w:r w:rsidR="004B6862">
        <w:t xml:space="preserve">can be </w:t>
      </w:r>
      <w:r w:rsidR="007658F4">
        <w:t xml:space="preserve">extracted from blood </w:t>
      </w:r>
      <w:r w:rsidR="004B6862">
        <w:t xml:space="preserve">and used to successfully solve cases, even those that have remained unsolved for </w:t>
      </w:r>
      <w:r w:rsidR="00DF3DBD">
        <w:t xml:space="preserve">over a decade. </w:t>
      </w:r>
      <w:r w:rsidR="00247FA8">
        <w:t xml:space="preserve">Not only can DNA solve outstanding cases, but since 1995, </w:t>
      </w:r>
      <w:r w:rsidR="003240AA">
        <w:t xml:space="preserve">Britain </w:t>
      </w:r>
      <w:r w:rsidR="00247FA8">
        <w:t xml:space="preserve">has </w:t>
      </w:r>
      <w:r w:rsidR="003240AA">
        <w:t xml:space="preserve">also </w:t>
      </w:r>
      <w:r w:rsidR="00247FA8">
        <w:t>had</w:t>
      </w:r>
      <w:r w:rsidR="003240AA">
        <w:t xml:space="preserve"> the National DNA Database, or NDNAD, which houses millions of DNA profiles based o</w:t>
      </w:r>
      <w:r w:rsidR="00890B49">
        <w:t>n genetic records recovered from criminal cases all over the UK</w:t>
      </w:r>
      <w:r w:rsidR="00247FA8">
        <w:t xml:space="preserve">. </w:t>
      </w:r>
      <w:r w:rsidR="00306B90">
        <w:t xml:space="preserve">NDNAD, which </w:t>
      </w:r>
      <w:r w:rsidR="00306B90">
        <w:t>contain</w:t>
      </w:r>
      <w:r w:rsidR="00306B90">
        <w:t>ed</w:t>
      </w:r>
      <w:r w:rsidR="00306B90">
        <w:t xml:space="preserve"> almost 7 million profiles </w:t>
      </w:r>
      <w:r w:rsidR="00306B90">
        <w:t>by</w:t>
      </w:r>
      <w:r w:rsidR="00306B90">
        <w:t xml:space="preserve"> 2013</w:t>
      </w:r>
      <w:r w:rsidR="00306B90">
        <w:t xml:space="preserve">, has been a hugely effective tool in the arsenal of CSIs, as it has enabled </w:t>
      </w:r>
      <w:r w:rsidR="00C96553">
        <w:t>them</w:t>
      </w:r>
      <w:r w:rsidR="00306B90">
        <w:t xml:space="preserve"> to identify individuals based on previous </w:t>
      </w:r>
      <w:r w:rsidR="00C96553">
        <w:t>cases</w:t>
      </w:r>
      <w:r w:rsidR="008D3BEE">
        <w:t xml:space="preserve">, as evident with the beforementioned case of Michael Little </w:t>
      </w:r>
      <w:r w:rsidR="00C96553">
        <w:t>(</w:t>
      </w:r>
      <w:r w:rsidR="00C96553">
        <w:rPr>
          <w:rFonts w:cstheme="minorHAnsi"/>
        </w:rPr>
        <w:t xml:space="preserve">Beaufort-Moore, 2015, pp. </w:t>
      </w:r>
      <w:r w:rsidR="00C96553">
        <w:rPr>
          <w:rFonts w:cstheme="minorHAnsi"/>
        </w:rPr>
        <w:t>139</w:t>
      </w:r>
      <w:r w:rsidR="00C96553">
        <w:rPr>
          <w:rFonts w:cstheme="minorHAnsi"/>
        </w:rPr>
        <w:t xml:space="preserve"> – </w:t>
      </w:r>
      <w:r w:rsidR="00C96553">
        <w:rPr>
          <w:rFonts w:cstheme="minorHAnsi"/>
        </w:rPr>
        <w:t>144)</w:t>
      </w:r>
      <w:r w:rsidR="00890B49">
        <w:t>.</w:t>
      </w:r>
      <w:r w:rsidR="00247FA8">
        <w:t xml:space="preserve"> </w:t>
      </w:r>
      <w:r w:rsidR="006E1FB8">
        <w:t>It is for these reasons that the introduction of DNA as a type of contact trace evidence has been so valuable to forensics.</w:t>
      </w:r>
    </w:p>
    <w:p w14:paraId="157ED044" w14:textId="3D088B8F" w:rsidR="006E1FB8" w:rsidRDefault="006E1FB8" w:rsidP="006E1FB8">
      <w:pPr>
        <w:spacing w:line="360" w:lineRule="auto"/>
      </w:pPr>
    </w:p>
    <w:p w14:paraId="16D4C691" w14:textId="1685AB3F" w:rsidR="004364AE" w:rsidRDefault="006E1FB8" w:rsidP="00324AF4">
      <w:pPr>
        <w:spacing w:line="360" w:lineRule="auto"/>
      </w:pPr>
      <w:r>
        <w:t xml:space="preserve">In conclusion, </w:t>
      </w:r>
      <w:r w:rsidR="00A32857">
        <w:t xml:space="preserve">there </w:t>
      </w:r>
      <w:r w:rsidR="008077EF">
        <w:t>are</w:t>
      </w:r>
      <w:r w:rsidR="00A32857">
        <w:t xml:space="preserve"> many different types of contact trace scientific evidence </w:t>
      </w:r>
      <w:r w:rsidR="008077EF">
        <w:t xml:space="preserve">that were </w:t>
      </w:r>
      <w:r w:rsidR="00A32857">
        <w:t xml:space="preserve">used before the introduction of DNA at the close of the 1980s, from fingerprints and blood grouping to shoeprints and fibre analysis. Each type has its own advantages and disadvantages, whether it be their subjective-ness or inconclusive nature, but after evaluating them, the most successful type of contact trace evidence before DNA was fingerprints, simply because this </w:t>
      </w:r>
      <w:r w:rsidR="004364AE">
        <w:t xml:space="preserve">type of evidence </w:t>
      </w:r>
      <w:r w:rsidR="008077EF">
        <w:t>could</w:t>
      </w:r>
      <w:r w:rsidR="004364AE">
        <w:t xml:space="preserve"> identify a specific individual, while the other types of discussed evidence </w:t>
      </w:r>
      <w:r w:rsidR="008077EF">
        <w:t>could</w:t>
      </w:r>
      <w:r w:rsidR="004364AE">
        <w:t xml:space="preserve"> only</w:t>
      </w:r>
      <w:r w:rsidR="00412210">
        <w:t xml:space="preserve"> provide an</w:t>
      </w:r>
      <w:r w:rsidR="004364AE">
        <w:t xml:space="preserve"> estimate </w:t>
      </w:r>
      <w:r w:rsidR="00412210">
        <w:t xml:space="preserve">for </w:t>
      </w:r>
      <w:r w:rsidR="004364AE">
        <w:t xml:space="preserve">who the criminal </w:t>
      </w:r>
      <w:r w:rsidR="00412210">
        <w:t>was</w:t>
      </w:r>
      <w:r w:rsidR="004364AE">
        <w:t xml:space="preserve">. However, it is beyond doubt that the development of DNA has been the most successful type of contact trace evidence, and it has </w:t>
      </w:r>
      <w:r w:rsidR="00412210">
        <w:t>greatly</w:t>
      </w:r>
      <w:r w:rsidR="004364AE">
        <w:t xml:space="preserve"> influenced the outcomes of various cases, such as those of White and Little.</w:t>
      </w:r>
    </w:p>
    <w:p w14:paraId="5BD67617" w14:textId="77777777" w:rsidR="004364AE" w:rsidRPr="004364AE" w:rsidRDefault="004364AE" w:rsidP="00324AF4">
      <w:pPr>
        <w:spacing w:line="360" w:lineRule="auto"/>
      </w:pPr>
    </w:p>
    <w:p w14:paraId="3BAE8F15" w14:textId="7C4A5AF9" w:rsidR="002D44FE" w:rsidRDefault="002D44FE" w:rsidP="00324AF4">
      <w:pPr>
        <w:spacing w:line="360" w:lineRule="auto"/>
        <w:rPr>
          <w:b/>
          <w:bCs/>
        </w:rPr>
      </w:pPr>
      <w:r w:rsidRPr="002D44FE">
        <w:rPr>
          <w:b/>
          <w:bCs/>
        </w:rPr>
        <w:t xml:space="preserve">Word Count: </w:t>
      </w:r>
      <w:r w:rsidR="00412210">
        <w:rPr>
          <w:b/>
          <w:bCs/>
        </w:rPr>
        <w:t>3,27</w:t>
      </w:r>
      <w:r w:rsidR="00DB01A0">
        <w:rPr>
          <w:b/>
          <w:bCs/>
        </w:rPr>
        <w:t>5</w:t>
      </w:r>
    </w:p>
    <w:p w14:paraId="31A74E3F" w14:textId="066A8716" w:rsidR="002D44FE" w:rsidRDefault="002D44FE" w:rsidP="00324AF4">
      <w:pPr>
        <w:spacing w:line="360" w:lineRule="auto"/>
        <w:rPr>
          <w:b/>
          <w:bCs/>
        </w:rPr>
      </w:pPr>
    </w:p>
    <w:p w14:paraId="3FCD1D80" w14:textId="3AF18E6B" w:rsidR="00412210" w:rsidRDefault="00412210" w:rsidP="00324AF4">
      <w:pPr>
        <w:spacing w:line="360" w:lineRule="auto"/>
        <w:rPr>
          <w:b/>
          <w:bCs/>
        </w:rPr>
      </w:pPr>
    </w:p>
    <w:p w14:paraId="5FF16D52" w14:textId="4BFBC372" w:rsidR="00412210" w:rsidRDefault="00412210" w:rsidP="00324AF4">
      <w:pPr>
        <w:spacing w:line="360" w:lineRule="auto"/>
        <w:rPr>
          <w:b/>
          <w:bCs/>
        </w:rPr>
      </w:pPr>
    </w:p>
    <w:p w14:paraId="1485D265" w14:textId="6CE52855" w:rsidR="00412210" w:rsidRDefault="00412210" w:rsidP="00324AF4">
      <w:pPr>
        <w:spacing w:line="360" w:lineRule="auto"/>
        <w:rPr>
          <w:b/>
          <w:bCs/>
        </w:rPr>
      </w:pPr>
    </w:p>
    <w:p w14:paraId="2E493533" w14:textId="498AA3CB" w:rsidR="00412210" w:rsidRDefault="00412210" w:rsidP="00324AF4">
      <w:pPr>
        <w:spacing w:line="360" w:lineRule="auto"/>
        <w:rPr>
          <w:b/>
          <w:bCs/>
        </w:rPr>
      </w:pPr>
    </w:p>
    <w:p w14:paraId="66BA7A69" w14:textId="1AF6FBEB" w:rsidR="00412210" w:rsidRDefault="00412210" w:rsidP="00324AF4">
      <w:pPr>
        <w:spacing w:line="360" w:lineRule="auto"/>
        <w:rPr>
          <w:b/>
          <w:bCs/>
        </w:rPr>
      </w:pPr>
    </w:p>
    <w:p w14:paraId="102B1DD2" w14:textId="6123C4A6" w:rsidR="00412210" w:rsidRDefault="00412210" w:rsidP="00324AF4">
      <w:pPr>
        <w:spacing w:line="360" w:lineRule="auto"/>
        <w:rPr>
          <w:b/>
          <w:bCs/>
        </w:rPr>
      </w:pPr>
    </w:p>
    <w:p w14:paraId="343BF975" w14:textId="7BDDDF95" w:rsidR="00412210" w:rsidRDefault="00412210" w:rsidP="00324AF4">
      <w:pPr>
        <w:spacing w:line="360" w:lineRule="auto"/>
        <w:rPr>
          <w:b/>
          <w:bCs/>
        </w:rPr>
      </w:pPr>
    </w:p>
    <w:p w14:paraId="09D74E6B" w14:textId="23E818F1" w:rsidR="00412210" w:rsidRDefault="00412210" w:rsidP="00324AF4">
      <w:pPr>
        <w:spacing w:line="360" w:lineRule="auto"/>
        <w:rPr>
          <w:b/>
          <w:bCs/>
        </w:rPr>
      </w:pPr>
    </w:p>
    <w:p w14:paraId="45A1B12F" w14:textId="77777777" w:rsidR="00412210" w:rsidRPr="002D44FE" w:rsidRDefault="00412210" w:rsidP="00324AF4">
      <w:pPr>
        <w:spacing w:line="360" w:lineRule="auto"/>
        <w:rPr>
          <w:b/>
          <w:bCs/>
        </w:rPr>
      </w:pPr>
    </w:p>
    <w:p w14:paraId="457FC50D" w14:textId="5113F5F5" w:rsidR="00324AF4" w:rsidRPr="00324AF4" w:rsidRDefault="00324AF4" w:rsidP="00324AF4">
      <w:pPr>
        <w:spacing w:line="360" w:lineRule="auto"/>
        <w:rPr>
          <w:b/>
          <w:bCs/>
          <w:sz w:val="28"/>
          <w:szCs w:val="28"/>
          <w:u w:val="single"/>
        </w:rPr>
      </w:pPr>
      <w:r w:rsidRPr="00324AF4">
        <w:rPr>
          <w:b/>
          <w:bCs/>
          <w:sz w:val="28"/>
          <w:szCs w:val="28"/>
          <w:u w:val="single"/>
        </w:rPr>
        <w:t>Bibliography</w:t>
      </w:r>
    </w:p>
    <w:p w14:paraId="1AB3999B" w14:textId="77777777" w:rsidR="004C6A48" w:rsidRDefault="004C6A48" w:rsidP="004C6A48">
      <w:pPr>
        <w:spacing w:line="360" w:lineRule="auto"/>
        <w:rPr>
          <w:rFonts w:cstheme="minorHAnsi"/>
        </w:rPr>
      </w:pPr>
      <w:proofErr w:type="spellStart"/>
      <w:r>
        <w:rPr>
          <w:rFonts w:cstheme="minorHAnsi"/>
        </w:rPr>
        <w:t>Allsop</w:t>
      </w:r>
      <w:proofErr w:type="spellEnd"/>
      <w:r>
        <w:rPr>
          <w:rFonts w:cstheme="minorHAnsi"/>
        </w:rPr>
        <w:t xml:space="preserve">, C. (2017) ‘Cold Case Homicide Reviews’, in Brookman, F., Maguire, E.R. and Maguire, M. (ed.) </w:t>
      </w:r>
      <w:r w:rsidRPr="001C767D">
        <w:rPr>
          <w:rFonts w:cstheme="minorHAnsi"/>
          <w:i/>
          <w:iCs/>
        </w:rPr>
        <w:t>The Handbook of Homicide</w:t>
      </w:r>
      <w:r>
        <w:rPr>
          <w:rFonts w:cstheme="minorHAnsi"/>
        </w:rPr>
        <w:t>. Chichester: John Wiley &amp; Sons, Inc.</w:t>
      </w:r>
    </w:p>
    <w:p w14:paraId="38DCB846" w14:textId="37349226" w:rsidR="004C6A48" w:rsidRDefault="004C6A48" w:rsidP="00324AF4">
      <w:pPr>
        <w:spacing w:line="360" w:lineRule="auto"/>
      </w:pPr>
      <w:r>
        <w:t xml:space="preserve">Beadle, J. and Harrison, I. (2007) </w:t>
      </w:r>
      <w:r w:rsidRPr="00301D4E">
        <w:rPr>
          <w:i/>
          <w:iCs/>
        </w:rPr>
        <w:t xml:space="preserve">Firsts, Lasts and </w:t>
      </w:r>
      <w:proofErr w:type="spellStart"/>
      <w:r w:rsidRPr="00301D4E">
        <w:rPr>
          <w:i/>
          <w:iCs/>
        </w:rPr>
        <w:t>Only’s</w:t>
      </w:r>
      <w:proofErr w:type="spellEnd"/>
      <w:r w:rsidRPr="00301D4E">
        <w:rPr>
          <w:i/>
          <w:iCs/>
        </w:rPr>
        <w:t>: Crime</w:t>
      </w:r>
      <w:r>
        <w:t>. London: Robson Books.</w:t>
      </w:r>
    </w:p>
    <w:p w14:paraId="25AC002C" w14:textId="76D7884E" w:rsidR="00324AF4" w:rsidRDefault="00324AF4" w:rsidP="00324AF4">
      <w:pPr>
        <w:spacing w:line="360" w:lineRule="auto"/>
      </w:pPr>
      <w:r>
        <w:t xml:space="preserve">Beaufort-Moore, D. (2015) </w:t>
      </w:r>
      <w:r w:rsidRPr="007F00F3">
        <w:rPr>
          <w:i/>
          <w:iCs/>
        </w:rPr>
        <w:t>Crime Scene Management and Evidence Recovery</w:t>
      </w:r>
      <w:r>
        <w:t>. 2</w:t>
      </w:r>
      <w:r w:rsidRPr="007F00F3">
        <w:rPr>
          <w:vertAlign w:val="superscript"/>
        </w:rPr>
        <w:t>nd</w:t>
      </w:r>
      <w:r>
        <w:t xml:space="preserve"> </w:t>
      </w:r>
      <w:proofErr w:type="spellStart"/>
      <w:r>
        <w:t>edn</w:t>
      </w:r>
      <w:proofErr w:type="spellEnd"/>
      <w:r>
        <w:t>. Oxford: Oxford University Press.</w:t>
      </w:r>
      <w:r w:rsidRPr="00E11081">
        <w:t xml:space="preserve"> </w:t>
      </w:r>
    </w:p>
    <w:p w14:paraId="0029F704" w14:textId="4F4E9EF9" w:rsidR="004C6A48" w:rsidRDefault="004C6A48" w:rsidP="004C6A48">
      <w:pPr>
        <w:spacing w:line="360" w:lineRule="auto"/>
        <w:rPr>
          <w:rFonts w:cstheme="minorHAnsi"/>
        </w:rPr>
      </w:pPr>
      <w:r>
        <w:rPr>
          <w:rFonts w:cstheme="minorHAnsi"/>
        </w:rPr>
        <w:t xml:space="preserve">Bell, S. (2008) </w:t>
      </w:r>
      <w:r w:rsidR="00412210" w:rsidRPr="00412210">
        <w:rPr>
          <w:rFonts w:cstheme="minorHAnsi"/>
          <w:i/>
          <w:iCs/>
        </w:rPr>
        <w:t>Encyclopaedia</w:t>
      </w:r>
      <w:r w:rsidRPr="00550593">
        <w:rPr>
          <w:rFonts w:cstheme="minorHAnsi"/>
          <w:i/>
          <w:iCs/>
        </w:rPr>
        <w:t xml:space="preserve"> of Forensic Science</w:t>
      </w:r>
      <w:r>
        <w:rPr>
          <w:rFonts w:cstheme="minorHAnsi"/>
        </w:rPr>
        <w:t>. 2</w:t>
      </w:r>
      <w:r w:rsidRPr="00550593">
        <w:rPr>
          <w:rFonts w:cstheme="minorHAnsi"/>
          <w:vertAlign w:val="superscript"/>
        </w:rPr>
        <w:t>nd</w:t>
      </w:r>
      <w:r>
        <w:rPr>
          <w:rFonts w:cstheme="minorHAnsi"/>
        </w:rPr>
        <w:t xml:space="preserve"> </w:t>
      </w:r>
      <w:proofErr w:type="spellStart"/>
      <w:r>
        <w:rPr>
          <w:rFonts w:cstheme="minorHAnsi"/>
        </w:rPr>
        <w:t>edn</w:t>
      </w:r>
      <w:proofErr w:type="spellEnd"/>
      <w:r>
        <w:rPr>
          <w:rFonts w:cstheme="minorHAnsi"/>
        </w:rPr>
        <w:t xml:space="preserve">. New York: Facts </w:t>
      </w:r>
      <w:proofErr w:type="gramStart"/>
      <w:r>
        <w:rPr>
          <w:rFonts w:cstheme="minorHAnsi"/>
        </w:rPr>
        <w:t>On</w:t>
      </w:r>
      <w:proofErr w:type="gramEnd"/>
      <w:r>
        <w:rPr>
          <w:rFonts w:cstheme="minorHAnsi"/>
        </w:rPr>
        <w:t xml:space="preserve"> File, Inc.</w:t>
      </w:r>
    </w:p>
    <w:p w14:paraId="6C276F9E" w14:textId="77777777" w:rsidR="004C6A48" w:rsidRDefault="004C6A48" w:rsidP="004C6A48">
      <w:pPr>
        <w:spacing w:line="360" w:lineRule="auto"/>
        <w:rPr>
          <w:rFonts w:cstheme="minorHAnsi"/>
        </w:rPr>
      </w:pPr>
      <w:proofErr w:type="spellStart"/>
      <w:r>
        <w:t>Bodziak</w:t>
      </w:r>
      <w:proofErr w:type="spellEnd"/>
      <w:r>
        <w:t xml:space="preserve">, W.J. (2005) ‘Forensic Footwear Evidence’, in James, S.H. and </w:t>
      </w:r>
      <w:proofErr w:type="spellStart"/>
      <w:r>
        <w:t>Nordby</w:t>
      </w:r>
      <w:proofErr w:type="spellEnd"/>
      <w:r>
        <w:t xml:space="preserve">, J.J. (ed.) </w:t>
      </w:r>
      <w:r w:rsidRPr="008E7B08">
        <w:rPr>
          <w:i/>
          <w:iCs/>
        </w:rPr>
        <w:t>Forensic Science: An Introduction to Scientific and Investigative Techniques</w:t>
      </w:r>
      <w:r>
        <w:t>. 2</w:t>
      </w:r>
      <w:r w:rsidRPr="008E7B08">
        <w:rPr>
          <w:vertAlign w:val="superscript"/>
        </w:rPr>
        <w:t>nd</w:t>
      </w:r>
      <w:r>
        <w:t xml:space="preserve"> </w:t>
      </w:r>
      <w:proofErr w:type="spellStart"/>
      <w:r>
        <w:t>edn</w:t>
      </w:r>
      <w:proofErr w:type="spellEnd"/>
      <w:r>
        <w:t xml:space="preserve">. </w:t>
      </w:r>
      <w:r>
        <w:rPr>
          <w:rFonts w:cstheme="minorHAnsi"/>
        </w:rPr>
        <w:t>Boca Raton: CRC Press.</w:t>
      </w:r>
    </w:p>
    <w:p w14:paraId="6F955BB4" w14:textId="77777777" w:rsidR="004C6A48" w:rsidRDefault="004C6A48" w:rsidP="004C6A48">
      <w:pPr>
        <w:spacing w:line="360" w:lineRule="auto"/>
      </w:pPr>
      <w:r>
        <w:t xml:space="preserve">Cole, S. A. (2001) </w:t>
      </w:r>
      <w:r w:rsidRPr="00E466EA">
        <w:rPr>
          <w:i/>
          <w:iCs/>
        </w:rPr>
        <w:t>Suspect Identities: A History of Fingerprinting and Criminal Identification</w:t>
      </w:r>
      <w:r w:rsidRPr="00E466EA">
        <w:t xml:space="preserve">. </w:t>
      </w:r>
      <w:r>
        <w:t>Cambridge: Harvard University Press.</w:t>
      </w:r>
    </w:p>
    <w:p w14:paraId="4DDC2CC6" w14:textId="4F07F3BB" w:rsidR="004C6A48" w:rsidRDefault="004C6A48" w:rsidP="004C6A48">
      <w:pPr>
        <w:spacing w:line="360" w:lineRule="auto"/>
        <w:rPr>
          <w:rFonts w:cstheme="minorHAnsi"/>
        </w:rPr>
      </w:pPr>
      <w:r>
        <w:rPr>
          <w:rFonts w:cstheme="minorHAnsi"/>
        </w:rPr>
        <w:t xml:space="preserve">Galloway, V. and Charlton, C. (2007) ‘Fingerprints’, in Thompson, T. and Black, S. (ed.) </w:t>
      </w:r>
      <w:r w:rsidRPr="00BB34C1">
        <w:rPr>
          <w:rFonts w:cstheme="minorHAnsi"/>
          <w:i/>
          <w:iCs/>
        </w:rPr>
        <w:t>Forensic Human Identification: An Introduction</w:t>
      </w:r>
      <w:r>
        <w:rPr>
          <w:rFonts w:cstheme="minorHAnsi"/>
        </w:rPr>
        <w:t>. Boca Raton: CRC Press.</w:t>
      </w:r>
    </w:p>
    <w:p w14:paraId="7F1E2725" w14:textId="47D994D9" w:rsidR="004C6A48" w:rsidRDefault="004C6A48" w:rsidP="004C6A48">
      <w:pPr>
        <w:spacing w:line="360" w:lineRule="auto"/>
        <w:rPr>
          <w:rFonts w:cstheme="minorHAnsi"/>
        </w:rPr>
      </w:pPr>
      <w:r>
        <w:rPr>
          <w:rFonts w:cstheme="minorHAnsi"/>
        </w:rPr>
        <w:t xml:space="preserve">Gunn, A. (2009) </w:t>
      </w:r>
      <w:r w:rsidRPr="00966D01">
        <w:rPr>
          <w:rFonts w:cstheme="minorHAnsi"/>
          <w:i/>
          <w:iCs/>
        </w:rPr>
        <w:t>Essential Forensic Biology</w:t>
      </w:r>
      <w:r>
        <w:rPr>
          <w:rFonts w:cstheme="minorHAnsi"/>
        </w:rPr>
        <w:t>. 2</w:t>
      </w:r>
      <w:r w:rsidRPr="00966D01">
        <w:rPr>
          <w:rFonts w:cstheme="minorHAnsi"/>
          <w:vertAlign w:val="superscript"/>
        </w:rPr>
        <w:t>nd</w:t>
      </w:r>
      <w:r>
        <w:rPr>
          <w:rFonts w:cstheme="minorHAnsi"/>
        </w:rPr>
        <w:t xml:space="preserve"> </w:t>
      </w:r>
      <w:proofErr w:type="spellStart"/>
      <w:r>
        <w:rPr>
          <w:rFonts w:cstheme="minorHAnsi"/>
        </w:rPr>
        <w:t>edn</w:t>
      </w:r>
      <w:proofErr w:type="spellEnd"/>
      <w:r>
        <w:rPr>
          <w:rFonts w:cstheme="minorHAnsi"/>
        </w:rPr>
        <w:t>. Chichester: John Wiley &amp; Sons, Inc.</w:t>
      </w:r>
    </w:p>
    <w:p w14:paraId="4258E5C7" w14:textId="77777777" w:rsidR="004C6A48" w:rsidRDefault="004C6A48" w:rsidP="004C6A48">
      <w:pPr>
        <w:spacing w:line="360" w:lineRule="auto"/>
      </w:pPr>
      <w:r>
        <w:t xml:space="preserve">Hamilton, I. (2016) ‘Fingerprints’, in Houck, M.M. (ed.) </w:t>
      </w:r>
      <w:r w:rsidRPr="00447A84">
        <w:rPr>
          <w:i/>
          <w:iCs/>
        </w:rPr>
        <w:t>Forensic Fingerprints: Advanced Forensic Science Series</w:t>
      </w:r>
      <w:r>
        <w:t>. London: Elsevier.</w:t>
      </w:r>
    </w:p>
    <w:p w14:paraId="21CAC580" w14:textId="77777777" w:rsidR="004C6A48" w:rsidRDefault="004C6A48" w:rsidP="004C6A48">
      <w:pPr>
        <w:spacing w:line="360" w:lineRule="auto"/>
        <w:rPr>
          <w:rFonts w:cstheme="minorHAnsi"/>
        </w:rPr>
      </w:pPr>
      <w:r>
        <w:rPr>
          <w:rFonts w:cstheme="minorHAnsi"/>
        </w:rPr>
        <w:t xml:space="preserve">Houck, M.M. (2007) </w:t>
      </w:r>
      <w:r w:rsidRPr="00994D51">
        <w:rPr>
          <w:rFonts w:cstheme="minorHAnsi"/>
          <w:i/>
          <w:iCs/>
        </w:rPr>
        <w:t>Forensic Science: Modern Methods of Solving Crime</w:t>
      </w:r>
      <w:r>
        <w:rPr>
          <w:rFonts w:cstheme="minorHAnsi"/>
        </w:rPr>
        <w:t>. Westport: Praeger Publishers.</w:t>
      </w:r>
      <w:r w:rsidRPr="004C6A48">
        <w:rPr>
          <w:rFonts w:cstheme="minorHAnsi"/>
        </w:rPr>
        <w:t xml:space="preserve"> </w:t>
      </w:r>
    </w:p>
    <w:p w14:paraId="5ABAE59F" w14:textId="7B0789C0" w:rsidR="004C6A48" w:rsidRDefault="004C6A48" w:rsidP="004C6A48">
      <w:pPr>
        <w:spacing w:line="360" w:lineRule="auto"/>
        <w:rPr>
          <w:rFonts w:cstheme="minorHAnsi"/>
        </w:rPr>
      </w:pPr>
      <w:r>
        <w:rPr>
          <w:rFonts w:cstheme="minorHAnsi"/>
        </w:rPr>
        <w:t xml:space="preserve">Langford, A. et al. (2019) </w:t>
      </w:r>
      <w:r w:rsidRPr="009E62CA">
        <w:rPr>
          <w:rFonts w:cstheme="minorHAnsi"/>
          <w:i/>
          <w:iCs/>
        </w:rPr>
        <w:t>Practical Skills in Forensic Science</w:t>
      </w:r>
      <w:r>
        <w:rPr>
          <w:rFonts w:cstheme="minorHAnsi"/>
        </w:rPr>
        <w:t>. 3</w:t>
      </w:r>
      <w:r w:rsidRPr="009E62CA">
        <w:rPr>
          <w:rFonts w:cstheme="minorHAnsi"/>
          <w:vertAlign w:val="superscript"/>
        </w:rPr>
        <w:t>rd</w:t>
      </w:r>
      <w:r>
        <w:rPr>
          <w:rFonts w:cstheme="minorHAnsi"/>
        </w:rPr>
        <w:t xml:space="preserve"> </w:t>
      </w:r>
      <w:proofErr w:type="spellStart"/>
      <w:r>
        <w:rPr>
          <w:rFonts w:cstheme="minorHAnsi"/>
        </w:rPr>
        <w:t>edn</w:t>
      </w:r>
      <w:proofErr w:type="spellEnd"/>
      <w:r>
        <w:rPr>
          <w:rFonts w:cstheme="minorHAnsi"/>
        </w:rPr>
        <w:t>. London: Pearson.</w:t>
      </w:r>
    </w:p>
    <w:p w14:paraId="78C0AEC1" w14:textId="77777777" w:rsidR="004C6A48" w:rsidRDefault="004C6A48" w:rsidP="004C6A48">
      <w:pPr>
        <w:spacing w:line="360" w:lineRule="auto"/>
        <w:rPr>
          <w:rFonts w:cstheme="minorHAnsi"/>
        </w:rPr>
      </w:pPr>
      <w:proofErr w:type="spellStart"/>
      <w:r>
        <w:rPr>
          <w:rFonts w:cstheme="minorHAnsi"/>
        </w:rPr>
        <w:t>Latta</w:t>
      </w:r>
      <w:proofErr w:type="spellEnd"/>
      <w:r>
        <w:rPr>
          <w:rFonts w:cstheme="minorHAnsi"/>
        </w:rPr>
        <w:t xml:space="preserve">, S. L. (2012) </w:t>
      </w:r>
      <w:r w:rsidRPr="007C06EB">
        <w:rPr>
          <w:rFonts w:cstheme="minorHAnsi"/>
          <w:i/>
          <w:iCs/>
        </w:rPr>
        <w:t>DNA and Blood: Dead People Do Tell Tales</w:t>
      </w:r>
      <w:r>
        <w:rPr>
          <w:rFonts w:cstheme="minorHAnsi"/>
        </w:rPr>
        <w:t xml:space="preserve">. Berkeley Heights: </w:t>
      </w:r>
      <w:proofErr w:type="spellStart"/>
      <w:r>
        <w:rPr>
          <w:rFonts w:cstheme="minorHAnsi"/>
        </w:rPr>
        <w:t>Enslow</w:t>
      </w:r>
      <w:proofErr w:type="spellEnd"/>
      <w:r>
        <w:rPr>
          <w:rFonts w:cstheme="minorHAnsi"/>
        </w:rPr>
        <w:t xml:space="preserve"> Publishers, Inc.</w:t>
      </w:r>
    </w:p>
    <w:p w14:paraId="0915EEFF" w14:textId="77777777" w:rsidR="004C6A48" w:rsidRDefault="004C6A48" w:rsidP="004C6A48">
      <w:pPr>
        <w:spacing w:line="360" w:lineRule="auto"/>
        <w:rPr>
          <w:rFonts w:cstheme="minorHAnsi"/>
        </w:rPr>
      </w:pPr>
      <w:r>
        <w:rPr>
          <w:rFonts w:cstheme="minorHAnsi"/>
        </w:rPr>
        <w:t xml:space="preserve">Li, S.Z. (2009) </w:t>
      </w:r>
      <w:r w:rsidRPr="00976D16">
        <w:rPr>
          <w:rFonts w:cstheme="minorHAnsi"/>
          <w:i/>
          <w:iCs/>
        </w:rPr>
        <w:t>Encyclopaedia of Biometrics: I – Z</w:t>
      </w:r>
      <w:r>
        <w:rPr>
          <w:rFonts w:cstheme="minorHAnsi"/>
        </w:rPr>
        <w:t>. Vol. 2. London: Springer Science &amp; Business Media.</w:t>
      </w:r>
    </w:p>
    <w:p w14:paraId="6471EBD3" w14:textId="77777777" w:rsidR="004C6A48" w:rsidRDefault="004C6A48" w:rsidP="004C6A48">
      <w:pPr>
        <w:spacing w:line="360" w:lineRule="auto"/>
      </w:pPr>
      <w:proofErr w:type="spellStart"/>
      <w:r>
        <w:t>Renneberg</w:t>
      </w:r>
      <w:proofErr w:type="spellEnd"/>
      <w:r>
        <w:t xml:space="preserve">, R. (2008) ‘Biotechnology for Beginners’ in </w:t>
      </w:r>
      <w:proofErr w:type="spellStart"/>
      <w:r>
        <w:t>Renneberg</w:t>
      </w:r>
      <w:proofErr w:type="spellEnd"/>
      <w:r>
        <w:t xml:space="preserve">, R. and </w:t>
      </w:r>
      <w:proofErr w:type="spellStart"/>
      <w:r>
        <w:t>Demain</w:t>
      </w:r>
      <w:proofErr w:type="spellEnd"/>
      <w:r>
        <w:t xml:space="preserve">, A. L. (ed.), </w:t>
      </w:r>
      <w:proofErr w:type="spellStart"/>
      <w:r>
        <w:t>FitzRoy</w:t>
      </w:r>
      <w:proofErr w:type="spellEnd"/>
      <w:r>
        <w:t xml:space="preserve">, R. and Jones, J. (trans.) </w:t>
      </w:r>
      <w:r w:rsidRPr="00783F6F">
        <w:rPr>
          <w:i/>
          <w:iCs/>
        </w:rPr>
        <w:t>Biotechnology for Beginners</w:t>
      </w:r>
      <w:r>
        <w:t>. London: Elsevier.</w:t>
      </w:r>
    </w:p>
    <w:p w14:paraId="7E0D1C0E" w14:textId="373E19D6" w:rsidR="004C6A48" w:rsidRPr="004C6A48" w:rsidRDefault="004C6A48" w:rsidP="004C6A48">
      <w:pPr>
        <w:spacing w:line="360" w:lineRule="auto"/>
      </w:pPr>
      <w:r>
        <w:rPr>
          <w:rFonts w:cstheme="minorHAnsi"/>
        </w:rPr>
        <w:t xml:space="preserve">Rogers, C. et al. (2011) </w:t>
      </w:r>
      <w:r w:rsidRPr="00AB11B1">
        <w:rPr>
          <w:rFonts w:cstheme="minorHAnsi"/>
          <w:i/>
          <w:iCs/>
        </w:rPr>
        <w:t>Police Work: Principles and Practice</w:t>
      </w:r>
      <w:r>
        <w:rPr>
          <w:rFonts w:cstheme="minorHAnsi"/>
        </w:rPr>
        <w:t>. London: Routledge.</w:t>
      </w:r>
    </w:p>
    <w:p w14:paraId="06D19BC3" w14:textId="77777777" w:rsidR="004C6A48" w:rsidRDefault="004C6A48" w:rsidP="004C6A48">
      <w:pPr>
        <w:spacing w:line="360" w:lineRule="auto"/>
      </w:pPr>
      <w:r>
        <w:rPr>
          <w:rFonts w:cstheme="minorHAnsi"/>
        </w:rPr>
        <w:t xml:space="preserve">Rudin, N. and Inman, K. (2002) </w:t>
      </w:r>
      <w:r w:rsidRPr="00FC3535">
        <w:rPr>
          <w:rFonts w:cstheme="minorHAnsi"/>
          <w:i/>
          <w:iCs/>
        </w:rPr>
        <w:t>An Introduction to Forensic DNA Analysis</w:t>
      </w:r>
      <w:r>
        <w:rPr>
          <w:rFonts w:cstheme="minorHAnsi"/>
        </w:rPr>
        <w:t>. 2</w:t>
      </w:r>
      <w:r w:rsidRPr="00FC3535">
        <w:rPr>
          <w:rFonts w:cstheme="minorHAnsi"/>
          <w:vertAlign w:val="superscript"/>
        </w:rPr>
        <w:t>nd</w:t>
      </w:r>
      <w:r>
        <w:rPr>
          <w:rFonts w:cstheme="minorHAnsi"/>
        </w:rPr>
        <w:t xml:space="preserve"> </w:t>
      </w:r>
      <w:proofErr w:type="spellStart"/>
      <w:r>
        <w:rPr>
          <w:rFonts w:cstheme="minorHAnsi"/>
        </w:rPr>
        <w:t>edn</w:t>
      </w:r>
      <w:proofErr w:type="spellEnd"/>
      <w:r>
        <w:rPr>
          <w:rFonts w:cstheme="minorHAnsi"/>
        </w:rPr>
        <w:t>. Boca Raton: CRC Press.</w:t>
      </w:r>
    </w:p>
    <w:p w14:paraId="0674E719" w14:textId="77777777" w:rsidR="004C6A48" w:rsidRDefault="004C6A48" w:rsidP="004C6A48">
      <w:pPr>
        <w:spacing w:line="360" w:lineRule="auto"/>
        <w:rPr>
          <w:rFonts w:cstheme="minorHAnsi"/>
        </w:rPr>
      </w:pPr>
      <w:r>
        <w:rPr>
          <w:rFonts w:cstheme="minorHAnsi"/>
        </w:rPr>
        <w:t xml:space="preserve">Siegel, J.A. (2007) </w:t>
      </w:r>
      <w:r w:rsidRPr="00F770A8">
        <w:rPr>
          <w:rFonts w:cstheme="minorHAnsi"/>
          <w:i/>
          <w:iCs/>
        </w:rPr>
        <w:t>Forensic Science: The Basics</w:t>
      </w:r>
      <w:r>
        <w:rPr>
          <w:rFonts w:cstheme="minorHAnsi"/>
        </w:rPr>
        <w:t>. Boca Raton: CRC Press.</w:t>
      </w:r>
    </w:p>
    <w:p w14:paraId="459503A2" w14:textId="07E9674A" w:rsidR="004C6A48" w:rsidRDefault="004C6A48" w:rsidP="00324AF4">
      <w:pPr>
        <w:spacing w:line="360" w:lineRule="auto"/>
      </w:pPr>
      <w:r>
        <w:t xml:space="preserve">Smith, L. and Bond, J. (2015) </w:t>
      </w:r>
      <w:r w:rsidRPr="00BE68C0">
        <w:rPr>
          <w:i/>
          <w:iCs/>
        </w:rPr>
        <w:t>Criminal Justice and Forensic Science: A Multidisciplinary Introduction</w:t>
      </w:r>
      <w:r>
        <w:t>. London: Palgrave Macmillan Publishers Ltd.</w:t>
      </w:r>
    </w:p>
    <w:p w14:paraId="06A472E7" w14:textId="13B5582F" w:rsidR="004B0449" w:rsidRDefault="004B0449" w:rsidP="00324AF4">
      <w:pPr>
        <w:spacing w:line="360" w:lineRule="auto"/>
        <w:rPr>
          <w:rFonts w:cstheme="minorHAnsi"/>
        </w:rPr>
      </w:pPr>
      <w:r w:rsidRPr="0086112E">
        <w:rPr>
          <w:rFonts w:cstheme="minorHAnsi"/>
        </w:rPr>
        <w:t xml:space="preserve">Stevenson, A. </w:t>
      </w:r>
      <w:r>
        <w:rPr>
          <w:rFonts w:cstheme="minorHAnsi"/>
        </w:rPr>
        <w:t>(</w:t>
      </w:r>
      <w:r w:rsidRPr="0086112E">
        <w:rPr>
          <w:rFonts w:cstheme="minorHAnsi"/>
        </w:rPr>
        <w:t>2010</w:t>
      </w:r>
      <w:r>
        <w:rPr>
          <w:rFonts w:cstheme="minorHAnsi"/>
        </w:rPr>
        <w:t>)</w:t>
      </w:r>
      <w:r w:rsidRPr="0086112E">
        <w:rPr>
          <w:rFonts w:cstheme="minorHAnsi"/>
        </w:rPr>
        <w:t xml:space="preserve"> </w:t>
      </w:r>
      <w:r w:rsidRPr="0086112E">
        <w:rPr>
          <w:rFonts w:cstheme="minorHAnsi"/>
          <w:i/>
        </w:rPr>
        <w:t>Oxford English Dictionary</w:t>
      </w:r>
      <w:r>
        <w:rPr>
          <w:rFonts w:cstheme="minorHAnsi"/>
          <w:i/>
        </w:rPr>
        <w:t xml:space="preserve">. </w:t>
      </w:r>
      <w:r w:rsidRPr="00543042">
        <w:rPr>
          <w:rFonts w:cstheme="minorHAnsi"/>
          <w:iCs/>
        </w:rPr>
        <w:t>3</w:t>
      </w:r>
      <w:r w:rsidRPr="00543042">
        <w:rPr>
          <w:rFonts w:cstheme="minorHAnsi"/>
          <w:iCs/>
          <w:vertAlign w:val="superscript"/>
        </w:rPr>
        <w:t>rd</w:t>
      </w:r>
      <w:r w:rsidRPr="00543042">
        <w:rPr>
          <w:rFonts w:cstheme="minorHAnsi"/>
          <w:iCs/>
        </w:rPr>
        <w:t xml:space="preserve"> </w:t>
      </w:r>
      <w:proofErr w:type="spellStart"/>
      <w:r>
        <w:rPr>
          <w:rFonts w:cstheme="minorHAnsi"/>
          <w:iCs/>
        </w:rPr>
        <w:t>edn</w:t>
      </w:r>
      <w:proofErr w:type="spellEnd"/>
      <w:r w:rsidRPr="0086112E">
        <w:rPr>
          <w:rFonts w:cstheme="minorHAnsi"/>
        </w:rPr>
        <w:t>. Oxford: Oxford University Press</w:t>
      </w:r>
      <w:r>
        <w:rPr>
          <w:rFonts w:cstheme="minorHAnsi"/>
        </w:rPr>
        <w:t>.</w:t>
      </w:r>
    </w:p>
    <w:p w14:paraId="365614F7" w14:textId="5494FC9C" w:rsidR="00AB0D20" w:rsidRDefault="00AB0D20" w:rsidP="001C767D">
      <w:pPr>
        <w:spacing w:line="360" w:lineRule="auto"/>
        <w:rPr>
          <w:rFonts w:cstheme="minorHAnsi"/>
        </w:rPr>
      </w:pPr>
      <w:r>
        <w:rPr>
          <w:rFonts w:cstheme="minorHAnsi"/>
        </w:rPr>
        <w:t xml:space="preserve">Vernon, W. (2007) ‘The Foot’, in Thompson, T. and Black, S. (ed.) </w:t>
      </w:r>
      <w:r w:rsidRPr="00BB34C1">
        <w:rPr>
          <w:rFonts w:cstheme="minorHAnsi"/>
          <w:i/>
          <w:iCs/>
        </w:rPr>
        <w:t>Forensic Human Identification: An Introduction</w:t>
      </w:r>
      <w:r>
        <w:rPr>
          <w:rFonts w:cstheme="minorHAnsi"/>
        </w:rPr>
        <w:t>. Boca Raton: CRC Press.</w:t>
      </w:r>
    </w:p>
    <w:p w14:paraId="74AEEBE4" w14:textId="5274CD24" w:rsidR="00AB209C" w:rsidRPr="006155CB" w:rsidRDefault="00AB209C" w:rsidP="00883138">
      <w:pPr>
        <w:spacing w:line="360" w:lineRule="auto"/>
      </w:pPr>
      <w:r>
        <w:t xml:space="preserve">Wade, S. (2009) </w:t>
      </w:r>
      <w:r w:rsidRPr="00AB209C">
        <w:rPr>
          <w:i/>
          <w:iCs/>
        </w:rPr>
        <w:t>DNA Crime Investigations: Solving Murder and Serious Crime Through DNA and Modern Forensics</w:t>
      </w:r>
      <w:r>
        <w:t>. Barnsley: Wharncliffe Books.</w:t>
      </w:r>
    </w:p>
    <w:p w14:paraId="35CA7820" w14:textId="77777777" w:rsidR="004C6A48" w:rsidRDefault="004C6A48" w:rsidP="004C6A48">
      <w:pPr>
        <w:spacing w:line="360" w:lineRule="auto"/>
        <w:rPr>
          <w:rFonts w:cstheme="minorHAnsi"/>
        </w:rPr>
      </w:pPr>
      <w:r>
        <w:rPr>
          <w:rFonts w:cstheme="minorHAnsi"/>
        </w:rPr>
        <w:t xml:space="preserve">Wilkins, S. and Hill, J. (2013) </w:t>
      </w:r>
      <w:r w:rsidRPr="00F26CC8">
        <w:rPr>
          <w:rFonts w:cstheme="minorHAnsi"/>
          <w:i/>
          <w:iCs/>
        </w:rPr>
        <w:t>The Pembrokeshire Murders: Catching the Bullseye Killer</w:t>
      </w:r>
      <w:r>
        <w:rPr>
          <w:rFonts w:cstheme="minorHAnsi"/>
        </w:rPr>
        <w:t>. Bridgend: Poetry Wales Press Ltd.</w:t>
      </w:r>
    </w:p>
    <w:p w14:paraId="42D0AAF4" w14:textId="77777777" w:rsidR="004C6A48" w:rsidRPr="00883138" w:rsidRDefault="004C6A48">
      <w:pPr>
        <w:spacing w:line="360" w:lineRule="auto"/>
        <w:rPr>
          <w:rFonts w:cstheme="minorHAnsi"/>
        </w:rPr>
      </w:pPr>
      <w:bookmarkStart w:id="0" w:name="_GoBack"/>
      <w:bookmarkEnd w:id="0"/>
    </w:p>
    <w:sectPr w:rsidR="004C6A48" w:rsidRPr="00883138" w:rsidSect="000361C5">
      <w:headerReference w:type="default" r:id="rId6"/>
      <w:footerReference w:type="default" r:id="rId7"/>
      <w:pgSz w:w="11906" w:h="16838"/>
      <w:pgMar w:top="1440" w:right="1440" w:bottom="1440" w:left="1440" w:header="567" w:footer="39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D797EA" w14:textId="77777777" w:rsidR="003E6EF7" w:rsidRDefault="003E6EF7" w:rsidP="000361C5">
      <w:pPr>
        <w:spacing w:after="0" w:line="240" w:lineRule="auto"/>
      </w:pPr>
      <w:r>
        <w:separator/>
      </w:r>
    </w:p>
  </w:endnote>
  <w:endnote w:type="continuationSeparator" w:id="0">
    <w:p w14:paraId="206368F2" w14:textId="77777777" w:rsidR="003E6EF7" w:rsidRDefault="003E6EF7" w:rsidP="000361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9760639"/>
      <w:docPartObj>
        <w:docPartGallery w:val="Page Numbers (Bottom of Page)"/>
        <w:docPartUnique/>
      </w:docPartObj>
    </w:sdtPr>
    <w:sdtEndPr>
      <w:rPr>
        <w:noProof/>
      </w:rPr>
    </w:sdtEndPr>
    <w:sdtContent>
      <w:p w14:paraId="168F3C2D" w14:textId="0E2EF48B" w:rsidR="000361C5" w:rsidRDefault="000361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D4B477" w14:textId="77777777" w:rsidR="000361C5" w:rsidRDefault="000361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CDD620" w14:textId="77777777" w:rsidR="003E6EF7" w:rsidRDefault="003E6EF7" w:rsidP="000361C5">
      <w:pPr>
        <w:spacing w:after="0" w:line="240" w:lineRule="auto"/>
      </w:pPr>
      <w:r>
        <w:separator/>
      </w:r>
    </w:p>
  </w:footnote>
  <w:footnote w:type="continuationSeparator" w:id="0">
    <w:p w14:paraId="58227A9D" w14:textId="77777777" w:rsidR="003E6EF7" w:rsidRDefault="003E6EF7" w:rsidP="000361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32F1EC" w14:textId="311B1A15" w:rsidR="000361C5" w:rsidRPr="00653721" w:rsidRDefault="000361C5" w:rsidP="000361C5">
    <w:pPr>
      <w:pStyle w:val="Header"/>
    </w:pPr>
    <w:r>
      <w:t>Matthew Cowley (1700561)</w:t>
    </w:r>
    <w:r>
      <w:ptab w:relativeTo="margin" w:alignment="center" w:leader="none"/>
    </w:r>
    <w:r>
      <w:t xml:space="preserve">Assessment </w:t>
    </w:r>
    <w:r w:rsidR="007B4508">
      <w:t>2</w:t>
    </w:r>
    <w:r>
      <w:ptab w:relativeTo="margin" w:alignment="right" w:leader="none"/>
    </w:r>
    <w:r>
      <w:t>Forensic Approaches to Crime Scenes</w:t>
    </w:r>
  </w:p>
  <w:p w14:paraId="79216EC0" w14:textId="216C84E4" w:rsidR="000361C5" w:rsidRPr="000361C5" w:rsidRDefault="000361C5" w:rsidP="000361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1C5"/>
    <w:rsid w:val="00000F92"/>
    <w:rsid w:val="00005AF5"/>
    <w:rsid w:val="00006AF8"/>
    <w:rsid w:val="000361C5"/>
    <w:rsid w:val="000614D4"/>
    <w:rsid w:val="00061ECA"/>
    <w:rsid w:val="000833BE"/>
    <w:rsid w:val="000B2690"/>
    <w:rsid w:val="000C5358"/>
    <w:rsid w:val="000D2552"/>
    <w:rsid w:val="000E1864"/>
    <w:rsid w:val="00130DF0"/>
    <w:rsid w:val="00152AEC"/>
    <w:rsid w:val="0017566F"/>
    <w:rsid w:val="00176467"/>
    <w:rsid w:val="001830E0"/>
    <w:rsid w:val="001840A5"/>
    <w:rsid w:val="00192E57"/>
    <w:rsid w:val="00197296"/>
    <w:rsid w:val="00197C4F"/>
    <w:rsid w:val="001A3F8C"/>
    <w:rsid w:val="001A7F48"/>
    <w:rsid w:val="001C767D"/>
    <w:rsid w:val="002064F2"/>
    <w:rsid w:val="002145F2"/>
    <w:rsid w:val="00215D88"/>
    <w:rsid w:val="002255A9"/>
    <w:rsid w:val="0022640C"/>
    <w:rsid w:val="002408E3"/>
    <w:rsid w:val="00247FA8"/>
    <w:rsid w:val="00257374"/>
    <w:rsid w:val="0027507E"/>
    <w:rsid w:val="00277101"/>
    <w:rsid w:val="002A2FC7"/>
    <w:rsid w:val="002B6924"/>
    <w:rsid w:val="002C2F19"/>
    <w:rsid w:val="002C2F5B"/>
    <w:rsid w:val="002C3437"/>
    <w:rsid w:val="002C4DE7"/>
    <w:rsid w:val="002D44FE"/>
    <w:rsid w:val="002D6210"/>
    <w:rsid w:val="002E5F56"/>
    <w:rsid w:val="002E6437"/>
    <w:rsid w:val="00301D4E"/>
    <w:rsid w:val="00304402"/>
    <w:rsid w:val="00306B90"/>
    <w:rsid w:val="00314A34"/>
    <w:rsid w:val="003240AA"/>
    <w:rsid w:val="00324AF4"/>
    <w:rsid w:val="003366F8"/>
    <w:rsid w:val="00343C8A"/>
    <w:rsid w:val="003455D6"/>
    <w:rsid w:val="00361154"/>
    <w:rsid w:val="00371EE2"/>
    <w:rsid w:val="0037202B"/>
    <w:rsid w:val="00375422"/>
    <w:rsid w:val="0039330A"/>
    <w:rsid w:val="003A2B00"/>
    <w:rsid w:val="003B5D04"/>
    <w:rsid w:val="003E6EF7"/>
    <w:rsid w:val="0040299B"/>
    <w:rsid w:val="00412210"/>
    <w:rsid w:val="00412669"/>
    <w:rsid w:val="004175FF"/>
    <w:rsid w:val="00421E4D"/>
    <w:rsid w:val="0043505B"/>
    <w:rsid w:val="004364AE"/>
    <w:rsid w:val="00443585"/>
    <w:rsid w:val="00446FF6"/>
    <w:rsid w:val="00447A84"/>
    <w:rsid w:val="0045688B"/>
    <w:rsid w:val="00457058"/>
    <w:rsid w:val="00462714"/>
    <w:rsid w:val="00465176"/>
    <w:rsid w:val="004957DC"/>
    <w:rsid w:val="004A2B84"/>
    <w:rsid w:val="004B0449"/>
    <w:rsid w:val="004B5FD4"/>
    <w:rsid w:val="004B620D"/>
    <w:rsid w:val="004B6862"/>
    <w:rsid w:val="004C6A48"/>
    <w:rsid w:val="004C6BDB"/>
    <w:rsid w:val="004E5A29"/>
    <w:rsid w:val="00502ADE"/>
    <w:rsid w:val="00507945"/>
    <w:rsid w:val="00523B9D"/>
    <w:rsid w:val="00534847"/>
    <w:rsid w:val="00536100"/>
    <w:rsid w:val="0053785B"/>
    <w:rsid w:val="005431CA"/>
    <w:rsid w:val="00550593"/>
    <w:rsid w:val="00565C4B"/>
    <w:rsid w:val="0059052B"/>
    <w:rsid w:val="005908E8"/>
    <w:rsid w:val="005A07EF"/>
    <w:rsid w:val="005B0A26"/>
    <w:rsid w:val="005D2FFD"/>
    <w:rsid w:val="005E269F"/>
    <w:rsid w:val="005E3B9D"/>
    <w:rsid w:val="005E48F2"/>
    <w:rsid w:val="005F0476"/>
    <w:rsid w:val="00603F12"/>
    <w:rsid w:val="00623D82"/>
    <w:rsid w:val="00654301"/>
    <w:rsid w:val="00654FC7"/>
    <w:rsid w:val="00660794"/>
    <w:rsid w:val="006720C3"/>
    <w:rsid w:val="00680146"/>
    <w:rsid w:val="006875B2"/>
    <w:rsid w:val="00693922"/>
    <w:rsid w:val="006B3B6C"/>
    <w:rsid w:val="006B6A67"/>
    <w:rsid w:val="006C3FE9"/>
    <w:rsid w:val="006C551A"/>
    <w:rsid w:val="006E1FB8"/>
    <w:rsid w:val="0070383D"/>
    <w:rsid w:val="00703B09"/>
    <w:rsid w:val="00724175"/>
    <w:rsid w:val="0072596E"/>
    <w:rsid w:val="00726269"/>
    <w:rsid w:val="007355D3"/>
    <w:rsid w:val="00740D8E"/>
    <w:rsid w:val="00742061"/>
    <w:rsid w:val="0075157C"/>
    <w:rsid w:val="0076190B"/>
    <w:rsid w:val="007658F4"/>
    <w:rsid w:val="00767A77"/>
    <w:rsid w:val="00767D77"/>
    <w:rsid w:val="007765D1"/>
    <w:rsid w:val="0078735D"/>
    <w:rsid w:val="0079230A"/>
    <w:rsid w:val="0079457A"/>
    <w:rsid w:val="00797C02"/>
    <w:rsid w:val="007A15FE"/>
    <w:rsid w:val="007A392F"/>
    <w:rsid w:val="007B4508"/>
    <w:rsid w:val="007C06EB"/>
    <w:rsid w:val="007C2085"/>
    <w:rsid w:val="007C60F7"/>
    <w:rsid w:val="007C7082"/>
    <w:rsid w:val="007D66DD"/>
    <w:rsid w:val="007E2BEC"/>
    <w:rsid w:val="007F1EF1"/>
    <w:rsid w:val="007F3C67"/>
    <w:rsid w:val="007F666C"/>
    <w:rsid w:val="00800E84"/>
    <w:rsid w:val="008077EF"/>
    <w:rsid w:val="008250E9"/>
    <w:rsid w:val="00830900"/>
    <w:rsid w:val="0083585B"/>
    <w:rsid w:val="00837269"/>
    <w:rsid w:val="0084138A"/>
    <w:rsid w:val="008431CF"/>
    <w:rsid w:val="008540F4"/>
    <w:rsid w:val="00874E34"/>
    <w:rsid w:val="008752AC"/>
    <w:rsid w:val="00883138"/>
    <w:rsid w:val="00890B49"/>
    <w:rsid w:val="008B6464"/>
    <w:rsid w:val="008D3BEE"/>
    <w:rsid w:val="008E7B08"/>
    <w:rsid w:val="008F761C"/>
    <w:rsid w:val="00927815"/>
    <w:rsid w:val="00931CD8"/>
    <w:rsid w:val="009377AC"/>
    <w:rsid w:val="00950A3E"/>
    <w:rsid w:val="009524DB"/>
    <w:rsid w:val="009545A7"/>
    <w:rsid w:val="00966D01"/>
    <w:rsid w:val="00976D16"/>
    <w:rsid w:val="0098074E"/>
    <w:rsid w:val="00987853"/>
    <w:rsid w:val="00994D51"/>
    <w:rsid w:val="00996E32"/>
    <w:rsid w:val="009A1386"/>
    <w:rsid w:val="009A2905"/>
    <w:rsid w:val="009A2C4A"/>
    <w:rsid w:val="009A6327"/>
    <w:rsid w:val="009A67F2"/>
    <w:rsid w:val="009A6C06"/>
    <w:rsid w:val="009B5B75"/>
    <w:rsid w:val="009D6310"/>
    <w:rsid w:val="009E0F5E"/>
    <w:rsid w:val="009E62CA"/>
    <w:rsid w:val="00A06021"/>
    <w:rsid w:val="00A100F5"/>
    <w:rsid w:val="00A1083C"/>
    <w:rsid w:val="00A11DF1"/>
    <w:rsid w:val="00A161A3"/>
    <w:rsid w:val="00A2359C"/>
    <w:rsid w:val="00A32857"/>
    <w:rsid w:val="00A32D41"/>
    <w:rsid w:val="00A40FD7"/>
    <w:rsid w:val="00A608CC"/>
    <w:rsid w:val="00A65497"/>
    <w:rsid w:val="00A9331B"/>
    <w:rsid w:val="00A94424"/>
    <w:rsid w:val="00A9654B"/>
    <w:rsid w:val="00AA60CE"/>
    <w:rsid w:val="00AB0D20"/>
    <w:rsid w:val="00AB11B1"/>
    <w:rsid w:val="00AB209C"/>
    <w:rsid w:val="00AB52AB"/>
    <w:rsid w:val="00AB70C1"/>
    <w:rsid w:val="00AC5FA2"/>
    <w:rsid w:val="00AD49F8"/>
    <w:rsid w:val="00AD5913"/>
    <w:rsid w:val="00AE577E"/>
    <w:rsid w:val="00AF3621"/>
    <w:rsid w:val="00B12628"/>
    <w:rsid w:val="00B27A52"/>
    <w:rsid w:val="00B34F7D"/>
    <w:rsid w:val="00B45ECD"/>
    <w:rsid w:val="00B62E16"/>
    <w:rsid w:val="00B76588"/>
    <w:rsid w:val="00BA0B99"/>
    <w:rsid w:val="00BA0D77"/>
    <w:rsid w:val="00BB0F97"/>
    <w:rsid w:val="00BB34C1"/>
    <w:rsid w:val="00BB6588"/>
    <w:rsid w:val="00BE1358"/>
    <w:rsid w:val="00BE4B73"/>
    <w:rsid w:val="00BE68C0"/>
    <w:rsid w:val="00C12D47"/>
    <w:rsid w:val="00C15060"/>
    <w:rsid w:val="00C15A08"/>
    <w:rsid w:val="00C2604F"/>
    <w:rsid w:val="00C54B70"/>
    <w:rsid w:val="00C6653A"/>
    <w:rsid w:val="00C77D2E"/>
    <w:rsid w:val="00C83A22"/>
    <w:rsid w:val="00C96553"/>
    <w:rsid w:val="00CA2AF6"/>
    <w:rsid w:val="00CA66E9"/>
    <w:rsid w:val="00CB022D"/>
    <w:rsid w:val="00CB3493"/>
    <w:rsid w:val="00CB5F65"/>
    <w:rsid w:val="00CD51F4"/>
    <w:rsid w:val="00CD7AD3"/>
    <w:rsid w:val="00CE1C67"/>
    <w:rsid w:val="00CF3A78"/>
    <w:rsid w:val="00CF3B6A"/>
    <w:rsid w:val="00D046DB"/>
    <w:rsid w:val="00D30B28"/>
    <w:rsid w:val="00D4617C"/>
    <w:rsid w:val="00D614BB"/>
    <w:rsid w:val="00D906E0"/>
    <w:rsid w:val="00DA1CBF"/>
    <w:rsid w:val="00DA3708"/>
    <w:rsid w:val="00DB01A0"/>
    <w:rsid w:val="00DB0492"/>
    <w:rsid w:val="00DB0BAE"/>
    <w:rsid w:val="00DC14C6"/>
    <w:rsid w:val="00DC249F"/>
    <w:rsid w:val="00DC4596"/>
    <w:rsid w:val="00DD0D22"/>
    <w:rsid w:val="00DF3DBD"/>
    <w:rsid w:val="00DF7CB2"/>
    <w:rsid w:val="00E0387A"/>
    <w:rsid w:val="00E4173C"/>
    <w:rsid w:val="00E466EA"/>
    <w:rsid w:val="00E5004F"/>
    <w:rsid w:val="00E52F08"/>
    <w:rsid w:val="00E6531E"/>
    <w:rsid w:val="00EC0726"/>
    <w:rsid w:val="00ED4B4E"/>
    <w:rsid w:val="00EF0E92"/>
    <w:rsid w:val="00EF2DB4"/>
    <w:rsid w:val="00EF2E88"/>
    <w:rsid w:val="00EF46C6"/>
    <w:rsid w:val="00EF7525"/>
    <w:rsid w:val="00F10097"/>
    <w:rsid w:val="00F26CC8"/>
    <w:rsid w:val="00F33E0C"/>
    <w:rsid w:val="00F57C5B"/>
    <w:rsid w:val="00F61372"/>
    <w:rsid w:val="00F770A8"/>
    <w:rsid w:val="00F8709B"/>
    <w:rsid w:val="00FC03C5"/>
    <w:rsid w:val="00FC2723"/>
    <w:rsid w:val="00FC3535"/>
    <w:rsid w:val="00FC4AB6"/>
    <w:rsid w:val="00FC52FC"/>
    <w:rsid w:val="00FD3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908A3B"/>
  <w15:chartTrackingRefBased/>
  <w15:docId w15:val="{34086DBF-3C3E-465F-9D7E-137030998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61C5"/>
  </w:style>
  <w:style w:type="paragraph" w:styleId="Heading1">
    <w:name w:val="heading 1"/>
    <w:basedOn w:val="Normal"/>
    <w:link w:val="Heading1Char"/>
    <w:uiPriority w:val="9"/>
    <w:qFormat/>
    <w:rsid w:val="00FD3F2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61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1C5"/>
  </w:style>
  <w:style w:type="paragraph" w:styleId="Footer">
    <w:name w:val="footer"/>
    <w:basedOn w:val="Normal"/>
    <w:link w:val="FooterChar"/>
    <w:uiPriority w:val="99"/>
    <w:unhideWhenUsed/>
    <w:rsid w:val="000361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1C5"/>
  </w:style>
  <w:style w:type="paragraph" w:styleId="Title">
    <w:name w:val="Title"/>
    <w:basedOn w:val="Normal"/>
    <w:next w:val="Normal"/>
    <w:link w:val="TitleChar"/>
    <w:uiPriority w:val="10"/>
    <w:qFormat/>
    <w:rsid w:val="000361C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61C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D3F2B"/>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FD3F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7058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3585</TotalTime>
  <Pages>9</Pages>
  <Words>3354</Words>
  <Characters>19120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Cowley</dc:creator>
  <cp:keywords/>
  <dc:description/>
  <cp:lastModifiedBy>Matt Cowley</cp:lastModifiedBy>
  <cp:revision>230</cp:revision>
  <dcterms:created xsi:type="dcterms:W3CDTF">2019-12-02T18:02:00Z</dcterms:created>
  <dcterms:modified xsi:type="dcterms:W3CDTF">2019-12-20T19:02:00Z</dcterms:modified>
</cp:coreProperties>
</file>