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818CD" w14:textId="02A837CD" w:rsidR="00BE6A74" w:rsidRPr="00155054" w:rsidRDefault="00BE6A74" w:rsidP="00B42CFD">
      <w:pPr>
        <w:pStyle w:val="ListParagraph"/>
        <w:numPr>
          <w:ilvl w:val="0"/>
          <w:numId w:val="2"/>
        </w:numPr>
        <w:spacing w:after="0" w:line="276" w:lineRule="auto"/>
        <w:ind w:left="0"/>
        <w:jc w:val="both"/>
        <w:rPr>
          <w:rFonts w:eastAsia="Times New Roman" w:cs="Arial"/>
          <w:lang w:eastAsia="en-GB"/>
        </w:rPr>
      </w:pPr>
      <w:r w:rsidRPr="00155054">
        <w:rPr>
          <w:rFonts w:eastAsia="Times New Roman" w:cs="Arial"/>
          <w:b/>
          <w:bCs/>
          <w:lang w:eastAsia="en-GB"/>
        </w:rPr>
        <w:t>Maintaining Professional Standards</w:t>
      </w:r>
    </w:p>
    <w:p w14:paraId="768C2BE3" w14:textId="6B6CB803" w:rsidR="00BE6A74" w:rsidRPr="00155054" w:rsidRDefault="00BE6A74" w:rsidP="00B42CFD">
      <w:pPr>
        <w:spacing w:after="0" w:line="276" w:lineRule="auto"/>
        <w:jc w:val="both"/>
        <w:rPr>
          <w:rFonts w:eastAsia="Times New Roman" w:cs="Arial"/>
          <w:lang w:eastAsia="en-GB"/>
        </w:rPr>
      </w:pPr>
      <w:r w:rsidRPr="00155054">
        <w:rPr>
          <w:rFonts w:eastAsia="Times New Roman" w:cs="Arial"/>
          <w:lang w:eastAsia="en-GB"/>
        </w:rPr>
        <w:t>Critically examine policing policies and procedures (e.g. PACE, Code of Ethics, NDM, use of BWV) aimed at reducing misconduct and malpractice by police officers. How might these increase public confidence in the police?</w:t>
      </w:r>
    </w:p>
    <w:p w14:paraId="7A7CA53D"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Support your answer with relevant evidence drawn from academic sources.</w:t>
      </w:r>
    </w:p>
    <w:p w14:paraId="1ADC0614"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 xml:space="preserve">NB – to </w:t>
      </w:r>
      <w:r w:rsidRPr="00155054">
        <w:rPr>
          <w:rFonts w:eastAsia="Times New Roman" w:cs="Arial"/>
          <w:i/>
          <w:iCs/>
          <w:lang w:eastAsia="en-GB"/>
        </w:rPr>
        <w:t>critically examine</w:t>
      </w:r>
      <w:r w:rsidRPr="00155054">
        <w:rPr>
          <w:rFonts w:eastAsia="Times New Roman" w:cs="Arial"/>
          <w:lang w:eastAsia="en-GB"/>
        </w:rPr>
        <w:t xml:space="preserve"> is to give a balanced answer that points out weaknesses as well as favourable aspects of the topic in question. </w:t>
      </w:r>
    </w:p>
    <w:p w14:paraId="05E1FCEB" w14:textId="77777777" w:rsidR="00BE6A74" w:rsidRPr="00155054" w:rsidRDefault="00BE6A74" w:rsidP="00B42CFD">
      <w:pPr>
        <w:spacing w:after="0" w:line="276" w:lineRule="auto"/>
        <w:jc w:val="both"/>
        <w:rPr>
          <w:rFonts w:eastAsia="Times New Roman" w:cs="Arial"/>
          <w:lang w:eastAsia="en-GB"/>
        </w:rPr>
      </w:pPr>
      <w:r w:rsidRPr="00155054">
        <w:rPr>
          <w:rFonts w:eastAsia="Times New Roman" w:cs="Arial"/>
          <w:b/>
          <w:bCs/>
          <w:lang w:eastAsia="en-GB"/>
        </w:rPr>
        <w:t>Word limit:</w:t>
      </w:r>
      <w:r w:rsidRPr="00155054">
        <w:rPr>
          <w:rFonts w:eastAsia="Times New Roman" w:cs="Arial"/>
          <w:lang w:eastAsia="en-GB"/>
        </w:rPr>
        <w:t xml:space="preserve"> 1000 words.</w:t>
      </w:r>
    </w:p>
    <w:p w14:paraId="18CD7E92" w14:textId="77777777" w:rsidR="00BE6A74" w:rsidRPr="004F797D" w:rsidRDefault="00BE6A74" w:rsidP="00B42CFD">
      <w:pPr>
        <w:spacing w:after="0" w:line="276" w:lineRule="auto"/>
        <w:jc w:val="both"/>
        <w:rPr>
          <w:rFonts w:eastAsia="Times New Roman" w:cs="Arial"/>
          <w:color w:val="000000"/>
          <w:lang w:eastAsia="en-GB"/>
        </w:rPr>
      </w:pPr>
    </w:p>
    <w:p w14:paraId="6801BC1D" w14:textId="202ECE48" w:rsidR="008C3782" w:rsidRPr="004F797D" w:rsidRDefault="00C24AD6" w:rsidP="00B42CFD">
      <w:pPr>
        <w:overflowPunct w:val="0"/>
        <w:autoSpaceDE w:val="0"/>
        <w:autoSpaceDN w:val="0"/>
        <w:adjustRightInd w:val="0"/>
        <w:spacing w:after="0" w:line="276" w:lineRule="auto"/>
        <w:jc w:val="both"/>
        <w:textAlignment w:val="baseline"/>
        <w:rPr>
          <w:rFonts w:eastAsia="Times New Roman" w:cs="Arial"/>
          <w:color w:val="000000"/>
          <w:lang w:eastAsia="en-GB"/>
        </w:rPr>
      </w:pPr>
      <w:r w:rsidRPr="004F797D">
        <w:rPr>
          <w:rFonts w:eastAsia="Times New Roman" w:cs="Arial"/>
          <w:color w:val="000000"/>
          <w:lang w:eastAsia="en-GB"/>
        </w:rPr>
        <w:t>An analysis of police frameworks implemented to mitigate misconduct and enhance officer integrity underscores several significant instruments the Police and Criminal Evidence Act (PACE), the Code of Ethics, the National Decision-Making Model (NDM), and Body-Worn Video (BWV) technology.</w:t>
      </w:r>
    </w:p>
    <w:p w14:paraId="378C6565" w14:textId="77777777" w:rsidR="008C3782" w:rsidRPr="004F797D" w:rsidRDefault="008C3782" w:rsidP="00B42CFD">
      <w:pPr>
        <w:overflowPunct w:val="0"/>
        <w:autoSpaceDE w:val="0"/>
        <w:autoSpaceDN w:val="0"/>
        <w:adjustRightInd w:val="0"/>
        <w:spacing w:after="0" w:line="276" w:lineRule="auto"/>
        <w:jc w:val="both"/>
        <w:textAlignment w:val="baseline"/>
        <w:rPr>
          <w:rFonts w:eastAsia="Times New Roman" w:cs="Arial"/>
          <w:color w:val="000000"/>
          <w:lang w:eastAsia="en-GB"/>
        </w:rPr>
      </w:pPr>
    </w:p>
    <w:p w14:paraId="748AE978" w14:textId="40F8415F" w:rsidR="008C3782" w:rsidRPr="002E0E36" w:rsidRDefault="00196DF2" w:rsidP="00B42CFD">
      <w:pPr>
        <w:overflowPunct w:val="0"/>
        <w:autoSpaceDE w:val="0"/>
        <w:autoSpaceDN w:val="0"/>
        <w:adjustRightInd w:val="0"/>
        <w:spacing w:after="0" w:line="276" w:lineRule="auto"/>
        <w:jc w:val="both"/>
        <w:textAlignment w:val="baseline"/>
        <w:rPr>
          <w:rFonts w:eastAsia="Times New Roman" w:cs="Arial"/>
          <w:color w:val="000000"/>
          <w:lang w:eastAsia="en-GB"/>
        </w:rPr>
      </w:pPr>
      <w:r>
        <w:rPr>
          <w:rFonts w:eastAsia="Times New Roman" w:cs="Arial"/>
          <w:color w:val="000000"/>
          <w:lang w:eastAsia="en-GB"/>
        </w:rPr>
        <w:t>The purpose of these regulations is to enhance accountability and ethical conduct within law enforcement agencies. The Police and Criminal Evidence Act (PACE) establishes procedural safeguards, while the Code of Ethics delineates professional standards. Additionally, the National Decision</w:t>
      </w:r>
      <w:r w:rsidR="00380AE2">
        <w:rPr>
          <w:rFonts w:eastAsia="Times New Roman" w:cs="Arial"/>
          <w:color w:val="000000"/>
          <w:lang w:eastAsia="en-GB"/>
        </w:rPr>
        <w:t>-</w:t>
      </w:r>
      <w:r w:rsidR="00CC4FE6">
        <w:rPr>
          <w:rFonts w:eastAsia="Times New Roman" w:cs="Arial"/>
          <w:color w:val="000000"/>
          <w:lang w:eastAsia="en-GB"/>
        </w:rPr>
        <w:t>Making</w:t>
      </w:r>
      <w:r>
        <w:rPr>
          <w:rFonts w:eastAsia="Times New Roman" w:cs="Arial"/>
          <w:color w:val="000000"/>
          <w:lang w:eastAsia="en-GB"/>
        </w:rPr>
        <w:t xml:space="preserve"> Model (NDM) provides a systematic approach to decision-making. Body-Worn Video (BWV) technology enhances transparency by recording interactions between officers and the public. Ultimately, the effective integration of these strategies has the potential to cultivate greater public trust in policing and improve community relations. This underscores the importance of a balanced evaluation of their respective strengths and weaknesses</w:t>
      </w:r>
      <w:r w:rsidR="00312685">
        <w:rPr>
          <w:rFonts w:eastAsia="Times New Roman" w:cs="Arial"/>
          <w:color w:val="000000"/>
          <w:lang w:eastAsia="en-GB"/>
        </w:rPr>
        <w:t xml:space="preserve"> </w:t>
      </w:r>
      <w:r w:rsidR="00312685" w:rsidRPr="00B232CA">
        <w:rPr>
          <w:rFonts w:eastAsia="Times New Roman" w:cs="Arial"/>
          <w:lang w:eastAsia="en-GB"/>
        </w:rPr>
        <w:t>(College of Policing, 2013)</w:t>
      </w:r>
      <w:r w:rsidR="00312685">
        <w:rPr>
          <w:rFonts w:eastAsia="Times New Roman" w:cs="Arial"/>
          <w:lang w:eastAsia="en-GB"/>
        </w:rPr>
        <w:t>.</w:t>
      </w:r>
      <w:r w:rsidR="00EA5FE9">
        <w:rPr>
          <w:rFonts w:eastAsia="Times New Roman" w:cs="Arial"/>
          <w:lang w:eastAsia="en-GB"/>
        </w:rPr>
        <w:t xml:space="preserve"> </w:t>
      </w:r>
      <w:r w:rsidR="008C3782" w:rsidRPr="002E0E36">
        <w:rPr>
          <w:rFonts w:eastAsia="Times New Roman" w:cs="Arial"/>
          <w:color w:val="000000"/>
          <w:lang w:eastAsia="en-GB"/>
        </w:rPr>
        <w:t xml:space="preserve">A thorough evaluation of the frameworks and strategies used by police departments to curb misconduct and encourage ethical behaviour reveals critical components </w:t>
      </w:r>
      <w:r w:rsidR="004C03F4">
        <w:rPr>
          <w:rFonts w:eastAsia="Times New Roman" w:cs="Arial"/>
          <w:color w:val="000000"/>
          <w:lang w:eastAsia="en-GB"/>
        </w:rPr>
        <w:t xml:space="preserve">of </w:t>
      </w:r>
      <w:r w:rsidR="008C3782" w:rsidRPr="002E0E36">
        <w:rPr>
          <w:rFonts w:eastAsia="Times New Roman" w:cs="Arial"/>
          <w:color w:val="000000"/>
          <w:lang w:eastAsia="en-GB"/>
        </w:rPr>
        <w:t>PACE, the Code of Ethics, the NDM, and the use of BWV technology</w:t>
      </w:r>
      <w:r w:rsidR="00152367">
        <w:rPr>
          <w:rFonts w:eastAsia="Times New Roman" w:cs="Arial"/>
          <w:color w:val="000000"/>
          <w:lang w:eastAsia="en-GB"/>
        </w:rPr>
        <w:t xml:space="preserve"> </w:t>
      </w:r>
      <w:r w:rsidR="00152367" w:rsidRPr="00152367">
        <w:rPr>
          <w:rFonts w:eastAsia="Times New Roman" w:cs="Arial"/>
          <w:color w:val="000000"/>
          <w:lang w:eastAsia="en-GB"/>
        </w:rPr>
        <w:t>(Home Office, 2013)</w:t>
      </w:r>
      <w:r w:rsidR="008C3782" w:rsidRPr="002E0E36">
        <w:rPr>
          <w:rFonts w:eastAsia="Times New Roman" w:cs="Arial"/>
          <w:color w:val="000000"/>
          <w:lang w:eastAsia="en-GB"/>
        </w:rPr>
        <w:t>.</w:t>
      </w:r>
    </w:p>
    <w:p w14:paraId="74A4E533" w14:textId="77777777" w:rsidR="008C3782" w:rsidRPr="002E0E36" w:rsidRDefault="008C3782" w:rsidP="00B42CFD">
      <w:pPr>
        <w:overflowPunct w:val="0"/>
        <w:autoSpaceDE w:val="0"/>
        <w:autoSpaceDN w:val="0"/>
        <w:adjustRightInd w:val="0"/>
        <w:spacing w:after="0" w:line="276" w:lineRule="auto"/>
        <w:jc w:val="both"/>
        <w:textAlignment w:val="baseline"/>
        <w:rPr>
          <w:rFonts w:eastAsia="Times New Roman" w:cs="Arial"/>
          <w:color w:val="000000"/>
          <w:lang w:eastAsia="en-GB"/>
        </w:rPr>
      </w:pPr>
    </w:p>
    <w:p w14:paraId="36A8758C" w14:textId="323107D3" w:rsidR="008C3782"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The Police and Criminal Evidence Act (PACE) is fundamental in shaping law enforcement practices. Established in the early 1980s, it provides the legal framework governing police powers and criminal investigations in England and Wales. PACE outlines specific procedures for the detention, questioning, and treatment of suspects, ensuring officers comply with legal standards that protect individual rights. This act underscores the importance of fair and transparent investigations, forming the bedrock of lawful policing</w:t>
      </w:r>
      <w:r w:rsidR="000C168B">
        <w:rPr>
          <w:rFonts w:eastAsia="Times New Roman" w:cs="Arial"/>
          <w:lang w:eastAsia="en-GB"/>
        </w:rPr>
        <w:t xml:space="preserve"> </w:t>
      </w:r>
      <w:r w:rsidR="000C168B" w:rsidRPr="000C168B">
        <w:rPr>
          <w:rFonts w:eastAsia="Times New Roman" w:cs="Arial"/>
          <w:lang w:eastAsia="en-GB"/>
        </w:rPr>
        <w:t>(Ozin et al., 2019)</w:t>
      </w:r>
      <w:r w:rsidRPr="00155054">
        <w:rPr>
          <w:rFonts w:eastAsia="Times New Roman" w:cs="Arial"/>
          <w:lang w:eastAsia="en-GB"/>
        </w:rPr>
        <w:t>.</w:t>
      </w:r>
    </w:p>
    <w:p w14:paraId="4043F100" w14:textId="77777777" w:rsidR="00A029AF" w:rsidRDefault="00A029AF" w:rsidP="00B42CFD">
      <w:pPr>
        <w:overflowPunct w:val="0"/>
        <w:autoSpaceDE w:val="0"/>
        <w:autoSpaceDN w:val="0"/>
        <w:adjustRightInd w:val="0"/>
        <w:spacing w:after="0" w:line="276" w:lineRule="auto"/>
        <w:jc w:val="both"/>
        <w:textAlignment w:val="baseline"/>
        <w:rPr>
          <w:rFonts w:eastAsia="Times New Roman" w:cs="Arial"/>
          <w:lang w:eastAsia="en-GB"/>
        </w:rPr>
      </w:pPr>
    </w:p>
    <w:p w14:paraId="5ADEB42D" w14:textId="077D4E96" w:rsidR="00A029AF" w:rsidRDefault="00A029AF" w:rsidP="00B42CFD">
      <w:pPr>
        <w:jc w:val="both"/>
      </w:pPr>
      <w:r>
        <w:t xml:space="preserve">This publication offers comprehensive guidance on the Police and Criminal Evidence Act (PACE) 1984, which remains the primary statutory foundation for police duties and powers in England and Wales. The fifth edition incorporates all amendments to the Codes of Practice since the previous edition, as well as the complete text of the Act and its Codes. The explanatory chapters have been meticulously updated to reflect recent legislative changes, including the significant implications of the Policing and Crime Act 2017. </w:t>
      </w:r>
    </w:p>
    <w:p w14:paraId="2CB30A46" w14:textId="40D72268" w:rsidR="00A029AF" w:rsidRPr="0017522C" w:rsidRDefault="00A029AF" w:rsidP="00B42CFD">
      <w:pPr>
        <w:jc w:val="both"/>
      </w:pPr>
      <w:r>
        <w:t xml:space="preserve">Utilizing checklists, flowcharts, and illustrative examples, this resource provides invaluable assistance in understanding how the procedures and requirements of the Act apply to the common, everyday situations encountered by police officers and others engaged in the investigation of offenses </w:t>
      </w:r>
      <w:r w:rsidRPr="000C168B">
        <w:rPr>
          <w:rFonts w:eastAsia="Times New Roman" w:cs="Arial"/>
          <w:lang w:eastAsia="en-GB"/>
        </w:rPr>
        <w:t>(Ozin et al., 2019)</w:t>
      </w:r>
      <w:r>
        <w:t>.</w:t>
      </w:r>
    </w:p>
    <w:p w14:paraId="0D04E2EE" w14:textId="77777777" w:rsidR="008C3782" w:rsidRPr="00155054"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p>
    <w:p w14:paraId="6CC7AEDD" w14:textId="5B869B6A" w:rsidR="008C3782"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The Code of Ethics stands as a vital pillar of professional behaviour for police personnel. Created by the College of Policing, this code articulates the core principles and values expected of all officers, such as integrity, fairness, respect, and accountability</w:t>
      </w:r>
      <w:r w:rsidR="001F0BC5">
        <w:rPr>
          <w:rFonts w:eastAsia="Times New Roman" w:cs="Arial"/>
          <w:lang w:eastAsia="en-GB"/>
        </w:rPr>
        <w:t xml:space="preserve">. </w:t>
      </w:r>
      <w:r w:rsidRPr="00155054">
        <w:rPr>
          <w:rFonts w:eastAsia="Times New Roman" w:cs="Arial"/>
          <w:lang w:eastAsia="en-GB"/>
        </w:rPr>
        <w:t>It not only sets clear behavioural expectations but also encourages officers to self-regulate by reflecting on their actions in the context of public trust and community accountability</w:t>
      </w:r>
      <w:r w:rsidR="003F3A3C">
        <w:rPr>
          <w:rFonts w:eastAsia="Times New Roman" w:cs="Arial"/>
          <w:lang w:eastAsia="en-GB"/>
        </w:rPr>
        <w:t xml:space="preserve"> </w:t>
      </w:r>
      <w:r w:rsidR="003F3A3C" w:rsidRPr="003F3A3C">
        <w:rPr>
          <w:rFonts w:eastAsia="Times New Roman" w:cs="Arial"/>
          <w:lang w:eastAsia="en-GB"/>
        </w:rPr>
        <w:t>(College of Policing, 2024)</w:t>
      </w:r>
      <w:r w:rsidRPr="00155054">
        <w:rPr>
          <w:rFonts w:eastAsia="Times New Roman" w:cs="Arial"/>
          <w:lang w:eastAsia="en-GB"/>
        </w:rPr>
        <w:t>.</w:t>
      </w:r>
    </w:p>
    <w:p w14:paraId="7B0049C9" w14:textId="77777777" w:rsidR="004E7AF6" w:rsidRDefault="004E7AF6" w:rsidP="00B42CFD">
      <w:pPr>
        <w:overflowPunct w:val="0"/>
        <w:autoSpaceDE w:val="0"/>
        <w:autoSpaceDN w:val="0"/>
        <w:adjustRightInd w:val="0"/>
        <w:spacing w:after="0" w:line="276" w:lineRule="auto"/>
        <w:jc w:val="both"/>
        <w:textAlignment w:val="baseline"/>
        <w:rPr>
          <w:rFonts w:eastAsia="Times New Roman" w:cs="Arial"/>
          <w:lang w:eastAsia="en-GB"/>
        </w:rPr>
      </w:pPr>
    </w:p>
    <w:p w14:paraId="74ACC98A" w14:textId="757F3E12" w:rsidR="008C3782" w:rsidRPr="00184FB5" w:rsidRDefault="004E7AF6" w:rsidP="00184FB5">
      <w:pPr>
        <w:jc w:val="both"/>
      </w:pPr>
      <w:r>
        <w:t xml:space="preserve">Policing professionals are evaluated based on their ethical conduct, which must align with both legal standards and established ethical principles. The policing profession is committed to upholding high standards of integrity, which the public rightfully expects. This guidance delineates the expectations for ethical behaviour among all members of law enforcement, emphasizing essential areas crucial for sustaining public trust and legitimacy. </w:t>
      </w:r>
      <w:r>
        <w:lastRenderedPageBreak/>
        <w:t xml:space="preserve">While it cannot encompass every possible scenario, it serves to foster a positive workplace culture and promote sound professional decision-making. It is </w:t>
      </w:r>
      <w:r w:rsidR="001F0BC5">
        <w:t>essential</w:t>
      </w:r>
      <w:r>
        <w:t xml:space="preserve"> to clarify that the Code of Ethics does not dictate standards of conduct; </w:t>
      </w:r>
      <w:r w:rsidR="001F0BC5">
        <w:t>instead</w:t>
      </w:r>
      <w:r>
        <w:t>, these are established by Police Conduct Regulations and employment agreements</w:t>
      </w:r>
      <w:r w:rsidR="001F0BC5">
        <w:t xml:space="preserve"> </w:t>
      </w:r>
      <w:r w:rsidR="001F0BC5" w:rsidRPr="009A4EE9">
        <w:rPr>
          <w:rFonts w:eastAsia="Times New Roman" w:cs="Arial"/>
          <w:lang w:eastAsia="en-GB"/>
        </w:rPr>
        <w:t>(College Of Policing, 2024)</w:t>
      </w:r>
      <w:r>
        <w:t>.</w:t>
      </w:r>
    </w:p>
    <w:p w14:paraId="7B66D6CF" w14:textId="68BD9EEC" w:rsidR="008C3782"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The National Decision-Making Model (NDM) is another crucial element that supports effective policing. It equips officers with a systematic approach to making decisions in dynamic and often high-pressure situations. By guiding them through a logical assessment of facts, potential options, and the consequences of their actions, the NDM encourages a thoughtful decision-making process, especially in scenarios where public safety must be balanced against individual rights</w:t>
      </w:r>
      <w:r w:rsidR="00B232CA">
        <w:rPr>
          <w:rFonts w:eastAsia="Times New Roman" w:cs="Arial"/>
          <w:lang w:eastAsia="en-GB"/>
        </w:rPr>
        <w:t xml:space="preserve"> </w:t>
      </w:r>
      <w:r w:rsidR="00B232CA" w:rsidRPr="00B232CA">
        <w:rPr>
          <w:rFonts w:eastAsia="Times New Roman" w:cs="Arial"/>
          <w:lang w:eastAsia="en-GB"/>
        </w:rPr>
        <w:t>(College of Policing, 2013)</w:t>
      </w:r>
      <w:r w:rsidR="00B232CA">
        <w:rPr>
          <w:rFonts w:eastAsia="Times New Roman" w:cs="Arial"/>
          <w:lang w:eastAsia="en-GB"/>
        </w:rPr>
        <w:t>.</w:t>
      </w:r>
    </w:p>
    <w:p w14:paraId="2048DA06" w14:textId="77777777" w:rsidR="00386001" w:rsidRDefault="00386001" w:rsidP="00B42CFD">
      <w:pPr>
        <w:overflowPunct w:val="0"/>
        <w:autoSpaceDE w:val="0"/>
        <w:autoSpaceDN w:val="0"/>
        <w:adjustRightInd w:val="0"/>
        <w:spacing w:after="0" w:line="276" w:lineRule="auto"/>
        <w:jc w:val="both"/>
        <w:textAlignment w:val="baseline"/>
        <w:rPr>
          <w:rFonts w:eastAsia="Times New Roman" w:cs="Arial"/>
          <w:lang w:eastAsia="en-GB"/>
        </w:rPr>
      </w:pPr>
    </w:p>
    <w:p w14:paraId="0C2A39BA" w14:textId="0AB2A7AE" w:rsidR="00A05ADC" w:rsidRDefault="00A05ADC" w:rsidP="00B42CFD">
      <w:pPr>
        <w:jc w:val="both"/>
      </w:pPr>
      <w:r>
        <w:t>Defensible decision-making is essential for effective governance, especially in high-stakes situations. The National Decision Model (NDM) offers organizations a strong framework for effectively addressing both operational challenges and policy matters with clarity, consistency, and accountability.</w:t>
      </w:r>
    </w:p>
    <w:p w14:paraId="5529734C" w14:textId="2FB172C9" w:rsidR="00A05ADC" w:rsidRPr="00236232" w:rsidRDefault="00A05ADC" w:rsidP="00B42CFD">
      <w:pPr>
        <w:jc w:val="both"/>
      </w:pPr>
      <w:r>
        <w:t>By following the principles of the NDM, decision-makers can preserve the integrity of their choices while building public trust and confidence in the system.</w:t>
      </w:r>
      <w:r w:rsidR="00E840F7">
        <w:t xml:space="preserve"> </w:t>
      </w:r>
      <w:r>
        <w:t>Signature Brand Training &amp; Consultancy provides various courses on Defensible Decision Making and the NDM. These courses are taught by specialists who have experience making decisions in operational situations, including Senior Investigating Officers, Negotiators, and Covert Managers. This expertise allows them to teach how to utilize the NDM effectively, delivering high-quality training that instils confidence in making defensible decisions</w:t>
      </w:r>
      <w:r w:rsidR="00E840F7">
        <w:t xml:space="preserve"> </w:t>
      </w:r>
      <w:r w:rsidR="00E840F7" w:rsidRPr="00B232CA">
        <w:rPr>
          <w:rFonts w:eastAsia="Times New Roman" w:cs="Arial"/>
          <w:lang w:eastAsia="en-GB"/>
        </w:rPr>
        <w:t>(College of Policing, 2013)</w:t>
      </w:r>
      <w:r w:rsidR="00E840F7">
        <w:rPr>
          <w:rFonts w:eastAsia="Times New Roman" w:cs="Arial"/>
          <w:lang w:eastAsia="en-GB"/>
        </w:rPr>
        <w:t>.</w:t>
      </w:r>
    </w:p>
    <w:p w14:paraId="360A7C8E" w14:textId="0C693112" w:rsidR="00B30648" w:rsidRDefault="008C3782" w:rsidP="007537E1">
      <w:pPr>
        <w:overflowPunct w:val="0"/>
        <w:autoSpaceDE w:val="0"/>
        <w:autoSpaceDN w:val="0"/>
        <w:adjustRightInd w:val="0"/>
        <w:spacing w:after="0" w:line="276" w:lineRule="auto"/>
        <w:jc w:val="both"/>
        <w:textAlignment w:val="baseline"/>
      </w:pPr>
      <w:r w:rsidRPr="00155054">
        <w:rPr>
          <w:rFonts w:eastAsia="Times New Roman" w:cs="Arial"/>
          <w:lang w:eastAsia="en-GB"/>
        </w:rPr>
        <w:t>The incorporation of Body-Worn Video (BWV) technology marks a significant advancement in promoting accountability and transparency in law enforcement. By outfitting officers with cameras to document their interactions with the public, BWV not only provides an objective account of events but also acts as a deterrent against possible misconduct. The footage generated can serve as a valuable resource for training, internal investigations, and legal proceedings, ensuring accurate documentation of interactions.</w:t>
      </w:r>
      <w:r w:rsidR="007537E1">
        <w:rPr>
          <w:rFonts w:eastAsia="Times New Roman" w:cs="Arial"/>
          <w:lang w:eastAsia="en-GB"/>
        </w:rPr>
        <w:t xml:space="preserve"> </w:t>
      </w:r>
      <w:r w:rsidR="00B30648">
        <w:t>The use of body-worn video (BWV) in police forces across England and Wales has been established for some time, with generally positive evaluations. However, there's limited evidence on how BWV affects the everyday behaviours of police officers. This article focuses on its impacts within one police force in England, highlighting both positive outcomes and concerns about privacy and surveillance.</w:t>
      </w:r>
    </w:p>
    <w:p w14:paraId="322BB3FE" w14:textId="77777777" w:rsidR="007537E1" w:rsidRDefault="007537E1" w:rsidP="007537E1">
      <w:pPr>
        <w:overflowPunct w:val="0"/>
        <w:autoSpaceDE w:val="0"/>
        <w:autoSpaceDN w:val="0"/>
        <w:adjustRightInd w:val="0"/>
        <w:spacing w:after="0" w:line="276" w:lineRule="auto"/>
        <w:jc w:val="both"/>
        <w:textAlignment w:val="baseline"/>
      </w:pPr>
    </w:p>
    <w:p w14:paraId="33D7E6CF" w14:textId="77777777" w:rsidR="00B30648" w:rsidRDefault="00B30648" w:rsidP="00B42CFD">
      <w:pPr>
        <w:jc w:val="both"/>
      </w:pPr>
      <w:r>
        <w:t>BWV technology is used not only in England and Wales but also in countries like the United States, Spain, India, and France, with others like Australia and Belgium considering its implementation. Benefits noted include improved citizen behaviour, increased police cooperation, reduced use-of-force incidents, and fewer complaints. Yet, some research indicates a potential increase in assaults on officers and minimal impact on civilian complaints.</w:t>
      </w:r>
    </w:p>
    <w:p w14:paraId="6258EC89" w14:textId="6206F45C" w:rsidR="00B30648" w:rsidRPr="0043440A" w:rsidRDefault="00B30648" w:rsidP="00B42CFD">
      <w:pPr>
        <w:jc w:val="both"/>
      </w:pPr>
      <w:r>
        <w:t>Public perception of BWV is generally favourable, while police officers display mixed feelings. Some studies show that officers, like those in Florida, may adopt less intrusive methods when using BWV but remain sceptical about its effectiveness. This article adds to the literature by discussing BWV's positive impacts on policing and examining its effects on officer behaviour in one English police force</w:t>
      </w:r>
      <w:r w:rsidR="006810B0">
        <w:t xml:space="preserve"> </w:t>
      </w:r>
      <w:r w:rsidR="006810B0" w:rsidRPr="006810B0">
        <w:t> (Harrison, L’Hoiry and Santorso, 2021)</w:t>
      </w:r>
      <w:r>
        <w:t>.</w:t>
      </w:r>
    </w:p>
    <w:p w14:paraId="0D058572" w14:textId="77777777" w:rsidR="00C87A18" w:rsidRPr="00155054" w:rsidRDefault="00C87A18" w:rsidP="00B42CFD">
      <w:pPr>
        <w:overflowPunct w:val="0"/>
        <w:autoSpaceDE w:val="0"/>
        <w:autoSpaceDN w:val="0"/>
        <w:adjustRightInd w:val="0"/>
        <w:spacing w:after="0" w:line="276" w:lineRule="auto"/>
        <w:jc w:val="both"/>
        <w:textAlignment w:val="baseline"/>
        <w:rPr>
          <w:rFonts w:eastAsia="Times New Roman" w:cs="Arial"/>
          <w:lang w:eastAsia="en-GB"/>
        </w:rPr>
      </w:pPr>
    </w:p>
    <w:p w14:paraId="2E760621" w14:textId="6DEE6E2E" w:rsidR="008C3782" w:rsidRPr="00155054"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While these measures are well-intended, it’s essential to recognize their limitations. Critiques often point out concerns like insufficient training in the implementation of these policies, inconsistencies in enforcement, and organizational cultures that may unintentionally condone unethical behaviour. Furthermore, the use of BWV raises privacy issues regarding the storage and use of recordings, necessitating robust policies to safeguard individuals' rights while balancing the need for transparency.</w:t>
      </w:r>
    </w:p>
    <w:p w14:paraId="2C510684" w14:textId="77777777" w:rsidR="008C3782" w:rsidRPr="00155054"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p>
    <w:p w14:paraId="5EDDEA0D" w14:textId="583570CF" w:rsidR="00BE6A74" w:rsidRPr="00155054"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 xml:space="preserve">When these frameworks are implemented effectively, they can significantly bolster public confidence in policing. Clear guidelines and oversight mechanisms reassure communities that law enforcement agencies are committed to ethical conduct and accountability. This, in turn, nurtures safer environments and strengthens the </w:t>
      </w:r>
      <w:r w:rsidRPr="00155054">
        <w:rPr>
          <w:rFonts w:eastAsia="Times New Roman" w:cs="Arial"/>
          <w:lang w:eastAsia="en-GB"/>
        </w:rPr>
        <w:lastRenderedPageBreak/>
        <w:t>relationship between law enforcement and the communities they serve. Therefore, a detailed assessment of both the strengths and weaknesses of these policing strategies is crucial for identifying areas needing improvement and ensuring alignment with the evolving expectations of the communities they aim to protect.</w:t>
      </w:r>
    </w:p>
    <w:p w14:paraId="4E19BCAE" w14:textId="77777777" w:rsidR="00BE6A74" w:rsidRPr="00155054" w:rsidRDefault="00BE6A74" w:rsidP="00B42CFD">
      <w:pPr>
        <w:spacing w:after="0" w:line="276" w:lineRule="auto"/>
        <w:jc w:val="both"/>
        <w:rPr>
          <w:rFonts w:eastAsia="Times New Roman" w:cs="Arial"/>
          <w:lang w:eastAsia="en-GB"/>
        </w:rPr>
      </w:pPr>
    </w:p>
    <w:p w14:paraId="70CEDD41" w14:textId="77777777" w:rsidR="00155054" w:rsidRPr="00155054" w:rsidRDefault="00155054" w:rsidP="00B42CFD">
      <w:pPr>
        <w:tabs>
          <w:tab w:val="left" w:pos="1995"/>
        </w:tabs>
        <w:spacing w:after="0" w:line="276" w:lineRule="auto"/>
        <w:jc w:val="both"/>
        <w:rPr>
          <w:rFonts w:eastAsia="Times New Roman" w:cs="Arial"/>
          <w:lang w:eastAsia="en-GB"/>
        </w:rPr>
      </w:pPr>
    </w:p>
    <w:p w14:paraId="2C4E861A" w14:textId="77777777" w:rsidR="00BE6A74" w:rsidRPr="00155054" w:rsidRDefault="00BE6A74" w:rsidP="00B42CFD">
      <w:pPr>
        <w:spacing w:after="0" w:line="276" w:lineRule="auto"/>
        <w:jc w:val="both"/>
        <w:rPr>
          <w:rFonts w:eastAsia="Times New Roman" w:cs="Arial"/>
          <w:lang w:eastAsia="en-GB"/>
        </w:rPr>
      </w:pPr>
    </w:p>
    <w:p w14:paraId="67DADB8D" w14:textId="4AC3E51C" w:rsidR="00BE6A74" w:rsidRPr="00155054" w:rsidRDefault="00BE6A74" w:rsidP="00B42CFD">
      <w:pPr>
        <w:pStyle w:val="ListParagraph"/>
        <w:numPr>
          <w:ilvl w:val="0"/>
          <w:numId w:val="2"/>
        </w:numPr>
        <w:spacing w:after="0" w:line="276" w:lineRule="auto"/>
        <w:ind w:left="0"/>
        <w:jc w:val="both"/>
        <w:rPr>
          <w:rFonts w:eastAsia="Times New Roman" w:cs="Arial"/>
          <w:b/>
          <w:bCs/>
          <w:lang w:eastAsia="en-GB"/>
        </w:rPr>
      </w:pPr>
      <w:r w:rsidRPr="00155054">
        <w:rPr>
          <w:rFonts w:eastAsia="Times New Roman" w:cs="Arial"/>
          <w:b/>
          <w:bCs/>
          <w:lang w:eastAsia="en-GB"/>
        </w:rPr>
        <w:t>Public Protection</w:t>
      </w:r>
    </w:p>
    <w:p w14:paraId="52258E8E" w14:textId="77777777" w:rsidR="00BE6A74" w:rsidRPr="00155054" w:rsidRDefault="00BE6A74" w:rsidP="00B42CFD">
      <w:pPr>
        <w:spacing w:after="0" w:line="276" w:lineRule="auto"/>
        <w:jc w:val="both"/>
        <w:rPr>
          <w:rFonts w:eastAsia="Times New Roman" w:cs="Arial"/>
          <w:lang w:eastAsia="en-GB"/>
        </w:rPr>
      </w:pPr>
      <w:r w:rsidRPr="00155054">
        <w:rPr>
          <w:rFonts w:eastAsia="Times New Roman" w:cs="Arial"/>
          <w:lang w:eastAsia="en-GB"/>
        </w:rPr>
        <w:t xml:space="preserve">What characteristics (socio-economic, psychological etc.) can make a person vulnerable to exploitation to criminal gangs? </w:t>
      </w:r>
    </w:p>
    <w:p w14:paraId="05DAD1BB"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Your answer must be based on academic research.</w:t>
      </w:r>
    </w:p>
    <w:p w14:paraId="36AC94E1" w14:textId="77777777" w:rsidR="00BE6A74" w:rsidRPr="00155054" w:rsidRDefault="00BE6A74" w:rsidP="00B42CFD">
      <w:pPr>
        <w:spacing w:after="0" w:line="276" w:lineRule="auto"/>
        <w:jc w:val="both"/>
        <w:rPr>
          <w:rFonts w:eastAsia="Times New Roman" w:cs="Arial"/>
          <w:lang w:eastAsia="en-GB"/>
        </w:rPr>
      </w:pPr>
      <w:r w:rsidRPr="00155054">
        <w:rPr>
          <w:rFonts w:eastAsia="Times New Roman" w:cs="Arial"/>
          <w:b/>
          <w:bCs/>
          <w:lang w:eastAsia="en-GB"/>
        </w:rPr>
        <w:t xml:space="preserve">Word limit: </w:t>
      </w:r>
      <w:r w:rsidRPr="00155054">
        <w:rPr>
          <w:rFonts w:eastAsia="Times New Roman" w:cs="Arial"/>
          <w:lang w:eastAsia="en-GB"/>
        </w:rPr>
        <w:t>1000 words.</w:t>
      </w:r>
    </w:p>
    <w:p w14:paraId="2D391539" w14:textId="77777777" w:rsidR="008C3782" w:rsidRPr="00743D42" w:rsidRDefault="008C3782" w:rsidP="00B42CFD">
      <w:pPr>
        <w:spacing w:after="0" w:line="276" w:lineRule="auto"/>
        <w:jc w:val="both"/>
        <w:rPr>
          <w:rFonts w:eastAsia="Times New Roman" w:cs="Arial"/>
          <w:color w:val="000000"/>
          <w:lang w:eastAsia="en-GB"/>
        </w:rPr>
      </w:pPr>
    </w:p>
    <w:p w14:paraId="69F9FAD8" w14:textId="1376095E" w:rsidR="00D2618D" w:rsidRDefault="008C3782" w:rsidP="00B42CFD">
      <w:pPr>
        <w:spacing w:after="0" w:line="276" w:lineRule="auto"/>
        <w:jc w:val="both"/>
        <w:rPr>
          <w:rFonts w:eastAsia="Times New Roman" w:cs="Arial"/>
          <w:color w:val="000000"/>
          <w:lang w:eastAsia="en-GB"/>
        </w:rPr>
      </w:pPr>
      <w:r w:rsidRPr="00743D42">
        <w:rPr>
          <w:rFonts w:eastAsia="Times New Roman" w:cs="Arial"/>
          <w:color w:val="000000"/>
          <w:lang w:eastAsia="en-GB"/>
        </w:rPr>
        <w:t>The Socio-Economic Factors Contributing to Vulnerability to Criminal Gangs</w:t>
      </w:r>
      <w:r w:rsidR="0015305F" w:rsidRPr="00743D42">
        <w:rPr>
          <w:rFonts w:eastAsia="Times New Roman" w:cs="Arial"/>
          <w:color w:val="000000"/>
          <w:lang w:eastAsia="en-GB"/>
        </w:rPr>
        <w:t xml:space="preserve">. </w:t>
      </w:r>
      <w:r w:rsidRPr="00743D42">
        <w:rPr>
          <w:rFonts w:eastAsia="Times New Roman" w:cs="Arial"/>
          <w:color w:val="000000"/>
          <w:lang w:eastAsia="en-GB"/>
        </w:rPr>
        <w:t>This essay examine</w:t>
      </w:r>
      <w:r w:rsidR="00743D42">
        <w:rPr>
          <w:rFonts w:eastAsia="Times New Roman" w:cs="Arial"/>
          <w:color w:val="000000"/>
          <w:lang w:eastAsia="en-GB"/>
        </w:rPr>
        <w:t>s</w:t>
      </w:r>
      <w:r w:rsidRPr="00743D42">
        <w:rPr>
          <w:rFonts w:eastAsia="Times New Roman" w:cs="Arial"/>
          <w:color w:val="000000"/>
          <w:lang w:eastAsia="en-GB"/>
        </w:rPr>
        <w:t xml:space="preserve"> how low socio-economic status, lack of education, and limited employment opportunities increase an individual's susceptibility to gang involvement.</w:t>
      </w:r>
      <w:r w:rsidRPr="002A6210">
        <w:rPr>
          <w:rFonts w:eastAsia="Times New Roman" w:cs="Arial"/>
          <w:color w:val="000000"/>
          <w:lang w:eastAsia="en-GB"/>
        </w:rPr>
        <w:t xml:space="preserve"> It could also explore the relationship between poverty and the desperation for financial security that leads some to seek acceptance or employment in gangs.</w:t>
      </w:r>
    </w:p>
    <w:p w14:paraId="128BF057" w14:textId="77777777" w:rsidR="002406CC" w:rsidRPr="002A6210" w:rsidRDefault="002406CC" w:rsidP="00B42CFD">
      <w:pPr>
        <w:spacing w:after="0" w:line="276" w:lineRule="auto"/>
        <w:jc w:val="both"/>
        <w:rPr>
          <w:rFonts w:eastAsia="Times New Roman" w:cs="Arial"/>
          <w:color w:val="000000"/>
          <w:lang w:eastAsia="en-GB"/>
        </w:rPr>
      </w:pPr>
    </w:p>
    <w:p w14:paraId="62B7980E" w14:textId="77777777" w:rsidR="00D2618D" w:rsidRPr="002A6210" w:rsidRDefault="00D2618D" w:rsidP="00D2618D">
      <w:pPr>
        <w:rPr>
          <w:color w:val="000000"/>
        </w:rPr>
      </w:pPr>
      <w:r w:rsidRPr="002A6210">
        <w:rPr>
          <w:color w:val="000000"/>
        </w:rPr>
        <w:t>These findings underscore the importance of exploring individual differences in the cognitive processes related to gang involvement, highlighting the complexity of factors that contribute to youth delinquency.</w:t>
      </w:r>
    </w:p>
    <w:p w14:paraId="385131D2" w14:textId="3852D019" w:rsidR="00D2618D" w:rsidRPr="00C06870" w:rsidRDefault="00D2618D" w:rsidP="00D2618D">
      <w:pPr>
        <w:spacing w:after="0" w:line="276" w:lineRule="auto"/>
        <w:jc w:val="both"/>
        <w:rPr>
          <w:rFonts w:eastAsia="Times New Roman" w:cs="Arial"/>
          <w:color w:val="000000"/>
          <w:lang w:eastAsia="en-GB"/>
        </w:rPr>
      </w:pPr>
      <w:r w:rsidRPr="002A6210">
        <w:rPr>
          <w:rFonts w:eastAsia="Times New Roman" w:cs="Arial"/>
          <w:color w:val="000000"/>
          <w:lang w:eastAsia="en-GB"/>
        </w:rPr>
        <w:t>The Role of Family Dynamics in Vulnerability to Gang Exploitation.</w:t>
      </w:r>
      <w:r w:rsidRPr="00C06870">
        <w:rPr>
          <w:rFonts w:eastAsia="Times New Roman" w:cs="Arial"/>
          <w:color w:val="000000"/>
          <w:lang w:eastAsia="en-GB"/>
        </w:rPr>
        <w:t xml:space="preserve"> This topic could focus on how dysfunctional family environments, including neglect or abuse, contribute to an individual’s likelihood of joining gangs. The essay also </w:t>
      </w:r>
      <w:r w:rsidR="002406CC">
        <w:rPr>
          <w:rFonts w:eastAsia="Times New Roman" w:cs="Arial"/>
          <w:color w:val="000000"/>
          <w:lang w:eastAsia="en-GB"/>
        </w:rPr>
        <w:t>explores</w:t>
      </w:r>
      <w:r w:rsidRPr="00C06870">
        <w:rPr>
          <w:rFonts w:eastAsia="Times New Roman" w:cs="Arial"/>
          <w:color w:val="000000"/>
          <w:lang w:eastAsia="en-GB"/>
        </w:rPr>
        <w:t xml:space="preserve"> how the absence of supportive familial relationships can lead individuals to seek out gangs as a form of family or protection.</w:t>
      </w:r>
    </w:p>
    <w:p w14:paraId="1CC28E58" w14:textId="77777777" w:rsidR="00B42CFD" w:rsidRPr="00053307" w:rsidRDefault="00B42CFD" w:rsidP="00B42CFD">
      <w:pPr>
        <w:spacing w:after="0" w:line="276" w:lineRule="auto"/>
        <w:jc w:val="both"/>
        <w:rPr>
          <w:rFonts w:eastAsia="Times New Roman" w:cs="Arial"/>
          <w:color w:val="000000"/>
          <w:lang w:eastAsia="en-GB"/>
        </w:rPr>
      </w:pPr>
    </w:p>
    <w:p w14:paraId="40DE7585" w14:textId="36060C5A" w:rsidR="00B42CFD" w:rsidRPr="005D049C" w:rsidRDefault="00740E43" w:rsidP="00B42CFD">
      <w:pPr>
        <w:jc w:val="both"/>
        <w:rPr>
          <w:color w:val="000000"/>
        </w:rPr>
      </w:pPr>
      <w:r>
        <w:rPr>
          <w:color w:val="000000"/>
        </w:rPr>
        <w:t>Firstly t</w:t>
      </w:r>
      <w:r w:rsidR="003D7C91" w:rsidRPr="00053307">
        <w:rPr>
          <w:color w:val="000000"/>
        </w:rPr>
        <w:t>he concept of vulnerability is fundamental across various academic disciplines, providing a critical framework for examining the complexities of social and economic disparities. This multifaceted term is extensively applied in fields such as sociology, public health, geography, and disaster studies. Vulnerability typically refers to individuals or groups who face an elevated risk of experiencing losses, whether those losses are economic, social, or related to health.</w:t>
      </w:r>
      <w:r w:rsidR="003D7C91" w:rsidRPr="005D049C">
        <w:rPr>
          <w:color w:val="000000"/>
        </w:rPr>
        <w:t xml:space="preserve"> A consensus among researchers indicates that vulnerability is predominantly a socially constructed phenomenon influenced by systemic inequalities and socio-political contexts</w:t>
      </w:r>
      <w:r w:rsidR="00A72492">
        <w:rPr>
          <w:color w:val="000000"/>
        </w:rPr>
        <w:t xml:space="preserve"> </w:t>
      </w:r>
      <w:r w:rsidR="00A72492" w:rsidRPr="00A72492">
        <w:rPr>
          <w:color w:val="000000"/>
        </w:rPr>
        <w:t xml:space="preserve">(Numans et al., </w:t>
      </w:r>
      <w:r w:rsidR="00A72492" w:rsidRPr="003B0F29">
        <w:t>2020)</w:t>
      </w:r>
      <w:r w:rsidR="00A72492">
        <w:t>.</w:t>
      </w:r>
    </w:p>
    <w:p w14:paraId="1E62AB19" w14:textId="0BF97087" w:rsidR="003D7C91" w:rsidRPr="00361231" w:rsidRDefault="003D7C91" w:rsidP="00B42CFD">
      <w:pPr>
        <w:jc w:val="both"/>
        <w:rPr>
          <w:color w:val="000000"/>
        </w:rPr>
      </w:pPr>
      <w:r w:rsidRPr="007B5451">
        <w:rPr>
          <w:color w:val="000000"/>
        </w:rPr>
        <w:t>The review indicates that the notion of socio-economic vulnerability is rooted in a political-economic framework</w:t>
      </w:r>
      <w:r w:rsidR="00425060" w:rsidRPr="007B5451">
        <w:rPr>
          <w:color w:val="000000"/>
        </w:rPr>
        <w:t>. It posits</w:t>
      </w:r>
      <w:r w:rsidRPr="007B5451">
        <w:rPr>
          <w:color w:val="000000"/>
        </w:rPr>
        <w:t xml:space="preserve"> that individuals' vulnerability is intrinsically connected to broader socio-political conditions and their restricted access to essential resources.</w:t>
      </w:r>
      <w:r w:rsidRPr="00361231">
        <w:rPr>
          <w:color w:val="000000"/>
        </w:rPr>
        <w:t xml:space="preserve"> </w:t>
      </w:r>
      <w:r w:rsidR="007E2370" w:rsidRPr="00361231">
        <w:rPr>
          <w:color w:val="000000"/>
        </w:rPr>
        <w:t>(Biswas, 2023).</w:t>
      </w:r>
    </w:p>
    <w:p w14:paraId="2AC480DB" w14:textId="505DDD9D" w:rsidR="003D7C91" w:rsidRPr="00DE47FC" w:rsidRDefault="003D7C91" w:rsidP="00B42CFD">
      <w:pPr>
        <w:jc w:val="both"/>
        <w:rPr>
          <w:color w:val="000000"/>
        </w:rPr>
      </w:pPr>
      <w:r w:rsidRPr="00361231">
        <w:rPr>
          <w:color w:val="000000"/>
        </w:rPr>
        <w:t>Additionally, the paper highlights key figures who have been influential in this field, tracing the theoretical evolution of socio-economic vulnerability informed by empirical evidence.</w:t>
      </w:r>
      <w:r w:rsidRPr="00A72492">
        <w:rPr>
          <w:color w:val="000000"/>
        </w:rPr>
        <w:t xml:space="preserve"> It also assesses the predominant methodologies utilized in studying this concept. The findings reveal a significant reliance on quantitative approaches and index-based methods, which have proven instrumental in measuring vulnerability and enabling comparative analyses across diverse contexts</w:t>
      </w:r>
      <w:r w:rsidR="003B0F29" w:rsidRPr="00A72492">
        <w:rPr>
          <w:color w:val="000000"/>
        </w:rPr>
        <w:t xml:space="preserve"> (Numans et al., </w:t>
      </w:r>
      <w:r w:rsidR="003B0F29" w:rsidRPr="003B0F29">
        <w:t>2020)</w:t>
      </w:r>
      <w:r>
        <w:t>.</w:t>
      </w:r>
    </w:p>
    <w:p w14:paraId="1BE15A86" w14:textId="76B971A1" w:rsidR="00D91EE6" w:rsidRPr="00CF1005" w:rsidRDefault="003D7C91" w:rsidP="00A733E5">
      <w:pPr>
        <w:jc w:val="both"/>
        <w:rPr>
          <w:color w:val="000000"/>
        </w:rPr>
      </w:pPr>
      <w:r w:rsidRPr="00DE47FC">
        <w:rPr>
          <w:color w:val="000000"/>
        </w:rPr>
        <w:t>Particularly, research focusing on India identifies the eastern region of the country as the most vulnerable area, reflecting the interplay between local socio-economic conditions and broader systemic issues.</w:t>
      </w:r>
      <w:r w:rsidRPr="00CF1005">
        <w:rPr>
          <w:color w:val="000000"/>
        </w:rPr>
        <w:t xml:space="preserve"> The paper ultimately advocates for methodological innovations in future research, suggesting that the incorporation of qualitative and mixed-method approaches could enhance our understanding of socio-economic vulnerability by capturing the lived experiences of affected populations and offering a more nuanced perspective on resilience and adaptation strategies</w:t>
      </w:r>
      <w:r w:rsidR="00403037" w:rsidRPr="00CF1005">
        <w:rPr>
          <w:color w:val="000000"/>
        </w:rPr>
        <w:t xml:space="preserve"> </w:t>
      </w:r>
      <w:r w:rsidR="001E52D8" w:rsidRPr="00CF1005">
        <w:rPr>
          <w:color w:val="000000"/>
        </w:rPr>
        <w:t>(Handa, n.d.</w:t>
      </w:r>
      <w:r w:rsidR="00CE50A8" w:rsidRPr="00CF1005">
        <w:rPr>
          <w:color w:val="000000"/>
        </w:rPr>
        <w:t>, 2025</w:t>
      </w:r>
      <w:r w:rsidR="001E52D8" w:rsidRPr="00CF1005">
        <w:rPr>
          <w:color w:val="000000"/>
        </w:rPr>
        <w:t>).</w:t>
      </w:r>
    </w:p>
    <w:p w14:paraId="3B7FD2E2" w14:textId="77777777" w:rsidR="00851247" w:rsidRPr="00CF1005" w:rsidRDefault="00851247" w:rsidP="00B42CFD">
      <w:pPr>
        <w:spacing w:after="0" w:line="276" w:lineRule="auto"/>
        <w:jc w:val="both"/>
        <w:rPr>
          <w:rFonts w:eastAsia="Times New Roman" w:cs="Arial"/>
          <w:color w:val="000000"/>
          <w:lang w:eastAsia="en-GB"/>
        </w:rPr>
      </w:pPr>
    </w:p>
    <w:p w14:paraId="2412A60E" w14:textId="17195288" w:rsidR="008C3782" w:rsidRPr="00CF1005" w:rsidRDefault="00740E43" w:rsidP="00B42CFD">
      <w:pPr>
        <w:spacing w:after="0" w:line="276" w:lineRule="auto"/>
        <w:jc w:val="both"/>
        <w:rPr>
          <w:rFonts w:eastAsia="Times New Roman" w:cs="Arial"/>
          <w:color w:val="000000"/>
          <w:lang w:eastAsia="en-GB"/>
        </w:rPr>
      </w:pPr>
      <w:r>
        <w:rPr>
          <w:rFonts w:eastAsia="Times New Roman" w:cs="Arial"/>
          <w:color w:val="000000"/>
          <w:lang w:eastAsia="en-GB"/>
        </w:rPr>
        <w:t>Secondly t</w:t>
      </w:r>
      <w:r w:rsidR="008C3782" w:rsidRPr="00CF1005">
        <w:rPr>
          <w:rFonts w:eastAsia="Times New Roman" w:cs="Arial"/>
          <w:color w:val="000000"/>
          <w:lang w:eastAsia="en-GB"/>
        </w:rPr>
        <w:t>he Psychological Traits of Individuals Exploited by Criminal Gangs</w:t>
      </w:r>
      <w:r w:rsidR="00851247" w:rsidRPr="00CF1005">
        <w:rPr>
          <w:rFonts w:eastAsia="Times New Roman" w:cs="Arial"/>
          <w:color w:val="000000"/>
          <w:lang w:eastAsia="en-GB"/>
        </w:rPr>
        <w:t xml:space="preserve"> </w:t>
      </w:r>
      <w:r w:rsidR="008C3782" w:rsidRPr="00CF1005">
        <w:rPr>
          <w:rFonts w:eastAsia="Times New Roman" w:cs="Arial"/>
          <w:color w:val="000000"/>
          <w:lang w:eastAsia="en-GB"/>
        </w:rPr>
        <w:t xml:space="preserve">In this essay, you could delve into psychological characteristics, such as low self-esteem, a desire for belonging, or past trauma, that may make </w:t>
      </w:r>
      <w:r w:rsidR="008C3782" w:rsidRPr="00CF1005">
        <w:rPr>
          <w:rFonts w:eastAsia="Times New Roman" w:cs="Arial"/>
          <w:color w:val="000000"/>
          <w:lang w:eastAsia="en-GB"/>
        </w:rPr>
        <w:lastRenderedPageBreak/>
        <w:t>individuals more vulnerable to exploitation. Additionally, it could discuss how manipulation and grooming techniques used by gangs exploit these traits to recruit new members</w:t>
      </w:r>
      <w:r w:rsidR="00BD2625" w:rsidRPr="00CF1005">
        <w:rPr>
          <w:rFonts w:eastAsia="Times New Roman" w:cs="Arial"/>
          <w:color w:val="000000"/>
          <w:lang w:eastAsia="en-GB"/>
        </w:rPr>
        <w:t xml:space="preserve"> (Harris et al., 2011)</w:t>
      </w:r>
      <w:r w:rsidR="008200BF" w:rsidRPr="00CF1005">
        <w:rPr>
          <w:rFonts w:eastAsia="Times New Roman" w:cs="Arial"/>
          <w:color w:val="000000"/>
          <w:lang w:eastAsia="en-GB"/>
        </w:rPr>
        <w:t>.</w:t>
      </w:r>
    </w:p>
    <w:p w14:paraId="363D22AE" w14:textId="77777777" w:rsidR="004460C1" w:rsidRPr="00922FE9" w:rsidRDefault="004460C1" w:rsidP="00B42CFD">
      <w:pPr>
        <w:spacing w:after="0" w:line="276" w:lineRule="auto"/>
        <w:jc w:val="both"/>
        <w:rPr>
          <w:rFonts w:eastAsia="Times New Roman" w:cs="Arial"/>
          <w:color w:val="000000"/>
          <w:lang w:eastAsia="en-GB"/>
        </w:rPr>
      </w:pPr>
    </w:p>
    <w:p w14:paraId="791E32CD" w14:textId="1FD56684" w:rsidR="00A733E5" w:rsidRPr="00142606" w:rsidRDefault="00A733E5" w:rsidP="00A733E5">
      <w:pPr>
        <w:rPr>
          <w:color w:val="000000"/>
        </w:rPr>
      </w:pPr>
      <w:r w:rsidRPr="00922FE9">
        <w:rPr>
          <w:color w:val="000000"/>
        </w:rPr>
        <w:t>Research has revealed the presence of a fluid and dynamic gang structure; however, the underlying psychological processes associated with gang membership have only recently begun to receive attention. This study investigated three distinct groups: gang members, peripheral youth, and non</w:t>
      </w:r>
      <w:r w:rsidR="00922FE9" w:rsidRPr="00922FE9">
        <w:rPr>
          <w:color w:val="000000"/>
        </w:rPr>
        <w:t>-</w:t>
      </w:r>
      <w:r w:rsidRPr="00922FE9">
        <w:rPr>
          <w:color w:val="000000"/>
        </w:rPr>
        <w:t>gang youth.</w:t>
      </w:r>
      <w:r w:rsidRPr="00142606">
        <w:rPr>
          <w:color w:val="000000"/>
        </w:rPr>
        <w:t xml:space="preserve"> It focused on various measures, including criminal activity, the significance they attribute to social status, levels of moral disengagement, perceptions of out-group threat, and attitudes toward authority</w:t>
      </w:r>
      <w:r w:rsidR="008200BF" w:rsidRPr="00142606">
        <w:rPr>
          <w:color w:val="000000"/>
        </w:rPr>
        <w:t xml:space="preserve"> </w:t>
      </w:r>
      <w:r w:rsidR="008200BF" w:rsidRPr="00142606">
        <w:rPr>
          <w:rFonts w:eastAsia="Times New Roman" w:cs="Arial"/>
          <w:color w:val="000000"/>
          <w:lang w:eastAsia="en-GB"/>
        </w:rPr>
        <w:t>(Alleyne and Wood, 2010)</w:t>
      </w:r>
      <w:r w:rsidRPr="00142606">
        <w:rPr>
          <w:color w:val="000000"/>
        </w:rPr>
        <w:t>.</w:t>
      </w:r>
    </w:p>
    <w:p w14:paraId="168FD9B0" w14:textId="77777777" w:rsidR="00A733E5" w:rsidRPr="00142606" w:rsidRDefault="00A733E5" w:rsidP="00A733E5">
      <w:pPr>
        <w:rPr>
          <w:color w:val="000000"/>
        </w:rPr>
      </w:pPr>
    </w:p>
    <w:p w14:paraId="279EE81E" w14:textId="1015D4AD" w:rsidR="00A733E5" w:rsidRPr="00403CBC" w:rsidRDefault="00A733E5" w:rsidP="00A733E5">
      <w:pPr>
        <w:rPr>
          <w:color w:val="000000"/>
        </w:rPr>
      </w:pPr>
      <w:r w:rsidRPr="00142606">
        <w:rPr>
          <w:color w:val="000000"/>
        </w:rPr>
        <w:t>Among the 798 high school students who participated in the study, 59 were identified as gang members, 75 as peripheral youth, and 664 as non</w:t>
      </w:r>
      <w:r w:rsidR="00403CBC">
        <w:rPr>
          <w:color w:val="000000"/>
        </w:rPr>
        <w:t>-</w:t>
      </w:r>
      <w:r w:rsidRPr="00142606">
        <w:rPr>
          <w:color w:val="000000"/>
        </w:rPr>
        <w:t>gang youth. The findings indicated that both gang members and peripheral youth exhibited higher levels of delinquency compared to non</w:t>
      </w:r>
      <w:r w:rsidR="00142606" w:rsidRPr="00142606">
        <w:rPr>
          <w:color w:val="000000"/>
        </w:rPr>
        <w:t>-</w:t>
      </w:r>
      <w:r w:rsidRPr="00142606">
        <w:rPr>
          <w:color w:val="000000"/>
        </w:rPr>
        <w:t>gang youth.</w:t>
      </w:r>
      <w:r w:rsidRPr="00403CBC">
        <w:rPr>
          <w:color w:val="000000"/>
        </w:rPr>
        <w:t xml:space="preserve"> Notably, gang members were found to commit more minor offences, while peripheral youth engaged in more violent offences than their non</w:t>
      </w:r>
      <w:r w:rsidR="00403CBC">
        <w:rPr>
          <w:color w:val="000000"/>
        </w:rPr>
        <w:t>-</w:t>
      </w:r>
      <w:r w:rsidRPr="00403CBC">
        <w:rPr>
          <w:color w:val="000000"/>
        </w:rPr>
        <w:t>gang counterparts</w:t>
      </w:r>
      <w:r w:rsidR="008200BF" w:rsidRPr="00403CBC">
        <w:rPr>
          <w:color w:val="000000"/>
        </w:rPr>
        <w:t xml:space="preserve"> </w:t>
      </w:r>
      <w:r w:rsidR="008200BF" w:rsidRPr="00403CBC">
        <w:rPr>
          <w:rFonts w:eastAsia="Times New Roman" w:cs="Arial"/>
          <w:color w:val="000000"/>
          <w:lang w:eastAsia="en-GB"/>
        </w:rPr>
        <w:t>(Alleyne and Wood, 2010)</w:t>
      </w:r>
      <w:r w:rsidRPr="00403CBC">
        <w:rPr>
          <w:color w:val="000000"/>
        </w:rPr>
        <w:t>.</w:t>
      </w:r>
    </w:p>
    <w:p w14:paraId="163B7CB3" w14:textId="77777777" w:rsidR="00A733E5" w:rsidRPr="00403CBC" w:rsidRDefault="00A733E5" w:rsidP="00A733E5">
      <w:pPr>
        <w:rPr>
          <w:color w:val="000000"/>
        </w:rPr>
      </w:pPr>
    </w:p>
    <w:p w14:paraId="75F3ECD6" w14:textId="35F8C188" w:rsidR="005976A4" w:rsidRPr="00A14A10" w:rsidRDefault="00A733E5" w:rsidP="00660FA9">
      <w:pPr>
        <w:rPr>
          <w:color w:val="000000"/>
        </w:rPr>
      </w:pPr>
      <w:r>
        <w:t>F</w:t>
      </w:r>
      <w:r w:rsidRPr="00403CBC">
        <w:rPr>
          <w:color w:val="000000"/>
        </w:rPr>
        <w:t>urthermore, gang members displayed a stronger anti-authority sentiment compared to nongang youth, and both gang and peripheral youth placed a greater emphasis on social status.</w:t>
      </w:r>
      <w:r w:rsidRPr="00A14A10">
        <w:rPr>
          <w:color w:val="000000"/>
        </w:rPr>
        <w:t xml:space="preserve"> Additionally, gang members demonstrated a tendency to blame victims for their actions and employed euphemisms to rationalize their behaviour, whereas peripheral youth were more inclined to attribute responsibility to their superiors</w:t>
      </w:r>
      <w:r w:rsidR="00103855" w:rsidRPr="00A14A10">
        <w:rPr>
          <w:color w:val="000000"/>
        </w:rPr>
        <w:t xml:space="preserve"> (Biswas, 2023)</w:t>
      </w:r>
      <w:r w:rsidRPr="00A14A10">
        <w:rPr>
          <w:color w:val="000000"/>
        </w:rPr>
        <w:t xml:space="preserve">. </w:t>
      </w:r>
    </w:p>
    <w:p w14:paraId="732011D8" w14:textId="77777777" w:rsidR="00A14A10" w:rsidRDefault="00A14A10" w:rsidP="00660FA9">
      <w:pPr>
        <w:rPr>
          <w:rFonts w:eastAsia="Times New Roman" w:cs="Arial"/>
          <w:color w:val="000000"/>
          <w:lang w:eastAsia="en-GB"/>
        </w:rPr>
      </w:pPr>
      <w:r>
        <w:rPr>
          <w:rFonts w:eastAsia="Times New Roman" w:cs="Arial"/>
          <w:color w:val="000000"/>
          <w:lang w:eastAsia="en-GB"/>
        </w:rPr>
        <w:t>In conclusion t</w:t>
      </w:r>
      <w:r w:rsidR="00660FA9" w:rsidRPr="00A14A10">
        <w:rPr>
          <w:rFonts w:eastAsia="Times New Roman" w:cs="Arial"/>
          <w:color w:val="000000"/>
          <w:lang w:eastAsia="en-GB"/>
        </w:rPr>
        <w:t xml:space="preserve">his essay provide a detailed examination of the intricate relationship between socioeconomic factors and psychological characteristics, revealing how they collectively influence gang involvement. </w:t>
      </w:r>
      <w:r w:rsidR="00660FA9" w:rsidRPr="00731DA8">
        <w:rPr>
          <w:rFonts w:eastAsia="Times New Roman" w:cs="Arial"/>
          <w:color w:val="000000"/>
          <w:lang w:eastAsia="en-GB"/>
        </w:rPr>
        <w:t xml:space="preserve">They explore how economic conditions, such as poverty and lack of access to education and employment opportunities, create environments that facilitate gang recruitment. </w:t>
      </w:r>
    </w:p>
    <w:p w14:paraId="23228E8C" w14:textId="04EF8077" w:rsidR="00660FA9" w:rsidRPr="00731DA8" w:rsidRDefault="00660FA9" w:rsidP="00660FA9">
      <w:pPr>
        <w:rPr>
          <w:color w:val="000000"/>
        </w:rPr>
      </w:pPr>
      <w:r w:rsidRPr="00731DA8">
        <w:rPr>
          <w:rFonts w:eastAsia="Times New Roman" w:cs="Arial"/>
          <w:color w:val="000000"/>
          <w:lang w:eastAsia="en-GB"/>
        </w:rPr>
        <w:t>Additionally, the essays delve into the psychological aspects, including the need for belonging, identity, and resilience, demonstrating how these internal drives can lead individuals to seek out gangs as a source of community and support. Collectively, these insights underscore the importance of addressing both socioeconomic and psychological dimensions to develop effective interventions aimed at reducing gang participation.</w:t>
      </w:r>
    </w:p>
    <w:p w14:paraId="0E1DAA7F" w14:textId="77777777" w:rsidR="00660FA9" w:rsidRPr="00155054" w:rsidRDefault="00660FA9" w:rsidP="00B42CFD">
      <w:pPr>
        <w:spacing w:after="0" w:line="276" w:lineRule="auto"/>
        <w:jc w:val="both"/>
        <w:rPr>
          <w:rFonts w:eastAsia="Times New Roman" w:cs="Arial"/>
          <w:lang w:eastAsia="en-GB"/>
        </w:rPr>
      </w:pPr>
    </w:p>
    <w:p w14:paraId="25115BAB" w14:textId="77777777" w:rsidR="00155054" w:rsidRPr="00155054" w:rsidRDefault="00155054" w:rsidP="00B42CFD">
      <w:pPr>
        <w:spacing w:after="0" w:line="276" w:lineRule="auto"/>
        <w:jc w:val="both"/>
        <w:rPr>
          <w:rFonts w:eastAsia="Times New Roman" w:cs="Arial"/>
          <w:lang w:eastAsia="en-GB"/>
        </w:rPr>
      </w:pPr>
    </w:p>
    <w:p w14:paraId="5A583434" w14:textId="1A6CE94D" w:rsidR="00BE6A74" w:rsidRPr="00155054" w:rsidRDefault="00BE6A74" w:rsidP="00B42CFD">
      <w:pPr>
        <w:pStyle w:val="ListParagraph"/>
        <w:numPr>
          <w:ilvl w:val="0"/>
          <w:numId w:val="2"/>
        </w:numPr>
        <w:overflowPunct w:val="0"/>
        <w:autoSpaceDE w:val="0"/>
        <w:autoSpaceDN w:val="0"/>
        <w:adjustRightInd w:val="0"/>
        <w:spacing w:after="0" w:line="276" w:lineRule="auto"/>
        <w:ind w:left="0"/>
        <w:jc w:val="both"/>
        <w:textAlignment w:val="baseline"/>
        <w:rPr>
          <w:rFonts w:eastAsia="Times New Roman" w:cs="Arial"/>
          <w:lang w:eastAsia="en-GB"/>
        </w:rPr>
      </w:pPr>
      <w:r w:rsidRPr="00155054">
        <w:rPr>
          <w:rFonts w:eastAsia="Times New Roman" w:cs="Arial"/>
          <w:b/>
          <w:bCs/>
          <w:lang w:eastAsia="en-GB"/>
        </w:rPr>
        <w:t>Vulnerability &amp; Risk</w:t>
      </w:r>
    </w:p>
    <w:p w14:paraId="04D78D14"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Is early intervention an effective means of preventing young people from offending? What increases or detracts from its effectiveness?</w:t>
      </w:r>
    </w:p>
    <w:p w14:paraId="5C4BF81A"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Your answer must be based on academic research.</w:t>
      </w:r>
    </w:p>
    <w:p w14:paraId="6979F45B" w14:textId="77777777" w:rsidR="00BE6A74" w:rsidRDefault="00BE6A74" w:rsidP="00B42CFD">
      <w:pPr>
        <w:spacing w:after="0" w:line="276" w:lineRule="auto"/>
        <w:jc w:val="both"/>
        <w:rPr>
          <w:rFonts w:eastAsia="Times New Roman" w:cs="Arial"/>
          <w:lang w:eastAsia="en-GB"/>
        </w:rPr>
      </w:pPr>
      <w:r w:rsidRPr="00155054">
        <w:rPr>
          <w:rFonts w:eastAsia="Times New Roman" w:cs="Arial"/>
          <w:b/>
          <w:bCs/>
          <w:lang w:eastAsia="en-GB"/>
        </w:rPr>
        <w:t xml:space="preserve">Word limit: </w:t>
      </w:r>
      <w:r w:rsidRPr="00155054">
        <w:rPr>
          <w:rFonts w:eastAsia="Times New Roman" w:cs="Arial"/>
          <w:lang w:eastAsia="en-GB"/>
        </w:rPr>
        <w:t>1000 words.</w:t>
      </w:r>
    </w:p>
    <w:p w14:paraId="336ED531" w14:textId="77777777" w:rsidR="00AE256A" w:rsidRDefault="00AE256A" w:rsidP="00B42CFD">
      <w:pPr>
        <w:spacing w:after="0" w:line="276" w:lineRule="auto"/>
        <w:jc w:val="both"/>
        <w:rPr>
          <w:rFonts w:eastAsia="Times New Roman" w:cs="Arial"/>
          <w:lang w:eastAsia="en-GB"/>
        </w:rPr>
      </w:pPr>
    </w:p>
    <w:p w14:paraId="4C53B3C5" w14:textId="0966CEC5" w:rsidR="00AE256A" w:rsidRPr="00AE256A" w:rsidRDefault="00AE256A" w:rsidP="00AE256A">
      <w:pPr>
        <w:spacing w:after="0" w:line="276" w:lineRule="auto"/>
        <w:jc w:val="both"/>
        <w:rPr>
          <w:rFonts w:eastAsia="Times New Roman" w:cs="Arial"/>
          <w:lang w:eastAsia="en-GB"/>
        </w:rPr>
      </w:pPr>
      <w:r w:rsidRPr="00AE256A">
        <w:rPr>
          <w:rFonts w:eastAsia="Times New Roman" w:cs="Arial"/>
          <w:lang w:eastAsia="en-GB"/>
        </w:rPr>
        <w:t xml:space="preserve">The essay will </w:t>
      </w:r>
      <w:r w:rsidR="000F7DDB" w:rsidRPr="00AE256A">
        <w:rPr>
          <w:rFonts w:eastAsia="Times New Roman" w:cs="Arial"/>
          <w:lang w:eastAsia="en-GB"/>
        </w:rPr>
        <w:t>analyse</w:t>
      </w:r>
      <w:r w:rsidRPr="00AE256A">
        <w:rPr>
          <w:rFonts w:eastAsia="Times New Roman" w:cs="Arial"/>
          <w:lang w:eastAsia="en-GB"/>
        </w:rPr>
        <w:t xml:space="preserve"> key issues related to early intervention programs for young people. One significant argument is that not all individuals benefit from these interventions; in some cases, participation might actually reinforce negative </w:t>
      </w:r>
      <w:r w:rsidR="000F7DDB" w:rsidRPr="00AE256A">
        <w:rPr>
          <w:rFonts w:eastAsia="Times New Roman" w:cs="Arial"/>
          <w:lang w:eastAsia="en-GB"/>
        </w:rPr>
        <w:t>behaviours</w:t>
      </w:r>
      <w:r w:rsidRPr="00AE256A">
        <w:rPr>
          <w:rFonts w:eastAsia="Times New Roman" w:cs="Arial"/>
          <w:lang w:eastAsia="en-GB"/>
        </w:rPr>
        <w:t xml:space="preserve"> instead of alleviating them. This suggests that a one-size-fits-all approach may not be effective, making it necessary to tailor interventions to the diverse backgrounds and experiences of youth.</w:t>
      </w:r>
    </w:p>
    <w:p w14:paraId="42247AA3" w14:textId="77777777" w:rsidR="00AE256A" w:rsidRPr="00AE256A" w:rsidRDefault="00AE256A" w:rsidP="00AE256A">
      <w:pPr>
        <w:spacing w:after="0" w:line="276" w:lineRule="auto"/>
        <w:jc w:val="both"/>
        <w:rPr>
          <w:rFonts w:eastAsia="Times New Roman" w:cs="Arial"/>
          <w:lang w:eastAsia="en-GB"/>
        </w:rPr>
      </w:pPr>
    </w:p>
    <w:p w14:paraId="0C81928A" w14:textId="77777777" w:rsidR="00AE256A" w:rsidRPr="00AE256A" w:rsidRDefault="00AE256A" w:rsidP="00AE256A">
      <w:pPr>
        <w:spacing w:after="0" w:line="276" w:lineRule="auto"/>
        <w:jc w:val="both"/>
        <w:rPr>
          <w:rFonts w:eastAsia="Times New Roman" w:cs="Arial"/>
          <w:lang w:eastAsia="en-GB"/>
        </w:rPr>
      </w:pPr>
      <w:r w:rsidRPr="00AE256A">
        <w:rPr>
          <w:rFonts w:eastAsia="Times New Roman" w:cs="Arial"/>
          <w:lang w:eastAsia="en-GB"/>
        </w:rPr>
        <w:t>Another crucial aspect to consider is the role of socio-economic factors in the success of these programs. Critics point out that the effectiveness of early interventions can be heavily influenced by the socio-economic status of participants. Without addressing underlying issues like poverty and access to education and healthcare, the impact of these programs may be limited.</w:t>
      </w:r>
    </w:p>
    <w:p w14:paraId="61DF6B02" w14:textId="77777777" w:rsidR="00AE256A" w:rsidRPr="00AE256A" w:rsidRDefault="00AE256A" w:rsidP="00AE256A">
      <w:pPr>
        <w:spacing w:after="0" w:line="276" w:lineRule="auto"/>
        <w:jc w:val="both"/>
        <w:rPr>
          <w:rFonts w:eastAsia="Times New Roman" w:cs="Arial"/>
          <w:lang w:eastAsia="en-GB"/>
        </w:rPr>
      </w:pPr>
    </w:p>
    <w:p w14:paraId="53191261" w14:textId="77777777" w:rsidR="00AE256A" w:rsidRPr="00AE256A" w:rsidRDefault="00AE256A" w:rsidP="00AE256A">
      <w:pPr>
        <w:spacing w:after="0" w:line="276" w:lineRule="auto"/>
        <w:jc w:val="both"/>
        <w:rPr>
          <w:rFonts w:eastAsia="Times New Roman" w:cs="Arial"/>
          <w:lang w:eastAsia="en-GB"/>
        </w:rPr>
      </w:pPr>
      <w:r w:rsidRPr="00AE256A">
        <w:rPr>
          <w:rFonts w:eastAsia="Times New Roman" w:cs="Arial"/>
          <w:lang w:eastAsia="en-GB"/>
        </w:rPr>
        <w:lastRenderedPageBreak/>
        <w:t>Additionally, concerns about resource allocation arise, with some critics arguing that funding for early interventions could potentially be better spent on broader preventive measures that benefit larger populations. This highlights the need for a careful evaluation of funding decisions to ensure that resources are not diverted from other essential services.</w:t>
      </w:r>
    </w:p>
    <w:p w14:paraId="03E2E73D" w14:textId="77777777" w:rsidR="00AE256A" w:rsidRPr="00AE256A" w:rsidRDefault="00AE256A" w:rsidP="00AE256A">
      <w:pPr>
        <w:spacing w:after="0" w:line="276" w:lineRule="auto"/>
        <w:jc w:val="both"/>
        <w:rPr>
          <w:rFonts w:eastAsia="Times New Roman" w:cs="Arial"/>
          <w:lang w:eastAsia="en-GB"/>
        </w:rPr>
      </w:pPr>
    </w:p>
    <w:p w14:paraId="1115CE9B" w14:textId="32CDB407" w:rsidR="00AE256A" w:rsidRPr="00155054" w:rsidRDefault="00AE256A" w:rsidP="00AE256A">
      <w:pPr>
        <w:spacing w:after="0" w:line="276" w:lineRule="auto"/>
        <w:jc w:val="both"/>
        <w:rPr>
          <w:rFonts w:eastAsia="Times New Roman" w:cs="Arial"/>
          <w:lang w:eastAsia="en-GB"/>
        </w:rPr>
      </w:pPr>
      <w:r w:rsidRPr="00AE256A">
        <w:rPr>
          <w:rFonts w:eastAsia="Times New Roman" w:cs="Arial"/>
          <w:lang w:eastAsia="en-GB"/>
        </w:rPr>
        <w:t>By exploring these complexities, the essay aims to provide a deeper understanding of the implications of early intervention programs for both young people and society at large.</w:t>
      </w:r>
    </w:p>
    <w:p w14:paraId="06A02B04" w14:textId="77777777" w:rsidR="00BE6A74" w:rsidRDefault="00BE6A74" w:rsidP="00B42CFD">
      <w:pPr>
        <w:spacing w:after="0" w:line="276" w:lineRule="auto"/>
        <w:jc w:val="both"/>
        <w:rPr>
          <w:rFonts w:eastAsia="Times New Roman" w:cs="Arial"/>
          <w:lang w:eastAsia="en-GB"/>
        </w:rPr>
      </w:pPr>
    </w:p>
    <w:p w14:paraId="7ED7C2D7" w14:textId="06297FAD" w:rsidR="00C7445D" w:rsidRDefault="00C7445D" w:rsidP="00C7445D">
      <w:pPr>
        <w:spacing w:after="0" w:line="276" w:lineRule="auto"/>
        <w:jc w:val="both"/>
        <w:rPr>
          <w:rFonts w:eastAsia="Times New Roman" w:cs="Arial"/>
          <w:lang w:eastAsia="en-GB"/>
        </w:rPr>
      </w:pPr>
      <w:r w:rsidRPr="000F7DDB">
        <w:rPr>
          <w:rFonts w:eastAsia="Times New Roman" w:cs="Arial"/>
          <w:lang w:eastAsia="en-GB"/>
        </w:rPr>
        <w:t>Early intervention refers to the proactive identification and provision of tailored support for children and young people who are at risk of facing negative developmental, emotional, or educational outcomes. This approach emphasizes the importance of addressing potential challenges early on, often during critical developmental periods, to enhance the likelihood of positive growth and resilience. By implementing targeted strategies and resources, such as counselling, special education services, or family support programs, early intervention aims to mitigate risks and foster a supportive environment that allows young individuals to thrive academically, socially, and emotionally</w:t>
      </w:r>
      <w:r w:rsidR="002D3D96">
        <w:rPr>
          <w:rFonts w:eastAsia="Times New Roman" w:cs="Arial"/>
          <w:lang w:eastAsia="en-GB"/>
        </w:rPr>
        <w:t xml:space="preserve"> </w:t>
      </w:r>
      <w:r w:rsidR="002D3D96" w:rsidRPr="002D3D96">
        <w:rPr>
          <w:rFonts w:eastAsia="Times New Roman" w:cs="Arial"/>
          <w:lang w:eastAsia="en-GB"/>
        </w:rPr>
        <w:t>(Early Intervention Foundation, 2024)</w:t>
      </w:r>
      <w:r w:rsidRPr="000F7DDB">
        <w:rPr>
          <w:rFonts w:eastAsia="Times New Roman" w:cs="Arial"/>
          <w:lang w:eastAsia="en-GB"/>
        </w:rPr>
        <w:t>.</w:t>
      </w:r>
    </w:p>
    <w:p w14:paraId="079D4EDE" w14:textId="77777777" w:rsidR="00C7445D" w:rsidRDefault="00C7445D" w:rsidP="00B42CFD">
      <w:pPr>
        <w:spacing w:after="0" w:line="276" w:lineRule="auto"/>
        <w:jc w:val="both"/>
        <w:rPr>
          <w:rFonts w:eastAsia="Times New Roman" w:cs="Arial"/>
          <w:lang w:eastAsia="en-GB"/>
        </w:rPr>
      </w:pPr>
    </w:p>
    <w:p w14:paraId="7DF3879D" w14:textId="5276384C" w:rsidR="008C3782" w:rsidRPr="00155054" w:rsidRDefault="00812257" w:rsidP="00B42CFD">
      <w:pPr>
        <w:spacing w:after="0" w:line="276" w:lineRule="auto"/>
        <w:jc w:val="both"/>
        <w:rPr>
          <w:rFonts w:eastAsia="Times New Roman" w:cs="Arial"/>
          <w:lang w:eastAsia="en-GB"/>
        </w:rPr>
      </w:pPr>
      <w:r w:rsidRPr="00812257">
        <w:rPr>
          <w:rFonts w:eastAsia="Times New Roman" w:cs="Arial"/>
          <w:lang w:eastAsia="en-GB"/>
        </w:rPr>
        <w:t>Early intervention has proven to be an effective strategy for preventing youth from engaging in criminal behaviour. By identifying at-risk individuals and providing them with support and resources, we can address underlying issues before they escalate. However, the challenges we face today are significant. The modern youth, influenced by factors such as technology, peer pressure, and socioeconomic disparities, complicates the effectiveness of these interventions. As a result, while early intervention remains a vital approach, it requires a nuanced understanding of the contemporary environment shaping young people's lives to truly make a difference.</w:t>
      </w:r>
      <w:r>
        <w:rPr>
          <w:rFonts w:eastAsia="Times New Roman" w:cs="Arial"/>
          <w:lang w:eastAsia="en-GB"/>
        </w:rPr>
        <w:t xml:space="preserve"> </w:t>
      </w:r>
      <w:r w:rsidRPr="00812257">
        <w:rPr>
          <w:rFonts w:eastAsia="Times New Roman" w:cs="Arial"/>
          <w:lang w:eastAsia="en-GB"/>
        </w:rPr>
        <w:t>Early intervention can effectively prevent young people from offending, but given the complexities of today's youth, it is challenging</w:t>
      </w:r>
      <w:r w:rsidR="00E24660">
        <w:rPr>
          <w:rFonts w:eastAsia="Times New Roman" w:cs="Arial"/>
          <w:lang w:eastAsia="en-GB"/>
        </w:rPr>
        <w:t xml:space="preserve"> </w:t>
      </w:r>
      <w:r w:rsidR="00E24660" w:rsidRPr="00E24660">
        <w:rPr>
          <w:rFonts w:eastAsia="Times New Roman" w:cs="Arial"/>
          <w:lang w:eastAsia="en-GB"/>
        </w:rPr>
        <w:t>(Allchild.org, 2023)</w:t>
      </w:r>
      <w:r w:rsidR="00E24660">
        <w:rPr>
          <w:rFonts w:eastAsia="Times New Roman" w:cs="Arial"/>
          <w:lang w:eastAsia="en-GB"/>
        </w:rPr>
        <w:t>.</w:t>
      </w:r>
    </w:p>
    <w:p w14:paraId="7562F0C1" w14:textId="77777777" w:rsidR="00155054" w:rsidRPr="00155054" w:rsidRDefault="00155054" w:rsidP="00B42CFD">
      <w:pPr>
        <w:spacing w:after="0" w:line="276" w:lineRule="auto"/>
        <w:jc w:val="both"/>
        <w:rPr>
          <w:rFonts w:eastAsia="Times New Roman" w:cs="Arial"/>
          <w:lang w:eastAsia="en-GB"/>
        </w:rPr>
      </w:pPr>
    </w:p>
    <w:p w14:paraId="4989D094" w14:textId="66522205" w:rsidR="002B184E" w:rsidRPr="002B184E" w:rsidRDefault="002B184E" w:rsidP="002B184E">
      <w:pPr>
        <w:spacing w:after="0" w:line="276" w:lineRule="auto"/>
        <w:jc w:val="both"/>
        <w:rPr>
          <w:rFonts w:eastAsia="Times New Roman" w:cs="Arial"/>
          <w:lang w:eastAsia="en-GB"/>
        </w:rPr>
      </w:pPr>
      <w:r w:rsidRPr="002B184E">
        <w:rPr>
          <w:rFonts w:eastAsia="Times New Roman" w:cs="Arial"/>
          <w:lang w:eastAsia="en-GB"/>
        </w:rPr>
        <w:t>Youth crime prevention programmes are designed to support juveniles deemed 'at risk' of criminal behaviour, those involved in anti-social activities, or with histories of legal issues. Participation is voluntary, requiring agreement from parents or carers regarding the planned activities. Referrals are typically made by the police but can also come from youth offending teams, social workers, teachers, or parents. Before the programme begins, youth workers assess the young person to determine the most suitable support and to ensure the programme's effectiveness, involving the youth in the evaluation process</w:t>
      </w:r>
      <w:r w:rsidR="00B71424">
        <w:rPr>
          <w:rFonts w:eastAsia="Times New Roman" w:cs="Arial"/>
          <w:lang w:eastAsia="en-GB"/>
        </w:rPr>
        <w:t xml:space="preserve"> </w:t>
      </w:r>
      <w:r w:rsidR="00B71424" w:rsidRPr="00B71424">
        <w:rPr>
          <w:rFonts w:eastAsia="Times New Roman" w:cs="Arial"/>
          <w:lang w:eastAsia="en-GB"/>
        </w:rPr>
        <w:t> (UK Rules, 2023)</w:t>
      </w:r>
      <w:r w:rsidR="00B71424">
        <w:rPr>
          <w:rFonts w:eastAsia="Times New Roman" w:cs="Arial"/>
          <w:lang w:eastAsia="en-GB"/>
        </w:rPr>
        <w:t>.</w:t>
      </w:r>
    </w:p>
    <w:p w14:paraId="47139A60" w14:textId="77777777" w:rsidR="002B184E" w:rsidRPr="002B184E" w:rsidRDefault="002B184E" w:rsidP="002B184E">
      <w:pPr>
        <w:spacing w:after="0" w:line="276" w:lineRule="auto"/>
        <w:jc w:val="both"/>
        <w:rPr>
          <w:rFonts w:eastAsia="Times New Roman" w:cs="Arial"/>
          <w:lang w:eastAsia="en-GB"/>
        </w:rPr>
      </w:pPr>
    </w:p>
    <w:p w14:paraId="3AC8E121" w14:textId="1F3DD767" w:rsidR="002B184E" w:rsidRPr="002B184E" w:rsidRDefault="002B184E" w:rsidP="002B184E">
      <w:pPr>
        <w:spacing w:after="0" w:line="276" w:lineRule="auto"/>
        <w:jc w:val="both"/>
        <w:rPr>
          <w:rFonts w:eastAsia="Times New Roman" w:cs="Arial"/>
          <w:lang w:eastAsia="en-GB"/>
        </w:rPr>
      </w:pPr>
      <w:r w:rsidRPr="002B184E">
        <w:rPr>
          <w:rFonts w:eastAsia="Times New Roman" w:cs="Arial"/>
          <w:lang w:eastAsia="en-GB"/>
        </w:rPr>
        <w:t>There are various types of programmes some are Youth Inclusion Programmes serve individuals aged 8 to 17, usually lasting around six months, with extensions available for additional support. Youth Inclusion and Support Panels, aim to reduce crime among children aged 8 to 13 by providing access to local services.</w:t>
      </w:r>
      <w:r>
        <w:rPr>
          <w:rFonts w:eastAsia="Times New Roman" w:cs="Arial"/>
          <w:lang w:eastAsia="en-GB"/>
        </w:rPr>
        <w:t xml:space="preserve"> </w:t>
      </w:r>
      <w:r w:rsidRPr="002B184E">
        <w:rPr>
          <w:rFonts w:eastAsia="Times New Roman" w:cs="Arial"/>
          <w:lang w:eastAsia="en-GB"/>
        </w:rPr>
        <w:t>Minors have different legal rights than adults, with services including educational assistance and mental health support. An intervention plan outlines activities that must be agreed upon by the young person, their family, and youth workers, detailing expectations and support arrangements</w:t>
      </w:r>
      <w:r w:rsidR="00451F68" w:rsidRPr="00451F68">
        <w:rPr>
          <w:rFonts w:eastAsia="Times New Roman" w:cs="Arial"/>
          <w:lang w:eastAsia="en-GB"/>
        </w:rPr>
        <w:t> (UK Rules, 2023)</w:t>
      </w:r>
      <w:r w:rsidRPr="002B184E">
        <w:rPr>
          <w:rFonts w:eastAsia="Times New Roman" w:cs="Arial"/>
          <w:lang w:eastAsia="en-GB"/>
        </w:rPr>
        <w:t>.</w:t>
      </w:r>
    </w:p>
    <w:p w14:paraId="5827EC04" w14:textId="2BF802A1" w:rsidR="00155054" w:rsidRDefault="00155054" w:rsidP="00B42CFD">
      <w:pPr>
        <w:spacing w:after="0" w:line="276" w:lineRule="auto"/>
        <w:jc w:val="both"/>
        <w:rPr>
          <w:rFonts w:eastAsia="Times New Roman" w:cs="Arial"/>
          <w:lang w:eastAsia="en-GB"/>
        </w:rPr>
      </w:pPr>
    </w:p>
    <w:p w14:paraId="732699E7" w14:textId="723777A2" w:rsidR="00A40E86" w:rsidRPr="00155054" w:rsidRDefault="00A40E86" w:rsidP="00B42CFD">
      <w:pPr>
        <w:spacing w:after="0" w:line="276" w:lineRule="auto"/>
        <w:jc w:val="both"/>
        <w:rPr>
          <w:rFonts w:eastAsia="Times New Roman" w:cs="Arial"/>
          <w:lang w:eastAsia="en-GB"/>
        </w:rPr>
      </w:pPr>
      <w:r w:rsidRPr="00A40E86">
        <w:rPr>
          <w:rFonts w:eastAsia="Times New Roman" w:cs="Arial"/>
          <w:lang w:eastAsia="en-GB"/>
        </w:rPr>
        <w:t xml:space="preserve">Multisystemic Therapy (MST) is a rigorous, family-centered and community-oriented intervention designed to address and mitigate the serious anti-social behaviors exhibited by children and adolescents. This approach focuses on making meaningful and lasting changes within the interconnected social systems in which these young individuals operate, including their home environments, educational settings, community resources, and peer relationships. By engaging families in the therapeutic process, MST empowers them to identify and leverage their strengths while developing effective strategies to improve communication, resolve conflicts, and enhance support networks. Additionally, the intervention collaborates with schools and community organizations to create a comprehensive support system that addresses the unique challenges faced by each child or adolescent, ultimately fostering healthier </w:t>
      </w:r>
      <w:r w:rsidR="002E3517" w:rsidRPr="00A40E86">
        <w:rPr>
          <w:rFonts w:eastAsia="Times New Roman" w:cs="Arial"/>
          <w:lang w:eastAsia="en-GB"/>
        </w:rPr>
        <w:t>behaviours</w:t>
      </w:r>
      <w:r w:rsidRPr="00A40E86">
        <w:rPr>
          <w:rFonts w:eastAsia="Times New Roman" w:cs="Arial"/>
          <w:lang w:eastAsia="en-GB"/>
        </w:rPr>
        <w:t xml:space="preserve"> and promoting positive developmental outcomes.</w:t>
      </w:r>
      <w:r w:rsidR="00A43123">
        <w:rPr>
          <w:rFonts w:eastAsia="Times New Roman" w:cs="Arial"/>
          <w:lang w:eastAsia="en-GB"/>
        </w:rPr>
        <w:t xml:space="preserve"> </w:t>
      </w:r>
      <w:r w:rsidRPr="00A40E86">
        <w:rPr>
          <w:rFonts w:eastAsia="Times New Roman" w:cs="Arial"/>
          <w:lang w:eastAsia="en-GB"/>
        </w:rPr>
        <w:t xml:space="preserve">MST is a comprehensive intervention focused on families and communities, aiming to foster positive changes across </w:t>
      </w:r>
      <w:r w:rsidRPr="00A40E86">
        <w:rPr>
          <w:rFonts w:eastAsia="Times New Roman" w:cs="Arial"/>
          <w:lang w:eastAsia="en-GB"/>
        </w:rPr>
        <w:lastRenderedPageBreak/>
        <w:t xml:space="preserve">different social environments (such as home, school, community, and peer relationships) that play a role in the serious anti-social </w:t>
      </w:r>
      <w:r w:rsidR="002E3517" w:rsidRPr="00A40E86">
        <w:rPr>
          <w:rFonts w:eastAsia="Times New Roman" w:cs="Arial"/>
          <w:lang w:eastAsia="en-GB"/>
        </w:rPr>
        <w:t>behaviour</w:t>
      </w:r>
      <w:r w:rsidRPr="00A40E86">
        <w:rPr>
          <w:rFonts w:eastAsia="Times New Roman" w:cs="Arial"/>
          <w:lang w:eastAsia="en-GB"/>
        </w:rPr>
        <w:t xml:space="preserve"> of children and adolescents</w:t>
      </w:r>
      <w:r w:rsidR="00A43123">
        <w:rPr>
          <w:rFonts w:eastAsia="Times New Roman" w:cs="Arial"/>
          <w:lang w:eastAsia="en-GB"/>
        </w:rPr>
        <w:t xml:space="preserve"> </w:t>
      </w:r>
      <w:r w:rsidR="00A43123" w:rsidRPr="00A43123">
        <w:rPr>
          <w:rFonts w:eastAsia="Times New Roman" w:cs="Arial"/>
          <w:lang w:eastAsia="en-GB"/>
        </w:rPr>
        <w:t>(Mason and Prior, 2008)</w:t>
      </w:r>
      <w:r w:rsidRPr="00A40E86">
        <w:rPr>
          <w:rFonts w:eastAsia="Times New Roman" w:cs="Arial"/>
          <w:lang w:eastAsia="en-GB"/>
        </w:rPr>
        <w:t>.</w:t>
      </w:r>
    </w:p>
    <w:p w14:paraId="0E96385D" w14:textId="77777777" w:rsidR="00155054" w:rsidRPr="00155054" w:rsidRDefault="00155054" w:rsidP="00B42CFD">
      <w:pPr>
        <w:spacing w:after="0" w:line="276" w:lineRule="auto"/>
        <w:jc w:val="both"/>
        <w:rPr>
          <w:rFonts w:eastAsia="Times New Roman" w:cs="Arial"/>
          <w:lang w:eastAsia="en-GB"/>
        </w:rPr>
      </w:pPr>
    </w:p>
    <w:p w14:paraId="7452A589" w14:textId="77777777" w:rsidR="00155054" w:rsidRPr="00155054" w:rsidRDefault="00155054" w:rsidP="00B42CFD">
      <w:pPr>
        <w:spacing w:after="0" w:line="276" w:lineRule="auto"/>
        <w:jc w:val="both"/>
        <w:rPr>
          <w:rFonts w:eastAsia="Times New Roman" w:cs="Arial"/>
          <w:lang w:eastAsia="en-GB"/>
        </w:rPr>
      </w:pPr>
    </w:p>
    <w:p w14:paraId="3253E695" w14:textId="77777777" w:rsidR="002E3517" w:rsidRPr="002E3517" w:rsidRDefault="002E3517" w:rsidP="002E3517">
      <w:pPr>
        <w:spacing w:after="0" w:line="276" w:lineRule="auto"/>
        <w:jc w:val="both"/>
        <w:rPr>
          <w:rFonts w:eastAsia="Times New Roman" w:cs="Arial"/>
          <w:lang w:eastAsia="en-GB"/>
        </w:rPr>
      </w:pPr>
      <w:r w:rsidRPr="002E3517">
        <w:rPr>
          <w:rFonts w:eastAsia="Times New Roman" w:cs="Arial"/>
          <w:lang w:eastAsia="en-GB"/>
        </w:rPr>
        <w:t>In conclusion, early intervention programs play a crucial role in supporting at-risk youth by addressing potential developmental, emotional, and educational challenges before they escalate. However, their effectiveness depends on a multitude of factors, including individual backgrounds, socio-economic conditions, and the specific needs of each young person. A one-size-fits-all approach may not yield the desired results, underscoring the importance of tailoring interventions to accommodate diverse circumstances.</w:t>
      </w:r>
    </w:p>
    <w:p w14:paraId="57C1C329" w14:textId="77777777" w:rsidR="002E3517" w:rsidRPr="002E3517" w:rsidRDefault="002E3517" w:rsidP="002E3517">
      <w:pPr>
        <w:spacing w:after="0" w:line="276" w:lineRule="auto"/>
        <w:jc w:val="both"/>
        <w:rPr>
          <w:rFonts w:eastAsia="Times New Roman" w:cs="Arial"/>
          <w:lang w:eastAsia="en-GB"/>
        </w:rPr>
      </w:pPr>
    </w:p>
    <w:p w14:paraId="3F68DE5A" w14:textId="77777777" w:rsidR="002E3517" w:rsidRPr="002E3517" w:rsidRDefault="002E3517" w:rsidP="002E3517">
      <w:pPr>
        <w:spacing w:after="0" w:line="276" w:lineRule="auto"/>
        <w:jc w:val="both"/>
        <w:rPr>
          <w:rFonts w:eastAsia="Times New Roman" w:cs="Arial"/>
          <w:lang w:eastAsia="en-GB"/>
        </w:rPr>
      </w:pPr>
      <w:r w:rsidRPr="002E3517">
        <w:rPr>
          <w:rFonts w:eastAsia="Times New Roman" w:cs="Arial"/>
          <w:lang w:eastAsia="en-GB"/>
        </w:rPr>
        <w:t>Moreover, while early intervention strategies like Multisystemic Therapy and Youth Inclusion Programs show promise, they must be complemented by broader systemic support to tackle underlying issues such as poverty and limited access to education and healthcare. The allocation of resources also warrants careful consideration to ensure funding is directed toward solutions that are both effective and sustainable.</w:t>
      </w:r>
    </w:p>
    <w:p w14:paraId="3526F019" w14:textId="77777777" w:rsidR="002E3517" w:rsidRPr="002E3517" w:rsidRDefault="002E3517" w:rsidP="002E3517">
      <w:pPr>
        <w:spacing w:after="0" w:line="276" w:lineRule="auto"/>
        <w:jc w:val="both"/>
        <w:rPr>
          <w:rFonts w:eastAsia="Times New Roman" w:cs="Arial"/>
          <w:lang w:eastAsia="en-GB"/>
        </w:rPr>
      </w:pPr>
    </w:p>
    <w:p w14:paraId="10B4BC77" w14:textId="31D5BAE9" w:rsidR="008C3782" w:rsidRPr="00155054" w:rsidRDefault="002E3517" w:rsidP="002E3517">
      <w:pPr>
        <w:spacing w:after="0" w:line="276" w:lineRule="auto"/>
        <w:jc w:val="both"/>
        <w:rPr>
          <w:rFonts w:eastAsia="Times New Roman" w:cs="Arial"/>
          <w:lang w:eastAsia="en-GB"/>
        </w:rPr>
      </w:pPr>
      <w:r w:rsidRPr="002E3517">
        <w:rPr>
          <w:rFonts w:eastAsia="Times New Roman" w:cs="Arial"/>
          <w:lang w:eastAsia="en-GB"/>
        </w:rPr>
        <w:t>Ultimately, while early intervention has the potential to substantially reduce youth crime and foster positive development, it is essential to continually adapt these programs to the complexities of modern society. By doing so, we can enhance their effectiveness, ensuring that young individuals have the support they need to thrive and contribute positively to their communities.</w:t>
      </w:r>
    </w:p>
    <w:p w14:paraId="4CCA04F2" w14:textId="77777777" w:rsidR="008C3782" w:rsidRPr="00155054" w:rsidRDefault="008C3782" w:rsidP="00B42CFD">
      <w:pPr>
        <w:spacing w:after="0" w:line="276" w:lineRule="auto"/>
        <w:jc w:val="both"/>
        <w:rPr>
          <w:rFonts w:eastAsia="Times New Roman" w:cs="Arial"/>
          <w:lang w:eastAsia="en-GB"/>
        </w:rPr>
      </w:pPr>
    </w:p>
    <w:p w14:paraId="499EF7C4" w14:textId="77777777" w:rsidR="00BE6A74" w:rsidRPr="00155054" w:rsidRDefault="00BE6A74" w:rsidP="00B42CFD">
      <w:pPr>
        <w:spacing w:after="0" w:line="276" w:lineRule="auto"/>
        <w:jc w:val="both"/>
        <w:rPr>
          <w:rFonts w:eastAsia="Times New Roman" w:cs="Arial"/>
          <w:lang w:eastAsia="en-GB"/>
        </w:rPr>
      </w:pPr>
    </w:p>
    <w:p w14:paraId="729406B2" w14:textId="17B8199F" w:rsidR="00BE6A74" w:rsidRPr="00155054" w:rsidRDefault="00BE6A74" w:rsidP="00B42CFD">
      <w:pPr>
        <w:pStyle w:val="ListParagraph"/>
        <w:numPr>
          <w:ilvl w:val="0"/>
          <w:numId w:val="2"/>
        </w:numPr>
        <w:overflowPunct w:val="0"/>
        <w:autoSpaceDE w:val="0"/>
        <w:autoSpaceDN w:val="0"/>
        <w:adjustRightInd w:val="0"/>
        <w:spacing w:after="0" w:line="276" w:lineRule="auto"/>
        <w:ind w:left="0"/>
        <w:jc w:val="both"/>
        <w:textAlignment w:val="baseline"/>
        <w:rPr>
          <w:rFonts w:eastAsia="Times New Roman" w:cs="Arial"/>
          <w:lang w:eastAsia="en-GB"/>
        </w:rPr>
      </w:pPr>
      <w:r w:rsidRPr="00155054">
        <w:rPr>
          <w:rFonts w:eastAsia="Times New Roman" w:cs="Arial"/>
          <w:b/>
          <w:bCs/>
          <w:lang w:eastAsia="en-GB"/>
        </w:rPr>
        <w:t xml:space="preserve"> Valuing Difference &amp; Inclusion</w:t>
      </w:r>
    </w:p>
    <w:p w14:paraId="37184845" w14:textId="72B8D0B1" w:rsidR="004F19B3"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How effectively has policing adapted to accommodate diversity within the UK?</w:t>
      </w:r>
    </w:p>
    <w:p w14:paraId="14DD475D"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Consider the police force itself and/or the way police engage with diverse communities.</w:t>
      </w:r>
    </w:p>
    <w:p w14:paraId="08077A2E" w14:textId="77777777" w:rsidR="00BE6A74" w:rsidRPr="00155054"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155054">
        <w:rPr>
          <w:rFonts w:eastAsia="Times New Roman" w:cs="Arial"/>
          <w:lang w:eastAsia="en-GB"/>
        </w:rPr>
        <w:t>Support your answer with relevant evidence drawn from academic sources.</w:t>
      </w:r>
    </w:p>
    <w:p w14:paraId="21E6DD73" w14:textId="77777777" w:rsidR="00BE6A74" w:rsidRPr="00155054" w:rsidRDefault="00BE6A74" w:rsidP="00B42CFD">
      <w:pPr>
        <w:spacing w:after="0" w:line="276" w:lineRule="auto"/>
        <w:jc w:val="both"/>
        <w:rPr>
          <w:rFonts w:eastAsia="Times New Roman" w:cs="Arial"/>
          <w:lang w:eastAsia="en-GB"/>
        </w:rPr>
      </w:pPr>
      <w:r w:rsidRPr="00155054">
        <w:rPr>
          <w:rFonts w:eastAsia="Times New Roman" w:cs="Arial"/>
          <w:b/>
          <w:bCs/>
          <w:lang w:eastAsia="en-GB"/>
        </w:rPr>
        <w:t xml:space="preserve">Word limit: </w:t>
      </w:r>
      <w:r w:rsidRPr="00155054">
        <w:rPr>
          <w:rFonts w:eastAsia="Times New Roman" w:cs="Arial"/>
          <w:lang w:eastAsia="en-GB"/>
        </w:rPr>
        <w:t>1000 words.</w:t>
      </w:r>
    </w:p>
    <w:p w14:paraId="0E0B8325" w14:textId="77777777" w:rsidR="009F3508" w:rsidRDefault="009F3508" w:rsidP="00B42CFD">
      <w:pPr>
        <w:jc w:val="both"/>
      </w:pPr>
    </w:p>
    <w:p w14:paraId="2DBE66F1" w14:textId="7AD80CD0" w:rsidR="00F37D76" w:rsidRDefault="00F37D76" w:rsidP="00F37D76">
      <w:pPr>
        <w:jc w:val="both"/>
      </w:pPr>
      <w:r>
        <w:t xml:space="preserve">The United Kingdom is a richly diverse society </w:t>
      </w:r>
      <w:r w:rsidR="00D122F5">
        <w:t>of</w:t>
      </w:r>
      <w:r>
        <w:t xml:space="preserve"> </w:t>
      </w:r>
      <w:r w:rsidR="00D122F5">
        <w:t>various</w:t>
      </w:r>
      <w:r>
        <w:t xml:space="preserve"> ethnicities, cultures, languages, and religions. This diversity has been shaped over centuries through historical events such as immigration, colonialism, and globalization. The UK is home to various communities, each contributing to the </w:t>
      </w:r>
      <w:r w:rsidR="00D122F5">
        <w:t>nation's social fabric and cultural landscape</w:t>
      </w:r>
      <w:r>
        <w:t xml:space="preserve">. As such, understanding diversity is essential </w:t>
      </w:r>
      <w:r w:rsidR="00D122F5">
        <w:t>for social cohesion and</w:t>
      </w:r>
      <w:r>
        <w:t xml:space="preserve"> fostering mutual respect and inclusivity within society.</w:t>
      </w:r>
    </w:p>
    <w:p w14:paraId="7C7FF32E" w14:textId="77777777" w:rsidR="00F37D76" w:rsidRDefault="00F37D76" w:rsidP="00F37D76">
      <w:pPr>
        <w:jc w:val="both"/>
      </w:pPr>
    </w:p>
    <w:p w14:paraId="53A11E6D" w14:textId="671274BB" w:rsidR="00F37D76" w:rsidRDefault="00F37D76" w:rsidP="00F37D76">
      <w:pPr>
        <w:jc w:val="both"/>
      </w:pPr>
      <w:r>
        <w:t xml:space="preserve">Effective policing requires a deep understanding of the communities they serve. As the demographic landscape of the UK evolves, so too must law enforcement practices. Police forces are increasingly called upon to engage with </w:t>
      </w:r>
      <w:r w:rsidR="00D122F5">
        <w:t>various</w:t>
      </w:r>
      <w:r>
        <w:t xml:space="preserve"> cultural norms, values, and expectations. Adapting policing strategies to reflect this diversity is crucial for building trust and maintaining public safety. Responsive policing can help mitigate issues such as racial profiling, discrimination, and community unrest while promoting greater cooperation between law enforcement and the communities they aim to protect.</w:t>
      </w:r>
    </w:p>
    <w:p w14:paraId="67191908" w14:textId="77777777" w:rsidR="00F37D76" w:rsidRDefault="00F37D76" w:rsidP="00F37D76">
      <w:pPr>
        <w:jc w:val="both"/>
      </w:pPr>
    </w:p>
    <w:p w14:paraId="05E9E4DE" w14:textId="12BD5B7A" w:rsidR="00F37D76" w:rsidRDefault="00F37D76" w:rsidP="00F37D76">
      <w:pPr>
        <w:jc w:val="both"/>
      </w:pPr>
      <w:r>
        <w:t xml:space="preserve">This paper will explore the intricate relationship between diversity and policing in the UK. It will begin by </w:t>
      </w:r>
      <w:r w:rsidR="00D122F5">
        <w:t>analysing</w:t>
      </w:r>
      <w:r>
        <w:t xml:space="preserve"> the current demographic trends and their implications for law enforcement practices. Following this, it will examine case studies that highlight successful community policing initiatives that have embraced diversity. The paper will also consider the challenges faced by police forces in adapting to diverse populations before concluding with recommendations for future policies and practices aimed at fostering inclusive and effective policing. By addressing these aspects, the paper aims to underscore the necessity for a nuanced understanding of diversity within the policing framework in the UK.</w:t>
      </w:r>
    </w:p>
    <w:p w14:paraId="12DC00C7" w14:textId="77777777" w:rsidR="009D274C" w:rsidRDefault="009D274C" w:rsidP="00F37D76">
      <w:pPr>
        <w:jc w:val="both"/>
      </w:pPr>
    </w:p>
    <w:p w14:paraId="137E7A8E" w14:textId="6608D446" w:rsidR="006F47C9" w:rsidRDefault="006F47C9" w:rsidP="00F37D76">
      <w:pPr>
        <w:jc w:val="both"/>
      </w:pPr>
      <w:r w:rsidRPr="006F47C9">
        <w:lastRenderedPageBreak/>
        <w:t xml:space="preserve">During the Middle Ages in England, constables were local officials responsible for community peace, serving unpaid for a year. If a crime </w:t>
      </w:r>
      <w:r>
        <w:t>were</w:t>
      </w:r>
      <w:r w:rsidRPr="006F47C9">
        <w:t xml:space="preserve"> witnessed, the community would raise a "hue and cry" for assistance, a practice that ended in 1827.  Paid nightwatchmen began patrolling London in 1663, and by the late 18th century, many towns followed suit. In 1749, Henry Fielding formed the Bow Street Runners to pursue criminals. The River Police was established in 1798 to protect cargoes, especially given London’s busy status as a port. The early 19th century saw </w:t>
      </w:r>
      <w:r>
        <w:t>scepticism</w:t>
      </w:r>
      <w:r w:rsidRPr="006F47C9">
        <w:t xml:space="preserve"> about a full-time police force in Britain due to fears of government oppression</w:t>
      </w:r>
      <w:r w:rsidR="00A801EA">
        <w:t xml:space="preserve"> </w:t>
      </w:r>
      <w:r w:rsidR="00A801EA" w:rsidRPr="00A801EA">
        <w:t>(Lambert, 2021)</w:t>
      </w:r>
      <w:r w:rsidRPr="006F47C9">
        <w:t xml:space="preserve">. </w:t>
      </w:r>
    </w:p>
    <w:p w14:paraId="0372CF9D" w14:textId="77777777" w:rsidR="009D274C" w:rsidRDefault="009D274C" w:rsidP="00F37D76">
      <w:pPr>
        <w:jc w:val="both"/>
      </w:pPr>
    </w:p>
    <w:p w14:paraId="6E93D644" w14:textId="50F12EBD" w:rsidR="006F47C9" w:rsidRDefault="006F47C9" w:rsidP="00F37D76">
      <w:pPr>
        <w:jc w:val="both"/>
      </w:pPr>
      <w:r w:rsidRPr="006F47C9">
        <w:t xml:space="preserve">However, the Industrial Revolution necessitated organized law enforcement. In 1829, Sir Robert Peel created London’s first police force. Initially unarmed, officers were nicknamed "Bobbies" and wore top hats, later switching to helmets. The first policeman killed </w:t>
      </w:r>
      <w:r>
        <w:t>on</w:t>
      </w:r>
      <w:r w:rsidRPr="006F47C9">
        <w:t xml:space="preserve"> duty was Constable Joseph Grantham in 1830. Reforms in 1835 required boroughs to form their police forces, and by 1856, rural forces were mandated. The first detective force emerged in London in 1842. In the 20th century, fingerprinting, introduced in 1901, revolutionized policing. The first cars arrived in 1903, and by 1910, radio communications were used for arrests. The 999 emergency number was established in 1937, and British policewomen were appointed in 1914. By the 1960s, personal radios made police boxes unnecessary. The Police and Criminal Evidence Act of 1984 changed how arrests and interrogations were handled</w:t>
      </w:r>
      <w:r w:rsidR="00A801EA">
        <w:t xml:space="preserve"> </w:t>
      </w:r>
      <w:r w:rsidR="007A5C14" w:rsidRPr="007A5C14">
        <w:t>(Academia.edu, 2025)</w:t>
      </w:r>
      <w:r w:rsidR="007A5C14">
        <w:t>.</w:t>
      </w:r>
    </w:p>
    <w:p w14:paraId="4180E4E4" w14:textId="77777777" w:rsidR="009D274C" w:rsidRDefault="009D274C" w:rsidP="00F37D76">
      <w:pPr>
        <w:jc w:val="both"/>
      </w:pPr>
    </w:p>
    <w:p w14:paraId="45CBE3E4" w14:textId="3C2C1CC4" w:rsidR="00F450AB" w:rsidRDefault="00F450AB" w:rsidP="00F450AB">
      <w:pPr>
        <w:jc w:val="both"/>
      </w:pPr>
      <w:r>
        <w:t xml:space="preserve">Diversity stands as a primary strategic focus for us, particularly underscored by the Black Lives Matter movement and the tragic death of George Floyd. It is crucial to confront the injustices experienced by ethnic minorities, and improvements in policing practices are necessary. As </w:t>
      </w:r>
      <w:r w:rsidR="00C73B05">
        <w:t>a</w:t>
      </w:r>
      <w:r>
        <w:t xml:space="preserve"> professional organization for the service, we strive to set an example by fostering equality and diversity in both our work and our workforce. To deepen our understanding of professional needs, we are creating connections with police members through secondments</w:t>
      </w:r>
      <w:r w:rsidR="00691638">
        <w:t xml:space="preserve"> </w:t>
      </w:r>
      <w:r w:rsidR="00691638" w:rsidRPr="00691638">
        <w:t>(College of Policing, 2021)</w:t>
      </w:r>
      <w:r>
        <w:t>.</w:t>
      </w:r>
    </w:p>
    <w:p w14:paraId="39F27E5E" w14:textId="77777777" w:rsidR="00F450AB" w:rsidRDefault="00F450AB" w:rsidP="00F450AB">
      <w:pPr>
        <w:jc w:val="both"/>
      </w:pPr>
    </w:p>
    <w:p w14:paraId="409AE2D1" w14:textId="6DA3A553" w:rsidR="00054EBF" w:rsidRDefault="00F450AB" w:rsidP="00F450AB">
      <w:pPr>
        <w:jc w:val="both"/>
      </w:pPr>
      <w:r>
        <w:t>Within our organization, we have launched staff networks and an inclusion program aimed at integrating diversity into our culture. However, feedback suggests that our efforts need to better resonate with lived experiences. This strategy prioritizes our workforce while extending to broader Diversity, Equality, and Inclusion (DEI) initiatives within the profession. We are partnering with stakeholders to apply evidence-based practices and evaluate the real impact of our work rather than merely ensuring compliance. The Chief Executive and the Senior Management Team are dedicated to championing this initiative, highlighting our collective responsibility to advance our strategy</w:t>
      </w:r>
      <w:r w:rsidR="00C73B05">
        <w:t xml:space="preserve"> </w:t>
      </w:r>
      <w:r w:rsidR="00C73B05" w:rsidRPr="00691638">
        <w:t>(College of Policing, 2021)</w:t>
      </w:r>
      <w:r>
        <w:t>.</w:t>
      </w:r>
    </w:p>
    <w:p w14:paraId="279392B8" w14:textId="77777777" w:rsidR="009D274C" w:rsidRDefault="009D274C" w:rsidP="00F450AB">
      <w:pPr>
        <w:jc w:val="both"/>
      </w:pPr>
    </w:p>
    <w:p w14:paraId="5DC490DE" w14:textId="77777777" w:rsidR="00313700" w:rsidRDefault="00313700" w:rsidP="00313700">
      <w:pPr>
        <w:jc w:val="both"/>
      </w:pPr>
      <w:r>
        <w:t>In conclusion, the interplay between diversity and policing in the United Kingdom is both complex and vital for fostering a truly inclusive society. As the demographic landscape continues to evolve, law enforcement agencies must not only acknowledge this diversity but actively engage with it to build trust within communities. The historical context of policing reveals a necessity for adaptation, reflecting changing societal needs and addressing longstanding issues such as discrimination and racial profiling.</w:t>
      </w:r>
    </w:p>
    <w:p w14:paraId="58F676A7" w14:textId="77777777" w:rsidR="00313700" w:rsidRDefault="00313700" w:rsidP="00313700">
      <w:pPr>
        <w:jc w:val="both"/>
      </w:pPr>
    </w:p>
    <w:p w14:paraId="7321AC19" w14:textId="6DCFE9A2" w:rsidR="00313700" w:rsidRDefault="00313700" w:rsidP="00313700">
      <w:pPr>
        <w:jc w:val="both"/>
      </w:pPr>
      <w:r>
        <w:t>The case studies and initiatives explored throughout the paper demonstrate that effective, responsive policing can lead to successful outcomes, enhancing public safety and community relations. However, challenges remain in fully integrating diverse perspectives within law enforcement practices. The commitment to diversity, equality, and inclusion should be reflected in every aspect of policing, from recruitment to community engagement.</w:t>
      </w:r>
    </w:p>
    <w:p w14:paraId="691370F2" w14:textId="77777777" w:rsidR="009D274C" w:rsidRDefault="009D274C" w:rsidP="00313700">
      <w:pPr>
        <w:jc w:val="both"/>
      </w:pPr>
    </w:p>
    <w:p w14:paraId="5B93E995" w14:textId="6DD43225" w:rsidR="00313700" w:rsidRDefault="00313700" w:rsidP="00313700">
      <w:pPr>
        <w:jc w:val="both"/>
      </w:pPr>
      <w:r>
        <w:lastRenderedPageBreak/>
        <w:t>To move forward, the recommendations for enhanced policies and practices must emphasize collaboration with community members, continuous evaluation of initiatives, and a genuine commitment to addressing the unique challenges faced by minority groups. By prioritizing these efforts, the policing framework in the UK can evolve into a more inclusive and effective entity that not only serves its communities but truly embodies the ideals of justice and equality for all.</w:t>
      </w:r>
    </w:p>
    <w:p w14:paraId="35D116C5" w14:textId="77777777" w:rsidR="009D274C" w:rsidRDefault="009D274C" w:rsidP="00313700">
      <w:pPr>
        <w:jc w:val="both"/>
      </w:pPr>
    </w:p>
    <w:p w14:paraId="6D7A3D8E" w14:textId="40122311" w:rsidR="0062611E" w:rsidRDefault="00E65D3E" w:rsidP="00B42CFD">
      <w:pPr>
        <w:jc w:val="both"/>
      </w:pPr>
      <w:r>
        <w:t>Reference</w:t>
      </w:r>
    </w:p>
    <w:p w14:paraId="209E784E" w14:textId="77777777" w:rsidR="002943FA" w:rsidRPr="002943FA" w:rsidRDefault="002943FA" w:rsidP="002943FA">
      <w:pPr>
        <w:jc w:val="both"/>
      </w:pPr>
      <w:r w:rsidRPr="002943FA">
        <w:t>Academia.edu. (2025). </w:t>
      </w:r>
      <w:r w:rsidRPr="002943FA">
        <w:rPr>
          <w:i/>
          <w:iCs/>
        </w:rPr>
        <w:t>Academia.edu - Find Research Papers, Topics, Researchers</w:t>
      </w:r>
      <w:r w:rsidRPr="002943FA">
        <w:t>. [online] Available at: https://www.academia.edu/?h=10896922 [Accessed 3 Mar. 2025].</w:t>
      </w:r>
    </w:p>
    <w:p w14:paraId="20FEDA8A" w14:textId="6F2824D2" w:rsidR="009F3508" w:rsidRDefault="002943FA" w:rsidP="002E31D3">
      <w:pPr>
        <w:jc w:val="both"/>
      </w:pPr>
      <w:r w:rsidRPr="002943FA">
        <w:t>‌</w:t>
      </w:r>
      <w:r w:rsidR="009F3508" w:rsidRPr="009F3508">
        <w:t>Allchild.org. (2023). </w:t>
      </w:r>
      <w:r w:rsidR="009F3508" w:rsidRPr="009F3508">
        <w:rPr>
          <w:i/>
          <w:iCs/>
        </w:rPr>
        <w:t>AllChild</w:t>
      </w:r>
      <w:r w:rsidR="009F3508" w:rsidRPr="009F3508">
        <w:t>. [online] Available at: https://www.allchild.org/resource/childrens-social-care-and-early-intervention---whats-the-evidence [Accessed 3 Mar. 2025].</w:t>
      </w:r>
    </w:p>
    <w:p w14:paraId="365558F5" w14:textId="177FE848" w:rsidR="002E31D3" w:rsidRPr="002E31D3" w:rsidRDefault="002E31D3" w:rsidP="002E31D3">
      <w:pPr>
        <w:jc w:val="both"/>
      </w:pPr>
      <w:r w:rsidRPr="002E31D3">
        <w:t>Alleyne, E. and Wood, J.L. (2010). Gang involvement: psychological and behavioral characteristics of gang members, peripheral youth, and nongang Youth. </w:t>
      </w:r>
      <w:r w:rsidRPr="002E31D3">
        <w:rPr>
          <w:i/>
          <w:iCs/>
        </w:rPr>
        <w:t>Aggressive Behavior</w:t>
      </w:r>
      <w:r w:rsidRPr="002E31D3">
        <w:t>, [online] 36(6), pp.423–436. doi:https://doi.org/10.1002/ab.20360.</w:t>
      </w:r>
    </w:p>
    <w:p w14:paraId="6D1519C6" w14:textId="032109BD" w:rsidR="00600470" w:rsidRDefault="002E31D3" w:rsidP="00B42CFD">
      <w:pPr>
        <w:jc w:val="both"/>
      </w:pPr>
      <w:r w:rsidRPr="002E31D3">
        <w:t>‌</w:t>
      </w:r>
      <w:r w:rsidR="006731C6" w:rsidRPr="006731C6">
        <w:t>Biswas, S. (2023). A review of socio-economic vulnerability: The emergence of its theoretical concepts, models and methodologies. doi:https://doi.org/10.1016/j.nhres.2023.05.005.</w:t>
      </w:r>
    </w:p>
    <w:p w14:paraId="67F4FB36" w14:textId="77777777" w:rsidR="00691638" w:rsidRPr="00691638" w:rsidRDefault="00691638" w:rsidP="00691638">
      <w:pPr>
        <w:jc w:val="both"/>
      </w:pPr>
      <w:r w:rsidRPr="00691638">
        <w:t>College of Policing (2021). </w:t>
      </w:r>
      <w:r w:rsidRPr="00691638">
        <w:rPr>
          <w:i/>
          <w:iCs/>
        </w:rPr>
        <w:t>Diversity, equality and inclusion strategy 2021-2024</w:t>
      </w:r>
      <w:r w:rsidRPr="00691638">
        <w:t>. [online] Available at: https://assets.college.police.uk/s3fs-public/2021-10/Diversity-equality-and-inclusion-strategy.pdf.</w:t>
      </w:r>
    </w:p>
    <w:p w14:paraId="7B14632D" w14:textId="30725457" w:rsidR="006F64EE" w:rsidRDefault="00691638" w:rsidP="00B42CFD">
      <w:pPr>
        <w:jc w:val="both"/>
      </w:pPr>
      <w:r w:rsidRPr="00691638">
        <w:t>‌</w:t>
      </w:r>
      <w:r w:rsidR="006F64EE" w:rsidRPr="006F64EE">
        <w:t>College of Policing (2024). </w:t>
      </w:r>
      <w:r w:rsidR="006F64EE" w:rsidRPr="006F64EE">
        <w:rPr>
          <w:i/>
          <w:iCs/>
        </w:rPr>
        <w:t>Ethical policing principles</w:t>
      </w:r>
      <w:r w:rsidR="006F64EE" w:rsidRPr="006F64EE">
        <w:t xml:space="preserve">. [online] www.college.police.uk. Available at: </w:t>
      </w:r>
      <w:hyperlink r:id="rId5" w:history="1">
        <w:r w:rsidR="00A70FF4" w:rsidRPr="00F94467">
          <w:rPr>
            <w:rStyle w:val="Hyperlink"/>
          </w:rPr>
          <w:t>https://www.college.police.uk/ethics/code-of-ethics/principles</w:t>
        </w:r>
      </w:hyperlink>
      <w:r w:rsidR="006F64EE" w:rsidRPr="006F64EE">
        <w:t>.</w:t>
      </w:r>
    </w:p>
    <w:p w14:paraId="743EEC12" w14:textId="12063750" w:rsidR="00A70FF4" w:rsidRDefault="00A70FF4" w:rsidP="00B42CFD">
      <w:pPr>
        <w:jc w:val="both"/>
      </w:pPr>
      <w:r w:rsidRPr="00A70FF4">
        <w:t>College Of Policing (2024). </w:t>
      </w:r>
      <w:r w:rsidRPr="00A70FF4">
        <w:rPr>
          <w:i/>
          <w:iCs/>
        </w:rPr>
        <w:t>Guidance for ethical and professional behaviour in policing</w:t>
      </w:r>
      <w:r w:rsidRPr="00A70FF4">
        <w:t xml:space="preserve">. [online] College of Policing. Available at: </w:t>
      </w:r>
      <w:hyperlink r:id="rId6" w:history="1">
        <w:r w:rsidR="00BA55BC" w:rsidRPr="00A70FF4">
          <w:rPr>
            <w:rStyle w:val="Hyperlink"/>
          </w:rPr>
          <w:t>https://www.college.police.uk/ethics/code-of-ethics/guidance</w:t>
        </w:r>
      </w:hyperlink>
      <w:r w:rsidRPr="00A70FF4">
        <w:t>.</w:t>
      </w:r>
    </w:p>
    <w:p w14:paraId="22FF8CC6" w14:textId="502F5005" w:rsidR="00BA55BC" w:rsidRDefault="00BA55BC" w:rsidP="00B42CFD">
      <w:pPr>
        <w:jc w:val="both"/>
      </w:pPr>
      <w:r w:rsidRPr="00BA55BC">
        <w:t>College of Policing (2013). </w:t>
      </w:r>
      <w:r w:rsidRPr="00BA55BC">
        <w:rPr>
          <w:i/>
          <w:iCs/>
        </w:rPr>
        <w:t>National Decision Model</w:t>
      </w:r>
      <w:r w:rsidRPr="00BA55BC">
        <w:t xml:space="preserve">. [online] College of Policing. Available at: </w:t>
      </w:r>
      <w:hyperlink r:id="rId7" w:history="1">
        <w:r w:rsidRPr="00BA55BC">
          <w:rPr>
            <w:rStyle w:val="Hyperlink"/>
          </w:rPr>
          <w:t>https://www.college.police.uk/app/national-decision-model/national-decision-model?highlight=national%20decision%20model</w:t>
        </w:r>
      </w:hyperlink>
      <w:r w:rsidRPr="00BA55BC">
        <w:t>.</w:t>
      </w:r>
    </w:p>
    <w:p w14:paraId="238F7A76" w14:textId="77777777" w:rsidR="00150FCF" w:rsidRPr="00150FCF" w:rsidRDefault="00150FCF" w:rsidP="00150FCF">
      <w:pPr>
        <w:jc w:val="both"/>
      </w:pPr>
      <w:r w:rsidRPr="00150FCF">
        <w:t>Early Intervention Foundation (2024). </w:t>
      </w:r>
      <w:r w:rsidRPr="00150FCF">
        <w:rPr>
          <w:i/>
          <w:iCs/>
        </w:rPr>
        <w:t>What is early intervention?</w:t>
      </w:r>
      <w:r w:rsidRPr="00150FCF">
        <w:t> [online] Early Intervention Foundation. Available at: https://www.eif.org.uk/why-it-matters/what-is-early-intervention.</w:t>
      </w:r>
    </w:p>
    <w:p w14:paraId="5171A451" w14:textId="71F441C5" w:rsidR="00886732" w:rsidRDefault="00150FCF" w:rsidP="00B42CFD">
      <w:pPr>
        <w:jc w:val="both"/>
      </w:pPr>
      <w:r w:rsidRPr="00150FCF">
        <w:t>‌</w:t>
      </w:r>
      <w:r w:rsidR="00886732" w:rsidRPr="00886732">
        <w:t>Handa, H. (n.d.). </w:t>
      </w:r>
      <w:r w:rsidR="00886732" w:rsidRPr="00886732">
        <w:rPr>
          <w:i/>
          <w:iCs/>
        </w:rPr>
        <w:t>Indian Journal of Integrated Research in Law LAWS FOR PREVENTION OF ORGANISED CRIMES IN INDIA: A COMPREHENSIVE ANALYSIS</w:t>
      </w:r>
      <w:r w:rsidR="00886732" w:rsidRPr="00886732">
        <w:t>. [online] Available at: https://ijirl.com/wp-content/uploads/2024/03/LAWS-FOR-PREVENTION-OF-ORGANISED-CRIMES-IN-INDIA-A-COMPREHENSIVE-ANALYSIS.pdf [Accessed 15 Feb. 2025].</w:t>
      </w:r>
    </w:p>
    <w:p w14:paraId="3D016DB2" w14:textId="77777777" w:rsidR="008200BF" w:rsidRPr="008200BF" w:rsidRDefault="008200BF" w:rsidP="008200BF">
      <w:pPr>
        <w:jc w:val="both"/>
      </w:pPr>
      <w:r w:rsidRPr="008200BF">
        <w:t>Harris, D., Turner, R., Garrett, I. and Atkinson, S. (2011). </w:t>
      </w:r>
      <w:r w:rsidRPr="008200BF">
        <w:rPr>
          <w:i/>
          <w:iCs/>
        </w:rPr>
        <w:t>Understanding the psychology of gang violence: implications for designing effective violence interventions</w:t>
      </w:r>
      <w:r w:rsidRPr="008200BF">
        <w:t>. [online] Available at: https://assets.publishing.service.gov.uk/government/uploads/system/uploads/attachment_data/file/217379/research-gang-violence.pdf.</w:t>
      </w:r>
    </w:p>
    <w:p w14:paraId="78B67269" w14:textId="6F3FA3AD" w:rsidR="00906C99" w:rsidRDefault="008200BF" w:rsidP="00B42CFD">
      <w:pPr>
        <w:jc w:val="both"/>
      </w:pPr>
      <w:r w:rsidRPr="008200BF">
        <w:t>‌</w:t>
      </w:r>
      <w:r w:rsidR="00906C99" w:rsidRPr="00906C99">
        <w:t>Harrison, K., L’Hoiry, X. and Santorso, S. (2021). Exploring the impact of body-worn video on the everyday behaviours of police officers. </w:t>
      </w:r>
      <w:r w:rsidR="00906C99" w:rsidRPr="00906C99">
        <w:rPr>
          <w:i/>
          <w:iCs/>
        </w:rPr>
        <w:t>The Police Journal: Theory, Practice and Principles</w:t>
      </w:r>
      <w:r w:rsidR="00906C99" w:rsidRPr="00906C99">
        <w:t>, [online] 95(2), p.0032258X2110008. doi:https://doi.org/10.1177/0032258x211000834.</w:t>
      </w:r>
    </w:p>
    <w:p w14:paraId="3D24108B" w14:textId="16C9E643" w:rsidR="003C6816" w:rsidRDefault="003C6816" w:rsidP="00B42CFD">
      <w:pPr>
        <w:jc w:val="both"/>
      </w:pPr>
      <w:r w:rsidRPr="003C6816">
        <w:t>Home Office (2013). </w:t>
      </w:r>
      <w:r w:rsidRPr="003C6816">
        <w:rPr>
          <w:i/>
          <w:iCs/>
        </w:rPr>
        <w:t>Police and Criminal Evidence Act 1984 (PACE) Codes of Practice</w:t>
      </w:r>
      <w:r w:rsidRPr="003C6816">
        <w:t>. [online] GOV.UK. Available at: https://www.gov.uk/guidance/police-and-criminal-evidence-act-1984-pace-codes-of-practice.</w:t>
      </w:r>
    </w:p>
    <w:p w14:paraId="018F6BDC" w14:textId="77777777" w:rsidR="003F77A8" w:rsidRPr="003F77A8" w:rsidRDefault="003F77A8" w:rsidP="003F77A8">
      <w:pPr>
        <w:jc w:val="both"/>
      </w:pPr>
      <w:r w:rsidRPr="003F77A8">
        <w:t>Lambert, T. (2021). </w:t>
      </w:r>
      <w:r w:rsidRPr="003F77A8">
        <w:rPr>
          <w:i/>
          <w:iCs/>
        </w:rPr>
        <w:t>A BRIEF HISTORY OF THE BRITISH POLICE</w:t>
      </w:r>
      <w:r w:rsidRPr="003F77A8">
        <w:t>. [online] Local Histories. Available at: https://localhistories.org/a-brief-history-of-the-british-police/.</w:t>
      </w:r>
    </w:p>
    <w:p w14:paraId="1DEC3A33" w14:textId="78C71EF9" w:rsidR="000F646B" w:rsidRDefault="003F77A8" w:rsidP="00B42CFD">
      <w:pPr>
        <w:jc w:val="both"/>
      </w:pPr>
      <w:r w:rsidRPr="003F77A8">
        <w:lastRenderedPageBreak/>
        <w:t>‌</w:t>
      </w:r>
      <w:r w:rsidR="000F646B" w:rsidRPr="000F646B">
        <w:t>Lum, C., Koper, C.S., Wilson, D.B., Stoltz, M., Goodier, M., Eggins, E., Higginson, A. and Mazerolle, L. (2020). Body</w:t>
      </w:r>
      <w:r w:rsidR="000F646B" w:rsidRPr="000F646B">
        <w:rPr>
          <w:rFonts w:ascii="Cambria Math" w:hAnsi="Cambria Math" w:cs="Cambria Math"/>
        </w:rPr>
        <w:t>‐</w:t>
      </w:r>
      <w:r w:rsidR="000F646B" w:rsidRPr="000F646B">
        <w:t>worn cameras</w:t>
      </w:r>
      <w:r w:rsidR="000F646B" w:rsidRPr="000F646B">
        <w:rPr>
          <w:rFonts w:ascii="Aptos" w:hAnsi="Aptos" w:cs="Aptos"/>
        </w:rPr>
        <w:t>’</w:t>
      </w:r>
      <w:r w:rsidR="000F646B" w:rsidRPr="000F646B">
        <w:t xml:space="preserve"> effects on police officers and citizen behavior: A systematic review.</w:t>
      </w:r>
      <w:r w:rsidR="000F646B" w:rsidRPr="000F646B">
        <w:rPr>
          <w:rFonts w:ascii="Aptos" w:hAnsi="Aptos" w:cs="Aptos"/>
        </w:rPr>
        <w:t> </w:t>
      </w:r>
      <w:r w:rsidR="000F646B" w:rsidRPr="000F646B">
        <w:rPr>
          <w:i/>
          <w:iCs/>
        </w:rPr>
        <w:t>Campbell Systematic Reviews</w:t>
      </w:r>
      <w:r w:rsidR="000F646B" w:rsidRPr="000F646B">
        <w:t>, [online] 16(3). doi:https://doi.org/10.1002/cl2.1112.</w:t>
      </w:r>
    </w:p>
    <w:p w14:paraId="63C4DF1A" w14:textId="77777777" w:rsidR="008A5DBC" w:rsidRPr="008A5DBC" w:rsidRDefault="008A5DBC" w:rsidP="008A5DBC">
      <w:r w:rsidRPr="008A5DBC">
        <w:t>Mason, P. and Prior, D. (2008). </w:t>
      </w:r>
      <w:r w:rsidRPr="008A5DBC">
        <w:rPr>
          <w:i/>
          <w:iCs/>
        </w:rPr>
        <w:t>Engaging Young People who Offend Source document Engaging Young People who Offend 2</w:t>
      </w:r>
      <w:r w:rsidRPr="008A5DBC">
        <w:t>. [online] Available at: https://assets.publishing.service.gov.uk/media/5a7d0020e5274a2af0ae2c36/Final_EYP_source.pdf.</w:t>
      </w:r>
    </w:p>
    <w:p w14:paraId="6321B053" w14:textId="62044AFF" w:rsidR="0082447A" w:rsidRPr="000F646B" w:rsidRDefault="0082447A" w:rsidP="00B42CFD">
      <w:pPr>
        <w:jc w:val="both"/>
      </w:pPr>
      <w:r w:rsidRPr="0082447A">
        <w:t>Numans, W., Regenmortel, T.V., Schalk, R. and Boog, J. (2020). Vulnerable persons in society: an insider’s perspective. </w:t>
      </w:r>
      <w:r w:rsidRPr="0082447A">
        <w:rPr>
          <w:i/>
          <w:iCs/>
        </w:rPr>
        <w:t>International Journal of Qualitative Studies on Health and Well-being</w:t>
      </w:r>
      <w:r w:rsidRPr="0082447A">
        <w:t>, [online] 16(1), p.1863598. doi:https://doi.org/10.1080/17482631.2020.1863598.</w:t>
      </w:r>
    </w:p>
    <w:p w14:paraId="3B606B57" w14:textId="54C34220" w:rsidR="00E65D3E" w:rsidRPr="00E65D3E" w:rsidRDefault="00E65D3E" w:rsidP="00B42CFD">
      <w:pPr>
        <w:jc w:val="both"/>
      </w:pPr>
      <w:r w:rsidRPr="00E65D3E">
        <w:t>Ozin, P., Norton, H., Lay, W., Featherstone, A., Phillips, J. and Barker, D. (2019). </w:t>
      </w:r>
      <w:r w:rsidRPr="00E65D3E">
        <w:rPr>
          <w:i/>
          <w:iCs/>
        </w:rPr>
        <w:t>PACE : a practical guide to the Police and Criminal Evidence Act 1984</w:t>
      </w:r>
      <w:r w:rsidRPr="00E65D3E">
        <w:t>. Oxford, United Kingdom: Oxford University Press.</w:t>
      </w:r>
    </w:p>
    <w:p w14:paraId="7D02C19E" w14:textId="77777777" w:rsidR="00E65D3E" w:rsidRPr="00E65D3E" w:rsidRDefault="00E65D3E" w:rsidP="00B42CFD">
      <w:pPr>
        <w:jc w:val="both"/>
      </w:pPr>
      <w:r w:rsidRPr="00E65D3E">
        <w:t>‌</w:t>
      </w:r>
    </w:p>
    <w:p w14:paraId="32B1DF45" w14:textId="77777777" w:rsidR="00E65D3E" w:rsidRPr="00155054" w:rsidRDefault="00E65D3E" w:rsidP="00B42CFD">
      <w:pPr>
        <w:jc w:val="both"/>
      </w:pPr>
    </w:p>
    <w:sectPr w:rsidR="00E65D3E" w:rsidRPr="00155054" w:rsidSect="004E7AF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DC256D"/>
    <w:multiLevelType w:val="hybridMultilevel"/>
    <w:tmpl w:val="3E2EF262"/>
    <w:lvl w:ilvl="0" w:tplc="733654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280C09"/>
    <w:multiLevelType w:val="hybridMultilevel"/>
    <w:tmpl w:val="B524D9CE"/>
    <w:lvl w:ilvl="0" w:tplc="58ECB470">
      <w:start w:val="1"/>
      <w:numFmt w:val="decimal"/>
      <w:lvlText w:val="%1."/>
      <w:lvlJc w:val="left"/>
      <w:pPr>
        <w:ind w:left="927" w:hanging="360"/>
      </w:pPr>
      <w:rPr>
        <w:rFonts w:hint="default"/>
        <w:b/>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6A3658EB"/>
    <w:multiLevelType w:val="hybridMultilevel"/>
    <w:tmpl w:val="8A80F7AC"/>
    <w:lvl w:ilvl="0" w:tplc="5CAED518">
      <w:start w:val="1"/>
      <w:numFmt w:val="upperLetter"/>
      <w:lvlText w:val="%1."/>
      <w:lvlJc w:val="left"/>
      <w:pPr>
        <w:ind w:left="495" w:hanging="360"/>
      </w:pPr>
      <w:rPr>
        <w:rFonts w:hint="default"/>
      </w:rPr>
    </w:lvl>
    <w:lvl w:ilvl="1" w:tplc="08090019" w:tentative="1">
      <w:start w:val="1"/>
      <w:numFmt w:val="lowerLetter"/>
      <w:lvlText w:val="%2."/>
      <w:lvlJc w:val="left"/>
      <w:pPr>
        <w:ind w:left="1215" w:hanging="360"/>
      </w:pPr>
    </w:lvl>
    <w:lvl w:ilvl="2" w:tplc="0809001B" w:tentative="1">
      <w:start w:val="1"/>
      <w:numFmt w:val="lowerRoman"/>
      <w:lvlText w:val="%3."/>
      <w:lvlJc w:val="right"/>
      <w:pPr>
        <w:ind w:left="1935" w:hanging="180"/>
      </w:pPr>
    </w:lvl>
    <w:lvl w:ilvl="3" w:tplc="0809000F" w:tentative="1">
      <w:start w:val="1"/>
      <w:numFmt w:val="decimal"/>
      <w:lvlText w:val="%4."/>
      <w:lvlJc w:val="left"/>
      <w:pPr>
        <w:ind w:left="2655" w:hanging="360"/>
      </w:pPr>
    </w:lvl>
    <w:lvl w:ilvl="4" w:tplc="08090019" w:tentative="1">
      <w:start w:val="1"/>
      <w:numFmt w:val="lowerLetter"/>
      <w:lvlText w:val="%5."/>
      <w:lvlJc w:val="left"/>
      <w:pPr>
        <w:ind w:left="3375" w:hanging="360"/>
      </w:pPr>
    </w:lvl>
    <w:lvl w:ilvl="5" w:tplc="0809001B" w:tentative="1">
      <w:start w:val="1"/>
      <w:numFmt w:val="lowerRoman"/>
      <w:lvlText w:val="%6."/>
      <w:lvlJc w:val="right"/>
      <w:pPr>
        <w:ind w:left="4095" w:hanging="180"/>
      </w:pPr>
    </w:lvl>
    <w:lvl w:ilvl="6" w:tplc="0809000F" w:tentative="1">
      <w:start w:val="1"/>
      <w:numFmt w:val="decimal"/>
      <w:lvlText w:val="%7."/>
      <w:lvlJc w:val="left"/>
      <w:pPr>
        <w:ind w:left="4815" w:hanging="360"/>
      </w:pPr>
    </w:lvl>
    <w:lvl w:ilvl="7" w:tplc="08090019" w:tentative="1">
      <w:start w:val="1"/>
      <w:numFmt w:val="lowerLetter"/>
      <w:lvlText w:val="%8."/>
      <w:lvlJc w:val="left"/>
      <w:pPr>
        <w:ind w:left="5535" w:hanging="360"/>
      </w:pPr>
    </w:lvl>
    <w:lvl w:ilvl="8" w:tplc="0809001B" w:tentative="1">
      <w:start w:val="1"/>
      <w:numFmt w:val="lowerRoman"/>
      <w:lvlText w:val="%9."/>
      <w:lvlJc w:val="right"/>
      <w:pPr>
        <w:ind w:left="6255" w:hanging="180"/>
      </w:pPr>
    </w:lvl>
  </w:abstractNum>
  <w:num w:numId="1" w16cid:durableId="862475340">
    <w:abstractNumId w:val="1"/>
  </w:num>
  <w:num w:numId="2" w16cid:durableId="1831746605">
    <w:abstractNumId w:val="0"/>
  </w:num>
  <w:num w:numId="3" w16cid:durableId="173425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A74"/>
    <w:rsid w:val="00053307"/>
    <w:rsid w:val="00054EBF"/>
    <w:rsid w:val="000C168B"/>
    <w:rsid w:val="000D455A"/>
    <w:rsid w:val="000E4DE0"/>
    <w:rsid w:val="000E54FF"/>
    <w:rsid w:val="000E758F"/>
    <w:rsid w:val="000F646B"/>
    <w:rsid w:val="000F7DDB"/>
    <w:rsid w:val="00103855"/>
    <w:rsid w:val="00142606"/>
    <w:rsid w:val="00150FCF"/>
    <w:rsid w:val="00152367"/>
    <w:rsid w:val="0015305F"/>
    <w:rsid w:val="001544EC"/>
    <w:rsid w:val="00155054"/>
    <w:rsid w:val="00183EC0"/>
    <w:rsid w:val="00184FB5"/>
    <w:rsid w:val="00186A4B"/>
    <w:rsid w:val="00196DF2"/>
    <w:rsid w:val="001D73F6"/>
    <w:rsid w:val="001D765E"/>
    <w:rsid w:val="001E52D8"/>
    <w:rsid w:val="001F0BC5"/>
    <w:rsid w:val="002406CC"/>
    <w:rsid w:val="00284F5C"/>
    <w:rsid w:val="002931A0"/>
    <w:rsid w:val="002943FA"/>
    <w:rsid w:val="002A6210"/>
    <w:rsid w:val="002B184E"/>
    <w:rsid w:val="002C3B08"/>
    <w:rsid w:val="002D3D96"/>
    <w:rsid w:val="002E0E36"/>
    <w:rsid w:val="002E31D3"/>
    <w:rsid w:val="002E3517"/>
    <w:rsid w:val="00312685"/>
    <w:rsid w:val="00313700"/>
    <w:rsid w:val="0034324C"/>
    <w:rsid w:val="00361231"/>
    <w:rsid w:val="00380AE2"/>
    <w:rsid w:val="00386001"/>
    <w:rsid w:val="003B0F29"/>
    <w:rsid w:val="003C6816"/>
    <w:rsid w:val="003D7C91"/>
    <w:rsid w:val="003F3A3C"/>
    <w:rsid w:val="003F77A8"/>
    <w:rsid w:val="003F7A9E"/>
    <w:rsid w:val="00403037"/>
    <w:rsid w:val="00403CBC"/>
    <w:rsid w:val="00425060"/>
    <w:rsid w:val="00445825"/>
    <w:rsid w:val="004460C1"/>
    <w:rsid w:val="00446C91"/>
    <w:rsid w:val="00451F68"/>
    <w:rsid w:val="00455D2F"/>
    <w:rsid w:val="0048212A"/>
    <w:rsid w:val="004C03F4"/>
    <w:rsid w:val="004D0B2C"/>
    <w:rsid w:val="004E7AF6"/>
    <w:rsid w:val="004F19B3"/>
    <w:rsid w:val="004F797D"/>
    <w:rsid w:val="00530B15"/>
    <w:rsid w:val="005363EC"/>
    <w:rsid w:val="005604CA"/>
    <w:rsid w:val="005976A4"/>
    <w:rsid w:val="005B7445"/>
    <w:rsid w:val="005C6702"/>
    <w:rsid w:val="005D049C"/>
    <w:rsid w:val="00600113"/>
    <w:rsid w:val="00600470"/>
    <w:rsid w:val="0062611E"/>
    <w:rsid w:val="00660FA9"/>
    <w:rsid w:val="006679FB"/>
    <w:rsid w:val="006731C6"/>
    <w:rsid w:val="006810B0"/>
    <w:rsid w:val="00691638"/>
    <w:rsid w:val="006F47C9"/>
    <w:rsid w:val="006F64EE"/>
    <w:rsid w:val="00700820"/>
    <w:rsid w:val="007117FC"/>
    <w:rsid w:val="00740E43"/>
    <w:rsid w:val="00743D42"/>
    <w:rsid w:val="007537E1"/>
    <w:rsid w:val="0077501E"/>
    <w:rsid w:val="007A5C14"/>
    <w:rsid w:val="007B5451"/>
    <w:rsid w:val="007E2370"/>
    <w:rsid w:val="00812257"/>
    <w:rsid w:val="00815ED6"/>
    <w:rsid w:val="008200BF"/>
    <w:rsid w:val="0082447A"/>
    <w:rsid w:val="008322A3"/>
    <w:rsid w:val="00851247"/>
    <w:rsid w:val="00852340"/>
    <w:rsid w:val="00886732"/>
    <w:rsid w:val="008A5DBC"/>
    <w:rsid w:val="008C1B90"/>
    <w:rsid w:val="008C3782"/>
    <w:rsid w:val="008D120C"/>
    <w:rsid w:val="008F3AED"/>
    <w:rsid w:val="00906C99"/>
    <w:rsid w:val="00922FE9"/>
    <w:rsid w:val="0096628F"/>
    <w:rsid w:val="0096672C"/>
    <w:rsid w:val="009A4EE9"/>
    <w:rsid w:val="009B3200"/>
    <w:rsid w:val="009D274C"/>
    <w:rsid w:val="009D6411"/>
    <w:rsid w:val="009F3508"/>
    <w:rsid w:val="00A01A08"/>
    <w:rsid w:val="00A029AF"/>
    <w:rsid w:val="00A05ADC"/>
    <w:rsid w:val="00A14A10"/>
    <w:rsid w:val="00A40E86"/>
    <w:rsid w:val="00A43123"/>
    <w:rsid w:val="00A70FF4"/>
    <w:rsid w:val="00A72492"/>
    <w:rsid w:val="00A733E5"/>
    <w:rsid w:val="00A801EA"/>
    <w:rsid w:val="00AD0882"/>
    <w:rsid w:val="00AE256A"/>
    <w:rsid w:val="00AF5F95"/>
    <w:rsid w:val="00B232CA"/>
    <w:rsid w:val="00B30648"/>
    <w:rsid w:val="00B42CFD"/>
    <w:rsid w:val="00B47BC0"/>
    <w:rsid w:val="00B71424"/>
    <w:rsid w:val="00B71A1E"/>
    <w:rsid w:val="00B75051"/>
    <w:rsid w:val="00B84E51"/>
    <w:rsid w:val="00BA55BC"/>
    <w:rsid w:val="00BD2625"/>
    <w:rsid w:val="00BE1CD1"/>
    <w:rsid w:val="00BE6A74"/>
    <w:rsid w:val="00C06870"/>
    <w:rsid w:val="00C16381"/>
    <w:rsid w:val="00C24AD6"/>
    <w:rsid w:val="00C3149B"/>
    <w:rsid w:val="00C73B05"/>
    <w:rsid w:val="00C7445D"/>
    <w:rsid w:val="00C87A18"/>
    <w:rsid w:val="00CB0573"/>
    <w:rsid w:val="00CC4FE6"/>
    <w:rsid w:val="00CE50A8"/>
    <w:rsid w:val="00CF1005"/>
    <w:rsid w:val="00D005C3"/>
    <w:rsid w:val="00D122F5"/>
    <w:rsid w:val="00D2618D"/>
    <w:rsid w:val="00D91EE6"/>
    <w:rsid w:val="00DB75E8"/>
    <w:rsid w:val="00DE47FC"/>
    <w:rsid w:val="00DE4A0E"/>
    <w:rsid w:val="00E24660"/>
    <w:rsid w:val="00E40675"/>
    <w:rsid w:val="00E65D3E"/>
    <w:rsid w:val="00E670C1"/>
    <w:rsid w:val="00E840F7"/>
    <w:rsid w:val="00EA5FE9"/>
    <w:rsid w:val="00EB3066"/>
    <w:rsid w:val="00F02BEE"/>
    <w:rsid w:val="00F37D76"/>
    <w:rsid w:val="00F450AB"/>
    <w:rsid w:val="00F572ED"/>
    <w:rsid w:val="00F62DEF"/>
    <w:rsid w:val="00FD3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1D37F8"/>
  <w15:chartTrackingRefBased/>
  <w15:docId w15:val="{42572015-9606-4875-AFD1-A8B82061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A74"/>
    <w:rPr>
      <w:kern w:val="0"/>
    </w:rPr>
  </w:style>
  <w:style w:type="paragraph" w:styleId="Heading1">
    <w:name w:val="heading 1"/>
    <w:basedOn w:val="Normal"/>
    <w:next w:val="Normal"/>
    <w:link w:val="Heading1Char"/>
    <w:uiPriority w:val="9"/>
    <w:qFormat/>
    <w:rsid w:val="00BE6A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A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A74"/>
    <w:rPr>
      <w:rFonts w:eastAsiaTheme="majorEastAsia" w:cstheme="majorBidi"/>
      <w:color w:val="272727" w:themeColor="text1" w:themeTint="D8"/>
    </w:rPr>
  </w:style>
  <w:style w:type="paragraph" w:styleId="Title">
    <w:name w:val="Title"/>
    <w:basedOn w:val="Normal"/>
    <w:next w:val="Normal"/>
    <w:link w:val="TitleChar"/>
    <w:uiPriority w:val="10"/>
    <w:qFormat/>
    <w:rsid w:val="00BE6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A74"/>
    <w:pPr>
      <w:spacing w:before="160"/>
      <w:jc w:val="center"/>
    </w:pPr>
    <w:rPr>
      <w:i/>
      <w:iCs/>
      <w:color w:val="404040" w:themeColor="text1" w:themeTint="BF"/>
    </w:rPr>
  </w:style>
  <w:style w:type="character" w:customStyle="1" w:styleId="QuoteChar">
    <w:name w:val="Quote Char"/>
    <w:basedOn w:val="DefaultParagraphFont"/>
    <w:link w:val="Quote"/>
    <w:uiPriority w:val="29"/>
    <w:rsid w:val="00BE6A74"/>
    <w:rPr>
      <w:i/>
      <w:iCs/>
      <w:color w:val="404040" w:themeColor="text1" w:themeTint="BF"/>
    </w:rPr>
  </w:style>
  <w:style w:type="paragraph" w:styleId="ListParagraph">
    <w:name w:val="List Paragraph"/>
    <w:basedOn w:val="Normal"/>
    <w:uiPriority w:val="34"/>
    <w:qFormat/>
    <w:rsid w:val="00BE6A74"/>
    <w:pPr>
      <w:ind w:left="720"/>
      <w:contextualSpacing/>
    </w:pPr>
  </w:style>
  <w:style w:type="character" w:styleId="IntenseEmphasis">
    <w:name w:val="Intense Emphasis"/>
    <w:basedOn w:val="DefaultParagraphFont"/>
    <w:uiPriority w:val="21"/>
    <w:qFormat/>
    <w:rsid w:val="00BE6A74"/>
    <w:rPr>
      <w:i/>
      <w:iCs/>
      <w:color w:val="0F4761" w:themeColor="accent1" w:themeShade="BF"/>
    </w:rPr>
  </w:style>
  <w:style w:type="paragraph" w:styleId="IntenseQuote">
    <w:name w:val="Intense Quote"/>
    <w:basedOn w:val="Normal"/>
    <w:next w:val="Normal"/>
    <w:link w:val="IntenseQuoteChar"/>
    <w:uiPriority w:val="30"/>
    <w:qFormat/>
    <w:rsid w:val="00BE6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A74"/>
    <w:rPr>
      <w:i/>
      <w:iCs/>
      <w:color w:val="0F4761" w:themeColor="accent1" w:themeShade="BF"/>
    </w:rPr>
  </w:style>
  <w:style w:type="character" w:styleId="IntenseReference">
    <w:name w:val="Intense Reference"/>
    <w:basedOn w:val="DefaultParagraphFont"/>
    <w:uiPriority w:val="32"/>
    <w:qFormat/>
    <w:rsid w:val="00BE6A74"/>
    <w:rPr>
      <w:b/>
      <w:bCs/>
      <w:smallCaps/>
      <w:color w:val="0F4761" w:themeColor="accent1" w:themeShade="BF"/>
      <w:spacing w:val="5"/>
    </w:rPr>
  </w:style>
  <w:style w:type="character" w:styleId="CommentReference">
    <w:name w:val="annotation reference"/>
    <w:basedOn w:val="DefaultParagraphFont"/>
    <w:uiPriority w:val="99"/>
    <w:semiHidden/>
    <w:unhideWhenUsed/>
    <w:rsid w:val="00530B15"/>
    <w:rPr>
      <w:sz w:val="16"/>
      <w:szCs w:val="16"/>
    </w:rPr>
  </w:style>
  <w:style w:type="paragraph" w:styleId="CommentText">
    <w:name w:val="annotation text"/>
    <w:basedOn w:val="Normal"/>
    <w:link w:val="CommentTextChar"/>
    <w:uiPriority w:val="99"/>
    <w:unhideWhenUsed/>
    <w:rsid w:val="00530B15"/>
    <w:pPr>
      <w:spacing w:line="240" w:lineRule="auto"/>
    </w:pPr>
    <w:rPr>
      <w:sz w:val="20"/>
      <w:szCs w:val="20"/>
    </w:rPr>
  </w:style>
  <w:style w:type="character" w:customStyle="1" w:styleId="CommentTextChar">
    <w:name w:val="Comment Text Char"/>
    <w:basedOn w:val="DefaultParagraphFont"/>
    <w:link w:val="CommentText"/>
    <w:uiPriority w:val="99"/>
    <w:rsid w:val="00530B15"/>
    <w:rPr>
      <w:kern w:val="0"/>
      <w:sz w:val="20"/>
      <w:szCs w:val="20"/>
    </w:rPr>
  </w:style>
  <w:style w:type="paragraph" w:styleId="CommentSubject">
    <w:name w:val="annotation subject"/>
    <w:basedOn w:val="CommentText"/>
    <w:next w:val="CommentText"/>
    <w:link w:val="CommentSubjectChar"/>
    <w:uiPriority w:val="99"/>
    <w:semiHidden/>
    <w:unhideWhenUsed/>
    <w:rsid w:val="00530B15"/>
    <w:rPr>
      <w:b/>
      <w:bCs/>
    </w:rPr>
  </w:style>
  <w:style w:type="character" w:customStyle="1" w:styleId="CommentSubjectChar">
    <w:name w:val="Comment Subject Char"/>
    <w:basedOn w:val="CommentTextChar"/>
    <w:link w:val="CommentSubject"/>
    <w:uiPriority w:val="99"/>
    <w:semiHidden/>
    <w:rsid w:val="00530B15"/>
    <w:rPr>
      <w:b/>
      <w:bCs/>
      <w:kern w:val="0"/>
      <w:sz w:val="20"/>
      <w:szCs w:val="20"/>
    </w:rPr>
  </w:style>
  <w:style w:type="character" w:styleId="Hyperlink">
    <w:name w:val="Hyperlink"/>
    <w:basedOn w:val="DefaultParagraphFont"/>
    <w:uiPriority w:val="99"/>
    <w:unhideWhenUsed/>
    <w:rsid w:val="00A70FF4"/>
    <w:rPr>
      <w:color w:val="467886" w:themeColor="hyperlink"/>
      <w:u w:val="single"/>
    </w:rPr>
  </w:style>
  <w:style w:type="character" w:styleId="UnresolvedMention">
    <w:name w:val="Unresolved Mention"/>
    <w:basedOn w:val="DefaultParagraphFont"/>
    <w:uiPriority w:val="99"/>
    <w:semiHidden/>
    <w:unhideWhenUsed/>
    <w:rsid w:val="00A70FF4"/>
    <w:rPr>
      <w:color w:val="605E5C"/>
      <w:shd w:val="clear" w:color="auto" w:fill="E1DFDD"/>
    </w:rPr>
  </w:style>
  <w:style w:type="character" w:styleId="FollowedHyperlink">
    <w:name w:val="FollowedHyperlink"/>
    <w:basedOn w:val="DefaultParagraphFont"/>
    <w:uiPriority w:val="99"/>
    <w:semiHidden/>
    <w:unhideWhenUsed/>
    <w:rsid w:val="00AE256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423967">
      <w:bodyDiv w:val="1"/>
      <w:marLeft w:val="0"/>
      <w:marRight w:val="0"/>
      <w:marTop w:val="0"/>
      <w:marBottom w:val="0"/>
      <w:divBdr>
        <w:top w:val="none" w:sz="0" w:space="0" w:color="auto"/>
        <w:left w:val="none" w:sz="0" w:space="0" w:color="auto"/>
        <w:bottom w:val="none" w:sz="0" w:space="0" w:color="auto"/>
        <w:right w:val="none" w:sz="0" w:space="0" w:color="auto"/>
      </w:divBdr>
    </w:div>
    <w:div w:id="159152892">
      <w:bodyDiv w:val="1"/>
      <w:marLeft w:val="0"/>
      <w:marRight w:val="0"/>
      <w:marTop w:val="0"/>
      <w:marBottom w:val="0"/>
      <w:divBdr>
        <w:top w:val="none" w:sz="0" w:space="0" w:color="auto"/>
        <w:left w:val="none" w:sz="0" w:space="0" w:color="auto"/>
        <w:bottom w:val="none" w:sz="0" w:space="0" w:color="auto"/>
        <w:right w:val="none" w:sz="0" w:space="0" w:color="auto"/>
      </w:divBdr>
    </w:div>
    <w:div w:id="187957678">
      <w:bodyDiv w:val="1"/>
      <w:marLeft w:val="0"/>
      <w:marRight w:val="0"/>
      <w:marTop w:val="0"/>
      <w:marBottom w:val="0"/>
      <w:divBdr>
        <w:top w:val="none" w:sz="0" w:space="0" w:color="auto"/>
        <w:left w:val="none" w:sz="0" w:space="0" w:color="auto"/>
        <w:bottom w:val="none" w:sz="0" w:space="0" w:color="auto"/>
        <w:right w:val="none" w:sz="0" w:space="0" w:color="auto"/>
      </w:divBdr>
    </w:div>
    <w:div w:id="227229008">
      <w:bodyDiv w:val="1"/>
      <w:marLeft w:val="0"/>
      <w:marRight w:val="0"/>
      <w:marTop w:val="0"/>
      <w:marBottom w:val="0"/>
      <w:divBdr>
        <w:top w:val="none" w:sz="0" w:space="0" w:color="auto"/>
        <w:left w:val="none" w:sz="0" w:space="0" w:color="auto"/>
        <w:bottom w:val="none" w:sz="0" w:space="0" w:color="auto"/>
        <w:right w:val="none" w:sz="0" w:space="0" w:color="auto"/>
      </w:divBdr>
    </w:div>
    <w:div w:id="277613059">
      <w:bodyDiv w:val="1"/>
      <w:marLeft w:val="0"/>
      <w:marRight w:val="0"/>
      <w:marTop w:val="0"/>
      <w:marBottom w:val="0"/>
      <w:divBdr>
        <w:top w:val="none" w:sz="0" w:space="0" w:color="auto"/>
        <w:left w:val="none" w:sz="0" w:space="0" w:color="auto"/>
        <w:bottom w:val="none" w:sz="0" w:space="0" w:color="auto"/>
        <w:right w:val="none" w:sz="0" w:space="0" w:color="auto"/>
      </w:divBdr>
    </w:div>
    <w:div w:id="332490280">
      <w:bodyDiv w:val="1"/>
      <w:marLeft w:val="0"/>
      <w:marRight w:val="0"/>
      <w:marTop w:val="0"/>
      <w:marBottom w:val="0"/>
      <w:divBdr>
        <w:top w:val="none" w:sz="0" w:space="0" w:color="auto"/>
        <w:left w:val="none" w:sz="0" w:space="0" w:color="auto"/>
        <w:bottom w:val="none" w:sz="0" w:space="0" w:color="auto"/>
        <w:right w:val="none" w:sz="0" w:space="0" w:color="auto"/>
      </w:divBdr>
    </w:div>
    <w:div w:id="342319847">
      <w:bodyDiv w:val="1"/>
      <w:marLeft w:val="0"/>
      <w:marRight w:val="0"/>
      <w:marTop w:val="0"/>
      <w:marBottom w:val="0"/>
      <w:divBdr>
        <w:top w:val="none" w:sz="0" w:space="0" w:color="auto"/>
        <w:left w:val="none" w:sz="0" w:space="0" w:color="auto"/>
        <w:bottom w:val="none" w:sz="0" w:space="0" w:color="auto"/>
        <w:right w:val="none" w:sz="0" w:space="0" w:color="auto"/>
      </w:divBdr>
    </w:div>
    <w:div w:id="362292253">
      <w:bodyDiv w:val="1"/>
      <w:marLeft w:val="0"/>
      <w:marRight w:val="0"/>
      <w:marTop w:val="0"/>
      <w:marBottom w:val="0"/>
      <w:divBdr>
        <w:top w:val="none" w:sz="0" w:space="0" w:color="auto"/>
        <w:left w:val="none" w:sz="0" w:space="0" w:color="auto"/>
        <w:bottom w:val="none" w:sz="0" w:space="0" w:color="auto"/>
        <w:right w:val="none" w:sz="0" w:space="0" w:color="auto"/>
      </w:divBdr>
    </w:div>
    <w:div w:id="433020937">
      <w:bodyDiv w:val="1"/>
      <w:marLeft w:val="0"/>
      <w:marRight w:val="0"/>
      <w:marTop w:val="0"/>
      <w:marBottom w:val="0"/>
      <w:divBdr>
        <w:top w:val="none" w:sz="0" w:space="0" w:color="auto"/>
        <w:left w:val="none" w:sz="0" w:space="0" w:color="auto"/>
        <w:bottom w:val="none" w:sz="0" w:space="0" w:color="auto"/>
        <w:right w:val="none" w:sz="0" w:space="0" w:color="auto"/>
      </w:divBdr>
    </w:div>
    <w:div w:id="440270947">
      <w:bodyDiv w:val="1"/>
      <w:marLeft w:val="0"/>
      <w:marRight w:val="0"/>
      <w:marTop w:val="0"/>
      <w:marBottom w:val="0"/>
      <w:divBdr>
        <w:top w:val="none" w:sz="0" w:space="0" w:color="auto"/>
        <w:left w:val="none" w:sz="0" w:space="0" w:color="auto"/>
        <w:bottom w:val="none" w:sz="0" w:space="0" w:color="auto"/>
        <w:right w:val="none" w:sz="0" w:space="0" w:color="auto"/>
      </w:divBdr>
    </w:div>
    <w:div w:id="474833777">
      <w:bodyDiv w:val="1"/>
      <w:marLeft w:val="0"/>
      <w:marRight w:val="0"/>
      <w:marTop w:val="0"/>
      <w:marBottom w:val="0"/>
      <w:divBdr>
        <w:top w:val="none" w:sz="0" w:space="0" w:color="auto"/>
        <w:left w:val="none" w:sz="0" w:space="0" w:color="auto"/>
        <w:bottom w:val="none" w:sz="0" w:space="0" w:color="auto"/>
        <w:right w:val="none" w:sz="0" w:space="0" w:color="auto"/>
      </w:divBdr>
    </w:div>
    <w:div w:id="495538842">
      <w:bodyDiv w:val="1"/>
      <w:marLeft w:val="0"/>
      <w:marRight w:val="0"/>
      <w:marTop w:val="0"/>
      <w:marBottom w:val="0"/>
      <w:divBdr>
        <w:top w:val="none" w:sz="0" w:space="0" w:color="auto"/>
        <w:left w:val="none" w:sz="0" w:space="0" w:color="auto"/>
        <w:bottom w:val="none" w:sz="0" w:space="0" w:color="auto"/>
        <w:right w:val="none" w:sz="0" w:space="0" w:color="auto"/>
      </w:divBdr>
    </w:div>
    <w:div w:id="594754729">
      <w:bodyDiv w:val="1"/>
      <w:marLeft w:val="0"/>
      <w:marRight w:val="0"/>
      <w:marTop w:val="0"/>
      <w:marBottom w:val="0"/>
      <w:divBdr>
        <w:top w:val="none" w:sz="0" w:space="0" w:color="auto"/>
        <w:left w:val="none" w:sz="0" w:space="0" w:color="auto"/>
        <w:bottom w:val="none" w:sz="0" w:space="0" w:color="auto"/>
        <w:right w:val="none" w:sz="0" w:space="0" w:color="auto"/>
      </w:divBdr>
    </w:div>
    <w:div w:id="599336643">
      <w:bodyDiv w:val="1"/>
      <w:marLeft w:val="0"/>
      <w:marRight w:val="0"/>
      <w:marTop w:val="0"/>
      <w:marBottom w:val="0"/>
      <w:divBdr>
        <w:top w:val="none" w:sz="0" w:space="0" w:color="auto"/>
        <w:left w:val="none" w:sz="0" w:space="0" w:color="auto"/>
        <w:bottom w:val="none" w:sz="0" w:space="0" w:color="auto"/>
        <w:right w:val="none" w:sz="0" w:space="0" w:color="auto"/>
      </w:divBdr>
    </w:div>
    <w:div w:id="725296792">
      <w:bodyDiv w:val="1"/>
      <w:marLeft w:val="0"/>
      <w:marRight w:val="0"/>
      <w:marTop w:val="0"/>
      <w:marBottom w:val="0"/>
      <w:divBdr>
        <w:top w:val="none" w:sz="0" w:space="0" w:color="auto"/>
        <w:left w:val="none" w:sz="0" w:space="0" w:color="auto"/>
        <w:bottom w:val="none" w:sz="0" w:space="0" w:color="auto"/>
        <w:right w:val="none" w:sz="0" w:space="0" w:color="auto"/>
      </w:divBdr>
    </w:div>
    <w:div w:id="755126682">
      <w:bodyDiv w:val="1"/>
      <w:marLeft w:val="0"/>
      <w:marRight w:val="0"/>
      <w:marTop w:val="0"/>
      <w:marBottom w:val="0"/>
      <w:divBdr>
        <w:top w:val="none" w:sz="0" w:space="0" w:color="auto"/>
        <w:left w:val="none" w:sz="0" w:space="0" w:color="auto"/>
        <w:bottom w:val="none" w:sz="0" w:space="0" w:color="auto"/>
        <w:right w:val="none" w:sz="0" w:space="0" w:color="auto"/>
      </w:divBdr>
    </w:div>
    <w:div w:id="775519945">
      <w:bodyDiv w:val="1"/>
      <w:marLeft w:val="0"/>
      <w:marRight w:val="0"/>
      <w:marTop w:val="0"/>
      <w:marBottom w:val="0"/>
      <w:divBdr>
        <w:top w:val="none" w:sz="0" w:space="0" w:color="auto"/>
        <w:left w:val="none" w:sz="0" w:space="0" w:color="auto"/>
        <w:bottom w:val="none" w:sz="0" w:space="0" w:color="auto"/>
        <w:right w:val="none" w:sz="0" w:space="0" w:color="auto"/>
      </w:divBdr>
    </w:div>
    <w:div w:id="775638023">
      <w:bodyDiv w:val="1"/>
      <w:marLeft w:val="0"/>
      <w:marRight w:val="0"/>
      <w:marTop w:val="0"/>
      <w:marBottom w:val="0"/>
      <w:divBdr>
        <w:top w:val="none" w:sz="0" w:space="0" w:color="auto"/>
        <w:left w:val="none" w:sz="0" w:space="0" w:color="auto"/>
        <w:bottom w:val="none" w:sz="0" w:space="0" w:color="auto"/>
        <w:right w:val="none" w:sz="0" w:space="0" w:color="auto"/>
      </w:divBdr>
    </w:div>
    <w:div w:id="874662118">
      <w:bodyDiv w:val="1"/>
      <w:marLeft w:val="0"/>
      <w:marRight w:val="0"/>
      <w:marTop w:val="0"/>
      <w:marBottom w:val="0"/>
      <w:divBdr>
        <w:top w:val="none" w:sz="0" w:space="0" w:color="auto"/>
        <w:left w:val="none" w:sz="0" w:space="0" w:color="auto"/>
        <w:bottom w:val="none" w:sz="0" w:space="0" w:color="auto"/>
        <w:right w:val="none" w:sz="0" w:space="0" w:color="auto"/>
      </w:divBdr>
    </w:div>
    <w:div w:id="881208176">
      <w:bodyDiv w:val="1"/>
      <w:marLeft w:val="0"/>
      <w:marRight w:val="0"/>
      <w:marTop w:val="0"/>
      <w:marBottom w:val="0"/>
      <w:divBdr>
        <w:top w:val="none" w:sz="0" w:space="0" w:color="auto"/>
        <w:left w:val="none" w:sz="0" w:space="0" w:color="auto"/>
        <w:bottom w:val="none" w:sz="0" w:space="0" w:color="auto"/>
        <w:right w:val="none" w:sz="0" w:space="0" w:color="auto"/>
      </w:divBdr>
    </w:div>
    <w:div w:id="913785788">
      <w:bodyDiv w:val="1"/>
      <w:marLeft w:val="0"/>
      <w:marRight w:val="0"/>
      <w:marTop w:val="0"/>
      <w:marBottom w:val="0"/>
      <w:divBdr>
        <w:top w:val="none" w:sz="0" w:space="0" w:color="auto"/>
        <w:left w:val="none" w:sz="0" w:space="0" w:color="auto"/>
        <w:bottom w:val="none" w:sz="0" w:space="0" w:color="auto"/>
        <w:right w:val="none" w:sz="0" w:space="0" w:color="auto"/>
      </w:divBdr>
    </w:div>
    <w:div w:id="1068725954">
      <w:bodyDiv w:val="1"/>
      <w:marLeft w:val="0"/>
      <w:marRight w:val="0"/>
      <w:marTop w:val="0"/>
      <w:marBottom w:val="0"/>
      <w:divBdr>
        <w:top w:val="none" w:sz="0" w:space="0" w:color="auto"/>
        <w:left w:val="none" w:sz="0" w:space="0" w:color="auto"/>
        <w:bottom w:val="none" w:sz="0" w:space="0" w:color="auto"/>
        <w:right w:val="none" w:sz="0" w:space="0" w:color="auto"/>
      </w:divBdr>
    </w:div>
    <w:div w:id="1076589469">
      <w:bodyDiv w:val="1"/>
      <w:marLeft w:val="0"/>
      <w:marRight w:val="0"/>
      <w:marTop w:val="0"/>
      <w:marBottom w:val="0"/>
      <w:divBdr>
        <w:top w:val="none" w:sz="0" w:space="0" w:color="auto"/>
        <w:left w:val="none" w:sz="0" w:space="0" w:color="auto"/>
        <w:bottom w:val="none" w:sz="0" w:space="0" w:color="auto"/>
        <w:right w:val="none" w:sz="0" w:space="0" w:color="auto"/>
      </w:divBdr>
    </w:div>
    <w:div w:id="1168055178">
      <w:bodyDiv w:val="1"/>
      <w:marLeft w:val="0"/>
      <w:marRight w:val="0"/>
      <w:marTop w:val="0"/>
      <w:marBottom w:val="0"/>
      <w:divBdr>
        <w:top w:val="none" w:sz="0" w:space="0" w:color="auto"/>
        <w:left w:val="none" w:sz="0" w:space="0" w:color="auto"/>
        <w:bottom w:val="none" w:sz="0" w:space="0" w:color="auto"/>
        <w:right w:val="none" w:sz="0" w:space="0" w:color="auto"/>
      </w:divBdr>
    </w:div>
    <w:div w:id="1169977174">
      <w:bodyDiv w:val="1"/>
      <w:marLeft w:val="0"/>
      <w:marRight w:val="0"/>
      <w:marTop w:val="0"/>
      <w:marBottom w:val="0"/>
      <w:divBdr>
        <w:top w:val="none" w:sz="0" w:space="0" w:color="auto"/>
        <w:left w:val="none" w:sz="0" w:space="0" w:color="auto"/>
        <w:bottom w:val="none" w:sz="0" w:space="0" w:color="auto"/>
        <w:right w:val="none" w:sz="0" w:space="0" w:color="auto"/>
      </w:divBdr>
    </w:div>
    <w:div w:id="1195461062">
      <w:bodyDiv w:val="1"/>
      <w:marLeft w:val="0"/>
      <w:marRight w:val="0"/>
      <w:marTop w:val="0"/>
      <w:marBottom w:val="0"/>
      <w:divBdr>
        <w:top w:val="none" w:sz="0" w:space="0" w:color="auto"/>
        <w:left w:val="none" w:sz="0" w:space="0" w:color="auto"/>
        <w:bottom w:val="none" w:sz="0" w:space="0" w:color="auto"/>
        <w:right w:val="none" w:sz="0" w:space="0" w:color="auto"/>
      </w:divBdr>
    </w:div>
    <w:div w:id="1293563265">
      <w:bodyDiv w:val="1"/>
      <w:marLeft w:val="0"/>
      <w:marRight w:val="0"/>
      <w:marTop w:val="0"/>
      <w:marBottom w:val="0"/>
      <w:divBdr>
        <w:top w:val="none" w:sz="0" w:space="0" w:color="auto"/>
        <w:left w:val="none" w:sz="0" w:space="0" w:color="auto"/>
        <w:bottom w:val="none" w:sz="0" w:space="0" w:color="auto"/>
        <w:right w:val="none" w:sz="0" w:space="0" w:color="auto"/>
      </w:divBdr>
    </w:div>
    <w:div w:id="1348869819">
      <w:bodyDiv w:val="1"/>
      <w:marLeft w:val="0"/>
      <w:marRight w:val="0"/>
      <w:marTop w:val="0"/>
      <w:marBottom w:val="0"/>
      <w:divBdr>
        <w:top w:val="none" w:sz="0" w:space="0" w:color="auto"/>
        <w:left w:val="none" w:sz="0" w:space="0" w:color="auto"/>
        <w:bottom w:val="none" w:sz="0" w:space="0" w:color="auto"/>
        <w:right w:val="none" w:sz="0" w:space="0" w:color="auto"/>
      </w:divBdr>
    </w:div>
    <w:div w:id="1483960096">
      <w:bodyDiv w:val="1"/>
      <w:marLeft w:val="0"/>
      <w:marRight w:val="0"/>
      <w:marTop w:val="0"/>
      <w:marBottom w:val="0"/>
      <w:divBdr>
        <w:top w:val="none" w:sz="0" w:space="0" w:color="auto"/>
        <w:left w:val="none" w:sz="0" w:space="0" w:color="auto"/>
        <w:bottom w:val="none" w:sz="0" w:space="0" w:color="auto"/>
        <w:right w:val="none" w:sz="0" w:space="0" w:color="auto"/>
      </w:divBdr>
    </w:div>
    <w:div w:id="1559393138">
      <w:bodyDiv w:val="1"/>
      <w:marLeft w:val="0"/>
      <w:marRight w:val="0"/>
      <w:marTop w:val="0"/>
      <w:marBottom w:val="0"/>
      <w:divBdr>
        <w:top w:val="none" w:sz="0" w:space="0" w:color="auto"/>
        <w:left w:val="none" w:sz="0" w:space="0" w:color="auto"/>
        <w:bottom w:val="none" w:sz="0" w:space="0" w:color="auto"/>
        <w:right w:val="none" w:sz="0" w:space="0" w:color="auto"/>
      </w:divBdr>
    </w:div>
    <w:div w:id="1571310277">
      <w:bodyDiv w:val="1"/>
      <w:marLeft w:val="0"/>
      <w:marRight w:val="0"/>
      <w:marTop w:val="0"/>
      <w:marBottom w:val="0"/>
      <w:divBdr>
        <w:top w:val="none" w:sz="0" w:space="0" w:color="auto"/>
        <w:left w:val="none" w:sz="0" w:space="0" w:color="auto"/>
        <w:bottom w:val="none" w:sz="0" w:space="0" w:color="auto"/>
        <w:right w:val="none" w:sz="0" w:space="0" w:color="auto"/>
      </w:divBdr>
    </w:div>
    <w:div w:id="1613396503">
      <w:bodyDiv w:val="1"/>
      <w:marLeft w:val="0"/>
      <w:marRight w:val="0"/>
      <w:marTop w:val="0"/>
      <w:marBottom w:val="0"/>
      <w:divBdr>
        <w:top w:val="none" w:sz="0" w:space="0" w:color="auto"/>
        <w:left w:val="none" w:sz="0" w:space="0" w:color="auto"/>
        <w:bottom w:val="none" w:sz="0" w:space="0" w:color="auto"/>
        <w:right w:val="none" w:sz="0" w:space="0" w:color="auto"/>
      </w:divBdr>
    </w:div>
    <w:div w:id="1663318020">
      <w:bodyDiv w:val="1"/>
      <w:marLeft w:val="0"/>
      <w:marRight w:val="0"/>
      <w:marTop w:val="0"/>
      <w:marBottom w:val="0"/>
      <w:divBdr>
        <w:top w:val="none" w:sz="0" w:space="0" w:color="auto"/>
        <w:left w:val="none" w:sz="0" w:space="0" w:color="auto"/>
        <w:bottom w:val="none" w:sz="0" w:space="0" w:color="auto"/>
        <w:right w:val="none" w:sz="0" w:space="0" w:color="auto"/>
      </w:divBdr>
    </w:div>
    <w:div w:id="1740011725">
      <w:bodyDiv w:val="1"/>
      <w:marLeft w:val="0"/>
      <w:marRight w:val="0"/>
      <w:marTop w:val="0"/>
      <w:marBottom w:val="0"/>
      <w:divBdr>
        <w:top w:val="none" w:sz="0" w:space="0" w:color="auto"/>
        <w:left w:val="none" w:sz="0" w:space="0" w:color="auto"/>
        <w:bottom w:val="none" w:sz="0" w:space="0" w:color="auto"/>
        <w:right w:val="none" w:sz="0" w:space="0" w:color="auto"/>
      </w:divBdr>
    </w:div>
    <w:div w:id="1868980262">
      <w:bodyDiv w:val="1"/>
      <w:marLeft w:val="0"/>
      <w:marRight w:val="0"/>
      <w:marTop w:val="0"/>
      <w:marBottom w:val="0"/>
      <w:divBdr>
        <w:top w:val="none" w:sz="0" w:space="0" w:color="auto"/>
        <w:left w:val="none" w:sz="0" w:space="0" w:color="auto"/>
        <w:bottom w:val="none" w:sz="0" w:space="0" w:color="auto"/>
        <w:right w:val="none" w:sz="0" w:space="0" w:color="auto"/>
      </w:divBdr>
    </w:div>
    <w:div w:id="1951931777">
      <w:bodyDiv w:val="1"/>
      <w:marLeft w:val="0"/>
      <w:marRight w:val="0"/>
      <w:marTop w:val="0"/>
      <w:marBottom w:val="0"/>
      <w:divBdr>
        <w:top w:val="none" w:sz="0" w:space="0" w:color="auto"/>
        <w:left w:val="none" w:sz="0" w:space="0" w:color="auto"/>
        <w:bottom w:val="none" w:sz="0" w:space="0" w:color="auto"/>
        <w:right w:val="none" w:sz="0" w:space="0" w:color="auto"/>
      </w:divBdr>
    </w:div>
    <w:div w:id="1958873568">
      <w:bodyDiv w:val="1"/>
      <w:marLeft w:val="0"/>
      <w:marRight w:val="0"/>
      <w:marTop w:val="0"/>
      <w:marBottom w:val="0"/>
      <w:divBdr>
        <w:top w:val="none" w:sz="0" w:space="0" w:color="auto"/>
        <w:left w:val="none" w:sz="0" w:space="0" w:color="auto"/>
        <w:bottom w:val="none" w:sz="0" w:space="0" w:color="auto"/>
        <w:right w:val="none" w:sz="0" w:space="0" w:color="auto"/>
      </w:divBdr>
    </w:div>
    <w:div w:id="211415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app/national-decision-model/national-decision-model?highlight=national%20decision%20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ethics/code-of-ethics/guidance" TargetMode="External"/><Relationship Id="rId5" Type="http://schemas.openxmlformats.org/officeDocument/2006/relationships/hyperlink" Target="https://www.college.police.uk/ethics/code-of-ethics/principl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3671</TotalTime>
  <Pages>9</Pages>
  <Words>4309</Words>
  <Characters>28136</Characters>
  <Application>Microsoft Office Word</Application>
  <DocSecurity>0</DocSecurity>
  <Lines>426</Lines>
  <Paragraphs>102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Sundaramoorthy, Anthne</dc:creator>
  <cp:keywords/>
  <dc:description/>
  <cp:lastModifiedBy>Sundaramoorthy, Anthne</cp:lastModifiedBy>
  <cp:revision>152</cp:revision>
  <dcterms:created xsi:type="dcterms:W3CDTF">2025-01-05T09:42:00Z</dcterms:created>
  <dcterms:modified xsi:type="dcterms:W3CDTF">2025-03-03T23:47:00Z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b2f426fd-1fde-4b0e-a021-b79f2d744319</vt:lpwstr>
  </property>
  <property fmtid="{D5CDD505-2E9C-101B-9397-08002B2CF9AE}" pid="3" name="MSIP_Label_f2acd28b-79a3-4a0f-b0ff-4b75658b1549_Enabled">
    <vt:lpwstr>true</vt:lpwstr>
  </property>
  <property fmtid="{D5CDD505-2E9C-101B-9397-08002B2CF9AE}" pid="4" name="MSIP_Label_f2acd28b-79a3-4a0f-b0ff-4b75658b1549_SetDate">
    <vt:lpwstr>2025-01-05T10:38:45Z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f3a8d9b6-fd83-4761-9878-f3fd12ef240a</vt:lpwstr>
  </property>
  <property fmtid="{D5CDD505-2E9C-101B-9397-08002B2CF9AE}" pid="9" name="MSIP_Label_f2acd28b-79a3-4a0f-b0ff-4b75658b1549_ContentBits">
    <vt:lpwstr>0</vt:lpwstr>
  </property>
</Properties>
</file>