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17CC0" w14:textId="77777777" w:rsidR="00006C12" w:rsidRDefault="00006C12" w:rsidP="00006C12">
      <w:pPr>
        <w:jc w:val="center"/>
        <w:rPr>
          <w:b/>
          <w:bCs/>
          <w:sz w:val="36"/>
          <w:szCs w:val="36"/>
        </w:rPr>
      </w:pPr>
      <w:r>
        <w:rPr>
          <w:b/>
          <w:bCs/>
          <w:sz w:val="36"/>
          <w:szCs w:val="36"/>
        </w:rPr>
        <w:t xml:space="preserve">University of Wales Trinity Saint David </w:t>
      </w:r>
    </w:p>
    <w:p w14:paraId="5EEBB64E" w14:textId="77777777" w:rsidR="00006C12" w:rsidRDefault="00006C12" w:rsidP="00006C12">
      <w:pPr>
        <w:jc w:val="center"/>
        <w:rPr>
          <w:b/>
          <w:bCs/>
          <w:sz w:val="36"/>
          <w:szCs w:val="36"/>
        </w:rPr>
      </w:pPr>
    </w:p>
    <w:p w14:paraId="13BDB60A" w14:textId="77777777" w:rsidR="00006C12" w:rsidRDefault="00006C12" w:rsidP="00006C12">
      <w:pPr>
        <w:jc w:val="center"/>
        <w:rPr>
          <w:b/>
          <w:bCs/>
          <w:sz w:val="28"/>
          <w:szCs w:val="28"/>
        </w:rPr>
      </w:pPr>
      <w:r>
        <w:rPr>
          <w:b/>
          <w:bCs/>
          <w:sz w:val="28"/>
          <w:szCs w:val="28"/>
        </w:rPr>
        <w:t>Wales Institute of Science &amp; Art</w:t>
      </w:r>
    </w:p>
    <w:p w14:paraId="6FFD6017" w14:textId="77777777" w:rsidR="00006C12" w:rsidRDefault="00006C12" w:rsidP="00006C12">
      <w:pPr>
        <w:jc w:val="center"/>
        <w:rPr>
          <w:b/>
          <w:bCs/>
          <w:sz w:val="28"/>
          <w:szCs w:val="28"/>
        </w:rPr>
      </w:pPr>
    </w:p>
    <w:p w14:paraId="665C56FA" w14:textId="77777777" w:rsidR="00006C12" w:rsidRDefault="00006C12" w:rsidP="00006C12">
      <w:pPr>
        <w:jc w:val="center"/>
        <w:rPr>
          <w:b/>
          <w:bCs/>
          <w:sz w:val="28"/>
          <w:szCs w:val="28"/>
        </w:rPr>
      </w:pPr>
      <w:r>
        <w:rPr>
          <w:noProof/>
        </w:rPr>
        <w:drawing>
          <wp:inline distT="0" distB="0" distL="0" distR="0" wp14:anchorId="5506107B" wp14:editId="64B32509">
            <wp:extent cx="5731510" cy="2296795"/>
            <wp:effectExtent l="0" t="0" r="2540" b="8255"/>
            <wp:docPr id="155650252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7F81A223" w14:textId="77777777" w:rsidR="00006C12" w:rsidRDefault="00006C12" w:rsidP="00006C12">
      <w:pPr>
        <w:jc w:val="center"/>
        <w:rPr>
          <w:b/>
          <w:bCs/>
          <w:sz w:val="28"/>
          <w:szCs w:val="28"/>
        </w:rPr>
      </w:pPr>
    </w:p>
    <w:p w14:paraId="2B361971" w14:textId="38B0045B" w:rsidR="00006C12" w:rsidRDefault="00DB3BE3" w:rsidP="00006C12">
      <w:pPr>
        <w:jc w:val="center"/>
        <w:rPr>
          <w:b/>
          <w:bCs/>
          <w:i/>
          <w:iCs/>
          <w:sz w:val="40"/>
          <w:szCs w:val="40"/>
        </w:rPr>
      </w:pPr>
      <w:r>
        <w:rPr>
          <w:b/>
          <w:bCs/>
          <w:i/>
          <w:iCs/>
          <w:sz w:val="40"/>
          <w:szCs w:val="40"/>
        </w:rPr>
        <w:t>CFD and Emissions Modelling</w:t>
      </w:r>
    </w:p>
    <w:p w14:paraId="557AE049" w14:textId="55C642C5" w:rsidR="00006C12" w:rsidRDefault="00D40AB5" w:rsidP="00006C12">
      <w:pPr>
        <w:jc w:val="center"/>
        <w:rPr>
          <w:b/>
          <w:bCs/>
          <w:i/>
          <w:iCs/>
          <w:sz w:val="32"/>
          <w:szCs w:val="32"/>
        </w:rPr>
      </w:pPr>
      <w:r>
        <w:rPr>
          <w:b/>
          <w:bCs/>
          <w:i/>
          <w:iCs/>
          <w:sz w:val="32"/>
          <w:szCs w:val="32"/>
        </w:rPr>
        <w:t xml:space="preserve">Alternative Fuels Combustion </w:t>
      </w:r>
      <w:r w:rsidR="00DE6DBB">
        <w:rPr>
          <w:b/>
          <w:bCs/>
          <w:i/>
          <w:iCs/>
          <w:sz w:val="32"/>
          <w:szCs w:val="32"/>
        </w:rPr>
        <w:t>M</w:t>
      </w:r>
      <w:r>
        <w:rPr>
          <w:b/>
          <w:bCs/>
          <w:i/>
          <w:iCs/>
          <w:sz w:val="32"/>
          <w:szCs w:val="32"/>
        </w:rPr>
        <w:t>odel</w:t>
      </w:r>
      <w:r w:rsidR="00DE6DBB">
        <w:rPr>
          <w:b/>
          <w:bCs/>
          <w:i/>
          <w:iCs/>
          <w:sz w:val="32"/>
          <w:szCs w:val="32"/>
        </w:rPr>
        <w:t>ling</w:t>
      </w:r>
      <w:r w:rsidR="00006C12">
        <w:rPr>
          <w:b/>
          <w:bCs/>
          <w:i/>
          <w:iCs/>
          <w:sz w:val="32"/>
          <w:szCs w:val="32"/>
        </w:rPr>
        <w:t xml:space="preserve"> (ACHA70</w:t>
      </w:r>
      <w:r w:rsidR="00DE6DBB">
        <w:rPr>
          <w:b/>
          <w:bCs/>
          <w:i/>
          <w:iCs/>
          <w:sz w:val="32"/>
          <w:szCs w:val="32"/>
        </w:rPr>
        <w:t>02</w:t>
      </w:r>
      <w:r w:rsidR="00006C12">
        <w:rPr>
          <w:b/>
          <w:bCs/>
          <w:i/>
          <w:iCs/>
          <w:sz w:val="32"/>
          <w:szCs w:val="32"/>
        </w:rPr>
        <w:t>)</w:t>
      </w:r>
    </w:p>
    <w:p w14:paraId="65FB415C" w14:textId="77777777" w:rsidR="00006C12" w:rsidRDefault="00006C12" w:rsidP="00006C12">
      <w:pPr>
        <w:jc w:val="center"/>
        <w:rPr>
          <w:b/>
          <w:bCs/>
          <w:i/>
          <w:iCs/>
          <w:sz w:val="32"/>
          <w:szCs w:val="32"/>
        </w:rPr>
      </w:pPr>
    </w:p>
    <w:p w14:paraId="73075563" w14:textId="77777777" w:rsidR="00006C12" w:rsidRDefault="00006C12" w:rsidP="00006C12">
      <w:pPr>
        <w:jc w:val="center"/>
        <w:rPr>
          <w:b/>
          <w:bCs/>
          <w:i/>
          <w:iCs/>
          <w:sz w:val="32"/>
          <w:szCs w:val="32"/>
        </w:rPr>
      </w:pPr>
    </w:p>
    <w:p w14:paraId="7B63B78A" w14:textId="77777777" w:rsidR="00006C12" w:rsidRDefault="00006C12" w:rsidP="00006C12">
      <w:pPr>
        <w:jc w:val="center"/>
        <w:rPr>
          <w:sz w:val="28"/>
          <w:szCs w:val="28"/>
        </w:rPr>
      </w:pPr>
      <w:r>
        <w:rPr>
          <w:sz w:val="28"/>
          <w:szCs w:val="28"/>
        </w:rPr>
        <w:t>Taylor Anais Rohn</w:t>
      </w:r>
    </w:p>
    <w:p w14:paraId="3B851DA6" w14:textId="77777777" w:rsidR="00006C12" w:rsidRDefault="00006C12" w:rsidP="00006C12">
      <w:pPr>
        <w:jc w:val="center"/>
        <w:rPr>
          <w:sz w:val="28"/>
          <w:szCs w:val="28"/>
        </w:rPr>
      </w:pPr>
      <w:r>
        <w:rPr>
          <w:sz w:val="28"/>
          <w:szCs w:val="28"/>
        </w:rPr>
        <w:t xml:space="preserve"> 2500151</w:t>
      </w:r>
    </w:p>
    <w:p w14:paraId="7CCF2E29" w14:textId="6445701F" w:rsidR="00006C12" w:rsidRDefault="00006C12" w:rsidP="00006C12">
      <w:pPr>
        <w:jc w:val="center"/>
        <w:rPr>
          <w:sz w:val="28"/>
          <w:szCs w:val="28"/>
        </w:rPr>
        <w:sectPr w:rsidR="00006C12" w:rsidSect="00006C12">
          <w:footerReference w:type="default" r:id="rId9"/>
          <w:pgSz w:w="11906" w:h="16838"/>
          <w:pgMar w:top="1440" w:right="1440" w:bottom="1440" w:left="1440" w:header="708" w:footer="708" w:gutter="0"/>
          <w:cols w:space="708"/>
          <w:titlePg/>
          <w:docGrid w:linePitch="360"/>
        </w:sectPr>
      </w:pPr>
      <w:r>
        <w:rPr>
          <w:sz w:val="28"/>
          <w:szCs w:val="28"/>
        </w:rPr>
        <w:t xml:space="preserve">Date </w:t>
      </w:r>
      <w:r w:rsidR="00DE6DBB">
        <w:rPr>
          <w:sz w:val="28"/>
          <w:szCs w:val="28"/>
        </w:rPr>
        <w:t>26</w:t>
      </w:r>
      <w:r>
        <w:rPr>
          <w:sz w:val="28"/>
          <w:szCs w:val="28"/>
        </w:rPr>
        <w:t>/</w:t>
      </w:r>
      <w:r w:rsidR="00013086">
        <w:rPr>
          <w:sz w:val="28"/>
          <w:szCs w:val="28"/>
        </w:rPr>
        <w:t>04</w:t>
      </w:r>
      <w:r>
        <w:rPr>
          <w:sz w:val="28"/>
          <w:szCs w:val="28"/>
        </w:rPr>
        <w:t>/202</w:t>
      </w:r>
      <w:r w:rsidR="00013086">
        <w:rPr>
          <w:sz w:val="28"/>
          <w:szCs w:val="28"/>
        </w:rPr>
        <w:t>6</w:t>
      </w:r>
    </w:p>
    <w:p w14:paraId="3E67DB4F" w14:textId="77777777" w:rsidR="00915099" w:rsidRDefault="00915099"/>
    <w:p w14:paraId="6936EF70" w14:textId="77777777" w:rsidR="0096133B" w:rsidRDefault="0096133B"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BA172DF" w14:textId="77777777" w:rsidR="0096133B" w:rsidRDefault="0096133B"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0AA76B5F" w14:textId="77777777" w:rsidR="0096133B" w:rsidRDefault="0096133B"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3E83219E" w14:textId="77777777" w:rsidR="0096133B" w:rsidRDefault="0096133B"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87D1565" w14:textId="77777777" w:rsidR="0096133B" w:rsidRDefault="0096133B"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60B6BC4"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32CA900"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0422F872"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A4E7036"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2468352"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D4B6C32"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86F27CD"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E0D652C"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543ED72"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0403F7E"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7DB7E55"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DE7D8E7"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9278263"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45F4D1D"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323B0583"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021AB8D7"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F4B4FBE"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64F9249"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E3205BE"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EB1A936"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C7CC1BB"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0323941"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96CF2EF"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6C8A081"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9899828"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5D3EEBC"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0037AB81"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3146CEF"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3DB4736"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12CA524"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3A0D381"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3E37093"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8F82563"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2BB0359C"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55AB98A"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681798A9"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31467620"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B00E5BC"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8150636"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96EEF36"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CA232F5"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455AE262"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35D7F5A8"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A1FB80E"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587B6F1F"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73EF4371"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p w14:paraId="1F9E048D" w14:textId="0D6D2AF0" w:rsidR="00165AEE" w:rsidRPr="00165AEE" w:rsidRDefault="00165AEE" w:rsidP="00165AEE">
      <w:pPr>
        <w:pStyle w:val="paragraph"/>
        <w:jc w:val="both"/>
        <w:textAlignment w:val="baseline"/>
        <w:rPr>
          <w:rFonts w:ascii="Arial" w:eastAsiaTheme="majorEastAsia" w:hAnsi="Arial" w:cs="Arial"/>
          <w:b/>
          <w:bCs/>
          <w:sz w:val="22"/>
          <w:szCs w:val="22"/>
        </w:rPr>
      </w:pPr>
    </w:p>
    <w:p w14:paraId="0C215AD6" w14:textId="77777777" w:rsidR="00165AEE" w:rsidRPr="00165AEE" w:rsidRDefault="00165AEE" w:rsidP="00165AEE">
      <w:pPr>
        <w:pStyle w:val="Heading1"/>
      </w:pPr>
      <w:r w:rsidRPr="00165AEE">
        <w:lastRenderedPageBreak/>
        <w:t>1. Introduction</w:t>
      </w:r>
    </w:p>
    <w:p w14:paraId="76A66D66"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global push toward decarbonisation and reduction of greenhouse gas emissions has driven significant research into alternative fuels for internal combustion engines. Among these, methanol (CH</w:t>
      </w:r>
      <w:r w:rsidRPr="00165AEE">
        <w:rPr>
          <w:rFonts w:asciiTheme="minorHAnsi" w:eastAsiaTheme="majorEastAsia" w:hAnsiTheme="minorHAnsi" w:cs="Cambria Math"/>
        </w:rPr>
        <w:t>₃</w:t>
      </w:r>
      <w:r w:rsidRPr="00165AEE">
        <w:rPr>
          <w:rFonts w:asciiTheme="minorHAnsi" w:eastAsiaTheme="majorEastAsia" w:hAnsiTheme="minorHAnsi" w:cs="Arial"/>
        </w:rPr>
        <w:t xml:space="preserve">OH) has emerged as a promising candidate due to its lower carbon content, clean combustion characteristics, and potential for renewable production pathways. Methanol can be synthesised from biomass or captured carbon dioxide, making it a viable pathway toward carbon-neutral fuel cycles (Frasci </w:t>
      </w:r>
      <w:r w:rsidRPr="00165AEE">
        <w:rPr>
          <w:rFonts w:asciiTheme="minorHAnsi" w:eastAsiaTheme="majorEastAsia" w:hAnsiTheme="minorHAnsi" w:cs="Arial"/>
          <w:i/>
          <w:iCs/>
        </w:rPr>
        <w:t>et al.</w:t>
      </w:r>
      <w:r w:rsidRPr="00165AEE">
        <w:rPr>
          <w:rFonts w:asciiTheme="minorHAnsi" w:eastAsiaTheme="majorEastAsia" w:hAnsiTheme="minorHAnsi" w:cs="Arial"/>
        </w:rPr>
        <w:t>, 2024 ).</w:t>
      </w:r>
    </w:p>
    <w:p w14:paraId="69BFE1F4"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In the transportation sector, which contributes a substantial proportion of global CO</w:t>
      </w:r>
      <w:r w:rsidRPr="00165AEE">
        <w:rPr>
          <w:rFonts w:asciiTheme="minorHAnsi" w:eastAsiaTheme="majorEastAsia" w:hAnsiTheme="minorHAnsi" w:cs="Cambria Math"/>
        </w:rPr>
        <w:t>₂</w:t>
      </w:r>
      <w:r w:rsidRPr="00165AEE">
        <w:rPr>
          <w:rFonts w:asciiTheme="minorHAnsi" w:eastAsiaTheme="majorEastAsia" w:hAnsiTheme="minorHAnsi" w:cs="Arial"/>
        </w:rPr>
        <w:t xml:space="preserve"> emissions, alternative fuels are essential to meet increasingly stringent environmental regulations. While electrification is often considered the long-term solution, practical limitations such as infrastructure requirements and raw material constraints highlight the continued relevance of internal combustion engines operating on cleaner fuels (Frasci </w:t>
      </w:r>
      <w:r w:rsidRPr="00165AEE">
        <w:rPr>
          <w:rFonts w:asciiTheme="minorHAnsi" w:eastAsiaTheme="majorEastAsia" w:hAnsiTheme="minorHAnsi" w:cs="Arial"/>
          <w:i/>
          <w:iCs/>
        </w:rPr>
        <w:t>et al.</w:t>
      </w:r>
      <w:r w:rsidRPr="00165AEE">
        <w:rPr>
          <w:rFonts w:asciiTheme="minorHAnsi" w:eastAsiaTheme="majorEastAsia" w:hAnsiTheme="minorHAnsi" w:cs="Arial"/>
        </w:rPr>
        <w:t>, 2024 ).</w:t>
      </w:r>
    </w:p>
    <w:p w14:paraId="014C503F"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Methanol offers several advantages over conventional gasoline, including:</w:t>
      </w:r>
    </w:p>
    <w:p w14:paraId="67AF2500" w14:textId="77777777" w:rsidR="00165AEE" w:rsidRPr="00165AEE" w:rsidRDefault="00165AEE" w:rsidP="00165AEE">
      <w:pPr>
        <w:pStyle w:val="paragraph"/>
        <w:numPr>
          <w:ilvl w:val="0"/>
          <w:numId w:val="20"/>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High oxygen content, promoting more complete combustion</w:t>
      </w:r>
    </w:p>
    <w:p w14:paraId="452B5FF8" w14:textId="77777777" w:rsidR="00165AEE" w:rsidRPr="00165AEE" w:rsidRDefault="00165AEE" w:rsidP="00165AEE">
      <w:pPr>
        <w:pStyle w:val="paragraph"/>
        <w:numPr>
          <w:ilvl w:val="0"/>
          <w:numId w:val="20"/>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High laminar flame speed, enabling rapid combustion</w:t>
      </w:r>
    </w:p>
    <w:p w14:paraId="2C0D92C6" w14:textId="77777777" w:rsidR="00165AEE" w:rsidRPr="00165AEE" w:rsidRDefault="00165AEE" w:rsidP="00165AEE">
      <w:pPr>
        <w:pStyle w:val="paragraph"/>
        <w:numPr>
          <w:ilvl w:val="0"/>
          <w:numId w:val="20"/>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Strong charge cooling effect, reducing knock tendency</w:t>
      </w:r>
    </w:p>
    <w:p w14:paraId="1FC47C11"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These properties make methanol particularly suitable for high-efficiency spark ignition (SI) engines.</w:t>
      </w:r>
    </w:p>
    <w:p w14:paraId="4FD84C4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study investigates methanol combustion in a modified Jaguar V8 engine using a combination of:</w:t>
      </w:r>
    </w:p>
    <w:p w14:paraId="37F2164E" w14:textId="77777777" w:rsidR="00165AEE" w:rsidRPr="00165AEE" w:rsidRDefault="00165AEE" w:rsidP="00165AEE">
      <w:pPr>
        <w:pStyle w:val="paragraph"/>
        <w:numPr>
          <w:ilvl w:val="0"/>
          <w:numId w:val="21"/>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High-fidelity 3D CFD simulation (ANSYS Forte)</w:t>
      </w:r>
    </w:p>
    <w:p w14:paraId="5D4E8D1E" w14:textId="77777777" w:rsidR="00165AEE" w:rsidRPr="00165AEE" w:rsidRDefault="00165AEE" w:rsidP="00165AEE">
      <w:pPr>
        <w:pStyle w:val="paragraph"/>
        <w:numPr>
          <w:ilvl w:val="0"/>
          <w:numId w:val="21"/>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1D engine modelling (Ricardo WAVE)</w:t>
      </w:r>
    </w:p>
    <w:p w14:paraId="2988AF7C"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aim is to analyse combustion behaviour, emissions formation, and model correlation, while assessing methanol’s potential as an alternative fuel.</w:t>
      </w:r>
    </w:p>
    <w:p w14:paraId="7BC0FDFC"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lastRenderedPageBreak/>
        <w:pict w14:anchorId="78A602F7">
          <v:rect id="_x0000_i1395" style="width:0;height:1.5pt" o:hralign="center" o:hrstd="t" o:hr="t" fillcolor="#a0a0a0" stroked="f"/>
        </w:pict>
      </w:r>
    </w:p>
    <w:p w14:paraId="35DCB9DD" w14:textId="77777777" w:rsidR="00165AEE" w:rsidRPr="00165AEE" w:rsidRDefault="00165AEE" w:rsidP="00165AEE">
      <w:pPr>
        <w:pStyle w:val="Heading1"/>
      </w:pPr>
      <w:r w:rsidRPr="00165AEE">
        <w:t>2. Engine Specifications</w:t>
      </w:r>
    </w:p>
    <w:p w14:paraId="6FD31CF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engine configuration used in this study is based on a Jaguar V8 platform, modified for methanol operation.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9"/>
        <w:gridCol w:w="2152"/>
      </w:tblGrid>
      <w:tr w:rsidR="00165AEE" w:rsidRPr="00165AEE" w14:paraId="6990312B" w14:textId="77777777">
        <w:trPr>
          <w:tblHeader/>
          <w:tblCellSpacing w:w="15" w:type="dxa"/>
        </w:trPr>
        <w:tc>
          <w:tcPr>
            <w:tcW w:w="0" w:type="auto"/>
            <w:vAlign w:val="center"/>
            <w:hideMark/>
          </w:tcPr>
          <w:p w14:paraId="110A123C"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Parameter</w:t>
            </w:r>
          </w:p>
        </w:tc>
        <w:tc>
          <w:tcPr>
            <w:tcW w:w="0" w:type="auto"/>
            <w:vAlign w:val="center"/>
            <w:hideMark/>
          </w:tcPr>
          <w:p w14:paraId="4A6A42C4"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Value</w:t>
            </w:r>
          </w:p>
        </w:tc>
      </w:tr>
      <w:tr w:rsidR="00165AEE" w:rsidRPr="00165AEE" w14:paraId="517BFDBF" w14:textId="77777777">
        <w:trPr>
          <w:tblCellSpacing w:w="15" w:type="dxa"/>
        </w:trPr>
        <w:tc>
          <w:tcPr>
            <w:tcW w:w="0" w:type="auto"/>
            <w:vAlign w:val="center"/>
            <w:hideMark/>
          </w:tcPr>
          <w:p w14:paraId="5BBB21E6"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Engine Type</w:t>
            </w:r>
          </w:p>
        </w:tc>
        <w:tc>
          <w:tcPr>
            <w:tcW w:w="0" w:type="auto"/>
            <w:vAlign w:val="center"/>
            <w:hideMark/>
          </w:tcPr>
          <w:p w14:paraId="3510683F"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Jaguar V8 (Modified)</w:t>
            </w:r>
          </w:p>
        </w:tc>
      </w:tr>
      <w:tr w:rsidR="00165AEE" w:rsidRPr="00165AEE" w14:paraId="68113075" w14:textId="77777777">
        <w:trPr>
          <w:tblCellSpacing w:w="15" w:type="dxa"/>
        </w:trPr>
        <w:tc>
          <w:tcPr>
            <w:tcW w:w="0" w:type="auto"/>
            <w:vAlign w:val="center"/>
            <w:hideMark/>
          </w:tcPr>
          <w:p w14:paraId="1CC25F75"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Fuel</w:t>
            </w:r>
          </w:p>
        </w:tc>
        <w:tc>
          <w:tcPr>
            <w:tcW w:w="0" w:type="auto"/>
            <w:vAlign w:val="center"/>
            <w:hideMark/>
          </w:tcPr>
          <w:p w14:paraId="67D4C186"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Methanol (CH</w:t>
            </w:r>
            <w:r w:rsidRPr="00165AEE">
              <w:rPr>
                <w:rFonts w:asciiTheme="minorHAnsi" w:eastAsiaTheme="majorEastAsia" w:hAnsiTheme="minorHAnsi" w:cs="Cambria Math"/>
              </w:rPr>
              <w:t>₃</w:t>
            </w:r>
            <w:r w:rsidRPr="00165AEE">
              <w:rPr>
                <w:rFonts w:asciiTheme="minorHAnsi" w:eastAsiaTheme="majorEastAsia" w:hAnsiTheme="minorHAnsi" w:cs="Arial"/>
              </w:rPr>
              <w:t>OH)</w:t>
            </w:r>
          </w:p>
        </w:tc>
      </w:tr>
      <w:tr w:rsidR="00165AEE" w:rsidRPr="00165AEE" w14:paraId="4417D150" w14:textId="77777777">
        <w:trPr>
          <w:tblCellSpacing w:w="15" w:type="dxa"/>
        </w:trPr>
        <w:tc>
          <w:tcPr>
            <w:tcW w:w="0" w:type="auto"/>
            <w:vAlign w:val="center"/>
            <w:hideMark/>
          </w:tcPr>
          <w:p w14:paraId="767CDF3A"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Bore</w:t>
            </w:r>
          </w:p>
        </w:tc>
        <w:tc>
          <w:tcPr>
            <w:tcW w:w="0" w:type="auto"/>
            <w:vAlign w:val="center"/>
            <w:hideMark/>
          </w:tcPr>
          <w:p w14:paraId="2F8CB566"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86.0 mm</w:t>
            </w:r>
          </w:p>
        </w:tc>
      </w:tr>
      <w:tr w:rsidR="00165AEE" w:rsidRPr="00165AEE" w14:paraId="3480E4CA" w14:textId="77777777">
        <w:trPr>
          <w:tblCellSpacing w:w="15" w:type="dxa"/>
        </w:trPr>
        <w:tc>
          <w:tcPr>
            <w:tcW w:w="0" w:type="auto"/>
            <w:vAlign w:val="center"/>
            <w:hideMark/>
          </w:tcPr>
          <w:p w14:paraId="60C5B9EF"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Stroke</w:t>
            </w:r>
          </w:p>
        </w:tc>
        <w:tc>
          <w:tcPr>
            <w:tcW w:w="0" w:type="auto"/>
            <w:vAlign w:val="center"/>
            <w:hideMark/>
          </w:tcPr>
          <w:p w14:paraId="1C7AF7CB"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86.0 mm</w:t>
            </w:r>
          </w:p>
        </w:tc>
      </w:tr>
      <w:tr w:rsidR="00165AEE" w:rsidRPr="00165AEE" w14:paraId="6131334D" w14:textId="77777777">
        <w:trPr>
          <w:tblCellSpacing w:w="15" w:type="dxa"/>
        </w:trPr>
        <w:tc>
          <w:tcPr>
            <w:tcW w:w="0" w:type="auto"/>
            <w:vAlign w:val="center"/>
            <w:hideMark/>
          </w:tcPr>
          <w:p w14:paraId="4FD5DC25"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Connecting Rod Length</w:t>
            </w:r>
          </w:p>
        </w:tc>
        <w:tc>
          <w:tcPr>
            <w:tcW w:w="0" w:type="auto"/>
            <w:vAlign w:val="center"/>
            <w:hideMark/>
          </w:tcPr>
          <w:p w14:paraId="5A6B4B36"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151.75 mm</w:t>
            </w:r>
          </w:p>
        </w:tc>
      </w:tr>
      <w:tr w:rsidR="00165AEE" w:rsidRPr="00165AEE" w14:paraId="13C17D98" w14:textId="77777777">
        <w:trPr>
          <w:tblCellSpacing w:w="15" w:type="dxa"/>
        </w:trPr>
        <w:tc>
          <w:tcPr>
            <w:tcW w:w="0" w:type="auto"/>
            <w:vAlign w:val="center"/>
            <w:hideMark/>
          </w:tcPr>
          <w:p w14:paraId="378A0543"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Compression Ratio</w:t>
            </w:r>
          </w:p>
        </w:tc>
        <w:tc>
          <w:tcPr>
            <w:tcW w:w="0" w:type="auto"/>
            <w:vAlign w:val="center"/>
            <w:hideMark/>
          </w:tcPr>
          <w:p w14:paraId="44F8B195"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~15:1</w:t>
            </w:r>
          </w:p>
        </w:tc>
      </w:tr>
      <w:tr w:rsidR="00165AEE" w:rsidRPr="00165AEE" w14:paraId="4EDD598B" w14:textId="77777777">
        <w:trPr>
          <w:tblCellSpacing w:w="15" w:type="dxa"/>
        </w:trPr>
        <w:tc>
          <w:tcPr>
            <w:tcW w:w="0" w:type="auto"/>
            <w:vAlign w:val="center"/>
            <w:hideMark/>
          </w:tcPr>
          <w:p w14:paraId="00FBE93E"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Engine Speed</w:t>
            </w:r>
          </w:p>
        </w:tc>
        <w:tc>
          <w:tcPr>
            <w:tcW w:w="0" w:type="auto"/>
            <w:vAlign w:val="center"/>
            <w:hideMark/>
          </w:tcPr>
          <w:p w14:paraId="5B2FABC4"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3000 rpm</w:t>
            </w:r>
          </w:p>
        </w:tc>
      </w:tr>
      <w:tr w:rsidR="00165AEE" w:rsidRPr="00165AEE" w14:paraId="0C651925" w14:textId="77777777">
        <w:trPr>
          <w:tblCellSpacing w:w="15" w:type="dxa"/>
        </w:trPr>
        <w:tc>
          <w:tcPr>
            <w:tcW w:w="0" w:type="auto"/>
            <w:vAlign w:val="center"/>
            <w:hideMark/>
          </w:tcPr>
          <w:p w14:paraId="1CC0F88C"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Spark Timing</w:t>
            </w:r>
          </w:p>
        </w:tc>
        <w:tc>
          <w:tcPr>
            <w:tcW w:w="0" w:type="auto"/>
            <w:vAlign w:val="center"/>
            <w:hideMark/>
          </w:tcPr>
          <w:p w14:paraId="320BDE8A"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−44° BTDC</w:t>
            </w:r>
          </w:p>
        </w:tc>
      </w:tr>
      <w:tr w:rsidR="00165AEE" w:rsidRPr="00165AEE" w14:paraId="1B6D9119" w14:textId="77777777">
        <w:trPr>
          <w:tblCellSpacing w:w="15" w:type="dxa"/>
        </w:trPr>
        <w:tc>
          <w:tcPr>
            <w:tcW w:w="0" w:type="auto"/>
            <w:vAlign w:val="center"/>
            <w:hideMark/>
          </w:tcPr>
          <w:p w14:paraId="1D825F15"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Geometry</w:t>
            </w:r>
          </w:p>
        </w:tc>
        <w:tc>
          <w:tcPr>
            <w:tcW w:w="0" w:type="auto"/>
            <w:vAlign w:val="center"/>
            <w:hideMark/>
          </w:tcPr>
          <w:p w14:paraId="2D867CC6"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45° sector model</w:t>
            </w:r>
          </w:p>
        </w:tc>
      </w:tr>
    </w:tbl>
    <w:p w14:paraId="5564256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high compression ratio is achievable due to methanol’s resistance to knock, which is enhanced by its high latent heat of vaporisation.</w:t>
      </w:r>
    </w:p>
    <w:p w14:paraId="7DFBB888" w14:textId="0C105D88" w:rsid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1F14DC93" w14:textId="77777777" w:rsid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1200C2B9"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3CE32AA0" w14:textId="77777777" w:rsidR="00165AEE" w:rsidRPr="00165AEE" w:rsidRDefault="00165AEE" w:rsidP="00165AEE">
      <w:pPr>
        <w:pStyle w:val="Heading1"/>
      </w:pPr>
      <w:r w:rsidRPr="00165AEE">
        <w:lastRenderedPageBreak/>
        <w:t>3. Methodology</w:t>
      </w:r>
    </w:p>
    <w:p w14:paraId="71E70148" w14:textId="77777777" w:rsidR="00165AEE" w:rsidRPr="00165AEE" w:rsidRDefault="00165AEE" w:rsidP="00165AEE">
      <w:pPr>
        <w:pStyle w:val="Heading2"/>
      </w:pPr>
      <w:r w:rsidRPr="00165AEE">
        <w:t>3.1 CFD Modelling (ANSYS Forte)</w:t>
      </w:r>
    </w:p>
    <w:p w14:paraId="46291A19"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A 45° sector model was employed to reduce computational cost while maintaining geometric fidelity. This approach leverages periodic symmetry and is widely used in engine CFD simulations.</w:t>
      </w:r>
    </w:p>
    <w:p w14:paraId="31DAFD23"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model includes:</w:t>
      </w:r>
    </w:p>
    <w:p w14:paraId="392DE934" w14:textId="77777777" w:rsidR="00165AEE" w:rsidRPr="00165AEE" w:rsidRDefault="00165AEE" w:rsidP="00165AEE">
      <w:pPr>
        <w:pStyle w:val="paragraph"/>
        <w:numPr>
          <w:ilvl w:val="0"/>
          <w:numId w:val="22"/>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Direct injection of methanol</w:t>
      </w:r>
    </w:p>
    <w:p w14:paraId="3158404A" w14:textId="77777777" w:rsidR="00165AEE" w:rsidRPr="00165AEE" w:rsidRDefault="00165AEE" w:rsidP="00165AEE">
      <w:pPr>
        <w:pStyle w:val="paragraph"/>
        <w:numPr>
          <w:ilvl w:val="0"/>
          <w:numId w:val="22"/>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Detailed chemical kinetics</w:t>
      </w:r>
    </w:p>
    <w:p w14:paraId="21A72CE7" w14:textId="77777777" w:rsidR="00165AEE" w:rsidRPr="00165AEE" w:rsidRDefault="00165AEE" w:rsidP="00165AEE">
      <w:pPr>
        <w:pStyle w:val="paragraph"/>
        <w:numPr>
          <w:ilvl w:val="0"/>
          <w:numId w:val="22"/>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Turbulence modelling using engine swirl profiles</w:t>
      </w:r>
    </w:p>
    <w:p w14:paraId="2572617A" w14:textId="77777777" w:rsidR="00165AEE" w:rsidRPr="00165AEE" w:rsidRDefault="00165AEE" w:rsidP="00165AEE">
      <w:pPr>
        <w:pStyle w:val="paragraph"/>
        <w:numPr>
          <w:ilvl w:val="0"/>
          <w:numId w:val="22"/>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Moving piston boundary conditions</w:t>
      </w:r>
    </w:p>
    <w:p w14:paraId="30124AB5"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Initial conditions were defined at intake valve closing, with air-dominated composition and subsequent fuel injection initiating the combustion process.</w:t>
      </w:r>
    </w:p>
    <w:p w14:paraId="48C8BCDF"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CFD modelling enables detailed resolution of in-cylinder processes, including flame propagation, turbulence interaction, and species formation.</w:t>
      </w:r>
    </w:p>
    <w:p w14:paraId="58029CEA" w14:textId="423ADF31"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774A980B" w14:textId="77777777" w:rsidR="00165AEE" w:rsidRPr="00165AEE" w:rsidRDefault="00165AEE" w:rsidP="00165AEE">
      <w:pPr>
        <w:pStyle w:val="Heading2"/>
      </w:pPr>
      <w:r w:rsidRPr="00165AEE">
        <w:t>3.2 1D Modelling (Ricardo WAVE)</w:t>
      </w:r>
    </w:p>
    <w:p w14:paraId="03B7D27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To complement the CFD analysis, a 1D model was developed using Ricardo WAVE. The injector was removed, and a premixed combustion approach was adopted to improve numerical stability.</w:t>
      </w:r>
    </w:p>
    <w:p w14:paraId="3E10D0A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combustion process was represented using the Wiebe function, which models the burnt mass fraction as a function of crank angle. This approach is widely used in engine simulations due to its ability to replicate combustion phasing using a small number of parameters.</w:t>
      </w:r>
    </w:p>
    <w:p w14:paraId="262178D3"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model was calibrated using CFD-derived data to ensure consistency between the two approaches.</w:t>
      </w:r>
    </w:p>
    <w:p w14:paraId="6D250E8A" w14:textId="23078E25"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41ABC6CF" w14:textId="77777777" w:rsidR="00165AEE" w:rsidRPr="00165AEE" w:rsidRDefault="00165AEE" w:rsidP="002B4C16">
      <w:pPr>
        <w:pStyle w:val="Heading2"/>
      </w:pPr>
      <w:r w:rsidRPr="00165AEE">
        <w:t>3.3 Air–Fuel Ratio and Operating Conditions</w:t>
      </w:r>
    </w:p>
    <w:p w14:paraId="75F6C4A5"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stoichiometric air–fuel ratio for methanol is approximately 6.47:1. In this study, an AFR of 6.2 was used, corresponding to a slightly rich mixture (ϕ ≈ 1.04). This choice reflects realistic operating conditions and aligns with CFD results.</w:t>
      </w:r>
    </w:p>
    <w:p w14:paraId="16E2D8CB" w14:textId="78C435F1"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17A39820" w14:textId="77777777" w:rsidR="00165AEE" w:rsidRPr="00165AEE" w:rsidRDefault="00165AEE" w:rsidP="002B4C16">
      <w:pPr>
        <w:pStyle w:val="Heading1"/>
      </w:pPr>
      <w:r w:rsidRPr="00165AEE">
        <w:t>4. Combustion Analysis</w:t>
      </w:r>
    </w:p>
    <w:p w14:paraId="7A0FB5D3" w14:textId="77777777" w:rsidR="00165AEE" w:rsidRPr="00165AEE" w:rsidRDefault="00165AEE" w:rsidP="002B4C16">
      <w:pPr>
        <w:pStyle w:val="Heading2"/>
      </w:pPr>
      <w:r w:rsidRPr="00165AEE">
        <w:t>4.1 Combustion Phasing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5"/>
        <w:gridCol w:w="1252"/>
      </w:tblGrid>
      <w:tr w:rsidR="00165AEE" w:rsidRPr="00165AEE" w14:paraId="69E7AB88" w14:textId="77777777">
        <w:trPr>
          <w:tblHeader/>
          <w:tblCellSpacing w:w="15" w:type="dxa"/>
        </w:trPr>
        <w:tc>
          <w:tcPr>
            <w:tcW w:w="0" w:type="auto"/>
            <w:vAlign w:val="center"/>
            <w:hideMark/>
          </w:tcPr>
          <w:p w14:paraId="47BF5451"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Parameter</w:t>
            </w:r>
          </w:p>
        </w:tc>
        <w:tc>
          <w:tcPr>
            <w:tcW w:w="0" w:type="auto"/>
            <w:vAlign w:val="center"/>
            <w:hideMark/>
          </w:tcPr>
          <w:p w14:paraId="12127A3A"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Value</w:t>
            </w:r>
          </w:p>
        </w:tc>
      </w:tr>
      <w:tr w:rsidR="00165AEE" w:rsidRPr="00165AEE" w14:paraId="0EE31EAE" w14:textId="77777777">
        <w:trPr>
          <w:tblCellSpacing w:w="15" w:type="dxa"/>
        </w:trPr>
        <w:tc>
          <w:tcPr>
            <w:tcW w:w="0" w:type="auto"/>
            <w:vAlign w:val="center"/>
            <w:hideMark/>
          </w:tcPr>
          <w:p w14:paraId="77AC5D8A"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CA10</w:t>
            </w:r>
          </w:p>
        </w:tc>
        <w:tc>
          <w:tcPr>
            <w:tcW w:w="0" w:type="auto"/>
            <w:vAlign w:val="center"/>
            <w:hideMark/>
          </w:tcPr>
          <w:p w14:paraId="2A8D6EDF"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4.35° ATDC</w:t>
            </w:r>
          </w:p>
        </w:tc>
      </w:tr>
      <w:tr w:rsidR="00165AEE" w:rsidRPr="00165AEE" w14:paraId="082FE59F" w14:textId="77777777">
        <w:trPr>
          <w:tblCellSpacing w:w="15" w:type="dxa"/>
        </w:trPr>
        <w:tc>
          <w:tcPr>
            <w:tcW w:w="0" w:type="auto"/>
            <w:vAlign w:val="center"/>
            <w:hideMark/>
          </w:tcPr>
          <w:p w14:paraId="3A1CBF7F"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CA50</w:t>
            </w:r>
          </w:p>
        </w:tc>
        <w:tc>
          <w:tcPr>
            <w:tcW w:w="0" w:type="auto"/>
            <w:vAlign w:val="center"/>
            <w:hideMark/>
          </w:tcPr>
          <w:p w14:paraId="7BEB2D25"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21.9° ATDC</w:t>
            </w:r>
          </w:p>
        </w:tc>
      </w:tr>
      <w:tr w:rsidR="00165AEE" w:rsidRPr="00165AEE" w14:paraId="449CAD75" w14:textId="77777777">
        <w:trPr>
          <w:tblCellSpacing w:w="15" w:type="dxa"/>
        </w:trPr>
        <w:tc>
          <w:tcPr>
            <w:tcW w:w="0" w:type="auto"/>
            <w:vAlign w:val="center"/>
            <w:hideMark/>
          </w:tcPr>
          <w:p w14:paraId="3088BDEF"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CA90</w:t>
            </w:r>
          </w:p>
        </w:tc>
        <w:tc>
          <w:tcPr>
            <w:tcW w:w="0" w:type="auto"/>
            <w:vAlign w:val="center"/>
            <w:hideMark/>
          </w:tcPr>
          <w:p w14:paraId="08EB4402"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27.1° ATDC</w:t>
            </w:r>
          </w:p>
        </w:tc>
      </w:tr>
      <w:tr w:rsidR="00165AEE" w:rsidRPr="00165AEE" w14:paraId="680D2E5D" w14:textId="77777777">
        <w:trPr>
          <w:tblCellSpacing w:w="15" w:type="dxa"/>
        </w:trPr>
        <w:tc>
          <w:tcPr>
            <w:tcW w:w="0" w:type="auto"/>
            <w:vAlign w:val="center"/>
            <w:hideMark/>
          </w:tcPr>
          <w:p w14:paraId="49B74C34"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Duration</w:t>
            </w:r>
          </w:p>
        </w:tc>
        <w:tc>
          <w:tcPr>
            <w:tcW w:w="0" w:type="auto"/>
            <w:vAlign w:val="center"/>
            <w:hideMark/>
          </w:tcPr>
          <w:p w14:paraId="17F3338C" w14:textId="77777777"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22.8°</w:t>
            </w:r>
          </w:p>
        </w:tc>
      </w:tr>
    </w:tbl>
    <w:p w14:paraId="5CB8A1F1"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These parameters describe the progression of combustion and are critical for analysing engine performance.</w:t>
      </w:r>
    </w:p>
    <w:p w14:paraId="32297391" w14:textId="4A2A3BA9" w:rsidR="00165AEE" w:rsidRPr="00165AEE" w:rsidRDefault="005E6834" w:rsidP="00165AEE">
      <w:pPr>
        <w:pStyle w:val="paragraph"/>
        <w:spacing w:after="240" w:afterAutospacing="0" w:line="360" w:lineRule="auto"/>
        <w:jc w:val="both"/>
        <w:textAlignment w:val="baseline"/>
        <w:rPr>
          <w:rFonts w:asciiTheme="minorHAnsi" w:eastAsiaTheme="majorEastAsia" w:hAnsiTheme="minorHAnsi" w:cs="Arial"/>
        </w:rPr>
      </w:pPr>
      <w:r w:rsidRPr="005E6834">
        <w:rPr>
          <w:rFonts w:asciiTheme="minorHAnsi" w:eastAsiaTheme="majorEastAsia" w:hAnsiTheme="minorHAnsi" w:cs="Arial"/>
        </w:rPr>
        <w:t>co2_plot</w:t>
      </w:r>
    </w:p>
    <w:p w14:paraId="7B43536B" w14:textId="77777777" w:rsidR="00165AEE" w:rsidRPr="00165AEE" w:rsidRDefault="00165AEE" w:rsidP="002B4C16">
      <w:pPr>
        <w:pStyle w:val="Heading2"/>
      </w:pPr>
      <w:r w:rsidRPr="00165AEE">
        <w:t>4.2 Ignition Delay and Flame Development</w:t>
      </w:r>
    </w:p>
    <w:p w14:paraId="60E4369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spark is initiated at −44° BTDC; however, combustion does not begin until CA10 ≈ 4.35° ATDC. This corresponds to an ignition delay of approximately 48° crank angle.</w:t>
      </w:r>
    </w:p>
    <w:p w14:paraId="2E0F2F79"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delay is associated with flame kernel development and is influenced by mixture preparation and in-cylinder conditions. Similar behaviour has been observed in methanol-</w:t>
      </w:r>
      <w:r w:rsidRPr="00165AEE">
        <w:rPr>
          <w:rFonts w:asciiTheme="minorHAnsi" w:eastAsiaTheme="majorEastAsia" w:hAnsiTheme="minorHAnsi" w:cs="Arial"/>
        </w:rPr>
        <w:lastRenderedPageBreak/>
        <w:t xml:space="preserve">fuelled SI engines, where charge cooling effects can delay ignition despite improved knock resistance (Frasci </w:t>
      </w:r>
      <w:r w:rsidRPr="00165AEE">
        <w:rPr>
          <w:rFonts w:asciiTheme="minorHAnsi" w:eastAsiaTheme="majorEastAsia" w:hAnsiTheme="minorHAnsi" w:cs="Arial"/>
          <w:i/>
          <w:iCs/>
        </w:rPr>
        <w:t>et al.</w:t>
      </w:r>
      <w:r w:rsidRPr="00165AEE">
        <w:rPr>
          <w:rFonts w:asciiTheme="minorHAnsi" w:eastAsiaTheme="majorEastAsia" w:hAnsiTheme="minorHAnsi" w:cs="Arial"/>
        </w:rPr>
        <w:t>, 2024 ).</w:t>
      </w:r>
    </w:p>
    <w:p w14:paraId="179D0F06" w14:textId="49EE5454"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7F561964" w14:textId="77777777" w:rsidR="00165AEE" w:rsidRPr="00165AEE" w:rsidRDefault="00165AEE" w:rsidP="002B4C16">
      <w:pPr>
        <w:pStyle w:val="Heading2"/>
      </w:pPr>
      <w:r w:rsidRPr="00165AEE">
        <w:t>4.3 Heat Release Rate and Pressure</w:t>
      </w:r>
    </w:p>
    <w:p w14:paraId="251904B8"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heat release rate (HRR) profile shows a rapid increase following CA10, reaching a peak near CA50. This phase corresponds to the main combustion event, during which the majority of fuel is consumed.</w:t>
      </w:r>
    </w:p>
    <w:p w14:paraId="4BD6D631"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pressure curve follows a similar trend, with peak pressure occurring shortly after CA50. However, the delayed CA50 suggests that combustion is slightly retarded relative to optimal conditions.</w:t>
      </w:r>
    </w:p>
    <w:p w14:paraId="0BE3FD5B"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According to established engine theory, optimal combustion phasing occurs when CA50 lies between 8° and 15° ATDC. The later phasing observed here indicates potential efficiency losses.</w:t>
      </w:r>
    </w:p>
    <w:p w14:paraId="447B4095" w14:textId="61CF46BF" w:rsidR="00165AEE" w:rsidRPr="00165AEE" w:rsidRDefault="00ED5F04" w:rsidP="00165AEE">
      <w:pPr>
        <w:pStyle w:val="paragraph"/>
        <w:spacing w:after="240" w:afterAutospacing="0" w:line="360" w:lineRule="auto"/>
        <w:jc w:val="both"/>
        <w:textAlignment w:val="baseline"/>
        <w:rPr>
          <w:rFonts w:asciiTheme="minorHAnsi" w:eastAsiaTheme="majorEastAsia" w:hAnsiTheme="minorHAnsi" w:cs="Arial"/>
        </w:rPr>
      </w:pPr>
      <w:r>
        <w:rPr>
          <w:rFonts w:asciiTheme="minorHAnsi" w:eastAsiaTheme="majorEastAsia" w:hAnsiTheme="minorHAnsi" w:cs="Arial"/>
          <w:noProof/>
        </w:rPr>
        <w:lastRenderedPageBreak/>
        <w:drawing>
          <wp:inline distT="0" distB="0" distL="0" distR="0" wp14:anchorId="66B71DA2" wp14:editId="10625F90">
            <wp:extent cx="5848985" cy="4391025"/>
            <wp:effectExtent l="0" t="0" r="0" b="9525"/>
            <wp:docPr id="156231598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r>
        <w:rPr>
          <w:rFonts w:asciiTheme="minorHAnsi" w:eastAsiaTheme="majorEastAsia" w:hAnsiTheme="minorHAnsi" w:cs="Arial"/>
          <w:noProof/>
        </w:rPr>
        <w:drawing>
          <wp:inline distT="0" distB="0" distL="0" distR="0" wp14:anchorId="56D538A4" wp14:editId="08207FB0">
            <wp:extent cx="5848985" cy="4391025"/>
            <wp:effectExtent l="0" t="0" r="0" b="9525"/>
            <wp:docPr id="14095792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r>
        <w:rPr>
          <w:rFonts w:asciiTheme="minorHAnsi" w:eastAsiaTheme="majorEastAsia" w:hAnsiTheme="minorHAnsi" w:cs="Arial"/>
          <w:noProof/>
        </w:rPr>
        <w:lastRenderedPageBreak/>
        <w:drawing>
          <wp:inline distT="0" distB="0" distL="0" distR="0" wp14:anchorId="15D73161" wp14:editId="1F330157">
            <wp:extent cx="5848985" cy="4391025"/>
            <wp:effectExtent l="0" t="0" r="0" b="9525"/>
            <wp:docPr id="13098138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r w:rsidR="00EB570C">
        <w:rPr>
          <w:rFonts w:asciiTheme="minorHAnsi" w:eastAsiaTheme="majorEastAsia" w:hAnsiTheme="minorHAnsi" w:cs="Arial"/>
          <w:noProof/>
        </w:rPr>
        <w:drawing>
          <wp:inline distT="0" distB="0" distL="0" distR="0" wp14:anchorId="328FD9BA" wp14:editId="5BDC06BF">
            <wp:extent cx="5848985" cy="4391025"/>
            <wp:effectExtent l="0" t="0" r="0" b="9525"/>
            <wp:docPr id="14875666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p>
    <w:p w14:paraId="47697AA1" w14:textId="096F8D99" w:rsidR="00165AEE" w:rsidRPr="00165AEE" w:rsidRDefault="00165AEE" w:rsidP="002B4C16">
      <w:pPr>
        <w:pStyle w:val="Heading1"/>
      </w:pPr>
      <w:r w:rsidRPr="00165AEE">
        <w:lastRenderedPageBreak/>
        <w:t>5. Emissions Analysis</w:t>
      </w:r>
      <w:r w:rsidR="00ED5F04">
        <w:rPr>
          <w:noProof/>
        </w:rPr>
        <w:drawing>
          <wp:inline distT="0" distB="0" distL="0" distR="0" wp14:anchorId="68CD9FBA" wp14:editId="19165961">
            <wp:extent cx="5848985" cy="4391025"/>
            <wp:effectExtent l="0" t="0" r="0" b="9525"/>
            <wp:docPr id="19927744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p>
    <w:p w14:paraId="34925EE9" w14:textId="6A883956" w:rsidR="00165AEE" w:rsidRPr="00165AEE" w:rsidRDefault="00165AEE" w:rsidP="002B4C16">
      <w:pPr>
        <w:pStyle w:val="Heading2"/>
      </w:pPr>
      <w:r w:rsidRPr="00165AEE">
        <w:lastRenderedPageBreak/>
        <w:t>5.1 Carbon Dioxide (CO</w:t>
      </w:r>
      <w:r w:rsidRPr="00165AEE">
        <w:rPr>
          <w:rFonts w:cs="Cambria Math"/>
        </w:rPr>
        <w:t>₂</w:t>
      </w:r>
      <w:r w:rsidR="00EB570C">
        <w:rPr>
          <w:rFonts w:cs="Cambria Math"/>
          <w:noProof/>
        </w:rPr>
        <w:drawing>
          <wp:inline distT="0" distB="0" distL="0" distR="0" wp14:anchorId="1E02966A" wp14:editId="3BB003A2">
            <wp:extent cx="5848985" cy="4391025"/>
            <wp:effectExtent l="0" t="0" r="0" b="9525"/>
            <wp:docPr id="5366291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8985" cy="4391025"/>
                    </a:xfrm>
                    <a:prstGeom prst="rect">
                      <a:avLst/>
                    </a:prstGeom>
                    <a:noFill/>
                    <a:ln>
                      <a:noFill/>
                    </a:ln>
                  </pic:spPr>
                </pic:pic>
              </a:graphicData>
            </a:graphic>
          </wp:inline>
        </w:drawing>
      </w:r>
      <w:r w:rsidRPr="00165AEE">
        <w:t>)</w:t>
      </w:r>
    </w:p>
    <w:p w14:paraId="6E4FE41D" w14:textId="7CC5A259"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mc:AlternateContent>
          <mc:Choice Requires="wps">
            <w:drawing>
              <wp:inline distT="0" distB="0" distL="0" distR="0" wp14:anchorId="6F2BD8DB" wp14:editId="06C2DDDA">
                <wp:extent cx="304800" cy="304800"/>
                <wp:effectExtent l="0" t="0" r="0" b="0"/>
                <wp:docPr id="669186195" name="Rectangle 6" descr="CO2 Pl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D590B9" id="Rectangle 6" o:spid="_x0000_s1026" alt="CO2 Pl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9EF13B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CO</w:t>
      </w:r>
      <w:r w:rsidRPr="00165AEE">
        <w:rPr>
          <w:rFonts w:asciiTheme="minorHAnsi" w:eastAsiaTheme="majorEastAsia" w:hAnsiTheme="minorHAnsi" w:cs="Cambria Math"/>
        </w:rPr>
        <w:t>₂</w:t>
      </w:r>
      <w:r w:rsidRPr="00165AEE">
        <w:rPr>
          <w:rFonts w:asciiTheme="minorHAnsi" w:eastAsiaTheme="majorEastAsia" w:hAnsiTheme="minorHAnsi" w:cs="Arial"/>
        </w:rPr>
        <w:t xml:space="preserve"> formation increases steadily during combustion, reflecting complete oxidation of methanol. The plateau after CA90 indicates that combustion is largely complete.</w:t>
      </w:r>
    </w:p>
    <w:p w14:paraId="33D40B9A"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This behaviour is consistent with findings reported by Frasci </w:t>
      </w:r>
      <w:r w:rsidRPr="00165AEE">
        <w:rPr>
          <w:rFonts w:asciiTheme="minorHAnsi" w:eastAsiaTheme="majorEastAsia" w:hAnsiTheme="minorHAnsi" w:cs="Arial"/>
          <w:i/>
          <w:iCs/>
        </w:rPr>
        <w:t>et al.</w:t>
      </w:r>
      <w:r w:rsidRPr="00165AEE">
        <w:rPr>
          <w:rFonts w:asciiTheme="minorHAnsi" w:eastAsiaTheme="majorEastAsia" w:hAnsiTheme="minorHAnsi" w:cs="Arial"/>
        </w:rPr>
        <w:t xml:space="preserve"> (2024), who observed improved combustion efficiency and reduced emissions when using methanol compared to gasoline.</w:t>
      </w:r>
    </w:p>
    <w:p w14:paraId="68CDEEA8" w14:textId="469FDFE2"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3F498975" w14:textId="77777777" w:rsidR="00165AEE" w:rsidRPr="00165AEE" w:rsidRDefault="00165AEE" w:rsidP="002B4C16">
      <w:pPr>
        <w:pStyle w:val="Heading2"/>
      </w:pPr>
      <w:r w:rsidRPr="00165AEE">
        <w:t>5.2 Carbon Monoxide (CO)</w:t>
      </w:r>
    </w:p>
    <w:p w14:paraId="032B32F6" w14:textId="74CC477B"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mc:AlternateContent>
          <mc:Choice Requires="wps">
            <w:drawing>
              <wp:inline distT="0" distB="0" distL="0" distR="0" wp14:anchorId="176BF302" wp14:editId="36F1C982">
                <wp:extent cx="304800" cy="304800"/>
                <wp:effectExtent l="0" t="0" r="0" b="0"/>
                <wp:docPr id="352355910" name="Rectangle 5" descr="CO Pl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6AE9F2" id="Rectangle 5" o:spid="_x0000_s1026" alt="CO Pl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B4EB899"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lastRenderedPageBreak/>
        <w:t>CO is produced during incomplete combustion and peaks during the main combustion phase. As oxidation progresses, CO is converted into CO</w:t>
      </w:r>
      <w:r w:rsidRPr="00165AEE">
        <w:rPr>
          <w:rFonts w:asciiTheme="minorHAnsi" w:eastAsiaTheme="majorEastAsia" w:hAnsiTheme="minorHAnsi" w:cs="Cambria Math"/>
        </w:rPr>
        <w:t>₂</w:t>
      </w:r>
      <w:r w:rsidRPr="00165AEE">
        <w:rPr>
          <w:rFonts w:asciiTheme="minorHAnsi" w:eastAsiaTheme="majorEastAsia" w:hAnsiTheme="minorHAnsi" w:cs="Arial"/>
        </w:rPr>
        <w:t>, resulting in a decline in concentration.</w:t>
      </w:r>
    </w:p>
    <w:p w14:paraId="060C860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trend highlights the importance of temperature and oxygen availability in determining combustion completeness.</w:t>
      </w:r>
    </w:p>
    <w:p w14:paraId="297E66C1" w14:textId="7E5CB0E6"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7138B408" w14:textId="77777777" w:rsidR="00165AEE" w:rsidRPr="00165AEE" w:rsidRDefault="00165AEE" w:rsidP="002B4C16">
      <w:pPr>
        <w:pStyle w:val="Heading2"/>
      </w:pPr>
      <w:r w:rsidRPr="00165AEE">
        <w:t>5.3 Nitrogen Oxides (NOx)</w:t>
      </w:r>
    </w:p>
    <w:p w14:paraId="275F8068" w14:textId="33CD1822"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mc:AlternateContent>
          <mc:Choice Requires="wps">
            <w:drawing>
              <wp:inline distT="0" distB="0" distL="0" distR="0" wp14:anchorId="3F529D4D" wp14:editId="7D474FCB">
                <wp:extent cx="304800" cy="304800"/>
                <wp:effectExtent l="0" t="0" r="0" b="0"/>
                <wp:docPr id="552130644" name="Rectangle 4" descr="NOx Pl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A41BA4" id="Rectangle 4" o:spid="_x0000_s1026" alt="NOx Pl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5CDE608"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NOx formation is strongly dependent on temperature and peaks near CA50, where in-cylinder temperatures are highest. This behaviour follows the thermal NOx formation mechanism.</w:t>
      </w:r>
    </w:p>
    <w:p w14:paraId="16FE88FD"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Although methanol combustion generally reduces certain pollutants, NOx formation remains sensitive to peak temperatures and compression ratio.</w:t>
      </w:r>
    </w:p>
    <w:p w14:paraId="3DDA21B6" w14:textId="63F219BE" w:rsidR="00165AEE" w:rsidRPr="00165AEE" w:rsidRDefault="00165AEE" w:rsidP="002B4C16">
      <w:pPr>
        <w:pStyle w:val="Heading1"/>
      </w:pPr>
    </w:p>
    <w:p w14:paraId="744C07C0" w14:textId="77777777" w:rsidR="00165AEE" w:rsidRPr="00165AEE" w:rsidRDefault="00165AEE" w:rsidP="002B4C16">
      <w:pPr>
        <w:pStyle w:val="Heading1"/>
      </w:pPr>
      <w:r w:rsidRPr="00165AEE">
        <w:t>6. Combustion–Emission Relationship</w:t>
      </w:r>
    </w:p>
    <w:p w14:paraId="23D23947"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combustion process directly influences emission formation:</w:t>
      </w:r>
    </w:p>
    <w:p w14:paraId="52EC1B41" w14:textId="77777777" w:rsidR="00165AEE" w:rsidRPr="00165AEE" w:rsidRDefault="00165AEE" w:rsidP="00165AEE">
      <w:pPr>
        <w:pStyle w:val="paragraph"/>
        <w:numPr>
          <w:ilvl w:val="0"/>
          <w:numId w:val="23"/>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CA10: Initiation of combustion and CO formation</w:t>
      </w:r>
    </w:p>
    <w:p w14:paraId="46DE6ADF" w14:textId="77777777" w:rsidR="00165AEE" w:rsidRPr="00165AEE" w:rsidRDefault="00165AEE" w:rsidP="00165AEE">
      <w:pPr>
        <w:pStyle w:val="paragraph"/>
        <w:numPr>
          <w:ilvl w:val="0"/>
          <w:numId w:val="23"/>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CA50: Peak temperature and NOx formation</w:t>
      </w:r>
    </w:p>
    <w:p w14:paraId="5DB6DA2E" w14:textId="77777777" w:rsidR="00165AEE" w:rsidRPr="00165AEE" w:rsidRDefault="00165AEE" w:rsidP="00165AEE">
      <w:pPr>
        <w:pStyle w:val="paragraph"/>
        <w:numPr>
          <w:ilvl w:val="0"/>
          <w:numId w:val="23"/>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CA90: Completion of combustion and CO</w:t>
      </w:r>
      <w:r w:rsidRPr="00165AEE">
        <w:rPr>
          <w:rFonts w:asciiTheme="minorHAnsi" w:eastAsiaTheme="majorEastAsia" w:hAnsiTheme="minorHAnsi" w:cs="Cambria Math"/>
        </w:rPr>
        <w:t>₂</w:t>
      </w:r>
      <w:r w:rsidRPr="00165AEE">
        <w:rPr>
          <w:rFonts w:asciiTheme="minorHAnsi" w:eastAsiaTheme="majorEastAsia" w:hAnsiTheme="minorHAnsi" w:cs="Arial"/>
        </w:rPr>
        <w:t xml:space="preserve"> stabilisation</w:t>
      </w:r>
    </w:p>
    <w:p w14:paraId="4ADD098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relationship demonstrates the strong coupling between combustion dynamics and pollutant formation.</w:t>
      </w:r>
    </w:p>
    <w:p w14:paraId="1CC257D5" w14:textId="0D50E875" w:rsidR="00165AEE" w:rsidRPr="00165AEE" w:rsidRDefault="00165AEE" w:rsidP="002B4C16">
      <w:pPr>
        <w:pStyle w:val="Heading2"/>
      </w:pPr>
    </w:p>
    <w:p w14:paraId="66B0422B" w14:textId="77777777" w:rsidR="00165AEE" w:rsidRPr="00165AEE" w:rsidRDefault="00165AEE" w:rsidP="002B4C16">
      <w:pPr>
        <w:pStyle w:val="Heading2"/>
      </w:pPr>
      <w:r w:rsidRPr="00165AEE">
        <w:t>7. Model Validation</w:t>
      </w:r>
    </w:p>
    <w:p w14:paraId="12E769E1"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1D WAVE model was calibrated using CFD-derived parameters, including combustion phasing and heat release characteristics.</w:t>
      </w:r>
    </w:p>
    <w:p w14:paraId="52D592B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comparison shows strong agreement in:</w:t>
      </w:r>
    </w:p>
    <w:p w14:paraId="66693B62" w14:textId="77777777" w:rsidR="00165AEE" w:rsidRPr="00165AEE" w:rsidRDefault="00165AEE" w:rsidP="00165AEE">
      <w:pPr>
        <w:pStyle w:val="paragraph"/>
        <w:numPr>
          <w:ilvl w:val="0"/>
          <w:numId w:val="24"/>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Combustion duration</w:t>
      </w:r>
    </w:p>
    <w:p w14:paraId="6E180972" w14:textId="77777777" w:rsidR="00165AEE" w:rsidRPr="00165AEE" w:rsidRDefault="00165AEE" w:rsidP="00165AEE">
      <w:pPr>
        <w:pStyle w:val="paragraph"/>
        <w:numPr>
          <w:ilvl w:val="0"/>
          <w:numId w:val="24"/>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HRR profile</w:t>
      </w:r>
    </w:p>
    <w:p w14:paraId="2B2F5B5E" w14:textId="77777777" w:rsidR="00165AEE" w:rsidRPr="00165AEE" w:rsidRDefault="00165AEE" w:rsidP="00165AEE">
      <w:pPr>
        <w:pStyle w:val="paragraph"/>
        <w:numPr>
          <w:ilvl w:val="0"/>
          <w:numId w:val="24"/>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Pressure trends</w:t>
      </w:r>
    </w:p>
    <w:p w14:paraId="52D0EFDA"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confirms that simplified models can accurately reproduce key combustion features when properly calibrated.</w:t>
      </w:r>
    </w:p>
    <w:p w14:paraId="348E5BB5" w14:textId="5AABB455"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5460FC9A" w14:textId="77777777" w:rsidR="00165AEE" w:rsidRPr="00165AEE" w:rsidRDefault="00165AEE" w:rsidP="002B4C16">
      <w:pPr>
        <w:pStyle w:val="Heading1"/>
      </w:pPr>
      <w:r w:rsidRPr="00165AEE">
        <w:t>8. Discussion</w:t>
      </w:r>
    </w:p>
    <w:p w14:paraId="27C79596"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results of this study demonstrate that methanol combustion exhibits rapid and efficient characteristics, consistent with literature findings. The high laminar flame speed of methanol contributes to fast combustion, while its oxygen content promotes complete oxidation.</w:t>
      </w:r>
    </w:p>
    <w:p w14:paraId="2EC255B6"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The ignition delay observed in this study is consistent with experimental findings reported by Frasci </w:t>
      </w:r>
      <w:r w:rsidRPr="00165AEE">
        <w:rPr>
          <w:rFonts w:asciiTheme="minorHAnsi" w:eastAsiaTheme="majorEastAsia" w:hAnsiTheme="minorHAnsi" w:cs="Arial"/>
          <w:i/>
          <w:iCs/>
        </w:rPr>
        <w:t>et al.</w:t>
      </w:r>
      <w:r w:rsidRPr="00165AEE">
        <w:rPr>
          <w:rFonts w:asciiTheme="minorHAnsi" w:eastAsiaTheme="majorEastAsia" w:hAnsiTheme="minorHAnsi" w:cs="Arial"/>
        </w:rPr>
        <w:t xml:space="preserve"> (2024), who noted that methanol combustion can exhibit delayed ignition due to charge cooling effects. Despite this delay, the overall combustion process remains efficient.</w:t>
      </w:r>
    </w:p>
    <w:p w14:paraId="705F062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The emission trends observed align closely with theoretical expectations. CO</w:t>
      </w:r>
      <w:r w:rsidRPr="00165AEE">
        <w:rPr>
          <w:rFonts w:asciiTheme="minorHAnsi" w:eastAsiaTheme="majorEastAsia" w:hAnsiTheme="minorHAnsi" w:cs="Cambria Math"/>
        </w:rPr>
        <w:t>₂</w:t>
      </w:r>
      <w:r w:rsidRPr="00165AEE">
        <w:rPr>
          <w:rFonts w:asciiTheme="minorHAnsi" w:eastAsiaTheme="majorEastAsia" w:hAnsiTheme="minorHAnsi" w:cs="Arial"/>
        </w:rPr>
        <w:t xml:space="preserve"> formation indicates efficient combustion, while CO formation highlights regions of incomplete oxidation. NOx formation is primarily driven by peak temperatures and is influenced by combustion phasing.</w:t>
      </w:r>
    </w:p>
    <w:p w14:paraId="087ADFC2"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lastRenderedPageBreak/>
        <w:t>The delayed CA50 suggests that optimisation of ignition timing could improve engine efficiency. Advancing the spark timing would shift the combustion process closer to top dead centre, increasing work extraction.</w:t>
      </w:r>
    </w:p>
    <w:p w14:paraId="6CE6B8C4"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Overall, the results confirm that methanol is a viable alternative fuel for spark ignition engines, offering improved efficiency and reduced emissions compared to conventional fuels.</w:t>
      </w:r>
    </w:p>
    <w:p w14:paraId="6A4B263F" w14:textId="34904FA3"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60072038" w14:textId="77777777" w:rsidR="00165AEE" w:rsidRPr="00165AEE" w:rsidRDefault="00165AEE" w:rsidP="002B4C16">
      <w:pPr>
        <w:pStyle w:val="Heading1"/>
      </w:pPr>
      <w:r w:rsidRPr="00165AEE">
        <w:t>9. Conclusion</w:t>
      </w:r>
    </w:p>
    <w:p w14:paraId="0C6BDC50"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This study has demonstrated that:</w:t>
      </w:r>
    </w:p>
    <w:p w14:paraId="20EFA5FB" w14:textId="77777777" w:rsidR="00165AEE" w:rsidRPr="00165AEE" w:rsidRDefault="00165AEE" w:rsidP="00165AEE">
      <w:pPr>
        <w:pStyle w:val="paragraph"/>
        <w:numPr>
          <w:ilvl w:val="0"/>
          <w:numId w:val="25"/>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Methanol enables rapid and efficient combustion</w:t>
      </w:r>
    </w:p>
    <w:p w14:paraId="24BF5B83" w14:textId="77777777" w:rsidR="00165AEE" w:rsidRPr="00165AEE" w:rsidRDefault="00165AEE" w:rsidP="00165AEE">
      <w:pPr>
        <w:pStyle w:val="paragraph"/>
        <w:numPr>
          <w:ilvl w:val="0"/>
          <w:numId w:val="25"/>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Emission formation is strongly linked to combustion phasing</w:t>
      </w:r>
    </w:p>
    <w:p w14:paraId="5C267573" w14:textId="77777777" w:rsidR="00165AEE" w:rsidRPr="00165AEE" w:rsidRDefault="00165AEE" w:rsidP="00165AEE">
      <w:pPr>
        <w:pStyle w:val="paragraph"/>
        <w:numPr>
          <w:ilvl w:val="0"/>
          <w:numId w:val="25"/>
        </w:numPr>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CFD and 1D models can be effectively integrated</w:t>
      </w:r>
    </w:p>
    <w:p w14:paraId="4A7493D8"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Methanol presents a promising pathway toward cleaner internal combustion engines, particularly when combined with optimisation strategies for combustion timing.</w:t>
      </w:r>
    </w:p>
    <w:p w14:paraId="7558A1DA" w14:textId="33268791" w:rsidR="00165AEE" w:rsidRPr="00165AEE" w:rsidRDefault="00165AEE" w:rsidP="00165AEE">
      <w:pPr>
        <w:pStyle w:val="paragraph"/>
        <w:spacing w:after="240" w:afterAutospacing="0" w:line="360" w:lineRule="auto"/>
        <w:jc w:val="both"/>
        <w:textAlignment w:val="baseline"/>
        <w:rPr>
          <w:rFonts w:asciiTheme="minorHAnsi" w:eastAsiaTheme="majorEastAsia" w:hAnsiTheme="minorHAnsi" w:cs="Arial"/>
        </w:rPr>
      </w:pPr>
    </w:p>
    <w:p w14:paraId="644626F9" w14:textId="77777777" w:rsidR="00165AEE" w:rsidRPr="00165AEE" w:rsidRDefault="00165AEE" w:rsidP="002B4C16">
      <w:pPr>
        <w:pStyle w:val="Heading1"/>
      </w:pPr>
      <w:r w:rsidRPr="00165AEE">
        <w:t>10. References</w:t>
      </w:r>
    </w:p>
    <w:p w14:paraId="7252052E"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Frasci, E., Sementa, P., Arsie, I. and Vaglieco, B.M. (2024) </w:t>
      </w:r>
      <w:r w:rsidRPr="00165AEE">
        <w:rPr>
          <w:rFonts w:asciiTheme="minorHAnsi" w:eastAsiaTheme="majorEastAsia" w:hAnsiTheme="minorHAnsi" w:cs="Arial"/>
          <w:i/>
          <w:iCs/>
        </w:rPr>
        <w:t>Modeling and Experimental Validation of a Pure Methanol-Fueled Small SI Engine</w:t>
      </w:r>
      <w:r w:rsidRPr="00165AEE">
        <w:rPr>
          <w:rFonts w:asciiTheme="minorHAnsi" w:eastAsiaTheme="majorEastAsia" w:hAnsiTheme="minorHAnsi" w:cs="Arial"/>
        </w:rPr>
        <w:t>. SAE Technical Paper 2024-24-0033.</w:t>
      </w:r>
    </w:p>
    <w:p w14:paraId="4F9DB709"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ANSYS (2024) </w:t>
      </w:r>
      <w:r w:rsidRPr="00165AEE">
        <w:rPr>
          <w:rFonts w:asciiTheme="minorHAnsi" w:eastAsiaTheme="majorEastAsia" w:hAnsiTheme="minorHAnsi" w:cs="Arial"/>
          <w:i/>
          <w:iCs/>
        </w:rPr>
        <w:t>ANSYS Forte Theory Guide</w:t>
      </w:r>
      <w:r w:rsidRPr="00165AEE">
        <w:rPr>
          <w:rFonts w:asciiTheme="minorHAnsi" w:eastAsiaTheme="majorEastAsia" w:hAnsiTheme="minorHAnsi" w:cs="Arial"/>
        </w:rPr>
        <w:t>.</w:t>
      </w:r>
    </w:p>
    <w:p w14:paraId="7083C1E3"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Heywood, J.B. (2018) </w:t>
      </w:r>
      <w:r w:rsidRPr="00165AEE">
        <w:rPr>
          <w:rFonts w:asciiTheme="minorHAnsi" w:eastAsiaTheme="majorEastAsia" w:hAnsiTheme="minorHAnsi" w:cs="Arial"/>
          <w:i/>
          <w:iCs/>
        </w:rPr>
        <w:t>Internal Combustion Engine Fundamentals</w:t>
      </w:r>
      <w:r w:rsidRPr="00165AEE">
        <w:rPr>
          <w:rFonts w:asciiTheme="minorHAnsi" w:eastAsiaTheme="majorEastAsia" w:hAnsiTheme="minorHAnsi" w:cs="Arial"/>
        </w:rPr>
        <w:t>. 2nd ed.</w:t>
      </w:r>
    </w:p>
    <w:p w14:paraId="09B217B5"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Stone, R. (2012) </w:t>
      </w:r>
      <w:r w:rsidRPr="00165AEE">
        <w:rPr>
          <w:rFonts w:asciiTheme="minorHAnsi" w:eastAsiaTheme="majorEastAsia" w:hAnsiTheme="minorHAnsi" w:cs="Arial"/>
          <w:i/>
          <w:iCs/>
        </w:rPr>
        <w:t>Introduction to Internal Combustion Engines</w:t>
      </w:r>
      <w:r w:rsidRPr="00165AEE">
        <w:rPr>
          <w:rFonts w:asciiTheme="minorHAnsi" w:eastAsiaTheme="majorEastAsia" w:hAnsiTheme="minorHAnsi" w:cs="Arial"/>
        </w:rPr>
        <w:t>.</w:t>
      </w:r>
    </w:p>
    <w:p w14:paraId="10442025" w14:textId="77777777" w:rsidR="00165AEE" w:rsidRPr="00165AEE" w:rsidRDefault="00165AEE" w:rsidP="00165AEE">
      <w:pPr>
        <w:pStyle w:val="paragraph"/>
        <w:spacing w:before="0" w:beforeAutospacing="0" w:after="240" w:afterAutospacing="0" w:line="360" w:lineRule="auto"/>
        <w:jc w:val="both"/>
        <w:textAlignment w:val="baseline"/>
        <w:rPr>
          <w:rFonts w:asciiTheme="minorHAnsi" w:eastAsiaTheme="majorEastAsia" w:hAnsiTheme="minorHAnsi" w:cs="Arial"/>
        </w:rPr>
      </w:pPr>
      <w:r w:rsidRPr="00165AEE">
        <w:rPr>
          <w:rFonts w:asciiTheme="minorHAnsi" w:eastAsiaTheme="majorEastAsia" w:hAnsiTheme="minorHAnsi" w:cs="Arial"/>
        </w:rPr>
        <w:t xml:space="preserve">Turns, S.R. (2012) </w:t>
      </w:r>
      <w:r w:rsidRPr="00165AEE">
        <w:rPr>
          <w:rFonts w:asciiTheme="minorHAnsi" w:eastAsiaTheme="majorEastAsia" w:hAnsiTheme="minorHAnsi" w:cs="Arial"/>
          <w:i/>
          <w:iCs/>
        </w:rPr>
        <w:t>An Introduction to Combustion</w:t>
      </w:r>
      <w:r w:rsidRPr="00165AEE">
        <w:rPr>
          <w:rFonts w:asciiTheme="minorHAnsi" w:eastAsiaTheme="majorEastAsia" w:hAnsiTheme="minorHAnsi" w:cs="Arial"/>
        </w:rPr>
        <w:t>.</w:t>
      </w:r>
    </w:p>
    <w:p w14:paraId="2091F76C" w14:textId="266C9EB3" w:rsidR="00165AEE" w:rsidRPr="00165AEE" w:rsidRDefault="00165AEE" w:rsidP="00165AEE">
      <w:pPr>
        <w:pStyle w:val="paragraph"/>
        <w:jc w:val="both"/>
        <w:textAlignment w:val="baseline"/>
        <w:rPr>
          <w:rFonts w:ascii="Arial" w:eastAsiaTheme="majorEastAsia" w:hAnsi="Arial" w:cs="Arial"/>
          <w:b/>
          <w:bCs/>
          <w:sz w:val="22"/>
          <w:szCs w:val="22"/>
        </w:rPr>
      </w:pPr>
    </w:p>
    <w:p w14:paraId="1ACDA4C2" w14:textId="4A0B168B" w:rsidR="00165AEE" w:rsidRPr="00165AEE" w:rsidRDefault="00165AEE" w:rsidP="00165AEE">
      <w:pPr>
        <w:pStyle w:val="paragraph"/>
        <w:jc w:val="both"/>
        <w:textAlignment w:val="baseline"/>
        <w:rPr>
          <w:rFonts w:ascii="Arial" w:eastAsiaTheme="majorEastAsia" w:hAnsi="Arial" w:cs="Arial"/>
          <w:b/>
          <w:bCs/>
          <w:sz w:val="22"/>
          <w:szCs w:val="22"/>
        </w:rPr>
      </w:pPr>
    </w:p>
    <w:p w14:paraId="0337DD8B" w14:textId="22F5C81F" w:rsidR="00165AEE" w:rsidRPr="00165AEE" w:rsidRDefault="00165AEE" w:rsidP="00165AEE">
      <w:pPr>
        <w:pStyle w:val="paragraph"/>
        <w:jc w:val="both"/>
        <w:textAlignment w:val="baseline"/>
        <w:rPr>
          <w:rFonts w:ascii="Arial" w:eastAsiaTheme="majorEastAsia" w:hAnsi="Arial" w:cs="Arial"/>
          <w:b/>
          <w:bCs/>
          <w:sz w:val="22"/>
          <w:szCs w:val="22"/>
        </w:rPr>
      </w:pPr>
    </w:p>
    <w:p w14:paraId="33E544A7" w14:textId="77777777" w:rsidR="00962860" w:rsidRDefault="00962860" w:rsidP="007E560B">
      <w:pPr>
        <w:pStyle w:val="paragraph"/>
        <w:spacing w:before="0" w:beforeAutospacing="0" w:after="0" w:afterAutospacing="0"/>
        <w:jc w:val="both"/>
        <w:textAlignment w:val="baseline"/>
        <w:rPr>
          <w:rStyle w:val="normaltextrun"/>
          <w:rFonts w:ascii="Arial" w:eastAsiaTheme="majorEastAsia" w:hAnsi="Arial" w:cs="Arial"/>
          <w:b/>
          <w:bCs/>
          <w:sz w:val="22"/>
          <w:szCs w:val="22"/>
          <w:lang w:val="en-GB"/>
        </w:rPr>
      </w:pPr>
    </w:p>
    <w:sectPr w:rsidR="0096286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5A414" w14:textId="77777777" w:rsidR="00002581" w:rsidRDefault="00002581">
      <w:pPr>
        <w:spacing w:after="0" w:line="240" w:lineRule="auto"/>
      </w:pPr>
      <w:r>
        <w:separator/>
      </w:r>
    </w:p>
  </w:endnote>
  <w:endnote w:type="continuationSeparator" w:id="0">
    <w:p w14:paraId="3D9941A9" w14:textId="77777777" w:rsidR="00002581" w:rsidRDefault="0000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3837"/>
      <w:docPartObj>
        <w:docPartGallery w:val="Page Numbers (Bottom of Page)"/>
        <w:docPartUnique/>
      </w:docPartObj>
    </w:sdtPr>
    <w:sdtContent>
      <w:p w14:paraId="47A0A8C1" w14:textId="77777777" w:rsidR="00006C12" w:rsidRDefault="00006C12">
        <w:pPr>
          <w:pStyle w:val="Footer"/>
          <w:jc w:val="right"/>
        </w:pPr>
        <w:r>
          <w:fldChar w:fldCharType="begin"/>
        </w:r>
        <w:r>
          <w:instrText>PAGE   \* MERGEFORMAT</w:instrText>
        </w:r>
        <w:r>
          <w:fldChar w:fldCharType="separate"/>
        </w:r>
        <w:r>
          <w:t>2</w:t>
        </w:r>
        <w:r>
          <w:fldChar w:fldCharType="end"/>
        </w:r>
      </w:p>
    </w:sdtContent>
  </w:sdt>
  <w:p w14:paraId="7976CFD3" w14:textId="77777777" w:rsidR="00006C12" w:rsidRDefault="0000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7466E" w14:textId="77777777" w:rsidR="00002581" w:rsidRDefault="00002581">
      <w:pPr>
        <w:spacing w:after="0" w:line="240" w:lineRule="auto"/>
      </w:pPr>
      <w:r>
        <w:separator/>
      </w:r>
    </w:p>
  </w:footnote>
  <w:footnote w:type="continuationSeparator" w:id="0">
    <w:p w14:paraId="18028587" w14:textId="77777777" w:rsidR="00002581" w:rsidRDefault="000025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778C0"/>
    <w:multiLevelType w:val="multilevel"/>
    <w:tmpl w:val="3E28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6554D"/>
    <w:multiLevelType w:val="hybridMultilevel"/>
    <w:tmpl w:val="589CBE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0AD40CDB"/>
    <w:multiLevelType w:val="hybridMultilevel"/>
    <w:tmpl w:val="86504ADE"/>
    <w:lvl w:ilvl="0" w:tplc="FFFFFFFF">
      <w:numFmt w:val="bullet"/>
      <w:lvlText w:val="-"/>
      <w:lvlJc w:val="left"/>
      <w:pPr>
        <w:ind w:left="720" w:hanging="360"/>
      </w:pPr>
      <w:rPr>
        <w:rFonts w:ascii="Aptos" w:eastAsiaTheme="minorEastAsia" w:hAnsi="Aptos"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0C455F64"/>
    <w:multiLevelType w:val="multilevel"/>
    <w:tmpl w:val="8BFE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A0AE1"/>
    <w:multiLevelType w:val="multilevel"/>
    <w:tmpl w:val="1B8C3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105EFE"/>
    <w:multiLevelType w:val="multilevel"/>
    <w:tmpl w:val="F982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232B13"/>
    <w:multiLevelType w:val="multilevel"/>
    <w:tmpl w:val="8700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343C1"/>
    <w:multiLevelType w:val="multilevel"/>
    <w:tmpl w:val="FBC42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715DAC"/>
    <w:multiLevelType w:val="hybridMultilevel"/>
    <w:tmpl w:val="BFDCCDD4"/>
    <w:lvl w:ilvl="0" w:tplc="FFFFFFFF">
      <w:numFmt w:val="bullet"/>
      <w:lvlText w:val="-"/>
      <w:lvlJc w:val="left"/>
      <w:pPr>
        <w:ind w:left="720" w:hanging="360"/>
      </w:pPr>
      <w:rPr>
        <w:rFonts w:ascii="Arial" w:eastAsiaTheme="majorEastAsia"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388F0FEA"/>
    <w:multiLevelType w:val="multilevel"/>
    <w:tmpl w:val="530E9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116821"/>
    <w:multiLevelType w:val="multilevel"/>
    <w:tmpl w:val="189C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0F3099"/>
    <w:multiLevelType w:val="multilevel"/>
    <w:tmpl w:val="1454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14000A"/>
    <w:multiLevelType w:val="multilevel"/>
    <w:tmpl w:val="45C2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AF2833"/>
    <w:multiLevelType w:val="multilevel"/>
    <w:tmpl w:val="D446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D918DF"/>
    <w:multiLevelType w:val="multilevel"/>
    <w:tmpl w:val="CF464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F05E64"/>
    <w:multiLevelType w:val="multilevel"/>
    <w:tmpl w:val="DBA4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C13A3"/>
    <w:multiLevelType w:val="multilevel"/>
    <w:tmpl w:val="ED3A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8342FF"/>
    <w:multiLevelType w:val="multilevel"/>
    <w:tmpl w:val="F0BE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81A0E"/>
    <w:multiLevelType w:val="multilevel"/>
    <w:tmpl w:val="6644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A54CF3"/>
    <w:multiLevelType w:val="hybridMultilevel"/>
    <w:tmpl w:val="A87A02D8"/>
    <w:lvl w:ilvl="0" w:tplc="FFFFFFF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0" w15:restartNumberingAfterBreak="0">
    <w:nsid w:val="5D4C7AB7"/>
    <w:multiLevelType w:val="multilevel"/>
    <w:tmpl w:val="1B70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DA00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A797769"/>
    <w:multiLevelType w:val="multilevel"/>
    <w:tmpl w:val="7392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215F61"/>
    <w:multiLevelType w:val="multilevel"/>
    <w:tmpl w:val="D29C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FD1568"/>
    <w:multiLevelType w:val="multilevel"/>
    <w:tmpl w:val="C0369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7A4E02"/>
    <w:multiLevelType w:val="multilevel"/>
    <w:tmpl w:val="B430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CE2DD4"/>
    <w:multiLevelType w:val="multilevel"/>
    <w:tmpl w:val="AD08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908103">
    <w:abstractNumId w:val="21"/>
  </w:num>
  <w:num w:numId="2" w16cid:durableId="1434475957">
    <w:abstractNumId w:val="2"/>
  </w:num>
  <w:num w:numId="3" w16cid:durableId="1967539164">
    <w:abstractNumId w:val="1"/>
  </w:num>
  <w:num w:numId="4" w16cid:durableId="1532256805">
    <w:abstractNumId w:val="8"/>
  </w:num>
  <w:num w:numId="5" w16cid:durableId="1543980305">
    <w:abstractNumId w:val="19"/>
  </w:num>
  <w:num w:numId="6" w16cid:durableId="222524361">
    <w:abstractNumId w:val="25"/>
  </w:num>
  <w:num w:numId="7" w16cid:durableId="1467431347">
    <w:abstractNumId w:val="18"/>
  </w:num>
  <w:num w:numId="8" w16cid:durableId="669647818">
    <w:abstractNumId w:val="14"/>
  </w:num>
  <w:num w:numId="9" w16cid:durableId="289669916">
    <w:abstractNumId w:val="26"/>
  </w:num>
  <w:num w:numId="10" w16cid:durableId="1039085178">
    <w:abstractNumId w:val="11"/>
  </w:num>
  <w:num w:numId="11" w16cid:durableId="1225987895">
    <w:abstractNumId w:val="7"/>
  </w:num>
  <w:num w:numId="12" w16cid:durableId="1712532823">
    <w:abstractNumId w:val="17"/>
  </w:num>
  <w:num w:numId="13" w16cid:durableId="1918127470">
    <w:abstractNumId w:val="3"/>
  </w:num>
  <w:num w:numId="14" w16cid:durableId="695229083">
    <w:abstractNumId w:val="13"/>
  </w:num>
  <w:num w:numId="15" w16cid:durableId="83840806">
    <w:abstractNumId w:val="12"/>
  </w:num>
  <w:num w:numId="16" w16cid:durableId="573585254">
    <w:abstractNumId w:val="10"/>
  </w:num>
  <w:num w:numId="17" w16cid:durableId="1626766744">
    <w:abstractNumId w:val="23"/>
  </w:num>
  <w:num w:numId="18" w16cid:durableId="2054846700">
    <w:abstractNumId w:val="0"/>
  </w:num>
  <w:num w:numId="19" w16cid:durableId="120461266">
    <w:abstractNumId w:val="15"/>
  </w:num>
  <w:num w:numId="20" w16cid:durableId="1877354105">
    <w:abstractNumId w:val="16"/>
  </w:num>
  <w:num w:numId="21" w16cid:durableId="2086490235">
    <w:abstractNumId w:val="5"/>
  </w:num>
  <w:num w:numId="22" w16cid:durableId="114567858">
    <w:abstractNumId w:val="24"/>
  </w:num>
  <w:num w:numId="23" w16cid:durableId="69350010">
    <w:abstractNumId w:val="20"/>
  </w:num>
  <w:num w:numId="24" w16cid:durableId="1571381555">
    <w:abstractNumId w:val="9"/>
  </w:num>
  <w:num w:numId="25" w16cid:durableId="1656756327">
    <w:abstractNumId w:val="6"/>
  </w:num>
  <w:num w:numId="26" w16cid:durableId="1470628841">
    <w:abstractNumId w:val="22"/>
  </w:num>
  <w:num w:numId="27" w16cid:durableId="4108508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652"/>
    <w:rsid w:val="00002581"/>
    <w:rsid w:val="00006C12"/>
    <w:rsid w:val="00013086"/>
    <w:rsid w:val="00017601"/>
    <w:rsid w:val="00021555"/>
    <w:rsid w:val="00035B11"/>
    <w:rsid w:val="000454FA"/>
    <w:rsid w:val="000501F8"/>
    <w:rsid w:val="000C2C7D"/>
    <w:rsid w:val="000F73A5"/>
    <w:rsid w:val="00105260"/>
    <w:rsid w:val="00110F87"/>
    <w:rsid w:val="001256F1"/>
    <w:rsid w:val="00135AC7"/>
    <w:rsid w:val="0014736F"/>
    <w:rsid w:val="00165AEE"/>
    <w:rsid w:val="001727D7"/>
    <w:rsid w:val="00174093"/>
    <w:rsid w:val="00184F9A"/>
    <w:rsid w:val="00186746"/>
    <w:rsid w:val="001912CA"/>
    <w:rsid w:val="001C5E5A"/>
    <w:rsid w:val="001D108D"/>
    <w:rsid w:val="001F1A5C"/>
    <w:rsid w:val="002017D9"/>
    <w:rsid w:val="0020234D"/>
    <w:rsid w:val="002218BA"/>
    <w:rsid w:val="00233F62"/>
    <w:rsid w:val="00242375"/>
    <w:rsid w:val="00244AC0"/>
    <w:rsid w:val="00297A70"/>
    <w:rsid w:val="002A7DBA"/>
    <w:rsid w:val="002B4C16"/>
    <w:rsid w:val="002E47C4"/>
    <w:rsid w:val="0030059B"/>
    <w:rsid w:val="00304DA5"/>
    <w:rsid w:val="003106F6"/>
    <w:rsid w:val="00310E1B"/>
    <w:rsid w:val="003123D4"/>
    <w:rsid w:val="0031416D"/>
    <w:rsid w:val="003335E9"/>
    <w:rsid w:val="00344B18"/>
    <w:rsid w:val="0035485F"/>
    <w:rsid w:val="003717C5"/>
    <w:rsid w:val="00374BF4"/>
    <w:rsid w:val="0038203E"/>
    <w:rsid w:val="00396D21"/>
    <w:rsid w:val="00397DD9"/>
    <w:rsid w:val="003B4DEC"/>
    <w:rsid w:val="003E04D8"/>
    <w:rsid w:val="003F4C99"/>
    <w:rsid w:val="004001AA"/>
    <w:rsid w:val="00400BCA"/>
    <w:rsid w:val="00403794"/>
    <w:rsid w:val="004053C7"/>
    <w:rsid w:val="00406FA0"/>
    <w:rsid w:val="00410CDC"/>
    <w:rsid w:val="00432740"/>
    <w:rsid w:val="00445217"/>
    <w:rsid w:val="00470F63"/>
    <w:rsid w:val="00492234"/>
    <w:rsid w:val="004B1044"/>
    <w:rsid w:val="004C3325"/>
    <w:rsid w:val="004C77D5"/>
    <w:rsid w:val="004D0B6C"/>
    <w:rsid w:val="004D61AE"/>
    <w:rsid w:val="004F0747"/>
    <w:rsid w:val="005413AA"/>
    <w:rsid w:val="0054431B"/>
    <w:rsid w:val="005554FB"/>
    <w:rsid w:val="00565743"/>
    <w:rsid w:val="00584D54"/>
    <w:rsid w:val="005910F1"/>
    <w:rsid w:val="005A7198"/>
    <w:rsid w:val="005C0A9B"/>
    <w:rsid w:val="005C3CA1"/>
    <w:rsid w:val="005D36D6"/>
    <w:rsid w:val="005E6834"/>
    <w:rsid w:val="006078AD"/>
    <w:rsid w:val="006101D6"/>
    <w:rsid w:val="00617124"/>
    <w:rsid w:val="006613C2"/>
    <w:rsid w:val="00695136"/>
    <w:rsid w:val="0069750B"/>
    <w:rsid w:val="006B60E2"/>
    <w:rsid w:val="006B67B6"/>
    <w:rsid w:val="00705981"/>
    <w:rsid w:val="0070664D"/>
    <w:rsid w:val="00754147"/>
    <w:rsid w:val="007629DA"/>
    <w:rsid w:val="007813C7"/>
    <w:rsid w:val="00781483"/>
    <w:rsid w:val="00784266"/>
    <w:rsid w:val="00784AAB"/>
    <w:rsid w:val="007A175F"/>
    <w:rsid w:val="007B538C"/>
    <w:rsid w:val="007E560B"/>
    <w:rsid w:val="0083580B"/>
    <w:rsid w:val="00845EFF"/>
    <w:rsid w:val="00855840"/>
    <w:rsid w:val="00862DDD"/>
    <w:rsid w:val="008A1A16"/>
    <w:rsid w:val="008A7893"/>
    <w:rsid w:val="008E13FE"/>
    <w:rsid w:val="008E7B25"/>
    <w:rsid w:val="008F2987"/>
    <w:rsid w:val="00915099"/>
    <w:rsid w:val="00920490"/>
    <w:rsid w:val="00921C43"/>
    <w:rsid w:val="0096133B"/>
    <w:rsid w:val="00962860"/>
    <w:rsid w:val="00964028"/>
    <w:rsid w:val="009B5BED"/>
    <w:rsid w:val="009B72ED"/>
    <w:rsid w:val="009C0198"/>
    <w:rsid w:val="009C400B"/>
    <w:rsid w:val="009D509F"/>
    <w:rsid w:val="009E5D26"/>
    <w:rsid w:val="00A610D1"/>
    <w:rsid w:val="00A71CC7"/>
    <w:rsid w:val="00A85DA5"/>
    <w:rsid w:val="00AB3E79"/>
    <w:rsid w:val="00AB7D7C"/>
    <w:rsid w:val="00AD08B6"/>
    <w:rsid w:val="00AE5915"/>
    <w:rsid w:val="00AF5EEF"/>
    <w:rsid w:val="00AF6EA9"/>
    <w:rsid w:val="00B303A3"/>
    <w:rsid w:val="00B37F9E"/>
    <w:rsid w:val="00B55D23"/>
    <w:rsid w:val="00B80E85"/>
    <w:rsid w:val="00B83E96"/>
    <w:rsid w:val="00B86394"/>
    <w:rsid w:val="00BB2967"/>
    <w:rsid w:val="00BD11F9"/>
    <w:rsid w:val="00C21421"/>
    <w:rsid w:val="00C71045"/>
    <w:rsid w:val="00C77B75"/>
    <w:rsid w:val="00CA00BA"/>
    <w:rsid w:val="00CA50B3"/>
    <w:rsid w:val="00CC0493"/>
    <w:rsid w:val="00CD2598"/>
    <w:rsid w:val="00D23BF9"/>
    <w:rsid w:val="00D3714F"/>
    <w:rsid w:val="00D40AB5"/>
    <w:rsid w:val="00D775A4"/>
    <w:rsid w:val="00DA03A7"/>
    <w:rsid w:val="00DB3BE3"/>
    <w:rsid w:val="00DC2661"/>
    <w:rsid w:val="00DC36A4"/>
    <w:rsid w:val="00DE6DBB"/>
    <w:rsid w:val="00E07A63"/>
    <w:rsid w:val="00E11972"/>
    <w:rsid w:val="00E11B46"/>
    <w:rsid w:val="00E337C6"/>
    <w:rsid w:val="00E43F81"/>
    <w:rsid w:val="00E848FC"/>
    <w:rsid w:val="00EB570C"/>
    <w:rsid w:val="00ED3392"/>
    <w:rsid w:val="00ED389F"/>
    <w:rsid w:val="00ED5F04"/>
    <w:rsid w:val="00EE0A22"/>
    <w:rsid w:val="00EE27FB"/>
    <w:rsid w:val="00F2494E"/>
    <w:rsid w:val="00F44B9C"/>
    <w:rsid w:val="00F60C8A"/>
    <w:rsid w:val="00F6190D"/>
    <w:rsid w:val="00F67EA0"/>
    <w:rsid w:val="00F771EF"/>
    <w:rsid w:val="00F926B4"/>
    <w:rsid w:val="00FA331E"/>
    <w:rsid w:val="00FC58D0"/>
    <w:rsid w:val="00FD1742"/>
    <w:rsid w:val="00FF3652"/>
    <w:rsid w:val="00FF4E32"/>
  </w:rsids>
  <m:mathPr>
    <m:mathFont m:val="Cambria Math"/>
    <m:brkBin m:val="before"/>
    <m:brkBinSub m:val="--"/>
    <m:smallFrac m:val="0"/>
    <m:dispDef/>
    <m:lMargin m:val="0"/>
    <m:rMargin m:val="0"/>
    <m:defJc m:val="centerGroup"/>
    <m:wrapIndent m:val="1440"/>
    <m:intLim m:val="subSup"/>
    <m:naryLim m:val="undOvr"/>
  </m:mathPr>
  <w:themeFontLang w:val="it-IT"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DBFD6"/>
  <w15:chartTrackingRefBased/>
  <w15:docId w15:val="{A2E519B8-D81B-4C9D-BAB3-6FA0D0D55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C12"/>
    <w:pPr>
      <w:spacing w:line="360" w:lineRule="auto"/>
    </w:pPr>
    <w:rPr>
      <w:rFonts w:eastAsiaTheme="minorEastAsia"/>
      <w:sz w:val="24"/>
      <w:szCs w:val="24"/>
      <w:lang w:val="en-GB" w:eastAsia="zh-CN"/>
    </w:rPr>
  </w:style>
  <w:style w:type="paragraph" w:styleId="Heading1">
    <w:name w:val="heading 1"/>
    <w:basedOn w:val="Normal"/>
    <w:next w:val="Normal"/>
    <w:link w:val="Heading1Char"/>
    <w:uiPriority w:val="9"/>
    <w:qFormat/>
    <w:rsid w:val="00FF36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36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6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6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6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6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6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6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6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6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36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6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6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6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6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6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6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652"/>
    <w:rPr>
      <w:rFonts w:eastAsiaTheme="majorEastAsia" w:cstheme="majorBidi"/>
      <w:color w:val="272727" w:themeColor="text1" w:themeTint="D8"/>
    </w:rPr>
  </w:style>
  <w:style w:type="paragraph" w:styleId="Title">
    <w:name w:val="Title"/>
    <w:basedOn w:val="Normal"/>
    <w:next w:val="Normal"/>
    <w:link w:val="TitleChar"/>
    <w:uiPriority w:val="10"/>
    <w:qFormat/>
    <w:rsid w:val="00FF36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6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6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6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652"/>
    <w:pPr>
      <w:spacing w:before="160"/>
      <w:jc w:val="center"/>
    </w:pPr>
    <w:rPr>
      <w:i/>
      <w:iCs/>
      <w:color w:val="404040" w:themeColor="text1" w:themeTint="BF"/>
    </w:rPr>
  </w:style>
  <w:style w:type="character" w:customStyle="1" w:styleId="QuoteChar">
    <w:name w:val="Quote Char"/>
    <w:basedOn w:val="DefaultParagraphFont"/>
    <w:link w:val="Quote"/>
    <w:uiPriority w:val="29"/>
    <w:rsid w:val="00FF3652"/>
    <w:rPr>
      <w:i/>
      <w:iCs/>
      <w:color w:val="404040" w:themeColor="text1" w:themeTint="BF"/>
    </w:rPr>
  </w:style>
  <w:style w:type="paragraph" w:styleId="ListParagraph">
    <w:name w:val="List Paragraph"/>
    <w:basedOn w:val="Normal"/>
    <w:uiPriority w:val="34"/>
    <w:qFormat/>
    <w:rsid w:val="00FF3652"/>
    <w:pPr>
      <w:ind w:left="720"/>
      <w:contextualSpacing/>
    </w:pPr>
  </w:style>
  <w:style w:type="character" w:styleId="IntenseEmphasis">
    <w:name w:val="Intense Emphasis"/>
    <w:basedOn w:val="DefaultParagraphFont"/>
    <w:uiPriority w:val="21"/>
    <w:qFormat/>
    <w:rsid w:val="00FF3652"/>
    <w:rPr>
      <w:i/>
      <w:iCs/>
      <w:color w:val="0F4761" w:themeColor="accent1" w:themeShade="BF"/>
    </w:rPr>
  </w:style>
  <w:style w:type="paragraph" w:styleId="IntenseQuote">
    <w:name w:val="Intense Quote"/>
    <w:basedOn w:val="Normal"/>
    <w:next w:val="Normal"/>
    <w:link w:val="IntenseQuoteChar"/>
    <w:uiPriority w:val="30"/>
    <w:qFormat/>
    <w:rsid w:val="00FF36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652"/>
    <w:rPr>
      <w:i/>
      <w:iCs/>
      <w:color w:val="0F4761" w:themeColor="accent1" w:themeShade="BF"/>
    </w:rPr>
  </w:style>
  <w:style w:type="character" w:styleId="IntenseReference">
    <w:name w:val="Intense Reference"/>
    <w:basedOn w:val="DefaultParagraphFont"/>
    <w:uiPriority w:val="32"/>
    <w:qFormat/>
    <w:rsid w:val="00FF3652"/>
    <w:rPr>
      <w:b/>
      <w:bCs/>
      <w:smallCaps/>
      <w:color w:val="0F4761" w:themeColor="accent1" w:themeShade="BF"/>
      <w:spacing w:val="5"/>
    </w:rPr>
  </w:style>
  <w:style w:type="paragraph" w:styleId="TOCHeading">
    <w:name w:val="TOC Heading"/>
    <w:basedOn w:val="Heading1"/>
    <w:next w:val="Normal"/>
    <w:uiPriority w:val="39"/>
    <w:unhideWhenUsed/>
    <w:qFormat/>
    <w:rsid w:val="00006C12"/>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006C12"/>
    <w:pPr>
      <w:spacing w:after="100"/>
    </w:pPr>
  </w:style>
  <w:style w:type="character" w:styleId="Hyperlink">
    <w:name w:val="Hyperlink"/>
    <w:basedOn w:val="DefaultParagraphFont"/>
    <w:uiPriority w:val="99"/>
    <w:unhideWhenUsed/>
    <w:rsid w:val="00006C12"/>
    <w:rPr>
      <w:color w:val="467886" w:themeColor="hyperlink"/>
      <w:u w:val="single"/>
    </w:rPr>
  </w:style>
  <w:style w:type="paragraph" w:styleId="Footer">
    <w:name w:val="footer"/>
    <w:basedOn w:val="Normal"/>
    <w:link w:val="FooterChar"/>
    <w:uiPriority w:val="99"/>
    <w:unhideWhenUsed/>
    <w:rsid w:val="00006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C12"/>
    <w:rPr>
      <w:rFonts w:eastAsiaTheme="minorEastAsia"/>
      <w:sz w:val="24"/>
      <w:szCs w:val="24"/>
      <w:lang w:val="en-GB" w:eastAsia="zh-CN"/>
    </w:rPr>
  </w:style>
  <w:style w:type="paragraph" w:customStyle="1" w:styleId="paragraph">
    <w:name w:val="paragraph"/>
    <w:basedOn w:val="Normal"/>
    <w:rsid w:val="00017601"/>
    <w:pPr>
      <w:spacing w:before="100" w:beforeAutospacing="1" w:after="100" w:afterAutospacing="1" w:line="240" w:lineRule="auto"/>
    </w:pPr>
    <w:rPr>
      <w:rFonts w:ascii="Times New Roman" w:eastAsia="Times New Roman" w:hAnsi="Times New Roman" w:cs="Times New Roman"/>
      <w:kern w:val="0"/>
      <w:lang w:val="it-IT" w:eastAsia="it-IT"/>
      <w14:ligatures w14:val="none"/>
    </w:rPr>
  </w:style>
  <w:style w:type="character" w:customStyle="1" w:styleId="normaltextrun">
    <w:name w:val="normaltextrun"/>
    <w:basedOn w:val="DefaultParagraphFont"/>
    <w:rsid w:val="00017601"/>
  </w:style>
  <w:style w:type="character" w:customStyle="1" w:styleId="eop">
    <w:name w:val="eop"/>
    <w:basedOn w:val="DefaultParagraphFont"/>
    <w:rsid w:val="00017601"/>
  </w:style>
  <w:style w:type="character" w:customStyle="1" w:styleId="tabchar">
    <w:name w:val="tabchar"/>
    <w:basedOn w:val="DefaultParagraphFont"/>
    <w:rsid w:val="00017601"/>
  </w:style>
  <w:style w:type="table" w:styleId="TableGrid">
    <w:name w:val="Table Grid"/>
    <w:basedOn w:val="TableNormal"/>
    <w:uiPriority w:val="39"/>
    <w:rsid w:val="004C3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325"/>
    <w:pPr>
      <w:spacing w:before="100" w:beforeAutospacing="1" w:after="100" w:afterAutospacing="1" w:line="240" w:lineRule="auto"/>
    </w:pPr>
    <w:rPr>
      <w:rFonts w:ascii="Times New Roman" w:hAnsi="Times New Roman" w:cs="Times New Roman"/>
      <w:kern w:val="0"/>
      <w:lang w:val="es-419"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2F6E4-EE53-4CD1-8DFB-E832D4A4D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1366</Words>
  <Characters>7789</Characters>
  <Application>Microsoft Office Word</Application>
  <DocSecurity>0</DocSecurity>
  <Lines>64</Lines>
  <Paragraphs>18</Paragraphs>
  <ScaleCrop>false</ScaleCrop>
  <Company/>
  <LinksUpToDate>false</LinksUpToDate>
  <CharactersWithSpaces>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Anais Rohn (2500151)</dc:creator>
  <cp:keywords/>
  <dc:description/>
  <cp:lastModifiedBy>Taylor Anais Rohn (2500151)</cp:lastModifiedBy>
  <cp:revision>48</cp:revision>
  <dcterms:created xsi:type="dcterms:W3CDTF">2026-04-13T15:45:00Z</dcterms:created>
  <dcterms:modified xsi:type="dcterms:W3CDTF">2026-05-03T20:58:00Z</dcterms:modified>
</cp:coreProperties>
</file>