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7DE4B0" w14:textId="77777777" w:rsidR="000D3365" w:rsidRDefault="000D3365" w:rsidP="00A1053B">
      <w:pPr>
        <w:pStyle w:val="Title"/>
      </w:pPr>
    </w:p>
    <w:p w14:paraId="1FD31874" w14:textId="77777777" w:rsidR="000D3365" w:rsidRDefault="000D3365" w:rsidP="00A1053B">
      <w:pPr>
        <w:pStyle w:val="Title"/>
      </w:pPr>
      <w:bookmarkStart w:id="0" w:name="_GoBack"/>
      <w:bookmarkEnd w:id="0"/>
    </w:p>
    <w:p w14:paraId="0D741DE4" w14:textId="77777777" w:rsidR="000D3365" w:rsidRDefault="000D3365" w:rsidP="00A1053B">
      <w:pPr>
        <w:pStyle w:val="Title"/>
      </w:pPr>
    </w:p>
    <w:p w14:paraId="22E7F724" w14:textId="19D14C98" w:rsidR="00A1053B" w:rsidRDefault="00A1053B" w:rsidP="00A1053B">
      <w:pPr>
        <w:pStyle w:val="Title"/>
        <w:rPr>
          <w:sz w:val="28"/>
          <w:szCs w:val="40"/>
        </w:rPr>
      </w:pPr>
      <w:r w:rsidRPr="00A1053B">
        <w:t>Protecting and Supporting Families in Health and Care</w:t>
      </w:r>
      <w:r>
        <w:br w:type="page"/>
      </w:r>
    </w:p>
    <w:sdt>
      <w:sdtPr>
        <w:rPr>
          <w:rFonts w:ascii="Arial" w:eastAsiaTheme="minorHAnsi" w:hAnsi="Arial" w:cs="Arial"/>
          <w:b/>
          <w:color w:val="auto"/>
          <w:kern w:val="2"/>
          <w:sz w:val="22"/>
          <w:szCs w:val="24"/>
          <w14:ligatures w14:val="standardContextual"/>
        </w:rPr>
        <w:id w:val="-609821412"/>
        <w:docPartObj>
          <w:docPartGallery w:val="Table of Contents"/>
          <w:docPartUnique/>
        </w:docPartObj>
      </w:sdtPr>
      <w:sdtEndPr>
        <w:rPr>
          <w:rFonts w:cstheme="minorBidi"/>
          <w:bCs/>
          <w:noProof/>
        </w:rPr>
      </w:sdtEndPr>
      <w:sdtContent>
        <w:p w14:paraId="32A047CD" w14:textId="344B5157" w:rsidR="00FF5AF3" w:rsidRPr="0050151A" w:rsidRDefault="00FF5AF3" w:rsidP="00FF5AF3">
          <w:pPr>
            <w:pStyle w:val="TOCHeading"/>
            <w:jc w:val="center"/>
            <w:rPr>
              <w:rFonts w:ascii="Arial" w:hAnsi="Arial" w:cs="Arial"/>
              <w:b/>
              <w:color w:val="auto"/>
            </w:rPr>
          </w:pPr>
          <w:r w:rsidRPr="0050151A">
            <w:rPr>
              <w:rFonts w:ascii="Arial" w:hAnsi="Arial" w:cs="Arial"/>
              <w:b/>
              <w:color w:val="auto"/>
            </w:rPr>
            <w:t>TABLE OF CONTENTS</w:t>
          </w:r>
        </w:p>
        <w:p w14:paraId="2796FC53" w14:textId="361AF722" w:rsidR="00AB05ED" w:rsidRDefault="00FF5AF3">
          <w:pPr>
            <w:pStyle w:val="TOC1"/>
            <w:tabs>
              <w:tab w:val="right" w:leader="dot" w:pos="9350"/>
            </w:tabs>
            <w:rPr>
              <w:rFonts w:asciiTheme="minorHAnsi" w:eastAsiaTheme="minorEastAsia" w:hAnsiTheme="minorHAnsi" w:cs="Mangal"/>
              <w:noProof/>
              <w:kern w:val="0"/>
              <w:szCs w:val="20"/>
              <w:lang w:bidi="hi-IN"/>
              <w14:ligatures w14:val="none"/>
            </w:rPr>
          </w:pPr>
          <w:r>
            <w:fldChar w:fldCharType="begin"/>
          </w:r>
          <w:r>
            <w:instrText xml:space="preserve"> TOC \o "1-3" \h \z \u </w:instrText>
          </w:r>
          <w:r>
            <w:fldChar w:fldCharType="separate"/>
          </w:r>
          <w:hyperlink w:anchor="_Toc222586740" w:history="1">
            <w:r w:rsidR="00AB05ED" w:rsidRPr="00A63654">
              <w:rPr>
                <w:rStyle w:val="Hyperlink"/>
                <w:noProof/>
              </w:rPr>
              <w:t>Introduction to the Case and Professional Role</w:t>
            </w:r>
            <w:r w:rsidR="00AB05ED">
              <w:rPr>
                <w:noProof/>
                <w:webHidden/>
              </w:rPr>
              <w:tab/>
            </w:r>
            <w:r w:rsidR="00AB05ED">
              <w:rPr>
                <w:noProof/>
                <w:webHidden/>
              </w:rPr>
              <w:fldChar w:fldCharType="begin"/>
            </w:r>
            <w:r w:rsidR="00AB05ED">
              <w:rPr>
                <w:noProof/>
                <w:webHidden/>
              </w:rPr>
              <w:instrText xml:space="preserve"> PAGEREF _Toc222586740 \h </w:instrText>
            </w:r>
            <w:r w:rsidR="00AB05ED">
              <w:rPr>
                <w:noProof/>
                <w:webHidden/>
              </w:rPr>
            </w:r>
            <w:r w:rsidR="00AB05ED">
              <w:rPr>
                <w:noProof/>
                <w:webHidden/>
              </w:rPr>
              <w:fldChar w:fldCharType="separate"/>
            </w:r>
            <w:r w:rsidR="00AB05ED">
              <w:rPr>
                <w:noProof/>
                <w:webHidden/>
              </w:rPr>
              <w:t>3</w:t>
            </w:r>
            <w:r w:rsidR="00AB05ED">
              <w:rPr>
                <w:noProof/>
                <w:webHidden/>
              </w:rPr>
              <w:fldChar w:fldCharType="end"/>
            </w:r>
          </w:hyperlink>
        </w:p>
        <w:p w14:paraId="665AC80D" w14:textId="6D1F0102" w:rsidR="00AB05ED" w:rsidRDefault="00AB05ED">
          <w:pPr>
            <w:pStyle w:val="TOC1"/>
            <w:tabs>
              <w:tab w:val="right" w:leader="dot" w:pos="9350"/>
            </w:tabs>
            <w:rPr>
              <w:rFonts w:asciiTheme="minorHAnsi" w:eastAsiaTheme="minorEastAsia" w:hAnsiTheme="minorHAnsi" w:cs="Mangal"/>
              <w:noProof/>
              <w:kern w:val="0"/>
              <w:szCs w:val="20"/>
              <w:lang w:bidi="hi-IN"/>
              <w14:ligatures w14:val="none"/>
            </w:rPr>
          </w:pPr>
          <w:hyperlink w:anchor="_Toc222586741" w:history="1">
            <w:r w:rsidRPr="00A63654">
              <w:rPr>
                <w:rStyle w:val="Hyperlink"/>
                <w:noProof/>
              </w:rPr>
              <w:t>Children, Young People and Families’ Perception of Well-being</w:t>
            </w:r>
            <w:r>
              <w:rPr>
                <w:noProof/>
                <w:webHidden/>
              </w:rPr>
              <w:tab/>
            </w:r>
            <w:r>
              <w:rPr>
                <w:noProof/>
                <w:webHidden/>
              </w:rPr>
              <w:fldChar w:fldCharType="begin"/>
            </w:r>
            <w:r>
              <w:rPr>
                <w:noProof/>
                <w:webHidden/>
              </w:rPr>
              <w:instrText xml:space="preserve"> PAGEREF _Toc222586741 \h </w:instrText>
            </w:r>
            <w:r>
              <w:rPr>
                <w:noProof/>
                <w:webHidden/>
              </w:rPr>
            </w:r>
            <w:r>
              <w:rPr>
                <w:noProof/>
                <w:webHidden/>
              </w:rPr>
              <w:fldChar w:fldCharType="separate"/>
            </w:r>
            <w:r>
              <w:rPr>
                <w:noProof/>
                <w:webHidden/>
              </w:rPr>
              <w:t>4</w:t>
            </w:r>
            <w:r>
              <w:rPr>
                <w:noProof/>
                <w:webHidden/>
              </w:rPr>
              <w:fldChar w:fldCharType="end"/>
            </w:r>
          </w:hyperlink>
        </w:p>
        <w:p w14:paraId="43B99B00" w14:textId="0E7800DA" w:rsidR="00AB05ED" w:rsidRDefault="00AB05ED">
          <w:pPr>
            <w:pStyle w:val="TOC1"/>
            <w:tabs>
              <w:tab w:val="right" w:leader="dot" w:pos="9350"/>
            </w:tabs>
            <w:rPr>
              <w:rFonts w:asciiTheme="minorHAnsi" w:eastAsiaTheme="minorEastAsia" w:hAnsiTheme="minorHAnsi" w:cs="Mangal"/>
              <w:noProof/>
              <w:kern w:val="0"/>
              <w:szCs w:val="20"/>
              <w:lang w:bidi="hi-IN"/>
              <w14:ligatures w14:val="none"/>
            </w:rPr>
          </w:pPr>
          <w:hyperlink w:anchor="_Toc222586742" w:history="1">
            <w:r w:rsidRPr="00A63654">
              <w:rPr>
                <w:rStyle w:val="Hyperlink"/>
                <w:noProof/>
              </w:rPr>
              <w:t>Importance of Partnership Working and Communication</w:t>
            </w:r>
            <w:r>
              <w:rPr>
                <w:noProof/>
                <w:webHidden/>
              </w:rPr>
              <w:tab/>
            </w:r>
            <w:r>
              <w:rPr>
                <w:noProof/>
                <w:webHidden/>
              </w:rPr>
              <w:fldChar w:fldCharType="begin"/>
            </w:r>
            <w:r>
              <w:rPr>
                <w:noProof/>
                <w:webHidden/>
              </w:rPr>
              <w:instrText xml:space="preserve"> PAGEREF _Toc222586742 \h </w:instrText>
            </w:r>
            <w:r>
              <w:rPr>
                <w:noProof/>
                <w:webHidden/>
              </w:rPr>
            </w:r>
            <w:r>
              <w:rPr>
                <w:noProof/>
                <w:webHidden/>
              </w:rPr>
              <w:fldChar w:fldCharType="separate"/>
            </w:r>
            <w:r>
              <w:rPr>
                <w:noProof/>
                <w:webHidden/>
              </w:rPr>
              <w:t>5</w:t>
            </w:r>
            <w:r>
              <w:rPr>
                <w:noProof/>
                <w:webHidden/>
              </w:rPr>
              <w:fldChar w:fldCharType="end"/>
            </w:r>
          </w:hyperlink>
        </w:p>
        <w:p w14:paraId="427C27A4" w14:textId="42F99C44" w:rsidR="00AB05ED" w:rsidRDefault="00AB05ED">
          <w:pPr>
            <w:pStyle w:val="TOC1"/>
            <w:tabs>
              <w:tab w:val="right" w:leader="dot" w:pos="9350"/>
            </w:tabs>
            <w:rPr>
              <w:rFonts w:asciiTheme="minorHAnsi" w:eastAsiaTheme="minorEastAsia" w:hAnsiTheme="minorHAnsi" w:cs="Mangal"/>
              <w:noProof/>
              <w:kern w:val="0"/>
              <w:szCs w:val="20"/>
              <w:lang w:bidi="hi-IN"/>
              <w14:ligatures w14:val="none"/>
            </w:rPr>
          </w:pPr>
          <w:hyperlink w:anchor="_Toc222586743" w:history="1">
            <w:r w:rsidRPr="00A63654">
              <w:rPr>
                <w:rStyle w:val="Hyperlink"/>
                <w:noProof/>
              </w:rPr>
              <w:t>Critical Analysis of the Case, Policies &amp; Professional Interventions</w:t>
            </w:r>
            <w:r>
              <w:rPr>
                <w:noProof/>
                <w:webHidden/>
              </w:rPr>
              <w:tab/>
            </w:r>
            <w:r>
              <w:rPr>
                <w:noProof/>
                <w:webHidden/>
              </w:rPr>
              <w:fldChar w:fldCharType="begin"/>
            </w:r>
            <w:r>
              <w:rPr>
                <w:noProof/>
                <w:webHidden/>
              </w:rPr>
              <w:instrText xml:space="preserve"> PAGEREF _Toc222586743 \h </w:instrText>
            </w:r>
            <w:r>
              <w:rPr>
                <w:noProof/>
                <w:webHidden/>
              </w:rPr>
            </w:r>
            <w:r>
              <w:rPr>
                <w:noProof/>
                <w:webHidden/>
              </w:rPr>
              <w:fldChar w:fldCharType="separate"/>
            </w:r>
            <w:r>
              <w:rPr>
                <w:noProof/>
                <w:webHidden/>
              </w:rPr>
              <w:t>6</w:t>
            </w:r>
            <w:r>
              <w:rPr>
                <w:noProof/>
                <w:webHidden/>
              </w:rPr>
              <w:fldChar w:fldCharType="end"/>
            </w:r>
          </w:hyperlink>
        </w:p>
        <w:p w14:paraId="300993D9" w14:textId="2AC2ED25" w:rsidR="00AB05ED" w:rsidRDefault="00AB05ED">
          <w:pPr>
            <w:pStyle w:val="TOC1"/>
            <w:tabs>
              <w:tab w:val="right" w:leader="dot" w:pos="9350"/>
            </w:tabs>
            <w:rPr>
              <w:rFonts w:asciiTheme="minorHAnsi" w:eastAsiaTheme="minorEastAsia" w:hAnsiTheme="minorHAnsi" w:cs="Mangal"/>
              <w:noProof/>
              <w:kern w:val="0"/>
              <w:szCs w:val="20"/>
              <w:lang w:bidi="hi-IN"/>
              <w14:ligatures w14:val="none"/>
            </w:rPr>
          </w:pPr>
          <w:hyperlink w:anchor="_Toc222586744" w:history="1">
            <w:r w:rsidRPr="00A63654">
              <w:rPr>
                <w:rStyle w:val="Hyperlink"/>
                <w:noProof/>
              </w:rPr>
              <w:t>Conclusions on Current Policy &amp; Roles of Multi-Disciplinary Services and Their Impact</w:t>
            </w:r>
            <w:r>
              <w:rPr>
                <w:noProof/>
                <w:webHidden/>
              </w:rPr>
              <w:tab/>
            </w:r>
            <w:r>
              <w:rPr>
                <w:noProof/>
                <w:webHidden/>
              </w:rPr>
              <w:fldChar w:fldCharType="begin"/>
            </w:r>
            <w:r>
              <w:rPr>
                <w:noProof/>
                <w:webHidden/>
              </w:rPr>
              <w:instrText xml:space="preserve"> PAGEREF _Toc222586744 \h </w:instrText>
            </w:r>
            <w:r>
              <w:rPr>
                <w:noProof/>
                <w:webHidden/>
              </w:rPr>
            </w:r>
            <w:r>
              <w:rPr>
                <w:noProof/>
                <w:webHidden/>
              </w:rPr>
              <w:fldChar w:fldCharType="separate"/>
            </w:r>
            <w:r>
              <w:rPr>
                <w:noProof/>
                <w:webHidden/>
              </w:rPr>
              <w:t>8</w:t>
            </w:r>
            <w:r>
              <w:rPr>
                <w:noProof/>
                <w:webHidden/>
              </w:rPr>
              <w:fldChar w:fldCharType="end"/>
            </w:r>
          </w:hyperlink>
        </w:p>
        <w:p w14:paraId="7A79BA6E" w14:textId="76732CE5" w:rsidR="00AB05ED" w:rsidRDefault="00AB05ED">
          <w:pPr>
            <w:pStyle w:val="TOC1"/>
            <w:tabs>
              <w:tab w:val="right" w:leader="dot" w:pos="9350"/>
            </w:tabs>
            <w:rPr>
              <w:rFonts w:asciiTheme="minorHAnsi" w:eastAsiaTheme="minorEastAsia" w:hAnsiTheme="minorHAnsi" w:cs="Mangal"/>
              <w:noProof/>
              <w:kern w:val="0"/>
              <w:szCs w:val="20"/>
              <w:lang w:bidi="hi-IN"/>
              <w14:ligatures w14:val="none"/>
            </w:rPr>
          </w:pPr>
          <w:hyperlink w:anchor="_Toc222586745" w:history="1">
            <w:r w:rsidRPr="00A63654">
              <w:rPr>
                <w:rStyle w:val="Hyperlink"/>
                <w:noProof/>
              </w:rPr>
              <w:t>Recommendations to Improve Multi and Inter-Disciplinary Services</w:t>
            </w:r>
            <w:r>
              <w:rPr>
                <w:noProof/>
                <w:webHidden/>
              </w:rPr>
              <w:tab/>
            </w:r>
            <w:r>
              <w:rPr>
                <w:noProof/>
                <w:webHidden/>
              </w:rPr>
              <w:fldChar w:fldCharType="begin"/>
            </w:r>
            <w:r>
              <w:rPr>
                <w:noProof/>
                <w:webHidden/>
              </w:rPr>
              <w:instrText xml:space="preserve"> PAGEREF _Toc222586745 \h </w:instrText>
            </w:r>
            <w:r>
              <w:rPr>
                <w:noProof/>
                <w:webHidden/>
              </w:rPr>
            </w:r>
            <w:r>
              <w:rPr>
                <w:noProof/>
                <w:webHidden/>
              </w:rPr>
              <w:fldChar w:fldCharType="separate"/>
            </w:r>
            <w:r>
              <w:rPr>
                <w:noProof/>
                <w:webHidden/>
              </w:rPr>
              <w:t>9</w:t>
            </w:r>
            <w:r>
              <w:rPr>
                <w:noProof/>
                <w:webHidden/>
              </w:rPr>
              <w:fldChar w:fldCharType="end"/>
            </w:r>
          </w:hyperlink>
        </w:p>
        <w:p w14:paraId="2AF1FC8F" w14:textId="544CA4F8" w:rsidR="00AB05ED" w:rsidRDefault="00AB05ED">
          <w:pPr>
            <w:pStyle w:val="TOC1"/>
            <w:tabs>
              <w:tab w:val="right" w:leader="dot" w:pos="9350"/>
            </w:tabs>
            <w:rPr>
              <w:rFonts w:asciiTheme="minorHAnsi" w:eastAsiaTheme="minorEastAsia" w:hAnsiTheme="minorHAnsi" w:cs="Mangal"/>
              <w:noProof/>
              <w:kern w:val="0"/>
              <w:szCs w:val="20"/>
              <w:lang w:bidi="hi-IN"/>
              <w14:ligatures w14:val="none"/>
            </w:rPr>
          </w:pPr>
          <w:hyperlink w:anchor="_Toc222586746" w:history="1">
            <w:r w:rsidRPr="00A63654">
              <w:rPr>
                <w:rStyle w:val="Hyperlink"/>
                <w:noProof/>
              </w:rPr>
              <w:t>Final Conclusion</w:t>
            </w:r>
            <w:r>
              <w:rPr>
                <w:noProof/>
                <w:webHidden/>
              </w:rPr>
              <w:tab/>
            </w:r>
            <w:r>
              <w:rPr>
                <w:noProof/>
                <w:webHidden/>
              </w:rPr>
              <w:fldChar w:fldCharType="begin"/>
            </w:r>
            <w:r>
              <w:rPr>
                <w:noProof/>
                <w:webHidden/>
              </w:rPr>
              <w:instrText xml:space="preserve"> PAGEREF _Toc222586746 \h </w:instrText>
            </w:r>
            <w:r>
              <w:rPr>
                <w:noProof/>
                <w:webHidden/>
              </w:rPr>
            </w:r>
            <w:r>
              <w:rPr>
                <w:noProof/>
                <w:webHidden/>
              </w:rPr>
              <w:fldChar w:fldCharType="separate"/>
            </w:r>
            <w:r>
              <w:rPr>
                <w:noProof/>
                <w:webHidden/>
              </w:rPr>
              <w:t>10</w:t>
            </w:r>
            <w:r>
              <w:rPr>
                <w:noProof/>
                <w:webHidden/>
              </w:rPr>
              <w:fldChar w:fldCharType="end"/>
            </w:r>
          </w:hyperlink>
        </w:p>
        <w:p w14:paraId="2072B153" w14:textId="48D8616A" w:rsidR="00AB05ED" w:rsidRDefault="00AB05ED">
          <w:pPr>
            <w:pStyle w:val="TOC1"/>
            <w:tabs>
              <w:tab w:val="right" w:leader="dot" w:pos="9350"/>
            </w:tabs>
            <w:rPr>
              <w:rFonts w:asciiTheme="minorHAnsi" w:eastAsiaTheme="minorEastAsia" w:hAnsiTheme="minorHAnsi" w:cs="Mangal"/>
              <w:noProof/>
              <w:kern w:val="0"/>
              <w:szCs w:val="20"/>
              <w:lang w:bidi="hi-IN"/>
              <w14:ligatures w14:val="none"/>
            </w:rPr>
          </w:pPr>
          <w:hyperlink w:anchor="_Toc222586747" w:history="1">
            <w:r w:rsidRPr="00A63654">
              <w:rPr>
                <w:rStyle w:val="Hyperlink"/>
                <w:rFonts w:eastAsia="Times New Roman"/>
                <w:noProof/>
              </w:rPr>
              <w:t>References</w:t>
            </w:r>
            <w:r>
              <w:rPr>
                <w:noProof/>
                <w:webHidden/>
              </w:rPr>
              <w:tab/>
            </w:r>
            <w:r>
              <w:rPr>
                <w:noProof/>
                <w:webHidden/>
              </w:rPr>
              <w:fldChar w:fldCharType="begin"/>
            </w:r>
            <w:r>
              <w:rPr>
                <w:noProof/>
                <w:webHidden/>
              </w:rPr>
              <w:instrText xml:space="preserve"> PAGEREF _Toc222586747 \h </w:instrText>
            </w:r>
            <w:r>
              <w:rPr>
                <w:noProof/>
                <w:webHidden/>
              </w:rPr>
            </w:r>
            <w:r>
              <w:rPr>
                <w:noProof/>
                <w:webHidden/>
              </w:rPr>
              <w:fldChar w:fldCharType="separate"/>
            </w:r>
            <w:r>
              <w:rPr>
                <w:noProof/>
                <w:webHidden/>
              </w:rPr>
              <w:t>11</w:t>
            </w:r>
            <w:r>
              <w:rPr>
                <w:noProof/>
                <w:webHidden/>
              </w:rPr>
              <w:fldChar w:fldCharType="end"/>
            </w:r>
          </w:hyperlink>
        </w:p>
        <w:p w14:paraId="49EF4064" w14:textId="2F5694CB" w:rsidR="00FF5AF3" w:rsidRDefault="00FF5AF3">
          <w:r>
            <w:rPr>
              <w:b/>
              <w:bCs/>
              <w:noProof/>
            </w:rPr>
            <w:fldChar w:fldCharType="end"/>
          </w:r>
        </w:p>
      </w:sdtContent>
    </w:sdt>
    <w:p w14:paraId="3453EC67" w14:textId="77777777" w:rsidR="00A1053B" w:rsidRDefault="00A1053B">
      <w:pPr>
        <w:spacing w:line="278" w:lineRule="auto"/>
        <w:jc w:val="left"/>
        <w:rPr>
          <w:rFonts w:eastAsiaTheme="majorEastAsia" w:cstheme="majorBidi"/>
          <w:b/>
          <w:sz w:val="28"/>
          <w:szCs w:val="40"/>
        </w:rPr>
      </w:pPr>
      <w:r>
        <w:br w:type="page"/>
      </w:r>
    </w:p>
    <w:p w14:paraId="7E9D94DB" w14:textId="1C278CDE" w:rsidR="00C970DD" w:rsidRPr="00B34E65" w:rsidRDefault="00C970DD" w:rsidP="00C970DD">
      <w:pPr>
        <w:pStyle w:val="Heading1"/>
        <w:rPr>
          <w:rFonts w:ascii="Times New Roman" w:hAnsi="Times New Roman"/>
          <w:sz w:val="36"/>
        </w:rPr>
      </w:pPr>
      <w:bookmarkStart w:id="1" w:name="_Toc222586740"/>
      <w:r w:rsidRPr="00B34E65">
        <w:lastRenderedPageBreak/>
        <w:t>Introduction to the Case and Professional Role</w:t>
      </w:r>
      <w:bookmarkEnd w:id="1"/>
      <w:r w:rsidRPr="00B34E65">
        <w:t xml:space="preserve"> </w:t>
      </w:r>
    </w:p>
    <w:p w14:paraId="04286D6F" w14:textId="1F943153" w:rsidR="008B26B4" w:rsidRPr="00B34E65" w:rsidRDefault="008B26B4" w:rsidP="008B26B4">
      <w:r w:rsidRPr="00B34E65">
        <w:t>This argument is based on the case of Theo who was a ten-month old baby who tragically lost his life as a result of abusive injuries being inflicted on him by his parents. Theo and his elder sister already had a previous history of safeguarding services and were engaged in care proceedings due to the fact that professionals had described a propensity to cause serious harm within their family setting</w:t>
      </w:r>
      <w:r w:rsidR="00CE063E">
        <w:t xml:space="preserve"> (Connor </w:t>
      </w:r>
      <w:r w:rsidR="00CE063E">
        <w:rPr>
          <w:rStyle w:val="Emphasis"/>
        </w:rPr>
        <w:t>et al</w:t>
      </w:r>
      <w:r w:rsidR="00CE063E">
        <w:t>., 2023)</w:t>
      </w:r>
      <w:r w:rsidRPr="00B34E65">
        <w:t xml:space="preserve">. Although many agencies were involved, Theo was not properly safeguarded, which becomes a serious issue regarding the protection of </w:t>
      </w:r>
      <w:proofErr w:type="spellStart"/>
      <w:r w:rsidRPr="00B34E65">
        <w:t>practise</w:t>
      </w:r>
      <w:proofErr w:type="spellEnd"/>
      <w:r w:rsidRPr="00B34E65">
        <w:t xml:space="preserve"> and professional decision-making.</w:t>
      </w:r>
    </w:p>
    <w:p w14:paraId="1DFAEC68" w14:textId="77777777" w:rsidR="008B26B4" w:rsidRPr="00B34E65" w:rsidRDefault="008B26B4" w:rsidP="008B26B4">
      <w:r w:rsidRPr="00B34E65">
        <w:t xml:space="preserve">The analysis of the case was done in order to know what had given rise to the wrongs and how the police, social care, as well as health professionals reacted to the dangers in the busy of the child. The aim of the review is not to get people to blame everything but to increase lessons and better future safeguarding </w:t>
      </w:r>
      <w:proofErr w:type="spellStart"/>
      <w:r w:rsidRPr="00B34E65">
        <w:t>practise</w:t>
      </w:r>
      <w:proofErr w:type="spellEnd"/>
      <w:r w:rsidRPr="00B34E65">
        <w:t xml:space="preserve"> by learning.</w:t>
      </w:r>
    </w:p>
    <w:p w14:paraId="5885153E" w14:textId="7ED09132" w:rsidR="00C970DD" w:rsidRPr="00B34E65" w:rsidRDefault="008B26B4" w:rsidP="004A3596">
      <w:r w:rsidRPr="00B34E65">
        <w:t xml:space="preserve">In this panel discussion, I am assuming the role of a police officer. As policemen we have the duty not just to probe an offence but we also protect the vulnerable children and coordinate our efforts with other agencies in order to mitigate the risk we face and control more damage. Theo was a high-risk child and was supposed to be subjected to high protective supervision. </w:t>
      </w:r>
      <w:r w:rsidR="00CE02C2">
        <w:t xml:space="preserve"> </w:t>
      </w:r>
    </w:p>
    <w:p w14:paraId="595F6D20" w14:textId="77777777" w:rsidR="008D7E6E" w:rsidRDefault="008D7E6E">
      <w:pPr>
        <w:spacing w:line="278" w:lineRule="auto"/>
        <w:jc w:val="left"/>
        <w:rPr>
          <w:rFonts w:eastAsiaTheme="majorEastAsia" w:cstheme="majorBidi"/>
          <w:b/>
          <w:sz w:val="28"/>
          <w:szCs w:val="40"/>
        </w:rPr>
      </w:pPr>
      <w:r>
        <w:br w:type="page"/>
      </w:r>
    </w:p>
    <w:p w14:paraId="048CBE79" w14:textId="3A408C9E" w:rsidR="00C970DD" w:rsidRPr="00B34E65" w:rsidRDefault="00C970DD" w:rsidP="00F7624F">
      <w:pPr>
        <w:pStyle w:val="Heading1"/>
      </w:pPr>
      <w:bookmarkStart w:id="2" w:name="_Toc222586741"/>
      <w:r w:rsidRPr="00B34E65">
        <w:lastRenderedPageBreak/>
        <w:t>Children, Young People and Families’ Perception of Well-being</w:t>
      </w:r>
      <w:bookmarkEnd w:id="2"/>
      <w:r w:rsidRPr="00B34E65">
        <w:t xml:space="preserve"> </w:t>
      </w:r>
    </w:p>
    <w:p w14:paraId="4B27E1FF" w14:textId="5A55ECFC" w:rsidR="004A3596" w:rsidRPr="00B34E65" w:rsidRDefault="004A3596" w:rsidP="004A3596">
      <w:r w:rsidRPr="00B34E65">
        <w:t>In this instance, there were several safeguarding issues, which evidently influenced the wellbeing of both Theo and his family. Discussing the wellbeing of children, it involves such aspects as their physical, emotional, social, and developmental needs</w:t>
      </w:r>
      <w:r w:rsidR="00A47474">
        <w:t xml:space="preserve"> </w:t>
      </w:r>
      <w:r w:rsidR="00CE063E">
        <w:t>(</w:t>
      </w:r>
      <w:proofErr w:type="spellStart"/>
      <w:r w:rsidR="00CE063E">
        <w:t>Fynn</w:t>
      </w:r>
      <w:proofErr w:type="spellEnd"/>
      <w:r w:rsidR="00CE063E">
        <w:t xml:space="preserve"> </w:t>
      </w:r>
      <w:r w:rsidR="00CE063E">
        <w:rPr>
          <w:rStyle w:val="Emphasis"/>
        </w:rPr>
        <w:t>et al</w:t>
      </w:r>
      <w:r w:rsidR="00CE063E">
        <w:t>., 2022)</w:t>
      </w:r>
      <w:r w:rsidRPr="00B34E65">
        <w:t>. These needs are particularly crucial to a very young child such as Theo since infants rely completely on their care givers in ter</w:t>
      </w:r>
      <w:r w:rsidR="00CE02C2">
        <w:t xml:space="preserve">ms of their wellbeing and care. </w:t>
      </w:r>
      <w:r w:rsidRPr="00B34E65">
        <w:t xml:space="preserve">To begin with, Theo had been severely affected in his physical wellbeing. An examination of the case revealed that he sustained abusive injuries in several incidences and had poor and unsanitary house conditions. This implies potential lack of attention and physical abuse. Speaking of safeguard, a safe environment of the home, adequate hygiene and non-exposure to danger are some of the fundamental needs of a child. </w:t>
      </w:r>
      <w:r w:rsidR="00CE02C2">
        <w:t xml:space="preserve"> </w:t>
      </w:r>
    </w:p>
    <w:p w14:paraId="171838F2" w14:textId="41383E28" w:rsidR="00C970DD" w:rsidRPr="00B34E65" w:rsidRDefault="004A3596" w:rsidP="002110D5">
      <w:r w:rsidRPr="00B34E65">
        <w:t>Secondly, he also had a risk of compromised emotional wellbeing. There was domestic conflict, financial strain and substance abuse that impacted the household to provide a volatile and insecure environment</w:t>
      </w:r>
      <w:r w:rsidR="00A47474">
        <w:t xml:space="preserve"> (Golding, 2022)</w:t>
      </w:r>
      <w:r w:rsidRPr="00B34E65">
        <w:t>. Although Theo was quite young, children at this age may also be exposed to stress, tension, and lack of constant caretaking. Mental development and attachment over a long period of time may be influenced by exposure to arguments, anger, and neglect. This is connected to Adverse Childhood Experiences (ACEs) including, but not limited to, abuse, neglect, substance misuse of parents, and household conflict, which</w:t>
      </w:r>
      <w:r w:rsidR="00CE02C2">
        <w:t xml:space="preserve"> all occurred at this instance. </w:t>
      </w:r>
      <w:r w:rsidRPr="00B34E65">
        <w:t xml:space="preserve">Another determinant is social wellbeing. Theo and his sister Ruby were also being raised in a volatile setting where necessities were not always being </w:t>
      </w:r>
      <w:proofErr w:type="spellStart"/>
      <w:r w:rsidRPr="00B34E65">
        <w:t>realised</w:t>
      </w:r>
      <w:proofErr w:type="spellEnd"/>
      <w:r w:rsidRPr="00B34E65">
        <w:t xml:space="preserve">. Their exposure to unsafe caregiving environment might have curtailed their access to good interaction, bondage and secure development. Being the elder sister, there is also the possibility of Ruby being </w:t>
      </w:r>
      <w:proofErr w:type="spellStart"/>
      <w:r w:rsidRPr="00B34E65">
        <w:t>traumatised</w:t>
      </w:r>
      <w:proofErr w:type="spellEnd"/>
      <w:r w:rsidRPr="00B34E65">
        <w:t xml:space="preserve"> by the situation in the family a</w:t>
      </w:r>
      <w:r w:rsidR="00CE02C2">
        <w:t xml:space="preserve">nd witnessing violence at home. </w:t>
      </w:r>
      <w:r w:rsidRPr="00B34E65">
        <w:t xml:space="preserve">In the eyes of the police, child welfare is evaluated when doing home visits where they observe environmental conditions, parental </w:t>
      </w:r>
      <w:proofErr w:type="spellStart"/>
      <w:r w:rsidRPr="00B34E65">
        <w:t>behaviour</w:t>
      </w:r>
      <w:proofErr w:type="spellEnd"/>
      <w:r w:rsidRPr="00B34E65">
        <w:t xml:space="preserve"> and any apparent signs of neglect or abuse. Housing that was not sanitary, drug abuse, and constant domestic violence were risk indicators in this case</w:t>
      </w:r>
      <w:r w:rsidR="00342801">
        <w:t xml:space="preserve"> (</w:t>
      </w:r>
      <w:proofErr w:type="spellStart"/>
      <w:r w:rsidR="00342801">
        <w:t>Gress</w:t>
      </w:r>
      <w:proofErr w:type="spellEnd"/>
      <w:r w:rsidR="00342801">
        <w:t>, 2023)</w:t>
      </w:r>
      <w:r w:rsidRPr="00B34E65">
        <w:t xml:space="preserve">. </w:t>
      </w:r>
      <w:r w:rsidR="00CE02C2">
        <w:t xml:space="preserve"> </w:t>
      </w:r>
    </w:p>
    <w:p w14:paraId="2B9C0E04" w14:textId="77777777" w:rsidR="00502458" w:rsidRDefault="00502458">
      <w:pPr>
        <w:spacing w:line="278" w:lineRule="auto"/>
        <w:jc w:val="left"/>
        <w:rPr>
          <w:rFonts w:eastAsiaTheme="majorEastAsia" w:cstheme="majorBidi"/>
          <w:b/>
          <w:sz w:val="28"/>
          <w:szCs w:val="40"/>
        </w:rPr>
      </w:pPr>
      <w:r>
        <w:br w:type="page"/>
      </w:r>
    </w:p>
    <w:p w14:paraId="174D6A71" w14:textId="70AFD134" w:rsidR="00C970DD" w:rsidRPr="00B34E65" w:rsidRDefault="00C970DD" w:rsidP="00C970DD">
      <w:pPr>
        <w:pStyle w:val="Heading1"/>
      </w:pPr>
      <w:bookmarkStart w:id="3" w:name="_Toc222586742"/>
      <w:r w:rsidRPr="00B34E65">
        <w:lastRenderedPageBreak/>
        <w:t>Importance of Partnership Working and Communication</w:t>
      </w:r>
      <w:bookmarkEnd w:id="3"/>
      <w:r w:rsidRPr="00B34E65">
        <w:t xml:space="preserve"> </w:t>
      </w:r>
    </w:p>
    <w:p w14:paraId="7F533730" w14:textId="68D55C47" w:rsidR="00F47D9B" w:rsidRPr="00B34E65" w:rsidRDefault="00F47D9B" w:rsidP="00F47D9B">
      <w:r w:rsidRPr="00B34E65">
        <w:t xml:space="preserve">Working in partnership and effective communication in the context of protecting children are crucial when working with high-risk cases, such as that of Theo. There is no single agency that will be sufficient in case of child protection. Rather, police, social services, health professionals, the Safeguarding Children Partnership, </w:t>
      </w:r>
      <w:proofErr w:type="spellStart"/>
      <w:r w:rsidRPr="00B34E65">
        <w:t>Cafcass</w:t>
      </w:r>
      <w:proofErr w:type="spellEnd"/>
      <w:r w:rsidRPr="00B34E65">
        <w:t xml:space="preserve"> and legal services need to collaborate in sharing information, risk assessment and joint decisions in the best interests of the child health and welfare</w:t>
      </w:r>
      <w:r w:rsidR="00E81984">
        <w:t xml:space="preserve"> (</w:t>
      </w:r>
      <w:proofErr w:type="spellStart"/>
      <w:r w:rsidR="00E81984">
        <w:t>Gu</w:t>
      </w:r>
      <w:proofErr w:type="spellEnd"/>
      <w:r w:rsidR="00E81984">
        <w:t xml:space="preserve"> </w:t>
      </w:r>
      <w:r w:rsidR="00E81984">
        <w:rPr>
          <w:rStyle w:val="Emphasis"/>
        </w:rPr>
        <w:t>et al</w:t>
      </w:r>
      <w:r w:rsidR="00E81984">
        <w:t>., 2024)</w:t>
      </w:r>
      <w:r w:rsidR="00087E4D">
        <w:t xml:space="preserve">. </w:t>
      </w:r>
      <w:r w:rsidRPr="00B34E65">
        <w:t xml:space="preserve">Theo already had multiple agencies working with the family since safeguarding issues and care cases persisted. This is because the police, social workers and legal professionals knew that the children faced the danger of suffering severe injuries. Nevertheless, the case analysis indicates that it has restricted multi-agency communication and collaboration especially in the care proceedings. </w:t>
      </w:r>
      <w:r w:rsidR="00087E4D">
        <w:t xml:space="preserve"> </w:t>
      </w:r>
    </w:p>
    <w:p w14:paraId="5F623BF7" w14:textId="047BC4C6" w:rsidR="00F47D9B" w:rsidRPr="00B34E65" w:rsidRDefault="00F47D9B" w:rsidP="00F47D9B">
      <w:r w:rsidRPr="00B34E65">
        <w:t>Police-wise, securing referrals and information dissemination are also duties as far as the risk indicators, which are domestic discord, drug abuse, and unsecure residential circumstances, are indicated. Whenever the police visit a family and observe that there is an issue about the wellbeing of a child, the information must be forwarded to the social services and other protective associates</w:t>
      </w:r>
      <w:r w:rsidR="00856D06">
        <w:t xml:space="preserve"> (Hansen </w:t>
      </w:r>
      <w:proofErr w:type="spellStart"/>
      <w:r w:rsidR="00856D06">
        <w:t>Sandseter</w:t>
      </w:r>
      <w:proofErr w:type="spellEnd"/>
      <w:r w:rsidR="00856D06">
        <w:t xml:space="preserve"> </w:t>
      </w:r>
      <w:r w:rsidR="00856D06">
        <w:rPr>
          <w:rStyle w:val="Emphasis"/>
        </w:rPr>
        <w:t>et al</w:t>
      </w:r>
      <w:r w:rsidR="00856D06">
        <w:t>., 2023)</w:t>
      </w:r>
      <w:r w:rsidRPr="00B34E65">
        <w:t xml:space="preserve">. This should be followed by a series of joint investigations and multi agency strategy meetings to gauge the risk level and </w:t>
      </w:r>
      <w:proofErr w:type="spellStart"/>
      <w:r w:rsidRPr="00B34E65">
        <w:t>organise</w:t>
      </w:r>
      <w:proofErr w:type="spellEnd"/>
      <w:r w:rsidRPr="00B34E65">
        <w:t xml:space="preserve"> protection measures. </w:t>
      </w:r>
      <w:r w:rsidR="00087E4D">
        <w:t xml:space="preserve">  </w:t>
      </w:r>
      <w:r w:rsidRPr="00B34E65">
        <w:t xml:space="preserve">Professionals in the health sector like health visitors and GPs are also vital in detecting developmental issues and neglecting symptoms. In the same manner, </w:t>
      </w:r>
      <w:proofErr w:type="spellStart"/>
      <w:r w:rsidRPr="00B34E65">
        <w:t>Cafcass</w:t>
      </w:r>
      <w:proofErr w:type="spellEnd"/>
      <w:r w:rsidRPr="00B34E65">
        <w:t xml:space="preserve"> and the legal services are tasked with the responsibility of ensuring that the court ruling in the course of care proceedings is guided by current and precise safeguarding information. </w:t>
      </w:r>
      <w:r w:rsidR="00087E4D">
        <w:t xml:space="preserve"> </w:t>
      </w:r>
    </w:p>
    <w:p w14:paraId="298ECA56" w14:textId="0ABDAD19" w:rsidR="00C970DD" w:rsidRPr="00087E4D" w:rsidRDefault="004A2535" w:rsidP="00087E4D">
      <w:r>
        <w:t>Ineffective communication posed a significant threat to Theo, as the medical workers might not have fully understood the cumulative damage within</w:t>
      </w:r>
      <w:r w:rsidR="00F47D9B" w:rsidRPr="00B34E65">
        <w:t xml:space="preserve"> the family. Lack of effective communication between agencies with regard to raising concerns leads to risk appraisals being incomplete and may not include the real level of danger that a child is exposed to through safeguarding plans</w:t>
      </w:r>
      <w:r w:rsidR="0022422C">
        <w:t xml:space="preserve"> (</w:t>
      </w:r>
      <w:proofErr w:type="spellStart"/>
      <w:r w:rsidR="0022422C">
        <w:t>Modak</w:t>
      </w:r>
      <w:proofErr w:type="spellEnd"/>
      <w:r w:rsidR="0022422C">
        <w:t xml:space="preserve"> </w:t>
      </w:r>
      <w:r w:rsidR="0022422C">
        <w:rPr>
          <w:rStyle w:val="Emphasis"/>
        </w:rPr>
        <w:t>et al</w:t>
      </w:r>
      <w:r w:rsidR="0022422C">
        <w:t>., 2023)</w:t>
      </w:r>
      <w:r w:rsidR="00F47D9B" w:rsidRPr="00B34E65">
        <w:t xml:space="preserve">. Also, the absence of a coherent protection </w:t>
      </w:r>
      <w:r w:rsidR="002110D5" w:rsidRPr="00B34E65">
        <w:t>plans</w:t>
      </w:r>
      <w:r w:rsidR="00F47D9B" w:rsidRPr="00B34E65">
        <w:t xml:space="preserve"> implied that there was no scenario of the interventions being supported by the entire services. </w:t>
      </w:r>
      <w:r w:rsidR="00087E4D">
        <w:t xml:space="preserve"> </w:t>
      </w:r>
    </w:p>
    <w:p w14:paraId="3DA30AF6" w14:textId="77777777" w:rsidR="00062D04" w:rsidRDefault="00062D04">
      <w:pPr>
        <w:spacing w:line="278" w:lineRule="auto"/>
        <w:jc w:val="left"/>
        <w:rPr>
          <w:rFonts w:eastAsiaTheme="majorEastAsia" w:cstheme="majorBidi"/>
          <w:b/>
          <w:sz w:val="28"/>
          <w:szCs w:val="40"/>
        </w:rPr>
      </w:pPr>
      <w:r>
        <w:br w:type="page"/>
      </w:r>
    </w:p>
    <w:p w14:paraId="65F50CCC" w14:textId="6E8D4BD5" w:rsidR="00C970DD" w:rsidRPr="00B34E65" w:rsidRDefault="00C970DD" w:rsidP="00F5021E">
      <w:pPr>
        <w:pStyle w:val="Heading1"/>
      </w:pPr>
      <w:bookmarkStart w:id="4" w:name="_Toc222586743"/>
      <w:r w:rsidRPr="00B34E65">
        <w:lastRenderedPageBreak/>
        <w:t>Critical Analysis of the Case, Policie</w:t>
      </w:r>
      <w:r w:rsidR="008F72A2" w:rsidRPr="00B34E65">
        <w:t>s &amp; Professional Interventions</w:t>
      </w:r>
      <w:bookmarkEnd w:id="4"/>
      <w:r w:rsidR="008F72A2" w:rsidRPr="00B34E65">
        <w:t xml:space="preserve"> </w:t>
      </w:r>
      <w:r w:rsidRPr="00B34E65">
        <w:t xml:space="preserve"> </w:t>
      </w:r>
    </w:p>
    <w:p w14:paraId="005362BA" w14:textId="2C542816" w:rsidR="002110D5" w:rsidRPr="00B34E65" w:rsidRDefault="002110D5" w:rsidP="002110D5">
      <w:r w:rsidRPr="00B34E65">
        <w:t xml:space="preserve">Breaking the case of Theo down, </w:t>
      </w:r>
      <w:r w:rsidR="004A2535">
        <w:t>it has been</w:t>
      </w:r>
      <w:r w:rsidRPr="00B34E65">
        <w:t xml:space="preserve"> conclude</w:t>
      </w:r>
      <w:r w:rsidR="00C01493">
        <w:t>d</w:t>
      </w:r>
      <w:r w:rsidRPr="00B34E65">
        <w:t xml:space="preserve"> that the issues with the case have severely lacked protection despite the fact that the family was familiar with numerous services. Theo and his sister had already been placed under to care proceedings, which implies that professionals were aware that they were at high risk</w:t>
      </w:r>
      <w:r w:rsidR="00C63F26">
        <w:t xml:space="preserve"> (Norwich </w:t>
      </w:r>
      <w:r w:rsidR="00C63F26">
        <w:rPr>
          <w:rStyle w:val="Emphasis"/>
        </w:rPr>
        <w:t>et al</w:t>
      </w:r>
      <w:r w:rsidR="00C63F26">
        <w:t>., 2022)</w:t>
      </w:r>
      <w:r w:rsidRPr="00B34E65">
        <w:t xml:space="preserve">. But it seems the </w:t>
      </w:r>
      <w:proofErr w:type="spellStart"/>
      <w:r w:rsidRPr="00B34E65">
        <w:t>practise</w:t>
      </w:r>
      <w:proofErr w:type="spellEnd"/>
      <w:r w:rsidRPr="00B34E65">
        <w:t xml:space="preserve"> of safeguarding has not been effective and regularly followed over time. </w:t>
      </w:r>
      <w:r w:rsidR="002602F9">
        <w:t xml:space="preserve"> </w:t>
      </w:r>
      <w:r w:rsidRPr="00B34E65">
        <w:t>Underestimation of risk is one of the significant issues. Despite the various warning signs present in the case like substance abuse, family violence, poor housing conditions, and financial instability, it does not seem that these risks have been well identified as cumulative harm. Importantly, in situations where several low to moderate risks are combined they may pose a very dangerous environment to a child particularly an infant</w:t>
      </w:r>
      <w:r w:rsidR="006F6D9F">
        <w:t xml:space="preserve"> (Park </w:t>
      </w:r>
      <w:r w:rsidR="006F6D9F">
        <w:rPr>
          <w:rStyle w:val="Emphasis"/>
        </w:rPr>
        <w:t>et al</w:t>
      </w:r>
      <w:r w:rsidR="006F6D9F">
        <w:t>., 2023)</w:t>
      </w:r>
      <w:r w:rsidRPr="00B34E65">
        <w:t>. The professionals could have considered parental engagement as opposed to real parenting capacity in</w:t>
      </w:r>
      <w:r w:rsidR="002602F9">
        <w:t xml:space="preserve"> this instance</w:t>
      </w:r>
      <w:proofErr w:type="gramStart"/>
      <w:r w:rsidR="002602F9">
        <w:t xml:space="preserve">. </w:t>
      </w:r>
      <w:r w:rsidRPr="00B34E65">
        <w:t>.</w:t>
      </w:r>
      <w:proofErr w:type="gramEnd"/>
    </w:p>
    <w:p w14:paraId="19FF2B1A" w14:textId="3A138EF9" w:rsidR="002110D5" w:rsidRPr="00B34E65" w:rsidRDefault="002110D5" w:rsidP="002110D5">
      <w:r w:rsidRPr="00B34E65">
        <w:t xml:space="preserve">The weaknesses of systemic safeguarding are also </w:t>
      </w:r>
      <w:r w:rsidR="008F21AC">
        <w:t>highlighted in weak parenting and social work assessments</w:t>
      </w:r>
      <w:r w:rsidRPr="00B34E65">
        <w:t xml:space="preserve">. Though the assessment showed that parents did not have negative interactions with services, it does not mean that their engagement will ensure child safety. This shows a professional lack of interest and enough challenge of parental </w:t>
      </w:r>
      <w:proofErr w:type="spellStart"/>
      <w:r w:rsidRPr="00B34E65">
        <w:t>behaviour</w:t>
      </w:r>
      <w:proofErr w:type="spellEnd"/>
      <w:r w:rsidRPr="00B34E65">
        <w:t>. Apparently, more powerful and analytical evaluations of the home environment and the quality of caretaking needed to be made.</w:t>
      </w:r>
    </w:p>
    <w:p w14:paraId="6D253A65" w14:textId="062412DF" w:rsidR="002110D5" w:rsidRPr="00630C39" w:rsidRDefault="002110D5" w:rsidP="002110D5">
      <w:proofErr w:type="spellStart"/>
      <w:r w:rsidRPr="00B34E65">
        <w:t>Lawwise</w:t>
      </w:r>
      <w:proofErr w:type="spellEnd"/>
      <w:r w:rsidRPr="00B34E65">
        <w:t>, children have been given a clear responsibility by the Children Act 1989 whereby all the agencies have a clear obligation to protect and safeguard the welfare of children, especially those who are likely to suffer serious harm</w:t>
      </w:r>
      <w:r w:rsidR="00630C39">
        <w:t xml:space="preserve"> </w:t>
      </w:r>
      <w:r w:rsidR="00160DB9">
        <w:t>(World Health Organization, 2024)</w:t>
      </w:r>
      <w:r w:rsidRPr="00B34E65">
        <w:t xml:space="preserve">. In the case of Theo, this responsibility should have led to a stronger precautionary measure, since there is a known issue on safeguarding. Moreover, the Children Act 2004 highlights the imperative of cooperation among the agencies that does not seem to have been prevalent in the course of care </w:t>
      </w:r>
      <w:r w:rsidR="002602F9" w:rsidRPr="00B34E65">
        <w:t>proceedings.</w:t>
      </w:r>
    </w:p>
    <w:p w14:paraId="43B2FED0" w14:textId="514209FE" w:rsidR="00C970DD" w:rsidRPr="00E91C39" w:rsidRDefault="002110D5" w:rsidP="00E91C39">
      <w:r w:rsidRPr="00B34E65">
        <w:t xml:space="preserve">Also, the statutory guidance, Working </w:t>
      </w:r>
      <w:r w:rsidR="00630C39">
        <w:t xml:space="preserve">Together to </w:t>
      </w:r>
      <w:r w:rsidR="00B30468">
        <w:t xml:space="preserve">Safeguard Children 2018, </w:t>
      </w:r>
      <w:proofErr w:type="spellStart"/>
      <w:r w:rsidR="00B30468">
        <w:t>emphasises</w:t>
      </w:r>
      <w:proofErr w:type="spellEnd"/>
      <w:r w:rsidR="00B30468">
        <w:t xml:space="preserve"> early information sharing, coordinated safeguarding plans, and </w:t>
      </w:r>
      <w:r w:rsidRPr="00B34E65">
        <w:t xml:space="preserve">risk assessment itself. Most importantly, it appears that these principles were not well </w:t>
      </w:r>
      <w:proofErr w:type="spellStart"/>
      <w:r w:rsidRPr="00B34E65">
        <w:t>practised</w:t>
      </w:r>
      <w:proofErr w:type="spellEnd"/>
      <w:r w:rsidRPr="00B34E65">
        <w:t xml:space="preserve"> because the absence of effective multi-agency communication in the given case was identified. This falls under the Domestic Abuse Act 2021 since the constant quarrel within the family may have presented emotional and psychological harm to the children, but not necessarily of</w:t>
      </w:r>
      <w:r w:rsidR="002602F9">
        <w:t xml:space="preserve">ficially reported at all times. </w:t>
      </w:r>
      <w:r w:rsidRPr="00B34E65">
        <w:t xml:space="preserve">There were professional intervention evaluations, whether that was social work, child protection plans, but not sufficiently </w:t>
      </w:r>
      <w:proofErr w:type="spellStart"/>
      <w:r w:rsidRPr="00B34E65">
        <w:t>minimising</w:t>
      </w:r>
      <w:proofErr w:type="spellEnd"/>
      <w:r w:rsidRPr="00B34E65">
        <w:t xml:space="preserve"> the risk to Theo, nor did it provide proactive safeguarding actions but only </w:t>
      </w:r>
      <w:r w:rsidRPr="00B34E65">
        <w:lastRenderedPageBreak/>
        <w:t>in a reactive action manner. The decisions in care proceedings such as leaving the children in the hands of their parents were very critical. This shows that, due to professional judgement, parental capacity was overly optimistic</w:t>
      </w:r>
      <w:r w:rsidR="00FC3EDA">
        <w:t xml:space="preserve"> (</w:t>
      </w:r>
      <w:proofErr w:type="spellStart"/>
      <w:r w:rsidR="00FC3EDA">
        <w:t>Subramanyam</w:t>
      </w:r>
      <w:proofErr w:type="spellEnd"/>
      <w:r w:rsidR="00FC3EDA">
        <w:t xml:space="preserve"> </w:t>
      </w:r>
      <w:r w:rsidR="00FC3EDA">
        <w:rPr>
          <w:rStyle w:val="Emphasis"/>
        </w:rPr>
        <w:t>et al</w:t>
      </w:r>
      <w:r w:rsidR="00FC3EDA">
        <w:t>., 2024)</w:t>
      </w:r>
      <w:r w:rsidRPr="00B34E65">
        <w:t xml:space="preserve">. </w:t>
      </w:r>
    </w:p>
    <w:p w14:paraId="14E60D5F" w14:textId="77777777" w:rsidR="00795C1A" w:rsidRDefault="00795C1A">
      <w:pPr>
        <w:spacing w:line="278" w:lineRule="auto"/>
        <w:jc w:val="left"/>
        <w:rPr>
          <w:rFonts w:eastAsiaTheme="majorEastAsia" w:cstheme="majorBidi"/>
          <w:b/>
          <w:sz w:val="28"/>
          <w:szCs w:val="40"/>
        </w:rPr>
      </w:pPr>
      <w:r>
        <w:br w:type="page"/>
      </w:r>
    </w:p>
    <w:p w14:paraId="44E6397E" w14:textId="1D8BBD33" w:rsidR="00C970DD" w:rsidRPr="00B34E65" w:rsidRDefault="00C970DD" w:rsidP="00C970DD">
      <w:pPr>
        <w:pStyle w:val="Heading1"/>
      </w:pPr>
      <w:bookmarkStart w:id="5" w:name="_Toc222586744"/>
      <w:r w:rsidRPr="00B34E65">
        <w:lastRenderedPageBreak/>
        <w:t>Conclusions on Current Policy &amp; Roles of Multi-Disciplinary Services and Their Impact</w:t>
      </w:r>
      <w:bookmarkEnd w:id="5"/>
      <w:r w:rsidRPr="00B34E65">
        <w:t xml:space="preserve"> </w:t>
      </w:r>
    </w:p>
    <w:p w14:paraId="08D8A466" w14:textId="5C3DEE2B" w:rsidR="0044496E" w:rsidRPr="00B34E65" w:rsidRDefault="0044496E" w:rsidP="0044496E">
      <w:r w:rsidRPr="00B34E65">
        <w:t xml:space="preserve">To start with, in assessing the case, </w:t>
      </w:r>
      <w:r w:rsidR="00B30468">
        <w:t>it has been</w:t>
      </w:r>
      <w:r w:rsidRPr="00B34E65">
        <w:t xml:space="preserve"> point</w:t>
      </w:r>
      <w:r w:rsidR="00B30468">
        <w:t>ed</w:t>
      </w:r>
      <w:r w:rsidRPr="00B34E65">
        <w:t xml:space="preserve"> out that at present the policies regarding the complete safeguarding were quite sound in principle but did not prove to be completely effective in reality. Theo was familiar to services and was under care proceedings and this implies that the safeguarding systems were knowledgeable of the dangers within the family household. The child protection policy stipulates that a child under such circumstances is supposed to be highly monitored and guarded</w:t>
      </w:r>
      <w:r w:rsidR="00E91C39">
        <w:t xml:space="preserve"> (</w:t>
      </w:r>
      <w:proofErr w:type="spellStart"/>
      <w:r w:rsidR="00E91C39">
        <w:t>Syakhrani</w:t>
      </w:r>
      <w:proofErr w:type="spellEnd"/>
      <w:r w:rsidR="00E91C39">
        <w:t xml:space="preserve"> and Aslan, 2024)</w:t>
      </w:r>
      <w:r w:rsidRPr="00B34E65">
        <w:t xml:space="preserve">. </w:t>
      </w:r>
    </w:p>
    <w:p w14:paraId="7A278D88" w14:textId="0A7A3F7D" w:rsidR="0044496E" w:rsidRPr="00B34E65" w:rsidRDefault="0044496E" w:rsidP="0044496E">
      <w:r w:rsidRPr="00B34E65">
        <w:t xml:space="preserve">The implementation of multi-disciplinary services played a major role, but with not a lot of effectiveness. It was the role of social workers to conduct risk assessment and parenting capacity monitoring although the fact that the children have been placed back with the parents shows that they must have over-estimated the extent of risk. Health visitors also played a significant role in ensuring the development and wellbeing of the child especially to an infant such as Theo who needed special supervision because of his age and weaknesses. </w:t>
      </w:r>
    </w:p>
    <w:p w14:paraId="04F4AF8B" w14:textId="21467144" w:rsidR="00C970DD" w:rsidRPr="00B34E65" w:rsidRDefault="0044496E" w:rsidP="008F72A2">
      <w:r w:rsidRPr="00B34E65">
        <w:t>The role</w:t>
      </w:r>
      <w:r w:rsidR="00CF655E">
        <w:t>, as understood by the police,</w:t>
      </w:r>
      <w:r w:rsidRPr="00B34E65">
        <w:t xml:space="preserve"> carries with it investigation and protection. Although police acted in response to the event and ascertained severe issues in the residence setting, proactive protection involvement by foregoing agencies and improved information exchange with collaborating agencies would have ensured greater protection</w:t>
      </w:r>
      <w:r w:rsidR="00AF5817">
        <w:t xml:space="preserve"> (Connor </w:t>
      </w:r>
      <w:r w:rsidR="00AF5817">
        <w:rPr>
          <w:rStyle w:val="Emphasis"/>
        </w:rPr>
        <w:t>et al</w:t>
      </w:r>
      <w:r w:rsidR="00AF5817">
        <w:t>., 2023)</w:t>
      </w:r>
      <w:r w:rsidRPr="00B34E65">
        <w:t>. Safeguarding partnerships are meant to help in providing coordinated multi-agency responses but in this instance it seems that collaborat</w:t>
      </w:r>
      <w:r w:rsidR="009F75EF">
        <w:t xml:space="preserve">ion has been divided into bits. </w:t>
      </w:r>
      <w:r w:rsidRPr="00B34E65">
        <w:t xml:space="preserve">Courts and the legal system were also instrumental in the care proceedings process since professional recommendations are the result in the determination of where children are to reside. </w:t>
      </w:r>
    </w:p>
    <w:p w14:paraId="4FEBBB6B" w14:textId="77777777" w:rsidR="00DB4EB3" w:rsidRDefault="00DB4EB3">
      <w:pPr>
        <w:spacing w:line="278" w:lineRule="auto"/>
        <w:jc w:val="left"/>
        <w:rPr>
          <w:rFonts w:eastAsiaTheme="majorEastAsia" w:cstheme="majorBidi"/>
          <w:b/>
          <w:sz w:val="28"/>
          <w:szCs w:val="40"/>
        </w:rPr>
      </w:pPr>
      <w:r>
        <w:br w:type="page"/>
      </w:r>
    </w:p>
    <w:p w14:paraId="39FF0B50" w14:textId="1F67105E" w:rsidR="00C970DD" w:rsidRPr="00B34E65" w:rsidRDefault="00C970DD" w:rsidP="00C970DD">
      <w:pPr>
        <w:pStyle w:val="Heading1"/>
      </w:pPr>
      <w:bookmarkStart w:id="6" w:name="_Toc222586745"/>
      <w:r w:rsidRPr="00B34E65">
        <w:lastRenderedPageBreak/>
        <w:t>Recommendations to Improve Multi and Inter-Disciplinary Services</w:t>
      </w:r>
      <w:bookmarkEnd w:id="6"/>
      <w:r w:rsidRPr="00B34E65">
        <w:t xml:space="preserve"> </w:t>
      </w:r>
    </w:p>
    <w:p w14:paraId="74BAF56B" w14:textId="70391925" w:rsidR="002D07CA" w:rsidRPr="00B34E65" w:rsidRDefault="002D07CA" w:rsidP="002D07CA">
      <w:r w:rsidRPr="00B34E65">
        <w:t>It was revealed in the critical analysis of the case with Theo that several effective and feasible solutions need to be suggested to enhance multi and inter-disciplinary safeguarding services. As a policeman, information sharing system among agencies is one of the most crucial suggestions. There should be explicit and reasonable communication pathways among the police, social services, health workers, and safe haven alliances to ensure that all the risk factors (including domestic conflict, substance misuse, and unsafe home conditions) are documented and provided immediately</w:t>
      </w:r>
      <w:r w:rsidR="00445FCD">
        <w:t xml:space="preserve"> (</w:t>
      </w:r>
      <w:proofErr w:type="spellStart"/>
      <w:r w:rsidR="00445FCD">
        <w:t>Gu</w:t>
      </w:r>
      <w:proofErr w:type="spellEnd"/>
      <w:r w:rsidR="00445FCD">
        <w:t xml:space="preserve"> </w:t>
      </w:r>
      <w:r w:rsidR="00445FCD">
        <w:rPr>
          <w:rStyle w:val="Emphasis"/>
        </w:rPr>
        <w:t>et al</w:t>
      </w:r>
      <w:r w:rsidR="00445FCD">
        <w:t>., 2024)</w:t>
      </w:r>
      <w:r w:rsidRPr="00B34E65">
        <w:t xml:space="preserve">. </w:t>
      </w:r>
    </w:p>
    <w:p w14:paraId="7E5E77D0" w14:textId="54FFC490" w:rsidR="008C3047" w:rsidRPr="008C3047" w:rsidRDefault="002D07CA" w:rsidP="00D57BD7">
      <w:r w:rsidRPr="00B34E65">
        <w:t xml:space="preserve">Secondly, frequent multi-agency protection meetings must be obligatory in the high-risk cases, particularly when children are already in the process of care. Such meetings would enable police, social workers, health visitors, and legal professionals to </w:t>
      </w:r>
      <w:r w:rsidR="001E5710">
        <w:t>checks</w:t>
      </w:r>
      <w:r w:rsidRPr="00B34E65">
        <w:t xml:space="preserve"> on threats on an ongoing basis and revise plans to protect themselves. </w:t>
      </w:r>
    </w:p>
    <w:p w14:paraId="35108D1C" w14:textId="1156BEDD" w:rsidR="002903B0" w:rsidRPr="00B34E65" w:rsidRDefault="002903B0" w:rsidP="002903B0">
      <w:r w:rsidRPr="00B34E65">
        <w:t>The second major advice is the improved risk assessment training of all the professionals including the police officers</w:t>
      </w:r>
      <w:r w:rsidR="00541BCC">
        <w:t xml:space="preserve"> (Hansen </w:t>
      </w:r>
      <w:proofErr w:type="spellStart"/>
      <w:r w:rsidR="00541BCC">
        <w:t>Sandseter</w:t>
      </w:r>
      <w:proofErr w:type="spellEnd"/>
      <w:r w:rsidR="00541BCC">
        <w:t xml:space="preserve"> </w:t>
      </w:r>
      <w:r w:rsidR="00541BCC">
        <w:rPr>
          <w:rStyle w:val="Emphasis"/>
        </w:rPr>
        <w:t>et al</w:t>
      </w:r>
      <w:r w:rsidR="00541BCC">
        <w:t>., 2023)</w:t>
      </w:r>
      <w:r w:rsidRPr="00B34E65">
        <w:t xml:space="preserve">. The emphasis of training should be put upon the identification of cumulative harm, disguised compliance, and the long term effects of negative childhood events. </w:t>
      </w:r>
    </w:p>
    <w:p w14:paraId="570234C0" w14:textId="7FF39640" w:rsidR="002903B0" w:rsidRPr="00B34E65" w:rsidRDefault="002903B0" w:rsidP="002903B0">
      <w:r w:rsidRPr="00B34E65">
        <w:t xml:space="preserve">An early police protection increment is also imperative. In case the officers begin noticing red flags indicative of neglect, substance abuse, or unstable households, the priority of immediate referral to children social care and partner’s protection should be undertaken during home </w:t>
      </w:r>
      <w:r w:rsidR="00CF655E" w:rsidRPr="00B34E65">
        <w:t>visits.</w:t>
      </w:r>
    </w:p>
    <w:p w14:paraId="66927624" w14:textId="77777777" w:rsidR="00221A7D" w:rsidRDefault="00221A7D">
      <w:pPr>
        <w:spacing w:line="278" w:lineRule="auto"/>
        <w:jc w:val="left"/>
        <w:rPr>
          <w:rFonts w:eastAsiaTheme="majorEastAsia" w:cstheme="majorBidi"/>
          <w:b/>
          <w:sz w:val="28"/>
          <w:szCs w:val="40"/>
        </w:rPr>
      </w:pPr>
      <w:r>
        <w:br w:type="page"/>
      </w:r>
    </w:p>
    <w:p w14:paraId="536C1910" w14:textId="2EC8C0A0" w:rsidR="00C970DD" w:rsidRPr="00B34E65" w:rsidRDefault="00C970DD" w:rsidP="00C970DD">
      <w:pPr>
        <w:pStyle w:val="Heading1"/>
      </w:pPr>
      <w:bookmarkStart w:id="7" w:name="_Toc222586746"/>
      <w:r w:rsidRPr="00B34E65">
        <w:lastRenderedPageBreak/>
        <w:t>Final Conclusion</w:t>
      </w:r>
      <w:bookmarkEnd w:id="7"/>
      <w:r w:rsidRPr="00B34E65">
        <w:t xml:space="preserve"> </w:t>
      </w:r>
    </w:p>
    <w:p w14:paraId="132FF825" w14:textId="00B8027F" w:rsidR="007B617E" w:rsidRPr="00B34E65" w:rsidRDefault="007B617E" w:rsidP="007B617E">
      <w:r w:rsidRPr="00B34E65">
        <w:t xml:space="preserve">Summing up, the case of Theo shows conclusively that there were significant safeguard breaches in a system whose purpose should have been to defend a very vulnerable child. Although known to several agencies and already a part of the proceedings regarding care, the intensity of protection was low to guarantee his safety. The main problems encompassed ineffective multi-agency response, risk underestimation, and lack of </w:t>
      </w:r>
      <w:r w:rsidR="00D57BD7" w:rsidRPr="00B34E65">
        <w:t>coordinated</w:t>
      </w:r>
      <w:r w:rsidRPr="00B34E65">
        <w:t xml:space="preserve"> response. That indicates that the </w:t>
      </w:r>
      <w:proofErr w:type="spellStart"/>
      <w:r w:rsidRPr="00B34E65">
        <w:t>practise</w:t>
      </w:r>
      <w:proofErr w:type="spellEnd"/>
      <w:r w:rsidRPr="00B34E65">
        <w:t xml:space="preserve"> was never child-</w:t>
      </w:r>
      <w:r w:rsidR="00D57BD7" w:rsidRPr="00B34E65">
        <w:t>centered</w:t>
      </w:r>
      <w:r w:rsidRPr="00B34E65">
        <w:t xml:space="preserve"> in terms of protection since the well-being and the living conditions of Theo were not always considered.</w:t>
      </w:r>
    </w:p>
    <w:p w14:paraId="2B01F156" w14:textId="292A17E1" w:rsidR="007B617E" w:rsidRPr="00B34E65" w:rsidRDefault="007B617E" w:rsidP="007B617E">
      <w:r w:rsidRPr="00B34E65">
        <w:t>The protection should be child-</w:t>
      </w:r>
      <w:proofErr w:type="spellStart"/>
      <w:r w:rsidRPr="00B34E65">
        <w:t>centred</w:t>
      </w:r>
      <w:proofErr w:type="spellEnd"/>
      <w:r w:rsidRPr="00B34E65">
        <w:t xml:space="preserve">, particularly to infants who are in their absolute reliance upon the adults who take care of them. In the case of the police, their role does not just stop at investigating the harm but </w:t>
      </w:r>
      <w:r w:rsidR="00605D5A" w:rsidRPr="00B34E65">
        <w:t>it</w:t>
      </w:r>
      <w:r w:rsidRPr="00B34E65">
        <w:t xml:space="preserve"> also identifying the risk at hand at an early stage, sharing information and collaborating with other professionals in order to protect the children. Greater collaboration of partners in the future, active risk evaluation and constant control may allow avoiding such tragedies. </w:t>
      </w:r>
      <w:r w:rsidR="00861A39">
        <w:t xml:space="preserve"> </w:t>
      </w:r>
    </w:p>
    <w:p w14:paraId="6498EDB5" w14:textId="77777777" w:rsidR="00913AA2" w:rsidRDefault="00913AA2">
      <w:pPr>
        <w:spacing w:line="278" w:lineRule="auto"/>
        <w:jc w:val="left"/>
        <w:rPr>
          <w:rFonts w:eastAsia="Times New Roman" w:cstheme="majorBidi"/>
          <w:b/>
          <w:sz w:val="28"/>
          <w:szCs w:val="40"/>
        </w:rPr>
      </w:pPr>
      <w:r>
        <w:rPr>
          <w:rFonts w:eastAsia="Times New Roman"/>
        </w:rPr>
        <w:br w:type="page"/>
      </w:r>
    </w:p>
    <w:p w14:paraId="340E2374" w14:textId="375F785A" w:rsidR="00342B8A" w:rsidRDefault="006F5E00" w:rsidP="00ED51F4">
      <w:pPr>
        <w:pStyle w:val="Heading1"/>
        <w:rPr>
          <w:rFonts w:eastAsia="Times New Roman"/>
        </w:rPr>
      </w:pPr>
      <w:bookmarkStart w:id="8" w:name="_Toc222586747"/>
      <w:r w:rsidRPr="00B34E65">
        <w:rPr>
          <w:rFonts w:eastAsia="Times New Roman"/>
        </w:rPr>
        <w:lastRenderedPageBreak/>
        <w:t>References</w:t>
      </w:r>
      <w:bookmarkEnd w:id="8"/>
      <w:r w:rsidR="00476211">
        <w:rPr>
          <w:rFonts w:eastAsia="Times New Roman"/>
        </w:rPr>
        <w:t xml:space="preserve"> </w:t>
      </w:r>
    </w:p>
    <w:p w14:paraId="14E759A7" w14:textId="381D44B1" w:rsidR="00FA74C5" w:rsidRPr="00FA74C5" w:rsidRDefault="00FA74C5" w:rsidP="00FA74C5">
      <w:pPr>
        <w:rPr>
          <w:shd w:val="clear" w:color="auto" w:fill="FFFFFF"/>
        </w:rPr>
      </w:pPr>
      <w:r w:rsidRPr="00FA74C5">
        <w:rPr>
          <w:shd w:val="clear" w:color="auto" w:fill="FFFFFF"/>
        </w:rPr>
        <w:t xml:space="preserve">Connor, S. G., Fairchild, T. J., Learmonth, Y. C., Beer, K., Cooper, I., Boardman, G., ... </w:t>
      </w:r>
      <w:r w:rsidR="006F5AD4" w:rsidRPr="006F5AD4">
        <w:t>and</w:t>
      </w:r>
      <w:r w:rsidR="006F5AD4" w:rsidRPr="00FA74C5">
        <w:rPr>
          <w:shd w:val="clear" w:color="auto" w:fill="FFFFFF"/>
        </w:rPr>
        <w:t xml:space="preserve"> </w:t>
      </w:r>
      <w:r w:rsidR="00B763F0">
        <w:rPr>
          <w:shd w:val="clear" w:color="auto" w:fill="FFFFFF"/>
        </w:rPr>
        <w:t>Needham, M. (2023)</w:t>
      </w:r>
      <w:r w:rsidRPr="00FA74C5">
        <w:rPr>
          <w:shd w:val="clear" w:color="auto" w:fill="FFFFFF"/>
        </w:rPr>
        <w:t xml:space="preserve"> Testosterone treatment combined with exercise to improve muscle strength, physical function and quality of life in men affected by inclusion body myositis: a </w:t>
      </w:r>
      <w:proofErr w:type="spellStart"/>
      <w:r w:rsidRPr="00FA74C5">
        <w:rPr>
          <w:shd w:val="clear" w:color="auto" w:fill="FFFFFF"/>
        </w:rPr>
        <w:t>randomised</w:t>
      </w:r>
      <w:proofErr w:type="spellEnd"/>
      <w:r w:rsidRPr="00FA74C5">
        <w:rPr>
          <w:shd w:val="clear" w:color="auto" w:fill="FFFFFF"/>
        </w:rPr>
        <w:t>, double-blind, placebo-controlled, crossover trial. </w:t>
      </w:r>
      <w:proofErr w:type="spellStart"/>
      <w:r w:rsidRPr="00FA74C5">
        <w:rPr>
          <w:i/>
          <w:iCs/>
          <w:shd w:val="clear" w:color="auto" w:fill="FFFFFF"/>
        </w:rPr>
        <w:t>PLoS</w:t>
      </w:r>
      <w:proofErr w:type="spellEnd"/>
      <w:r w:rsidRPr="00FA74C5">
        <w:rPr>
          <w:i/>
          <w:iCs/>
          <w:shd w:val="clear" w:color="auto" w:fill="FFFFFF"/>
        </w:rPr>
        <w:t xml:space="preserve"> One</w:t>
      </w:r>
      <w:r w:rsidRPr="00FA74C5">
        <w:rPr>
          <w:shd w:val="clear" w:color="auto" w:fill="FFFFFF"/>
        </w:rPr>
        <w:t>, </w:t>
      </w:r>
      <w:r w:rsidRPr="00FA74C5">
        <w:rPr>
          <w:i/>
          <w:iCs/>
          <w:shd w:val="clear" w:color="auto" w:fill="FFFFFF"/>
        </w:rPr>
        <w:t>18</w:t>
      </w:r>
      <w:r w:rsidRPr="00FA74C5">
        <w:rPr>
          <w:shd w:val="clear" w:color="auto" w:fill="FFFFFF"/>
        </w:rPr>
        <w:t xml:space="preserve">(4), e0283394. </w:t>
      </w:r>
      <w:hyperlink r:id="rId8" w:history="1">
        <w:r w:rsidRPr="00FA74C5">
          <w:rPr>
            <w:rStyle w:val="Hyperlink"/>
            <w:shd w:val="clear" w:color="auto" w:fill="FFFFFF"/>
          </w:rPr>
          <w:t>https://doi.org/10.1371/journal.pone.0283394</w:t>
        </w:r>
      </w:hyperlink>
      <w:r w:rsidRPr="00FA74C5">
        <w:rPr>
          <w:shd w:val="clear" w:color="auto" w:fill="FFFFFF"/>
        </w:rPr>
        <w:t xml:space="preserve"> </w:t>
      </w:r>
    </w:p>
    <w:p w14:paraId="0A6721BB" w14:textId="511B8B21" w:rsidR="00FA74C5" w:rsidRPr="00FA74C5" w:rsidRDefault="00FA74C5" w:rsidP="00FA74C5">
      <w:pPr>
        <w:rPr>
          <w:shd w:val="clear" w:color="auto" w:fill="FFFFFF"/>
        </w:rPr>
      </w:pPr>
      <w:proofErr w:type="spellStart"/>
      <w:r w:rsidRPr="00FA74C5">
        <w:rPr>
          <w:shd w:val="clear" w:color="auto" w:fill="FFFFFF"/>
        </w:rPr>
        <w:t>Fynn</w:t>
      </w:r>
      <w:proofErr w:type="spellEnd"/>
      <w:r w:rsidRPr="00FA74C5">
        <w:rPr>
          <w:shd w:val="clear" w:color="auto" w:fill="FFFFFF"/>
        </w:rPr>
        <w:t xml:space="preserve">, J. F., Milton, K., Hardeman, W., </w:t>
      </w:r>
      <w:r w:rsidR="006F5AD4" w:rsidRPr="006F5AD4">
        <w:t>and</w:t>
      </w:r>
      <w:r w:rsidR="006F5AD4" w:rsidRPr="00FA74C5">
        <w:rPr>
          <w:shd w:val="clear" w:color="auto" w:fill="FFFFFF"/>
        </w:rPr>
        <w:t xml:space="preserve"> </w:t>
      </w:r>
      <w:r w:rsidR="00B763F0">
        <w:rPr>
          <w:shd w:val="clear" w:color="auto" w:fill="FFFFFF"/>
        </w:rPr>
        <w:t>Jones, A. P. (2022)</w:t>
      </w:r>
      <w:r w:rsidRPr="00FA74C5">
        <w:rPr>
          <w:shd w:val="clear" w:color="auto" w:fill="FFFFFF"/>
        </w:rPr>
        <w:t xml:space="preserve"> A model for effective partnership working to support </w:t>
      </w:r>
      <w:proofErr w:type="spellStart"/>
      <w:r w:rsidRPr="00FA74C5">
        <w:rPr>
          <w:shd w:val="clear" w:color="auto" w:fill="FFFFFF"/>
        </w:rPr>
        <w:t>programme</w:t>
      </w:r>
      <w:proofErr w:type="spellEnd"/>
      <w:r w:rsidRPr="00FA74C5">
        <w:rPr>
          <w:shd w:val="clear" w:color="auto" w:fill="FFFFFF"/>
        </w:rPr>
        <w:t xml:space="preserve"> evaluation. </w:t>
      </w:r>
      <w:r w:rsidRPr="00FA74C5">
        <w:rPr>
          <w:i/>
          <w:iCs/>
          <w:shd w:val="clear" w:color="auto" w:fill="FFFFFF"/>
        </w:rPr>
        <w:t>Evaluation</w:t>
      </w:r>
      <w:r w:rsidRPr="00FA74C5">
        <w:rPr>
          <w:shd w:val="clear" w:color="auto" w:fill="FFFFFF"/>
        </w:rPr>
        <w:t>, </w:t>
      </w:r>
      <w:r w:rsidRPr="00FA74C5">
        <w:rPr>
          <w:i/>
          <w:iCs/>
          <w:shd w:val="clear" w:color="auto" w:fill="FFFFFF"/>
        </w:rPr>
        <w:t>28</w:t>
      </w:r>
      <w:r w:rsidRPr="00FA74C5">
        <w:rPr>
          <w:shd w:val="clear" w:color="auto" w:fill="FFFFFF"/>
        </w:rPr>
        <w:t xml:space="preserve">(3), 284-307. </w:t>
      </w:r>
      <w:hyperlink r:id="rId9" w:history="1">
        <w:r w:rsidRPr="00FA74C5">
          <w:rPr>
            <w:rStyle w:val="Hyperlink"/>
            <w:shd w:val="clear" w:color="auto" w:fill="FFFFFF"/>
          </w:rPr>
          <w:t>https://doi.org/10.1177/13563890221096178</w:t>
        </w:r>
      </w:hyperlink>
      <w:r w:rsidRPr="00FA74C5">
        <w:rPr>
          <w:shd w:val="clear" w:color="auto" w:fill="FFFFFF"/>
        </w:rPr>
        <w:t xml:space="preserve"> </w:t>
      </w:r>
    </w:p>
    <w:p w14:paraId="3185B00B" w14:textId="6B140364" w:rsidR="00FA74C5" w:rsidRDefault="00B763F0" w:rsidP="00FA74C5">
      <w:r>
        <w:rPr>
          <w:shd w:val="clear" w:color="auto" w:fill="FFFFFF"/>
        </w:rPr>
        <w:t>Golding, B. (2022)</w:t>
      </w:r>
      <w:r w:rsidR="00FA74C5" w:rsidRPr="00FA74C5">
        <w:rPr>
          <w:shd w:val="clear" w:color="auto" w:fill="FFFFFF"/>
        </w:rPr>
        <w:t xml:space="preserve"> Towards the “perfect” weather warning: Bridging disciplinary gaps through partnership and communication (p. 270). Springer Nature. </w:t>
      </w:r>
      <w:hyperlink r:id="rId10" w:history="1">
        <w:r w:rsidR="00FA74C5" w:rsidRPr="00FA74C5">
          <w:rPr>
            <w:rStyle w:val="Hyperlink"/>
            <w:shd w:val="clear" w:color="auto" w:fill="FFFFFF"/>
          </w:rPr>
          <w:t>https://doi.org/10.1007/978-3-030-98989-7</w:t>
        </w:r>
      </w:hyperlink>
      <w:r w:rsidR="00FA74C5" w:rsidRPr="00FA74C5">
        <w:rPr>
          <w:shd w:val="clear" w:color="auto" w:fill="FFFFFF"/>
        </w:rPr>
        <w:t xml:space="preserve"> </w:t>
      </w:r>
    </w:p>
    <w:p w14:paraId="70BF56CE" w14:textId="47A4AF33" w:rsidR="00FA74C5" w:rsidRPr="00FA74C5" w:rsidRDefault="00B763F0" w:rsidP="00FA74C5">
      <w:pPr>
        <w:rPr>
          <w:shd w:val="clear" w:color="auto" w:fill="FFFFFF"/>
        </w:rPr>
      </w:pPr>
      <w:proofErr w:type="spellStart"/>
      <w:r>
        <w:rPr>
          <w:shd w:val="clear" w:color="auto" w:fill="FFFFFF"/>
        </w:rPr>
        <w:t>Gress</w:t>
      </w:r>
      <w:proofErr w:type="spellEnd"/>
      <w:r>
        <w:rPr>
          <w:shd w:val="clear" w:color="auto" w:fill="FFFFFF"/>
        </w:rPr>
        <w:t>, C. (2023)</w:t>
      </w:r>
      <w:r w:rsidR="00FA74C5" w:rsidRPr="00FA74C5">
        <w:rPr>
          <w:shd w:val="clear" w:color="auto" w:fill="FFFFFF"/>
        </w:rPr>
        <w:t xml:space="preserve"> The end of woman: How smashing the patriarchy has destroyed us. Simon and Schuster. </w:t>
      </w:r>
      <w:hyperlink r:id="rId11" w:anchor="v=onepage&amp;q&amp;f=false" w:history="1">
        <w:r w:rsidR="00FA74C5" w:rsidRPr="00FA74C5">
          <w:rPr>
            <w:rStyle w:val="Hyperlink"/>
            <w:shd w:val="clear" w:color="auto" w:fill="FFFFFF"/>
          </w:rPr>
          <w:t>https://books.google.co.in/books?hl=en&amp;lr=&amp;id=4HGkEAAAQBAJ&amp;oi=fnd&amp;pg=PT2&amp;dq=This+argument+is+based+on+the+case+of+Theo+who+was+a+ten-month+old+baby+who+tragically+lost+his+life+as+a+result+of+abusive+injuries+being+inflicted+on+him+by+his+parents&amp;ots=qL6nifC56R&amp;sig=n-p8YldCXU7g7Gf7kRDVy_O8Z_U&amp;redir_esc=y#v=onepage&amp;q&amp;f=false</w:t>
        </w:r>
      </w:hyperlink>
      <w:r w:rsidR="00FA74C5" w:rsidRPr="00FA74C5">
        <w:rPr>
          <w:shd w:val="clear" w:color="auto" w:fill="FFFFFF"/>
        </w:rPr>
        <w:t xml:space="preserve"> </w:t>
      </w:r>
    </w:p>
    <w:p w14:paraId="7772219B" w14:textId="430D8556" w:rsidR="00FA74C5" w:rsidRPr="00CC6706" w:rsidRDefault="00FA74C5" w:rsidP="00FA74C5">
      <w:proofErr w:type="spellStart"/>
      <w:r w:rsidRPr="00FA74C5">
        <w:rPr>
          <w:shd w:val="clear" w:color="auto" w:fill="FFFFFF"/>
        </w:rPr>
        <w:t>Gu</w:t>
      </w:r>
      <w:proofErr w:type="spellEnd"/>
      <w:r w:rsidRPr="00FA74C5">
        <w:rPr>
          <w:shd w:val="clear" w:color="auto" w:fill="FFFFFF"/>
        </w:rPr>
        <w:t xml:space="preserve">, Q., Zhao, X., Lin, L., </w:t>
      </w:r>
      <w:proofErr w:type="spellStart"/>
      <w:r w:rsidRPr="00FA74C5">
        <w:rPr>
          <w:shd w:val="clear" w:color="auto" w:fill="FFFFFF"/>
        </w:rPr>
        <w:t>Teo</w:t>
      </w:r>
      <w:proofErr w:type="spellEnd"/>
      <w:r w:rsidRPr="00FA74C5">
        <w:rPr>
          <w:shd w:val="clear" w:color="auto" w:fill="FFFFFF"/>
        </w:rPr>
        <w:t xml:space="preserve">, W. P., Liu, L., </w:t>
      </w:r>
      <w:r w:rsidR="006F5AD4" w:rsidRPr="006F5AD4">
        <w:t>and</w:t>
      </w:r>
      <w:r w:rsidR="006F5AD4" w:rsidRPr="00FA74C5">
        <w:rPr>
          <w:shd w:val="clear" w:color="auto" w:fill="FFFFFF"/>
        </w:rPr>
        <w:t xml:space="preserve"> </w:t>
      </w:r>
      <w:r w:rsidR="00B763F0">
        <w:rPr>
          <w:shd w:val="clear" w:color="auto" w:fill="FFFFFF"/>
        </w:rPr>
        <w:t xml:space="preserve">Yuan, S. (2024) </w:t>
      </w:r>
      <w:r w:rsidRPr="00FA74C5">
        <w:rPr>
          <w:shd w:val="clear" w:color="auto" w:fill="FFFFFF"/>
        </w:rPr>
        <w:t>Effects of open-skill and closed-skill exercise on subthreshold depression in female adolescents: a randomized controlled trial. </w:t>
      </w:r>
      <w:r w:rsidRPr="00FA74C5">
        <w:rPr>
          <w:i/>
          <w:iCs/>
          <w:shd w:val="clear" w:color="auto" w:fill="FFFFFF"/>
        </w:rPr>
        <w:t>International journal of clinical and health psychology</w:t>
      </w:r>
      <w:r w:rsidRPr="00FA74C5">
        <w:rPr>
          <w:shd w:val="clear" w:color="auto" w:fill="FFFFFF"/>
        </w:rPr>
        <w:t>, </w:t>
      </w:r>
      <w:r w:rsidRPr="00FA74C5">
        <w:rPr>
          <w:i/>
          <w:iCs/>
          <w:shd w:val="clear" w:color="auto" w:fill="FFFFFF"/>
        </w:rPr>
        <w:t>24</w:t>
      </w:r>
      <w:r w:rsidRPr="00FA74C5">
        <w:rPr>
          <w:shd w:val="clear" w:color="auto" w:fill="FFFFFF"/>
        </w:rPr>
        <w:t xml:space="preserve">(4), 100512. </w:t>
      </w:r>
      <w:hyperlink r:id="rId12" w:history="1">
        <w:r w:rsidRPr="00FA74C5">
          <w:rPr>
            <w:rStyle w:val="Hyperlink"/>
            <w:shd w:val="clear" w:color="auto" w:fill="FFFFFF"/>
          </w:rPr>
          <w:t>https://doi.org/10.1016/j.ijchp.2024.100512</w:t>
        </w:r>
      </w:hyperlink>
      <w:r w:rsidRPr="00FA74C5">
        <w:rPr>
          <w:shd w:val="clear" w:color="auto" w:fill="FFFFFF"/>
        </w:rPr>
        <w:t xml:space="preserve"> </w:t>
      </w:r>
    </w:p>
    <w:p w14:paraId="7080326A" w14:textId="42E6A8D4" w:rsidR="00FA74C5" w:rsidRPr="00FA74C5" w:rsidRDefault="00FA74C5" w:rsidP="00FA74C5">
      <w:pPr>
        <w:rPr>
          <w:shd w:val="clear" w:color="auto" w:fill="FFFFFF"/>
        </w:rPr>
      </w:pPr>
      <w:r w:rsidRPr="00FA74C5">
        <w:rPr>
          <w:shd w:val="clear" w:color="auto" w:fill="FFFFFF"/>
        </w:rPr>
        <w:t xml:space="preserve">Hansen </w:t>
      </w:r>
      <w:proofErr w:type="spellStart"/>
      <w:r w:rsidRPr="00FA74C5">
        <w:rPr>
          <w:shd w:val="clear" w:color="auto" w:fill="FFFFFF"/>
        </w:rPr>
        <w:t>Sandseter</w:t>
      </w:r>
      <w:proofErr w:type="spellEnd"/>
      <w:r w:rsidRPr="00FA74C5">
        <w:rPr>
          <w:shd w:val="clear" w:color="auto" w:fill="FFFFFF"/>
        </w:rPr>
        <w:t xml:space="preserve">, E. B., </w:t>
      </w:r>
      <w:proofErr w:type="spellStart"/>
      <w:r w:rsidRPr="00FA74C5">
        <w:rPr>
          <w:shd w:val="clear" w:color="auto" w:fill="FFFFFF"/>
        </w:rPr>
        <w:t>Kleppe</w:t>
      </w:r>
      <w:proofErr w:type="spellEnd"/>
      <w:r w:rsidRPr="00FA74C5">
        <w:rPr>
          <w:shd w:val="clear" w:color="auto" w:fill="FFFFFF"/>
        </w:rPr>
        <w:t xml:space="preserve">, R., </w:t>
      </w:r>
      <w:r w:rsidR="006F5AD4" w:rsidRPr="006F5AD4">
        <w:t>and</w:t>
      </w:r>
      <w:r w:rsidR="006F5AD4" w:rsidRPr="00FA74C5">
        <w:rPr>
          <w:shd w:val="clear" w:color="auto" w:fill="FFFFFF"/>
        </w:rPr>
        <w:t xml:space="preserve"> </w:t>
      </w:r>
      <w:proofErr w:type="spellStart"/>
      <w:r w:rsidR="00B763F0">
        <w:rPr>
          <w:shd w:val="clear" w:color="auto" w:fill="FFFFFF"/>
        </w:rPr>
        <w:t>Ottesen</w:t>
      </w:r>
      <w:proofErr w:type="spellEnd"/>
      <w:r w:rsidR="00B763F0">
        <w:rPr>
          <w:shd w:val="clear" w:color="auto" w:fill="FFFFFF"/>
        </w:rPr>
        <w:t xml:space="preserve"> </w:t>
      </w:r>
      <w:proofErr w:type="spellStart"/>
      <w:r w:rsidR="00B763F0">
        <w:rPr>
          <w:shd w:val="clear" w:color="auto" w:fill="FFFFFF"/>
        </w:rPr>
        <w:t>Kennair</w:t>
      </w:r>
      <w:proofErr w:type="spellEnd"/>
      <w:r w:rsidR="00B763F0">
        <w:rPr>
          <w:shd w:val="clear" w:color="auto" w:fill="FFFFFF"/>
        </w:rPr>
        <w:t>, L. E. (2023)</w:t>
      </w:r>
      <w:r w:rsidRPr="00FA74C5">
        <w:rPr>
          <w:shd w:val="clear" w:color="auto" w:fill="FFFFFF"/>
        </w:rPr>
        <w:t xml:space="preserve"> Risky play in children’s emotion regulation, social functioning, and physical health: an evolutionary approach. </w:t>
      </w:r>
      <w:r w:rsidRPr="00FA74C5">
        <w:rPr>
          <w:i/>
          <w:iCs/>
          <w:shd w:val="clear" w:color="auto" w:fill="FFFFFF"/>
        </w:rPr>
        <w:t>International journal of play</w:t>
      </w:r>
      <w:r w:rsidRPr="00FA74C5">
        <w:rPr>
          <w:shd w:val="clear" w:color="auto" w:fill="FFFFFF"/>
        </w:rPr>
        <w:t>, </w:t>
      </w:r>
      <w:r w:rsidRPr="00FA74C5">
        <w:rPr>
          <w:i/>
          <w:iCs/>
          <w:shd w:val="clear" w:color="auto" w:fill="FFFFFF"/>
        </w:rPr>
        <w:t>12</w:t>
      </w:r>
      <w:r w:rsidRPr="00FA74C5">
        <w:rPr>
          <w:shd w:val="clear" w:color="auto" w:fill="FFFFFF"/>
        </w:rPr>
        <w:t xml:space="preserve">(1), 127-139. </w:t>
      </w:r>
      <w:hyperlink r:id="rId13" w:history="1">
        <w:r w:rsidRPr="00FA74C5">
          <w:rPr>
            <w:rStyle w:val="Hyperlink"/>
            <w:shd w:val="clear" w:color="auto" w:fill="FFFFFF"/>
          </w:rPr>
          <w:t>https://doi.org/10.1080/21594937.2022.2152531</w:t>
        </w:r>
      </w:hyperlink>
      <w:r w:rsidRPr="00FA74C5">
        <w:rPr>
          <w:shd w:val="clear" w:color="auto" w:fill="FFFFFF"/>
        </w:rPr>
        <w:t xml:space="preserve"> </w:t>
      </w:r>
    </w:p>
    <w:p w14:paraId="011AF723" w14:textId="048D8255" w:rsidR="00FA74C5" w:rsidRDefault="00FA74C5" w:rsidP="00FA74C5">
      <w:proofErr w:type="spellStart"/>
      <w:r w:rsidRPr="00FA74C5">
        <w:rPr>
          <w:shd w:val="clear" w:color="auto" w:fill="FFFFFF"/>
        </w:rPr>
        <w:t>Modak</w:t>
      </w:r>
      <w:proofErr w:type="spellEnd"/>
      <w:r w:rsidRPr="00FA74C5">
        <w:rPr>
          <w:shd w:val="clear" w:color="auto" w:fill="FFFFFF"/>
        </w:rPr>
        <w:t xml:space="preserve">, A., </w:t>
      </w:r>
      <w:proofErr w:type="spellStart"/>
      <w:r w:rsidRPr="00FA74C5">
        <w:rPr>
          <w:shd w:val="clear" w:color="auto" w:fill="FFFFFF"/>
        </w:rPr>
        <w:t>Ronghe</w:t>
      </w:r>
      <w:proofErr w:type="spellEnd"/>
      <w:r w:rsidRPr="00FA74C5">
        <w:rPr>
          <w:shd w:val="clear" w:color="auto" w:fill="FFFFFF"/>
        </w:rPr>
        <w:t xml:space="preserve">, V., </w:t>
      </w:r>
      <w:proofErr w:type="spellStart"/>
      <w:r w:rsidRPr="00FA74C5">
        <w:rPr>
          <w:shd w:val="clear" w:color="auto" w:fill="FFFFFF"/>
        </w:rPr>
        <w:t>Gomase</w:t>
      </w:r>
      <w:proofErr w:type="spellEnd"/>
      <w:r w:rsidRPr="00FA74C5">
        <w:rPr>
          <w:shd w:val="clear" w:color="auto" w:fill="FFFFFF"/>
        </w:rPr>
        <w:t xml:space="preserve">, K. P., </w:t>
      </w:r>
      <w:r w:rsidR="00485F25" w:rsidRPr="006F5AD4">
        <w:t>and</w:t>
      </w:r>
      <w:r w:rsidR="00485F25" w:rsidRPr="00FA74C5">
        <w:rPr>
          <w:shd w:val="clear" w:color="auto" w:fill="FFFFFF"/>
        </w:rPr>
        <w:t xml:space="preserve"> </w:t>
      </w:r>
      <w:proofErr w:type="spellStart"/>
      <w:r w:rsidR="00B763F0">
        <w:rPr>
          <w:shd w:val="clear" w:color="auto" w:fill="FFFFFF"/>
        </w:rPr>
        <w:t>Dukare</w:t>
      </w:r>
      <w:proofErr w:type="spellEnd"/>
      <w:r w:rsidR="00B763F0">
        <w:rPr>
          <w:shd w:val="clear" w:color="auto" w:fill="FFFFFF"/>
        </w:rPr>
        <w:t>, K. P. (2023)</w:t>
      </w:r>
      <w:r w:rsidRPr="00FA74C5">
        <w:rPr>
          <w:shd w:val="clear" w:color="auto" w:fill="FFFFFF"/>
        </w:rPr>
        <w:t xml:space="preserve"> The psychological benefits of breastfeeding: fostering maternal well-being and child development. </w:t>
      </w:r>
      <w:proofErr w:type="spellStart"/>
      <w:r w:rsidRPr="00FA74C5">
        <w:rPr>
          <w:i/>
          <w:iCs/>
          <w:shd w:val="clear" w:color="auto" w:fill="FFFFFF"/>
        </w:rPr>
        <w:t>Cureus</w:t>
      </w:r>
      <w:proofErr w:type="spellEnd"/>
      <w:r w:rsidRPr="00FA74C5">
        <w:rPr>
          <w:shd w:val="clear" w:color="auto" w:fill="FFFFFF"/>
        </w:rPr>
        <w:t>, </w:t>
      </w:r>
      <w:r w:rsidRPr="00FA74C5">
        <w:rPr>
          <w:i/>
          <w:iCs/>
          <w:shd w:val="clear" w:color="auto" w:fill="FFFFFF"/>
        </w:rPr>
        <w:t>15</w:t>
      </w:r>
      <w:r w:rsidRPr="00FA74C5">
        <w:rPr>
          <w:shd w:val="clear" w:color="auto" w:fill="FFFFFF"/>
        </w:rPr>
        <w:t xml:space="preserve">(10). </w:t>
      </w:r>
      <w:r>
        <w:t>DOI: 10.7759/cureus.46730</w:t>
      </w:r>
    </w:p>
    <w:p w14:paraId="0287991D" w14:textId="33ADF0EC" w:rsidR="00FA74C5" w:rsidRPr="00FA74C5" w:rsidRDefault="00FA74C5" w:rsidP="00FA74C5">
      <w:pPr>
        <w:rPr>
          <w:shd w:val="clear" w:color="auto" w:fill="FFFFFF"/>
        </w:rPr>
      </w:pPr>
      <w:r w:rsidRPr="00FA74C5">
        <w:rPr>
          <w:shd w:val="clear" w:color="auto" w:fill="FFFFFF"/>
        </w:rPr>
        <w:lastRenderedPageBreak/>
        <w:t xml:space="preserve">Norwich, B., Moore, D., </w:t>
      </w:r>
      <w:proofErr w:type="spellStart"/>
      <w:r w:rsidRPr="00FA74C5">
        <w:rPr>
          <w:shd w:val="clear" w:color="auto" w:fill="FFFFFF"/>
        </w:rPr>
        <w:t>Stentiford</w:t>
      </w:r>
      <w:proofErr w:type="spellEnd"/>
      <w:r w:rsidRPr="00FA74C5">
        <w:rPr>
          <w:shd w:val="clear" w:color="auto" w:fill="FFFFFF"/>
        </w:rPr>
        <w:t xml:space="preserve">, L., </w:t>
      </w:r>
      <w:r w:rsidR="00A91946" w:rsidRPr="006F5AD4">
        <w:t>and</w:t>
      </w:r>
      <w:r w:rsidR="00A91946" w:rsidRPr="00FA74C5">
        <w:rPr>
          <w:shd w:val="clear" w:color="auto" w:fill="FFFFFF"/>
        </w:rPr>
        <w:t xml:space="preserve"> </w:t>
      </w:r>
      <w:r w:rsidR="00B763F0">
        <w:rPr>
          <w:shd w:val="clear" w:color="auto" w:fill="FFFFFF"/>
        </w:rPr>
        <w:t>Hall, D. (2022)</w:t>
      </w:r>
      <w:r w:rsidRPr="00FA74C5">
        <w:rPr>
          <w:shd w:val="clear" w:color="auto" w:fill="FFFFFF"/>
        </w:rPr>
        <w:t xml:space="preserve"> A critical consideration of ‘mental health and </w:t>
      </w:r>
      <w:proofErr w:type="spellStart"/>
      <w:r w:rsidRPr="00FA74C5">
        <w:rPr>
          <w:shd w:val="clear" w:color="auto" w:fill="FFFFFF"/>
        </w:rPr>
        <w:t>wellbeing’in</w:t>
      </w:r>
      <w:proofErr w:type="spellEnd"/>
      <w:r w:rsidRPr="00FA74C5">
        <w:rPr>
          <w:shd w:val="clear" w:color="auto" w:fill="FFFFFF"/>
        </w:rPr>
        <w:t xml:space="preserve"> education: Thinking about school aims in terms of wellbeing. </w:t>
      </w:r>
      <w:r w:rsidRPr="00FA74C5">
        <w:rPr>
          <w:i/>
          <w:iCs/>
          <w:shd w:val="clear" w:color="auto" w:fill="FFFFFF"/>
        </w:rPr>
        <w:t>British Educational Research Journal</w:t>
      </w:r>
      <w:r w:rsidRPr="00FA74C5">
        <w:rPr>
          <w:shd w:val="clear" w:color="auto" w:fill="FFFFFF"/>
        </w:rPr>
        <w:t>, </w:t>
      </w:r>
      <w:r w:rsidRPr="00FA74C5">
        <w:rPr>
          <w:i/>
          <w:iCs/>
          <w:shd w:val="clear" w:color="auto" w:fill="FFFFFF"/>
        </w:rPr>
        <w:t>48</w:t>
      </w:r>
      <w:r w:rsidRPr="00FA74C5">
        <w:rPr>
          <w:shd w:val="clear" w:color="auto" w:fill="FFFFFF"/>
        </w:rPr>
        <w:t xml:space="preserve">(4), 803-820. </w:t>
      </w:r>
      <w:hyperlink r:id="rId14" w:history="1">
        <w:r w:rsidRPr="00FA74C5">
          <w:rPr>
            <w:rStyle w:val="Hyperlink"/>
            <w:shd w:val="clear" w:color="auto" w:fill="FFFFFF"/>
          </w:rPr>
          <w:t>https://doi.org/10.1002/berj.3795</w:t>
        </w:r>
      </w:hyperlink>
      <w:r w:rsidRPr="00FA74C5">
        <w:rPr>
          <w:shd w:val="clear" w:color="auto" w:fill="FFFFFF"/>
        </w:rPr>
        <w:t xml:space="preserve"> </w:t>
      </w:r>
    </w:p>
    <w:p w14:paraId="2709A523" w14:textId="053DC3AA" w:rsidR="00FA74C5" w:rsidRPr="00FA74C5" w:rsidRDefault="00FA74C5" w:rsidP="00FA74C5">
      <w:pPr>
        <w:rPr>
          <w:shd w:val="clear" w:color="auto" w:fill="FFFFFF"/>
        </w:rPr>
      </w:pPr>
      <w:r w:rsidRPr="00FA74C5">
        <w:rPr>
          <w:shd w:val="clear" w:color="auto" w:fill="FFFFFF"/>
        </w:rPr>
        <w:t xml:space="preserve">Park, C. L., </w:t>
      </w:r>
      <w:proofErr w:type="spellStart"/>
      <w:r w:rsidRPr="00FA74C5">
        <w:rPr>
          <w:shd w:val="clear" w:color="auto" w:fill="FFFFFF"/>
        </w:rPr>
        <w:t>Kubzansky</w:t>
      </w:r>
      <w:proofErr w:type="spellEnd"/>
      <w:r w:rsidRPr="00FA74C5">
        <w:rPr>
          <w:shd w:val="clear" w:color="auto" w:fill="FFFFFF"/>
        </w:rPr>
        <w:t xml:space="preserve">, L. D., </w:t>
      </w:r>
      <w:proofErr w:type="spellStart"/>
      <w:r w:rsidRPr="00FA74C5">
        <w:rPr>
          <w:shd w:val="clear" w:color="auto" w:fill="FFFFFF"/>
        </w:rPr>
        <w:t>Chafouleas</w:t>
      </w:r>
      <w:proofErr w:type="spellEnd"/>
      <w:r w:rsidRPr="00FA74C5">
        <w:rPr>
          <w:shd w:val="clear" w:color="auto" w:fill="FFFFFF"/>
        </w:rPr>
        <w:t xml:space="preserve">, S. M., Davidson, R. J., </w:t>
      </w:r>
      <w:proofErr w:type="spellStart"/>
      <w:r w:rsidRPr="00FA74C5">
        <w:rPr>
          <w:shd w:val="clear" w:color="auto" w:fill="FFFFFF"/>
        </w:rPr>
        <w:t>Keltner</w:t>
      </w:r>
      <w:proofErr w:type="spellEnd"/>
      <w:r w:rsidRPr="00FA74C5">
        <w:rPr>
          <w:shd w:val="clear" w:color="auto" w:fill="FFFFFF"/>
        </w:rPr>
        <w:t xml:space="preserve">, D., </w:t>
      </w:r>
      <w:proofErr w:type="spellStart"/>
      <w:r w:rsidRPr="00FA74C5">
        <w:rPr>
          <w:shd w:val="clear" w:color="auto" w:fill="FFFFFF"/>
        </w:rPr>
        <w:t>Parsafar</w:t>
      </w:r>
      <w:proofErr w:type="spellEnd"/>
      <w:r w:rsidRPr="00FA74C5">
        <w:rPr>
          <w:shd w:val="clear" w:color="auto" w:fill="FFFFFF"/>
        </w:rPr>
        <w:t xml:space="preserve">, P., ... </w:t>
      </w:r>
      <w:r w:rsidR="004051B3" w:rsidRPr="006F5AD4">
        <w:t>and</w:t>
      </w:r>
      <w:r w:rsidR="004051B3" w:rsidRPr="00FA74C5">
        <w:rPr>
          <w:shd w:val="clear" w:color="auto" w:fill="FFFFFF"/>
        </w:rPr>
        <w:t xml:space="preserve"> </w:t>
      </w:r>
      <w:r w:rsidR="00B763F0">
        <w:rPr>
          <w:shd w:val="clear" w:color="auto" w:fill="FFFFFF"/>
        </w:rPr>
        <w:t>Wang, K. H. (2023)</w:t>
      </w:r>
      <w:r w:rsidRPr="00FA74C5">
        <w:rPr>
          <w:shd w:val="clear" w:color="auto" w:fill="FFFFFF"/>
        </w:rPr>
        <w:t xml:space="preserve"> Emotional well-being: What it is and why it matters. </w:t>
      </w:r>
      <w:r w:rsidRPr="00FA74C5">
        <w:rPr>
          <w:i/>
          <w:iCs/>
          <w:shd w:val="clear" w:color="auto" w:fill="FFFFFF"/>
        </w:rPr>
        <w:t>Affective Science</w:t>
      </w:r>
      <w:r w:rsidRPr="00FA74C5">
        <w:rPr>
          <w:shd w:val="clear" w:color="auto" w:fill="FFFFFF"/>
        </w:rPr>
        <w:t>, </w:t>
      </w:r>
      <w:r w:rsidRPr="00FA74C5">
        <w:rPr>
          <w:i/>
          <w:iCs/>
          <w:shd w:val="clear" w:color="auto" w:fill="FFFFFF"/>
        </w:rPr>
        <w:t>4</w:t>
      </w:r>
      <w:r w:rsidRPr="00FA74C5">
        <w:rPr>
          <w:shd w:val="clear" w:color="auto" w:fill="FFFFFF"/>
        </w:rPr>
        <w:t xml:space="preserve">(1), 10-20. </w:t>
      </w:r>
      <w:hyperlink r:id="rId15" w:history="1">
        <w:r w:rsidRPr="00FA74C5">
          <w:rPr>
            <w:rStyle w:val="Hyperlink"/>
            <w:shd w:val="clear" w:color="auto" w:fill="FFFFFF"/>
          </w:rPr>
          <w:t>https://link.springer.com/article/10.1007/s42761-022-00163-0</w:t>
        </w:r>
      </w:hyperlink>
      <w:r w:rsidRPr="00FA74C5">
        <w:rPr>
          <w:shd w:val="clear" w:color="auto" w:fill="FFFFFF"/>
        </w:rPr>
        <w:t xml:space="preserve"> </w:t>
      </w:r>
    </w:p>
    <w:p w14:paraId="3810E626" w14:textId="455C38A4" w:rsidR="00FA74C5" w:rsidRPr="00FA74C5" w:rsidRDefault="00FA74C5" w:rsidP="00FA74C5">
      <w:pPr>
        <w:rPr>
          <w:rFonts w:cs="Arial"/>
          <w:color w:val="3B3030"/>
          <w:sz w:val="21"/>
          <w:szCs w:val="21"/>
          <w:shd w:val="clear" w:color="auto" w:fill="FFFFFF"/>
        </w:rPr>
      </w:pPr>
      <w:proofErr w:type="spellStart"/>
      <w:r w:rsidRPr="00FA74C5">
        <w:rPr>
          <w:shd w:val="clear" w:color="auto" w:fill="FFFFFF"/>
        </w:rPr>
        <w:t>Subramanyam</w:t>
      </w:r>
      <w:proofErr w:type="spellEnd"/>
      <w:r w:rsidRPr="00FA74C5">
        <w:rPr>
          <w:shd w:val="clear" w:color="auto" w:fill="FFFFFF"/>
        </w:rPr>
        <w:t xml:space="preserve">, A. A., </w:t>
      </w:r>
      <w:proofErr w:type="spellStart"/>
      <w:r w:rsidRPr="00FA74C5">
        <w:rPr>
          <w:shd w:val="clear" w:color="auto" w:fill="FFFFFF"/>
        </w:rPr>
        <w:t>Somaiya</w:t>
      </w:r>
      <w:proofErr w:type="spellEnd"/>
      <w:r w:rsidRPr="00FA74C5">
        <w:rPr>
          <w:shd w:val="clear" w:color="auto" w:fill="FFFFFF"/>
        </w:rPr>
        <w:t xml:space="preserve">, M., </w:t>
      </w:r>
      <w:r w:rsidR="00D56DED" w:rsidRPr="006F5AD4">
        <w:t>and</w:t>
      </w:r>
      <w:r w:rsidR="00D56DED" w:rsidRPr="00FA74C5">
        <w:rPr>
          <w:shd w:val="clear" w:color="auto" w:fill="FFFFFF"/>
        </w:rPr>
        <w:t xml:space="preserve"> </w:t>
      </w:r>
      <w:r w:rsidR="00B763F0">
        <w:rPr>
          <w:shd w:val="clear" w:color="auto" w:fill="FFFFFF"/>
        </w:rPr>
        <w:t>De Sousa, A. (2024)</w:t>
      </w:r>
      <w:r w:rsidRPr="00FA74C5">
        <w:rPr>
          <w:shd w:val="clear" w:color="auto" w:fill="FFFFFF"/>
        </w:rPr>
        <w:t xml:space="preserve"> Mental health and well-being in children and adolescents. </w:t>
      </w:r>
      <w:r w:rsidRPr="00FA74C5">
        <w:rPr>
          <w:i/>
          <w:iCs/>
          <w:shd w:val="clear" w:color="auto" w:fill="FFFFFF"/>
        </w:rPr>
        <w:t>Indian Journal of Psychiatry</w:t>
      </w:r>
      <w:r w:rsidRPr="00FA74C5">
        <w:rPr>
          <w:shd w:val="clear" w:color="auto" w:fill="FFFFFF"/>
        </w:rPr>
        <w:t>, </w:t>
      </w:r>
      <w:r w:rsidRPr="00FA74C5">
        <w:rPr>
          <w:i/>
          <w:iCs/>
          <w:shd w:val="clear" w:color="auto" w:fill="FFFFFF"/>
        </w:rPr>
        <w:t>66</w:t>
      </w:r>
      <w:r w:rsidRPr="00FA74C5">
        <w:rPr>
          <w:shd w:val="clear" w:color="auto" w:fill="FFFFFF"/>
        </w:rPr>
        <w:t>(</w:t>
      </w:r>
      <w:proofErr w:type="spellStart"/>
      <w:r w:rsidRPr="00FA74C5">
        <w:rPr>
          <w:shd w:val="clear" w:color="auto" w:fill="FFFFFF"/>
        </w:rPr>
        <w:t>Suppl</w:t>
      </w:r>
      <w:proofErr w:type="spellEnd"/>
      <w:r w:rsidRPr="00FA74C5">
        <w:rPr>
          <w:shd w:val="clear" w:color="auto" w:fill="FFFFFF"/>
        </w:rPr>
        <w:t xml:space="preserve"> 2), S304-S319. </w:t>
      </w:r>
      <w:r w:rsidRPr="00FA74C5">
        <w:rPr>
          <w:rFonts w:cs="Arial"/>
          <w:color w:val="3B3030"/>
          <w:sz w:val="21"/>
          <w:szCs w:val="21"/>
          <w:shd w:val="clear" w:color="auto" w:fill="FFFFFF"/>
        </w:rPr>
        <w:t xml:space="preserve">10.4103/indianjpsychiatry.indianjpsychiatry_624_23 </w:t>
      </w:r>
    </w:p>
    <w:p w14:paraId="7B5A145C" w14:textId="1EB5CC2C" w:rsidR="00FA74C5" w:rsidRPr="00FA74C5" w:rsidRDefault="00FA74C5" w:rsidP="00FA74C5">
      <w:pPr>
        <w:rPr>
          <w:shd w:val="clear" w:color="auto" w:fill="FFFFFF"/>
        </w:rPr>
      </w:pPr>
      <w:proofErr w:type="spellStart"/>
      <w:r w:rsidRPr="00FA74C5">
        <w:rPr>
          <w:shd w:val="clear" w:color="auto" w:fill="FFFFFF"/>
        </w:rPr>
        <w:t>Syakhrani</w:t>
      </w:r>
      <w:proofErr w:type="spellEnd"/>
      <w:r w:rsidRPr="00FA74C5">
        <w:rPr>
          <w:shd w:val="clear" w:color="auto" w:fill="FFFFFF"/>
        </w:rPr>
        <w:t xml:space="preserve">, A. W., </w:t>
      </w:r>
      <w:r w:rsidR="00C64626" w:rsidRPr="006F5AD4">
        <w:t>and</w:t>
      </w:r>
      <w:r w:rsidR="00C64626" w:rsidRPr="00FA74C5">
        <w:rPr>
          <w:shd w:val="clear" w:color="auto" w:fill="FFFFFF"/>
        </w:rPr>
        <w:t xml:space="preserve"> </w:t>
      </w:r>
      <w:r w:rsidR="00C01E97">
        <w:rPr>
          <w:shd w:val="clear" w:color="auto" w:fill="FFFFFF"/>
        </w:rPr>
        <w:t>Aslan, A. (2024)</w:t>
      </w:r>
      <w:r w:rsidRPr="00FA74C5">
        <w:rPr>
          <w:shd w:val="clear" w:color="auto" w:fill="FFFFFF"/>
        </w:rPr>
        <w:t xml:space="preserve"> The impact of informal family education on children's social and emotional skills. </w:t>
      </w:r>
      <w:r w:rsidRPr="00FA74C5">
        <w:rPr>
          <w:i/>
          <w:iCs/>
          <w:shd w:val="clear" w:color="auto" w:fill="FFFFFF"/>
        </w:rPr>
        <w:t>Indonesian Journal of Education (INJOE)</w:t>
      </w:r>
      <w:r w:rsidRPr="00FA74C5">
        <w:rPr>
          <w:shd w:val="clear" w:color="auto" w:fill="FFFFFF"/>
        </w:rPr>
        <w:t>, </w:t>
      </w:r>
      <w:r w:rsidRPr="00FA74C5">
        <w:rPr>
          <w:i/>
          <w:iCs/>
          <w:shd w:val="clear" w:color="auto" w:fill="FFFFFF"/>
        </w:rPr>
        <w:t>3</w:t>
      </w:r>
      <w:r w:rsidRPr="00FA74C5">
        <w:rPr>
          <w:shd w:val="clear" w:color="auto" w:fill="FFFFFF"/>
        </w:rPr>
        <w:t xml:space="preserve">(3), 619-631. </w:t>
      </w:r>
      <w:hyperlink r:id="rId16" w:history="1">
        <w:r w:rsidRPr="00FA74C5">
          <w:rPr>
            <w:rStyle w:val="Hyperlink"/>
            <w:shd w:val="clear" w:color="auto" w:fill="FFFFFF"/>
          </w:rPr>
          <w:t>https://felifa.net/index.php/INJOE/article/view/225</w:t>
        </w:r>
      </w:hyperlink>
      <w:r w:rsidRPr="00FA74C5">
        <w:rPr>
          <w:shd w:val="clear" w:color="auto" w:fill="FFFFFF"/>
        </w:rPr>
        <w:t xml:space="preserve"> </w:t>
      </w:r>
    </w:p>
    <w:p w14:paraId="05CC2A09" w14:textId="117F235B" w:rsidR="00475688" w:rsidRPr="00FA74C5" w:rsidRDefault="00FA74C5" w:rsidP="00FA74C5">
      <w:pPr>
        <w:rPr>
          <w:shd w:val="clear" w:color="auto" w:fill="FFFFFF"/>
        </w:rPr>
      </w:pPr>
      <w:r w:rsidRPr="00FA74C5">
        <w:rPr>
          <w:shd w:val="clear" w:color="auto" w:fill="FFFFFF"/>
        </w:rPr>
        <w:t>Wo</w:t>
      </w:r>
      <w:r w:rsidR="00EB1EA5">
        <w:rPr>
          <w:shd w:val="clear" w:color="auto" w:fill="FFFFFF"/>
        </w:rPr>
        <w:t>rld Health Organization. (2024)</w:t>
      </w:r>
      <w:r w:rsidR="00EB1EA5" w:rsidRPr="00FA74C5">
        <w:rPr>
          <w:shd w:val="clear" w:color="auto" w:fill="FFFFFF"/>
        </w:rPr>
        <w:t xml:space="preserve"> </w:t>
      </w:r>
      <w:r w:rsidRPr="00FA74C5">
        <w:rPr>
          <w:shd w:val="clear" w:color="auto" w:fill="FFFFFF"/>
        </w:rPr>
        <w:t xml:space="preserve">Improving the health and wellbeing of children and adolescents: guidance on scheduled child and adolescent well-care visits. World Health Organization. </w:t>
      </w:r>
      <w:hyperlink r:id="rId17" w:anchor="v=onepage&amp;q=Discussing%20the%20wellbeing%20of%20children%2C%20it%20involves%20such%20aspects%20as%20their%20physical%2C%20emotional%2C%20social%2C%20and%20developmental%20needs&amp;f=false" w:history="1">
        <w:r w:rsidRPr="00FA74C5">
          <w:rPr>
            <w:rStyle w:val="Hyperlink"/>
            <w:shd w:val="clear" w:color="auto" w:fill="FFFFFF"/>
          </w:rPr>
          <w:t>https://books.google.co.in/books?hl=en&amp;lr=&amp;id=kaUOEQAAQBAJ&amp;oi=fnd&amp;pg=PR4&amp;dq=Discussing+the+wellbeing+of+children,+it+involves+such+aspects+as+their+physical,+emotional,+social,+and+developmental+needs&amp;ots=4Wl6Qd1P3-&amp;sig=xF0FLwONds5Udl8zLcbu9NBsL5M&amp;redir_esc=y#v=onepage&amp;q=Discussing%20the%20wellbeing%20of%20children%2C%20it%20involves%20such%20aspects%20as%20their%20physical%2C%20emotional%2C%20social%2C%20and%20developmental%20needs&amp;f=false</w:t>
        </w:r>
      </w:hyperlink>
      <w:r w:rsidRPr="00FA74C5">
        <w:rPr>
          <w:shd w:val="clear" w:color="auto" w:fill="FFFFFF"/>
        </w:rPr>
        <w:t xml:space="preserve"> </w:t>
      </w:r>
    </w:p>
    <w:sectPr w:rsidR="00475688" w:rsidRPr="00FA74C5">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4AEDCF" w14:textId="77777777" w:rsidR="00A70A5C" w:rsidRDefault="00A70A5C" w:rsidP="006F56F2">
      <w:pPr>
        <w:spacing w:after="0" w:line="240" w:lineRule="auto"/>
      </w:pPr>
      <w:r>
        <w:separator/>
      </w:r>
    </w:p>
  </w:endnote>
  <w:endnote w:type="continuationSeparator" w:id="0">
    <w:p w14:paraId="08338859" w14:textId="77777777" w:rsidR="00A70A5C" w:rsidRDefault="00A70A5C" w:rsidP="006F56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Courier New"/>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4828424"/>
      <w:docPartObj>
        <w:docPartGallery w:val="Page Numbers (Bottom of Page)"/>
        <w:docPartUnique/>
      </w:docPartObj>
    </w:sdtPr>
    <w:sdtEndPr>
      <w:rPr>
        <w:noProof/>
      </w:rPr>
    </w:sdtEndPr>
    <w:sdtContent>
      <w:p w14:paraId="07A28454" w14:textId="1A3C4C31" w:rsidR="006F56F2" w:rsidRDefault="006F56F2">
        <w:pPr>
          <w:pStyle w:val="Footer"/>
          <w:jc w:val="center"/>
        </w:pPr>
        <w:r>
          <w:fldChar w:fldCharType="begin"/>
        </w:r>
        <w:r>
          <w:instrText xml:space="preserve"> PAGE   \* MERGEFORMAT </w:instrText>
        </w:r>
        <w:r>
          <w:fldChar w:fldCharType="separate"/>
        </w:r>
        <w:r w:rsidR="00AB05ED">
          <w:rPr>
            <w:noProof/>
          </w:rPr>
          <w:t>1</w:t>
        </w:r>
        <w:r>
          <w:rPr>
            <w:noProof/>
          </w:rPr>
          <w:fldChar w:fldCharType="end"/>
        </w:r>
      </w:p>
    </w:sdtContent>
  </w:sdt>
  <w:p w14:paraId="23910AD7" w14:textId="77777777" w:rsidR="006F56F2" w:rsidRDefault="006F56F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C3F37B" w14:textId="77777777" w:rsidR="00A70A5C" w:rsidRDefault="00A70A5C" w:rsidP="006F56F2">
      <w:pPr>
        <w:spacing w:after="0" w:line="240" w:lineRule="auto"/>
      </w:pPr>
      <w:r>
        <w:separator/>
      </w:r>
    </w:p>
  </w:footnote>
  <w:footnote w:type="continuationSeparator" w:id="0">
    <w:p w14:paraId="22249F3F" w14:textId="77777777" w:rsidR="00A70A5C" w:rsidRDefault="00A70A5C" w:rsidP="006F56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12DD1"/>
    <w:multiLevelType w:val="multilevel"/>
    <w:tmpl w:val="DE888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E204EF"/>
    <w:multiLevelType w:val="multilevel"/>
    <w:tmpl w:val="F08CB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2D3D78"/>
    <w:multiLevelType w:val="multilevel"/>
    <w:tmpl w:val="D652C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9948C5"/>
    <w:multiLevelType w:val="multilevel"/>
    <w:tmpl w:val="FFC48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2F737B"/>
    <w:multiLevelType w:val="multilevel"/>
    <w:tmpl w:val="ECBA2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A07CA2"/>
    <w:multiLevelType w:val="multilevel"/>
    <w:tmpl w:val="38965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A34526"/>
    <w:multiLevelType w:val="multilevel"/>
    <w:tmpl w:val="0CEE82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E92967"/>
    <w:multiLevelType w:val="multilevel"/>
    <w:tmpl w:val="3A5EA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224DBA"/>
    <w:multiLevelType w:val="multilevel"/>
    <w:tmpl w:val="3EB2B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2D520B"/>
    <w:multiLevelType w:val="multilevel"/>
    <w:tmpl w:val="7DEC3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1971E8"/>
    <w:multiLevelType w:val="multilevel"/>
    <w:tmpl w:val="4C6AD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E93059"/>
    <w:multiLevelType w:val="multilevel"/>
    <w:tmpl w:val="ED382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792E8E"/>
    <w:multiLevelType w:val="multilevel"/>
    <w:tmpl w:val="716E2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C13D7E"/>
    <w:multiLevelType w:val="hybridMultilevel"/>
    <w:tmpl w:val="77D823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DA71A2"/>
    <w:multiLevelType w:val="multilevel"/>
    <w:tmpl w:val="32705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7B486A"/>
    <w:multiLevelType w:val="multilevel"/>
    <w:tmpl w:val="ABB00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463738"/>
    <w:multiLevelType w:val="multilevel"/>
    <w:tmpl w:val="5B647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202FA2"/>
    <w:multiLevelType w:val="multilevel"/>
    <w:tmpl w:val="16865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312889"/>
    <w:multiLevelType w:val="multilevel"/>
    <w:tmpl w:val="A9CA3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DF7985"/>
    <w:multiLevelType w:val="multilevel"/>
    <w:tmpl w:val="8AA20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05540D"/>
    <w:multiLevelType w:val="multilevel"/>
    <w:tmpl w:val="6BBC7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0F7647"/>
    <w:multiLevelType w:val="multilevel"/>
    <w:tmpl w:val="80B2A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9F72B7A"/>
    <w:multiLevelType w:val="multilevel"/>
    <w:tmpl w:val="37169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F1B4C26"/>
    <w:multiLevelType w:val="multilevel"/>
    <w:tmpl w:val="322E5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1526372"/>
    <w:multiLevelType w:val="multilevel"/>
    <w:tmpl w:val="9B742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BBE2B95"/>
    <w:multiLevelType w:val="multilevel"/>
    <w:tmpl w:val="474A7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03A2C73"/>
    <w:multiLevelType w:val="multilevel"/>
    <w:tmpl w:val="055E4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0D9063D"/>
    <w:multiLevelType w:val="multilevel"/>
    <w:tmpl w:val="0BD8A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1A35079"/>
    <w:multiLevelType w:val="multilevel"/>
    <w:tmpl w:val="EAAC8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39B520A"/>
    <w:multiLevelType w:val="multilevel"/>
    <w:tmpl w:val="0DDAB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56B5DB7"/>
    <w:multiLevelType w:val="multilevel"/>
    <w:tmpl w:val="F2D21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BF412EA"/>
    <w:multiLevelType w:val="multilevel"/>
    <w:tmpl w:val="BF663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7"/>
  </w:num>
  <w:num w:numId="3">
    <w:abstractNumId w:val="29"/>
  </w:num>
  <w:num w:numId="4">
    <w:abstractNumId w:val="1"/>
  </w:num>
  <w:num w:numId="5">
    <w:abstractNumId w:val="10"/>
  </w:num>
  <w:num w:numId="6">
    <w:abstractNumId w:val="19"/>
  </w:num>
  <w:num w:numId="7">
    <w:abstractNumId w:val="8"/>
  </w:num>
  <w:num w:numId="8">
    <w:abstractNumId w:val="3"/>
  </w:num>
  <w:num w:numId="9">
    <w:abstractNumId w:val="6"/>
  </w:num>
  <w:num w:numId="10">
    <w:abstractNumId w:val="27"/>
  </w:num>
  <w:num w:numId="11">
    <w:abstractNumId w:val="23"/>
  </w:num>
  <w:num w:numId="12">
    <w:abstractNumId w:val="14"/>
  </w:num>
  <w:num w:numId="13">
    <w:abstractNumId w:val="24"/>
  </w:num>
  <w:num w:numId="14">
    <w:abstractNumId w:val="11"/>
  </w:num>
  <w:num w:numId="15">
    <w:abstractNumId w:val="21"/>
  </w:num>
  <w:num w:numId="16">
    <w:abstractNumId w:val="5"/>
  </w:num>
  <w:num w:numId="17">
    <w:abstractNumId w:val="2"/>
  </w:num>
  <w:num w:numId="18">
    <w:abstractNumId w:val="22"/>
  </w:num>
  <w:num w:numId="19">
    <w:abstractNumId w:val="31"/>
  </w:num>
  <w:num w:numId="20">
    <w:abstractNumId w:val="0"/>
  </w:num>
  <w:num w:numId="21">
    <w:abstractNumId w:val="9"/>
  </w:num>
  <w:num w:numId="22">
    <w:abstractNumId w:val="15"/>
  </w:num>
  <w:num w:numId="23">
    <w:abstractNumId w:val="26"/>
  </w:num>
  <w:num w:numId="24">
    <w:abstractNumId w:val="20"/>
  </w:num>
  <w:num w:numId="25">
    <w:abstractNumId w:val="25"/>
  </w:num>
  <w:num w:numId="26">
    <w:abstractNumId w:val="17"/>
  </w:num>
  <w:num w:numId="27">
    <w:abstractNumId w:val="4"/>
  </w:num>
  <w:num w:numId="28">
    <w:abstractNumId w:val="28"/>
  </w:num>
  <w:num w:numId="29">
    <w:abstractNumId w:val="30"/>
  </w:num>
  <w:num w:numId="30">
    <w:abstractNumId w:val="12"/>
  </w:num>
  <w:num w:numId="31">
    <w:abstractNumId w:val="16"/>
  </w:num>
  <w:num w:numId="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6706"/>
    <w:rsid w:val="00062D04"/>
    <w:rsid w:val="00087E4D"/>
    <w:rsid w:val="000D3365"/>
    <w:rsid w:val="000F4981"/>
    <w:rsid w:val="001271C6"/>
    <w:rsid w:val="00144501"/>
    <w:rsid w:val="00160DB9"/>
    <w:rsid w:val="001E5710"/>
    <w:rsid w:val="002110D5"/>
    <w:rsid w:val="00221A7D"/>
    <w:rsid w:val="0022422C"/>
    <w:rsid w:val="00253EE5"/>
    <w:rsid w:val="002602F9"/>
    <w:rsid w:val="002903B0"/>
    <w:rsid w:val="002A080D"/>
    <w:rsid w:val="002D07CA"/>
    <w:rsid w:val="002E67DD"/>
    <w:rsid w:val="00342801"/>
    <w:rsid w:val="00342B8A"/>
    <w:rsid w:val="004051B3"/>
    <w:rsid w:val="004415C0"/>
    <w:rsid w:val="0044496E"/>
    <w:rsid w:val="00445FCD"/>
    <w:rsid w:val="00457C54"/>
    <w:rsid w:val="00475688"/>
    <w:rsid w:val="00476211"/>
    <w:rsid w:val="00485F25"/>
    <w:rsid w:val="0049160E"/>
    <w:rsid w:val="004A2535"/>
    <w:rsid w:val="004A3596"/>
    <w:rsid w:val="004B498D"/>
    <w:rsid w:val="0050151A"/>
    <w:rsid w:val="00502458"/>
    <w:rsid w:val="00541BCC"/>
    <w:rsid w:val="00576A67"/>
    <w:rsid w:val="005B0455"/>
    <w:rsid w:val="005B6B9D"/>
    <w:rsid w:val="00605D5A"/>
    <w:rsid w:val="00630C39"/>
    <w:rsid w:val="00686959"/>
    <w:rsid w:val="006955C0"/>
    <w:rsid w:val="006F56F2"/>
    <w:rsid w:val="006F5AD4"/>
    <w:rsid w:val="006F5E00"/>
    <w:rsid w:val="006F6D9F"/>
    <w:rsid w:val="00745C73"/>
    <w:rsid w:val="007812E0"/>
    <w:rsid w:val="00795C1A"/>
    <w:rsid w:val="007B617E"/>
    <w:rsid w:val="00847D87"/>
    <w:rsid w:val="00856D06"/>
    <w:rsid w:val="00861A39"/>
    <w:rsid w:val="008B26B4"/>
    <w:rsid w:val="008C3047"/>
    <w:rsid w:val="008D23EC"/>
    <w:rsid w:val="008D7E6E"/>
    <w:rsid w:val="008F21AC"/>
    <w:rsid w:val="008F72A2"/>
    <w:rsid w:val="00913AA2"/>
    <w:rsid w:val="0092160F"/>
    <w:rsid w:val="009758DE"/>
    <w:rsid w:val="009F75EF"/>
    <w:rsid w:val="00A1053B"/>
    <w:rsid w:val="00A47474"/>
    <w:rsid w:val="00A70A5C"/>
    <w:rsid w:val="00A91946"/>
    <w:rsid w:val="00AA0FD8"/>
    <w:rsid w:val="00AB05ED"/>
    <w:rsid w:val="00AB5B0D"/>
    <w:rsid w:val="00AD7B11"/>
    <w:rsid w:val="00AF5817"/>
    <w:rsid w:val="00B30468"/>
    <w:rsid w:val="00B34E65"/>
    <w:rsid w:val="00B763F0"/>
    <w:rsid w:val="00C01493"/>
    <w:rsid w:val="00C01E97"/>
    <w:rsid w:val="00C35E82"/>
    <w:rsid w:val="00C63F26"/>
    <w:rsid w:val="00C64626"/>
    <w:rsid w:val="00C970DD"/>
    <w:rsid w:val="00CC6706"/>
    <w:rsid w:val="00CD7F2E"/>
    <w:rsid w:val="00CE02C2"/>
    <w:rsid w:val="00CE063E"/>
    <w:rsid w:val="00CF655E"/>
    <w:rsid w:val="00D301F1"/>
    <w:rsid w:val="00D45BBB"/>
    <w:rsid w:val="00D56DED"/>
    <w:rsid w:val="00D57BD7"/>
    <w:rsid w:val="00DB4EB3"/>
    <w:rsid w:val="00DE17C2"/>
    <w:rsid w:val="00E35950"/>
    <w:rsid w:val="00E7363D"/>
    <w:rsid w:val="00E81984"/>
    <w:rsid w:val="00E91C39"/>
    <w:rsid w:val="00EA4BB8"/>
    <w:rsid w:val="00EB1EA5"/>
    <w:rsid w:val="00ED51F4"/>
    <w:rsid w:val="00EF6FDC"/>
    <w:rsid w:val="00F24598"/>
    <w:rsid w:val="00F47D9B"/>
    <w:rsid w:val="00F5021E"/>
    <w:rsid w:val="00F7624F"/>
    <w:rsid w:val="00F942DF"/>
    <w:rsid w:val="00FA74C5"/>
    <w:rsid w:val="00FC3EDA"/>
    <w:rsid w:val="00FF5AF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E5EF7"/>
  <w15:chartTrackingRefBased/>
  <w15:docId w15:val="{263D8CA8-5FCE-4B9C-8BDA-7B658F301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6706"/>
    <w:pPr>
      <w:spacing w:line="360" w:lineRule="auto"/>
      <w:jc w:val="both"/>
    </w:pPr>
    <w:rPr>
      <w:rFonts w:ascii="Arial" w:hAnsi="Arial"/>
      <w:sz w:val="22"/>
    </w:rPr>
  </w:style>
  <w:style w:type="paragraph" w:styleId="Heading1">
    <w:name w:val="heading 1"/>
    <w:basedOn w:val="Normal"/>
    <w:next w:val="Normal"/>
    <w:link w:val="Heading1Char"/>
    <w:uiPriority w:val="9"/>
    <w:qFormat/>
    <w:rsid w:val="00E7363D"/>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semiHidden/>
    <w:unhideWhenUsed/>
    <w:qFormat/>
    <w:rsid w:val="00E7363D"/>
    <w:pPr>
      <w:keepNext/>
      <w:keepLines/>
      <w:spacing w:before="160" w:after="80"/>
      <w:outlineLvl w:val="1"/>
    </w:pPr>
    <w:rPr>
      <w:rFonts w:eastAsiaTheme="majorEastAsia" w:cstheme="majorBidi"/>
      <w:sz w:val="26"/>
      <w:szCs w:val="32"/>
      <w:u w:val="single"/>
    </w:rPr>
  </w:style>
  <w:style w:type="paragraph" w:styleId="Heading3">
    <w:name w:val="heading 3"/>
    <w:basedOn w:val="Normal"/>
    <w:next w:val="Normal"/>
    <w:link w:val="Heading3Char"/>
    <w:uiPriority w:val="9"/>
    <w:semiHidden/>
    <w:unhideWhenUsed/>
    <w:qFormat/>
    <w:rsid w:val="00686959"/>
    <w:pPr>
      <w:keepNext/>
      <w:keepLines/>
      <w:spacing w:before="160" w:after="80"/>
      <w:outlineLvl w:val="2"/>
    </w:pPr>
    <w:rPr>
      <w:rFonts w:eastAsiaTheme="majorEastAsia" w:cstheme="majorBidi"/>
      <w:b/>
      <w:i/>
      <w:szCs w:val="28"/>
    </w:rPr>
  </w:style>
  <w:style w:type="paragraph" w:styleId="Heading4">
    <w:name w:val="heading 4"/>
    <w:basedOn w:val="Normal"/>
    <w:next w:val="Normal"/>
    <w:link w:val="Heading4Char"/>
    <w:uiPriority w:val="9"/>
    <w:semiHidden/>
    <w:unhideWhenUsed/>
    <w:qFormat/>
    <w:rsid w:val="00CC6706"/>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C6706"/>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CC670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C670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C670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C670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363D"/>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semiHidden/>
    <w:rsid w:val="00E7363D"/>
    <w:rPr>
      <w:rFonts w:ascii="Times New Roman" w:eastAsiaTheme="majorEastAsia" w:hAnsi="Times New Roman" w:cstheme="majorBidi"/>
      <w:sz w:val="26"/>
      <w:szCs w:val="32"/>
      <w:u w:val="single"/>
    </w:rPr>
  </w:style>
  <w:style w:type="paragraph" w:styleId="Title">
    <w:name w:val="Title"/>
    <w:basedOn w:val="Normal"/>
    <w:next w:val="Normal"/>
    <w:link w:val="TitleChar"/>
    <w:uiPriority w:val="10"/>
    <w:qFormat/>
    <w:rsid w:val="00E7363D"/>
    <w:pPr>
      <w:spacing w:after="80"/>
      <w:contextualSpacing/>
      <w:jc w:val="center"/>
    </w:pPr>
    <w:rPr>
      <w:rFonts w:eastAsiaTheme="majorEastAsia" w:cstheme="majorBidi"/>
      <w:b/>
      <w:i/>
      <w:spacing w:val="-10"/>
      <w:kern w:val="28"/>
      <w:sz w:val="56"/>
      <w:szCs w:val="56"/>
    </w:rPr>
  </w:style>
  <w:style w:type="character" w:customStyle="1" w:styleId="TitleChar">
    <w:name w:val="Title Char"/>
    <w:basedOn w:val="DefaultParagraphFont"/>
    <w:link w:val="Title"/>
    <w:uiPriority w:val="10"/>
    <w:rsid w:val="00E7363D"/>
    <w:rPr>
      <w:rFonts w:ascii="Times New Roman" w:eastAsiaTheme="majorEastAsia" w:hAnsi="Times New Roman" w:cstheme="majorBidi"/>
      <w:b/>
      <w:i/>
      <w:spacing w:val="-10"/>
      <w:kern w:val="28"/>
      <w:sz w:val="56"/>
      <w:szCs w:val="56"/>
    </w:rPr>
  </w:style>
  <w:style w:type="character" w:customStyle="1" w:styleId="Heading3Char">
    <w:name w:val="Heading 3 Char"/>
    <w:basedOn w:val="DefaultParagraphFont"/>
    <w:link w:val="Heading3"/>
    <w:uiPriority w:val="9"/>
    <w:semiHidden/>
    <w:rsid w:val="00686959"/>
    <w:rPr>
      <w:rFonts w:ascii="Times New Roman" w:eastAsiaTheme="majorEastAsia" w:hAnsi="Times New Roman" w:cstheme="majorBidi"/>
      <w:b/>
      <w:i/>
      <w:szCs w:val="28"/>
    </w:rPr>
  </w:style>
  <w:style w:type="character" w:customStyle="1" w:styleId="Heading4Char">
    <w:name w:val="Heading 4 Char"/>
    <w:basedOn w:val="DefaultParagraphFont"/>
    <w:link w:val="Heading4"/>
    <w:uiPriority w:val="9"/>
    <w:semiHidden/>
    <w:rsid w:val="00CC670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C670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C67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67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67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6706"/>
    <w:rPr>
      <w:rFonts w:eastAsiaTheme="majorEastAsia" w:cstheme="majorBidi"/>
      <w:color w:val="272727" w:themeColor="text1" w:themeTint="D8"/>
    </w:rPr>
  </w:style>
  <w:style w:type="paragraph" w:styleId="Subtitle">
    <w:name w:val="Subtitle"/>
    <w:basedOn w:val="Normal"/>
    <w:next w:val="Normal"/>
    <w:link w:val="SubtitleChar"/>
    <w:uiPriority w:val="11"/>
    <w:qFormat/>
    <w:rsid w:val="00CC670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67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6706"/>
    <w:pPr>
      <w:spacing w:before="160"/>
      <w:jc w:val="center"/>
    </w:pPr>
    <w:rPr>
      <w:i/>
      <w:iCs/>
      <w:color w:val="404040" w:themeColor="text1" w:themeTint="BF"/>
    </w:rPr>
  </w:style>
  <w:style w:type="character" w:customStyle="1" w:styleId="QuoteChar">
    <w:name w:val="Quote Char"/>
    <w:basedOn w:val="DefaultParagraphFont"/>
    <w:link w:val="Quote"/>
    <w:uiPriority w:val="29"/>
    <w:rsid w:val="00CC6706"/>
    <w:rPr>
      <w:rFonts w:ascii="Times New Roman" w:hAnsi="Times New Roman"/>
      <w:i/>
      <w:iCs/>
      <w:color w:val="404040" w:themeColor="text1" w:themeTint="BF"/>
    </w:rPr>
  </w:style>
  <w:style w:type="paragraph" w:styleId="ListParagraph">
    <w:name w:val="List Paragraph"/>
    <w:basedOn w:val="Normal"/>
    <w:uiPriority w:val="34"/>
    <w:qFormat/>
    <w:rsid w:val="00CC6706"/>
    <w:pPr>
      <w:ind w:left="720"/>
      <w:contextualSpacing/>
    </w:pPr>
  </w:style>
  <w:style w:type="character" w:styleId="IntenseEmphasis">
    <w:name w:val="Intense Emphasis"/>
    <w:basedOn w:val="DefaultParagraphFont"/>
    <w:uiPriority w:val="21"/>
    <w:qFormat/>
    <w:rsid w:val="00CC6706"/>
    <w:rPr>
      <w:i/>
      <w:iCs/>
      <w:color w:val="2F5496" w:themeColor="accent1" w:themeShade="BF"/>
    </w:rPr>
  </w:style>
  <w:style w:type="paragraph" w:styleId="IntenseQuote">
    <w:name w:val="Intense Quote"/>
    <w:basedOn w:val="Normal"/>
    <w:next w:val="Normal"/>
    <w:link w:val="IntenseQuoteChar"/>
    <w:uiPriority w:val="30"/>
    <w:qFormat/>
    <w:rsid w:val="00CC670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C6706"/>
    <w:rPr>
      <w:rFonts w:ascii="Times New Roman" w:hAnsi="Times New Roman"/>
      <w:i/>
      <w:iCs/>
      <w:color w:val="2F5496" w:themeColor="accent1" w:themeShade="BF"/>
    </w:rPr>
  </w:style>
  <w:style w:type="character" w:styleId="IntenseReference">
    <w:name w:val="Intense Reference"/>
    <w:basedOn w:val="DefaultParagraphFont"/>
    <w:uiPriority w:val="32"/>
    <w:qFormat/>
    <w:rsid w:val="00CC6706"/>
    <w:rPr>
      <w:b/>
      <w:bCs/>
      <w:smallCaps/>
      <w:color w:val="2F5496" w:themeColor="accent1" w:themeShade="BF"/>
      <w:spacing w:val="5"/>
    </w:rPr>
  </w:style>
  <w:style w:type="paragraph" w:styleId="NormalWeb">
    <w:name w:val="Normal (Web)"/>
    <w:basedOn w:val="Normal"/>
    <w:uiPriority w:val="99"/>
    <w:semiHidden/>
    <w:unhideWhenUsed/>
    <w:rsid w:val="00C970DD"/>
    <w:pPr>
      <w:spacing w:before="100" w:beforeAutospacing="1" w:after="100" w:afterAutospacing="1" w:line="240" w:lineRule="auto"/>
      <w:jc w:val="left"/>
    </w:pPr>
    <w:rPr>
      <w:rFonts w:ascii="Times New Roman" w:eastAsia="Times New Roman" w:hAnsi="Times New Roman" w:cs="Times New Roman"/>
      <w:kern w:val="0"/>
      <w:sz w:val="24"/>
      <w14:ligatures w14:val="none"/>
    </w:rPr>
  </w:style>
  <w:style w:type="paragraph" w:styleId="Header">
    <w:name w:val="header"/>
    <w:basedOn w:val="Normal"/>
    <w:link w:val="HeaderChar"/>
    <w:uiPriority w:val="99"/>
    <w:unhideWhenUsed/>
    <w:rsid w:val="006F56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56F2"/>
    <w:rPr>
      <w:rFonts w:ascii="Arial" w:hAnsi="Arial"/>
      <w:sz w:val="22"/>
    </w:rPr>
  </w:style>
  <w:style w:type="paragraph" w:styleId="Footer">
    <w:name w:val="footer"/>
    <w:basedOn w:val="Normal"/>
    <w:link w:val="FooterChar"/>
    <w:uiPriority w:val="99"/>
    <w:unhideWhenUsed/>
    <w:rsid w:val="006F56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56F2"/>
    <w:rPr>
      <w:rFonts w:ascii="Arial" w:hAnsi="Arial"/>
      <w:sz w:val="22"/>
    </w:rPr>
  </w:style>
  <w:style w:type="paragraph" w:styleId="TOCHeading">
    <w:name w:val="TOC Heading"/>
    <w:basedOn w:val="Heading1"/>
    <w:next w:val="Normal"/>
    <w:uiPriority w:val="39"/>
    <w:unhideWhenUsed/>
    <w:qFormat/>
    <w:rsid w:val="00FF5AF3"/>
    <w:pPr>
      <w:spacing w:before="240" w:after="0" w:line="259" w:lineRule="auto"/>
      <w:jc w:val="left"/>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FF5AF3"/>
    <w:pPr>
      <w:spacing w:after="100"/>
    </w:pPr>
  </w:style>
  <w:style w:type="character" w:styleId="Hyperlink">
    <w:name w:val="Hyperlink"/>
    <w:basedOn w:val="DefaultParagraphFont"/>
    <w:uiPriority w:val="99"/>
    <w:unhideWhenUsed/>
    <w:rsid w:val="00FF5AF3"/>
    <w:rPr>
      <w:color w:val="0563C1" w:themeColor="hyperlink"/>
      <w:u w:val="single"/>
    </w:rPr>
  </w:style>
  <w:style w:type="character" w:styleId="Emphasis">
    <w:name w:val="Emphasis"/>
    <w:basedOn w:val="DefaultParagraphFont"/>
    <w:uiPriority w:val="20"/>
    <w:qFormat/>
    <w:rsid w:val="0047568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18814">
      <w:bodyDiv w:val="1"/>
      <w:marLeft w:val="0"/>
      <w:marRight w:val="0"/>
      <w:marTop w:val="0"/>
      <w:marBottom w:val="0"/>
      <w:divBdr>
        <w:top w:val="none" w:sz="0" w:space="0" w:color="auto"/>
        <w:left w:val="none" w:sz="0" w:space="0" w:color="auto"/>
        <w:bottom w:val="none" w:sz="0" w:space="0" w:color="auto"/>
        <w:right w:val="none" w:sz="0" w:space="0" w:color="auto"/>
      </w:divBdr>
    </w:div>
    <w:div w:id="163514755">
      <w:bodyDiv w:val="1"/>
      <w:marLeft w:val="0"/>
      <w:marRight w:val="0"/>
      <w:marTop w:val="0"/>
      <w:marBottom w:val="0"/>
      <w:divBdr>
        <w:top w:val="none" w:sz="0" w:space="0" w:color="auto"/>
        <w:left w:val="none" w:sz="0" w:space="0" w:color="auto"/>
        <w:bottom w:val="none" w:sz="0" w:space="0" w:color="auto"/>
        <w:right w:val="none" w:sz="0" w:space="0" w:color="auto"/>
      </w:divBdr>
    </w:div>
    <w:div w:id="177700522">
      <w:bodyDiv w:val="1"/>
      <w:marLeft w:val="0"/>
      <w:marRight w:val="0"/>
      <w:marTop w:val="0"/>
      <w:marBottom w:val="0"/>
      <w:divBdr>
        <w:top w:val="none" w:sz="0" w:space="0" w:color="auto"/>
        <w:left w:val="none" w:sz="0" w:space="0" w:color="auto"/>
        <w:bottom w:val="none" w:sz="0" w:space="0" w:color="auto"/>
        <w:right w:val="none" w:sz="0" w:space="0" w:color="auto"/>
      </w:divBdr>
      <w:divsChild>
        <w:div w:id="1359313789">
          <w:marLeft w:val="0"/>
          <w:marRight w:val="0"/>
          <w:marTop w:val="0"/>
          <w:marBottom w:val="0"/>
          <w:divBdr>
            <w:top w:val="none" w:sz="0" w:space="0" w:color="auto"/>
            <w:left w:val="none" w:sz="0" w:space="0" w:color="auto"/>
            <w:bottom w:val="none" w:sz="0" w:space="0" w:color="auto"/>
            <w:right w:val="none" w:sz="0" w:space="0" w:color="auto"/>
          </w:divBdr>
          <w:divsChild>
            <w:div w:id="338001641">
              <w:marLeft w:val="0"/>
              <w:marRight w:val="0"/>
              <w:marTop w:val="0"/>
              <w:marBottom w:val="0"/>
              <w:divBdr>
                <w:top w:val="none" w:sz="0" w:space="0" w:color="auto"/>
                <w:left w:val="none" w:sz="0" w:space="0" w:color="auto"/>
                <w:bottom w:val="none" w:sz="0" w:space="0" w:color="auto"/>
                <w:right w:val="none" w:sz="0" w:space="0" w:color="auto"/>
              </w:divBdr>
              <w:divsChild>
                <w:div w:id="982780462">
                  <w:marLeft w:val="0"/>
                  <w:marRight w:val="0"/>
                  <w:marTop w:val="0"/>
                  <w:marBottom w:val="0"/>
                  <w:divBdr>
                    <w:top w:val="none" w:sz="0" w:space="0" w:color="auto"/>
                    <w:left w:val="none" w:sz="0" w:space="0" w:color="auto"/>
                    <w:bottom w:val="none" w:sz="0" w:space="0" w:color="auto"/>
                    <w:right w:val="none" w:sz="0" w:space="0" w:color="auto"/>
                  </w:divBdr>
                  <w:divsChild>
                    <w:div w:id="1270696486">
                      <w:marLeft w:val="0"/>
                      <w:marRight w:val="0"/>
                      <w:marTop w:val="0"/>
                      <w:marBottom w:val="0"/>
                      <w:divBdr>
                        <w:top w:val="none" w:sz="0" w:space="0" w:color="auto"/>
                        <w:left w:val="none" w:sz="0" w:space="0" w:color="auto"/>
                        <w:bottom w:val="none" w:sz="0" w:space="0" w:color="auto"/>
                        <w:right w:val="none" w:sz="0" w:space="0" w:color="auto"/>
                      </w:divBdr>
                      <w:divsChild>
                        <w:div w:id="946042063">
                          <w:marLeft w:val="0"/>
                          <w:marRight w:val="0"/>
                          <w:marTop w:val="0"/>
                          <w:marBottom w:val="0"/>
                          <w:divBdr>
                            <w:top w:val="none" w:sz="0" w:space="0" w:color="auto"/>
                            <w:left w:val="none" w:sz="0" w:space="0" w:color="auto"/>
                            <w:bottom w:val="none" w:sz="0" w:space="0" w:color="auto"/>
                            <w:right w:val="none" w:sz="0" w:space="0" w:color="auto"/>
                          </w:divBdr>
                          <w:divsChild>
                            <w:div w:id="1862468923">
                              <w:marLeft w:val="0"/>
                              <w:marRight w:val="0"/>
                              <w:marTop w:val="0"/>
                              <w:marBottom w:val="0"/>
                              <w:divBdr>
                                <w:top w:val="none" w:sz="0" w:space="0" w:color="auto"/>
                                <w:left w:val="none" w:sz="0" w:space="0" w:color="auto"/>
                                <w:bottom w:val="none" w:sz="0" w:space="0" w:color="auto"/>
                                <w:right w:val="none" w:sz="0" w:space="0" w:color="auto"/>
                              </w:divBdr>
                              <w:divsChild>
                                <w:div w:id="22637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1116010">
      <w:bodyDiv w:val="1"/>
      <w:marLeft w:val="0"/>
      <w:marRight w:val="0"/>
      <w:marTop w:val="0"/>
      <w:marBottom w:val="0"/>
      <w:divBdr>
        <w:top w:val="none" w:sz="0" w:space="0" w:color="auto"/>
        <w:left w:val="none" w:sz="0" w:space="0" w:color="auto"/>
        <w:bottom w:val="none" w:sz="0" w:space="0" w:color="auto"/>
        <w:right w:val="none" w:sz="0" w:space="0" w:color="auto"/>
      </w:divBdr>
    </w:div>
    <w:div w:id="1051659325">
      <w:bodyDiv w:val="1"/>
      <w:marLeft w:val="0"/>
      <w:marRight w:val="0"/>
      <w:marTop w:val="0"/>
      <w:marBottom w:val="0"/>
      <w:divBdr>
        <w:top w:val="none" w:sz="0" w:space="0" w:color="auto"/>
        <w:left w:val="none" w:sz="0" w:space="0" w:color="auto"/>
        <w:bottom w:val="none" w:sz="0" w:space="0" w:color="auto"/>
        <w:right w:val="none" w:sz="0" w:space="0" w:color="auto"/>
      </w:divBdr>
      <w:divsChild>
        <w:div w:id="2107799195">
          <w:marLeft w:val="0"/>
          <w:marRight w:val="0"/>
          <w:marTop w:val="0"/>
          <w:marBottom w:val="0"/>
          <w:divBdr>
            <w:top w:val="none" w:sz="0" w:space="0" w:color="auto"/>
            <w:left w:val="none" w:sz="0" w:space="0" w:color="auto"/>
            <w:bottom w:val="none" w:sz="0" w:space="0" w:color="auto"/>
            <w:right w:val="none" w:sz="0" w:space="0" w:color="auto"/>
          </w:divBdr>
          <w:divsChild>
            <w:div w:id="120732482">
              <w:marLeft w:val="0"/>
              <w:marRight w:val="0"/>
              <w:marTop w:val="0"/>
              <w:marBottom w:val="0"/>
              <w:divBdr>
                <w:top w:val="none" w:sz="0" w:space="0" w:color="auto"/>
                <w:left w:val="none" w:sz="0" w:space="0" w:color="auto"/>
                <w:bottom w:val="none" w:sz="0" w:space="0" w:color="auto"/>
                <w:right w:val="none" w:sz="0" w:space="0" w:color="auto"/>
              </w:divBdr>
              <w:divsChild>
                <w:div w:id="1353654778">
                  <w:marLeft w:val="0"/>
                  <w:marRight w:val="0"/>
                  <w:marTop w:val="0"/>
                  <w:marBottom w:val="0"/>
                  <w:divBdr>
                    <w:top w:val="none" w:sz="0" w:space="0" w:color="auto"/>
                    <w:left w:val="none" w:sz="0" w:space="0" w:color="auto"/>
                    <w:bottom w:val="none" w:sz="0" w:space="0" w:color="auto"/>
                    <w:right w:val="none" w:sz="0" w:space="0" w:color="auto"/>
                  </w:divBdr>
                  <w:divsChild>
                    <w:div w:id="1872377685">
                      <w:marLeft w:val="0"/>
                      <w:marRight w:val="0"/>
                      <w:marTop w:val="0"/>
                      <w:marBottom w:val="0"/>
                      <w:divBdr>
                        <w:top w:val="none" w:sz="0" w:space="0" w:color="auto"/>
                        <w:left w:val="none" w:sz="0" w:space="0" w:color="auto"/>
                        <w:bottom w:val="none" w:sz="0" w:space="0" w:color="auto"/>
                        <w:right w:val="none" w:sz="0" w:space="0" w:color="auto"/>
                      </w:divBdr>
                      <w:divsChild>
                        <w:div w:id="1864325229">
                          <w:marLeft w:val="0"/>
                          <w:marRight w:val="0"/>
                          <w:marTop w:val="0"/>
                          <w:marBottom w:val="0"/>
                          <w:divBdr>
                            <w:top w:val="none" w:sz="0" w:space="0" w:color="auto"/>
                            <w:left w:val="none" w:sz="0" w:space="0" w:color="auto"/>
                            <w:bottom w:val="none" w:sz="0" w:space="0" w:color="auto"/>
                            <w:right w:val="none" w:sz="0" w:space="0" w:color="auto"/>
                          </w:divBdr>
                          <w:divsChild>
                            <w:div w:id="1957910096">
                              <w:marLeft w:val="0"/>
                              <w:marRight w:val="0"/>
                              <w:marTop w:val="0"/>
                              <w:marBottom w:val="0"/>
                              <w:divBdr>
                                <w:top w:val="none" w:sz="0" w:space="0" w:color="auto"/>
                                <w:left w:val="none" w:sz="0" w:space="0" w:color="auto"/>
                                <w:bottom w:val="none" w:sz="0" w:space="0" w:color="auto"/>
                                <w:right w:val="none" w:sz="0" w:space="0" w:color="auto"/>
                              </w:divBdr>
                              <w:divsChild>
                                <w:div w:id="881744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6687539">
      <w:bodyDiv w:val="1"/>
      <w:marLeft w:val="0"/>
      <w:marRight w:val="0"/>
      <w:marTop w:val="0"/>
      <w:marBottom w:val="0"/>
      <w:divBdr>
        <w:top w:val="none" w:sz="0" w:space="0" w:color="auto"/>
        <w:left w:val="none" w:sz="0" w:space="0" w:color="auto"/>
        <w:bottom w:val="none" w:sz="0" w:space="0" w:color="auto"/>
        <w:right w:val="none" w:sz="0" w:space="0" w:color="auto"/>
      </w:divBdr>
      <w:divsChild>
        <w:div w:id="1133139149">
          <w:marLeft w:val="0"/>
          <w:marRight w:val="0"/>
          <w:marTop w:val="0"/>
          <w:marBottom w:val="0"/>
          <w:divBdr>
            <w:top w:val="none" w:sz="0" w:space="0" w:color="auto"/>
            <w:left w:val="none" w:sz="0" w:space="0" w:color="auto"/>
            <w:bottom w:val="none" w:sz="0" w:space="0" w:color="auto"/>
            <w:right w:val="none" w:sz="0" w:space="0" w:color="auto"/>
          </w:divBdr>
          <w:divsChild>
            <w:div w:id="807207397">
              <w:marLeft w:val="0"/>
              <w:marRight w:val="0"/>
              <w:marTop w:val="0"/>
              <w:marBottom w:val="0"/>
              <w:divBdr>
                <w:top w:val="none" w:sz="0" w:space="0" w:color="auto"/>
                <w:left w:val="none" w:sz="0" w:space="0" w:color="auto"/>
                <w:bottom w:val="none" w:sz="0" w:space="0" w:color="auto"/>
                <w:right w:val="none" w:sz="0" w:space="0" w:color="auto"/>
              </w:divBdr>
              <w:divsChild>
                <w:div w:id="25180135">
                  <w:marLeft w:val="0"/>
                  <w:marRight w:val="0"/>
                  <w:marTop w:val="0"/>
                  <w:marBottom w:val="0"/>
                  <w:divBdr>
                    <w:top w:val="none" w:sz="0" w:space="0" w:color="auto"/>
                    <w:left w:val="none" w:sz="0" w:space="0" w:color="auto"/>
                    <w:bottom w:val="none" w:sz="0" w:space="0" w:color="auto"/>
                    <w:right w:val="none" w:sz="0" w:space="0" w:color="auto"/>
                  </w:divBdr>
                  <w:divsChild>
                    <w:div w:id="1401752610">
                      <w:marLeft w:val="0"/>
                      <w:marRight w:val="0"/>
                      <w:marTop w:val="0"/>
                      <w:marBottom w:val="0"/>
                      <w:divBdr>
                        <w:top w:val="none" w:sz="0" w:space="0" w:color="auto"/>
                        <w:left w:val="none" w:sz="0" w:space="0" w:color="auto"/>
                        <w:bottom w:val="none" w:sz="0" w:space="0" w:color="auto"/>
                        <w:right w:val="none" w:sz="0" w:space="0" w:color="auto"/>
                      </w:divBdr>
                      <w:divsChild>
                        <w:div w:id="1825662375">
                          <w:marLeft w:val="0"/>
                          <w:marRight w:val="0"/>
                          <w:marTop w:val="0"/>
                          <w:marBottom w:val="0"/>
                          <w:divBdr>
                            <w:top w:val="none" w:sz="0" w:space="0" w:color="auto"/>
                            <w:left w:val="none" w:sz="0" w:space="0" w:color="auto"/>
                            <w:bottom w:val="none" w:sz="0" w:space="0" w:color="auto"/>
                            <w:right w:val="none" w:sz="0" w:space="0" w:color="auto"/>
                          </w:divBdr>
                          <w:divsChild>
                            <w:div w:id="843790129">
                              <w:marLeft w:val="0"/>
                              <w:marRight w:val="0"/>
                              <w:marTop w:val="0"/>
                              <w:marBottom w:val="0"/>
                              <w:divBdr>
                                <w:top w:val="none" w:sz="0" w:space="0" w:color="auto"/>
                                <w:left w:val="none" w:sz="0" w:space="0" w:color="auto"/>
                                <w:bottom w:val="none" w:sz="0" w:space="0" w:color="auto"/>
                                <w:right w:val="none" w:sz="0" w:space="0" w:color="auto"/>
                              </w:divBdr>
                              <w:divsChild>
                                <w:div w:id="197567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9836034">
      <w:bodyDiv w:val="1"/>
      <w:marLeft w:val="0"/>
      <w:marRight w:val="0"/>
      <w:marTop w:val="0"/>
      <w:marBottom w:val="0"/>
      <w:divBdr>
        <w:top w:val="none" w:sz="0" w:space="0" w:color="auto"/>
        <w:left w:val="none" w:sz="0" w:space="0" w:color="auto"/>
        <w:bottom w:val="none" w:sz="0" w:space="0" w:color="auto"/>
        <w:right w:val="none" w:sz="0" w:space="0" w:color="auto"/>
      </w:divBdr>
    </w:div>
    <w:div w:id="1895967713">
      <w:bodyDiv w:val="1"/>
      <w:marLeft w:val="0"/>
      <w:marRight w:val="0"/>
      <w:marTop w:val="0"/>
      <w:marBottom w:val="0"/>
      <w:divBdr>
        <w:top w:val="none" w:sz="0" w:space="0" w:color="auto"/>
        <w:left w:val="none" w:sz="0" w:space="0" w:color="auto"/>
        <w:bottom w:val="none" w:sz="0" w:space="0" w:color="auto"/>
        <w:right w:val="none" w:sz="0" w:space="0" w:color="auto"/>
      </w:divBdr>
      <w:divsChild>
        <w:div w:id="157774535">
          <w:marLeft w:val="0"/>
          <w:marRight w:val="0"/>
          <w:marTop w:val="0"/>
          <w:marBottom w:val="0"/>
          <w:divBdr>
            <w:top w:val="none" w:sz="0" w:space="0" w:color="auto"/>
            <w:left w:val="none" w:sz="0" w:space="0" w:color="auto"/>
            <w:bottom w:val="none" w:sz="0" w:space="0" w:color="auto"/>
            <w:right w:val="none" w:sz="0" w:space="0" w:color="auto"/>
          </w:divBdr>
          <w:divsChild>
            <w:div w:id="1615862309">
              <w:marLeft w:val="0"/>
              <w:marRight w:val="0"/>
              <w:marTop w:val="0"/>
              <w:marBottom w:val="0"/>
              <w:divBdr>
                <w:top w:val="none" w:sz="0" w:space="0" w:color="auto"/>
                <w:left w:val="none" w:sz="0" w:space="0" w:color="auto"/>
                <w:bottom w:val="none" w:sz="0" w:space="0" w:color="auto"/>
                <w:right w:val="none" w:sz="0" w:space="0" w:color="auto"/>
              </w:divBdr>
              <w:divsChild>
                <w:div w:id="741952780">
                  <w:marLeft w:val="0"/>
                  <w:marRight w:val="0"/>
                  <w:marTop w:val="0"/>
                  <w:marBottom w:val="0"/>
                  <w:divBdr>
                    <w:top w:val="none" w:sz="0" w:space="0" w:color="auto"/>
                    <w:left w:val="none" w:sz="0" w:space="0" w:color="auto"/>
                    <w:bottom w:val="none" w:sz="0" w:space="0" w:color="auto"/>
                    <w:right w:val="none" w:sz="0" w:space="0" w:color="auto"/>
                  </w:divBdr>
                  <w:divsChild>
                    <w:div w:id="960963978">
                      <w:marLeft w:val="0"/>
                      <w:marRight w:val="0"/>
                      <w:marTop w:val="0"/>
                      <w:marBottom w:val="0"/>
                      <w:divBdr>
                        <w:top w:val="none" w:sz="0" w:space="0" w:color="auto"/>
                        <w:left w:val="none" w:sz="0" w:space="0" w:color="auto"/>
                        <w:bottom w:val="none" w:sz="0" w:space="0" w:color="auto"/>
                        <w:right w:val="none" w:sz="0" w:space="0" w:color="auto"/>
                      </w:divBdr>
                      <w:divsChild>
                        <w:div w:id="328296587">
                          <w:marLeft w:val="0"/>
                          <w:marRight w:val="0"/>
                          <w:marTop w:val="0"/>
                          <w:marBottom w:val="0"/>
                          <w:divBdr>
                            <w:top w:val="none" w:sz="0" w:space="0" w:color="auto"/>
                            <w:left w:val="none" w:sz="0" w:space="0" w:color="auto"/>
                            <w:bottom w:val="none" w:sz="0" w:space="0" w:color="auto"/>
                            <w:right w:val="none" w:sz="0" w:space="0" w:color="auto"/>
                          </w:divBdr>
                          <w:divsChild>
                            <w:div w:id="929587654">
                              <w:marLeft w:val="0"/>
                              <w:marRight w:val="0"/>
                              <w:marTop w:val="0"/>
                              <w:marBottom w:val="0"/>
                              <w:divBdr>
                                <w:top w:val="none" w:sz="0" w:space="0" w:color="auto"/>
                                <w:left w:val="none" w:sz="0" w:space="0" w:color="auto"/>
                                <w:bottom w:val="none" w:sz="0" w:space="0" w:color="auto"/>
                                <w:right w:val="none" w:sz="0" w:space="0" w:color="auto"/>
                              </w:divBdr>
                              <w:divsChild>
                                <w:div w:id="111178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371/journal.pone.0283394" TargetMode="External"/><Relationship Id="rId13" Type="http://schemas.openxmlformats.org/officeDocument/2006/relationships/hyperlink" Target="https://doi.org/10.1080/21594937.2022.2152531"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16/j.ijchp.2024.100512" TargetMode="External"/><Relationship Id="rId17" Type="http://schemas.openxmlformats.org/officeDocument/2006/relationships/hyperlink" Target="https://books.google.co.in/books?hl=en&amp;lr=&amp;id=kaUOEQAAQBAJ&amp;oi=fnd&amp;pg=PR4&amp;dq=Discussing+the+wellbeing+of+children,+it+involves+such+aspects+as+their+physical,+emotional,+social,+and+developmental+needs&amp;ots=4Wl6Qd1P3-&amp;sig=xF0FLwONds5Udl8zLcbu9NBsL5M&amp;redir_esc=y" TargetMode="External"/><Relationship Id="rId2" Type="http://schemas.openxmlformats.org/officeDocument/2006/relationships/numbering" Target="numbering.xml"/><Relationship Id="rId16" Type="http://schemas.openxmlformats.org/officeDocument/2006/relationships/hyperlink" Target="https://felifa.net/index.php/INJOE/article/view/225"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ooks.google.co.in/books?hl=en&amp;lr=&amp;id=4HGkEAAAQBAJ&amp;oi=fnd&amp;pg=PT2&amp;dq=This+argument+is+based+on+the+case+of+Theo+who+was+a+ten-month+old+baby+who+tragically+lost+his+life+as+a+result+of+abusive+injuries+being+inflicted+on+him+by+his+parents&amp;ots=qL6nifC56R&amp;sig=n-p8YldCXU7g7Gf7kRDVy_O8Z_U&amp;redir_esc=y" TargetMode="External"/><Relationship Id="rId5" Type="http://schemas.openxmlformats.org/officeDocument/2006/relationships/webSettings" Target="webSettings.xml"/><Relationship Id="rId15" Type="http://schemas.openxmlformats.org/officeDocument/2006/relationships/hyperlink" Target="https://link.springer.com/article/10.1007/s42761-022-00163-0" TargetMode="External"/><Relationship Id="rId10" Type="http://schemas.openxmlformats.org/officeDocument/2006/relationships/hyperlink" Target="https://doi.org/10.1007/978-3-030-98989-7"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177/13563890221096178" TargetMode="External"/><Relationship Id="rId14" Type="http://schemas.openxmlformats.org/officeDocument/2006/relationships/hyperlink" Target="https://doi.org/10.1002/berj.37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CAC4F8-7671-45D0-81C5-BB92AB1B5D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12</Pages>
  <Words>2984</Words>
  <Characters>17014</Characters>
  <DocSecurity>0</DocSecurity>
  <Lines>141</Lines>
  <Paragraphs>39</Paragraphs>
  <ScaleCrop>false</ScaleCrop>
  <Company/>
  <LinksUpToDate>false</LinksUpToDate>
  <CharactersWithSpaces>19959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2026-02-20T11:57:00Z</dcterms:created>
  <dcterms:modified xsi:type="dcterms:W3CDTF">2026-02-21T11:48:00Z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59231315-318e-41b1-a336-bc5391bd7268</vt:lpwstr>
  </property>
</Properties>
</file>