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861E3B" w14:textId="1F4AA3F9" w:rsidR="00AE5916" w:rsidRPr="00E00270" w:rsidRDefault="00E00270" w:rsidP="00E00270">
      <w:pPr>
        <w:spacing w:before="100" w:beforeAutospacing="1" w:after="100" w:afterAutospacing="1" w:line="240" w:lineRule="auto"/>
        <w:rPr>
          <w:rFonts w:ascii="Times New Roman" w:eastAsia="Times New Roman" w:hAnsi="Times New Roman" w:cs="Times New Roman"/>
          <w:sz w:val="24"/>
          <w:szCs w:val="24"/>
        </w:rPr>
      </w:pPr>
      <w:r w:rsidRPr="00E00270">
        <w:rPr>
          <w:rFonts w:ascii="Times New Roman" w:eastAsia="Times New Roman" w:hAnsi="Times New Roman" w:cs="Times New Roman"/>
          <w:b/>
          <w:bCs/>
        </w:rPr>
        <w:t xml:space="preserve">Programme: </w:t>
      </w:r>
      <w:r w:rsidR="00AE5916" w:rsidRPr="00E00270">
        <w:rPr>
          <w:rFonts w:ascii="Times New Roman" w:eastAsia="Times New Roman" w:hAnsi="Times New Roman" w:cs="Times New Roman"/>
          <w:b/>
          <w:noProof/>
          <w:sz w:val="32"/>
          <w:szCs w:val="32"/>
        </w:rPr>
        <w:drawing>
          <wp:anchor distT="0" distB="0" distL="114300" distR="114300" simplePos="0" relativeHeight="251658240" behindDoc="1" locked="0" layoutInCell="1" allowOverlap="1" wp14:anchorId="2F01F16A" wp14:editId="2E78C29A">
            <wp:simplePos x="0" y="0"/>
            <wp:positionH relativeFrom="column">
              <wp:posOffset>16136</wp:posOffset>
            </wp:positionH>
            <wp:positionV relativeFrom="page">
              <wp:posOffset>277495</wp:posOffset>
            </wp:positionV>
            <wp:extent cx="1524000" cy="53340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7">
                      <a:extLst>
                        <a:ext uri="{28A0092B-C50C-407E-A947-70E740481C1C}">
                          <a14:useLocalDpi xmlns:a14="http://schemas.microsoft.com/office/drawing/2010/main" val="0"/>
                        </a:ext>
                      </a:extLst>
                    </a:blip>
                    <a:stretch>
                      <a:fillRect/>
                    </a:stretch>
                  </pic:blipFill>
                  <pic:spPr>
                    <a:xfrm>
                      <a:off x="0" y="0"/>
                      <a:ext cx="1524000" cy="533400"/>
                    </a:xfrm>
                    <a:prstGeom prst="rect">
                      <a:avLst/>
                    </a:prstGeom>
                  </pic:spPr>
                </pic:pic>
              </a:graphicData>
            </a:graphic>
            <wp14:sizeRelH relativeFrom="page">
              <wp14:pctWidth>0</wp14:pctWidth>
            </wp14:sizeRelH>
            <wp14:sizeRelV relativeFrom="page">
              <wp14:pctHeight>0</wp14:pctHeight>
            </wp14:sizeRelV>
          </wp:anchor>
        </w:drawing>
      </w:r>
      <w:r w:rsidR="00AE5916" w:rsidRPr="00E00270">
        <w:rPr>
          <w:rFonts w:ascii="Times New Roman" w:eastAsia="Times New Roman" w:hAnsi="Times New Roman" w:cs="Times New Roman"/>
          <w:b/>
          <w:bCs/>
        </w:rPr>
        <w:t>BA</w:t>
      </w:r>
      <w:r w:rsidR="00AE5916" w:rsidRPr="003A786F">
        <w:rPr>
          <w:rFonts w:ascii="Times New Roman" w:eastAsia="Times New Roman" w:hAnsi="Times New Roman" w:cs="Times New Roman"/>
          <w:b/>
          <w:bCs/>
        </w:rPr>
        <w:t xml:space="preserve"> Business Management </w:t>
      </w:r>
    </w:p>
    <w:p w14:paraId="2A9F2B66" w14:textId="0D814C8C" w:rsidR="00CF1010" w:rsidRDefault="00C5215E" w:rsidP="00AE5916">
      <w:pPr>
        <w:spacing w:line="360" w:lineRule="auto"/>
        <w:rPr>
          <w:rFonts w:ascii="Times New Roman" w:eastAsia="Times New Roman" w:hAnsi="Times New Roman" w:cs="Times New Roman"/>
          <w:b/>
        </w:rPr>
      </w:pPr>
      <w:r w:rsidRPr="00C5215E">
        <w:rPr>
          <w:rFonts w:ascii="Times New Roman" w:eastAsia="Times New Roman" w:hAnsi="Times New Roman" w:cs="Times New Roman"/>
          <w:b/>
        </w:rPr>
        <w:t>Module</w:t>
      </w:r>
      <w:r>
        <w:rPr>
          <w:rFonts w:ascii="Times New Roman" w:eastAsia="Times New Roman" w:hAnsi="Times New Roman" w:cs="Times New Roman"/>
          <w:b/>
        </w:rPr>
        <w:t>: Community engagement</w:t>
      </w:r>
    </w:p>
    <w:p w14:paraId="0E831C09" w14:textId="0E03BCBE" w:rsidR="00E00270" w:rsidRPr="00E00270" w:rsidRDefault="00E00270" w:rsidP="00E00270">
      <w:pPr>
        <w:spacing w:before="100" w:beforeAutospacing="1" w:after="100" w:afterAutospacing="1" w:line="240" w:lineRule="auto"/>
        <w:rPr>
          <w:rFonts w:ascii="Times New Roman" w:eastAsia="Times New Roman" w:hAnsi="Times New Roman" w:cs="Times New Roman"/>
          <w:sz w:val="24"/>
          <w:szCs w:val="24"/>
        </w:rPr>
      </w:pPr>
      <w:r w:rsidRPr="00E00270">
        <w:rPr>
          <w:rFonts w:ascii="Times New Roman" w:eastAsia="Times New Roman" w:hAnsi="Times New Roman" w:cs="Times New Roman"/>
          <w:b/>
          <w:bCs/>
        </w:rPr>
        <w:t xml:space="preserve">Module code: LCBB4002 </w:t>
      </w:r>
    </w:p>
    <w:p w14:paraId="3462419B" w14:textId="77777777" w:rsidR="00E00270" w:rsidRPr="00C5215E" w:rsidRDefault="00E00270" w:rsidP="00AE5916">
      <w:pPr>
        <w:spacing w:line="360" w:lineRule="auto"/>
        <w:rPr>
          <w:rFonts w:ascii="Times New Roman" w:eastAsia="Times New Roman" w:hAnsi="Times New Roman" w:cs="Times New Roman"/>
          <w:b/>
          <w:sz w:val="18"/>
          <w:szCs w:val="18"/>
        </w:rPr>
      </w:pPr>
    </w:p>
    <w:p w14:paraId="2AC5EB7E" w14:textId="77777777" w:rsidR="00CF1010" w:rsidRPr="003A786F" w:rsidRDefault="00CF1010">
      <w:pPr>
        <w:spacing w:line="360" w:lineRule="auto"/>
        <w:jc w:val="center"/>
        <w:rPr>
          <w:rFonts w:ascii="Times New Roman" w:eastAsia="Times New Roman" w:hAnsi="Times New Roman" w:cs="Times New Roman"/>
          <w:b/>
          <w:sz w:val="32"/>
          <w:szCs w:val="32"/>
        </w:rPr>
      </w:pPr>
    </w:p>
    <w:p w14:paraId="2FABC040" w14:textId="77777777" w:rsidR="00CF1010" w:rsidRPr="003A786F" w:rsidRDefault="00CF1010">
      <w:pPr>
        <w:spacing w:line="360" w:lineRule="auto"/>
        <w:jc w:val="center"/>
        <w:rPr>
          <w:rFonts w:ascii="Times New Roman" w:eastAsia="Times New Roman" w:hAnsi="Times New Roman" w:cs="Times New Roman"/>
          <w:b/>
          <w:sz w:val="32"/>
          <w:szCs w:val="32"/>
        </w:rPr>
      </w:pPr>
    </w:p>
    <w:p w14:paraId="3E7DB4B9" w14:textId="77777777" w:rsidR="00CF1010" w:rsidRPr="003A786F" w:rsidRDefault="00CF1010">
      <w:pPr>
        <w:spacing w:line="360" w:lineRule="auto"/>
        <w:jc w:val="center"/>
        <w:rPr>
          <w:rFonts w:ascii="Times New Roman" w:eastAsia="Times New Roman" w:hAnsi="Times New Roman" w:cs="Times New Roman"/>
          <w:b/>
          <w:sz w:val="32"/>
          <w:szCs w:val="32"/>
        </w:rPr>
      </w:pPr>
    </w:p>
    <w:p w14:paraId="272370D4" w14:textId="77777777" w:rsidR="00CF1010" w:rsidRPr="003A786F" w:rsidRDefault="00CF1010">
      <w:pPr>
        <w:spacing w:line="360" w:lineRule="auto"/>
        <w:jc w:val="center"/>
        <w:rPr>
          <w:rFonts w:ascii="Times New Roman" w:eastAsia="Times New Roman" w:hAnsi="Times New Roman" w:cs="Times New Roman"/>
          <w:b/>
          <w:sz w:val="32"/>
          <w:szCs w:val="32"/>
        </w:rPr>
      </w:pPr>
    </w:p>
    <w:p w14:paraId="0CF58945" w14:textId="77777777" w:rsidR="00CF1010" w:rsidRPr="003A786F" w:rsidRDefault="00CF1010">
      <w:pPr>
        <w:spacing w:line="360" w:lineRule="auto"/>
        <w:jc w:val="center"/>
        <w:rPr>
          <w:rFonts w:ascii="Times New Roman" w:eastAsia="Times New Roman" w:hAnsi="Times New Roman" w:cs="Times New Roman"/>
          <w:b/>
          <w:sz w:val="32"/>
          <w:szCs w:val="32"/>
        </w:rPr>
      </w:pPr>
    </w:p>
    <w:p w14:paraId="09B004BD" w14:textId="77777777" w:rsidR="00CF1010" w:rsidRPr="003A786F" w:rsidRDefault="00CF1010">
      <w:pPr>
        <w:spacing w:line="360" w:lineRule="auto"/>
        <w:jc w:val="center"/>
        <w:rPr>
          <w:rFonts w:ascii="Times New Roman" w:eastAsia="Times New Roman" w:hAnsi="Times New Roman" w:cs="Times New Roman"/>
          <w:b/>
          <w:sz w:val="32"/>
          <w:szCs w:val="32"/>
        </w:rPr>
      </w:pPr>
    </w:p>
    <w:p w14:paraId="1A1B615B" w14:textId="77777777" w:rsidR="00CF1010" w:rsidRPr="003A786F" w:rsidRDefault="00CF1010">
      <w:pPr>
        <w:spacing w:line="360" w:lineRule="auto"/>
        <w:jc w:val="center"/>
        <w:rPr>
          <w:rFonts w:ascii="Times New Roman" w:eastAsia="Times New Roman" w:hAnsi="Times New Roman" w:cs="Times New Roman"/>
          <w:b/>
          <w:sz w:val="32"/>
          <w:szCs w:val="32"/>
        </w:rPr>
      </w:pPr>
    </w:p>
    <w:p w14:paraId="725077E7" w14:textId="77777777" w:rsidR="00CF1010" w:rsidRPr="003A786F" w:rsidRDefault="00CF1010">
      <w:pPr>
        <w:spacing w:line="360" w:lineRule="auto"/>
        <w:jc w:val="center"/>
        <w:rPr>
          <w:rFonts w:ascii="Times New Roman" w:eastAsia="Times New Roman" w:hAnsi="Times New Roman" w:cs="Times New Roman"/>
          <w:b/>
          <w:sz w:val="32"/>
          <w:szCs w:val="32"/>
        </w:rPr>
      </w:pPr>
    </w:p>
    <w:p w14:paraId="00000002" w14:textId="06F10D49" w:rsidR="00F900C3" w:rsidRPr="003A786F" w:rsidRDefault="003A786F" w:rsidP="00AE5916">
      <w:pPr>
        <w:spacing w:line="360" w:lineRule="auto"/>
        <w:jc w:val="center"/>
        <w:rPr>
          <w:rFonts w:ascii="Times New Roman" w:eastAsia="Times New Roman" w:hAnsi="Times New Roman" w:cs="Times New Roman"/>
          <w:b/>
          <w:sz w:val="32"/>
          <w:szCs w:val="32"/>
        </w:rPr>
      </w:pPr>
      <w:r w:rsidRPr="003A786F">
        <w:rPr>
          <w:rFonts w:ascii="Times New Roman" w:eastAsia="Times New Roman" w:hAnsi="Times New Roman" w:cs="Times New Roman"/>
          <w:b/>
          <w:sz w:val="32"/>
          <w:szCs w:val="32"/>
        </w:rPr>
        <w:t>Assessment 1</w:t>
      </w:r>
    </w:p>
    <w:p w14:paraId="7E44D2BB" w14:textId="11FCD2A1" w:rsidR="00CF1010" w:rsidRPr="003A786F" w:rsidRDefault="003A786F">
      <w:pPr>
        <w:spacing w:line="360" w:lineRule="auto"/>
        <w:jc w:val="center"/>
        <w:rPr>
          <w:rFonts w:ascii="Times New Roman" w:eastAsia="Times New Roman" w:hAnsi="Times New Roman" w:cs="Times New Roman"/>
          <w:b/>
          <w:sz w:val="32"/>
          <w:szCs w:val="32"/>
        </w:rPr>
      </w:pPr>
      <w:r w:rsidRPr="003A786F">
        <w:rPr>
          <w:rFonts w:ascii="Times New Roman" w:eastAsia="Times New Roman" w:hAnsi="Times New Roman" w:cs="Times New Roman"/>
          <w:b/>
          <w:sz w:val="32"/>
          <w:szCs w:val="32"/>
        </w:rPr>
        <w:t>Community engagement</w:t>
      </w:r>
    </w:p>
    <w:p w14:paraId="2F88D0B4" w14:textId="77777777" w:rsidR="00CF1010" w:rsidRPr="003A786F" w:rsidRDefault="00CF1010">
      <w:pPr>
        <w:spacing w:line="360" w:lineRule="auto"/>
        <w:jc w:val="center"/>
        <w:rPr>
          <w:rFonts w:ascii="Times New Roman" w:eastAsia="Times New Roman" w:hAnsi="Times New Roman" w:cs="Times New Roman"/>
          <w:b/>
          <w:sz w:val="32"/>
          <w:szCs w:val="32"/>
        </w:rPr>
      </w:pPr>
    </w:p>
    <w:p w14:paraId="35AC9E33" w14:textId="77777777" w:rsidR="00CF1010" w:rsidRPr="003A786F" w:rsidRDefault="00CF1010" w:rsidP="00E00270">
      <w:pPr>
        <w:spacing w:line="360" w:lineRule="auto"/>
        <w:rPr>
          <w:rFonts w:ascii="Times New Roman" w:eastAsia="Times New Roman" w:hAnsi="Times New Roman" w:cs="Times New Roman"/>
          <w:b/>
          <w:sz w:val="32"/>
          <w:szCs w:val="32"/>
        </w:rPr>
      </w:pPr>
    </w:p>
    <w:p w14:paraId="718331EF" w14:textId="77777777" w:rsidR="00CF1010" w:rsidRPr="003A786F" w:rsidRDefault="00CF1010">
      <w:pPr>
        <w:spacing w:line="360" w:lineRule="auto"/>
        <w:jc w:val="center"/>
        <w:rPr>
          <w:rFonts w:ascii="Times New Roman" w:eastAsia="Times New Roman" w:hAnsi="Times New Roman" w:cs="Times New Roman"/>
          <w:b/>
          <w:sz w:val="32"/>
          <w:szCs w:val="32"/>
        </w:rPr>
      </w:pPr>
    </w:p>
    <w:p w14:paraId="414C8EEA" w14:textId="48A0A5B6" w:rsidR="00CF1010" w:rsidRPr="003A786F" w:rsidRDefault="00CF1010">
      <w:pPr>
        <w:spacing w:line="360" w:lineRule="auto"/>
        <w:jc w:val="center"/>
        <w:rPr>
          <w:rFonts w:ascii="Times New Roman" w:eastAsia="Times New Roman" w:hAnsi="Times New Roman" w:cs="Times New Roman"/>
          <w:b/>
          <w:sz w:val="32"/>
          <w:szCs w:val="32"/>
        </w:rPr>
      </w:pPr>
    </w:p>
    <w:p w14:paraId="560224E3" w14:textId="1E0E5EEC" w:rsidR="00CF1010" w:rsidRPr="003A786F" w:rsidRDefault="00CF1010">
      <w:pPr>
        <w:spacing w:line="360" w:lineRule="auto"/>
        <w:jc w:val="center"/>
        <w:rPr>
          <w:rFonts w:ascii="Times New Roman" w:eastAsia="Times New Roman" w:hAnsi="Times New Roman" w:cs="Times New Roman"/>
          <w:b/>
          <w:sz w:val="32"/>
          <w:szCs w:val="32"/>
        </w:rPr>
      </w:pPr>
    </w:p>
    <w:p w14:paraId="285C3E08" w14:textId="1651897F" w:rsidR="00AE5916" w:rsidRDefault="00AE5916">
      <w:pPr>
        <w:spacing w:line="360" w:lineRule="auto"/>
        <w:jc w:val="center"/>
        <w:rPr>
          <w:rFonts w:ascii="Times New Roman" w:eastAsia="Times New Roman" w:hAnsi="Times New Roman" w:cs="Times New Roman"/>
          <w:b/>
          <w:sz w:val="32"/>
          <w:szCs w:val="32"/>
        </w:rPr>
      </w:pPr>
    </w:p>
    <w:p w14:paraId="51147E24" w14:textId="77777777" w:rsidR="00C5215E" w:rsidRPr="003A786F" w:rsidRDefault="00C5215E">
      <w:pPr>
        <w:spacing w:line="360" w:lineRule="auto"/>
        <w:jc w:val="center"/>
        <w:rPr>
          <w:rFonts w:ascii="Times New Roman" w:eastAsia="Times New Roman" w:hAnsi="Times New Roman" w:cs="Times New Roman"/>
          <w:b/>
          <w:sz w:val="32"/>
          <w:szCs w:val="32"/>
        </w:rPr>
      </w:pPr>
    </w:p>
    <w:p w14:paraId="211681DF" w14:textId="778118EE" w:rsidR="00CF1010" w:rsidRPr="003A786F" w:rsidRDefault="00CF1010" w:rsidP="00CF1010">
      <w:pPr>
        <w:spacing w:line="360" w:lineRule="auto"/>
        <w:rPr>
          <w:rFonts w:ascii="Times New Roman" w:eastAsia="Times New Roman" w:hAnsi="Times New Roman" w:cs="Times New Roman"/>
          <w:b/>
          <w:sz w:val="32"/>
          <w:szCs w:val="32"/>
        </w:rPr>
      </w:pPr>
    </w:p>
    <w:p w14:paraId="0CB39A2A" w14:textId="77777777" w:rsidR="00CF1010" w:rsidRPr="003A786F" w:rsidRDefault="00CF1010" w:rsidP="00AE5916">
      <w:pPr>
        <w:spacing w:line="360" w:lineRule="auto"/>
        <w:rPr>
          <w:rFonts w:ascii="Times New Roman" w:eastAsia="Times New Roman" w:hAnsi="Times New Roman" w:cs="Times New Roman"/>
          <w:b/>
          <w:sz w:val="32"/>
          <w:szCs w:val="32"/>
        </w:rPr>
      </w:pPr>
    </w:p>
    <w:p w14:paraId="527F8ACF" w14:textId="77777777" w:rsidR="00CF1010" w:rsidRPr="003A786F" w:rsidRDefault="00CF1010">
      <w:pPr>
        <w:spacing w:line="360" w:lineRule="auto"/>
        <w:jc w:val="center"/>
        <w:rPr>
          <w:rFonts w:ascii="Times New Roman" w:eastAsia="Times New Roman" w:hAnsi="Times New Roman" w:cs="Times New Roman"/>
          <w:b/>
          <w:sz w:val="32"/>
          <w:szCs w:val="32"/>
        </w:rPr>
      </w:pPr>
    </w:p>
    <w:p w14:paraId="01FCFB6C" w14:textId="77777777" w:rsidR="00CF1010" w:rsidRPr="003A786F" w:rsidRDefault="00CF1010" w:rsidP="00CF1010">
      <w:pPr>
        <w:rPr>
          <w:rFonts w:ascii="Times New Roman" w:hAnsi="Times New Roman" w:cs="Times New Roman"/>
        </w:rPr>
      </w:pPr>
      <w:r w:rsidRPr="003A786F">
        <w:rPr>
          <w:rFonts w:ascii="Times New Roman" w:hAnsi="Times New Roman" w:cs="Times New Roman"/>
        </w:rPr>
        <w:t>Student:</w:t>
      </w:r>
      <w:r w:rsidRPr="003A786F">
        <w:rPr>
          <w:rFonts w:ascii="Times New Roman" w:hAnsi="Times New Roman" w:cs="Times New Roman"/>
          <w:b/>
          <w:bCs/>
        </w:rPr>
        <w:t xml:space="preserve"> Florina Carmen </w:t>
      </w:r>
      <w:proofErr w:type="spellStart"/>
      <w:r w:rsidRPr="003A786F">
        <w:rPr>
          <w:rFonts w:ascii="Times New Roman" w:hAnsi="Times New Roman" w:cs="Times New Roman"/>
          <w:b/>
          <w:bCs/>
        </w:rPr>
        <w:t>Teleoaca</w:t>
      </w:r>
      <w:proofErr w:type="spellEnd"/>
    </w:p>
    <w:p w14:paraId="4D727906" w14:textId="3B99CCC6" w:rsidR="00C5215E" w:rsidRPr="003A786F" w:rsidRDefault="00CF1010" w:rsidP="00CF1010">
      <w:pPr>
        <w:pStyle w:val="NormalWeb"/>
        <w:rPr>
          <w:b/>
          <w:bCs/>
          <w:sz w:val="22"/>
          <w:szCs w:val="22"/>
        </w:rPr>
      </w:pPr>
      <w:r w:rsidRPr="003A786F">
        <w:rPr>
          <w:sz w:val="22"/>
          <w:szCs w:val="22"/>
        </w:rPr>
        <w:t xml:space="preserve">Lecturer: </w:t>
      </w:r>
      <w:r w:rsidRPr="003A786F">
        <w:rPr>
          <w:b/>
          <w:bCs/>
          <w:sz w:val="22"/>
          <w:szCs w:val="22"/>
        </w:rPr>
        <w:t> Dr Molly Jack</w:t>
      </w:r>
    </w:p>
    <w:p w14:paraId="00000004" w14:textId="79D16D14" w:rsidR="00F900C3" w:rsidRPr="003A786F" w:rsidRDefault="00740CCA" w:rsidP="00CF1010">
      <w:pPr>
        <w:spacing w:line="360" w:lineRule="auto"/>
        <w:ind w:firstLine="284"/>
        <w:jc w:val="center"/>
        <w:rPr>
          <w:rFonts w:ascii="Times New Roman" w:eastAsia="Times New Roman" w:hAnsi="Times New Roman" w:cs="Times New Roman"/>
          <w:b/>
        </w:rPr>
      </w:pPr>
      <w:r w:rsidRPr="003A786F">
        <w:rPr>
          <w:rFonts w:ascii="Times New Roman" w:eastAsia="Times New Roman" w:hAnsi="Times New Roman" w:cs="Times New Roman"/>
          <w:b/>
        </w:rPr>
        <w:lastRenderedPageBreak/>
        <w:t>Introduction</w:t>
      </w:r>
    </w:p>
    <w:p w14:paraId="72528ECD" w14:textId="77777777" w:rsidR="00CF1010" w:rsidRPr="003A786F" w:rsidRDefault="00CF1010" w:rsidP="00CF1010">
      <w:pPr>
        <w:spacing w:line="360" w:lineRule="auto"/>
        <w:ind w:firstLine="284"/>
        <w:jc w:val="center"/>
        <w:rPr>
          <w:rFonts w:ascii="Times New Roman" w:eastAsia="Times New Roman" w:hAnsi="Times New Roman" w:cs="Times New Roman"/>
          <w:b/>
        </w:rPr>
      </w:pPr>
    </w:p>
    <w:p w14:paraId="1B513F04"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The purpose of this essay is to discuss community engagement. Community engagement is a process where public bodies reach out to communities to create community empowerment and empowerment opportunities. </w:t>
      </w:r>
    </w:p>
    <w:p w14:paraId="59ED945C"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Community engagement is more about the participation of a community in policy planning and service, for an example in the case of health policy, if the people of the community can be involved in any discussion, then the plans can be executed properly and the patients will get the services as they expect. Community engagement is based on social justice and the principle of equality. It recognizes that there are many difficulties in health and social services. These barriers are rooted in the failure of organisations to adequately recognize the social, cultural, religious, economic and generational experiences of people from different communities. </w:t>
      </w:r>
    </w:p>
    <w:p w14:paraId="5A15F538"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An important part of community engagement is decision-making that helps provide better services to the community. </w:t>
      </w:r>
    </w:p>
    <w:p w14:paraId="00000006" w14:textId="02FB1DB8" w:rsidR="00F900C3" w:rsidRPr="003A786F" w:rsidRDefault="00740CCA" w:rsidP="009455B4">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Another important aspect is making better relationships within or without the community or improving old relationships that are already there. All will be discussed in this essay what is community engagement, principles of community engagement, standards of community engagement, benefits of stakeholders' participation in community engagement, identification of the relationship between stakeholders, strategies to connect stakeholders through community engagement, and how multiple social media platforms can contribute in this strategy of engagement, ways to obtain socio-cultural integration and multiculturalism etc.</w:t>
      </w:r>
    </w:p>
    <w:p w14:paraId="58BE35F9"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Community engagement is actually based on democratic concepts which means that if the people of a community are affected by an issue, then others who belong there have complete freedom to decide to change that issue. It is most effective in business management. </w:t>
      </w:r>
    </w:p>
    <w:p w14:paraId="15B26104" w14:textId="11199F33"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Community engagement defines helping each other by sharing important knowledge across sectors (Kumar and Kumar, 2020). Community engagement in business is about improving business through building relationships with external clients. Its purpose is to improve the society and economy as a result of which it will be easier to get skilled workers in the society and the </w:t>
      </w:r>
      <w:r w:rsidR="00CF1010" w:rsidRPr="003A786F">
        <w:rPr>
          <w:rFonts w:ascii="Times New Roman" w:eastAsia="Times New Roman" w:hAnsi="Times New Roman" w:cs="Times New Roman"/>
        </w:rPr>
        <w:t>economic</w:t>
      </w:r>
      <w:r w:rsidRPr="003A786F">
        <w:rPr>
          <w:rFonts w:ascii="Times New Roman" w:eastAsia="Times New Roman" w:hAnsi="Times New Roman" w:cs="Times New Roman"/>
        </w:rPr>
        <w:t xml:space="preserve"> structure of the society will be strengthened.  </w:t>
      </w:r>
    </w:p>
    <w:p w14:paraId="00000007" w14:textId="666A4980" w:rsidR="00F900C3"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Community engagement helps to increase brand awareness and helps to give a positive business reputation. At the same time, community engagement contributes toward philanthropist goals which offer an overall growth to the society. For example, KPMG, a global organisation which works as </w:t>
      </w:r>
      <w:r w:rsidR="00CF1010" w:rsidRPr="003A786F">
        <w:rPr>
          <w:rFonts w:ascii="Times New Roman" w:eastAsia="Times New Roman" w:hAnsi="Times New Roman" w:cs="Times New Roman"/>
        </w:rPr>
        <w:t>a professional</w:t>
      </w:r>
      <w:r w:rsidRPr="003A786F">
        <w:rPr>
          <w:rFonts w:ascii="Times New Roman" w:eastAsia="Times New Roman" w:hAnsi="Times New Roman" w:cs="Times New Roman"/>
        </w:rPr>
        <w:t xml:space="preserve"> service firm for tax advisory, and auditing, is working on advancing awareness for community engagement build-up (</w:t>
      </w:r>
      <w:proofErr w:type="spellStart"/>
      <w:r w:rsidRPr="003A786F">
        <w:rPr>
          <w:rFonts w:ascii="Times New Roman" w:eastAsia="Times New Roman" w:hAnsi="Times New Roman" w:cs="Times New Roman"/>
        </w:rPr>
        <w:t>Bitc</w:t>
      </w:r>
      <w:proofErr w:type="spellEnd"/>
      <w:r w:rsidRPr="003A786F">
        <w:rPr>
          <w:rFonts w:ascii="Times New Roman" w:eastAsia="Times New Roman" w:hAnsi="Times New Roman" w:cs="Times New Roman"/>
        </w:rPr>
        <w:t xml:space="preserve">. 2022). The project aims to bring forward racial equality by embracing cultural diversity.  </w:t>
      </w:r>
    </w:p>
    <w:p w14:paraId="01DE624D" w14:textId="1876F134"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lastRenderedPageBreak/>
        <w:t xml:space="preserve">A number of organisations have identified several principles of engagement. Seven principles of community engagement are included which reflect the concerns and understandings of those working in community engagement. </w:t>
      </w:r>
    </w:p>
    <w:p w14:paraId="26100586" w14:textId="77777777" w:rsidR="004941A2" w:rsidRPr="003A786F" w:rsidRDefault="004941A2" w:rsidP="00CF1010">
      <w:pPr>
        <w:spacing w:line="360" w:lineRule="auto"/>
        <w:ind w:firstLine="284"/>
        <w:jc w:val="both"/>
        <w:rPr>
          <w:rFonts w:ascii="Times New Roman" w:eastAsia="Times New Roman" w:hAnsi="Times New Roman" w:cs="Times New Roman"/>
        </w:rPr>
      </w:pPr>
    </w:p>
    <w:p w14:paraId="4FAFEB4C" w14:textId="487F9C35" w:rsidR="00CF1010" w:rsidRPr="003A786F" w:rsidRDefault="00740CCA" w:rsidP="00CF1010">
      <w:pPr>
        <w:spacing w:line="360" w:lineRule="auto"/>
        <w:ind w:firstLine="284"/>
        <w:jc w:val="both"/>
        <w:rPr>
          <w:rFonts w:ascii="Times New Roman" w:eastAsia="Times New Roman" w:hAnsi="Times New Roman" w:cs="Times New Roman"/>
          <w:b/>
          <w:bCs/>
        </w:rPr>
      </w:pPr>
      <w:r w:rsidRPr="003A786F">
        <w:rPr>
          <w:rFonts w:ascii="Times New Roman" w:eastAsia="Times New Roman" w:hAnsi="Times New Roman" w:cs="Times New Roman"/>
          <w:b/>
          <w:bCs/>
        </w:rPr>
        <w:t xml:space="preserve">Those seven stages of principle </w:t>
      </w:r>
      <w:r w:rsidR="004941A2" w:rsidRPr="003A786F">
        <w:rPr>
          <w:rFonts w:ascii="Times New Roman" w:eastAsia="Times New Roman" w:hAnsi="Times New Roman" w:cs="Times New Roman"/>
          <w:b/>
          <w:bCs/>
        </w:rPr>
        <w:t>are:</w:t>
      </w:r>
    </w:p>
    <w:p w14:paraId="3B294CC7" w14:textId="77777777" w:rsidR="00CF1010" w:rsidRPr="003A786F" w:rsidRDefault="00740CCA" w:rsidP="00CF1010">
      <w:pPr>
        <w:spacing w:line="360" w:lineRule="auto"/>
        <w:ind w:firstLine="284"/>
        <w:jc w:val="both"/>
        <w:rPr>
          <w:rFonts w:ascii="Times New Roman" w:eastAsia="Times New Roman" w:hAnsi="Times New Roman" w:cs="Times New Roman"/>
          <w:b/>
        </w:rPr>
      </w:pPr>
      <w:r w:rsidRPr="003A786F">
        <w:rPr>
          <w:rFonts w:ascii="Times New Roman" w:eastAsia="Times New Roman" w:hAnsi="Times New Roman" w:cs="Times New Roman"/>
          <w:b/>
        </w:rPr>
        <w:t>1</w:t>
      </w:r>
      <w:r w:rsidRPr="003A786F">
        <w:rPr>
          <w:rFonts w:ascii="Times New Roman" w:eastAsia="Times New Roman" w:hAnsi="Times New Roman" w:cs="Times New Roman"/>
        </w:rPr>
        <w:t>. Planning requires careful preparation, and adequate and inclusive planning to ensure that the design, organisation and assembly of the process meet both a clearly defined objective and the needs of the participants</w:t>
      </w:r>
      <w:r w:rsidRPr="003A786F">
        <w:rPr>
          <w:rFonts w:ascii="Times New Roman" w:eastAsia="Times New Roman" w:hAnsi="Times New Roman" w:cs="Times New Roman"/>
          <w:b/>
        </w:rPr>
        <w:t xml:space="preserve">. </w:t>
      </w:r>
    </w:p>
    <w:p w14:paraId="7338CDCF" w14:textId="7E6944F4"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b/>
        </w:rPr>
        <w:t>2.</w:t>
      </w:r>
      <w:r w:rsidRPr="003A786F">
        <w:rPr>
          <w:rFonts w:ascii="Times New Roman" w:eastAsia="Times New Roman" w:hAnsi="Times New Roman" w:cs="Times New Roman"/>
        </w:rPr>
        <w:t xml:space="preserve"> For the diversity of the population and to establish the foundation for democratic legitimacy, equitably include diverse individuals, voices, ideas, and accounts to account</w:t>
      </w:r>
      <w:r w:rsidRPr="003A786F">
        <w:rPr>
          <w:rFonts w:ascii="Times New Roman" w:eastAsia="Times New Roman" w:hAnsi="Times New Roman" w:cs="Times New Roman"/>
          <w:b/>
        </w:rPr>
        <w:t xml:space="preserve">. </w:t>
      </w:r>
      <w:r w:rsidRPr="003A786F">
        <w:rPr>
          <w:rFonts w:ascii="Times New Roman" w:eastAsia="Times New Roman" w:hAnsi="Times New Roman" w:cs="Times New Roman"/>
        </w:rPr>
        <w:t>Therefore, one must respect and recognise the diversity of communities (</w:t>
      </w:r>
      <w:proofErr w:type="spellStart"/>
      <w:r w:rsidRPr="003A786F">
        <w:rPr>
          <w:rFonts w:ascii="Times New Roman" w:eastAsia="Times New Roman" w:hAnsi="Times New Roman" w:cs="Times New Roman"/>
        </w:rPr>
        <w:t>Orau</w:t>
      </w:r>
      <w:proofErr w:type="spellEnd"/>
      <w:r w:rsidRPr="003A786F">
        <w:rPr>
          <w:rFonts w:ascii="Times New Roman" w:eastAsia="Times New Roman" w:hAnsi="Times New Roman" w:cs="Times New Roman"/>
        </w:rPr>
        <w:t>. 2021)</w:t>
      </w:r>
      <w:r w:rsidR="00CF1010" w:rsidRPr="003A786F">
        <w:rPr>
          <w:rFonts w:ascii="Times New Roman" w:eastAsia="Times New Roman" w:hAnsi="Times New Roman" w:cs="Times New Roman"/>
        </w:rPr>
        <w:t>.</w:t>
      </w:r>
      <w:r w:rsidRPr="003A786F">
        <w:rPr>
          <w:rFonts w:ascii="Times New Roman" w:eastAsia="Times New Roman" w:hAnsi="Times New Roman" w:cs="Times New Roman"/>
        </w:rPr>
        <w:t xml:space="preserve"> </w:t>
      </w:r>
    </w:p>
    <w:p w14:paraId="5B379945" w14:textId="2343E307" w:rsidR="00CF1010" w:rsidRPr="003A786F" w:rsidRDefault="00CF1010"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b/>
        </w:rPr>
        <w:t>3.</w:t>
      </w:r>
      <w:r w:rsidRPr="003A786F">
        <w:rPr>
          <w:rFonts w:ascii="Times New Roman" w:eastAsia="Times New Roman" w:hAnsi="Times New Roman" w:cs="Times New Roman"/>
        </w:rPr>
        <w:t xml:space="preserve"> The</w:t>
      </w:r>
      <w:r w:rsidR="00740CCA" w:rsidRPr="003A786F">
        <w:rPr>
          <w:rFonts w:ascii="Times New Roman" w:eastAsia="Times New Roman" w:hAnsi="Times New Roman" w:cs="Times New Roman"/>
        </w:rPr>
        <w:t xml:space="preserve"> purpose of this stage is cooperation and sharing. Here the participants should be encouraged to work together and help them in their work to boost their morale.</w:t>
      </w:r>
    </w:p>
    <w:p w14:paraId="368BB91E" w14:textId="2787346F"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b/>
        </w:rPr>
        <w:t>4</w:t>
      </w:r>
      <w:r w:rsidRPr="003A786F">
        <w:rPr>
          <w:rFonts w:ascii="Times New Roman" w:eastAsia="Times New Roman" w:hAnsi="Times New Roman" w:cs="Times New Roman"/>
        </w:rPr>
        <w:t>.</w:t>
      </w:r>
      <w:r w:rsidR="00CF1010" w:rsidRPr="003A786F">
        <w:rPr>
          <w:rFonts w:ascii="Times New Roman" w:eastAsia="Times New Roman" w:hAnsi="Times New Roman" w:cs="Times New Roman"/>
        </w:rPr>
        <w:t xml:space="preserve"> </w:t>
      </w:r>
      <w:r w:rsidRPr="003A786F">
        <w:rPr>
          <w:rFonts w:ascii="Times New Roman" w:eastAsia="Times New Roman" w:hAnsi="Times New Roman" w:cs="Times New Roman"/>
        </w:rPr>
        <w:t xml:space="preserve">At this stage openness is taught, participants are taught to listen to each other and it is also taught that they have to develop new ideas without being bound by previous ideas and evaluate their work. Openness and learning are the major ingredients of the principle of community engagement (Penn State College of Agricultural Sciences. 2020). </w:t>
      </w:r>
    </w:p>
    <w:p w14:paraId="02E9BEB4"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b/>
        </w:rPr>
        <w:t xml:space="preserve">5. </w:t>
      </w:r>
      <w:r w:rsidRPr="003A786F">
        <w:rPr>
          <w:rFonts w:ascii="Times New Roman" w:eastAsia="Times New Roman" w:hAnsi="Times New Roman" w:cs="Times New Roman"/>
        </w:rPr>
        <w:t>The principle of this stage is transparency and trust. It is important to have a clear idea about your work at this stage.</w:t>
      </w:r>
    </w:p>
    <w:p w14:paraId="7736D3FA" w14:textId="08F360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b/>
        </w:rPr>
        <w:t>6.</w:t>
      </w:r>
      <w:r w:rsidR="00CF1010" w:rsidRPr="003A786F">
        <w:rPr>
          <w:rFonts w:ascii="Times New Roman" w:eastAsia="Times New Roman" w:hAnsi="Times New Roman" w:cs="Times New Roman"/>
          <w:b/>
        </w:rPr>
        <w:t xml:space="preserve"> </w:t>
      </w:r>
      <w:r w:rsidRPr="003A786F">
        <w:rPr>
          <w:rFonts w:ascii="Times New Roman" w:eastAsia="Times New Roman" w:hAnsi="Times New Roman" w:cs="Times New Roman"/>
        </w:rPr>
        <w:t>The key principles at this level are influence and action. This level should ensure that a distinction is made between the participants and that they are informed about it.</w:t>
      </w:r>
    </w:p>
    <w:p w14:paraId="00000008" w14:textId="7BC87C69" w:rsidR="00F900C3"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b/>
        </w:rPr>
        <w:t>7.</w:t>
      </w:r>
      <w:r w:rsidR="00CF1010" w:rsidRPr="003A786F">
        <w:rPr>
          <w:rFonts w:ascii="Times New Roman" w:eastAsia="Times New Roman" w:hAnsi="Times New Roman" w:cs="Times New Roman"/>
          <w:b/>
        </w:rPr>
        <w:t xml:space="preserve"> </w:t>
      </w:r>
      <w:r w:rsidRPr="003A786F">
        <w:rPr>
          <w:rFonts w:ascii="Times New Roman" w:eastAsia="Times New Roman" w:hAnsi="Times New Roman" w:cs="Times New Roman"/>
        </w:rPr>
        <w:t xml:space="preserve">The principle of this phase is the principle of engagement and participation. Promote a culture of participation with programs and institutions that support community engagement. </w:t>
      </w:r>
    </w:p>
    <w:p w14:paraId="7A640369" w14:textId="3E9D7BCB"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Community engagement is a process that builds relationships between public services and community groups. There are seven standards of community engagement- inclusion, planning, support, methods, communication, working together, and impact (</w:t>
      </w:r>
      <w:proofErr w:type="spellStart"/>
      <w:r w:rsidRPr="003A786F">
        <w:rPr>
          <w:rFonts w:ascii="Times New Roman" w:eastAsia="Times New Roman" w:hAnsi="Times New Roman" w:cs="Times New Roman"/>
        </w:rPr>
        <w:t>Scdc</w:t>
      </w:r>
      <w:proofErr w:type="spellEnd"/>
      <w:r w:rsidRPr="003A786F">
        <w:rPr>
          <w:rFonts w:ascii="Times New Roman" w:eastAsia="Times New Roman" w:hAnsi="Times New Roman" w:cs="Times New Roman"/>
        </w:rPr>
        <w:t xml:space="preserve">. 2022). </w:t>
      </w:r>
    </w:p>
    <w:p w14:paraId="3AA2F3FD" w14:textId="77777777" w:rsidR="004941A2" w:rsidRPr="003A786F" w:rsidRDefault="004941A2" w:rsidP="00CF1010">
      <w:pPr>
        <w:spacing w:line="360" w:lineRule="auto"/>
        <w:ind w:firstLine="284"/>
        <w:jc w:val="both"/>
        <w:rPr>
          <w:rFonts w:ascii="Times New Roman" w:eastAsia="Times New Roman" w:hAnsi="Times New Roman" w:cs="Times New Roman"/>
        </w:rPr>
      </w:pPr>
    </w:p>
    <w:p w14:paraId="61EE0925" w14:textId="12B0BE09" w:rsidR="00CF1010" w:rsidRPr="003A786F" w:rsidRDefault="00740CCA" w:rsidP="00CF1010">
      <w:pPr>
        <w:spacing w:line="360" w:lineRule="auto"/>
        <w:ind w:firstLine="284"/>
        <w:jc w:val="both"/>
        <w:rPr>
          <w:rFonts w:ascii="Times New Roman" w:eastAsia="Times New Roman" w:hAnsi="Times New Roman" w:cs="Times New Roman"/>
          <w:b/>
          <w:bCs/>
          <w:color w:val="333333"/>
          <w:highlight w:val="white"/>
        </w:rPr>
      </w:pPr>
      <w:r w:rsidRPr="003A786F">
        <w:rPr>
          <w:rFonts w:ascii="Times New Roman" w:eastAsia="Times New Roman" w:hAnsi="Times New Roman" w:cs="Times New Roman"/>
          <w:b/>
          <w:bCs/>
        </w:rPr>
        <w:t xml:space="preserve">Another ten community developments </w:t>
      </w:r>
      <w:r w:rsidRPr="003A786F">
        <w:rPr>
          <w:rFonts w:ascii="Times New Roman" w:eastAsia="Times New Roman" w:hAnsi="Times New Roman" w:cs="Times New Roman"/>
          <w:b/>
          <w:bCs/>
          <w:color w:val="333333"/>
          <w:highlight w:val="white"/>
        </w:rPr>
        <w:t>are-</w:t>
      </w:r>
    </w:p>
    <w:p w14:paraId="08BABF5E" w14:textId="77777777" w:rsidR="00CF1010" w:rsidRPr="003A786F" w:rsidRDefault="00740CCA" w:rsidP="00CF1010">
      <w:pPr>
        <w:spacing w:line="360" w:lineRule="auto"/>
        <w:ind w:firstLine="284"/>
        <w:jc w:val="both"/>
        <w:rPr>
          <w:rFonts w:ascii="Times New Roman" w:eastAsia="Times New Roman" w:hAnsi="Times New Roman" w:cs="Times New Roman"/>
          <w:color w:val="333333"/>
          <w:highlight w:val="white"/>
        </w:rPr>
      </w:pPr>
      <w:r w:rsidRPr="003A786F">
        <w:rPr>
          <w:rFonts w:ascii="Times New Roman" w:eastAsia="Times New Roman" w:hAnsi="Times New Roman" w:cs="Times New Roman"/>
          <w:b/>
          <w:color w:val="333333"/>
          <w:highlight w:val="white"/>
        </w:rPr>
        <w:t xml:space="preserve">1 </w:t>
      </w:r>
      <w:r w:rsidRPr="003A786F">
        <w:rPr>
          <w:rFonts w:ascii="Times New Roman" w:eastAsia="Times New Roman" w:hAnsi="Times New Roman" w:cs="Times New Roman"/>
          <w:color w:val="333333"/>
          <w:highlight w:val="white"/>
        </w:rPr>
        <w:t xml:space="preserve">The </w:t>
      </w:r>
      <w:r w:rsidRPr="003A786F">
        <w:rPr>
          <w:rFonts w:ascii="Times New Roman" w:eastAsia="Times New Roman" w:hAnsi="Times New Roman" w:cs="Times New Roman"/>
          <w:b/>
          <w:color w:val="333333"/>
          <w:highlight w:val="white"/>
        </w:rPr>
        <w:t>involvement standard</w:t>
      </w:r>
      <w:r w:rsidRPr="003A786F">
        <w:rPr>
          <w:rFonts w:ascii="Times New Roman" w:eastAsia="Times New Roman" w:hAnsi="Times New Roman" w:cs="Times New Roman"/>
          <w:color w:val="333333"/>
          <w:highlight w:val="white"/>
        </w:rPr>
        <w:t xml:space="preserve"> identifies organisations that are interested in the focal point of engagement.</w:t>
      </w:r>
    </w:p>
    <w:p w14:paraId="4B4020EC" w14:textId="6DDE2D4E" w:rsidR="00CF1010" w:rsidRPr="003A786F" w:rsidRDefault="00740CCA" w:rsidP="00CF1010">
      <w:pPr>
        <w:spacing w:line="360" w:lineRule="auto"/>
        <w:ind w:firstLine="284"/>
        <w:jc w:val="both"/>
        <w:rPr>
          <w:rFonts w:ascii="Times New Roman" w:eastAsia="Times New Roman" w:hAnsi="Times New Roman" w:cs="Times New Roman"/>
          <w:color w:val="333333"/>
          <w:highlight w:val="white"/>
        </w:rPr>
      </w:pPr>
      <w:r w:rsidRPr="003A786F">
        <w:rPr>
          <w:rFonts w:ascii="Times New Roman" w:eastAsia="Times New Roman" w:hAnsi="Times New Roman" w:cs="Times New Roman"/>
          <w:b/>
          <w:color w:val="333333"/>
          <w:highlight w:val="white"/>
        </w:rPr>
        <w:t>2</w:t>
      </w:r>
      <w:r w:rsidRPr="003A786F">
        <w:rPr>
          <w:rFonts w:ascii="Times New Roman" w:eastAsia="Times New Roman" w:hAnsi="Times New Roman" w:cs="Times New Roman"/>
          <w:color w:val="333333"/>
          <w:highlight w:val="white"/>
        </w:rPr>
        <w:t>.</w:t>
      </w:r>
      <w:r w:rsidR="00CF1010" w:rsidRPr="003A786F">
        <w:rPr>
          <w:rFonts w:ascii="Times New Roman" w:eastAsia="Times New Roman" w:hAnsi="Times New Roman" w:cs="Times New Roman"/>
          <w:color w:val="333333"/>
          <w:highlight w:val="white"/>
        </w:rPr>
        <w:t xml:space="preserve"> </w:t>
      </w:r>
      <w:r w:rsidRPr="003A786F">
        <w:rPr>
          <w:rFonts w:ascii="Times New Roman" w:eastAsia="Times New Roman" w:hAnsi="Times New Roman" w:cs="Times New Roman"/>
          <w:color w:val="333333"/>
          <w:highlight w:val="white"/>
        </w:rPr>
        <w:t xml:space="preserve">A </w:t>
      </w:r>
      <w:r w:rsidRPr="003A786F">
        <w:rPr>
          <w:rFonts w:ascii="Times New Roman" w:eastAsia="Times New Roman" w:hAnsi="Times New Roman" w:cs="Times New Roman"/>
          <w:b/>
          <w:color w:val="333333"/>
          <w:highlight w:val="white"/>
        </w:rPr>
        <w:t>support standard</w:t>
      </w:r>
      <w:r w:rsidRPr="003A786F">
        <w:rPr>
          <w:rFonts w:ascii="Times New Roman" w:eastAsia="Times New Roman" w:hAnsi="Times New Roman" w:cs="Times New Roman"/>
          <w:color w:val="333333"/>
          <w:highlight w:val="white"/>
        </w:rPr>
        <w:t xml:space="preserve"> will be identified that will overcome any barriers to community engagement (Community Planning Toolkit. 2021)</w:t>
      </w:r>
      <w:r w:rsidR="00CF1010" w:rsidRPr="003A786F">
        <w:rPr>
          <w:rFonts w:ascii="Times New Roman" w:eastAsia="Times New Roman" w:hAnsi="Times New Roman" w:cs="Times New Roman"/>
          <w:color w:val="333333"/>
          <w:highlight w:val="white"/>
        </w:rPr>
        <w:t>.</w:t>
      </w:r>
    </w:p>
    <w:p w14:paraId="6EFE08C4" w14:textId="5559B769" w:rsidR="00CF1010" w:rsidRPr="003A786F" w:rsidRDefault="00740CCA" w:rsidP="00CF1010">
      <w:pPr>
        <w:spacing w:line="360" w:lineRule="auto"/>
        <w:ind w:firstLine="284"/>
        <w:jc w:val="both"/>
        <w:rPr>
          <w:rFonts w:ascii="Times New Roman" w:eastAsia="Times New Roman" w:hAnsi="Times New Roman" w:cs="Times New Roman"/>
          <w:color w:val="333333"/>
          <w:highlight w:val="white"/>
        </w:rPr>
      </w:pPr>
      <w:r w:rsidRPr="003A786F">
        <w:rPr>
          <w:rFonts w:ascii="Times New Roman" w:eastAsia="Times New Roman" w:hAnsi="Times New Roman" w:cs="Times New Roman"/>
          <w:b/>
          <w:color w:val="333333"/>
          <w:highlight w:val="white"/>
        </w:rPr>
        <w:t>3</w:t>
      </w:r>
      <w:r w:rsidRPr="003A786F">
        <w:rPr>
          <w:rFonts w:ascii="Times New Roman" w:eastAsia="Times New Roman" w:hAnsi="Times New Roman" w:cs="Times New Roman"/>
          <w:color w:val="333333"/>
          <w:highlight w:val="white"/>
        </w:rPr>
        <w:t>.</w:t>
      </w:r>
      <w:r w:rsidR="00CF1010" w:rsidRPr="003A786F">
        <w:rPr>
          <w:rFonts w:ascii="Times New Roman" w:eastAsia="Times New Roman" w:hAnsi="Times New Roman" w:cs="Times New Roman"/>
          <w:color w:val="333333"/>
          <w:highlight w:val="white"/>
        </w:rPr>
        <w:t xml:space="preserve"> </w:t>
      </w:r>
      <w:r w:rsidRPr="003A786F">
        <w:rPr>
          <w:rFonts w:ascii="Times New Roman" w:eastAsia="Times New Roman" w:hAnsi="Times New Roman" w:cs="Times New Roman"/>
          <w:b/>
          <w:color w:val="333333"/>
          <w:highlight w:val="white"/>
        </w:rPr>
        <w:t>Evidence</w:t>
      </w:r>
      <w:r w:rsidRPr="003A786F">
        <w:rPr>
          <w:rFonts w:ascii="Times New Roman" w:eastAsia="Times New Roman" w:hAnsi="Times New Roman" w:cs="Times New Roman"/>
          <w:color w:val="333333"/>
          <w:highlight w:val="white"/>
        </w:rPr>
        <w:t xml:space="preserve"> should be collected from available agencies as required and used to agree on its objectives, scope and timeframe and actions to be taken.</w:t>
      </w:r>
    </w:p>
    <w:p w14:paraId="683FE8D8" w14:textId="7F7CF454" w:rsidR="00CF1010" w:rsidRPr="003A786F" w:rsidRDefault="00740CCA" w:rsidP="00CF1010">
      <w:pPr>
        <w:spacing w:line="360" w:lineRule="auto"/>
        <w:ind w:firstLine="284"/>
        <w:jc w:val="both"/>
        <w:rPr>
          <w:rFonts w:ascii="Times New Roman" w:eastAsia="Times New Roman" w:hAnsi="Times New Roman" w:cs="Times New Roman"/>
          <w:color w:val="333333"/>
          <w:highlight w:val="white"/>
        </w:rPr>
      </w:pPr>
      <w:r w:rsidRPr="003A786F">
        <w:rPr>
          <w:rFonts w:ascii="Times New Roman" w:eastAsia="Times New Roman" w:hAnsi="Times New Roman" w:cs="Times New Roman"/>
          <w:b/>
          <w:color w:val="333333"/>
          <w:highlight w:val="white"/>
        </w:rPr>
        <w:t>4.</w:t>
      </w:r>
      <w:r w:rsidR="00CF1010" w:rsidRPr="003A786F">
        <w:rPr>
          <w:rFonts w:ascii="Times New Roman" w:eastAsia="Times New Roman" w:hAnsi="Times New Roman" w:cs="Times New Roman"/>
          <w:b/>
          <w:color w:val="333333"/>
          <w:highlight w:val="white"/>
        </w:rPr>
        <w:t xml:space="preserve"> </w:t>
      </w:r>
      <w:r w:rsidRPr="003A786F">
        <w:rPr>
          <w:rFonts w:ascii="Times New Roman" w:eastAsia="Times New Roman" w:hAnsi="Times New Roman" w:cs="Times New Roman"/>
          <w:color w:val="333333"/>
          <w:highlight w:val="white"/>
        </w:rPr>
        <w:t>The approach must agree to a standard that is the engagement's use of methods that are fit for purpose.</w:t>
      </w:r>
    </w:p>
    <w:p w14:paraId="52F1B55C" w14:textId="77B64967" w:rsidR="00CF1010" w:rsidRPr="003A786F" w:rsidRDefault="00740CCA" w:rsidP="00CF1010">
      <w:pPr>
        <w:spacing w:line="360" w:lineRule="auto"/>
        <w:ind w:firstLine="284"/>
        <w:jc w:val="both"/>
        <w:rPr>
          <w:rFonts w:ascii="Times New Roman" w:eastAsia="Times New Roman" w:hAnsi="Times New Roman" w:cs="Times New Roman"/>
          <w:color w:val="333333"/>
          <w:highlight w:val="white"/>
        </w:rPr>
      </w:pPr>
      <w:r w:rsidRPr="003A786F">
        <w:rPr>
          <w:rFonts w:ascii="Times New Roman" w:eastAsia="Times New Roman" w:hAnsi="Times New Roman" w:cs="Times New Roman"/>
          <w:b/>
          <w:color w:val="333333"/>
          <w:highlight w:val="white"/>
        </w:rPr>
        <w:lastRenderedPageBreak/>
        <w:t>5.</w:t>
      </w:r>
      <w:r w:rsidR="00CF1010" w:rsidRPr="003A786F">
        <w:rPr>
          <w:rFonts w:ascii="Times New Roman" w:eastAsia="Times New Roman" w:hAnsi="Times New Roman" w:cs="Times New Roman"/>
          <w:b/>
          <w:color w:val="333333"/>
          <w:highlight w:val="white"/>
        </w:rPr>
        <w:t xml:space="preserve"> </w:t>
      </w:r>
      <w:r w:rsidRPr="003A786F">
        <w:rPr>
          <w:rFonts w:ascii="Times New Roman" w:eastAsia="Times New Roman" w:hAnsi="Times New Roman" w:cs="Times New Roman"/>
          <w:b/>
          <w:color w:val="333333"/>
          <w:highlight w:val="white"/>
        </w:rPr>
        <w:t xml:space="preserve">Standards of working </w:t>
      </w:r>
      <w:r w:rsidRPr="003A786F">
        <w:rPr>
          <w:rFonts w:ascii="Times New Roman" w:eastAsia="Times New Roman" w:hAnsi="Times New Roman" w:cs="Times New Roman"/>
          <w:color w:val="333333"/>
          <w:highlight w:val="white"/>
        </w:rPr>
        <w:t>together should be agreed upon and employees should be encouraged to participate in standard work together.</w:t>
      </w:r>
    </w:p>
    <w:p w14:paraId="068362D3" w14:textId="272ADD3F" w:rsidR="00CF1010" w:rsidRPr="003A786F" w:rsidRDefault="00740CCA" w:rsidP="00CF1010">
      <w:pPr>
        <w:spacing w:line="360" w:lineRule="auto"/>
        <w:ind w:firstLine="284"/>
        <w:jc w:val="both"/>
        <w:rPr>
          <w:rFonts w:ascii="Times New Roman" w:eastAsia="Times New Roman" w:hAnsi="Times New Roman" w:cs="Times New Roman"/>
          <w:color w:val="333333"/>
          <w:highlight w:val="white"/>
        </w:rPr>
      </w:pPr>
      <w:r w:rsidRPr="003A786F">
        <w:rPr>
          <w:rFonts w:ascii="Times New Roman" w:eastAsia="Times New Roman" w:hAnsi="Times New Roman" w:cs="Times New Roman"/>
          <w:b/>
          <w:color w:val="333333"/>
          <w:highlight w:val="white"/>
        </w:rPr>
        <w:t>6.</w:t>
      </w:r>
      <w:r w:rsidR="00CF1010" w:rsidRPr="003A786F">
        <w:rPr>
          <w:rFonts w:ascii="Times New Roman" w:eastAsia="Times New Roman" w:hAnsi="Times New Roman" w:cs="Times New Roman"/>
          <w:b/>
          <w:color w:val="333333"/>
          <w:highlight w:val="white"/>
        </w:rPr>
        <w:t xml:space="preserve"> </w:t>
      </w:r>
      <w:r w:rsidRPr="003A786F">
        <w:rPr>
          <w:rFonts w:ascii="Times New Roman" w:eastAsia="Times New Roman" w:hAnsi="Times New Roman" w:cs="Times New Roman"/>
          <w:color w:val="333333"/>
          <w:highlight w:val="white"/>
        </w:rPr>
        <w:t>Be aware of whether correct information is being shared among participants.</w:t>
      </w:r>
    </w:p>
    <w:p w14:paraId="49077D97" w14:textId="327671DC" w:rsidR="00CF1010" w:rsidRPr="003A786F" w:rsidRDefault="00740CCA" w:rsidP="00CF1010">
      <w:pPr>
        <w:spacing w:line="360" w:lineRule="auto"/>
        <w:ind w:firstLine="284"/>
        <w:jc w:val="both"/>
        <w:rPr>
          <w:rFonts w:ascii="Times New Roman" w:eastAsia="Times New Roman" w:hAnsi="Times New Roman" w:cs="Times New Roman"/>
          <w:color w:val="333333"/>
          <w:highlight w:val="white"/>
        </w:rPr>
      </w:pPr>
      <w:r w:rsidRPr="003A786F">
        <w:rPr>
          <w:rFonts w:ascii="Times New Roman" w:eastAsia="Times New Roman" w:hAnsi="Times New Roman" w:cs="Times New Roman"/>
          <w:b/>
          <w:color w:val="333333"/>
          <w:highlight w:val="white"/>
        </w:rPr>
        <w:t>7.</w:t>
      </w:r>
      <w:r w:rsidR="00CF1010" w:rsidRPr="003A786F">
        <w:rPr>
          <w:rFonts w:ascii="Times New Roman" w:eastAsia="Times New Roman" w:hAnsi="Times New Roman" w:cs="Times New Roman"/>
          <w:b/>
          <w:color w:val="333333"/>
          <w:highlight w:val="white"/>
        </w:rPr>
        <w:t xml:space="preserve"> </w:t>
      </w:r>
      <w:r w:rsidRPr="003A786F">
        <w:rPr>
          <w:rFonts w:ascii="Times New Roman" w:eastAsia="Times New Roman" w:hAnsi="Times New Roman" w:cs="Times New Roman"/>
          <w:color w:val="333333"/>
          <w:highlight w:val="white"/>
        </w:rPr>
        <w:t xml:space="preserve">Must work effectively with others with engagement and enthusiasm and </w:t>
      </w:r>
      <w:r w:rsidRPr="003A786F">
        <w:rPr>
          <w:rFonts w:ascii="Times New Roman" w:eastAsia="Times New Roman" w:hAnsi="Times New Roman" w:cs="Times New Roman"/>
          <w:b/>
          <w:color w:val="333333"/>
          <w:highlight w:val="white"/>
        </w:rPr>
        <w:t>set standards of workin</w:t>
      </w:r>
      <w:r w:rsidRPr="003A786F">
        <w:rPr>
          <w:rFonts w:ascii="Times New Roman" w:eastAsia="Times New Roman" w:hAnsi="Times New Roman" w:cs="Times New Roman"/>
          <w:color w:val="333333"/>
          <w:highlight w:val="white"/>
        </w:rPr>
        <w:t>g collaboratively with others (Community Planning Toolkit. 2021).</w:t>
      </w:r>
    </w:p>
    <w:p w14:paraId="5DE3633B" w14:textId="1D77D296" w:rsidR="00CF1010" w:rsidRPr="003A786F" w:rsidRDefault="00740CCA" w:rsidP="00CF1010">
      <w:pPr>
        <w:spacing w:line="360" w:lineRule="auto"/>
        <w:ind w:firstLine="284"/>
        <w:jc w:val="both"/>
        <w:rPr>
          <w:rFonts w:ascii="Times New Roman" w:eastAsia="Times New Roman" w:hAnsi="Times New Roman" w:cs="Times New Roman"/>
          <w:color w:val="333333"/>
          <w:highlight w:val="white"/>
        </w:rPr>
      </w:pPr>
      <w:r w:rsidRPr="003A786F">
        <w:rPr>
          <w:rFonts w:ascii="Times New Roman" w:eastAsia="Times New Roman" w:hAnsi="Times New Roman" w:cs="Times New Roman"/>
          <w:b/>
          <w:color w:val="333333"/>
          <w:highlight w:val="white"/>
        </w:rPr>
        <w:t>8.</w:t>
      </w:r>
      <w:r w:rsidR="00CF1010" w:rsidRPr="003A786F">
        <w:rPr>
          <w:rFonts w:ascii="Times New Roman" w:eastAsia="Times New Roman" w:hAnsi="Times New Roman" w:cs="Times New Roman"/>
          <w:b/>
          <w:color w:val="333333"/>
          <w:highlight w:val="white"/>
        </w:rPr>
        <w:t xml:space="preserve"> </w:t>
      </w:r>
      <w:r w:rsidRPr="003A786F">
        <w:rPr>
          <w:rFonts w:ascii="Times New Roman" w:eastAsia="Times New Roman" w:hAnsi="Times New Roman" w:cs="Times New Roman"/>
          <w:b/>
          <w:color w:val="333333"/>
          <w:highlight w:val="white"/>
        </w:rPr>
        <w:t xml:space="preserve">Improvement standards </w:t>
      </w:r>
      <w:r w:rsidRPr="003A786F">
        <w:rPr>
          <w:rFonts w:ascii="Times New Roman" w:eastAsia="Times New Roman" w:hAnsi="Times New Roman" w:cs="Times New Roman"/>
          <w:color w:val="333333"/>
          <w:highlight w:val="white"/>
        </w:rPr>
        <w:t>require all participants to actively develop skills, knowledge and confidence.</w:t>
      </w:r>
    </w:p>
    <w:p w14:paraId="58FDFA40" w14:textId="18D67CC4" w:rsidR="00CF1010" w:rsidRPr="003A786F" w:rsidRDefault="00740CCA" w:rsidP="00CF1010">
      <w:pPr>
        <w:spacing w:line="360" w:lineRule="auto"/>
        <w:ind w:firstLine="284"/>
        <w:jc w:val="both"/>
        <w:rPr>
          <w:rFonts w:ascii="Times New Roman" w:eastAsia="Times New Roman" w:hAnsi="Times New Roman" w:cs="Times New Roman"/>
          <w:color w:val="333333"/>
          <w:highlight w:val="white"/>
        </w:rPr>
      </w:pPr>
      <w:r w:rsidRPr="003A786F">
        <w:rPr>
          <w:rFonts w:ascii="Times New Roman" w:eastAsia="Times New Roman" w:hAnsi="Times New Roman" w:cs="Times New Roman"/>
          <w:b/>
          <w:color w:val="333333"/>
          <w:highlight w:val="white"/>
        </w:rPr>
        <w:t>9</w:t>
      </w:r>
      <w:r w:rsidRPr="003A786F">
        <w:rPr>
          <w:rFonts w:ascii="Times New Roman" w:eastAsia="Times New Roman" w:hAnsi="Times New Roman" w:cs="Times New Roman"/>
          <w:color w:val="333333"/>
          <w:highlight w:val="white"/>
        </w:rPr>
        <w:t>.</w:t>
      </w:r>
      <w:r w:rsidR="00CF1010" w:rsidRPr="003A786F">
        <w:rPr>
          <w:rFonts w:ascii="Times New Roman" w:eastAsia="Times New Roman" w:hAnsi="Times New Roman" w:cs="Times New Roman"/>
          <w:color w:val="333333"/>
          <w:highlight w:val="white"/>
        </w:rPr>
        <w:t xml:space="preserve"> </w:t>
      </w:r>
      <w:r w:rsidR="00CF1010" w:rsidRPr="003A786F">
        <w:rPr>
          <w:rFonts w:ascii="Times New Roman" w:eastAsia="Times New Roman" w:hAnsi="Times New Roman" w:cs="Times New Roman"/>
          <w:b/>
          <w:color w:val="333333"/>
          <w:highlight w:val="white"/>
        </w:rPr>
        <w:t>Feedback</w:t>
      </w:r>
      <w:r w:rsidRPr="003A786F">
        <w:rPr>
          <w:rFonts w:ascii="Times New Roman" w:eastAsia="Times New Roman" w:hAnsi="Times New Roman" w:cs="Times New Roman"/>
          <w:b/>
          <w:color w:val="333333"/>
          <w:highlight w:val="white"/>
        </w:rPr>
        <w:t xml:space="preserve"> standards</w:t>
      </w:r>
      <w:r w:rsidRPr="003A786F">
        <w:rPr>
          <w:rFonts w:ascii="Times New Roman" w:eastAsia="Times New Roman" w:hAnsi="Times New Roman" w:cs="Times New Roman"/>
          <w:color w:val="333333"/>
          <w:highlight w:val="white"/>
        </w:rPr>
        <w:t xml:space="preserve"> require feedback on the results of engagement with the wider community and affected agencies.</w:t>
      </w:r>
    </w:p>
    <w:p w14:paraId="00000009" w14:textId="3493607F" w:rsidR="00F900C3" w:rsidRPr="003A786F" w:rsidRDefault="00740CCA" w:rsidP="00CF1010">
      <w:pPr>
        <w:spacing w:line="360" w:lineRule="auto"/>
        <w:ind w:firstLine="284"/>
        <w:jc w:val="both"/>
        <w:rPr>
          <w:rFonts w:ascii="Times New Roman" w:eastAsia="Times New Roman" w:hAnsi="Times New Roman" w:cs="Times New Roman"/>
          <w:b/>
          <w:color w:val="333333"/>
          <w:highlight w:val="white"/>
        </w:rPr>
      </w:pPr>
      <w:r w:rsidRPr="003A786F">
        <w:rPr>
          <w:rFonts w:ascii="Times New Roman" w:eastAsia="Times New Roman" w:hAnsi="Times New Roman" w:cs="Times New Roman"/>
          <w:b/>
          <w:color w:val="333333"/>
          <w:highlight w:val="white"/>
        </w:rPr>
        <w:t>10</w:t>
      </w:r>
      <w:r w:rsidRPr="003A786F">
        <w:rPr>
          <w:rFonts w:ascii="Times New Roman" w:eastAsia="Times New Roman" w:hAnsi="Times New Roman" w:cs="Times New Roman"/>
          <w:color w:val="333333"/>
          <w:highlight w:val="white"/>
        </w:rPr>
        <w:t>.</w:t>
      </w:r>
      <w:r w:rsidR="00CF1010" w:rsidRPr="003A786F">
        <w:rPr>
          <w:rFonts w:ascii="Times New Roman" w:eastAsia="Times New Roman" w:hAnsi="Times New Roman" w:cs="Times New Roman"/>
          <w:color w:val="333333"/>
          <w:highlight w:val="white"/>
        </w:rPr>
        <w:t xml:space="preserve"> </w:t>
      </w:r>
      <w:r w:rsidRPr="003A786F">
        <w:rPr>
          <w:rFonts w:ascii="Times New Roman" w:eastAsia="Times New Roman" w:hAnsi="Times New Roman" w:cs="Times New Roman"/>
          <w:b/>
          <w:color w:val="333333"/>
          <w:highlight w:val="white"/>
        </w:rPr>
        <w:t>Monitoring and Evaluation Standards</w:t>
      </w:r>
      <w:r w:rsidRPr="003A786F">
        <w:rPr>
          <w:rFonts w:ascii="Times New Roman" w:eastAsia="Times New Roman" w:hAnsi="Times New Roman" w:cs="Times New Roman"/>
          <w:color w:val="333333"/>
          <w:highlight w:val="white"/>
        </w:rPr>
        <w:t xml:space="preserve"> include monitoring and evaluating whether the engagement meets its objectives and national standards for community participation (Community Planning Toolkit. 2021). </w:t>
      </w:r>
    </w:p>
    <w:p w14:paraId="3170D311"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The definition of stakeholder is expanding day by day, companies are targeting a narrow group of stakeholders; shareholders, employees, customers, and regulators. Companies are communicating with many people who affect their business; among these are local residents, community development groups, environment and development agencies, civic associations and non-governmental organisations. </w:t>
      </w:r>
    </w:p>
    <w:p w14:paraId="41F851B4"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Becoming part of a community plays a major role in bringing about success for all scales of businesses and stakeholders (Westman </w:t>
      </w:r>
      <w:r w:rsidRPr="003A786F">
        <w:rPr>
          <w:rFonts w:ascii="Times New Roman" w:eastAsia="Times New Roman" w:hAnsi="Times New Roman" w:cs="Times New Roman"/>
          <w:i/>
        </w:rPr>
        <w:t>et al.</w:t>
      </w:r>
      <w:r w:rsidRPr="003A786F">
        <w:rPr>
          <w:rFonts w:ascii="Times New Roman" w:eastAsia="Times New Roman" w:hAnsi="Times New Roman" w:cs="Times New Roman"/>
        </w:rPr>
        <w:t xml:space="preserve"> 2019). Engagement can improve not only the community but also the company by tapping into local knowledge, reducing conflict, increasing recruitment and preventing costly delays. Research identifies and combines three broad strategies to match one's business objectives and context. </w:t>
      </w:r>
    </w:p>
    <w:p w14:paraId="0000000A" w14:textId="505E0526" w:rsidR="00F900C3"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The overall process brings about benefits such as better decision making, local knowledge build-up, conflict reduction, growth of competitiveness and legitimacy, increased recruitment, cultural support etc (Network </w:t>
      </w:r>
      <w:proofErr w:type="gramStart"/>
      <w:r w:rsidRPr="003A786F">
        <w:rPr>
          <w:rFonts w:ascii="Times New Roman" w:eastAsia="Times New Roman" w:hAnsi="Times New Roman" w:cs="Times New Roman"/>
        </w:rPr>
        <w:t>For</w:t>
      </w:r>
      <w:proofErr w:type="gramEnd"/>
      <w:r w:rsidRPr="003A786F">
        <w:rPr>
          <w:rFonts w:ascii="Times New Roman" w:eastAsia="Times New Roman" w:hAnsi="Times New Roman" w:cs="Times New Roman"/>
        </w:rPr>
        <w:t xml:space="preserve"> Business Sustainability. 2018). </w:t>
      </w:r>
    </w:p>
    <w:p w14:paraId="722DB763"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There are some common challenges of community engagement. These challenges and ways to address them are discussed in a series that describes real-life experiences from the partnership between the Clinical and Translational Science Awards (CTSA) program, Prevention Research Centre (PRC) program, and </w:t>
      </w:r>
      <w:proofErr w:type="gramStart"/>
      <w:r w:rsidRPr="003A786F">
        <w:rPr>
          <w:rFonts w:ascii="Times New Roman" w:eastAsia="Times New Roman" w:hAnsi="Times New Roman" w:cs="Times New Roman"/>
        </w:rPr>
        <w:t>other</w:t>
      </w:r>
      <w:proofErr w:type="gramEnd"/>
      <w:r w:rsidRPr="003A786F">
        <w:rPr>
          <w:rFonts w:ascii="Times New Roman" w:eastAsia="Times New Roman" w:hAnsi="Times New Roman" w:cs="Times New Roman"/>
        </w:rPr>
        <w:t xml:space="preserve"> community-engaged research (</w:t>
      </w:r>
      <w:proofErr w:type="spellStart"/>
      <w:r w:rsidRPr="003A786F">
        <w:rPr>
          <w:rFonts w:ascii="Times New Roman" w:eastAsia="Times New Roman" w:hAnsi="Times New Roman" w:cs="Times New Roman"/>
        </w:rPr>
        <w:t>CEnR</w:t>
      </w:r>
      <w:proofErr w:type="spellEnd"/>
      <w:r w:rsidRPr="003A786F">
        <w:rPr>
          <w:rFonts w:ascii="Times New Roman" w:eastAsia="Times New Roman" w:hAnsi="Times New Roman" w:cs="Times New Roman"/>
        </w:rPr>
        <w:t xml:space="preserve">) (ATSDR. 2019). </w:t>
      </w:r>
    </w:p>
    <w:p w14:paraId="0000000B" w14:textId="5570072E" w:rsidR="00F900C3" w:rsidRPr="003A786F" w:rsidRDefault="00740CCA" w:rsidP="00CF1010">
      <w:pPr>
        <w:spacing w:line="360" w:lineRule="auto"/>
        <w:ind w:firstLine="284"/>
        <w:jc w:val="both"/>
        <w:rPr>
          <w:rFonts w:ascii="Times New Roman" w:eastAsia="Times New Roman" w:hAnsi="Times New Roman" w:cs="Times New Roman"/>
          <w:highlight w:val="white"/>
        </w:rPr>
      </w:pPr>
      <w:r w:rsidRPr="003A786F">
        <w:rPr>
          <w:rFonts w:ascii="Times New Roman" w:eastAsia="Times New Roman" w:hAnsi="Times New Roman" w:cs="Times New Roman"/>
        </w:rPr>
        <w:t xml:space="preserve">The five challenges are -engagement and maintenance of community involvement, </w:t>
      </w:r>
      <w:r w:rsidRPr="003A786F">
        <w:rPr>
          <w:rFonts w:ascii="Times New Roman" w:eastAsia="Times New Roman" w:hAnsi="Times New Roman" w:cs="Times New Roman"/>
          <w:highlight w:val="white"/>
        </w:rPr>
        <w:t xml:space="preserve">overcoming diversities among multiple forms of academics and communities, indulging in work relationships with </w:t>
      </w:r>
      <w:r w:rsidR="00CF1010" w:rsidRPr="003A786F">
        <w:rPr>
          <w:rFonts w:ascii="Times New Roman" w:eastAsia="Times New Roman" w:hAnsi="Times New Roman" w:cs="Times New Roman"/>
          <w:highlight w:val="white"/>
        </w:rPr>
        <w:t>non-traditional</w:t>
      </w:r>
      <w:r w:rsidRPr="003A786F">
        <w:rPr>
          <w:rFonts w:ascii="Times New Roman" w:eastAsia="Times New Roman" w:hAnsi="Times New Roman" w:cs="Times New Roman"/>
          <w:highlight w:val="white"/>
        </w:rPr>
        <w:t xml:space="preserve"> communities, leading a project with a particular type of community and constructing a board for community advisory, and overcoming the priorities which are being competitive and having institutional differences (ATSDR. 2019). Each point describes a challenge faced by the partnership and actions taken and provides relevant messages.</w:t>
      </w:r>
    </w:p>
    <w:p w14:paraId="62634634"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Stakeholders can be individuals, groups and entities that are affected by the operation of a business. A clear relationship with stakeholders can be the key to business growth. For a customer-centric </w:t>
      </w:r>
      <w:r w:rsidRPr="003A786F">
        <w:rPr>
          <w:rFonts w:ascii="Times New Roman" w:eastAsia="Times New Roman" w:hAnsi="Times New Roman" w:cs="Times New Roman"/>
        </w:rPr>
        <w:lastRenderedPageBreak/>
        <w:t xml:space="preserve">company, no stakeholder relationship is more important than its customers. Treating customers fairly and providing strong products and services helps achieve long-term customer loyalty. </w:t>
      </w:r>
    </w:p>
    <w:p w14:paraId="0000000C" w14:textId="4772382A" w:rsidR="00F900C3" w:rsidRPr="003A786F" w:rsidRDefault="00740CCA" w:rsidP="00CF1010">
      <w:pPr>
        <w:spacing w:line="360" w:lineRule="auto"/>
        <w:ind w:firstLine="284"/>
        <w:jc w:val="both"/>
        <w:rPr>
          <w:rFonts w:ascii="Times New Roman" w:eastAsia="Times New Roman" w:hAnsi="Times New Roman" w:cs="Times New Roman"/>
          <w:b/>
        </w:rPr>
      </w:pPr>
      <w:r w:rsidRPr="003A786F">
        <w:rPr>
          <w:rFonts w:ascii="Times New Roman" w:eastAsia="Times New Roman" w:hAnsi="Times New Roman" w:cs="Times New Roman"/>
        </w:rPr>
        <w:t xml:space="preserve">The business relationship with the community is closely related. In addition to acting legally and responsibly, small communities like to support organisations that give back through charity and participation in local community activities and events. This led to the emergence of corporate social responsibility </w:t>
      </w:r>
      <w:r w:rsidR="00CF1010" w:rsidRPr="003A786F">
        <w:rPr>
          <w:rFonts w:ascii="Times New Roman" w:eastAsia="Times New Roman" w:hAnsi="Times New Roman" w:cs="Times New Roman"/>
        </w:rPr>
        <w:t>practices. Owners</w:t>
      </w:r>
      <w:r w:rsidRPr="003A786F">
        <w:rPr>
          <w:rFonts w:ascii="Times New Roman" w:eastAsia="Times New Roman" w:hAnsi="Times New Roman" w:cs="Times New Roman"/>
        </w:rPr>
        <w:t xml:space="preserve"> play a small but important role in small businesses owners and stakeholders provide financial support in the corporate structure; which helps in legal profit in business.</w:t>
      </w:r>
    </w:p>
    <w:p w14:paraId="7D60900D"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Community management strategies are important for meaningful progress. The strategy should always be updated keeping in mind the current competition. Community strategies are essential for any long-term or short-term business relationship. </w:t>
      </w:r>
    </w:p>
    <w:p w14:paraId="7D7F97DB"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The strategy should include multiple strategic steps. It is important to effectively determine the core necessity for the process of community engagement (EPA.2020). If a business or its stakeholders are working on a project then they must be able to define the goals, aims, scopes and anticipated results of that project related to community engagement (EPA.2020). </w:t>
      </w:r>
    </w:p>
    <w:p w14:paraId="0000000D" w14:textId="5246B44C" w:rsidR="00F900C3"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In order to work on such an approach, it is highly important to consider the right method or technique of engagement (EPA.2020). The stakeholders involved in the act must have effective collaborative, communicative, and interpersonal professional skills (</w:t>
      </w:r>
      <w:proofErr w:type="spellStart"/>
      <w:r w:rsidRPr="003A786F">
        <w:rPr>
          <w:rFonts w:ascii="Times New Roman" w:eastAsia="Times New Roman" w:hAnsi="Times New Roman" w:cs="Times New Roman"/>
        </w:rPr>
        <w:t>Geekiyanage</w:t>
      </w:r>
      <w:proofErr w:type="spellEnd"/>
      <w:r w:rsidRPr="003A786F">
        <w:rPr>
          <w:rFonts w:ascii="Times New Roman" w:eastAsia="Times New Roman" w:hAnsi="Times New Roman" w:cs="Times New Roman"/>
        </w:rPr>
        <w:t xml:space="preserve">, Fernando and </w:t>
      </w:r>
      <w:proofErr w:type="spellStart"/>
      <w:r w:rsidRPr="003A786F">
        <w:rPr>
          <w:rFonts w:ascii="Times New Roman" w:eastAsia="Times New Roman" w:hAnsi="Times New Roman" w:cs="Times New Roman"/>
        </w:rPr>
        <w:t>Keraminiyage</w:t>
      </w:r>
      <w:proofErr w:type="spellEnd"/>
      <w:r w:rsidRPr="003A786F">
        <w:rPr>
          <w:rFonts w:ascii="Times New Roman" w:eastAsia="Times New Roman" w:hAnsi="Times New Roman" w:cs="Times New Roman"/>
        </w:rPr>
        <w:t xml:space="preserve">, 2020). Last but not the least, it is important to track, monitor, evaluate and modify the planning (EPA.2020). </w:t>
      </w:r>
    </w:p>
    <w:p w14:paraId="29D44550"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Social media platforms are able to provide free communication between the general public and the government. Social media is like a tool for common people to get high activation. The benefit of social media is that it is like an open paper where the public can view comments, ask questions and get direct answers; and stakeholders can be contacted very easily. By understanding how different demographic groups engage with social media platforms, the contribution of social media to finding the stakeholder that they need is huge. </w:t>
      </w:r>
    </w:p>
    <w:p w14:paraId="0000000E" w14:textId="22F19B01" w:rsidR="00F900C3"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Social media is very effective in building a community, attracting people who are interested in such communities and creating a voice of own by expressing support for those communities. Platforms such as Facebook, Twitter, Instagram, and LinkedIn work with great potential in bringing together those communities. It has been observed that brand engagement by businesses with multiple communities can help in erasing brand scandals which highlights the importance of engaging with online communities (Yuan </w:t>
      </w:r>
      <w:r w:rsidRPr="003A786F">
        <w:rPr>
          <w:rFonts w:ascii="Times New Roman" w:eastAsia="Times New Roman" w:hAnsi="Times New Roman" w:cs="Times New Roman"/>
          <w:i/>
        </w:rPr>
        <w:t xml:space="preserve">et al. </w:t>
      </w:r>
      <w:r w:rsidRPr="003A786F">
        <w:rPr>
          <w:rFonts w:ascii="Times New Roman" w:eastAsia="Times New Roman" w:hAnsi="Times New Roman" w:cs="Times New Roman"/>
        </w:rPr>
        <w:t xml:space="preserve">2020). </w:t>
      </w:r>
    </w:p>
    <w:p w14:paraId="2B7D8723"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In order to gain a healthy and progressive community engagement, it is highly important that businesses, organisations or any other personal and professional bodies are focused on socio-cultural integration and multiculturalism. However, the process of this integration needs to be highly focused on a respectful rendition of all races, cultural diversity etc (Warren and </w:t>
      </w:r>
      <w:proofErr w:type="spellStart"/>
      <w:r w:rsidRPr="003A786F">
        <w:rPr>
          <w:rFonts w:ascii="Times New Roman" w:eastAsia="Times New Roman" w:hAnsi="Times New Roman" w:cs="Times New Roman"/>
        </w:rPr>
        <w:t>Akoury</w:t>
      </w:r>
      <w:proofErr w:type="spellEnd"/>
      <w:r w:rsidRPr="003A786F">
        <w:rPr>
          <w:rFonts w:ascii="Times New Roman" w:eastAsia="Times New Roman" w:hAnsi="Times New Roman" w:cs="Times New Roman"/>
        </w:rPr>
        <w:t xml:space="preserve">, 2020). </w:t>
      </w:r>
    </w:p>
    <w:p w14:paraId="2817D772"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lastRenderedPageBreak/>
        <w:t>The idea of sociocultural integration tends to correlate with the standard principle of common socio-political interactions. It helps in influencing the subjects to connect with each other using the interactive form of common civil (</w:t>
      </w:r>
      <w:proofErr w:type="spellStart"/>
      <w:r w:rsidRPr="003A786F">
        <w:rPr>
          <w:rFonts w:ascii="Times New Roman" w:eastAsia="Times New Roman" w:hAnsi="Times New Roman" w:cs="Times New Roman"/>
        </w:rPr>
        <w:t>Ideopol</w:t>
      </w:r>
      <w:proofErr w:type="spellEnd"/>
      <w:r w:rsidRPr="003A786F">
        <w:rPr>
          <w:rFonts w:ascii="Times New Roman" w:eastAsia="Times New Roman" w:hAnsi="Times New Roman" w:cs="Times New Roman"/>
        </w:rPr>
        <w:t xml:space="preserve">. 2020). </w:t>
      </w:r>
    </w:p>
    <w:p w14:paraId="6139EFEF"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Community involvement through socio-cultural integration is possible when the businesses or organisations or the stakeholders are ready to mix up with the locals. Meeting people beyond the language barriers is also important in order to create cultural harmony.  At the same time, it is also highly important to get acquainted and communicate consistently with a diverse range of communities which brings networking flexibility. </w:t>
      </w:r>
    </w:p>
    <w:p w14:paraId="0000000F" w14:textId="0EB67251" w:rsidR="00F900C3"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Moreover, organisations, stakeholders or individuals can also practise maintaining cultural sensitivity which helps in creating an empathetic engagement with people of cultural differences. It is helpful in gaining reputation and support forces from every section of society.  </w:t>
      </w:r>
    </w:p>
    <w:p w14:paraId="205415E1" w14:textId="54D82397" w:rsidR="00CF1010" w:rsidRPr="003A786F" w:rsidRDefault="00CF1010"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br w:type="page"/>
      </w:r>
    </w:p>
    <w:p w14:paraId="00000010" w14:textId="7000F3FC" w:rsidR="00F900C3" w:rsidRPr="003A786F" w:rsidRDefault="00740CCA" w:rsidP="00CF1010">
      <w:pPr>
        <w:spacing w:line="360" w:lineRule="auto"/>
        <w:ind w:firstLine="284"/>
        <w:jc w:val="center"/>
        <w:rPr>
          <w:rFonts w:ascii="Times New Roman" w:eastAsia="Times New Roman" w:hAnsi="Times New Roman" w:cs="Times New Roman"/>
          <w:b/>
        </w:rPr>
      </w:pPr>
      <w:r w:rsidRPr="003A786F">
        <w:rPr>
          <w:rFonts w:ascii="Times New Roman" w:eastAsia="Times New Roman" w:hAnsi="Times New Roman" w:cs="Times New Roman"/>
          <w:b/>
        </w:rPr>
        <w:lastRenderedPageBreak/>
        <w:t>Conclusion</w:t>
      </w:r>
    </w:p>
    <w:p w14:paraId="6F9CFCF6" w14:textId="77777777" w:rsidR="00CF1010" w:rsidRPr="003A786F" w:rsidRDefault="00CF1010" w:rsidP="00CF1010">
      <w:pPr>
        <w:spacing w:line="360" w:lineRule="auto"/>
        <w:ind w:firstLine="284"/>
        <w:jc w:val="center"/>
        <w:rPr>
          <w:rFonts w:ascii="Times New Roman" w:eastAsia="Times New Roman" w:hAnsi="Times New Roman" w:cs="Times New Roman"/>
          <w:b/>
        </w:rPr>
      </w:pPr>
    </w:p>
    <w:p w14:paraId="0A54CCF3"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The idea of community engagement not only feeds the basic human urge to socialise and live but also it serves as the secret ingredient of progress and future growth. In all the spheres of both business and non-business sectors, community exposure plays a key role in bringing about success and harmony. For businesses not only does it offer better exposure to networking and expansion but also helps in gaining an impeccable reputation. </w:t>
      </w:r>
    </w:p>
    <w:p w14:paraId="19B5F9C0" w14:textId="06062FC6" w:rsidR="00CF1010" w:rsidRPr="003A786F" w:rsidRDefault="00CF1010"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E</w:t>
      </w:r>
      <w:r w:rsidR="00740CCA" w:rsidRPr="003A786F">
        <w:rPr>
          <w:rFonts w:ascii="Times New Roman" w:eastAsia="Times New Roman" w:hAnsi="Times New Roman" w:cs="Times New Roman"/>
        </w:rPr>
        <w:t xml:space="preserve">ven though there are potential challenges that come in the way of community engagement it can be overpowered by the stakeholders by making the right use of the internet and social media platforms. At the same time, their interpersonal skills and professional skills along with effective communication are also important in carrying forward a positive communicative practice. </w:t>
      </w:r>
    </w:p>
    <w:p w14:paraId="00000011" w14:textId="54FA19A0" w:rsidR="00F900C3"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On the other hand, while building up an engagement it is important that stakeholders are focusing on building communal harmony by taking care of the diversity, cultural differences and beliefs. </w:t>
      </w:r>
    </w:p>
    <w:p w14:paraId="187FDA8E"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In order to gain community engagement success, a few suggestions would be appropriate. Business organisations or individuals can make use of social media to attract the communities. Joining social media groups of similar interests is highly effective at building such community exposure. Moreover, it is highly important to maintain highly communicative flexibility. </w:t>
      </w:r>
    </w:p>
    <w:p w14:paraId="492B62E8" w14:textId="77777777" w:rsidR="00CF1010"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Building communication through multiple channels, platforms etc. helps in constructing a community which aids in business growth. </w:t>
      </w:r>
    </w:p>
    <w:p w14:paraId="00000012" w14:textId="0406E502" w:rsidR="00F900C3" w:rsidRPr="003A786F" w:rsidRDefault="00CF1010" w:rsidP="00CF1010">
      <w:pPr>
        <w:spacing w:line="360" w:lineRule="auto"/>
        <w:ind w:firstLine="284"/>
        <w:jc w:val="both"/>
        <w:rPr>
          <w:rFonts w:ascii="Times New Roman" w:eastAsia="Times New Roman" w:hAnsi="Times New Roman" w:cs="Times New Roman"/>
        </w:rPr>
      </w:pPr>
      <w:r w:rsidRPr="003A786F">
        <w:rPr>
          <w:rFonts w:ascii="Times New Roman" w:eastAsia="Times New Roman" w:hAnsi="Times New Roman" w:cs="Times New Roman"/>
        </w:rPr>
        <w:t>It</w:t>
      </w:r>
      <w:r w:rsidR="00740CCA" w:rsidRPr="003A786F">
        <w:rPr>
          <w:rFonts w:ascii="Times New Roman" w:eastAsia="Times New Roman" w:hAnsi="Times New Roman" w:cs="Times New Roman"/>
        </w:rPr>
        <w:t xml:space="preserve"> is also important to make use of multiple technologies which helps in team building going beyond cultural diversity through language translation and collaboration. Moreover, collaborating with other companies and businesses is also a great idea to tap into their community of them in order to unleash an ocean of engagement and networking. Staying culturally sensitive while building an engagement with a new community helps in a highly lucrative way to build quick connections. </w:t>
      </w:r>
    </w:p>
    <w:p w14:paraId="00000013" w14:textId="77777777" w:rsidR="00F900C3" w:rsidRPr="003A786F" w:rsidRDefault="00F900C3" w:rsidP="00CF1010">
      <w:pPr>
        <w:spacing w:line="360" w:lineRule="auto"/>
        <w:ind w:firstLine="284"/>
        <w:jc w:val="both"/>
        <w:rPr>
          <w:rFonts w:ascii="Times New Roman" w:eastAsia="Times New Roman" w:hAnsi="Times New Roman" w:cs="Times New Roman"/>
        </w:rPr>
      </w:pPr>
    </w:p>
    <w:p w14:paraId="00000014" w14:textId="77777777" w:rsidR="00F900C3" w:rsidRPr="003A786F" w:rsidRDefault="00F900C3" w:rsidP="00CF1010">
      <w:pPr>
        <w:spacing w:line="360" w:lineRule="auto"/>
        <w:ind w:firstLine="284"/>
        <w:jc w:val="both"/>
        <w:rPr>
          <w:rFonts w:ascii="Times New Roman" w:eastAsia="Times New Roman" w:hAnsi="Times New Roman" w:cs="Times New Roman"/>
        </w:rPr>
      </w:pPr>
    </w:p>
    <w:p w14:paraId="00000015" w14:textId="77777777" w:rsidR="00F900C3" w:rsidRPr="003A786F" w:rsidRDefault="00740CCA" w:rsidP="00CF1010">
      <w:pPr>
        <w:spacing w:line="360" w:lineRule="auto"/>
        <w:ind w:firstLine="284"/>
        <w:jc w:val="both"/>
        <w:rPr>
          <w:rFonts w:ascii="Times New Roman" w:eastAsia="Times New Roman" w:hAnsi="Times New Roman" w:cs="Times New Roman"/>
        </w:rPr>
      </w:pPr>
      <w:r w:rsidRPr="003A786F">
        <w:rPr>
          <w:rFonts w:ascii="Times New Roman" w:hAnsi="Times New Roman" w:cs="Times New Roman"/>
        </w:rPr>
        <w:br w:type="page"/>
      </w:r>
    </w:p>
    <w:p w14:paraId="00000016" w14:textId="2B2934AB" w:rsidR="00F900C3" w:rsidRPr="003A786F" w:rsidRDefault="00740CCA" w:rsidP="00CF1010">
      <w:pPr>
        <w:spacing w:line="360" w:lineRule="auto"/>
        <w:ind w:left="284" w:firstLine="284"/>
        <w:jc w:val="center"/>
        <w:rPr>
          <w:rFonts w:ascii="Times New Roman" w:eastAsia="Times New Roman" w:hAnsi="Times New Roman" w:cs="Times New Roman"/>
          <w:b/>
        </w:rPr>
      </w:pPr>
      <w:r w:rsidRPr="003A786F">
        <w:rPr>
          <w:rFonts w:ascii="Times New Roman" w:eastAsia="Times New Roman" w:hAnsi="Times New Roman" w:cs="Times New Roman"/>
          <w:b/>
        </w:rPr>
        <w:lastRenderedPageBreak/>
        <w:t>References</w:t>
      </w:r>
    </w:p>
    <w:p w14:paraId="15BE3AF4" w14:textId="77777777" w:rsidR="00CF1010" w:rsidRPr="003A786F" w:rsidRDefault="00CF1010" w:rsidP="00CF1010">
      <w:pPr>
        <w:spacing w:line="360" w:lineRule="auto"/>
        <w:ind w:left="284" w:firstLine="284"/>
        <w:jc w:val="center"/>
        <w:rPr>
          <w:rFonts w:ascii="Times New Roman" w:eastAsia="Times New Roman" w:hAnsi="Times New Roman" w:cs="Times New Roman"/>
          <w:b/>
        </w:rPr>
      </w:pPr>
    </w:p>
    <w:p w14:paraId="00000017" w14:textId="77777777"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ATSDR. (2019). Chapter 5. Challenges in Improving Community Engagement in Research. Available at. </w:t>
      </w:r>
      <w:hyperlink r:id="rId8">
        <w:r w:rsidRPr="003A786F">
          <w:rPr>
            <w:rFonts w:ascii="Times New Roman" w:eastAsia="Times New Roman" w:hAnsi="Times New Roman" w:cs="Times New Roman"/>
            <w:color w:val="1155CC"/>
            <w:u w:val="single"/>
          </w:rPr>
          <w:t>https://www.atsdr.cdc.gov/communityengagement/pce_challenges_intro.html</w:t>
        </w:r>
      </w:hyperlink>
      <w:r w:rsidRPr="003A786F">
        <w:rPr>
          <w:rFonts w:ascii="Times New Roman" w:eastAsia="Times New Roman" w:hAnsi="Times New Roman" w:cs="Times New Roman"/>
        </w:rPr>
        <w:t xml:space="preserve">. (Accessed on 13th July 2022). </w:t>
      </w:r>
    </w:p>
    <w:p w14:paraId="00000018" w14:textId="77777777"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rPr>
      </w:pPr>
      <w:proofErr w:type="spellStart"/>
      <w:r w:rsidRPr="003A786F">
        <w:rPr>
          <w:rFonts w:ascii="Times New Roman" w:eastAsia="Times New Roman" w:hAnsi="Times New Roman" w:cs="Times New Roman"/>
        </w:rPr>
        <w:t>Bitc</w:t>
      </w:r>
      <w:proofErr w:type="spellEnd"/>
      <w:r w:rsidRPr="003A786F">
        <w:rPr>
          <w:rFonts w:ascii="Times New Roman" w:eastAsia="Times New Roman" w:hAnsi="Times New Roman" w:cs="Times New Roman"/>
        </w:rPr>
        <w:t xml:space="preserve">. (2022). KPMG: Promoting a culture of allyship to drive race equality. Available at. </w:t>
      </w:r>
      <w:hyperlink r:id="rId9">
        <w:r w:rsidRPr="003A786F">
          <w:rPr>
            <w:rFonts w:ascii="Times New Roman" w:eastAsia="Times New Roman" w:hAnsi="Times New Roman" w:cs="Times New Roman"/>
            <w:color w:val="1155CC"/>
            <w:u w:val="single"/>
          </w:rPr>
          <w:t>https://www.bitc.org.uk/case-study/kpmg-allyship-to-drive-race-equality/</w:t>
        </w:r>
      </w:hyperlink>
      <w:r w:rsidRPr="003A786F">
        <w:rPr>
          <w:rFonts w:ascii="Times New Roman" w:eastAsia="Times New Roman" w:hAnsi="Times New Roman" w:cs="Times New Roman"/>
        </w:rPr>
        <w:t xml:space="preserve">. (Accessed on 19th July 2022). </w:t>
      </w:r>
    </w:p>
    <w:p w14:paraId="00000019" w14:textId="77777777"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color w:val="333333"/>
          <w:highlight w:val="white"/>
        </w:rPr>
      </w:pPr>
      <w:r w:rsidRPr="003A786F">
        <w:rPr>
          <w:rFonts w:ascii="Times New Roman" w:eastAsia="Times New Roman" w:hAnsi="Times New Roman" w:cs="Times New Roman"/>
          <w:color w:val="333333"/>
          <w:highlight w:val="white"/>
        </w:rPr>
        <w:t xml:space="preserve">Community Planning Toolkit. (2021). National Standards for Community Engagement. Available at. </w:t>
      </w:r>
      <w:hyperlink r:id="rId10">
        <w:r w:rsidRPr="003A786F">
          <w:rPr>
            <w:rFonts w:ascii="Times New Roman" w:eastAsia="Times New Roman" w:hAnsi="Times New Roman" w:cs="Times New Roman"/>
            <w:color w:val="1155CC"/>
            <w:highlight w:val="white"/>
            <w:u w:val="single"/>
          </w:rPr>
          <w:t>https://www.communityplanningtoolkit.org/sites/default/files/EngagementR5.pdf</w:t>
        </w:r>
      </w:hyperlink>
      <w:r w:rsidRPr="003A786F">
        <w:rPr>
          <w:rFonts w:ascii="Times New Roman" w:eastAsia="Times New Roman" w:hAnsi="Times New Roman" w:cs="Times New Roman"/>
          <w:color w:val="333333"/>
          <w:highlight w:val="white"/>
        </w:rPr>
        <w:t xml:space="preserve">. (Accessed on 12th July 2022). </w:t>
      </w:r>
    </w:p>
    <w:p w14:paraId="0000001A" w14:textId="77777777"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rPr>
      </w:pPr>
      <w:proofErr w:type="gramStart"/>
      <w:r w:rsidRPr="003A786F">
        <w:rPr>
          <w:rFonts w:ascii="Times New Roman" w:eastAsia="Times New Roman" w:hAnsi="Times New Roman" w:cs="Times New Roman"/>
        </w:rPr>
        <w:t>EPA.(</w:t>
      </w:r>
      <w:proofErr w:type="gramEnd"/>
      <w:r w:rsidRPr="003A786F">
        <w:rPr>
          <w:rFonts w:ascii="Times New Roman" w:eastAsia="Times New Roman" w:hAnsi="Times New Roman" w:cs="Times New Roman"/>
        </w:rPr>
        <w:t xml:space="preserve">2020).Community Engagement Strategy. Available at. </w:t>
      </w:r>
      <w:hyperlink r:id="rId11">
        <w:r w:rsidRPr="003A786F">
          <w:rPr>
            <w:rFonts w:ascii="Times New Roman" w:eastAsia="Times New Roman" w:hAnsi="Times New Roman" w:cs="Times New Roman"/>
            <w:color w:val="1155CC"/>
            <w:u w:val="single"/>
          </w:rPr>
          <w:t>https://www.epa.gov/sites/default/files/2017-03/documents/tribalswcommunityengagementstrategy508.pdf</w:t>
        </w:r>
      </w:hyperlink>
      <w:r w:rsidRPr="003A786F">
        <w:rPr>
          <w:rFonts w:ascii="Times New Roman" w:eastAsia="Times New Roman" w:hAnsi="Times New Roman" w:cs="Times New Roman"/>
        </w:rPr>
        <w:t xml:space="preserve">. (Accessed on 10th July 2022). </w:t>
      </w:r>
    </w:p>
    <w:p w14:paraId="0000001B" w14:textId="11EE4506"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color w:val="222222"/>
          <w:highlight w:val="white"/>
        </w:rPr>
      </w:pPr>
      <w:proofErr w:type="spellStart"/>
      <w:r w:rsidRPr="003A786F">
        <w:rPr>
          <w:rFonts w:ascii="Times New Roman" w:eastAsia="Times New Roman" w:hAnsi="Times New Roman" w:cs="Times New Roman"/>
          <w:color w:val="222222"/>
          <w:highlight w:val="white"/>
        </w:rPr>
        <w:t>Geekiyanage</w:t>
      </w:r>
      <w:proofErr w:type="spellEnd"/>
      <w:r w:rsidRPr="003A786F">
        <w:rPr>
          <w:rFonts w:ascii="Times New Roman" w:eastAsia="Times New Roman" w:hAnsi="Times New Roman" w:cs="Times New Roman"/>
          <w:color w:val="222222"/>
          <w:highlight w:val="white"/>
        </w:rPr>
        <w:t xml:space="preserve">, D., Fernando, T. and </w:t>
      </w:r>
      <w:proofErr w:type="spellStart"/>
      <w:r w:rsidRPr="003A786F">
        <w:rPr>
          <w:rFonts w:ascii="Times New Roman" w:eastAsia="Times New Roman" w:hAnsi="Times New Roman" w:cs="Times New Roman"/>
          <w:color w:val="222222"/>
          <w:highlight w:val="white"/>
        </w:rPr>
        <w:t>Keraminiyage</w:t>
      </w:r>
      <w:proofErr w:type="spellEnd"/>
      <w:r w:rsidRPr="003A786F">
        <w:rPr>
          <w:rFonts w:ascii="Times New Roman" w:eastAsia="Times New Roman" w:hAnsi="Times New Roman" w:cs="Times New Roman"/>
          <w:color w:val="222222"/>
          <w:highlight w:val="white"/>
        </w:rPr>
        <w:t xml:space="preserve">, K., 2020. Assessing the state of the art in community engagement for participatory decision-making in disaster risk-sensitive urban development. </w:t>
      </w:r>
      <w:r w:rsidRPr="003A786F">
        <w:rPr>
          <w:rFonts w:ascii="Times New Roman" w:eastAsia="Times New Roman" w:hAnsi="Times New Roman" w:cs="Times New Roman"/>
          <w:i/>
          <w:color w:val="222222"/>
          <w:highlight w:val="white"/>
        </w:rPr>
        <w:t>International journal of disaster risk reduction</w:t>
      </w:r>
      <w:r w:rsidRPr="003A786F">
        <w:rPr>
          <w:rFonts w:ascii="Times New Roman" w:eastAsia="Times New Roman" w:hAnsi="Times New Roman" w:cs="Times New Roman"/>
          <w:color w:val="222222"/>
          <w:highlight w:val="white"/>
        </w:rPr>
        <w:t xml:space="preserve">, </w:t>
      </w:r>
      <w:r w:rsidRPr="003A786F">
        <w:rPr>
          <w:rFonts w:ascii="Times New Roman" w:eastAsia="Times New Roman" w:hAnsi="Times New Roman" w:cs="Times New Roman"/>
          <w:i/>
          <w:color w:val="222222"/>
          <w:highlight w:val="white"/>
        </w:rPr>
        <w:t>51</w:t>
      </w:r>
      <w:r w:rsidRPr="003A786F">
        <w:rPr>
          <w:rFonts w:ascii="Times New Roman" w:eastAsia="Times New Roman" w:hAnsi="Times New Roman" w:cs="Times New Roman"/>
          <w:color w:val="222222"/>
          <w:highlight w:val="white"/>
        </w:rPr>
        <w:t xml:space="preserve">, p.101847. </w:t>
      </w:r>
      <w:r w:rsidR="00CF1010" w:rsidRPr="003A786F">
        <w:rPr>
          <w:rFonts w:ascii="Times New Roman" w:eastAsia="Times New Roman" w:hAnsi="Times New Roman" w:cs="Times New Roman"/>
          <w:color w:val="333333"/>
          <w:highlight w:val="white"/>
        </w:rPr>
        <w:t>(Accessed on 14th July 2022).</w:t>
      </w:r>
    </w:p>
    <w:p w14:paraId="0000001C" w14:textId="77777777"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rPr>
      </w:pPr>
      <w:proofErr w:type="spellStart"/>
      <w:r w:rsidRPr="003A786F">
        <w:rPr>
          <w:rFonts w:ascii="Times New Roman" w:eastAsia="Times New Roman" w:hAnsi="Times New Roman" w:cs="Times New Roman"/>
        </w:rPr>
        <w:t>Ideopol</w:t>
      </w:r>
      <w:proofErr w:type="spellEnd"/>
      <w:r w:rsidRPr="003A786F">
        <w:rPr>
          <w:rFonts w:ascii="Times New Roman" w:eastAsia="Times New Roman" w:hAnsi="Times New Roman" w:cs="Times New Roman"/>
        </w:rPr>
        <w:t xml:space="preserve">. (2020). SOCIOCULTURAL INTEGRATION POLICY IN MULTI-ETHNIC SOCIETIES: UNDERLYING CONCEPTS AND METHODOLOGICAL APPROACHES. Available at. </w:t>
      </w:r>
      <w:hyperlink r:id="rId12">
        <w:r w:rsidRPr="003A786F">
          <w:rPr>
            <w:rFonts w:ascii="Times New Roman" w:eastAsia="Times New Roman" w:hAnsi="Times New Roman" w:cs="Times New Roman"/>
            <w:color w:val="1155CC"/>
            <w:u w:val="single"/>
          </w:rPr>
          <w:t>https://www.ideopol.org/wp-content/uploads/2020/10/ENG.-1.3.-Popov.pdf</w:t>
        </w:r>
      </w:hyperlink>
      <w:r w:rsidRPr="003A786F">
        <w:rPr>
          <w:rFonts w:ascii="Times New Roman" w:eastAsia="Times New Roman" w:hAnsi="Times New Roman" w:cs="Times New Roman"/>
        </w:rPr>
        <w:t xml:space="preserve">. (Accessed on 18th July 2022). </w:t>
      </w:r>
    </w:p>
    <w:p w14:paraId="0000001D" w14:textId="79609E30"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Kumar, J. and Kumar, V., 2020. Drivers of brand community engagement. </w:t>
      </w:r>
      <w:r w:rsidRPr="003A786F">
        <w:rPr>
          <w:rFonts w:ascii="Times New Roman" w:eastAsia="Times New Roman" w:hAnsi="Times New Roman" w:cs="Times New Roman"/>
          <w:i/>
        </w:rPr>
        <w:t>Journal of Retailing and Consumer Services</w:t>
      </w:r>
      <w:r w:rsidRPr="003A786F">
        <w:rPr>
          <w:rFonts w:ascii="Times New Roman" w:eastAsia="Times New Roman" w:hAnsi="Times New Roman" w:cs="Times New Roman"/>
        </w:rPr>
        <w:t>, 54, p.101949.</w:t>
      </w:r>
      <w:r w:rsidR="00CF1010" w:rsidRPr="003A786F">
        <w:rPr>
          <w:rFonts w:ascii="Times New Roman" w:eastAsia="Times New Roman" w:hAnsi="Times New Roman" w:cs="Times New Roman"/>
        </w:rPr>
        <w:t xml:space="preserve"> </w:t>
      </w:r>
      <w:r w:rsidR="00CF1010" w:rsidRPr="003A786F">
        <w:rPr>
          <w:rFonts w:ascii="Times New Roman" w:eastAsia="Times New Roman" w:hAnsi="Times New Roman" w:cs="Times New Roman"/>
          <w:color w:val="333333"/>
          <w:highlight w:val="white"/>
        </w:rPr>
        <w:t>(Accessed on 18th July 2022).</w:t>
      </w:r>
    </w:p>
    <w:p w14:paraId="0000001E" w14:textId="77777777"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Network For Business Sustainability. (2018). Engage Your Community Stakeholders: A Guide for Businesses. Available at. </w:t>
      </w:r>
      <w:hyperlink r:id="rId13" w:anchor=":~:text=Engaging%20with%20community%20stakeholders%20can,recruitment%20and%20preventing%20costly%20delays">
        <w:r w:rsidRPr="003A786F">
          <w:rPr>
            <w:rFonts w:ascii="Times New Roman" w:eastAsia="Times New Roman" w:hAnsi="Times New Roman" w:cs="Times New Roman"/>
            <w:color w:val="1155CC"/>
            <w:u w:val="single"/>
          </w:rPr>
          <w:t>https://nbs.net/engage-your-community-stakeholders-an-introductory-guide-for-businesses/#:~:text=Engaging%20with%20community%20stakeholders%20can,recruitment%20and%20preventing%20costly%20delays</w:t>
        </w:r>
      </w:hyperlink>
      <w:r w:rsidRPr="003A786F">
        <w:rPr>
          <w:rFonts w:ascii="Times New Roman" w:eastAsia="Times New Roman" w:hAnsi="Times New Roman" w:cs="Times New Roman"/>
        </w:rPr>
        <w:t xml:space="preserve">. (Accessed on 14th July 2022). </w:t>
      </w:r>
    </w:p>
    <w:p w14:paraId="0000001F" w14:textId="77777777"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rPr>
      </w:pPr>
      <w:proofErr w:type="spellStart"/>
      <w:r w:rsidRPr="003A786F">
        <w:rPr>
          <w:rFonts w:ascii="Times New Roman" w:eastAsia="Times New Roman" w:hAnsi="Times New Roman" w:cs="Times New Roman"/>
        </w:rPr>
        <w:t>Orau</w:t>
      </w:r>
      <w:proofErr w:type="spellEnd"/>
      <w:r w:rsidRPr="003A786F">
        <w:rPr>
          <w:rFonts w:ascii="Times New Roman" w:eastAsia="Times New Roman" w:hAnsi="Times New Roman" w:cs="Times New Roman"/>
        </w:rPr>
        <w:t xml:space="preserve">. (2021). Principles of Community Engagement. Available at. </w:t>
      </w:r>
      <w:hyperlink r:id="rId14">
        <w:r w:rsidRPr="003A786F">
          <w:rPr>
            <w:rFonts w:ascii="Times New Roman" w:eastAsia="Times New Roman" w:hAnsi="Times New Roman" w:cs="Times New Roman"/>
            <w:color w:val="1155CC"/>
            <w:u w:val="single"/>
          </w:rPr>
          <w:t>https://www.orau.gov/sns/atrisktool/files/PrinciplesofCommunityEngagement.pdf</w:t>
        </w:r>
      </w:hyperlink>
      <w:r w:rsidRPr="003A786F">
        <w:rPr>
          <w:rFonts w:ascii="Times New Roman" w:eastAsia="Times New Roman" w:hAnsi="Times New Roman" w:cs="Times New Roman"/>
        </w:rPr>
        <w:t xml:space="preserve">. (Accessed on 16th July 2022).  </w:t>
      </w:r>
    </w:p>
    <w:p w14:paraId="00000020" w14:textId="77777777"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Penn State College of Agricultural Sciences. (2020). Core Principles of Community Engagement. Available at. </w:t>
      </w:r>
      <w:hyperlink r:id="rId15" w:anchor=":~:text=Equitably%20incorporate%20diverse%20people%2C%20voices,to%20advance%20the%20common%20good">
        <w:r w:rsidRPr="003A786F">
          <w:rPr>
            <w:rFonts w:ascii="Times New Roman" w:eastAsia="Times New Roman" w:hAnsi="Times New Roman" w:cs="Times New Roman"/>
            <w:color w:val="1155CC"/>
            <w:u w:val="single"/>
          </w:rPr>
          <w:t>https://aese.psu.edu/research/centers/cecd/engagement-toolbox/engagement/core-principles-of-community-engagement#:~:text=Equitably%20incorporate%20diverse%20people%2C%20voices,to%20advance%20the%20common%20good</w:t>
        </w:r>
      </w:hyperlink>
      <w:r w:rsidRPr="003A786F">
        <w:rPr>
          <w:rFonts w:ascii="Times New Roman" w:eastAsia="Times New Roman" w:hAnsi="Times New Roman" w:cs="Times New Roman"/>
        </w:rPr>
        <w:t xml:space="preserve">. (Accessed on 20th July 2022).  </w:t>
      </w:r>
    </w:p>
    <w:p w14:paraId="00000021" w14:textId="77777777"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rPr>
      </w:pPr>
      <w:proofErr w:type="spellStart"/>
      <w:r w:rsidRPr="003A786F">
        <w:rPr>
          <w:rFonts w:ascii="Times New Roman" w:eastAsia="Times New Roman" w:hAnsi="Times New Roman" w:cs="Times New Roman"/>
        </w:rPr>
        <w:lastRenderedPageBreak/>
        <w:t>Scdc</w:t>
      </w:r>
      <w:proofErr w:type="spellEnd"/>
      <w:r w:rsidRPr="003A786F">
        <w:rPr>
          <w:rFonts w:ascii="Times New Roman" w:eastAsia="Times New Roman" w:hAnsi="Times New Roman" w:cs="Times New Roman"/>
        </w:rPr>
        <w:t xml:space="preserve">. (2022). National Standards for Community Engagement. Available at. </w:t>
      </w:r>
      <w:hyperlink r:id="rId16">
        <w:r w:rsidRPr="003A786F">
          <w:rPr>
            <w:rFonts w:ascii="Times New Roman" w:eastAsia="Times New Roman" w:hAnsi="Times New Roman" w:cs="Times New Roman"/>
            <w:color w:val="1155CC"/>
            <w:u w:val="single"/>
          </w:rPr>
          <w:t>https://www.scdc.org.uk/what/national-standards</w:t>
        </w:r>
      </w:hyperlink>
      <w:r w:rsidRPr="003A786F">
        <w:rPr>
          <w:rFonts w:ascii="Times New Roman" w:eastAsia="Times New Roman" w:hAnsi="Times New Roman" w:cs="Times New Roman"/>
        </w:rPr>
        <w:t xml:space="preserve">. (Accessed on 10th July 2022). </w:t>
      </w:r>
    </w:p>
    <w:p w14:paraId="00000022" w14:textId="05F74764"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color w:val="222222"/>
          <w:highlight w:val="white"/>
        </w:rPr>
      </w:pPr>
      <w:r w:rsidRPr="003A786F">
        <w:rPr>
          <w:rFonts w:ascii="Times New Roman" w:eastAsia="Times New Roman" w:hAnsi="Times New Roman" w:cs="Times New Roman"/>
          <w:color w:val="222222"/>
          <w:highlight w:val="white"/>
        </w:rPr>
        <w:t xml:space="preserve">Warren, C.S. and </w:t>
      </w:r>
      <w:proofErr w:type="spellStart"/>
      <w:r w:rsidRPr="003A786F">
        <w:rPr>
          <w:rFonts w:ascii="Times New Roman" w:eastAsia="Times New Roman" w:hAnsi="Times New Roman" w:cs="Times New Roman"/>
          <w:color w:val="222222"/>
          <w:highlight w:val="white"/>
        </w:rPr>
        <w:t>Akoury</w:t>
      </w:r>
      <w:proofErr w:type="spellEnd"/>
      <w:r w:rsidRPr="003A786F">
        <w:rPr>
          <w:rFonts w:ascii="Times New Roman" w:eastAsia="Times New Roman" w:hAnsi="Times New Roman" w:cs="Times New Roman"/>
          <w:color w:val="222222"/>
          <w:highlight w:val="white"/>
        </w:rPr>
        <w:t xml:space="preserve">, L.M., 2020. Emphasizing the “cultural” in sociocultural: A systematic review of research on thin-ideal internalization, acculturation, and eating pathology in US ethnic minorities. </w:t>
      </w:r>
      <w:r w:rsidRPr="003A786F">
        <w:rPr>
          <w:rFonts w:ascii="Times New Roman" w:eastAsia="Times New Roman" w:hAnsi="Times New Roman" w:cs="Times New Roman"/>
          <w:i/>
          <w:color w:val="222222"/>
          <w:highlight w:val="white"/>
        </w:rPr>
        <w:t xml:space="preserve">Psychology Research and </w:t>
      </w:r>
      <w:proofErr w:type="spellStart"/>
      <w:r w:rsidRPr="003A786F">
        <w:rPr>
          <w:rFonts w:ascii="Times New Roman" w:eastAsia="Times New Roman" w:hAnsi="Times New Roman" w:cs="Times New Roman"/>
          <w:i/>
          <w:color w:val="222222"/>
          <w:highlight w:val="white"/>
        </w:rPr>
        <w:t>Behavior</w:t>
      </w:r>
      <w:proofErr w:type="spellEnd"/>
      <w:r w:rsidRPr="003A786F">
        <w:rPr>
          <w:rFonts w:ascii="Times New Roman" w:eastAsia="Times New Roman" w:hAnsi="Times New Roman" w:cs="Times New Roman"/>
          <w:i/>
          <w:color w:val="222222"/>
          <w:highlight w:val="white"/>
        </w:rPr>
        <w:t xml:space="preserve"> Management</w:t>
      </w:r>
      <w:r w:rsidRPr="003A786F">
        <w:rPr>
          <w:rFonts w:ascii="Times New Roman" w:eastAsia="Times New Roman" w:hAnsi="Times New Roman" w:cs="Times New Roman"/>
          <w:color w:val="222222"/>
          <w:highlight w:val="white"/>
        </w:rPr>
        <w:t xml:space="preserve">, </w:t>
      </w:r>
      <w:r w:rsidRPr="003A786F">
        <w:rPr>
          <w:rFonts w:ascii="Times New Roman" w:eastAsia="Times New Roman" w:hAnsi="Times New Roman" w:cs="Times New Roman"/>
          <w:i/>
          <w:color w:val="222222"/>
          <w:highlight w:val="white"/>
        </w:rPr>
        <w:t>13</w:t>
      </w:r>
      <w:r w:rsidRPr="003A786F">
        <w:rPr>
          <w:rFonts w:ascii="Times New Roman" w:eastAsia="Times New Roman" w:hAnsi="Times New Roman" w:cs="Times New Roman"/>
          <w:color w:val="222222"/>
          <w:highlight w:val="white"/>
        </w:rPr>
        <w:t xml:space="preserve">, p.319. </w:t>
      </w:r>
      <w:r w:rsidR="00CF1010" w:rsidRPr="003A786F">
        <w:rPr>
          <w:rFonts w:ascii="Times New Roman" w:eastAsia="Times New Roman" w:hAnsi="Times New Roman" w:cs="Times New Roman"/>
          <w:color w:val="333333"/>
          <w:highlight w:val="white"/>
        </w:rPr>
        <w:t xml:space="preserve">(Accessed on 20 </w:t>
      </w:r>
      <w:proofErr w:type="spellStart"/>
      <w:r w:rsidR="00CF1010" w:rsidRPr="003A786F">
        <w:rPr>
          <w:rFonts w:ascii="Times New Roman" w:eastAsia="Times New Roman" w:hAnsi="Times New Roman" w:cs="Times New Roman"/>
          <w:color w:val="333333"/>
          <w:highlight w:val="white"/>
        </w:rPr>
        <w:t>th</w:t>
      </w:r>
      <w:proofErr w:type="spellEnd"/>
      <w:r w:rsidR="00CF1010" w:rsidRPr="003A786F">
        <w:rPr>
          <w:rFonts w:ascii="Times New Roman" w:eastAsia="Times New Roman" w:hAnsi="Times New Roman" w:cs="Times New Roman"/>
          <w:color w:val="333333"/>
          <w:highlight w:val="white"/>
        </w:rPr>
        <w:t xml:space="preserve"> July 2022).</w:t>
      </w:r>
    </w:p>
    <w:p w14:paraId="00000023" w14:textId="3FEC40C4"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color w:val="222222"/>
          <w:highlight w:val="white"/>
        </w:rPr>
      </w:pPr>
      <w:r w:rsidRPr="003A786F">
        <w:rPr>
          <w:rFonts w:ascii="Times New Roman" w:eastAsia="Times New Roman" w:hAnsi="Times New Roman" w:cs="Times New Roman"/>
          <w:color w:val="222222"/>
          <w:highlight w:val="white"/>
        </w:rPr>
        <w:t xml:space="preserve">Westman, L., </w:t>
      </w:r>
      <w:proofErr w:type="spellStart"/>
      <w:r w:rsidRPr="003A786F">
        <w:rPr>
          <w:rFonts w:ascii="Times New Roman" w:eastAsia="Times New Roman" w:hAnsi="Times New Roman" w:cs="Times New Roman"/>
          <w:color w:val="222222"/>
          <w:highlight w:val="white"/>
        </w:rPr>
        <w:t>Luederitz</w:t>
      </w:r>
      <w:proofErr w:type="spellEnd"/>
      <w:r w:rsidRPr="003A786F">
        <w:rPr>
          <w:rFonts w:ascii="Times New Roman" w:eastAsia="Times New Roman" w:hAnsi="Times New Roman" w:cs="Times New Roman"/>
          <w:color w:val="222222"/>
          <w:highlight w:val="white"/>
        </w:rPr>
        <w:t xml:space="preserve">, C., </w:t>
      </w:r>
      <w:proofErr w:type="spellStart"/>
      <w:r w:rsidRPr="003A786F">
        <w:rPr>
          <w:rFonts w:ascii="Times New Roman" w:eastAsia="Times New Roman" w:hAnsi="Times New Roman" w:cs="Times New Roman"/>
          <w:color w:val="222222"/>
          <w:highlight w:val="white"/>
        </w:rPr>
        <w:t>Kundurpi</w:t>
      </w:r>
      <w:proofErr w:type="spellEnd"/>
      <w:r w:rsidRPr="003A786F">
        <w:rPr>
          <w:rFonts w:ascii="Times New Roman" w:eastAsia="Times New Roman" w:hAnsi="Times New Roman" w:cs="Times New Roman"/>
          <w:color w:val="222222"/>
          <w:highlight w:val="white"/>
        </w:rPr>
        <w:t xml:space="preserve">, A., Mercado, A.J., Weber, O. and Burch, S.L., 2019. Conceptualizing businesses as social actors: A framework for understanding sustainability actions in small‐and medium‐sized enterprises. </w:t>
      </w:r>
      <w:r w:rsidRPr="003A786F">
        <w:rPr>
          <w:rFonts w:ascii="Times New Roman" w:eastAsia="Times New Roman" w:hAnsi="Times New Roman" w:cs="Times New Roman"/>
          <w:i/>
          <w:color w:val="222222"/>
          <w:highlight w:val="white"/>
        </w:rPr>
        <w:t>Business Strategy and the Environment</w:t>
      </w:r>
      <w:r w:rsidRPr="003A786F">
        <w:rPr>
          <w:rFonts w:ascii="Times New Roman" w:eastAsia="Times New Roman" w:hAnsi="Times New Roman" w:cs="Times New Roman"/>
          <w:color w:val="222222"/>
          <w:highlight w:val="white"/>
        </w:rPr>
        <w:t xml:space="preserve">, </w:t>
      </w:r>
      <w:r w:rsidRPr="003A786F">
        <w:rPr>
          <w:rFonts w:ascii="Times New Roman" w:eastAsia="Times New Roman" w:hAnsi="Times New Roman" w:cs="Times New Roman"/>
          <w:i/>
          <w:color w:val="222222"/>
          <w:highlight w:val="white"/>
        </w:rPr>
        <w:t>28</w:t>
      </w:r>
      <w:r w:rsidRPr="003A786F">
        <w:rPr>
          <w:rFonts w:ascii="Times New Roman" w:eastAsia="Times New Roman" w:hAnsi="Times New Roman" w:cs="Times New Roman"/>
          <w:color w:val="222222"/>
          <w:highlight w:val="white"/>
        </w:rPr>
        <w:t xml:space="preserve">(2), pp.388-402. </w:t>
      </w:r>
      <w:r w:rsidR="00CF1010" w:rsidRPr="003A786F">
        <w:rPr>
          <w:rFonts w:ascii="Times New Roman" w:eastAsia="Times New Roman" w:hAnsi="Times New Roman" w:cs="Times New Roman"/>
          <w:color w:val="333333"/>
          <w:highlight w:val="white"/>
        </w:rPr>
        <w:t>(Accessed on 21th July 2022).</w:t>
      </w:r>
    </w:p>
    <w:p w14:paraId="00000024" w14:textId="711AB81B" w:rsidR="00F900C3" w:rsidRPr="003A786F" w:rsidRDefault="00740CCA" w:rsidP="00CF1010">
      <w:pPr>
        <w:pStyle w:val="ListParagraph"/>
        <w:numPr>
          <w:ilvl w:val="0"/>
          <w:numId w:val="1"/>
        </w:numPr>
        <w:spacing w:line="360" w:lineRule="auto"/>
        <w:ind w:left="0" w:firstLine="284"/>
        <w:jc w:val="both"/>
        <w:rPr>
          <w:rFonts w:ascii="Times New Roman" w:eastAsia="Times New Roman" w:hAnsi="Times New Roman" w:cs="Times New Roman"/>
        </w:rPr>
      </w:pPr>
      <w:r w:rsidRPr="003A786F">
        <w:rPr>
          <w:rFonts w:ascii="Times New Roman" w:eastAsia="Times New Roman" w:hAnsi="Times New Roman" w:cs="Times New Roman"/>
        </w:rPr>
        <w:t xml:space="preserve">Yuan, D., Lin, Z., </w:t>
      </w:r>
      <w:proofErr w:type="spellStart"/>
      <w:r w:rsidRPr="003A786F">
        <w:rPr>
          <w:rFonts w:ascii="Times New Roman" w:eastAsia="Times New Roman" w:hAnsi="Times New Roman" w:cs="Times New Roman"/>
        </w:rPr>
        <w:t>Filieri</w:t>
      </w:r>
      <w:proofErr w:type="spellEnd"/>
      <w:r w:rsidRPr="003A786F">
        <w:rPr>
          <w:rFonts w:ascii="Times New Roman" w:eastAsia="Times New Roman" w:hAnsi="Times New Roman" w:cs="Times New Roman"/>
        </w:rPr>
        <w:t xml:space="preserve">, R., Liu, R. and Zheng, M., 2020. Managing the product-harm crisis in the digital era: The role of consumer online brand community engagement. </w:t>
      </w:r>
      <w:r w:rsidRPr="003A786F">
        <w:rPr>
          <w:rFonts w:ascii="Times New Roman" w:eastAsia="Times New Roman" w:hAnsi="Times New Roman" w:cs="Times New Roman"/>
          <w:i/>
        </w:rPr>
        <w:t>Journal of Business Research,</w:t>
      </w:r>
      <w:r w:rsidRPr="003A786F">
        <w:rPr>
          <w:rFonts w:ascii="Times New Roman" w:eastAsia="Times New Roman" w:hAnsi="Times New Roman" w:cs="Times New Roman"/>
        </w:rPr>
        <w:t xml:space="preserve"> 115, pp.38-47. </w:t>
      </w:r>
      <w:r w:rsidR="00CF1010" w:rsidRPr="003A786F">
        <w:rPr>
          <w:rFonts w:ascii="Times New Roman" w:eastAsia="Times New Roman" w:hAnsi="Times New Roman" w:cs="Times New Roman"/>
          <w:color w:val="333333"/>
          <w:highlight w:val="white"/>
        </w:rPr>
        <w:t>(Accessed on 20th July 2022).</w:t>
      </w:r>
    </w:p>
    <w:p w14:paraId="00000025" w14:textId="77777777" w:rsidR="00F900C3" w:rsidRPr="003A786F" w:rsidRDefault="00F900C3" w:rsidP="00CF1010">
      <w:pPr>
        <w:spacing w:line="360" w:lineRule="auto"/>
        <w:ind w:firstLine="284"/>
        <w:jc w:val="both"/>
        <w:rPr>
          <w:rFonts w:ascii="Times New Roman" w:eastAsia="Times New Roman" w:hAnsi="Times New Roman" w:cs="Times New Roman"/>
        </w:rPr>
      </w:pPr>
    </w:p>
    <w:p w14:paraId="00000026" w14:textId="77777777" w:rsidR="00F900C3" w:rsidRPr="003A786F" w:rsidRDefault="00F900C3" w:rsidP="00CF1010">
      <w:pPr>
        <w:spacing w:line="360" w:lineRule="auto"/>
        <w:ind w:firstLine="284"/>
        <w:jc w:val="both"/>
        <w:rPr>
          <w:rFonts w:ascii="Times New Roman" w:eastAsia="Times New Roman" w:hAnsi="Times New Roman" w:cs="Times New Roman"/>
        </w:rPr>
      </w:pPr>
    </w:p>
    <w:p w14:paraId="00000027" w14:textId="77777777" w:rsidR="00F900C3" w:rsidRPr="003A786F" w:rsidRDefault="00F900C3" w:rsidP="00CF1010">
      <w:pPr>
        <w:widowControl w:val="0"/>
        <w:pBdr>
          <w:top w:val="nil"/>
          <w:left w:val="nil"/>
          <w:bottom w:val="nil"/>
          <w:right w:val="nil"/>
          <w:between w:val="nil"/>
        </w:pBdr>
        <w:spacing w:line="360" w:lineRule="auto"/>
        <w:ind w:firstLine="284"/>
        <w:jc w:val="both"/>
        <w:rPr>
          <w:rFonts w:ascii="Times New Roman" w:eastAsia="Times New Roman" w:hAnsi="Times New Roman" w:cs="Times New Roman"/>
        </w:rPr>
      </w:pPr>
    </w:p>
    <w:sectPr w:rsidR="00F900C3" w:rsidRPr="003A786F">
      <w:footerReference w:type="default" r:id="rId1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FC906A" w14:textId="77777777" w:rsidR="0011675E" w:rsidRDefault="0011675E">
      <w:pPr>
        <w:spacing w:line="240" w:lineRule="auto"/>
      </w:pPr>
      <w:r>
        <w:separator/>
      </w:r>
    </w:p>
  </w:endnote>
  <w:endnote w:type="continuationSeparator" w:id="0">
    <w:p w14:paraId="00E12F0F" w14:textId="77777777" w:rsidR="0011675E" w:rsidRDefault="0011675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8" w14:textId="676BAE3B" w:rsidR="00F900C3" w:rsidRDefault="00740CCA">
    <w:pPr>
      <w:jc w:val="right"/>
      <w:rPr>
        <w:rFonts w:ascii="Times New Roman" w:eastAsia="Times New Roman" w:hAnsi="Times New Roman" w:cs="Times New Roman"/>
        <w:sz w:val="24"/>
        <w:szCs w:val="24"/>
      </w:rPr>
    </w:pPr>
    <w:r>
      <w:rPr>
        <w:rFonts w:ascii="Times New Roman" w:eastAsia="Times New Roman" w:hAnsi="Times New Roman" w:cs="Times New Roman"/>
        <w:sz w:val="24"/>
        <w:szCs w:val="24"/>
      </w:rPr>
      <w:fldChar w:fldCharType="begin"/>
    </w:r>
    <w:r>
      <w:rPr>
        <w:rFonts w:ascii="Times New Roman" w:eastAsia="Times New Roman" w:hAnsi="Times New Roman" w:cs="Times New Roman"/>
        <w:sz w:val="24"/>
        <w:szCs w:val="24"/>
      </w:rPr>
      <w:instrText>PAGE</w:instrText>
    </w:r>
    <w:r>
      <w:rPr>
        <w:rFonts w:ascii="Times New Roman" w:eastAsia="Times New Roman" w:hAnsi="Times New Roman" w:cs="Times New Roman"/>
        <w:sz w:val="24"/>
        <w:szCs w:val="24"/>
      </w:rPr>
      <w:fldChar w:fldCharType="separate"/>
    </w:r>
    <w:r w:rsidR="00CF1010">
      <w:rPr>
        <w:rFonts w:ascii="Times New Roman" w:eastAsia="Times New Roman" w:hAnsi="Times New Roman" w:cs="Times New Roman"/>
        <w:noProof/>
        <w:sz w:val="24"/>
        <w:szCs w:val="24"/>
      </w:rPr>
      <w:t>1</w:t>
    </w:r>
    <w:r>
      <w:rPr>
        <w:rFonts w:ascii="Times New Roman" w:eastAsia="Times New Roman" w:hAnsi="Times New Roman" w:cs="Times New Roman"/>
        <w:sz w:val="24"/>
        <w:szCs w:val="24"/>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8D1FA1" w14:textId="77777777" w:rsidR="0011675E" w:rsidRDefault="0011675E">
      <w:pPr>
        <w:spacing w:line="240" w:lineRule="auto"/>
      </w:pPr>
      <w:r>
        <w:separator/>
      </w:r>
    </w:p>
  </w:footnote>
  <w:footnote w:type="continuationSeparator" w:id="0">
    <w:p w14:paraId="18770FA3" w14:textId="77777777" w:rsidR="0011675E" w:rsidRDefault="0011675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5D4B64"/>
    <w:multiLevelType w:val="hybridMultilevel"/>
    <w:tmpl w:val="FBBE3AE4"/>
    <w:lvl w:ilvl="0" w:tplc="0809000F">
      <w:start w:val="1"/>
      <w:numFmt w:val="decimal"/>
      <w:lvlText w:val="%1."/>
      <w:lvlJc w:val="left"/>
      <w:pPr>
        <w:ind w:left="1288" w:hanging="360"/>
      </w:pPr>
    </w:lvl>
    <w:lvl w:ilvl="1" w:tplc="08090019" w:tentative="1">
      <w:start w:val="1"/>
      <w:numFmt w:val="lowerLetter"/>
      <w:lvlText w:val="%2."/>
      <w:lvlJc w:val="left"/>
      <w:pPr>
        <w:ind w:left="2008" w:hanging="360"/>
      </w:pPr>
    </w:lvl>
    <w:lvl w:ilvl="2" w:tplc="0809001B" w:tentative="1">
      <w:start w:val="1"/>
      <w:numFmt w:val="lowerRoman"/>
      <w:lvlText w:val="%3."/>
      <w:lvlJc w:val="right"/>
      <w:pPr>
        <w:ind w:left="2728" w:hanging="180"/>
      </w:pPr>
    </w:lvl>
    <w:lvl w:ilvl="3" w:tplc="0809000F" w:tentative="1">
      <w:start w:val="1"/>
      <w:numFmt w:val="decimal"/>
      <w:lvlText w:val="%4."/>
      <w:lvlJc w:val="left"/>
      <w:pPr>
        <w:ind w:left="3448" w:hanging="360"/>
      </w:pPr>
    </w:lvl>
    <w:lvl w:ilvl="4" w:tplc="08090019" w:tentative="1">
      <w:start w:val="1"/>
      <w:numFmt w:val="lowerLetter"/>
      <w:lvlText w:val="%5."/>
      <w:lvlJc w:val="left"/>
      <w:pPr>
        <w:ind w:left="4168" w:hanging="360"/>
      </w:pPr>
    </w:lvl>
    <w:lvl w:ilvl="5" w:tplc="0809001B" w:tentative="1">
      <w:start w:val="1"/>
      <w:numFmt w:val="lowerRoman"/>
      <w:lvlText w:val="%6."/>
      <w:lvlJc w:val="right"/>
      <w:pPr>
        <w:ind w:left="4888" w:hanging="180"/>
      </w:pPr>
    </w:lvl>
    <w:lvl w:ilvl="6" w:tplc="0809000F" w:tentative="1">
      <w:start w:val="1"/>
      <w:numFmt w:val="decimal"/>
      <w:lvlText w:val="%7."/>
      <w:lvlJc w:val="left"/>
      <w:pPr>
        <w:ind w:left="5608" w:hanging="360"/>
      </w:pPr>
    </w:lvl>
    <w:lvl w:ilvl="7" w:tplc="08090019" w:tentative="1">
      <w:start w:val="1"/>
      <w:numFmt w:val="lowerLetter"/>
      <w:lvlText w:val="%8."/>
      <w:lvlJc w:val="left"/>
      <w:pPr>
        <w:ind w:left="6328" w:hanging="360"/>
      </w:pPr>
    </w:lvl>
    <w:lvl w:ilvl="8" w:tplc="0809001B" w:tentative="1">
      <w:start w:val="1"/>
      <w:numFmt w:val="lowerRoman"/>
      <w:lvlText w:val="%9."/>
      <w:lvlJc w:val="right"/>
      <w:pPr>
        <w:ind w:left="7048" w:hanging="180"/>
      </w:pPr>
    </w:lvl>
  </w:abstractNum>
  <w:num w:numId="1" w16cid:durableId="10385546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900C3"/>
    <w:rsid w:val="0011675E"/>
    <w:rsid w:val="001C036A"/>
    <w:rsid w:val="00287499"/>
    <w:rsid w:val="002E5BAB"/>
    <w:rsid w:val="003A786F"/>
    <w:rsid w:val="003F6ECF"/>
    <w:rsid w:val="004941A2"/>
    <w:rsid w:val="00740CCA"/>
    <w:rsid w:val="008B3778"/>
    <w:rsid w:val="009455B4"/>
    <w:rsid w:val="009B0DDE"/>
    <w:rsid w:val="00AE5916"/>
    <w:rsid w:val="00C5215E"/>
    <w:rsid w:val="00CF1010"/>
    <w:rsid w:val="00E00270"/>
    <w:rsid w:val="00F900C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29CE2F"/>
  <w15:docId w15:val="{8847A9F5-14C6-2F4C-8914-FBC32D1664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NormalWeb">
    <w:name w:val="Normal (Web)"/>
    <w:basedOn w:val="Normal"/>
    <w:uiPriority w:val="99"/>
    <w:unhideWhenUsed/>
    <w:rsid w:val="00CF1010"/>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CF101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8154150">
      <w:bodyDiv w:val="1"/>
      <w:marLeft w:val="0"/>
      <w:marRight w:val="0"/>
      <w:marTop w:val="0"/>
      <w:marBottom w:val="0"/>
      <w:divBdr>
        <w:top w:val="none" w:sz="0" w:space="0" w:color="auto"/>
        <w:left w:val="none" w:sz="0" w:space="0" w:color="auto"/>
        <w:bottom w:val="none" w:sz="0" w:space="0" w:color="auto"/>
        <w:right w:val="none" w:sz="0" w:space="0" w:color="auto"/>
      </w:divBdr>
    </w:div>
    <w:div w:id="783884827">
      <w:bodyDiv w:val="1"/>
      <w:marLeft w:val="0"/>
      <w:marRight w:val="0"/>
      <w:marTop w:val="0"/>
      <w:marBottom w:val="0"/>
      <w:divBdr>
        <w:top w:val="none" w:sz="0" w:space="0" w:color="auto"/>
        <w:left w:val="none" w:sz="0" w:space="0" w:color="auto"/>
        <w:bottom w:val="none" w:sz="0" w:space="0" w:color="auto"/>
        <w:right w:val="none" w:sz="0" w:space="0" w:color="auto"/>
      </w:divBdr>
      <w:divsChild>
        <w:div w:id="1346008854">
          <w:marLeft w:val="0"/>
          <w:marRight w:val="0"/>
          <w:marTop w:val="0"/>
          <w:marBottom w:val="0"/>
          <w:divBdr>
            <w:top w:val="none" w:sz="0" w:space="0" w:color="auto"/>
            <w:left w:val="none" w:sz="0" w:space="0" w:color="auto"/>
            <w:bottom w:val="none" w:sz="0" w:space="0" w:color="auto"/>
            <w:right w:val="none" w:sz="0" w:space="0" w:color="auto"/>
          </w:divBdr>
          <w:divsChild>
            <w:div w:id="551889778">
              <w:marLeft w:val="0"/>
              <w:marRight w:val="0"/>
              <w:marTop w:val="0"/>
              <w:marBottom w:val="0"/>
              <w:divBdr>
                <w:top w:val="none" w:sz="0" w:space="0" w:color="auto"/>
                <w:left w:val="none" w:sz="0" w:space="0" w:color="auto"/>
                <w:bottom w:val="none" w:sz="0" w:space="0" w:color="auto"/>
                <w:right w:val="none" w:sz="0" w:space="0" w:color="auto"/>
              </w:divBdr>
              <w:divsChild>
                <w:div w:id="1031801737">
                  <w:marLeft w:val="0"/>
                  <w:marRight w:val="0"/>
                  <w:marTop w:val="0"/>
                  <w:marBottom w:val="0"/>
                  <w:divBdr>
                    <w:top w:val="none" w:sz="0" w:space="0" w:color="auto"/>
                    <w:left w:val="none" w:sz="0" w:space="0" w:color="auto"/>
                    <w:bottom w:val="none" w:sz="0" w:space="0" w:color="auto"/>
                    <w:right w:val="none" w:sz="0" w:space="0" w:color="auto"/>
                  </w:divBdr>
                  <w:divsChild>
                    <w:div w:id="21117812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80745553">
      <w:bodyDiv w:val="1"/>
      <w:marLeft w:val="0"/>
      <w:marRight w:val="0"/>
      <w:marTop w:val="0"/>
      <w:marBottom w:val="0"/>
      <w:divBdr>
        <w:top w:val="none" w:sz="0" w:space="0" w:color="auto"/>
        <w:left w:val="none" w:sz="0" w:space="0" w:color="auto"/>
        <w:bottom w:val="none" w:sz="0" w:space="0" w:color="auto"/>
        <w:right w:val="none" w:sz="0" w:space="0" w:color="auto"/>
      </w:divBdr>
      <w:divsChild>
        <w:div w:id="2024428851">
          <w:marLeft w:val="0"/>
          <w:marRight w:val="0"/>
          <w:marTop w:val="0"/>
          <w:marBottom w:val="0"/>
          <w:divBdr>
            <w:top w:val="none" w:sz="0" w:space="0" w:color="auto"/>
            <w:left w:val="none" w:sz="0" w:space="0" w:color="auto"/>
            <w:bottom w:val="none" w:sz="0" w:space="0" w:color="auto"/>
            <w:right w:val="none" w:sz="0" w:space="0" w:color="auto"/>
          </w:divBdr>
          <w:divsChild>
            <w:div w:id="440414928">
              <w:marLeft w:val="0"/>
              <w:marRight w:val="0"/>
              <w:marTop w:val="0"/>
              <w:marBottom w:val="0"/>
              <w:divBdr>
                <w:top w:val="none" w:sz="0" w:space="0" w:color="auto"/>
                <w:left w:val="none" w:sz="0" w:space="0" w:color="auto"/>
                <w:bottom w:val="none" w:sz="0" w:space="0" w:color="auto"/>
                <w:right w:val="none" w:sz="0" w:space="0" w:color="auto"/>
              </w:divBdr>
              <w:divsChild>
                <w:div w:id="1118447356">
                  <w:marLeft w:val="0"/>
                  <w:marRight w:val="0"/>
                  <w:marTop w:val="0"/>
                  <w:marBottom w:val="0"/>
                  <w:divBdr>
                    <w:top w:val="none" w:sz="0" w:space="0" w:color="auto"/>
                    <w:left w:val="none" w:sz="0" w:space="0" w:color="auto"/>
                    <w:bottom w:val="none" w:sz="0" w:space="0" w:color="auto"/>
                    <w:right w:val="none" w:sz="0" w:space="0" w:color="auto"/>
                  </w:divBdr>
                  <w:divsChild>
                    <w:div w:id="1568683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771703139">
      <w:bodyDiv w:val="1"/>
      <w:marLeft w:val="0"/>
      <w:marRight w:val="0"/>
      <w:marTop w:val="0"/>
      <w:marBottom w:val="0"/>
      <w:divBdr>
        <w:top w:val="none" w:sz="0" w:space="0" w:color="auto"/>
        <w:left w:val="none" w:sz="0" w:space="0" w:color="auto"/>
        <w:bottom w:val="none" w:sz="0" w:space="0" w:color="auto"/>
        <w:right w:val="none" w:sz="0" w:space="0" w:color="auto"/>
      </w:divBdr>
      <w:divsChild>
        <w:div w:id="394202312">
          <w:marLeft w:val="0"/>
          <w:marRight w:val="0"/>
          <w:marTop w:val="0"/>
          <w:marBottom w:val="0"/>
          <w:divBdr>
            <w:top w:val="none" w:sz="0" w:space="0" w:color="auto"/>
            <w:left w:val="none" w:sz="0" w:space="0" w:color="auto"/>
            <w:bottom w:val="none" w:sz="0" w:space="0" w:color="auto"/>
            <w:right w:val="none" w:sz="0" w:space="0" w:color="auto"/>
          </w:divBdr>
          <w:divsChild>
            <w:div w:id="1553927042">
              <w:marLeft w:val="0"/>
              <w:marRight w:val="0"/>
              <w:marTop w:val="0"/>
              <w:marBottom w:val="0"/>
              <w:divBdr>
                <w:top w:val="none" w:sz="0" w:space="0" w:color="auto"/>
                <w:left w:val="none" w:sz="0" w:space="0" w:color="auto"/>
                <w:bottom w:val="none" w:sz="0" w:space="0" w:color="auto"/>
                <w:right w:val="none" w:sz="0" w:space="0" w:color="auto"/>
              </w:divBdr>
              <w:divsChild>
                <w:div w:id="738551745">
                  <w:marLeft w:val="0"/>
                  <w:marRight w:val="0"/>
                  <w:marTop w:val="0"/>
                  <w:marBottom w:val="0"/>
                  <w:divBdr>
                    <w:top w:val="none" w:sz="0" w:space="0" w:color="auto"/>
                    <w:left w:val="none" w:sz="0" w:space="0" w:color="auto"/>
                    <w:bottom w:val="none" w:sz="0" w:space="0" w:color="auto"/>
                    <w:right w:val="none" w:sz="0" w:space="0" w:color="auto"/>
                  </w:divBdr>
                  <w:divsChild>
                    <w:div w:id="852652555">
                      <w:marLeft w:val="0"/>
                      <w:marRight w:val="0"/>
                      <w:marTop w:val="0"/>
                      <w:marBottom w:val="0"/>
                      <w:divBdr>
                        <w:top w:val="none" w:sz="0" w:space="0" w:color="auto"/>
                        <w:left w:val="none" w:sz="0" w:space="0" w:color="auto"/>
                        <w:bottom w:val="none" w:sz="0" w:space="0" w:color="auto"/>
                        <w:right w:val="none" w:sz="0" w:space="0" w:color="auto"/>
                      </w:divBdr>
                    </w:div>
                  </w:divsChild>
                </w:div>
                <w:div w:id="2044286120">
                  <w:marLeft w:val="0"/>
                  <w:marRight w:val="0"/>
                  <w:marTop w:val="0"/>
                  <w:marBottom w:val="0"/>
                  <w:divBdr>
                    <w:top w:val="none" w:sz="0" w:space="0" w:color="auto"/>
                    <w:left w:val="none" w:sz="0" w:space="0" w:color="auto"/>
                    <w:bottom w:val="none" w:sz="0" w:space="0" w:color="auto"/>
                    <w:right w:val="none" w:sz="0" w:space="0" w:color="auto"/>
                  </w:divBdr>
                  <w:divsChild>
                    <w:div w:id="222103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atsdr.cdc.gov/communityengagement/pce_challenges_intro.html" TargetMode="External"/><Relationship Id="rId13" Type="http://schemas.openxmlformats.org/officeDocument/2006/relationships/hyperlink" Target="https://nbs.net/engage-your-community-stakeholders-an-introductory-guide-for-businesses/"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ideopol.org/wp-content/uploads/2020/10/ENG.-1.3.-Popov.pdf"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scdc.org.uk/what/national-standard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pa.gov/sites/default/files/2017-03/documents/tribalswcommunityengagementstrategy508.pdf" TargetMode="External"/><Relationship Id="rId5" Type="http://schemas.openxmlformats.org/officeDocument/2006/relationships/footnotes" Target="footnotes.xml"/><Relationship Id="rId15" Type="http://schemas.openxmlformats.org/officeDocument/2006/relationships/hyperlink" Target="https://aese.psu.edu/research/centers/cecd/engagement-toolbox/engagement/core-principles-of-community-engagement" TargetMode="External"/><Relationship Id="rId10" Type="http://schemas.openxmlformats.org/officeDocument/2006/relationships/hyperlink" Target="https://www.communityplanningtoolkit.org/sites/default/files/EngagementR5.pdf" TargetMode="External"/><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bitc.org.uk/case-study/kpmg-allyship-to-drive-race-equality/" TargetMode="External"/><Relationship Id="rId14" Type="http://schemas.openxmlformats.org/officeDocument/2006/relationships/hyperlink" Target="https://www.orau.gov/sns/atrisktool/files/PrinciplesofCommunityEngagement.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30</TotalTime>
  <Pages>9</Pages>
  <Words>2850</Words>
  <Characters>16248</Characters>
  <Application>Microsoft Office Word</Application>
  <DocSecurity>0</DocSecurity>
  <Lines>135</Lines>
  <Paragraphs>38</Paragraphs>
  <ScaleCrop>false</ScaleCrop>
  <Company/>
  <LinksUpToDate>false</LinksUpToDate>
  <CharactersWithSpaces>19060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Florina Carmen</cp:lastModifiedBy>
  <cp:revision>9</cp:revision>
  <dcterms:created xsi:type="dcterms:W3CDTF">2022-07-25T16:34:00Z</dcterms:created>
  <dcterms:modified xsi:type="dcterms:W3CDTF">2022-09-01T16:05:00Z</dcterms:modified>
</cp:coreProperties>
</file>