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496F9" w14:textId="77777777" w:rsidR="00C77E41" w:rsidRDefault="00C77E41" w:rsidP="004973E8">
      <w:pPr>
        <w:spacing w:line="360" w:lineRule="auto"/>
        <w:rPr>
          <w:rFonts w:ascii="Arial" w:hAnsi="Arial" w:cs="Arial"/>
        </w:rPr>
      </w:pPr>
    </w:p>
    <w:p w14:paraId="266BC4A9" w14:textId="77777777" w:rsidR="00C77E41" w:rsidRDefault="00C77E41" w:rsidP="004973E8">
      <w:pPr>
        <w:spacing w:line="360" w:lineRule="auto"/>
        <w:rPr>
          <w:rFonts w:ascii="Arial" w:hAnsi="Arial" w:cs="Arial"/>
        </w:rPr>
      </w:pPr>
      <w:r>
        <w:rPr>
          <w:rFonts w:ascii="Arial" w:hAnsi="Arial" w:cs="Arial"/>
        </w:rPr>
        <w:t>Robina Kousar 2409093</w:t>
      </w:r>
    </w:p>
    <w:p w14:paraId="5C6F0378" w14:textId="7289AAD6" w:rsidR="00C77E41" w:rsidRDefault="00C77E41" w:rsidP="004973E8">
      <w:pPr>
        <w:spacing w:line="360" w:lineRule="auto"/>
        <w:rPr>
          <w:rFonts w:ascii="Arial" w:hAnsi="Arial" w:cs="Arial"/>
        </w:rPr>
      </w:pPr>
      <w:r>
        <w:rPr>
          <w:rFonts w:ascii="Arial" w:hAnsi="Arial" w:cs="Arial"/>
        </w:rPr>
        <w:t>Principles of Health and Social care practice</w:t>
      </w:r>
    </w:p>
    <w:p w14:paraId="49E16C6C" w14:textId="395A445B" w:rsidR="00C77E41" w:rsidRDefault="00C77E41" w:rsidP="004973E8">
      <w:pPr>
        <w:spacing w:line="360" w:lineRule="auto"/>
        <w:rPr>
          <w:rFonts w:ascii="Arial" w:hAnsi="Arial" w:cs="Arial"/>
        </w:rPr>
      </w:pPr>
      <w:r>
        <w:rPr>
          <w:rFonts w:ascii="Arial" w:hAnsi="Arial" w:cs="Arial"/>
        </w:rPr>
        <w:t>BMHP5016</w:t>
      </w:r>
    </w:p>
    <w:p w14:paraId="0D6AEDBB" w14:textId="3BA5A31A" w:rsidR="004973E8" w:rsidRPr="004973E8" w:rsidRDefault="004973E8" w:rsidP="004973E8">
      <w:pPr>
        <w:spacing w:line="360" w:lineRule="auto"/>
        <w:rPr>
          <w:rFonts w:ascii="Arial" w:hAnsi="Arial" w:cs="Arial"/>
        </w:rPr>
      </w:pPr>
      <w:r w:rsidRPr="004973E8">
        <w:rPr>
          <w:rFonts w:ascii="Arial" w:hAnsi="Arial" w:cs="Arial"/>
        </w:rPr>
        <w:t>Act 2010; provide legal frameworks that protect individuals (particularly those considered vulnerable) through the provision of service delivery that promotes (i.e. enhances) well-being; dignity; and fairness (Equality Act, 2010). Furthermore, these concepts include an emphasis on the need to respect individual autonomy for people receiving health and community services while ensuring that individuals who are considered at risk of harm have appropriate safeguarding measures implemented to protect them (DHSC, 2014). However, some critics feel the principles behind these laws and regulations have well established foundations in theory but/or do not reflect the reality of how health and community service delivery occurs within a larger framework that includes constraints such as limited financial resources; political influences; and conflicting organizational priorities that all have an impact upon the development and interpretation of policy (Glasby &amp; Dickinson, 2014). As assuring any outcomes from input based upon what you've learned in school regarding how laws change things will require some level of evaluation regarding their success. For example, did a particular change cause improvements? Are there any ongoing improvements because of that change? As you can see evaluating how well a specific law has improved healthcare through some method does become challenging due to other variables which could cause the change to be attributed solely to legislative changes. Because of this there are numerous methods to be used to evaluate whether law/policy frameworks are effective, some include reviewing patient files, observing behaviours in practice, soliciting patient's opinions (service users) on what the specific changes have made to their care experience (SCIE, 2022).</w:t>
      </w:r>
    </w:p>
    <w:p w14:paraId="5A2EC42C" w14:textId="77777777" w:rsidR="004973E8" w:rsidRPr="004973E8" w:rsidRDefault="004973E8" w:rsidP="004973E8">
      <w:pPr>
        <w:spacing w:line="360" w:lineRule="auto"/>
        <w:rPr>
          <w:rFonts w:ascii="Arial" w:hAnsi="Arial" w:cs="Arial"/>
        </w:rPr>
      </w:pPr>
      <w:r w:rsidRPr="004973E8">
        <w:rPr>
          <w:rFonts w:ascii="Arial" w:hAnsi="Arial" w:cs="Arial"/>
        </w:rPr>
        <w:t xml:space="preserve">A premise that addressing the complex health and social needs of a service user cannot be accomplished by one organisation acting on its own; therefore, for the successful address of the service user’s individual need(s) cooperation between different health professionals, social workers, voluntary organisations and local authorities is required (Glasby &amp; Dickinson, 2014). In the UK, legislation has supported these types of working partnerships; in particular, the Care Act 2014 states that Local Authorities and Health Services must work in partnership for the purpose of safeguarding adults and promoting their well-being (Care Act, 2014). The theoretical framework supports the need for integration of services so that the holistic needs of an individual receiving services will have both health and social service needs addressed through the partnership working approach. Result of these challenges, there will often be differences between how legislation/policy intends to function and what occurs. For example, </w:t>
      </w:r>
      <w:r w:rsidRPr="004973E8">
        <w:rPr>
          <w:rFonts w:ascii="Arial" w:hAnsi="Arial" w:cs="Arial"/>
        </w:rPr>
        <w:lastRenderedPageBreak/>
        <w:t>legislation purports to ensure that care is person-centred and allows the service user to be included in decisions; however, workers may possess heavy workloads and time constraints, preventing them from having the capacity to involve clients in actively making decisions about their care (CQC, 2020).</w:t>
      </w:r>
    </w:p>
    <w:p w14:paraId="4F28B063" w14:textId="77777777" w:rsidR="004973E8" w:rsidRPr="004973E8" w:rsidRDefault="004973E8" w:rsidP="004973E8">
      <w:pPr>
        <w:spacing w:line="360" w:lineRule="auto"/>
        <w:rPr>
          <w:rFonts w:ascii="Arial" w:hAnsi="Arial" w:cs="Arial"/>
        </w:rPr>
      </w:pPr>
      <w:r w:rsidRPr="004973E8">
        <w:rPr>
          <w:rFonts w:ascii="Arial" w:hAnsi="Arial" w:cs="Arial"/>
        </w:rPr>
        <w:t>Authorities have a joint responsibility to work together to create seamless provision of services and to achieve the most cost-effective use of the public funds provided. Some of the challenges that may emerge in implementing Collaborative Working may arise from the different organisational culture, the differing nature of the professional role, and the different priorities of the various organisations (Hudson, 2015). In addition to these challenges, data protection, communication and limited resources are examples of challenges that may prevent Collaborative Working through not enabling the free exchange of information and participating in joint decision-making (NHS Digital, 2021). Even though the policy strongly supports Collaborative Working, the challenging nature of working collaboratively will cause difficulties when attempting to achieve them in practice on a day-to-day basis legislation such as the Care Act 2014, encourages organisations to work together to promote well-being and protect vulnerable people. In practice, partnership working is achieved through multi-disciplinary teams, joint planning, and sharing information between services (for example, the National Health Service and local Authorities) (DHSC, 2014). However, several things have the potential to limit how well partnership’s</w:t>
      </w:r>
    </w:p>
    <w:p w14:paraId="6703AF16" w14:textId="77777777" w:rsidR="004973E8" w:rsidRPr="004973E8" w:rsidRDefault="004973E8" w:rsidP="004973E8">
      <w:pPr>
        <w:spacing w:line="360" w:lineRule="auto"/>
        <w:rPr>
          <w:rFonts w:ascii="Arial" w:hAnsi="Arial" w:cs="Arial"/>
        </w:rPr>
      </w:pPr>
      <w:r w:rsidRPr="004973E8">
        <w:rPr>
          <w:rFonts w:ascii="Arial" w:hAnsi="Arial" w:cs="Arial"/>
        </w:rPr>
        <w:t xml:space="preserve">There are many benefits of person-centred care, such as improving the quality of an individual’s care by working towards individualised needs and preferences and enhancing individual’s rights and wellbeing (McCormack &amp; McCance, 2017). The inclusion of an individual as part of the decision-making process has been found to lead to increased satisfaction, improvement in the level of independence and sense of worth in an individual. Person-centred care also enhances communication between users of services and professionals, often resulting in enhanced health outcomes and improved trust in a health/social service (NICE, 2018). While person-centred care approach is widely accepted there are limitations to implement fully due to limited staff, time constraints and limited availability of resources within the health and social care system (CQC, 2020). Function: PCNF describes how health professionals provide care focusing on each person's individual values, preferences, and past experiences, not just on treating their illnesses. The PCNF identifies four key aspects needed for effective person-centred care: appropriate skills, attitude, and relationship-building with clients, effective communication (to ensure that clients and professionals are communicating properly), shared decision-making, and creating an environment in which clients will be able to feel supported in their own care (McCormack &amp; McCance, 2017). Therefore, when professionals have the correct training, attitudes, and </w:t>
      </w:r>
      <w:r w:rsidRPr="004973E8">
        <w:rPr>
          <w:rFonts w:ascii="Arial" w:hAnsi="Arial" w:cs="Arial"/>
        </w:rPr>
        <w:lastRenderedPageBreak/>
        <w:t>support from their service organisation, they will be able to create positive working relationships with clients and to involve them in their own care (Care Act, 2014).</w:t>
      </w:r>
    </w:p>
    <w:p w14:paraId="1360D921" w14:textId="77777777" w:rsidR="004973E8" w:rsidRPr="004973E8" w:rsidRDefault="004973E8" w:rsidP="004973E8">
      <w:pPr>
        <w:spacing w:line="360" w:lineRule="auto"/>
        <w:rPr>
          <w:rFonts w:ascii="Arial" w:hAnsi="Arial" w:cs="Arial"/>
        </w:rPr>
      </w:pPr>
      <w:r w:rsidRPr="004973E8">
        <w:rPr>
          <w:rFonts w:ascii="Arial" w:hAnsi="Arial" w:cs="Arial"/>
        </w:rPr>
        <w:t xml:space="preserve">There are four main elements that form the McCormack and McCance model: </w:t>
      </w:r>
      <w:proofErr w:type="spellStart"/>
      <w:r w:rsidRPr="004973E8">
        <w:rPr>
          <w:rFonts w:ascii="Arial" w:hAnsi="Arial" w:cs="Arial"/>
        </w:rPr>
        <w:t>i</w:t>
      </w:r>
      <w:proofErr w:type="spellEnd"/>
      <w:r w:rsidRPr="004973E8">
        <w:rPr>
          <w:rFonts w:ascii="Arial" w:hAnsi="Arial" w:cs="Arial"/>
        </w:rPr>
        <w:t xml:space="preserve">) Prerequisites (professional values/competency); ii) The Care Environment (supportive leaders/teamwork); iii) Person-centred processes (engaging with the customer, sharing in decision-making and providing holistic care); iv) Expected outcomes of person-centred care (such as increased satisfaction and wellbeing) (McCormack &amp; McCance, 2017). The key benefit of this model is that it provides a clear pathway for organisations and professionals to implement person-centred care. It facilitates collaboration between service users and professionals and allows for providing emotional, psychological and social needs in addition to satisfying the physical health needs of the individual. have extremely high workloads; therefore, it can be difficult for professionals to have sufficient time to support person-centred care for service users. The assumption that everyone is able or willing to participate fully in decision making regarding their care does not always hold true for those who have severely ill or cognitively impaired patients (NICE, 2018). Despite these various challenges, the McCormack/McCance model still has an important role in providing a thorough understanding of PCC in practice. Furthermore, while the theory provides an effective foundation for supporting PCC principles of person-centredness it depends to a great extent on the availability of sufficient organisational support and resources necessary to implement PCC policies, as well as the commitment of each individual practitioner to making their personal maleficence,' which refers to the moral principle of not doing harm to an individual and providing safe and effective care. The principle of justice also provides for the fair and equitable provision of services to individuals and requires service users to be treated with no discrimination. In the UK, the principle of justice is supported by the Equality Act 2010 (Equality Act, 2010). Ethical practice within the health and social care sectors is based upon the accepted ethical practice of protecting and maintaining confidentiality, whereby a service user’s private or personal information should be protected and only released to an individual for the purpose of providing care to that service user or as required by law through an NHS provider (NHS Digital, 2021). By analysing the ethical fundamentals which impact upon health and social care professionals, it is evident that they share the same core value of providing care to service users in a safe and dignified preferences agencies/professionals providing services to an individual. A significant advantage of this type of partnership working is the ability to provide services in a holistic manner by being able to access the skills, knowledge, and experience of a diverse range of professionals that can address a greater number of an individual's needs (Glasby &amp; Dickinson, 2014). This can lead to improvements in communication, lower levels of duplication of service provision, and hence greater </w:t>
      </w:r>
      <w:r w:rsidRPr="004973E8">
        <w:rPr>
          <w:rFonts w:ascii="Arial" w:hAnsi="Arial" w:cs="Arial"/>
        </w:rPr>
        <w:lastRenderedPageBreak/>
        <w:t>efficiency of resources. Furthermore, by involving service users and their families/carers in the planning and decision-making processes, the effectiveness of the partnership working can result in increased satisfaction with service provision and greater levels of engagement and involvement from service users, resulting in a more person-centred care approach that is responsive to the individual preferences of service users. And needs a priority among other persons. In summary, it is well established that partnership working is essential to the successful delivery of integrated health and social care. The success of partnership working relies heavily upon the presence of strong leadership, the establishment of clear communication channels, the provision of adequate resources, and ongoing evaluations to ensure that collaborative efforts positively impact on services and outcomes for service users (Hudson, 2015). While the theoretical benefits of partnership working are well known, to ensure the effective delivery of partnership working, the practical challenges will need to be addressed if the full positive the rights of people to receive safe, person-centred, high-quality care are protected by several pieces of legislation and policy across the UK. The Care Act 2014 is an important piece of legislation that supports the notion of the well-being of individuals and places new requirements on local authorities to assess the needs of an individual and work with that individual to plan their care (Care Act, 2014). By encouraging individuals to be independent, the Care Act allows individuals to have more control over the care and support they receive, which is consistent with the principles of PCC and PW.</w:t>
      </w:r>
    </w:p>
    <w:p w14:paraId="05767D51" w14:textId="77777777" w:rsidR="004973E8" w:rsidRPr="004973E8" w:rsidRDefault="004973E8" w:rsidP="004973E8">
      <w:pPr>
        <w:spacing w:line="360" w:lineRule="auto"/>
        <w:rPr>
          <w:rFonts w:ascii="Arial" w:hAnsi="Arial" w:cs="Arial"/>
        </w:rPr>
      </w:pPr>
      <w:r w:rsidRPr="004973E8">
        <w:rPr>
          <w:rFonts w:ascii="Arial" w:hAnsi="Arial" w:cs="Arial"/>
        </w:rPr>
        <w:t xml:space="preserve">Another key piece of legislation is the Mental Capacity Act 2005. The Mental Capacity Act protects people who may lack the mental capacity to make some decisions. All individuals should be helped to make their own choices, wherever possible, and any decision made on behalf of an individual should be done in their best interests (MCA, 2005). This legislation supports both Patient Choice and Personal Wellbeing by protecting the rights and preferred choices of individuals and ensuring they are treated with dignity. The Safeguarding Vulnerable Groups Act 2006 provides further support to vulnerable individuals by ensuring that those who might harm vulnerable adults or children are prohibited from working with them (SVGA, 2006). This helps to create a safer environment for those providing care and helps to ensure that Person Centred Practice occurs by protecting individuals from harm, neglect, or abuse. social services who work together to safeguard children and improve their welfare. In line with this policy, it encourages professionals to engage with children and involve children in their decision-making process, thereby illustrating the core values of person-centred practice (HM Government, 2018). This combined with legislation about providing care and support to individuals will guarantee that people who are receiving care services are treated with due regard for their rights, dignity and independence, and ultimately, well-being. An area of future person-centred care (PCC) and partnership working </w:t>
      </w:r>
      <w:r w:rsidRPr="004973E8">
        <w:rPr>
          <w:rFonts w:ascii="Arial" w:hAnsi="Arial" w:cs="Arial"/>
        </w:rPr>
        <w:lastRenderedPageBreak/>
        <w:t>development in the UK is to provide more training for health and social care professionals for them to be able to better understand patients' needs and provide personalised care to individuals. Another area would be strengthening communication and collaboration between different organisations, including the NHS, social services and education services as this will allow for better coordination of care (SCIE, 2022). The Working Together to Safeguard Children policy promotes working together to support people effectively. Additionally, increasing service users' involvement in their care plans will ensure that care is tailored to meet their individual preferences as stated in the Care Act 2014. Overall, through the provision of more training, better collaboration and greater service user involvement, the future development of PCC and partnership working will be improved. When trying to implement person-centred care, there may be some difficulties due to limited resources and pressures on staff but the legal frameworks around person-sensitive care provide guidelines that ensure care providers are accountable for providing care services while keeping persons receiving the services at the root of the development and delivery of services.</w:t>
      </w:r>
    </w:p>
    <w:p w14:paraId="2DB233FD" w14:textId="7D2F566D" w:rsidR="004973E8" w:rsidRPr="004973E8" w:rsidRDefault="004973E8" w:rsidP="004973E8">
      <w:pPr>
        <w:spacing w:line="360" w:lineRule="auto"/>
        <w:rPr>
          <w:rFonts w:ascii="Arial" w:hAnsi="Arial" w:cs="Arial"/>
        </w:rPr>
      </w:pPr>
    </w:p>
    <w:p w14:paraId="35C6950C" w14:textId="77777777" w:rsidR="004973E8" w:rsidRPr="004973E8" w:rsidRDefault="004973E8" w:rsidP="004973E8">
      <w:pPr>
        <w:spacing w:line="360" w:lineRule="auto"/>
        <w:rPr>
          <w:rFonts w:ascii="Arial" w:hAnsi="Arial" w:cs="Arial"/>
          <w:b/>
          <w:bCs/>
        </w:rPr>
      </w:pPr>
    </w:p>
    <w:p w14:paraId="18E60482" w14:textId="77777777" w:rsidR="004973E8" w:rsidRPr="004973E8" w:rsidRDefault="004973E8" w:rsidP="004973E8">
      <w:pPr>
        <w:spacing w:line="360" w:lineRule="auto"/>
        <w:rPr>
          <w:rFonts w:ascii="Arial" w:hAnsi="Arial" w:cs="Arial"/>
          <w:b/>
          <w:bCs/>
        </w:rPr>
      </w:pPr>
    </w:p>
    <w:p w14:paraId="1808703E" w14:textId="77777777" w:rsidR="004973E8" w:rsidRPr="004973E8" w:rsidRDefault="004973E8" w:rsidP="004973E8">
      <w:pPr>
        <w:spacing w:line="360" w:lineRule="auto"/>
        <w:rPr>
          <w:rFonts w:ascii="Arial" w:hAnsi="Arial" w:cs="Arial"/>
          <w:b/>
          <w:bCs/>
        </w:rPr>
      </w:pPr>
    </w:p>
    <w:p w14:paraId="630A79C2" w14:textId="77777777" w:rsidR="004973E8" w:rsidRPr="004973E8" w:rsidRDefault="004973E8" w:rsidP="004973E8">
      <w:pPr>
        <w:spacing w:line="360" w:lineRule="auto"/>
        <w:rPr>
          <w:rFonts w:ascii="Arial" w:hAnsi="Arial" w:cs="Arial"/>
          <w:b/>
          <w:bCs/>
        </w:rPr>
      </w:pPr>
    </w:p>
    <w:p w14:paraId="7CD1D994" w14:textId="77777777" w:rsidR="004973E8" w:rsidRPr="004973E8" w:rsidRDefault="004973E8" w:rsidP="004973E8">
      <w:pPr>
        <w:spacing w:line="360" w:lineRule="auto"/>
        <w:rPr>
          <w:rFonts w:ascii="Arial" w:hAnsi="Arial" w:cs="Arial"/>
          <w:b/>
          <w:bCs/>
        </w:rPr>
      </w:pPr>
    </w:p>
    <w:p w14:paraId="04E1D2F2" w14:textId="77777777" w:rsidR="004973E8" w:rsidRPr="004973E8" w:rsidRDefault="004973E8" w:rsidP="004973E8">
      <w:pPr>
        <w:spacing w:line="360" w:lineRule="auto"/>
        <w:rPr>
          <w:rFonts w:ascii="Arial" w:hAnsi="Arial" w:cs="Arial"/>
          <w:b/>
          <w:bCs/>
        </w:rPr>
      </w:pPr>
    </w:p>
    <w:p w14:paraId="7B3812E3" w14:textId="77777777" w:rsidR="004973E8" w:rsidRPr="004973E8" w:rsidRDefault="004973E8" w:rsidP="004973E8">
      <w:pPr>
        <w:spacing w:line="360" w:lineRule="auto"/>
        <w:rPr>
          <w:rFonts w:ascii="Arial" w:hAnsi="Arial" w:cs="Arial"/>
          <w:b/>
          <w:bCs/>
        </w:rPr>
      </w:pPr>
    </w:p>
    <w:p w14:paraId="057F8630" w14:textId="77777777" w:rsidR="004973E8" w:rsidRPr="004973E8" w:rsidRDefault="004973E8" w:rsidP="004973E8">
      <w:pPr>
        <w:spacing w:line="360" w:lineRule="auto"/>
        <w:rPr>
          <w:rFonts w:ascii="Arial" w:hAnsi="Arial" w:cs="Arial"/>
          <w:b/>
          <w:bCs/>
        </w:rPr>
      </w:pPr>
    </w:p>
    <w:p w14:paraId="57A5FD4A" w14:textId="77777777" w:rsidR="004973E8" w:rsidRPr="004973E8" w:rsidRDefault="004973E8" w:rsidP="004973E8">
      <w:pPr>
        <w:spacing w:line="360" w:lineRule="auto"/>
        <w:rPr>
          <w:rFonts w:ascii="Arial" w:hAnsi="Arial" w:cs="Arial"/>
          <w:b/>
          <w:bCs/>
        </w:rPr>
      </w:pPr>
    </w:p>
    <w:p w14:paraId="21C5324D" w14:textId="77777777" w:rsidR="004973E8" w:rsidRPr="004973E8" w:rsidRDefault="004973E8" w:rsidP="004973E8">
      <w:pPr>
        <w:spacing w:line="360" w:lineRule="auto"/>
        <w:rPr>
          <w:rFonts w:ascii="Arial" w:hAnsi="Arial" w:cs="Arial"/>
          <w:b/>
          <w:bCs/>
        </w:rPr>
      </w:pPr>
    </w:p>
    <w:p w14:paraId="77CBE980" w14:textId="77777777" w:rsidR="004973E8" w:rsidRPr="004973E8" w:rsidRDefault="004973E8" w:rsidP="004973E8">
      <w:pPr>
        <w:spacing w:line="360" w:lineRule="auto"/>
        <w:rPr>
          <w:rFonts w:ascii="Arial" w:hAnsi="Arial" w:cs="Arial"/>
          <w:b/>
          <w:bCs/>
        </w:rPr>
      </w:pPr>
    </w:p>
    <w:p w14:paraId="2DC2D274" w14:textId="77777777" w:rsidR="004973E8" w:rsidRPr="004973E8" w:rsidRDefault="004973E8" w:rsidP="004973E8">
      <w:pPr>
        <w:spacing w:line="360" w:lineRule="auto"/>
        <w:rPr>
          <w:rFonts w:ascii="Arial" w:hAnsi="Arial" w:cs="Arial"/>
          <w:b/>
          <w:bCs/>
        </w:rPr>
      </w:pPr>
    </w:p>
    <w:p w14:paraId="5EFA0D82" w14:textId="77777777" w:rsidR="004973E8" w:rsidRPr="004973E8" w:rsidRDefault="004973E8" w:rsidP="004973E8">
      <w:pPr>
        <w:spacing w:line="360" w:lineRule="auto"/>
        <w:rPr>
          <w:rFonts w:ascii="Arial" w:hAnsi="Arial" w:cs="Arial"/>
          <w:b/>
          <w:bCs/>
        </w:rPr>
      </w:pPr>
    </w:p>
    <w:p w14:paraId="22D259EE" w14:textId="77777777" w:rsidR="004973E8" w:rsidRPr="004973E8" w:rsidRDefault="004973E8" w:rsidP="004973E8">
      <w:pPr>
        <w:spacing w:line="360" w:lineRule="auto"/>
        <w:rPr>
          <w:rFonts w:ascii="Arial" w:hAnsi="Arial" w:cs="Arial"/>
          <w:b/>
          <w:bCs/>
        </w:rPr>
      </w:pPr>
    </w:p>
    <w:p w14:paraId="33A41067" w14:textId="77777777" w:rsidR="004973E8" w:rsidRPr="004973E8" w:rsidRDefault="004973E8" w:rsidP="004973E8">
      <w:pPr>
        <w:spacing w:line="360" w:lineRule="auto"/>
        <w:rPr>
          <w:rFonts w:ascii="Arial" w:hAnsi="Arial" w:cs="Arial"/>
          <w:b/>
          <w:bCs/>
        </w:rPr>
      </w:pPr>
    </w:p>
    <w:p w14:paraId="42890E03" w14:textId="77777777" w:rsidR="004973E8" w:rsidRPr="004973E8" w:rsidRDefault="004973E8" w:rsidP="004973E8">
      <w:pPr>
        <w:spacing w:line="360" w:lineRule="auto"/>
        <w:rPr>
          <w:rFonts w:ascii="Arial" w:hAnsi="Arial" w:cs="Arial"/>
          <w:b/>
          <w:bCs/>
        </w:rPr>
      </w:pPr>
    </w:p>
    <w:p w14:paraId="45FD249E" w14:textId="77777777" w:rsidR="004973E8" w:rsidRPr="004973E8" w:rsidRDefault="004973E8" w:rsidP="004973E8">
      <w:pPr>
        <w:spacing w:line="360" w:lineRule="auto"/>
        <w:rPr>
          <w:rFonts w:ascii="Arial" w:hAnsi="Arial" w:cs="Arial"/>
          <w:b/>
          <w:bCs/>
        </w:rPr>
      </w:pPr>
    </w:p>
    <w:p w14:paraId="16D7038B" w14:textId="77777777" w:rsidR="004973E8" w:rsidRPr="004973E8" w:rsidRDefault="004973E8" w:rsidP="004973E8">
      <w:pPr>
        <w:spacing w:line="360" w:lineRule="auto"/>
        <w:rPr>
          <w:rFonts w:ascii="Arial" w:hAnsi="Arial" w:cs="Arial"/>
          <w:b/>
          <w:bCs/>
        </w:rPr>
      </w:pPr>
    </w:p>
    <w:p w14:paraId="28814728" w14:textId="1B729BFD" w:rsidR="004973E8" w:rsidRPr="004973E8" w:rsidRDefault="004973E8" w:rsidP="004973E8">
      <w:pPr>
        <w:spacing w:line="360" w:lineRule="auto"/>
        <w:rPr>
          <w:rFonts w:ascii="Arial" w:hAnsi="Arial" w:cs="Arial"/>
          <w:b/>
          <w:bCs/>
        </w:rPr>
      </w:pPr>
      <w:r w:rsidRPr="004973E8">
        <w:rPr>
          <w:rFonts w:ascii="Arial" w:hAnsi="Arial" w:cs="Arial"/>
          <w:b/>
          <w:bCs/>
        </w:rPr>
        <w:t>Harvard Reference List</w:t>
      </w:r>
    </w:p>
    <w:p w14:paraId="02937FA2" w14:textId="77777777" w:rsidR="004973E8" w:rsidRPr="004973E8" w:rsidRDefault="004973E8" w:rsidP="004973E8">
      <w:pPr>
        <w:spacing w:line="360" w:lineRule="auto"/>
        <w:rPr>
          <w:rFonts w:ascii="Arial" w:hAnsi="Arial" w:cs="Arial"/>
        </w:rPr>
      </w:pPr>
      <w:r w:rsidRPr="004973E8">
        <w:rPr>
          <w:rFonts w:ascii="Arial" w:hAnsi="Arial" w:cs="Arial"/>
        </w:rPr>
        <w:t xml:space="preserve">Care Act (2014) </w:t>
      </w:r>
      <w:r w:rsidRPr="004973E8">
        <w:rPr>
          <w:rFonts w:ascii="Arial" w:hAnsi="Arial" w:cs="Arial"/>
          <w:i/>
          <w:iCs/>
        </w:rPr>
        <w:t>c.23</w:t>
      </w:r>
      <w:r w:rsidRPr="004973E8">
        <w:rPr>
          <w:rFonts w:ascii="Arial" w:hAnsi="Arial" w:cs="Arial"/>
        </w:rPr>
        <w:t>. London: The Stationery Office.</w:t>
      </w:r>
      <w:r w:rsidRPr="004973E8">
        <w:rPr>
          <w:rFonts w:ascii="Arial" w:hAnsi="Arial" w:cs="Arial"/>
        </w:rPr>
        <w:br/>
        <w:t xml:space="preserve">CQC (2020) </w:t>
      </w:r>
      <w:r w:rsidRPr="004973E8">
        <w:rPr>
          <w:rFonts w:ascii="Arial" w:hAnsi="Arial" w:cs="Arial"/>
          <w:i/>
          <w:iCs/>
        </w:rPr>
        <w:t>The state of health care and adult social care in England 2019/20</w:t>
      </w:r>
      <w:r w:rsidRPr="004973E8">
        <w:rPr>
          <w:rFonts w:ascii="Arial" w:hAnsi="Arial" w:cs="Arial"/>
        </w:rPr>
        <w:t>. London: CQC.</w:t>
      </w:r>
      <w:r w:rsidRPr="004973E8">
        <w:rPr>
          <w:rFonts w:ascii="Arial" w:hAnsi="Arial" w:cs="Arial"/>
        </w:rPr>
        <w:br/>
        <w:t xml:space="preserve">DHSC (2014) </w:t>
      </w:r>
      <w:r w:rsidRPr="004973E8">
        <w:rPr>
          <w:rFonts w:ascii="Arial" w:hAnsi="Arial" w:cs="Arial"/>
          <w:i/>
          <w:iCs/>
        </w:rPr>
        <w:t>Care and Support Statutory Guidance</w:t>
      </w:r>
      <w:r w:rsidRPr="004973E8">
        <w:rPr>
          <w:rFonts w:ascii="Arial" w:hAnsi="Arial" w:cs="Arial"/>
        </w:rPr>
        <w:t>. London: Department of Health and Social Care.</w:t>
      </w:r>
      <w:r w:rsidRPr="004973E8">
        <w:rPr>
          <w:rFonts w:ascii="Arial" w:hAnsi="Arial" w:cs="Arial"/>
        </w:rPr>
        <w:br/>
        <w:t xml:space="preserve">Equality Act (2010) </w:t>
      </w:r>
      <w:r w:rsidRPr="004973E8">
        <w:rPr>
          <w:rFonts w:ascii="Arial" w:hAnsi="Arial" w:cs="Arial"/>
          <w:i/>
          <w:iCs/>
        </w:rPr>
        <w:t>c.15</w:t>
      </w:r>
      <w:r w:rsidRPr="004973E8">
        <w:rPr>
          <w:rFonts w:ascii="Arial" w:hAnsi="Arial" w:cs="Arial"/>
        </w:rPr>
        <w:t>. London: The Stationery Office.</w:t>
      </w:r>
      <w:r w:rsidRPr="004973E8">
        <w:rPr>
          <w:rFonts w:ascii="Arial" w:hAnsi="Arial" w:cs="Arial"/>
        </w:rPr>
        <w:br/>
        <w:t xml:space="preserve">Glasby, J. and Dickinson, H. (2014) </w:t>
      </w:r>
      <w:r w:rsidRPr="004973E8">
        <w:rPr>
          <w:rFonts w:ascii="Arial" w:hAnsi="Arial" w:cs="Arial"/>
          <w:i/>
          <w:iCs/>
        </w:rPr>
        <w:t>Partnership Working in Health and Social Care</w:t>
      </w:r>
      <w:r w:rsidRPr="004973E8">
        <w:rPr>
          <w:rFonts w:ascii="Arial" w:hAnsi="Arial" w:cs="Arial"/>
        </w:rPr>
        <w:t xml:space="preserve">. 2nd </w:t>
      </w:r>
      <w:proofErr w:type="spellStart"/>
      <w:r w:rsidRPr="004973E8">
        <w:rPr>
          <w:rFonts w:ascii="Arial" w:hAnsi="Arial" w:cs="Arial"/>
        </w:rPr>
        <w:t>edn</w:t>
      </w:r>
      <w:proofErr w:type="spellEnd"/>
      <w:r w:rsidRPr="004973E8">
        <w:rPr>
          <w:rFonts w:ascii="Arial" w:hAnsi="Arial" w:cs="Arial"/>
        </w:rPr>
        <w:t>. Bristol: Policy Press.</w:t>
      </w:r>
      <w:r w:rsidRPr="004973E8">
        <w:rPr>
          <w:rFonts w:ascii="Arial" w:hAnsi="Arial" w:cs="Arial"/>
        </w:rPr>
        <w:br/>
        <w:t xml:space="preserve">HM Government (2018) </w:t>
      </w:r>
      <w:r w:rsidRPr="004973E8">
        <w:rPr>
          <w:rFonts w:ascii="Arial" w:hAnsi="Arial" w:cs="Arial"/>
          <w:i/>
          <w:iCs/>
        </w:rPr>
        <w:t>Working Together to Safeguard Children</w:t>
      </w:r>
      <w:r w:rsidRPr="004973E8">
        <w:rPr>
          <w:rFonts w:ascii="Arial" w:hAnsi="Arial" w:cs="Arial"/>
        </w:rPr>
        <w:t>. London: Department for Education.</w:t>
      </w:r>
      <w:r w:rsidRPr="004973E8">
        <w:rPr>
          <w:rFonts w:ascii="Arial" w:hAnsi="Arial" w:cs="Arial"/>
        </w:rPr>
        <w:br/>
        <w:t xml:space="preserve">Hudson, B. (2015) ‘Collaborative governance in health and social care’, </w:t>
      </w:r>
      <w:r w:rsidRPr="004973E8">
        <w:rPr>
          <w:rFonts w:ascii="Arial" w:hAnsi="Arial" w:cs="Arial"/>
          <w:i/>
          <w:iCs/>
        </w:rPr>
        <w:t>Policy &amp; Politics</w:t>
      </w:r>
      <w:r w:rsidRPr="004973E8">
        <w:rPr>
          <w:rFonts w:ascii="Arial" w:hAnsi="Arial" w:cs="Arial"/>
        </w:rPr>
        <w:t>, 43(1), pp. 1–18.</w:t>
      </w:r>
      <w:r w:rsidRPr="004973E8">
        <w:rPr>
          <w:rFonts w:ascii="Arial" w:hAnsi="Arial" w:cs="Arial"/>
        </w:rPr>
        <w:br/>
        <w:t xml:space="preserve">MCA (2005) </w:t>
      </w:r>
      <w:r w:rsidRPr="004973E8">
        <w:rPr>
          <w:rFonts w:ascii="Arial" w:hAnsi="Arial" w:cs="Arial"/>
          <w:i/>
          <w:iCs/>
        </w:rPr>
        <w:t>Mental Capacity Act 2005</w:t>
      </w:r>
      <w:r w:rsidRPr="004973E8">
        <w:rPr>
          <w:rFonts w:ascii="Arial" w:hAnsi="Arial" w:cs="Arial"/>
        </w:rPr>
        <w:t>. London: The Stationery Office.</w:t>
      </w:r>
      <w:r w:rsidRPr="004973E8">
        <w:rPr>
          <w:rFonts w:ascii="Arial" w:hAnsi="Arial" w:cs="Arial"/>
        </w:rPr>
        <w:br/>
        <w:t xml:space="preserve">McCormack, B. and McCance, T. (2017) </w:t>
      </w:r>
      <w:r w:rsidRPr="004973E8">
        <w:rPr>
          <w:rFonts w:ascii="Arial" w:hAnsi="Arial" w:cs="Arial"/>
          <w:i/>
          <w:iCs/>
        </w:rPr>
        <w:t>Person</w:t>
      </w:r>
      <w:r w:rsidRPr="004973E8">
        <w:rPr>
          <w:rFonts w:ascii="Arial" w:hAnsi="Arial" w:cs="Arial"/>
          <w:i/>
          <w:iCs/>
        </w:rPr>
        <w:noBreakHyphen/>
        <w:t>centred Practice in Nursing and Health Care</w:t>
      </w:r>
      <w:r w:rsidRPr="004973E8">
        <w:rPr>
          <w:rFonts w:ascii="Arial" w:hAnsi="Arial" w:cs="Arial"/>
        </w:rPr>
        <w:t xml:space="preserve">. 2nd </w:t>
      </w:r>
      <w:proofErr w:type="spellStart"/>
      <w:r w:rsidRPr="004973E8">
        <w:rPr>
          <w:rFonts w:ascii="Arial" w:hAnsi="Arial" w:cs="Arial"/>
        </w:rPr>
        <w:t>edn</w:t>
      </w:r>
      <w:proofErr w:type="spellEnd"/>
      <w:r w:rsidRPr="004973E8">
        <w:rPr>
          <w:rFonts w:ascii="Arial" w:hAnsi="Arial" w:cs="Arial"/>
        </w:rPr>
        <w:t>. Oxford: Wiley</w:t>
      </w:r>
      <w:r w:rsidRPr="004973E8">
        <w:rPr>
          <w:rFonts w:ascii="Arial" w:hAnsi="Arial" w:cs="Arial"/>
        </w:rPr>
        <w:noBreakHyphen/>
        <w:t>Blackwell.</w:t>
      </w:r>
      <w:r w:rsidRPr="004973E8">
        <w:rPr>
          <w:rFonts w:ascii="Arial" w:hAnsi="Arial" w:cs="Arial"/>
        </w:rPr>
        <w:br/>
        <w:t xml:space="preserve">NHS Digital (2021) </w:t>
      </w:r>
      <w:r w:rsidRPr="004973E8">
        <w:rPr>
          <w:rFonts w:ascii="Arial" w:hAnsi="Arial" w:cs="Arial"/>
          <w:i/>
          <w:iCs/>
        </w:rPr>
        <w:t>Data Security and Protection Toolkit</w:t>
      </w:r>
      <w:r w:rsidRPr="004973E8">
        <w:rPr>
          <w:rFonts w:ascii="Arial" w:hAnsi="Arial" w:cs="Arial"/>
        </w:rPr>
        <w:t>. Leeds: NHS Digital.</w:t>
      </w:r>
      <w:r w:rsidRPr="004973E8">
        <w:rPr>
          <w:rFonts w:ascii="Arial" w:hAnsi="Arial" w:cs="Arial"/>
        </w:rPr>
        <w:br/>
        <w:t xml:space="preserve">NICE (2018) </w:t>
      </w:r>
      <w:r w:rsidRPr="004973E8">
        <w:rPr>
          <w:rFonts w:ascii="Arial" w:hAnsi="Arial" w:cs="Arial"/>
          <w:i/>
          <w:iCs/>
        </w:rPr>
        <w:t>Person</w:t>
      </w:r>
      <w:r w:rsidRPr="004973E8">
        <w:rPr>
          <w:rFonts w:ascii="Arial" w:hAnsi="Arial" w:cs="Arial"/>
          <w:i/>
          <w:iCs/>
        </w:rPr>
        <w:noBreakHyphen/>
        <w:t>centred care overview</w:t>
      </w:r>
      <w:r w:rsidRPr="004973E8">
        <w:rPr>
          <w:rFonts w:ascii="Arial" w:hAnsi="Arial" w:cs="Arial"/>
        </w:rPr>
        <w:t>. London: NICE.</w:t>
      </w:r>
      <w:r w:rsidRPr="004973E8">
        <w:rPr>
          <w:rFonts w:ascii="Arial" w:hAnsi="Arial" w:cs="Arial"/>
        </w:rPr>
        <w:br/>
        <w:t xml:space="preserve">SCIE (2022) </w:t>
      </w:r>
      <w:r w:rsidRPr="004973E8">
        <w:rPr>
          <w:rFonts w:ascii="Arial" w:hAnsi="Arial" w:cs="Arial"/>
          <w:i/>
          <w:iCs/>
        </w:rPr>
        <w:t>Person</w:t>
      </w:r>
      <w:r w:rsidRPr="004973E8">
        <w:rPr>
          <w:rFonts w:ascii="Arial" w:hAnsi="Arial" w:cs="Arial"/>
          <w:i/>
          <w:iCs/>
        </w:rPr>
        <w:noBreakHyphen/>
        <w:t>centred practice and co</w:t>
      </w:r>
      <w:r w:rsidRPr="004973E8">
        <w:rPr>
          <w:rFonts w:ascii="Arial" w:hAnsi="Arial" w:cs="Arial"/>
          <w:i/>
          <w:iCs/>
        </w:rPr>
        <w:noBreakHyphen/>
        <w:t>production</w:t>
      </w:r>
      <w:r w:rsidRPr="004973E8">
        <w:rPr>
          <w:rFonts w:ascii="Arial" w:hAnsi="Arial" w:cs="Arial"/>
        </w:rPr>
        <w:t>. London: Social Care Institute for Excellence.</w:t>
      </w:r>
      <w:r w:rsidRPr="004973E8">
        <w:rPr>
          <w:rFonts w:ascii="Arial" w:hAnsi="Arial" w:cs="Arial"/>
        </w:rPr>
        <w:br/>
        <w:t xml:space="preserve">SVGA (2006) </w:t>
      </w:r>
      <w:r w:rsidRPr="004973E8">
        <w:rPr>
          <w:rFonts w:ascii="Arial" w:hAnsi="Arial" w:cs="Arial"/>
          <w:i/>
          <w:iCs/>
        </w:rPr>
        <w:t>Safeguarding Vulnerable Groups Act 2006</w:t>
      </w:r>
      <w:r w:rsidRPr="004973E8">
        <w:rPr>
          <w:rFonts w:ascii="Arial" w:hAnsi="Arial" w:cs="Arial"/>
        </w:rPr>
        <w:t>. London: The Stationery Office.</w:t>
      </w:r>
    </w:p>
    <w:p w14:paraId="5AD7A1EA" w14:textId="145EB5C9" w:rsidR="00665747" w:rsidRPr="004973E8" w:rsidRDefault="00665747" w:rsidP="004973E8">
      <w:pPr>
        <w:spacing w:line="360" w:lineRule="auto"/>
        <w:rPr>
          <w:rFonts w:ascii="Arial" w:hAnsi="Arial" w:cs="Arial"/>
        </w:rPr>
      </w:pPr>
    </w:p>
    <w:sectPr w:rsidR="00665747" w:rsidRPr="004973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F4C32"/>
    <w:multiLevelType w:val="multilevel"/>
    <w:tmpl w:val="E33E4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C13B1D"/>
    <w:multiLevelType w:val="multilevel"/>
    <w:tmpl w:val="33ACA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384342"/>
    <w:multiLevelType w:val="multilevel"/>
    <w:tmpl w:val="078E4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5138774">
    <w:abstractNumId w:val="1"/>
  </w:num>
  <w:num w:numId="2" w16cid:durableId="1793209007">
    <w:abstractNumId w:val="0"/>
  </w:num>
  <w:num w:numId="3" w16cid:durableId="9048809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F15"/>
    <w:rsid w:val="0004203B"/>
    <w:rsid w:val="0006379F"/>
    <w:rsid w:val="00100DFD"/>
    <w:rsid w:val="00287FA5"/>
    <w:rsid w:val="00322A05"/>
    <w:rsid w:val="00353ECD"/>
    <w:rsid w:val="00446501"/>
    <w:rsid w:val="004973E8"/>
    <w:rsid w:val="00567D48"/>
    <w:rsid w:val="00633973"/>
    <w:rsid w:val="00665747"/>
    <w:rsid w:val="00673890"/>
    <w:rsid w:val="00710B3D"/>
    <w:rsid w:val="00763BB6"/>
    <w:rsid w:val="00784805"/>
    <w:rsid w:val="007E4D44"/>
    <w:rsid w:val="00904921"/>
    <w:rsid w:val="00935A85"/>
    <w:rsid w:val="0094564E"/>
    <w:rsid w:val="00946F15"/>
    <w:rsid w:val="00A00A71"/>
    <w:rsid w:val="00B0587E"/>
    <w:rsid w:val="00C239EC"/>
    <w:rsid w:val="00C55384"/>
    <w:rsid w:val="00C77E41"/>
    <w:rsid w:val="00CC07D1"/>
    <w:rsid w:val="00D34098"/>
    <w:rsid w:val="00D81701"/>
    <w:rsid w:val="00DC7836"/>
    <w:rsid w:val="00E330BE"/>
    <w:rsid w:val="00FA1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63F3F"/>
  <w15:chartTrackingRefBased/>
  <w15:docId w15:val="{489DA4A2-7B42-49CD-BA9F-1EE559254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F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F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F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F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F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F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F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F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F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F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F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F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F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F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F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F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F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F15"/>
    <w:rPr>
      <w:rFonts w:eastAsiaTheme="majorEastAsia" w:cstheme="majorBidi"/>
      <w:color w:val="272727" w:themeColor="text1" w:themeTint="D8"/>
    </w:rPr>
  </w:style>
  <w:style w:type="paragraph" w:styleId="Title">
    <w:name w:val="Title"/>
    <w:basedOn w:val="Normal"/>
    <w:next w:val="Normal"/>
    <w:link w:val="TitleChar"/>
    <w:uiPriority w:val="10"/>
    <w:qFormat/>
    <w:rsid w:val="00946F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F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F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F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F15"/>
    <w:pPr>
      <w:spacing w:before="160"/>
      <w:jc w:val="center"/>
    </w:pPr>
    <w:rPr>
      <w:i/>
      <w:iCs/>
      <w:color w:val="404040" w:themeColor="text1" w:themeTint="BF"/>
    </w:rPr>
  </w:style>
  <w:style w:type="character" w:customStyle="1" w:styleId="QuoteChar">
    <w:name w:val="Quote Char"/>
    <w:basedOn w:val="DefaultParagraphFont"/>
    <w:link w:val="Quote"/>
    <w:uiPriority w:val="29"/>
    <w:rsid w:val="00946F15"/>
    <w:rPr>
      <w:i/>
      <w:iCs/>
      <w:color w:val="404040" w:themeColor="text1" w:themeTint="BF"/>
    </w:rPr>
  </w:style>
  <w:style w:type="paragraph" w:styleId="ListParagraph">
    <w:name w:val="List Paragraph"/>
    <w:basedOn w:val="Normal"/>
    <w:uiPriority w:val="34"/>
    <w:qFormat/>
    <w:rsid w:val="00946F15"/>
    <w:pPr>
      <w:ind w:left="720"/>
      <w:contextualSpacing/>
    </w:pPr>
  </w:style>
  <w:style w:type="character" w:styleId="IntenseEmphasis">
    <w:name w:val="Intense Emphasis"/>
    <w:basedOn w:val="DefaultParagraphFont"/>
    <w:uiPriority w:val="21"/>
    <w:qFormat/>
    <w:rsid w:val="00946F15"/>
    <w:rPr>
      <w:i/>
      <w:iCs/>
      <w:color w:val="0F4761" w:themeColor="accent1" w:themeShade="BF"/>
    </w:rPr>
  </w:style>
  <w:style w:type="paragraph" w:styleId="IntenseQuote">
    <w:name w:val="Intense Quote"/>
    <w:basedOn w:val="Normal"/>
    <w:next w:val="Normal"/>
    <w:link w:val="IntenseQuoteChar"/>
    <w:uiPriority w:val="30"/>
    <w:qFormat/>
    <w:rsid w:val="00946F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F15"/>
    <w:rPr>
      <w:i/>
      <w:iCs/>
      <w:color w:val="0F4761" w:themeColor="accent1" w:themeShade="BF"/>
    </w:rPr>
  </w:style>
  <w:style w:type="character" w:styleId="IntenseReference">
    <w:name w:val="Intense Reference"/>
    <w:basedOn w:val="DefaultParagraphFont"/>
    <w:uiPriority w:val="32"/>
    <w:qFormat/>
    <w:rsid w:val="00946F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2227</Words>
  <Characters>12697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 Kousar</dc:creator>
  <cp:keywords/>
  <dc:description/>
  <cp:lastModifiedBy>Robina Kousar</cp:lastModifiedBy>
  <cp:revision>2</cp:revision>
  <dcterms:created xsi:type="dcterms:W3CDTF">2026-03-27T13:15:00Z</dcterms:created>
  <dcterms:modified xsi:type="dcterms:W3CDTF">2026-03-27T13:15:00Z</dcterms:modified>
</cp:coreProperties>
</file>