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rFonts w:ascii="Aptos" w:cs="Aptos" w:hAnsi="Aptos" w:eastAsia="Aptos"/>
          <w:sz w:val="22"/>
          <w:szCs w:val="22"/>
        </w:rPr>
      </w:pPr>
      <w:r>
        <w:rPr>
          <w:rFonts w:ascii="Aptos" w:cs="Aptos" w:hAnsi="Aptos" w:eastAsia="Aptos"/>
          <w:sz w:val="22"/>
          <w:szCs w:val="22"/>
          <w:rtl w:val="0"/>
          <w:lang w:val="en-US"/>
        </w:rPr>
        <w:t>Name: Sharon Cuthbert</w:t>
      </w:r>
    </w:p>
    <w:p>
      <w:pPr>
        <w:pStyle w:val="Body"/>
        <w:jc w:val="center"/>
        <w:rPr>
          <w:rFonts w:ascii="Aptos" w:cs="Aptos" w:hAnsi="Aptos" w:eastAsia="Aptos"/>
          <w:sz w:val="22"/>
          <w:szCs w:val="22"/>
        </w:rPr>
      </w:pPr>
      <w:r>
        <w:rPr>
          <w:rFonts w:ascii="Aptos" w:cs="Aptos" w:hAnsi="Aptos" w:eastAsia="Aptos"/>
          <w:sz w:val="22"/>
          <w:szCs w:val="22"/>
          <w:rtl w:val="0"/>
          <w:lang w:val="it-IT"/>
        </w:rPr>
        <w:t>Student No: 2409782</w:t>
      </w:r>
    </w:p>
    <w:p>
      <w:pPr>
        <w:pStyle w:val="Body"/>
        <w:jc w:val="center"/>
        <w:rPr>
          <w:rFonts w:ascii="Aptos" w:cs="Aptos" w:hAnsi="Aptos" w:eastAsia="Aptos"/>
          <w:outline w:val="0"/>
          <w:color w:val="ee0000"/>
          <w:sz w:val="22"/>
          <w:szCs w:val="22"/>
          <w:u w:color="ee0000"/>
          <w14:textFill>
            <w14:solidFill>
              <w14:srgbClr w14:val="EE0000"/>
            </w14:solidFill>
          </w14:textFill>
        </w:rPr>
      </w:pPr>
      <w:r>
        <w:rPr>
          <w:rFonts w:ascii="Aptos" w:cs="Aptos" w:hAnsi="Aptos" w:eastAsia="Aptos"/>
          <w:sz w:val="22"/>
          <w:szCs w:val="22"/>
          <w:rtl w:val="0"/>
          <w:lang w:val="en-US"/>
        </w:rPr>
        <w:t xml:space="preserve">Word Count:  3,856 </w:t>
      </w:r>
      <w:r>
        <w:rPr>
          <w:rFonts w:ascii="Aptos" w:cs="Aptos" w:hAnsi="Aptos" w:eastAsia="Aptos"/>
          <w:outline w:val="0"/>
          <w:color w:val="ee0000"/>
          <w:sz w:val="22"/>
          <w:szCs w:val="22"/>
          <w:u w:color="ee0000"/>
          <w:rtl w:val="0"/>
          <w14:textFill>
            <w14:solidFill>
              <w14:srgbClr w14:val="EE0000"/>
            </w14:solidFill>
          </w14:textFill>
        </w:rPr>
        <w:t>4,111</w:t>
      </w:r>
    </w:p>
    <w:p>
      <w:pPr>
        <w:pStyle w:val="Body"/>
        <w:jc w:val="center"/>
        <w:rPr>
          <w:rFonts w:ascii="Aptos" w:cs="Aptos" w:hAnsi="Aptos" w:eastAsia="Aptos"/>
          <w:sz w:val="22"/>
          <w:szCs w:val="22"/>
        </w:rPr>
      </w:pPr>
      <w:r>
        <w:rPr>
          <w:rFonts w:ascii="Aptos" w:cs="Aptos" w:hAnsi="Aptos" w:eastAsia="Aptos"/>
          <w:sz w:val="22"/>
          <w:szCs w:val="22"/>
          <w:rtl w:val="0"/>
          <w:lang w:val="de-DE"/>
        </w:rPr>
        <w:t>CIPD 5HR02</w:t>
      </w:r>
    </w:p>
    <w:p>
      <w:pPr>
        <w:pStyle w:val="Body"/>
        <w:jc w:val="center"/>
        <w:rPr>
          <w:rFonts w:ascii="Aptos" w:cs="Aptos" w:hAnsi="Aptos" w:eastAsia="Aptos"/>
          <w:sz w:val="22"/>
          <w:szCs w:val="22"/>
        </w:rPr>
      </w:pPr>
      <w:r>
        <w:rPr>
          <w:rFonts w:ascii="Aptos" w:cs="Aptos" w:hAnsi="Aptos" w:eastAsia="Aptos"/>
          <w:sz w:val="22"/>
          <w:szCs w:val="22"/>
          <w:rtl w:val="0"/>
          <w:lang w:val="en-US"/>
        </w:rPr>
        <w:t xml:space="preserve">Talent management and workforce planning </w:t>
      </w:r>
    </w:p>
    <w:p>
      <w:pPr>
        <w:pStyle w:val="Body"/>
        <w:jc w:val="center"/>
        <w:rPr>
          <w:rStyle w:val="None A"/>
          <w:rFonts w:ascii="Aptos" w:cs="Aptos" w:hAnsi="Aptos" w:eastAsia="Aptos"/>
          <w:sz w:val="22"/>
          <w:szCs w:val="22"/>
        </w:rPr>
      </w:pPr>
    </w:p>
    <w:p>
      <w:pPr>
        <w:pStyle w:val="Body"/>
        <w:rPr>
          <w:rStyle w:val="None A"/>
          <w:rFonts w:ascii="Aptos" w:cs="Aptos" w:hAnsi="Aptos" w:eastAsia="Aptos"/>
          <w:sz w:val="22"/>
          <w:szCs w:val="22"/>
        </w:rPr>
      </w:pPr>
    </w:p>
    <w:p>
      <w:pPr>
        <w:pStyle w:val="Body"/>
        <w:rPr>
          <w:rFonts w:ascii="Aptos" w:cs="Aptos" w:hAnsi="Aptos" w:eastAsia="Aptos"/>
          <w:b w:val="1"/>
          <w:bCs w:val="1"/>
          <w:sz w:val="22"/>
          <w:szCs w:val="22"/>
          <w:u w:color="004147"/>
        </w:rPr>
      </w:pPr>
      <w:r>
        <w:rPr>
          <w:rFonts w:ascii="Aptos" w:cs="Aptos" w:hAnsi="Aptos" w:eastAsia="Aptos"/>
          <w:b w:val="1"/>
          <w:bCs w:val="1"/>
          <w:sz w:val="22"/>
          <w:szCs w:val="22"/>
          <w:u w:color="004147"/>
          <w:rtl w:val="0"/>
        </w:rPr>
        <w:t xml:space="preserve">AC 1.1 - </w:t>
      </w:r>
      <w:r>
        <w:rPr>
          <w:rFonts w:ascii="Aptos" w:cs="Aptos" w:hAnsi="Aptos" w:eastAsia="Aptos"/>
          <w:sz w:val="22"/>
          <w:szCs w:val="22"/>
          <w:u w:color="004147"/>
          <w:rtl w:val="0"/>
          <w:lang w:val="en-US"/>
        </w:rPr>
        <w:t>ParcelCare, a long-established parcel delivery organisation, faces growing competition in both business and labour markets. New entrants and shifting workforce expectations have made attracting and retaining staff increasingly difficult. To remain competitive, ParcelCare must adopt a forward-looking people strategy that aligns workforce supply and demand with business goals. Achieving sustainable advantage requires aligning people strategies with organisational objectives and labour market realities (CIPD, 2024, 2025). This involves moving from reactive recruitment to proactive workforce planning, employer branding, and employee engagement.</w:t>
      </w:r>
    </w:p>
    <w:p>
      <w:pPr>
        <w:pStyle w:val="Body"/>
        <w:rPr>
          <w:rFonts w:ascii="Aptos" w:cs="Aptos" w:hAnsi="Aptos" w:eastAsia="Aptos"/>
          <w:sz w:val="22"/>
          <w:szCs w:val="22"/>
          <w:u w:color="004147"/>
        </w:rPr>
      </w:pPr>
      <w:r>
        <w:rPr>
          <w:rFonts w:ascii="Aptos" w:cs="Aptos" w:hAnsi="Aptos" w:eastAsia="Aptos"/>
          <w:sz w:val="22"/>
          <w:szCs w:val="22"/>
          <w:u w:color="004147"/>
          <w:rtl w:val="0"/>
          <w:lang w:val="en-US"/>
        </w:rPr>
        <w:t xml:space="preserve">Understanding employee, stakeholder, and customer perceptions is essential. Employer branding applies marketing principles to people management, communicating organisational value to potential and existing employees. It is defined as </w:t>
      </w:r>
      <w:r>
        <w:rPr>
          <w:rFonts w:ascii="Aptos" w:cs="Aptos" w:hAnsi="Aptos" w:eastAsia="Aptos"/>
          <w:sz w:val="22"/>
          <w:szCs w:val="22"/>
          <w:u w:color="004147"/>
          <w:rtl w:val="0"/>
          <w:lang w:val="en-US"/>
        </w:rPr>
        <w:t>“</w:t>
      </w:r>
      <w:r>
        <w:rPr>
          <w:rFonts w:ascii="Aptos" w:cs="Aptos" w:hAnsi="Aptos" w:eastAsia="Aptos"/>
          <w:sz w:val="22"/>
          <w:szCs w:val="22"/>
          <w:u w:color="004147"/>
          <w:rtl w:val="0"/>
          <w:lang w:val="en-US"/>
        </w:rPr>
        <w:t>a set of attributes and qualities</w:t>
      </w:r>
      <w:r>
        <w:rPr>
          <w:rFonts w:ascii="Aptos" w:cs="Aptos" w:hAnsi="Aptos" w:eastAsia="Aptos"/>
          <w:sz w:val="22"/>
          <w:szCs w:val="22"/>
          <w:u w:color="004147"/>
          <w:rtl w:val="0"/>
          <w:lang w:val="en-US"/>
        </w:rPr>
        <w:t>…</w:t>
      </w:r>
      <w:r>
        <w:rPr>
          <w:rFonts w:ascii="Aptos" w:cs="Aptos" w:hAnsi="Aptos" w:eastAsia="Aptos"/>
          <w:sz w:val="22"/>
          <w:szCs w:val="22"/>
          <w:u w:color="004147"/>
          <w:rtl w:val="0"/>
          <w:lang w:val="en-US"/>
        </w:rPr>
        <w:t>that makes an organisation distinctive, promises a particular kind of employment experience, and appeals to those who will thrive and perform best in its culture</w:t>
      </w:r>
      <w:r>
        <w:rPr>
          <w:rFonts w:ascii="Aptos" w:cs="Aptos" w:hAnsi="Aptos" w:eastAsia="Aptos"/>
          <w:sz w:val="22"/>
          <w:szCs w:val="22"/>
          <w:u w:color="004147"/>
          <w:rtl w:val="0"/>
          <w:lang w:val="en-US"/>
        </w:rPr>
        <w:t xml:space="preserve">” </w:t>
      </w:r>
      <w:r>
        <w:rPr>
          <w:rFonts w:ascii="Aptos" w:cs="Aptos" w:hAnsi="Aptos" w:eastAsia="Aptos"/>
          <w:sz w:val="22"/>
          <w:szCs w:val="22"/>
          <w:u w:color="004147"/>
          <w:rtl w:val="0"/>
          <w:lang w:val="en-US"/>
        </w:rPr>
        <w:t>(CIPD, 2025). A strong employer brand also connects values, people strategy, and ethics, reflecting corporate social responsibility and wider social impact (Armstrong &amp; Taylor, 2022). By doing this, ParcelCare can position itself as an employer of choice.</w:t>
      </w:r>
    </w:p>
    <w:p>
      <w:pPr>
        <w:pStyle w:val="Body"/>
        <w:rPr>
          <w:rFonts w:ascii="Aptos" w:cs="Aptos" w:hAnsi="Aptos" w:eastAsia="Aptos"/>
          <w:sz w:val="22"/>
          <w:szCs w:val="22"/>
          <w:u w:color="004147"/>
        </w:rPr>
      </w:pPr>
      <w:r>
        <w:rPr>
          <w:rFonts w:ascii="Aptos" w:cs="Aptos" w:hAnsi="Aptos" w:eastAsia="Aptos"/>
          <w:sz w:val="22"/>
          <w:szCs w:val="22"/>
          <w:u w:color="004147"/>
          <w:rtl w:val="0"/>
          <w:lang w:val="en-US"/>
        </w:rPr>
        <w:t>Rising e-commerce and flexible working have intensified competition for logistics staff (ONS, 2024). To stay competitive, ParcelCare should benchmark pay, benefits, and working practices against competitors, ensuring alignment with market standards (CIPD, 2024). At the same time, it can differentiate itself through job stability, career development opportunities, and a strong organisational culture (CIPD, 2025). Workforce planning supports this by helping forecast skill needs and reduce reliance on short-term hiring (CIPD, 2024). Strengthening the employer value proposition through flexibility, inclusion, and wellbeing initiatives enhances engagement and retention across the workforce (CIPD, 2025).</w:t>
      </w:r>
    </w:p>
    <w:p>
      <w:pPr>
        <w:pStyle w:val="Body"/>
        <w:rPr>
          <w:rFonts w:ascii="Aptos" w:cs="Aptos" w:hAnsi="Aptos" w:eastAsia="Aptos"/>
          <w:sz w:val="22"/>
          <w:szCs w:val="22"/>
          <w:u w:color="004147"/>
        </w:rPr>
      </w:pPr>
      <w:r>
        <w:rPr>
          <w:rFonts w:ascii="Aptos" w:cs="Aptos" w:hAnsi="Aptos" w:eastAsia="Aptos"/>
          <w:sz w:val="22"/>
          <w:szCs w:val="22"/>
          <w:u w:color="004147"/>
          <w:rtl w:val="0"/>
          <w:lang w:val="en-US"/>
        </w:rPr>
        <w:t>Table 1 - Summarises strategic positioning actions that ParcelCare can implement to strengthen its competitiveness in the labour market.</w:t>
      </w:r>
    </w:p>
    <w:p>
      <w:pPr>
        <w:pStyle w:val="Body"/>
        <w:rPr>
          <w:rFonts w:ascii="Aptos" w:cs="Aptos" w:hAnsi="Aptos" w:eastAsia="Aptos"/>
          <w:b w:val="1"/>
          <w:bCs w:val="1"/>
          <w:sz w:val="22"/>
          <w:szCs w:val="22"/>
          <w:u w:color="004147"/>
        </w:rPr>
      </w:pPr>
      <w:r>
        <w:rPr>
          <w:rFonts w:ascii="Aptos" w:cs="Aptos" w:hAnsi="Aptos" w:eastAsia="Aptos"/>
          <w:b w:val="1"/>
          <w:bCs w:val="1"/>
          <w:sz w:val="22"/>
          <w:szCs w:val="22"/>
          <w:u w:color="004147"/>
          <w:rtl w:val="0"/>
          <w:lang w:val="fr-FR"/>
        </w:rPr>
        <w:t>Table 1</w:t>
      </w: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3005"/>
        <w:gridCol w:w="3005"/>
        <w:gridCol w:w="3006"/>
      </w:tblGrid>
      <w:tr>
        <w:tblPrEx>
          <w:shd w:val="clear" w:color="auto" w:fill="cdd4e9"/>
        </w:tblPrEx>
        <w:trPr>
          <w:trHeight w:val="270"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ptos" w:cs="Aptos" w:hAnsi="Aptos" w:eastAsia="Aptos"/>
                <w:b w:val="1"/>
                <w:bCs w:val="1"/>
                <w:sz w:val="22"/>
                <w:szCs w:val="22"/>
                <w:u w:color="004147"/>
                <w:shd w:val="nil" w:color="auto" w:fill="auto"/>
                <w:rtl w:val="0"/>
                <w:lang w:val="en-US"/>
              </w:rPr>
              <w:t>Strategic Area</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after="0" w:line="240" w:lineRule="auto"/>
            </w:pPr>
            <w:r>
              <w:rPr>
                <w:rFonts w:ascii="Aptos" w:cs="Aptos" w:hAnsi="Aptos" w:eastAsia="Aptos"/>
                <w:b w:val="1"/>
                <w:bCs w:val="1"/>
                <w:sz w:val="22"/>
                <w:szCs w:val="22"/>
                <w:u w:color="004147"/>
                <w:shd w:val="nil" w:color="auto" w:fill="auto"/>
                <w:rtl w:val="0"/>
                <w:lang w:val="en-US"/>
              </w:rPr>
              <w:t>Action/Focus</w:t>
            </w:r>
          </w:p>
        </w:tc>
        <w:tc>
          <w:tcPr>
            <w:tcW w:type="dxa" w:w="3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1"/>
                <w:bCs w:val="1"/>
                <w:sz w:val="22"/>
                <w:szCs w:val="22"/>
                <w:u w:color="004147"/>
                <w:shd w:val="nil" w:color="auto" w:fill="auto"/>
                <w:rtl w:val="0"/>
                <w:lang w:val="en-US"/>
              </w:rPr>
              <w:t>Benefit/Impact</w:t>
            </w:r>
          </w:p>
        </w:tc>
      </w:tr>
      <w:tr>
        <w:tblPrEx>
          <w:shd w:val="clear" w:color="auto" w:fill="cdd4e9"/>
        </w:tblPrEx>
        <w:trPr>
          <w:trHeight w:val="530"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u w:color="004147"/>
                <w:shd w:val="nil" w:color="auto" w:fill="auto"/>
                <w:rtl w:val="0"/>
                <w:lang w:val="en-US"/>
              </w:rPr>
              <w:t>Competitor Analysis</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u w:color="004147"/>
                <w:shd w:val="nil" w:color="auto" w:fill="auto"/>
                <w:rtl w:val="0"/>
                <w:lang w:val="en-US"/>
              </w:rPr>
              <w:t>Benchmark pay, benefits, working practices</w:t>
            </w:r>
          </w:p>
        </w:tc>
        <w:tc>
          <w:tcPr>
            <w:tcW w:type="dxa" w:w="3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u w:color="004147"/>
                <w:shd w:val="nil" w:color="auto" w:fill="auto"/>
                <w:rtl w:val="0"/>
                <w:lang w:val="en-US"/>
              </w:rPr>
              <w:t>Remain competitive in labour market</w:t>
            </w:r>
          </w:p>
        </w:tc>
      </w:tr>
      <w:tr>
        <w:tblPrEx>
          <w:shd w:val="clear" w:color="auto" w:fill="cdd4e9"/>
        </w:tblPrEx>
        <w:trPr>
          <w:trHeight w:val="790"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u w:color="004147"/>
                <w:shd w:val="nil" w:color="auto" w:fill="auto"/>
                <w:rtl w:val="0"/>
                <w:lang w:val="en-US"/>
              </w:rPr>
              <w:t>Employer Value Proposition</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u w:color="004147"/>
                <w:shd w:val="nil" w:color="auto" w:fill="auto"/>
                <w:rtl w:val="0"/>
                <w:lang w:val="en-US"/>
              </w:rPr>
              <w:t>Promote flexibility, inclusion, wellbeing, career development</w:t>
            </w:r>
          </w:p>
        </w:tc>
        <w:tc>
          <w:tcPr>
            <w:tcW w:type="dxa" w:w="3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u w:color="004147"/>
                <w:shd w:val="nil" w:color="auto" w:fill="auto"/>
                <w:rtl w:val="0"/>
                <w:lang w:val="en-US"/>
              </w:rPr>
              <w:t>Enhance attraction, engagement, retention</w:t>
            </w:r>
          </w:p>
        </w:tc>
      </w:tr>
      <w:tr>
        <w:tblPrEx>
          <w:shd w:val="clear" w:color="auto" w:fill="cdd4e9"/>
        </w:tblPrEx>
        <w:trPr>
          <w:trHeight w:val="530"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u w:color="004147"/>
                <w:shd w:val="nil" w:color="auto" w:fill="auto"/>
                <w:rtl w:val="0"/>
                <w:lang w:val="en-US"/>
              </w:rPr>
              <w:t>Workforce Planning</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u w:color="004147"/>
                <w:shd w:val="nil" w:color="auto" w:fill="auto"/>
                <w:rtl w:val="0"/>
                <w:lang w:val="en-US"/>
              </w:rPr>
              <w:t>Forecast future skill needs, plan recruitment proactively</w:t>
            </w:r>
          </w:p>
        </w:tc>
        <w:tc>
          <w:tcPr>
            <w:tcW w:type="dxa" w:w="3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u w:color="004147"/>
                <w:shd w:val="nil" w:color="auto" w:fill="auto"/>
                <w:rtl w:val="0"/>
                <w:lang w:val="en-US"/>
              </w:rPr>
              <w:t>Align talent pipeline with business growth</w:t>
            </w:r>
          </w:p>
        </w:tc>
      </w:tr>
      <w:tr>
        <w:tblPrEx>
          <w:shd w:val="clear" w:color="auto" w:fill="cdd4e9"/>
        </w:tblPrEx>
        <w:trPr>
          <w:trHeight w:val="530"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u w:color="004147"/>
                <w:shd w:val="nil" w:color="auto" w:fill="auto"/>
                <w:rtl w:val="0"/>
                <w:lang w:val="en-US"/>
              </w:rPr>
              <w:t>Employer Branding</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u w:color="004147"/>
                <w:shd w:val="nil" w:color="auto" w:fill="auto"/>
                <w:rtl w:val="0"/>
                <w:lang w:val="en-US"/>
              </w:rPr>
              <w:t>Strengthen organisational image and ethics</w:t>
            </w:r>
          </w:p>
        </w:tc>
        <w:tc>
          <w:tcPr>
            <w:tcW w:type="dxa" w:w="3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after="0" w:line="240" w:lineRule="auto"/>
            </w:pPr>
            <w:r>
              <w:rPr>
                <w:rFonts w:ascii="Aptos" w:cs="Aptos" w:hAnsi="Aptos" w:eastAsia="Aptos"/>
                <w:b w:val="0"/>
                <w:bCs w:val="0"/>
                <w:sz w:val="22"/>
                <w:szCs w:val="22"/>
                <w:u w:color="004147"/>
                <w:shd w:val="nil" w:color="auto" w:fill="auto"/>
                <w:rtl w:val="0"/>
                <w:lang w:val="en-US"/>
              </w:rPr>
              <w:t>Position as employer of choice</w:t>
            </w:r>
          </w:p>
        </w:tc>
      </w:tr>
      <w:tr>
        <w:tblPrEx>
          <w:shd w:val="clear" w:color="auto" w:fill="cdd4e9"/>
        </w:tblPrEx>
        <w:trPr>
          <w:trHeight w:val="790"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u w:color="004147"/>
                <w:shd w:val="nil" w:color="auto" w:fill="auto"/>
                <w:rtl w:val="0"/>
                <w:lang w:val="en-US"/>
              </w:rPr>
              <w:t>HR Alignment</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after="0" w:line="240" w:lineRule="auto"/>
            </w:pPr>
            <w:r>
              <w:rPr>
                <w:rFonts w:ascii="Aptos" w:cs="Aptos" w:hAnsi="Aptos" w:eastAsia="Aptos"/>
                <w:b w:val="0"/>
                <w:bCs w:val="0"/>
                <w:sz w:val="22"/>
                <w:szCs w:val="22"/>
                <w:u w:color="004147"/>
                <w:shd w:val="nil" w:color="auto" w:fill="auto"/>
                <w:rtl w:val="0"/>
                <w:lang w:val="en-US"/>
              </w:rPr>
              <w:t>Align learning, reward, recruitment with business goals</w:t>
            </w:r>
          </w:p>
        </w:tc>
        <w:tc>
          <w:tcPr>
            <w:tcW w:type="dxa" w:w="30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u w:color="004147"/>
                <w:shd w:val="nil" w:color="auto" w:fill="auto"/>
                <w:rtl w:val="0"/>
                <w:lang w:val="en-US"/>
              </w:rPr>
              <w:t>Operational agility and high-performing workforce</w:t>
            </w:r>
          </w:p>
        </w:tc>
      </w:tr>
    </w:tbl>
    <w:p>
      <w:pPr>
        <w:pStyle w:val="Body"/>
        <w:widowControl w:val="0"/>
        <w:spacing w:line="240" w:lineRule="auto"/>
        <w:rPr>
          <w:rFonts w:ascii="Aptos" w:cs="Aptos" w:hAnsi="Aptos" w:eastAsia="Aptos"/>
          <w:b w:val="1"/>
          <w:bCs w:val="1"/>
          <w:sz w:val="22"/>
          <w:szCs w:val="22"/>
          <w:u w:color="004147"/>
        </w:rPr>
      </w:pPr>
    </w:p>
    <w:p>
      <w:pPr>
        <w:pStyle w:val="Body"/>
        <w:rPr>
          <w:rFonts w:ascii="Aptos" w:cs="Aptos" w:hAnsi="Aptos" w:eastAsia="Aptos"/>
          <w:sz w:val="22"/>
          <w:szCs w:val="22"/>
          <w:u w:color="004147"/>
        </w:rPr>
      </w:pPr>
      <w:r>
        <w:rPr>
          <w:rFonts w:ascii="Aptos" w:cs="Aptos" w:hAnsi="Aptos" w:eastAsia="Aptos"/>
          <w:sz w:val="22"/>
          <w:szCs w:val="22"/>
          <w:u w:color="004147"/>
          <w:rtl w:val="0"/>
          <w:lang w:val="en-US"/>
        </w:rPr>
        <w:t>CIPD (2024). CIPD (2025). Armstrong &amp; Taylor (2022). ONS (2024).</w:t>
      </w:r>
    </w:p>
    <w:p>
      <w:pPr>
        <w:pStyle w:val="Body"/>
        <w:rPr>
          <w:rFonts w:ascii="Aptos" w:cs="Aptos" w:hAnsi="Aptos" w:eastAsia="Aptos"/>
          <w:sz w:val="22"/>
          <w:szCs w:val="22"/>
          <w:u w:color="004147"/>
        </w:rPr>
      </w:pPr>
      <w:r>
        <w:rPr>
          <w:rFonts w:ascii="Aptos" w:cs="Aptos" w:hAnsi="Aptos" w:eastAsia="Aptos"/>
          <w:sz w:val="22"/>
          <w:szCs w:val="22"/>
          <w:u w:color="004147"/>
          <w:rtl w:val="0"/>
          <w:lang w:val="en-US"/>
        </w:rPr>
        <w:t>Table 2 - Presents a SWOT analysis of ParcelCare</w:t>
      </w:r>
      <w:r>
        <w:rPr>
          <w:rFonts w:ascii="Aptos" w:cs="Aptos" w:hAnsi="Aptos" w:eastAsia="Aptos"/>
          <w:sz w:val="22"/>
          <w:szCs w:val="22"/>
          <w:u w:color="004147"/>
          <w:rtl w:val="0"/>
          <w:lang w:val="en-US"/>
        </w:rPr>
        <w:t>’</w:t>
      </w:r>
      <w:r>
        <w:rPr>
          <w:rFonts w:ascii="Aptos" w:cs="Aptos" w:hAnsi="Aptos" w:eastAsia="Aptos"/>
          <w:sz w:val="22"/>
          <w:szCs w:val="22"/>
          <w:u w:color="004147"/>
          <w:rtl w:val="0"/>
          <w:lang w:val="en-US"/>
        </w:rPr>
        <w:t>s current labour market position, highlighting strengths, weaknesses, opportunities, and threats relevant to workforce attraction and retention.</w:t>
      </w:r>
    </w:p>
    <w:p>
      <w:pPr>
        <w:pStyle w:val="Body"/>
        <w:rPr>
          <w:rFonts w:ascii="Aptos" w:cs="Aptos" w:hAnsi="Aptos" w:eastAsia="Aptos"/>
          <w:b w:val="1"/>
          <w:bCs w:val="1"/>
          <w:sz w:val="22"/>
          <w:szCs w:val="22"/>
          <w:u w:color="004147"/>
        </w:rPr>
      </w:pPr>
      <w:r>
        <w:rPr>
          <w:rFonts w:ascii="Aptos" w:cs="Aptos" w:hAnsi="Aptos" w:eastAsia="Aptos"/>
          <w:b w:val="1"/>
          <w:bCs w:val="1"/>
          <w:sz w:val="22"/>
          <w:szCs w:val="22"/>
          <w:u w:color="004147"/>
          <w:rtl w:val="0"/>
          <w:lang w:val="fr-FR"/>
        </w:rPr>
        <w:t>Table 2</w:t>
      </w: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4508"/>
        <w:gridCol w:w="4508"/>
      </w:tblGrid>
      <w:tr>
        <w:tblPrEx>
          <w:shd w:val="clear" w:color="auto" w:fill="cdd4e9"/>
        </w:tblPrEx>
        <w:trPr>
          <w:trHeight w:val="270" w:hRule="atLeast"/>
        </w:trPr>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ptos" w:cs="Aptos" w:hAnsi="Aptos" w:eastAsia="Aptos"/>
                <w:b w:val="1"/>
                <w:bCs w:val="1"/>
                <w:sz w:val="22"/>
                <w:szCs w:val="22"/>
                <w:u w:color="004147"/>
                <w:shd w:val="nil" w:color="auto" w:fill="auto"/>
                <w:rtl w:val="0"/>
                <w:lang w:val="en-US"/>
              </w:rPr>
              <w:t>SWOT</w:t>
            </w:r>
          </w:p>
        </w:tc>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1"/>
                <w:bCs w:val="1"/>
                <w:sz w:val="22"/>
                <w:szCs w:val="22"/>
                <w:u w:color="004147"/>
                <w:shd w:val="nil" w:color="auto" w:fill="auto"/>
                <w:rtl w:val="0"/>
                <w:lang w:val="en-US"/>
              </w:rPr>
              <w:t>Parcel Care Analysis</w:t>
            </w:r>
          </w:p>
        </w:tc>
      </w:tr>
      <w:tr>
        <w:tblPrEx>
          <w:shd w:val="clear" w:color="auto" w:fill="cdd4e9"/>
        </w:tblPrEx>
        <w:trPr>
          <w:trHeight w:val="530" w:hRule="atLeast"/>
        </w:trPr>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u w:color="004147"/>
                <w:shd w:val="nil" w:color="auto" w:fill="auto"/>
                <w:rtl w:val="0"/>
                <w:lang w:val="en-US"/>
              </w:rPr>
              <w:t>Strengths</w:t>
            </w:r>
          </w:p>
        </w:tc>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u w:color="004147"/>
                <w:shd w:val="nil" w:color="auto" w:fill="auto"/>
                <w:rtl w:val="0"/>
                <w:lang w:val="en-US"/>
              </w:rPr>
              <w:t>Long-established brand, stable workforce, strong culture</w:t>
            </w:r>
          </w:p>
        </w:tc>
      </w:tr>
      <w:tr>
        <w:tblPrEx>
          <w:shd w:val="clear" w:color="auto" w:fill="cdd4e9"/>
        </w:tblPrEx>
        <w:trPr>
          <w:trHeight w:val="530" w:hRule="atLeast"/>
        </w:trPr>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u w:color="004147"/>
                <w:shd w:val="nil" w:color="auto" w:fill="auto"/>
                <w:rtl w:val="0"/>
                <w:lang w:val="en-US"/>
              </w:rPr>
              <w:t>Weaknesses</w:t>
            </w:r>
          </w:p>
        </w:tc>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u w:color="004147"/>
                <w:shd w:val="nil" w:color="auto" w:fill="auto"/>
                <w:rtl w:val="0"/>
                <w:lang w:val="en-US"/>
              </w:rPr>
              <w:t>Reactive recruitment, limited workforce planning, skill gaps</w:t>
            </w:r>
          </w:p>
        </w:tc>
      </w:tr>
      <w:tr>
        <w:tblPrEx>
          <w:shd w:val="clear" w:color="auto" w:fill="cdd4e9"/>
        </w:tblPrEx>
        <w:trPr>
          <w:trHeight w:val="530" w:hRule="atLeast"/>
        </w:trPr>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u w:color="004147"/>
                <w:shd w:val="nil" w:color="auto" w:fill="auto"/>
                <w:rtl w:val="0"/>
                <w:lang w:val="en-US"/>
              </w:rPr>
              <w:t>Opportunities</w:t>
            </w:r>
          </w:p>
        </w:tc>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u w:color="004147"/>
                <w:shd w:val="nil" w:color="auto" w:fill="auto"/>
                <w:rtl w:val="0"/>
                <w:lang w:val="en-US"/>
              </w:rPr>
              <w:t>Talent pipeline development, EVP enhancement, flexible working initiatives</w:t>
            </w:r>
          </w:p>
        </w:tc>
      </w:tr>
      <w:tr>
        <w:tblPrEx>
          <w:shd w:val="clear" w:color="auto" w:fill="cdd4e9"/>
        </w:tblPrEx>
        <w:trPr>
          <w:trHeight w:val="790" w:hRule="atLeast"/>
        </w:trPr>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u w:color="004147"/>
                <w:shd w:val="nil" w:color="auto" w:fill="auto"/>
                <w:rtl w:val="0"/>
                <w:lang w:val="en-US"/>
              </w:rPr>
              <w:t>Threats</w:t>
            </w:r>
          </w:p>
        </w:tc>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after="0" w:line="240" w:lineRule="auto"/>
            </w:pPr>
            <w:r>
              <w:rPr>
                <w:rFonts w:ascii="Aptos" w:cs="Aptos" w:hAnsi="Aptos" w:eastAsia="Aptos"/>
                <w:b w:val="0"/>
                <w:bCs w:val="0"/>
                <w:sz w:val="22"/>
                <w:szCs w:val="22"/>
                <w:u w:color="004147"/>
                <w:shd w:val="nil" w:color="auto" w:fill="auto"/>
                <w:rtl w:val="0"/>
                <w:lang w:val="en-US"/>
              </w:rPr>
              <w:t>High competition for logistics roles, economic/regulatory changes, labour shortages</w:t>
            </w:r>
          </w:p>
        </w:tc>
      </w:tr>
    </w:tbl>
    <w:p>
      <w:pPr>
        <w:pStyle w:val="Body"/>
        <w:widowControl w:val="0"/>
        <w:spacing w:line="240" w:lineRule="auto"/>
        <w:rPr>
          <w:rFonts w:ascii="Aptos" w:cs="Aptos" w:hAnsi="Aptos" w:eastAsia="Aptos"/>
          <w:b w:val="1"/>
          <w:bCs w:val="1"/>
          <w:sz w:val="22"/>
          <w:szCs w:val="22"/>
          <w:u w:color="004147"/>
        </w:rPr>
      </w:pPr>
    </w:p>
    <w:p>
      <w:pPr>
        <w:pStyle w:val="Body"/>
        <w:rPr>
          <w:rFonts w:ascii="Aptos" w:cs="Aptos" w:hAnsi="Aptos" w:eastAsia="Aptos"/>
          <w:sz w:val="22"/>
          <w:szCs w:val="22"/>
          <w:u w:color="004147"/>
        </w:rPr>
      </w:pPr>
      <w:r>
        <w:rPr>
          <w:rFonts w:ascii="Aptos" w:cs="Aptos" w:hAnsi="Aptos" w:eastAsia="Aptos"/>
          <w:sz w:val="22"/>
          <w:szCs w:val="22"/>
          <w:u w:color="004147"/>
          <w:rtl w:val="0"/>
          <w:lang w:val="en-US"/>
        </w:rPr>
        <w:t>CIPD (2024). CIPD (2025). Armstrong &amp; Taylor (2022). ONS (2024).</w:t>
      </w:r>
    </w:p>
    <w:p>
      <w:pPr>
        <w:pStyle w:val="Body"/>
        <w:rPr>
          <w:rFonts w:ascii="Aptos" w:cs="Aptos" w:hAnsi="Aptos" w:eastAsia="Aptos"/>
          <w:sz w:val="22"/>
          <w:szCs w:val="22"/>
          <w:u w:color="004147"/>
        </w:rPr>
      </w:pPr>
      <w:r>
        <w:rPr>
          <w:rFonts w:ascii="Aptos" w:cs="Aptos" w:hAnsi="Aptos" w:eastAsia="Aptos"/>
          <w:sz w:val="22"/>
          <w:szCs w:val="22"/>
          <w:u w:color="004147"/>
          <w:rtl w:val="0"/>
          <w:lang w:val="en-US"/>
        </w:rPr>
        <w:t>In Conclusion, integrating workforce planning, employer branding, and market insight enables ParcelCare to attract, retain, and develop talent while supporting long-term operational success. Each element of the people strategy strengthens competitive positioning by aligning organisational objectives with employee expectations (CIPD, 2025).</w:t>
      </w:r>
    </w:p>
    <w:p>
      <w:pPr>
        <w:pStyle w:val="Table Style 2 A"/>
        <w:rPr>
          <w:rFonts w:ascii="Aptos" w:cs="Aptos" w:hAnsi="Aptos" w:eastAsia="Aptos"/>
          <w:sz w:val="22"/>
          <w:szCs w:val="22"/>
          <w:u w:color="004147"/>
        </w:rPr>
      </w:pPr>
    </w:p>
    <w:p>
      <w:pPr>
        <w:pStyle w:val="Table Style 2 A"/>
        <w:rPr>
          <w:rFonts w:ascii="Aptos" w:cs="Aptos" w:hAnsi="Aptos" w:eastAsia="Aptos"/>
          <w:sz w:val="22"/>
          <w:szCs w:val="22"/>
          <w:u w:color="004147"/>
        </w:rPr>
      </w:pPr>
      <w:r>
        <w:rPr>
          <w:rFonts w:ascii="Aptos" w:cs="Aptos" w:hAnsi="Aptos" w:eastAsia="Aptos"/>
          <w:b w:val="1"/>
          <w:bCs w:val="1"/>
          <w:sz w:val="22"/>
          <w:szCs w:val="22"/>
          <w:u w:color="004147"/>
          <w:rtl w:val="0"/>
          <w:lang w:val="en-US"/>
        </w:rPr>
        <w:t xml:space="preserve">AC 1.2 - </w:t>
      </w:r>
      <w:r>
        <w:rPr>
          <w:rFonts w:ascii="Aptos" w:cs="Aptos" w:hAnsi="Aptos" w:eastAsia="Aptos"/>
          <w:sz w:val="22"/>
          <w:szCs w:val="22"/>
          <w:u w:color="004147"/>
          <w:rtl w:val="0"/>
          <w:lang w:val="en-US"/>
        </w:rPr>
        <w:t>ParcelCare operates in a dynamic labour market where both internal and external factors shape its ability to attract, retain, and develop staff. Understanding changing labour market conditions is essential for making effective resourcing decisions. Labour markets can be tight (demand exceeds supply) or loose (supply exceeds demand), and each scenario has distinct implications for recruitment, retention, and workforce planning (CIPD, 2025).</w:t>
      </w:r>
    </w:p>
    <w:p>
      <w:pPr>
        <w:pStyle w:val="Table Style 2 A"/>
        <w:rPr>
          <w:rFonts w:ascii="Aptos" w:cs="Aptos" w:hAnsi="Aptos" w:eastAsia="Aptos"/>
          <w:b w:val="1"/>
          <w:bCs w:val="1"/>
          <w:sz w:val="22"/>
          <w:szCs w:val="22"/>
          <w:u w:color="004147"/>
        </w:rPr>
      </w:pPr>
    </w:p>
    <w:p>
      <w:pPr>
        <w:pStyle w:val="Body"/>
        <w:rPr>
          <w:rFonts w:ascii="Aptos" w:cs="Aptos" w:hAnsi="Aptos" w:eastAsia="Aptos"/>
          <w:sz w:val="22"/>
          <w:szCs w:val="22"/>
          <w:u w:color="004147"/>
        </w:rPr>
      </w:pPr>
      <w:r>
        <w:rPr>
          <w:rFonts w:ascii="Aptos" w:cs="Aptos" w:hAnsi="Aptos" w:eastAsia="Aptos"/>
          <w:b w:val="1"/>
          <w:bCs w:val="1"/>
          <w:sz w:val="22"/>
          <w:szCs w:val="22"/>
          <w:u w:color="004147"/>
          <w:rtl w:val="0"/>
          <w:lang w:val="en-US"/>
        </w:rPr>
        <w:t>Economic Factors:</w:t>
      </w:r>
      <w:r>
        <w:rPr>
          <w:rFonts w:ascii="Aptos" w:cs="Aptos" w:hAnsi="Aptos" w:eastAsia="Aptos"/>
          <w:sz w:val="22"/>
          <w:szCs w:val="22"/>
          <w:u w:color="004147"/>
        </w:rPr>
        <w:br w:type="textWrapping"/>
      </w:r>
      <w:r>
        <w:rPr>
          <w:rFonts w:ascii="Aptos" w:cs="Aptos" w:hAnsi="Aptos" w:eastAsia="Aptos"/>
          <w:sz w:val="22"/>
          <w:szCs w:val="22"/>
          <w:u w:color="004147"/>
          <w:rtl w:val="0"/>
          <w:lang w:val="en-US"/>
        </w:rPr>
        <w:t>The UK logistics sector currently experiences a tight labour market, with demand for delivery and warehouse staff exceeding supply (ONS, 2024). This drives competition, wage inflation, and increases the cost of recruitment. In response, ParcelCare must strengthen its employer value proposition (EVP) by offering competitive pay, benefits, career development opportunities, and wellbeing initiatives (CIPD, 2023). Conversely, in a loose market, ParcelCare could focus on long-term development, internal mobility, and optimising workforce utilisation.</w:t>
      </w:r>
    </w:p>
    <w:p>
      <w:pPr>
        <w:pStyle w:val="Body"/>
        <w:rPr>
          <w:rFonts w:ascii="Aptos" w:cs="Aptos" w:hAnsi="Aptos" w:eastAsia="Aptos"/>
          <w:sz w:val="22"/>
          <w:szCs w:val="22"/>
          <w:u w:color="004147"/>
        </w:rPr>
      </w:pPr>
      <w:r>
        <w:rPr>
          <w:rFonts w:ascii="Aptos" w:cs="Aptos" w:hAnsi="Aptos" w:eastAsia="Aptos"/>
          <w:b w:val="1"/>
          <w:bCs w:val="1"/>
          <w:sz w:val="22"/>
          <w:szCs w:val="22"/>
          <w:u w:color="004147"/>
          <w:rtl w:val="0"/>
          <w:lang w:val="da-DK"/>
        </w:rPr>
        <w:t>Social Factors:</w:t>
      </w:r>
      <w:r>
        <w:rPr>
          <w:rFonts w:ascii="Aptos" w:cs="Aptos" w:hAnsi="Aptos" w:eastAsia="Aptos"/>
          <w:sz w:val="22"/>
          <w:szCs w:val="22"/>
          <w:u w:color="004147"/>
        </w:rPr>
        <w:br w:type="textWrapping"/>
      </w:r>
      <w:r>
        <w:rPr>
          <w:rFonts w:ascii="Aptos" w:cs="Aptos" w:hAnsi="Aptos" w:eastAsia="Aptos"/>
          <w:sz w:val="22"/>
          <w:szCs w:val="22"/>
          <w:u w:color="004147"/>
          <w:rtl w:val="0"/>
          <w:lang w:val="en-US"/>
        </w:rPr>
        <w:t>Changes such as an ageing workforce, increasing diversity, and employee expectations for flexible working influence resourcing decisions. ParcelCare must consider inclusion, work</w:t>
      </w:r>
      <w:r>
        <w:rPr>
          <w:rFonts w:ascii="Aptos" w:cs="Aptos" w:hAnsi="Aptos" w:eastAsia="Aptos"/>
          <w:sz w:val="22"/>
          <w:szCs w:val="22"/>
          <w:u w:color="004147"/>
          <w:rtl w:val="0"/>
          <w:lang w:val="en-US"/>
        </w:rPr>
        <w:t>–</w:t>
      </w:r>
      <w:r>
        <w:rPr>
          <w:rFonts w:ascii="Aptos" w:cs="Aptos" w:hAnsi="Aptos" w:eastAsia="Aptos"/>
          <w:sz w:val="22"/>
          <w:szCs w:val="22"/>
          <w:u w:color="004147"/>
          <w:rtl w:val="0"/>
          <w:lang w:val="en-US"/>
        </w:rPr>
        <w:t>life balance, and wellbeing initiatives to attract and retain staff, which impacts HR policies and retention strategies (CIPD, 2023).</w:t>
      </w:r>
    </w:p>
    <w:p>
      <w:pPr>
        <w:pStyle w:val="Body"/>
        <w:rPr>
          <w:rFonts w:ascii="Aptos" w:cs="Aptos" w:hAnsi="Aptos" w:eastAsia="Aptos"/>
          <w:sz w:val="22"/>
          <w:szCs w:val="22"/>
          <w:u w:color="004147"/>
        </w:rPr>
      </w:pPr>
      <w:r>
        <w:rPr>
          <w:rFonts w:ascii="Aptos" w:cs="Aptos" w:hAnsi="Aptos" w:eastAsia="Aptos"/>
          <w:b w:val="1"/>
          <w:bCs w:val="1"/>
          <w:sz w:val="22"/>
          <w:szCs w:val="22"/>
          <w:u w:color="004147"/>
          <w:rtl w:val="0"/>
          <w:lang w:val="en-US"/>
        </w:rPr>
        <w:t>Technological Factors:</w:t>
      </w:r>
      <w:r>
        <w:rPr>
          <w:rFonts w:ascii="Aptos" w:cs="Aptos" w:hAnsi="Aptos" w:eastAsia="Aptos"/>
          <w:sz w:val="22"/>
          <w:szCs w:val="22"/>
          <w:u w:color="004147"/>
        </w:rPr>
        <w:br w:type="textWrapping"/>
      </w:r>
      <w:r>
        <w:rPr>
          <w:rFonts w:ascii="Aptos" w:cs="Aptos" w:hAnsi="Aptos" w:eastAsia="Aptos"/>
          <w:sz w:val="22"/>
          <w:szCs w:val="22"/>
          <w:u w:color="004147"/>
          <w:rtl w:val="0"/>
          <w:lang w:val="en-US"/>
        </w:rPr>
        <w:t>Automation, digital tracking, and route-optimisation systems are reshaping roles in logistics. ParcelCare faces decisions on whether to recruit externally for digital skills or upskill existing employees, affecting training budgets, succession planning, and development programmes (CIPD, 2025).</w:t>
      </w:r>
    </w:p>
    <w:p>
      <w:pPr>
        <w:pStyle w:val="Body"/>
        <w:rPr>
          <w:rFonts w:ascii="Aptos" w:cs="Aptos" w:hAnsi="Aptos" w:eastAsia="Aptos"/>
          <w:sz w:val="22"/>
          <w:szCs w:val="22"/>
          <w:u w:color="004147"/>
        </w:rPr>
      </w:pPr>
      <w:r>
        <w:rPr>
          <w:rFonts w:ascii="Aptos" w:cs="Aptos" w:hAnsi="Aptos" w:eastAsia="Aptos"/>
          <w:b w:val="1"/>
          <w:bCs w:val="1"/>
          <w:sz w:val="22"/>
          <w:szCs w:val="22"/>
          <w:u w:color="004147"/>
          <w:rtl w:val="0"/>
          <w:lang w:val="en-US"/>
        </w:rPr>
        <w:t>Legal and Environmental Factors:</w:t>
      </w:r>
      <w:r>
        <w:rPr>
          <w:rFonts w:ascii="Aptos" w:cs="Aptos" w:hAnsi="Aptos" w:eastAsia="Aptos"/>
          <w:sz w:val="22"/>
          <w:szCs w:val="22"/>
          <w:u w:color="004147"/>
        </w:rPr>
        <w:br w:type="textWrapping"/>
      </w:r>
      <w:r>
        <w:rPr>
          <w:rFonts w:ascii="Aptos" w:cs="Aptos" w:hAnsi="Aptos" w:eastAsia="Aptos"/>
          <w:sz w:val="22"/>
          <w:szCs w:val="22"/>
          <w:u w:color="004147"/>
          <w:rtl w:val="0"/>
          <w:lang w:val="en-US"/>
        </w:rPr>
        <w:t>Labour legislation, post-Brexit immigration rules, and sustainability requirements influence recruitment strategies and operational planning. ParcelCare may target underrepresented groups, offer apprenticeships, or adapt roles to comply with regulations, affecting long-term workforce planning (CIPD, 2023).</w:t>
      </w:r>
    </w:p>
    <w:p>
      <w:pPr>
        <w:pStyle w:val="Body"/>
        <w:rPr>
          <w:rFonts w:ascii="Aptos" w:cs="Aptos" w:hAnsi="Aptos" w:eastAsia="Aptos"/>
          <w:sz w:val="22"/>
          <w:szCs w:val="22"/>
          <w:u w:color="004147"/>
        </w:rPr>
      </w:pPr>
      <w:r>
        <w:rPr>
          <w:rFonts w:ascii="Aptos" w:cs="Aptos" w:hAnsi="Aptos" w:eastAsia="Aptos"/>
          <w:b w:val="1"/>
          <w:bCs w:val="1"/>
          <w:sz w:val="22"/>
          <w:szCs w:val="22"/>
          <w:u w:color="004147"/>
          <w:rtl w:val="0"/>
          <w:lang w:val="en-US"/>
        </w:rPr>
        <w:t>Resourcing Decisions:</w:t>
      </w:r>
      <w:r>
        <w:rPr>
          <w:rFonts w:ascii="Aptos" w:cs="Aptos" w:hAnsi="Aptos" w:eastAsia="Aptos"/>
          <w:sz w:val="22"/>
          <w:szCs w:val="22"/>
          <w:u w:color="004147"/>
        </w:rPr>
        <w:br w:type="textWrapping"/>
      </w:r>
      <w:r>
        <w:rPr>
          <w:rFonts w:ascii="Aptos" w:cs="Aptos" w:hAnsi="Aptos" w:eastAsia="Aptos"/>
          <w:sz w:val="22"/>
          <w:szCs w:val="22"/>
          <w:u w:color="004147"/>
          <w:rtl w:val="0"/>
          <w:lang w:val="en-US"/>
        </w:rPr>
        <w:t>These labour market changes directly impact key resourcing activities:</w:t>
      </w:r>
    </w:p>
    <w:p>
      <w:pPr>
        <w:pStyle w:val="Body"/>
        <w:numPr>
          <w:ilvl w:val="0"/>
          <w:numId w:val="2"/>
        </w:numPr>
        <w:bidi w:val="0"/>
        <w:ind w:right="0"/>
        <w:jc w:val="left"/>
        <w:rPr>
          <w:rFonts w:ascii="Aptos" w:cs="Aptos" w:hAnsi="Aptos" w:eastAsia="Aptos"/>
          <w:sz w:val="22"/>
          <w:szCs w:val="22"/>
          <w:rtl w:val="0"/>
          <w:lang w:val="en-US"/>
        </w:rPr>
      </w:pPr>
      <w:r>
        <w:rPr>
          <w:rFonts w:ascii="Aptos" w:cs="Aptos" w:hAnsi="Aptos" w:eastAsia="Aptos"/>
          <w:b w:val="1"/>
          <w:bCs w:val="1"/>
          <w:sz w:val="22"/>
          <w:szCs w:val="22"/>
          <w:u w:color="004147"/>
          <w:rtl w:val="0"/>
          <w:lang w:val="en-US"/>
        </w:rPr>
        <w:t>Recruitment methods:</w:t>
      </w:r>
      <w:r>
        <w:rPr>
          <w:rFonts w:ascii="Aptos" w:cs="Aptos" w:hAnsi="Aptos" w:eastAsia="Aptos"/>
          <w:sz w:val="22"/>
          <w:szCs w:val="22"/>
          <w:u w:color="004147"/>
          <w:rtl w:val="0"/>
          <w:lang w:val="en-US"/>
        </w:rPr>
        <w:t xml:space="preserve"> adjusting channels and campaigns to reach scarce talent.</w:t>
      </w:r>
    </w:p>
    <w:p>
      <w:pPr>
        <w:pStyle w:val="Body"/>
        <w:numPr>
          <w:ilvl w:val="0"/>
          <w:numId w:val="2"/>
        </w:numPr>
        <w:bidi w:val="0"/>
        <w:ind w:right="0"/>
        <w:jc w:val="left"/>
        <w:rPr>
          <w:rFonts w:ascii="Aptos" w:cs="Aptos" w:hAnsi="Aptos" w:eastAsia="Aptos"/>
          <w:sz w:val="22"/>
          <w:szCs w:val="22"/>
          <w:rtl w:val="0"/>
          <w:lang w:val="en-US"/>
        </w:rPr>
      </w:pPr>
      <w:r>
        <w:rPr>
          <w:rFonts w:ascii="Aptos" w:cs="Aptos" w:hAnsi="Aptos" w:eastAsia="Aptos"/>
          <w:b w:val="1"/>
          <w:bCs w:val="1"/>
          <w:sz w:val="22"/>
          <w:szCs w:val="22"/>
          <w:u w:color="004147"/>
          <w:rtl w:val="0"/>
          <w:lang w:val="en-US"/>
        </w:rPr>
        <w:t>Retention strategies:</w:t>
      </w:r>
      <w:r>
        <w:rPr>
          <w:rFonts w:ascii="Aptos" w:cs="Aptos" w:hAnsi="Aptos" w:eastAsia="Aptos"/>
          <w:sz w:val="22"/>
          <w:szCs w:val="22"/>
          <w:u w:color="004147"/>
          <w:rtl w:val="0"/>
          <w:lang w:val="en-US"/>
        </w:rPr>
        <w:t xml:space="preserve"> enhancing EVP and engagement to reduce turnover.</w:t>
      </w:r>
    </w:p>
    <w:p>
      <w:pPr>
        <w:pStyle w:val="Body"/>
        <w:numPr>
          <w:ilvl w:val="0"/>
          <w:numId w:val="2"/>
        </w:numPr>
        <w:bidi w:val="0"/>
        <w:ind w:right="0"/>
        <w:jc w:val="left"/>
        <w:rPr>
          <w:rFonts w:ascii="Aptos" w:cs="Aptos" w:hAnsi="Aptos" w:eastAsia="Aptos"/>
          <w:sz w:val="22"/>
          <w:szCs w:val="22"/>
          <w:rtl w:val="0"/>
          <w:lang w:val="en-US"/>
        </w:rPr>
      </w:pPr>
      <w:r>
        <w:rPr>
          <w:rFonts w:ascii="Aptos" w:cs="Aptos" w:hAnsi="Aptos" w:eastAsia="Aptos"/>
          <w:b w:val="1"/>
          <w:bCs w:val="1"/>
          <w:sz w:val="22"/>
          <w:szCs w:val="22"/>
          <w:u w:color="004147"/>
          <w:rtl w:val="0"/>
          <w:lang w:val="en-US"/>
        </w:rPr>
        <w:t>Development plans:</w:t>
      </w:r>
      <w:r>
        <w:rPr>
          <w:rFonts w:ascii="Aptos" w:cs="Aptos" w:hAnsi="Aptos" w:eastAsia="Aptos"/>
          <w:sz w:val="22"/>
          <w:szCs w:val="22"/>
          <w:u w:color="004147"/>
          <w:rtl w:val="0"/>
          <w:lang w:val="en-US"/>
        </w:rPr>
        <w:t xml:space="preserve"> investing in training to address skill shortages.</w:t>
      </w:r>
    </w:p>
    <w:p>
      <w:pPr>
        <w:pStyle w:val="Body"/>
        <w:numPr>
          <w:ilvl w:val="0"/>
          <w:numId w:val="2"/>
        </w:numPr>
        <w:bidi w:val="0"/>
        <w:ind w:right="0"/>
        <w:jc w:val="left"/>
        <w:rPr>
          <w:rFonts w:ascii="Aptos" w:cs="Aptos" w:hAnsi="Aptos" w:eastAsia="Aptos"/>
          <w:sz w:val="22"/>
          <w:szCs w:val="22"/>
          <w:rtl w:val="0"/>
          <w:lang w:val="en-US"/>
        </w:rPr>
      </w:pPr>
      <w:r>
        <w:rPr>
          <w:rFonts w:ascii="Aptos" w:cs="Aptos" w:hAnsi="Aptos" w:eastAsia="Aptos"/>
          <w:b w:val="1"/>
          <w:bCs w:val="1"/>
          <w:sz w:val="22"/>
          <w:szCs w:val="22"/>
          <w:u w:color="004147"/>
          <w:rtl w:val="0"/>
          <w:lang w:val="en-US"/>
        </w:rPr>
        <w:t>Long-term workforce planning:</w:t>
      </w:r>
      <w:r>
        <w:rPr>
          <w:rFonts w:ascii="Aptos" w:cs="Aptos" w:hAnsi="Aptos" w:eastAsia="Aptos"/>
          <w:sz w:val="22"/>
          <w:szCs w:val="22"/>
          <w:u w:color="004147"/>
          <w:rtl w:val="0"/>
          <w:lang w:val="en-US"/>
        </w:rPr>
        <w:t xml:space="preserve"> forecasting future skills needs to ensure operational capacity during peak periods.</w:t>
      </w:r>
    </w:p>
    <w:p>
      <w:pPr>
        <w:pStyle w:val="Body"/>
        <w:rPr>
          <w:rFonts w:ascii="Aptos" w:cs="Aptos" w:hAnsi="Aptos" w:eastAsia="Aptos"/>
          <w:sz w:val="22"/>
          <w:szCs w:val="22"/>
          <w:u w:color="004147"/>
        </w:rPr>
      </w:pPr>
      <w:r>
        <w:rPr>
          <w:rFonts w:ascii="Aptos" w:cs="Aptos" w:hAnsi="Aptos" w:eastAsia="Aptos"/>
          <w:sz w:val="22"/>
          <w:szCs w:val="22"/>
          <w:u w:color="004147"/>
          <w:rtl w:val="0"/>
          <w:lang w:val="en-US"/>
        </w:rPr>
        <w:t>Using labour market intelligence from sources such as the ONS Labour Force Survey and the CIPD Labour Market Outlook enables ParcelCare to anticipate skill shortages, respond to economic and social trends, and make proactive decisions (CIPD, 2023, 2025; ONS, 2024).</w:t>
      </w:r>
    </w:p>
    <w:p>
      <w:pPr>
        <w:pStyle w:val="Body"/>
        <w:rPr>
          <w:rFonts w:ascii="Aptos" w:cs="Aptos" w:hAnsi="Aptos" w:eastAsia="Aptos"/>
          <w:sz w:val="22"/>
          <w:szCs w:val="22"/>
          <w:u w:color="004147"/>
        </w:rPr>
      </w:pPr>
      <w:r>
        <w:rPr>
          <w:rFonts w:ascii="Aptos" w:cs="Aptos" w:hAnsi="Aptos" w:eastAsia="Aptos"/>
          <w:sz w:val="22"/>
          <w:szCs w:val="22"/>
          <w:u w:color="004147"/>
          <w:rtl w:val="0"/>
          <w:lang w:val="en-US"/>
        </w:rPr>
        <w:t>In conclusion, changing labour market conditions</w:t>
      </w:r>
      <w:r>
        <w:rPr>
          <w:rFonts w:ascii="Aptos" w:cs="Aptos" w:hAnsi="Aptos" w:eastAsia="Aptos"/>
          <w:sz w:val="22"/>
          <w:szCs w:val="22"/>
          <w:u w:color="004147"/>
          <w:rtl w:val="0"/>
          <w:lang w:val="en-US"/>
        </w:rPr>
        <w:t>—</w:t>
      </w:r>
      <w:r>
        <w:rPr>
          <w:rFonts w:ascii="Aptos" w:cs="Aptos" w:hAnsi="Aptos" w:eastAsia="Aptos"/>
          <w:sz w:val="22"/>
          <w:szCs w:val="22"/>
          <w:u w:color="004147"/>
          <w:rtl w:val="0"/>
          <w:lang w:val="en-US"/>
        </w:rPr>
        <w:t>including economic, social, technological, legal, and environmental factors</w:t>
      </w:r>
      <w:r>
        <w:rPr>
          <w:rFonts w:ascii="Aptos" w:cs="Aptos" w:hAnsi="Aptos" w:eastAsia="Aptos"/>
          <w:sz w:val="22"/>
          <w:szCs w:val="22"/>
          <w:u w:color="004147"/>
          <w:rtl w:val="0"/>
          <w:lang w:val="en-US"/>
        </w:rPr>
        <w:t>—</w:t>
      </w:r>
      <w:r>
        <w:rPr>
          <w:rFonts w:ascii="Aptos" w:cs="Aptos" w:hAnsi="Aptos" w:eastAsia="Aptos"/>
          <w:sz w:val="22"/>
          <w:szCs w:val="22"/>
          <w:u w:color="004147"/>
          <w:rtl w:val="0"/>
          <w:lang w:val="en-US"/>
        </w:rPr>
        <w:t>significantly affect ParcelCare</w:t>
      </w:r>
      <w:r>
        <w:rPr>
          <w:rFonts w:ascii="Aptos" w:cs="Aptos" w:hAnsi="Aptos" w:eastAsia="Aptos"/>
          <w:sz w:val="22"/>
          <w:szCs w:val="22"/>
          <w:u w:color="004147"/>
          <w:rtl w:val="0"/>
          <w:lang w:val="en-US"/>
        </w:rPr>
        <w:t>’</w:t>
      </w:r>
      <w:r>
        <w:rPr>
          <w:rFonts w:ascii="Aptos" w:cs="Aptos" w:hAnsi="Aptos" w:eastAsia="Aptos"/>
          <w:sz w:val="22"/>
          <w:szCs w:val="22"/>
          <w:u w:color="004147"/>
          <w:rtl w:val="0"/>
          <w:lang w:val="en-US"/>
        </w:rPr>
        <w:t>s resourcing decisions. By integrating these insights into strategic workforce planning, ParcelCare can strengthen its EVP, attract and retain scarce talent, and build a sustainable, high-performing workforce that aligns with organisational objectives (CIPD, 2023, 2025; ONS, 2024).</w:t>
      </w:r>
    </w:p>
    <w:p>
      <w:pPr>
        <w:pStyle w:val="Body"/>
        <w:rPr>
          <w:rFonts w:ascii="Aptos" w:cs="Aptos" w:hAnsi="Aptos" w:eastAsia="Aptos"/>
          <w:sz w:val="22"/>
          <w:szCs w:val="22"/>
          <w:u w:color="004147"/>
        </w:rPr>
      </w:pPr>
    </w:p>
    <w:p>
      <w:pPr>
        <w:pStyle w:val="Body"/>
        <w:rPr>
          <w:rFonts w:ascii="Aptos" w:cs="Aptos" w:hAnsi="Aptos" w:eastAsia="Aptos"/>
          <w:b w:val="1"/>
          <w:bCs w:val="1"/>
          <w:sz w:val="22"/>
          <w:szCs w:val="22"/>
          <w:u w:color="004147"/>
        </w:rPr>
      </w:pPr>
      <w:r>
        <w:rPr>
          <w:rFonts w:ascii="Aptos" w:cs="Aptos" w:hAnsi="Aptos" w:eastAsia="Aptos"/>
          <w:b w:val="1"/>
          <w:bCs w:val="1"/>
          <w:sz w:val="22"/>
          <w:szCs w:val="22"/>
          <w:u w:color="004147"/>
          <w:rtl w:val="0"/>
        </w:rPr>
        <w:t>AC 2.1 - ParcelCare</w:t>
      </w:r>
      <w:r>
        <w:rPr>
          <w:rFonts w:ascii="Aptos" w:cs="Aptos" w:hAnsi="Aptos" w:eastAsia="Aptos"/>
          <w:sz w:val="22"/>
          <w:szCs w:val="22"/>
          <w:rtl w:val="0"/>
          <w:lang w:val="en-US"/>
        </w:rPr>
        <w:t xml:space="preserve"> has historically lacked formal workforce planning, leaving the organisation vulnerable to staffing shortages, skill gaps, and reactive recruitment. Effective workforce planning enables the organisation to forecast labour demand, assess internal and external workforce supply, and align HR strategy with business objectives (CIPD, 2019, 2025). By anticipating staffing needs, ParcelCare can reduce operational disruptions during peak periods and ensure sufficient staff are available for critical functions.</w:t>
      </w:r>
    </w:p>
    <w:p>
      <w:pPr>
        <w:pStyle w:val="Body"/>
        <w:rPr>
          <w:rFonts w:ascii="Aptos" w:cs="Aptos" w:hAnsi="Aptos" w:eastAsia="Aptos"/>
          <w:sz w:val="22"/>
          <w:szCs w:val="22"/>
        </w:rPr>
      </w:pPr>
      <w:r>
        <w:rPr>
          <w:rFonts w:ascii="Aptos" w:cs="Aptos" w:hAnsi="Aptos" w:eastAsia="Aptos"/>
          <w:sz w:val="22"/>
          <w:szCs w:val="22"/>
          <w:rtl w:val="0"/>
          <w:lang w:val="en-US"/>
        </w:rPr>
        <w:t>Forecasting demand allows ParcelCare to determine the number and type of employees required. Analysing internal supply</w:t>
      </w:r>
      <w:r>
        <w:rPr>
          <w:rFonts w:ascii="Aptos" w:cs="Aptos" w:hAnsi="Aptos" w:eastAsia="Aptos"/>
          <w:sz w:val="22"/>
          <w:szCs w:val="22"/>
          <w:rtl w:val="0"/>
          <w:lang w:val="en-US"/>
        </w:rPr>
        <w:t>—</w:t>
      </w:r>
      <w:r>
        <w:rPr>
          <w:rFonts w:ascii="Aptos" w:cs="Aptos" w:hAnsi="Aptos" w:eastAsia="Aptos"/>
          <w:sz w:val="22"/>
          <w:szCs w:val="22"/>
          <w:rtl w:val="0"/>
          <w:lang w:val="en-US"/>
        </w:rPr>
        <w:t>including current skills, turnover, and absence patterns</w:t>
      </w:r>
      <w:r>
        <w:rPr>
          <w:rFonts w:ascii="Aptos" w:cs="Aptos" w:hAnsi="Aptos" w:eastAsia="Aptos"/>
          <w:sz w:val="22"/>
          <w:szCs w:val="22"/>
          <w:rtl w:val="0"/>
          <w:lang w:val="en-US"/>
        </w:rPr>
        <w:t>—</w:t>
      </w:r>
      <w:r>
        <w:rPr>
          <w:rFonts w:ascii="Aptos" w:cs="Aptos" w:hAnsi="Aptos" w:eastAsia="Aptos"/>
          <w:sz w:val="22"/>
          <w:szCs w:val="22"/>
          <w:rtl w:val="0"/>
          <w:lang w:val="en-US"/>
        </w:rPr>
        <w:t>and external supply, such as labour market trends and competitor practices, helps identify potential gaps. For example, shortages in drivers or digital logistics skills may result in delayed deliveries, higher costs, and reduced customer satisfaction. Strategic gap analysis supports targeted interventions such as recruitment, internal development, or redeployment (CIPD, 2019).</w:t>
      </w:r>
    </w:p>
    <w:p>
      <w:pPr>
        <w:pStyle w:val="Body"/>
        <w:rPr>
          <w:rFonts w:ascii="Aptos" w:cs="Aptos" w:hAnsi="Aptos" w:eastAsia="Aptos"/>
          <w:sz w:val="22"/>
          <w:szCs w:val="22"/>
        </w:rPr>
      </w:pPr>
      <w:r>
        <w:rPr>
          <w:rFonts w:ascii="Aptos" w:cs="Aptos" w:hAnsi="Aptos" w:eastAsia="Aptos"/>
          <w:sz w:val="22"/>
          <w:szCs w:val="22"/>
          <w:rtl w:val="0"/>
          <w:lang w:val="en-US"/>
        </w:rPr>
        <w:t>Effective workforce planning relies on credible data and clear definitions of roles and skills, distinguishing current capabilities from future requirements. Engaging senior leaders in workshops ensures consensus on critical job families and the skills necessary to execute organisational strategy. This structured approach informs hiring, retention, and development strategies and allows proactive management of skills development (CIPD, 2019, 2025).</w:t>
      </w:r>
    </w:p>
    <w:p>
      <w:pPr>
        <w:pStyle w:val="Body"/>
        <w:rPr>
          <w:rFonts w:ascii="Aptos" w:cs="Aptos" w:hAnsi="Aptos" w:eastAsia="Aptos"/>
          <w:sz w:val="22"/>
          <w:szCs w:val="22"/>
        </w:rPr>
      </w:pPr>
      <w:r>
        <w:rPr>
          <w:rFonts w:ascii="Aptos" w:cs="Aptos" w:hAnsi="Aptos" w:eastAsia="Aptos"/>
          <w:sz w:val="22"/>
          <w:szCs w:val="22"/>
          <w:rtl w:val="0"/>
          <w:lang w:val="en-US"/>
        </w:rPr>
        <w:t>Strategically, workforce planning enhances ParcelCare</w:t>
      </w:r>
      <w:r>
        <w:rPr>
          <w:rFonts w:ascii="Aptos" w:cs="Aptos" w:hAnsi="Aptos" w:eastAsia="Aptos"/>
          <w:sz w:val="22"/>
          <w:szCs w:val="22"/>
          <w:rtl w:val="0"/>
          <w:lang w:val="en-US"/>
        </w:rPr>
        <w:t>’</w:t>
      </w:r>
      <w:r>
        <w:rPr>
          <w:rFonts w:ascii="Aptos" w:cs="Aptos" w:hAnsi="Aptos" w:eastAsia="Aptos"/>
          <w:sz w:val="22"/>
          <w:szCs w:val="22"/>
          <w:rtl w:val="0"/>
          <w:lang w:val="en-US"/>
        </w:rPr>
        <w:t>s talent pipeline, strengthens the employer value proposition (EVP), and improves responsiveness to changing labour market conditions. However, risks remain, including labour shortages, regulatory changes, and potential resistance to change (ACAS, 2023).</w:t>
      </w:r>
    </w:p>
    <w:p>
      <w:pPr>
        <w:pStyle w:val="Body"/>
        <w:rPr>
          <w:rStyle w:val="None A"/>
          <w:rFonts w:ascii="Aptos" w:cs="Aptos" w:hAnsi="Aptos" w:eastAsia="Aptos"/>
          <w:b w:val="1"/>
          <w:bCs w:val="1"/>
          <w:sz w:val="22"/>
          <w:szCs w:val="22"/>
        </w:rPr>
      </w:pPr>
    </w:p>
    <w:p>
      <w:pPr>
        <w:pStyle w:val="Body"/>
        <w:rPr>
          <w:rFonts w:ascii="Aptos" w:cs="Aptos" w:hAnsi="Aptos" w:eastAsia="Aptos"/>
          <w:b w:val="1"/>
          <w:bCs w:val="1"/>
          <w:sz w:val="22"/>
          <w:szCs w:val="22"/>
        </w:rPr>
      </w:pPr>
      <w:r>
        <w:rPr>
          <w:rFonts w:ascii="Aptos" w:cs="Aptos" w:hAnsi="Aptos" w:eastAsia="Aptos"/>
          <w:b w:val="1"/>
          <w:bCs w:val="1"/>
          <w:sz w:val="22"/>
          <w:szCs w:val="22"/>
          <w:rtl w:val="0"/>
          <w:lang w:val="en-US"/>
        </w:rPr>
        <w:t>Table 1 - Opportunities and Threats</w:t>
      </w: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4508"/>
        <w:gridCol w:w="4508"/>
      </w:tblGrid>
      <w:tr>
        <w:tblPrEx>
          <w:shd w:val="clear" w:color="auto" w:fill="cdd4e9"/>
        </w:tblPrEx>
        <w:trPr>
          <w:trHeight w:val="270" w:hRule="atLeast"/>
        </w:trPr>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ptos" w:cs="Aptos" w:hAnsi="Aptos" w:eastAsia="Aptos"/>
                <w:b w:val="1"/>
                <w:bCs w:val="1"/>
                <w:sz w:val="22"/>
                <w:szCs w:val="22"/>
                <w:shd w:val="nil" w:color="auto" w:fill="auto"/>
                <w:rtl w:val="0"/>
                <w:lang w:val="en-US"/>
              </w:rPr>
              <w:t>Opportunities</w:t>
            </w:r>
          </w:p>
        </w:tc>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1"/>
                <w:bCs w:val="1"/>
                <w:sz w:val="22"/>
                <w:szCs w:val="22"/>
                <w:shd w:val="nil" w:color="auto" w:fill="auto"/>
                <w:rtl w:val="0"/>
                <w:lang w:val="en-US"/>
              </w:rPr>
              <w:t>Threats</w:t>
            </w:r>
          </w:p>
        </w:tc>
      </w:tr>
      <w:tr>
        <w:tblPrEx>
          <w:shd w:val="clear" w:color="auto" w:fill="cdd4e9"/>
        </w:tblPrEx>
        <w:trPr>
          <w:trHeight w:val="530" w:hRule="atLeast"/>
        </w:trPr>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shd w:val="nil" w:color="auto" w:fill="auto"/>
                <w:rtl w:val="0"/>
                <w:lang w:val="en-US"/>
              </w:rPr>
              <w:t>Talent pipeline development and succession planning</w:t>
            </w:r>
          </w:p>
        </w:tc>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after="0" w:line="240" w:lineRule="auto"/>
            </w:pPr>
            <w:r>
              <w:rPr>
                <w:rFonts w:ascii="Aptos" w:cs="Aptos" w:hAnsi="Aptos" w:eastAsia="Aptos"/>
                <w:b w:val="0"/>
                <w:bCs w:val="0"/>
                <w:sz w:val="22"/>
                <w:szCs w:val="22"/>
                <w:shd w:val="nil" w:color="auto" w:fill="auto"/>
                <w:rtl w:val="0"/>
                <w:lang w:val="en-US"/>
              </w:rPr>
              <w:t>Labour shortages due to competition</w:t>
            </w:r>
          </w:p>
        </w:tc>
      </w:tr>
      <w:tr>
        <w:tblPrEx>
          <w:shd w:val="clear" w:color="auto" w:fill="cdd4e9"/>
        </w:tblPrEx>
        <w:trPr>
          <w:trHeight w:val="530" w:hRule="atLeast"/>
        </w:trPr>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shd w:val="nil" w:color="auto" w:fill="auto"/>
                <w:rtl w:val="0"/>
                <w:lang w:val="en-US"/>
              </w:rPr>
              <w:t>Enhances EVP to attract and retain staff</w:t>
            </w:r>
          </w:p>
        </w:tc>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shd w:val="nil" w:color="auto" w:fill="auto"/>
                <w:rtl w:val="0"/>
                <w:lang w:val="en-US"/>
              </w:rPr>
              <w:t>Economic/regulatory changes affecting staffing</w:t>
            </w:r>
          </w:p>
        </w:tc>
      </w:tr>
      <w:tr>
        <w:tblPrEx>
          <w:shd w:val="clear" w:color="auto" w:fill="cdd4e9"/>
        </w:tblPrEx>
        <w:trPr>
          <w:trHeight w:val="530" w:hRule="atLeast"/>
        </w:trPr>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shd w:val="nil" w:color="auto" w:fill="auto"/>
                <w:rtl w:val="0"/>
                <w:lang w:val="en-US"/>
              </w:rPr>
              <w:t>Improves responsiveness to labour market changes</w:t>
            </w:r>
          </w:p>
        </w:tc>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shd w:val="nil" w:color="auto" w:fill="auto"/>
                <w:rtl w:val="0"/>
                <w:lang w:val="en-US"/>
              </w:rPr>
              <w:t>Resistance to organisational change</w:t>
            </w:r>
          </w:p>
        </w:tc>
      </w:tr>
    </w:tbl>
    <w:p>
      <w:pPr>
        <w:pStyle w:val="Body"/>
        <w:widowControl w:val="0"/>
        <w:spacing w:line="240" w:lineRule="auto"/>
        <w:rPr>
          <w:rFonts w:ascii="Aptos" w:cs="Aptos" w:hAnsi="Aptos" w:eastAsia="Aptos"/>
          <w:b w:val="1"/>
          <w:bCs w:val="1"/>
          <w:sz w:val="22"/>
          <w:szCs w:val="22"/>
        </w:rPr>
      </w:pPr>
    </w:p>
    <w:p>
      <w:pPr>
        <w:pStyle w:val="Body"/>
        <w:rPr>
          <w:rFonts w:ascii="Aptos" w:cs="Aptos" w:hAnsi="Aptos" w:eastAsia="Aptos"/>
          <w:sz w:val="22"/>
          <w:szCs w:val="22"/>
        </w:rPr>
      </w:pPr>
      <w:r>
        <w:rPr>
          <w:rFonts w:ascii="Aptos" w:cs="Aptos" w:hAnsi="Aptos" w:eastAsia="Aptos"/>
          <w:sz w:val="22"/>
          <w:szCs w:val="22"/>
          <w:rtl w:val="0"/>
          <w:lang w:val="en-US"/>
        </w:rPr>
        <w:t>CIPD (2019). CIPD (2025). ACAS (2023), adapted for ParcelCare.</w:t>
      </w:r>
    </w:p>
    <w:p>
      <w:pPr>
        <w:pStyle w:val="Body"/>
        <w:rPr>
          <w:rFonts w:ascii="Aptos" w:cs="Aptos" w:hAnsi="Aptos" w:eastAsia="Aptos"/>
          <w:b w:val="1"/>
          <w:bCs w:val="1"/>
          <w:sz w:val="22"/>
          <w:szCs w:val="22"/>
        </w:rPr>
      </w:pPr>
      <w:r>
        <w:rPr>
          <w:rFonts w:ascii="Aptos" w:cs="Aptos" w:hAnsi="Aptos" w:eastAsia="Aptos"/>
          <w:b w:val="1"/>
          <w:bCs w:val="1"/>
          <w:sz w:val="22"/>
          <w:szCs w:val="22"/>
          <w:rtl w:val="0"/>
          <w:lang w:val="en-US"/>
        </w:rPr>
        <w:t>Table 2 - SWOT Analysis</w:t>
      </w: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4508"/>
        <w:gridCol w:w="4508"/>
      </w:tblGrid>
      <w:tr>
        <w:tblPrEx>
          <w:shd w:val="clear" w:color="auto" w:fill="cdd4e9"/>
        </w:tblPrEx>
        <w:trPr>
          <w:trHeight w:val="270" w:hRule="atLeast"/>
        </w:trPr>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ptos" w:cs="Aptos" w:hAnsi="Aptos" w:eastAsia="Aptos"/>
                <w:b w:val="1"/>
                <w:bCs w:val="1"/>
                <w:sz w:val="22"/>
                <w:szCs w:val="22"/>
                <w:shd w:val="nil" w:color="auto" w:fill="auto"/>
                <w:rtl w:val="0"/>
                <w:lang w:val="en-US"/>
              </w:rPr>
              <w:t>Strengths</w:t>
            </w:r>
          </w:p>
        </w:tc>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1"/>
                <w:bCs w:val="1"/>
                <w:sz w:val="22"/>
                <w:szCs w:val="22"/>
                <w:shd w:val="nil" w:color="auto" w:fill="auto"/>
                <w:rtl w:val="0"/>
                <w:lang w:val="en-US"/>
              </w:rPr>
              <w:t>Weaknesses</w:t>
            </w:r>
          </w:p>
        </w:tc>
      </w:tr>
      <w:tr>
        <w:tblPrEx>
          <w:shd w:val="clear" w:color="auto" w:fill="cdd4e9"/>
        </w:tblPrEx>
        <w:trPr>
          <w:trHeight w:val="530" w:hRule="atLeast"/>
        </w:trPr>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after="0" w:line="240" w:lineRule="auto"/>
            </w:pPr>
            <w:r>
              <w:rPr>
                <w:rFonts w:ascii="Aptos" w:cs="Aptos" w:hAnsi="Aptos" w:eastAsia="Aptos"/>
                <w:sz w:val="22"/>
                <w:szCs w:val="22"/>
                <w:shd w:val="nil" w:color="auto" w:fill="auto"/>
                <w:rtl w:val="0"/>
                <w:lang w:val="en-US"/>
              </w:rPr>
              <w:t>Accurate forecasting of workforce numbers and skills</w:t>
            </w:r>
          </w:p>
        </w:tc>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sz w:val="22"/>
                <w:szCs w:val="22"/>
                <w:shd w:val="nil" w:color="auto" w:fill="auto"/>
                <w:rtl w:val="0"/>
                <w:lang w:val="en-US"/>
              </w:rPr>
              <w:t>Initial investment in HR systems and staff training</w:t>
            </w:r>
          </w:p>
        </w:tc>
      </w:tr>
      <w:tr>
        <w:tblPrEx>
          <w:shd w:val="clear" w:color="auto" w:fill="cdd4e9"/>
        </w:tblPrEx>
        <w:trPr>
          <w:trHeight w:val="530" w:hRule="atLeast"/>
        </w:trPr>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sz w:val="22"/>
                <w:szCs w:val="22"/>
                <w:shd w:val="nil" w:color="auto" w:fill="auto"/>
                <w:rtl w:val="0"/>
                <w:lang w:val="en-US"/>
              </w:rPr>
              <w:t>Aligns HR with business objectives</w:t>
            </w:r>
          </w:p>
        </w:tc>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sz w:val="22"/>
                <w:szCs w:val="22"/>
                <w:shd w:val="nil" w:color="auto" w:fill="auto"/>
                <w:rtl w:val="0"/>
                <w:lang w:val="en-US"/>
              </w:rPr>
              <w:t>Implementation complexity in large organisations</w:t>
            </w:r>
          </w:p>
        </w:tc>
      </w:tr>
      <w:tr>
        <w:tblPrEx>
          <w:shd w:val="clear" w:color="auto" w:fill="cdd4e9"/>
        </w:tblPrEx>
        <w:trPr>
          <w:trHeight w:val="530" w:hRule="atLeast"/>
        </w:trPr>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sz w:val="22"/>
                <w:szCs w:val="22"/>
                <w:shd w:val="nil" w:color="auto" w:fill="auto"/>
                <w:rtl w:val="0"/>
                <w:lang w:val="en-US"/>
              </w:rPr>
              <w:t>Strengthens engagement and career development</w:t>
            </w:r>
          </w:p>
        </w:tc>
        <w:tc>
          <w:tcPr>
            <w:tcW w:type="dxa" w:w="4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after="0" w:line="240" w:lineRule="auto"/>
            </w:pPr>
            <w:r>
              <w:rPr>
                <w:rFonts w:ascii="Aptos" w:cs="Aptos" w:hAnsi="Aptos" w:eastAsia="Aptos"/>
                <w:sz w:val="22"/>
                <w:szCs w:val="22"/>
                <w:shd w:val="nil" w:color="auto" w:fill="auto"/>
                <w:rtl w:val="0"/>
                <w:lang w:val="en-US"/>
              </w:rPr>
              <w:t>Potential resistance from managers unused to data-driven workforce planning</w:t>
            </w:r>
          </w:p>
        </w:tc>
      </w:tr>
    </w:tbl>
    <w:p>
      <w:pPr>
        <w:pStyle w:val="Body"/>
        <w:widowControl w:val="0"/>
        <w:spacing w:line="240" w:lineRule="auto"/>
        <w:rPr>
          <w:rFonts w:ascii="Aptos" w:cs="Aptos" w:hAnsi="Aptos" w:eastAsia="Aptos"/>
          <w:b w:val="1"/>
          <w:bCs w:val="1"/>
          <w:sz w:val="22"/>
          <w:szCs w:val="22"/>
        </w:rPr>
      </w:pPr>
    </w:p>
    <w:p>
      <w:pPr>
        <w:pStyle w:val="Body"/>
        <w:rPr>
          <w:rFonts w:ascii="Aptos" w:cs="Aptos" w:hAnsi="Aptos" w:eastAsia="Aptos"/>
          <w:sz w:val="22"/>
          <w:szCs w:val="22"/>
        </w:rPr>
      </w:pPr>
      <w:r>
        <w:rPr>
          <w:rFonts w:ascii="Aptos" w:cs="Aptos" w:hAnsi="Aptos" w:eastAsia="Aptos"/>
          <w:sz w:val="22"/>
          <w:szCs w:val="22"/>
          <w:rtl w:val="0"/>
          <w:lang w:val="en-US"/>
        </w:rPr>
        <w:t>CIPD (2019). CIPD (2025). ACAS (2023). Taylor &amp; Woodhams (2022). adapted for ParcelCare.</w:t>
      </w:r>
    </w:p>
    <w:p>
      <w:pPr>
        <w:pStyle w:val="Body"/>
        <w:rPr>
          <w:rFonts w:ascii="Aptos" w:cs="Aptos" w:hAnsi="Aptos" w:eastAsia="Aptos"/>
          <w:sz w:val="22"/>
          <w:szCs w:val="22"/>
        </w:rPr>
      </w:pPr>
      <w:r>
        <w:rPr>
          <w:rFonts w:ascii="Aptos" w:cs="Aptos" w:hAnsi="Aptos" w:eastAsia="Aptos"/>
          <w:sz w:val="22"/>
          <w:szCs w:val="22"/>
          <w:rtl w:val="0"/>
          <w:lang w:val="en-US"/>
        </w:rPr>
        <w:t>In conclusion, effective workforce planning has a direct impact on operational efficiency, employee engagement, and service reliability. By forecasting demand, analysing supply, identifying gaps, and implementing targeted strategies, ParcelCare can proactively manage workforce challenges. Engaging leaders, clarifying roles and skills, and using data-driven approaches ensures the organisation is prepared for future growth (CIPD, 2019, 2025; ACAS, 2023).</w:t>
      </w:r>
    </w:p>
    <w:p>
      <w:pPr>
        <w:pStyle w:val="Body"/>
        <w:rPr>
          <w:rStyle w:val="None A"/>
          <w:rFonts w:ascii="Aptos" w:cs="Aptos" w:hAnsi="Aptos" w:eastAsia="Aptos"/>
          <w:sz w:val="22"/>
          <w:szCs w:val="22"/>
        </w:rPr>
      </w:pPr>
    </w:p>
    <w:p>
      <w:pPr>
        <w:pStyle w:val="Table Style 2 A"/>
        <w:rPr>
          <w:rFonts w:ascii="Aptos" w:cs="Aptos" w:hAnsi="Aptos" w:eastAsia="Aptos"/>
          <w:outline w:val="0"/>
          <w:color w:val="ee0000"/>
          <w:sz w:val="22"/>
          <w:szCs w:val="22"/>
          <w:u w:color="ee0000"/>
          <w14:textFill>
            <w14:solidFill>
              <w14:srgbClr w14:val="EE0000"/>
            </w14:solidFill>
          </w14:textFill>
        </w:rPr>
      </w:pPr>
      <w:r>
        <w:rPr>
          <w:rFonts w:ascii="Aptos" w:cs="Aptos" w:hAnsi="Aptos" w:eastAsia="Aptos"/>
          <w:outline w:val="0"/>
          <w:color w:val="ee0000"/>
          <w:sz w:val="22"/>
          <w:szCs w:val="22"/>
          <w:u w:color="ee0000"/>
          <w:rtl w:val="0"/>
          <w:lang w:val="en-US"/>
          <w14:textFill>
            <w14:solidFill>
              <w14:srgbClr w14:val="EE0000"/>
            </w14:solidFill>
          </w14:textFill>
        </w:rPr>
        <w:t>AC 2.2 - To strengthen the argument for introducing workforce planning at ParcelCare, it is necessary to evaluate the effectiveness of the techniques that support the process. Workforce planning techniques help organisations anticipate future people and skills needs; however, their value depends on how effectively they are applied within organisational and labour market contexts.</w:t>
      </w:r>
    </w:p>
    <w:p>
      <w:pPr>
        <w:pStyle w:val="Table Style 2 A"/>
        <w:rPr>
          <w:rFonts w:ascii="Aptos" w:cs="Aptos" w:hAnsi="Aptos" w:eastAsia="Aptos"/>
          <w:outline w:val="0"/>
          <w:color w:val="ee0000"/>
          <w:sz w:val="22"/>
          <w:szCs w:val="22"/>
          <w:u w:color="ee0000"/>
          <w14:textFill>
            <w14:solidFill>
              <w14:srgbClr w14:val="EE0000"/>
            </w14:solidFill>
          </w14:textFill>
        </w:rPr>
      </w:pPr>
    </w:p>
    <w:p>
      <w:pPr>
        <w:pStyle w:val="Table Style 2 A"/>
        <w:rPr>
          <w:rFonts w:ascii="Aptos" w:cs="Aptos" w:hAnsi="Aptos" w:eastAsia="Aptos"/>
          <w:outline w:val="0"/>
          <w:color w:val="ee0000"/>
          <w:sz w:val="22"/>
          <w:szCs w:val="22"/>
          <w:u w:color="ee0000"/>
          <w14:textFill>
            <w14:solidFill>
              <w14:srgbClr w14:val="EE0000"/>
            </w14:solidFill>
          </w14:textFill>
        </w:rPr>
      </w:pPr>
      <w:r>
        <w:rPr>
          <w:rFonts w:ascii="Aptos" w:cs="Aptos" w:hAnsi="Aptos" w:eastAsia="Aptos"/>
          <w:outline w:val="0"/>
          <w:color w:val="ee0000"/>
          <w:sz w:val="22"/>
          <w:szCs w:val="22"/>
          <w:u w:color="ee0000"/>
          <w:rtl w:val="0"/>
          <w:lang w:val="en-US"/>
          <w14:textFill>
            <w14:solidFill>
              <w14:srgbClr w14:val="EE0000"/>
            </w14:solidFill>
          </w14:textFill>
        </w:rPr>
        <w:t>Data-driven workforce analysis uses metrics such as turnover, absence, overtime, and skills data to inform workforce decisions (CIPD, 2025). For ParcelCare, this technique would highlight where recruitment and retention problems are most significant, enabling targeted action rather than reactive recruitment. Its key strength is that it supports evidence-based decision-making and improves efficiency. However, an over-reliance on quantitative data may reduce its effectiveness, as it can overlook qualitative factors such as employee engagement, morale, and job satisfaction, which strongly influence retention (CIPD, 2023). Therefore, data analysis is most effective when combined with qualitative insight from managers and employee feedback.</w:t>
      </w:r>
    </w:p>
    <w:p>
      <w:pPr>
        <w:pStyle w:val="Table Style 2 A"/>
        <w:rPr>
          <w:rFonts w:ascii="Aptos" w:cs="Aptos" w:hAnsi="Aptos" w:eastAsia="Aptos"/>
          <w:outline w:val="0"/>
          <w:color w:val="ee0000"/>
          <w:sz w:val="22"/>
          <w:szCs w:val="22"/>
          <w:u w:color="ee0000"/>
          <w14:textFill>
            <w14:solidFill>
              <w14:srgbClr w14:val="EE0000"/>
            </w14:solidFill>
          </w14:textFill>
        </w:rPr>
      </w:pPr>
    </w:p>
    <w:p>
      <w:pPr>
        <w:pStyle w:val="Table Style 2 A"/>
        <w:rPr>
          <w:rFonts w:ascii="Aptos" w:cs="Aptos" w:hAnsi="Aptos" w:eastAsia="Aptos"/>
          <w:outline w:val="0"/>
          <w:color w:val="ee0000"/>
          <w:sz w:val="22"/>
          <w:szCs w:val="22"/>
          <w:u w:color="ee0000"/>
          <w14:textFill>
            <w14:solidFill>
              <w14:srgbClr w14:val="EE0000"/>
            </w14:solidFill>
          </w14:textFill>
        </w:rPr>
      </w:pPr>
      <w:r>
        <w:rPr>
          <w:rFonts w:ascii="Aptos" w:cs="Aptos" w:hAnsi="Aptos" w:eastAsia="Aptos"/>
          <w:outline w:val="0"/>
          <w:color w:val="ee0000"/>
          <w:sz w:val="22"/>
          <w:szCs w:val="22"/>
          <w:u w:color="ee0000"/>
          <w:rtl w:val="0"/>
          <w:lang w:val="en-US"/>
          <w14:textFill>
            <w14:solidFill>
              <w14:srgbClr w14:val="EE0000"/>
            </w14:solidFill>
          </w14:textFill>
        </w:rPr>
        <w:t>Gap analysis compares current workforce capability with future organisational requirements (Armstrong and Taylor, 2023). This technique would be particularly valuable for ParcelCare in identifying shortages in operational roles such as drivers, warehouse staff, or technical specialists supporting logistics systems. Its strength lies in providing a clear rationale for recruitment, training, or succession planning. However, gap analysis is highly dependent on accurate forecasting and leadership commitment. If future demand is poorly defined, the technique may result in misaligned workforce investment.</w:t>
      </w:r>
    </w:p>
    <w:p>
      <w:pPr>
        <w:pStyle w:val="Table Style 2 A"/>
        <w:rPr>
          <w:rFonts w:ascii="Aptos" w:cs="Aptos" w:hAnsi="Aptos" w:eastAsia="Aptos"/>
          <w:outline w:val="0"/>
          <w:color w:val="ee0000"/>
          <w:sz w:val="22"/>
          <w:szCs w:val="22"/>
          <w:u w:color="ee0000"/>
          <w14:textFill>
            <w14:solidFill>
              <w14:srgbClr w14:val="EE0000"/>
            </w14:solidFill>
          </w14:textFill>
        </w:rPr>
      </w:pPr>
    </w:p>
    <w:p>
      <w:pPr>
        <w:pStyle w:val="Table Style 2 A"/>
        <w:rPr>
          <w:rFonts w:ascii="Aptos" w:cs="Aptos" w:hAnsi="Aptos" w:eastAsia="Aptos"/>
          <w:outline w:val="0"/>
          <w:color w:val="ee0000"/>
          <w:sz w:val="22"/>
          <w:szCs w:val="22"/>
          <w:u w:color="ee0000"/>
          <w14:textFill>
            <w14:solidFill>
              <w14:srgbClr w14:val="EE0000"/>
            </w14:solidFill>
          </w14:textFill>
        </w:rPr>
      </w:pPr>
      <w:r>
        <w:rPr>
          <w:rFonts w:ascii="Aptos" w:cs="Aptos" w:hAnsi="Aptos" w:eastAsia="Aptos"/>
          <w:outline w:val="0"/>
          <w:color w:val="ee0000"/>
          <w:sz w:val="22"/>
          <w:szCs w:val="22"/>
          <w:u w:color="ee0000"/>
          <w:rtl w:val="0"/>
          <w:lang w:val="en-US"/>
          <w14:textFill>
            <w14:solidFill>
              <w14:srgbClr w14:val="EE0000"/>
            </w14:solidFill>
          </w14:textFill>
        </w:rPr>
        <w:t>Demand forecasting predicts future staffing needs based on factors such as customer demand, business growth, and seasonal fluctuations (CIPD, 2025). For ParcelCare, this is especially useful during peak delivery periods, supporting proactive hiring and reducing reliance on agency workers. Despite this, forecasting is inherently uncertain and may be unreliable during periods of economic volatility or labour shortages. This limits its effectiveness if used in isolation and highlights the need for regular review and scenario planning.</w:t>
      </w:r>
    </w:p>
    <w:p>
      <w:pPr>
        <w:pStyle w:val="Table Style 2 A"/>
        <w:rPr>
          <w:rFonts w:ascii="Aptos" w:cs="Aptos" w:hAnsi="Aptos" w:eastAsia="Aptos"/>
          <w:outline w:val="0"/>
          <w:color w:val="ee0000"/>
          <w:sz w:val="22"/>
          <w:szCs w:val="22"/>
          <w:u w:color="ee0000"/>
          <w14:textFill>
            <w14:solidFill>
              <w14:srgbClr w14:val="EE0000"/>
            </w14:solidFill>
          </w14:textFill>
        </w:rPr>
      </w:pPr>
    </w:p>
    <w:p>
      <w:pPr>
        <w:pStyle w:val="Table Style 2 A"/>
        <w:rPr>
          <w:rFonts w:ascii="Aptos" w:cs="Aptos" w:hAnsi="Aptos" w:eastAsia="Aptos"/>
          <w:outline w:val="0"/>
          <w:color w:val="ee0000"/>
          <w:sz w:val="22"/>
          <w:szCs w:val="22"/>
          <w:u w:color="ee0000"/>
          <w14:textFill>
            <w14:solidFill>
              <w14:srgbClr w14:val="EE0000"/>
            </w14:solidFill>
          </w14:textFill>
        </w:rPr>
      </w:pPr>
      <w:r>
        <w:rPr>
          <w:rFonts w:ascii="Aptos" w:cs="Aptos" w:hAnsi="Aptos" w:eastAsia="Aptos"/>
          <w:outline w:val="0"/>
          <w:color w:val="ee0000"/>
          <w:sz w:val="22"/>
          <w:szCs w:val="22"/>
          <w:u w:color="ee0000"/>
          <w:rtl w:val="0"/>
          <w:lang w:val="en-US"/>
          <w14:textFill>
            <w14:solidFill>
              <w14:srgbClr w14:val="EE0000"/>
            </w14:solidFill>
          </w14:textFill>
        </w:rPr>
        <w:t>Supply analysis focuses on assessing the organisation</w:t>
      </w:r>
      <w:r>
        <w:rPr>
          <w:rFonts w:ascii="Aptos" w:cs="Aptos" w:hAnsi="Aptos" w:eastAsia="Aptos"/>
          <w:outline w:val="0"/>
          <w:color w:val="ee0000"/>
          <w:sz w:val="22"/>
          <w:szCs w:val="22"/>
          <w:u w:color="ee0000"/>
          <w:rtl w:val="0"/>
          <w:lang w:val="en-US"/>
          <w14:textFill>
            <w14:solidFill>
              <w14:srgbClr w14:val="EE0000"/>
            </w14:solidFill>
          </w14:textFill>
        </w:rPr>
        <w:t>’</w:t>
      </w:r>
      <w:r>
        <w:rPr>
          <w:rFonts w:ascii="Aptos" w:cs="Aptos" w:hAnsi="Aptos" w:eastAsia="Aptos"/>
          <w:outline w:val="0"/>
          <w:color w:val="ee0000"/>
          <w:sz w:val="22"/>
          <w:szCs w:val="22"/>
          <w:u w:color="ee0000"/>
          <w:rtl w:val="0"/>
          <w:lang w:val="en-US"/>
          <w14:textFill>
            <w14:solidFill>
              <w14:srgbClr w14:val="EE0000"/>
            </w14:solidFill>
          </w14:textFill>
        </w:rPr>
        <w:t>s internal talent pool, including skills, experience, and development potential (CIPD, 2025). This technique supports retention by identifying opportunities for internal progression, redeployment, and upskilling, which may improve employee engagement at ParcelCare. However, supply analysis may overestimate internal capability if skills data is outdated or if readiness for promotion is judged too optimistically, reducing its accuracy without regular skills audits.</w:t>
      </w:r>
    </w:p>
    <w:p>
      <w:pPr>
        <w:pStyle w:val="Table Style 2 A"/>
        <w:rPr>
          <w:rFonts w:ascii="Aptos" w:cs="Aptos" w:hAnsi="Aptos" w:eastAsia="Aptos"/>
          <w:outline w:val="0"/>
          <w:color w:val="ee0000"/>
          <w:sz w:val="22"/>
          <w:szCs w:val="22"/>
          <w:u w:color="ee0000"/>
          <w14:textFill>
            <w14:solidFill>
              <w14:srgbClr w14:val="EE0000"/>
            </w14:solidFill>
          </w14:textFill>
        </w:rPr>
      </w:pPr>
    </w:p>
    <w:p>
      <w:pPr>
        <w:pStyle w:val="Table Style 2 A"/>
        <w:rPr>
          <w:rFonts w:ascii="Aptos" w:cs="Aptos" w:hAnsi="Aptos" w:eastAsia="Aptos"/>
          <w:outline w:val="0"/>
          <w:color w:val="ee0000"/>
          <w:sz w:val="22"/>
          <w:szCs w:val="22"/>
          <w:u w:color="ee0000"/>
          <w14:textFill>
            <w14:solidFill>
              <w14:srgbClr w14:val="EE0000"/>
            </w14:solidFill>
          </w14:textFill>
        </w:rPr>
      </w:pPr>
      <w:r>
        <w:rPr>
          <w:rFonts w:ascii="Aptos" w:cs="Aptos" w:hAnsi="Aptos" w:eastAsia="Aptos"/>
          <w:outline w:val="0"/>
          <w:color w:val="ee0000"/>
          <w:sz w:val="22"/>
          <w:szCs w:val="22"/>
          <w:u w:color="ee0000"/>
          <w:rtl w:val="0"/>
          <w:lang w:val="en-US"/>
          <w14:textFill>
            <w14:solidFill>
              <w14:srgbClr w14:val="EE0000"/>
            </w14:solidFill>
          </w14:textFill>
        </w:rPr>
        <w:t>A structured workforce planning process enhances the effectiveness of these techniques by ensuring they are applied systematically rather than reactively. This process typically begins with auditing the current workforce, followed by forecasting demand, identifying gaps, developing action plans, and monitoring outcomes (myHRfuture, 2018). For ParcelCare, this structured approach would reduce reactive recruitment by clarifying whether skills should be developed internally or sourced externally. However, its effectiveness is limited if treated as a one-off exercise. In a dynamic operational environment such as parcel delivery, workforce planning must be continuously reviewed and adjusted.</w:t>
      </w:r>
    </w:p>
    <w:p>
      <w:pPr>
        <w:pStyle w:val="Table Style 2 A"/>
        <w:rPr>
          <w:rFonts w:ascii="Aptos" w:cs="Aptos" w:hAnsi="Aptos" w:eastAsia="Aptos"/>
          <w:outline w:val="0"/>
          <w:color w:val="ee0000"/>
          <w:sz w:val="22"/>
          <w:szCs w:val="22"/>
          <w:u w:color="ee0000"/>
          <w14:textFill>
            <w14:solidFill>
              <w14:srgbClr w14:val="EE0000"/>
            </w14:solidFill>
          </w14:textFill>
        </w:rPr>
      </w:pPr>
    </w:p>
    <w:p>
      <w:pPr>
        <w:pStyle w:val="Table Style 2 A"/>
        <w:rPr>
          <w:rFonts w:ascii="Aptos" w:cs="Aptos" w:hAnsi="Aptos" w:eastAsia="Aptos"/>
          <w:outline w:val="0"/>
          <w:color w:val="ee0000"/>
          <w:sz w:val="22"/>
          <w:szCs w:val="22"/>
          <w:u w:color="ee0000"/>
          <w14:textFill>
            <w14:solidFill>
              <w14:srgbClr w14:val="EE0000"/>
            </w14:solidFill>
          </w14:textFill>
        </w:rPr>
      </w:pPr>
      <w:r>
        <w:rPr>
          <w:rFonts w:ascii="Aptos" w:cs="Aptos" w:hAnsi="Aptos" w:eastAsia="Aptos"/>
          <w:outline w:val="0"/>
          <w:color w:val="ee0000"/>
          <w:sz w:val="22"/>
          <w:szCs w:val="22"/>
          <w:u w:color="ee0000"/>
          <w:rtl w:val="0"/>
          <w:lang w:val="en-US"/>
          <w14:textFill>
            <w14:solidFill>
              <w14:srgbClr w14:val="EE0000"/>
            </w14:solidFill>
          </w14:textFill>
        </w:rPr>
        <w:t>Overall, while no single technique is sufficient alone, combining data analysis, gap analysis, forecasting, supply analysis, and a structured planning process enables ParcelCare to adopt a proactive and sustainable workforce planning approach that addresses recruitment and retention challenges.</w:t>
      </w:r>
    </w:p>
    <w:p>
      <w:pPr>
        <w:pStyle w:val="Table Style 2 A"/>
        <w:rPr>
          <w:rFonts w:ascii="Aptos" w:cs="Aptos" w:hAnsi="Aptos" w:eastAsia="Aptos"/>
          <w:outline w:val="0"/>
          <w:color w:val="ee0000"/>
          <w:sz w:val="22"/>
          <w:szCs w:val="22"/>
          <w:u w:color="ee0000"/>
          <w14:textFill>
            <w14:solidFill>
              <w14:srgbClr w14:val="EE0000"/>
            </w14:solidFill>
          </w14:textFill>
        </w:rPr>
      </w:pPr>
    </w:p>
    <w:p>
      <w:pPr>
        <w:pStyle w:val="Body"/>
        <w:rPr>
          <w:rFonts w:ascii="Aptos" w:cs="Aptos" w:hAnsi="Aptos" w:eastAsia="Aptos"/>
          <w:b w:val="1"/>
          <w:bCs w:val="1"/>
          <w:sz w:val="22"/>
          <w:szCs w:val="22"/>
        </w:rPr>
      </w:pPr>
      <w:r>
        <w:rPr>
          <w:rFonts w:ascii="Aptos" w:cs="Aptos" w:hAnsi="Aptos" w:eastAsia="Aptos"/>
          <w:b w:val="1"/>
          <w:bCs w:val="1"/>
          <w:sz w:val="22"/>
          <w:szCs w:val="22"/>
          <w:rtl w:val="0"/>
        </w:rPr>
        <w:t>AC 2.2 -</w:t>
      </w:r>
      <w:r>
        <w:rPr>
          <w:rFonts w:ascii="Aptos" w:cs="Aptos" w:hAnsi="Aptos" w:eastAsia="Aptos"/>
          <w:sz w:val="22"/>
          <w:szCs w:val="22"/>
          <w:rtl w:val="0"/>
        </w:rPr>
        <w:t xml:space="preserve"> </w:t>
      </w:r>
      <w:r>
        <w:rPr>
          <w:rFonts w:ascii="Aptos" w:cs="Aptos" w:hAnsi="Aptos" w:eastAsia="Aptos"/>
          <w:b w:val="1"/>
          <w:bCs w:val="1"/>
          <w:sz w:val="22"/>
          <w:szCs w:val="22"/>
          <w:rtl w:val="0"/>
          <w:lang w:val="en-US"/>
        </w:rPr>
        <w:t>Workforce</w:t>
      </w:r>
      <w:r>
        <w:rPr>
          <w:rFonts w:ascii="Aptos" w:cs="Aptos" w:hAnsi="Aptos" w:eastAsia="Aptos"/>
          <w:sz w:val="22"/>
          <w:szCs w:val="22"/>
          <w:rtl w:val="0"/>
          <w:lang w:val="en-US"/>
        </w:rPr>
        <w:t xml:space="preserve"> planning ensures organisations have the right people, skills, and roles at the right time, aligning HR strategy with business objectives (CIPD, 2025). Data-driven analysis uses metrics like turnover, absence, and skills inventories to inform decisions, improving efficiency, though it may miss qualitative factors such as engagement. ParcelCare could monitor staff availability and skills to reduce reactive recruitment (CIPD, 2023). Gap analysis compares current capabilities with future needs, guiding recruitment, training, or succession planning</w:t>
      </w:r>
      <w:r>
        <w:rPr>
          <w:rFonts w:ascii="Aptos" w:cs="Aptos" w:hAnsi="Aptos" w:eastAsia="Aptos"/>
          <w:sz w:val="22"/>
          <w:szCs w:val="22"/>
          <w:rtl w:val="0"/>
          <w:lang w:val="en-US"/>
        </w:rPr>
        <w:t>—</w:t>
      </w:r>
      <w:r>
        <w:rPr>
          <w:rFonts w:ascii="Aptos" w:cs="Aptos" w:hAnsi="Aptos" w:eastAsia="Aptos"/>
          <w:sz w:val="22"/>
          <w:szCs w:val="22"/>
          <w:rtl w:val="0"/>
          <w:lang w:val="en-US"/>
        </w:rPr>
        <w:t>for example, addressing shortages in drivers or IT specialists (Armstrong &amp; Taylor, 2023). Demand forecasting predicts staffing needs for seasonal peaks, while supply analysis identifies underutilised talent for promotion or redeployment, supporting operational readiness (CIPD, 2025). Strategic tools like SWOT, PESTLE, scenario planning, and competency mapping prepare ParcelCare for future uncertainties and align workforce development with organisational goals (ACAS, 2023). Combining these techniques enables proactive, evidence-based workforce planning.</w:t>
      </w:r>
    </w:p>
    <w:p>
      <w:pPr>
        <w:pStyle w:val="Body"/>
        <w:rPr>
          <w:rFonts w:ascii="Aptos" w:cs="Aptos" w:hAnsi="Aptos" w:eastAsia="Aptos"/>
          <w:sz w:val="22"/>
          <w:szCs w:val="22"/>
        </w:rPr>
      </w:pPr>
      <w:r>
        <w:rPr>
          <w:rFonts w:ascii="Aptos" w:cs="Aptos" w:hAnsi="Aptos" w:eastAsia="Aptos"/>
          <w:sz w:val="22"/>
          <w:szCs w:val="22"/>
          <w:rtl w:val="0"/>
          <w:lang w:val="en-US"/>
        </w:rPr>
        <w:t>Table 1 - Summarises the key workforce planning techniques, their strengths and weaknesses, and how ParcelCare could apply them in practice.</w:t>
      </w:r>
    </w:p>
    <w:p>
      <w:pPr>
        <w:pStyle w:val="Body"/>
        <w:rPr>
          <w:rFonts w:ascii="Aptos" w:cs="Aptos" w:hAnsi="Aptos" w:eastAsia="Aptos"/>
          <w:b w:val="1"/>
          <w:bCs w:val="1"/>
          <w:sz w:val="22"/>
          <w:szCs w:val="22"/>
        </w:rPr>
      </w:pPr>
      <w:r>
        <w:rPr>
          <w:rFonts w:ascii="Aptos" w:cs="Aptos" w:hAnsi="Aptos" w:eastAsia="Aptos"/>
          <w:b w:val="1"/>
          <w:bCs w:val="1"/>
          <w:sz w:val="22"/>
          <w:szCs w:val="22"/>
          <w:rtl w:val="0"/>
          <w:lang w:val="fr-FR"/>
        </w:rPr>
        <w:t>Table 1</w:t>
      </w: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2254"/>
        <w:gridCol w:w="2254"/>
        <w:gridCol w:w="2253"/>
        <w:gridCol w:w="2255"/>
      </w:tblGrid>
      <w:tr>
        <w:tblPrEx>
          <w:shd w:val="clear" w:color="auto" w:fill="cdd4e9"/>
        </w:tblPrEx>
        <w:trPr>
          <w:trHeight w:val="270" w:hRule="atLeast"/>
        </w:trPr>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ptos" w:cs="Aptos" w:hAnsi="Aptos" w:eastAsia="Aptos"/>
                <w:b w:val="1"/>
                <w:bCs w:val="1"/>
                <w:sz w:val="22"/>
                <w:szCs w:val="22"/>
                <w:shd w:val="nil" w:color="auto" w:fill="auto"/>
                <w:rtl w:val="0"/>
                <w:lang w:val="en-US"/>
              </w:rPr>
              <w:t>Technique</w:t>
            </w:r>
          </w:p>
        </w:tc>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1"/>
                <w:bCs w:val="1"/>
                <w:sz w:val="22"/>
                <w:szCs w:val="22"/>
                <w:shd w:val="nil" w:color="auto" w:fill="auto"/>
                <w:rtl w:val="0"/>
                <w:lang w:val="en-US"/>
              </w:rPr>
              <w:t>Strengths</w:t>
            </w:r>
          </w:p>
        </w:tc>
        <w:tc>
          <w:tcPr>
            <w:tcW w:type="dxa" w:w="22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1"/>
                <w:bCs w:val="1"/>
                <w:sz w:val="22"/>
                <w:szCs w:val="22"/>
                <w:shd w:val="nil" w:color="auto" w:fill="auto"/>
                <w:rtl w:val="0"/>
                <w:lang w:val="en-US"/>
              </w:rPr>
              <w:t>Weaknesses</w:t>
            </w:r>
          </w:p>
        </w:tc>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1"/>
                <w:bCs w:val="1"/>
                <w:sz w:val="22"/>
                <w:szCs w:val="22"/>
                <w:shd w:val="nil" w:color="auto" w:fill="auto"/>
                <w:rtl w:val="0"/>
                <w:lang w:val="en-US"/>
              </w:rPr>
              <w:t>ParcelCare Use</w:t>
            </w:r>
          </w:p>
        </w:tc>
      </w:tr>
      <w:tr>
        <w:tblPrEx>
          <w:shd w:val="clear" w:color="auto" w:fill="cdd4e9"/>
        </w:tblPrEx>
        <w:trPr>
          <w:trHeight w:val="790" w:hRule="atLeast"/>
        </w:trPr>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shd w:val="nil" w:color="auto" w:fill="auto"/>
                <w:rtl w:val="0"/>
                <w:lang w:val="en-US"/>
              </w:rPr>
              <w:t>Data-Driven Analysis</w:t>
            </w:r>
          </w:p>
        </w:tc>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shd w:val="nil" w:color="auto" w:fill="auto"/>
                <w:rtl w:val="0"/>
                <w:lang w:val="en-US"/>
              </w:rPr>
              <w:t>Provides evidence-based insights</w:t>
            </w:r>
          </w:p>
        </w:tc>
        <w:tc>
          <w:tcPr>
            <w:tcW w:type="dxa" w:w="22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shd w:val="nil" w:color="auto" w:fill="auto"/>
                <w:rtl w:val="0"/>
                <w:lang w:val="en-US"/>
              </w:rPr>
              <w:t>Requires accurate data; may overlook qualitative factors</w:t>
            </w:r>
          </w:p>
        </w:tc>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shd w:val="nil" w:color="auto" w:fill="auto"/>
                <w:rtl w:val="0"/>
                <w:lang w:val="en-US"/>
              </w:rPr>
              <w:t>Monitor staff availability, overtime, and skills</w:t>
            </w:r>
          </w:p>
        </w:tc>
      </w:tr>
      <w:tr>
        <w:tblPrEx>
          <w:shd w:val="clear" w:color="auto" w:fill="cdd4e9"/>
        </w:tblPrEx>
        <w:trPr>
          <w:trHeight w:val="1050" w:hRule="atLeast"/>
        </w:trPr>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shd w:val="nil" w:color="auto" w:fill="auto"/>
                <w:rtl w:val="0"/>
                <w:lang w:val="en-US"/>
              </w:rPr>
              <w:t>Gap Analysis</w:t>
            </w:r>
          </w:p>
        </w:tc>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shd w:val="nil" w:color="auto" w:fill="auto"/>
                <w:rtl w:val="0"/>
                <w:lang w:val="en-US"/>
              </w:rPr>
              <w:t>Identifies skills shortages</w:t>
            </w:r>
          </w:p>
        </w:tc>
        <w:tc>
          <w:tcPr>
            <w:tcW w:type="dxa" w:w="22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after="0" w:line="240" w:lineRule="auto"/>
            </w:pPr>
            <w:r>
              <w:rPr>
                <w:rFonts w:ascii="Aptos" w:cs="Aptos" w:hAnsi="Aptos" w:eastAsia="Aptos"/>
                <w:b w:val="0"/>
                <w:bCs w:val="0"/>
                <w:sz w:val="22"/>
                <w:szCs w:val="22"/>
                <w:shd w:val="nil" w:color="auto" w:fill="auto"/>
                <w:rtl w:val="0"/>
                <w:lang w:val="en-US"/>
              </w:rPr>
              <w:t>Depends on accurate forecasting and stakeholder buy-in</w:t>
            </w:r>
          </w:p>
        </w:tc>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shd w:val="nil" w:color="auto" w:fill="auto"/>
                <w:rtl w:val="0"/>
                <w:lang w:val="en-US"/>
              </w:rPr>
              <w:t>Plan recruitment/training for specialised drivers</w:t>
            </w:r>
          </w:p>
        </w:tc>
      </w:tr>
      <w:tr>
        <w:tblPrEx>
          <w:shd w:val="clear" w:color="auto" w:fill="cdd4e9"/>
        </w:tblPrEx>
        <w:trPr>
          <w:trHeight w:val="790" w:hRule="atLeast"/>
        </w:trPr>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shd w:val="nil" w:color="auto" w:fill="auto"/>
                <w:rtl w:val="0"/>
                <w:lang w:val="en-US"/>
              </w:rPr>
              <w:t>Demand Forecasting</w:t>
            </w:r>
          </w:p>
        </w:tc>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shd w:val="nil" w:color="auto" w:fill="auto"/>
                <w:rtl w:val="0"/>
                <w:lang w:val="en-US"/>
              </w:rPr>
              <w:t>Supports proactive hiring</w:t>
            </w:r>
          </w:p>
        </w:tc>
        <w:tc>
          <w:tcPr>
            <w:tcW w:type="dxa" w:w="22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shd w:val="nil" w:color="auto" w:fill="auto"/>
                <w:rtl w:val="0"/>
                <w:lang w:val="en-US"/>
              </w:rPr>
              <w:t>May be inaccurate with sudden changes</w:t>
            </w:r>
          </w:p>
        </w:tc>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shd w:val="nil" w:color="auto" w:fill="auto"/>
                <w:rtl w:val="0"/>
                <w:lang w:val="en-US"/>
              </w:rPr>
              <w:t>Forecast staffing for peak periods like holidays</w:t>
            </w:r>
          </w:p>
        </w:tc>
      </w:tr>
      <w:tr>
        <w:tblPrEx>
          <w:shd w:val="clear" w:color="auto" w:fill="cdd4e9"/>
        </w:tblPrEx>
        <w:trPr>
          <w:trHeight w:val="790" w:hRule="atLeast"/>
        </w:trPr>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shd w:val="nil" w:color="auto" w:fill="auto"/>
                <w:rtl w:val="0"/>
                <w:lang w:val="en-US"/>
              </w:rPr>
              <w:t>Supply Analysis</w:t>
            </w:r>
          </w:p>
        </w:tc>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after="0" w:line="240" w:lineRule="auto"/>
            </w:pPr>
            <w:r>
              <w:rPr>
                <w:rFonts w:ascii="Aptos" w:cs="Aptos" w:hAnsi="Aptos" w:eastAsia="Aptos"/>
                <w:b w:val="0"/>
                <w:bCs w:val="0"/>
                <w:sz w:val="22"/>
                <w:szCs w:val="22"/>
                <w:shd w:val="nil" w:color="auto" w:fill="auto"/>
                <w:rtl w:val="0"/>
                <w:lang w:val="en-US"/>
              </w:rPr>
              <w:t xml:space="preserve">Identifies underutilised talent </w:t>
            </w:r>
          </w:p>
        </w:tc>
        <w:tc>
          <w:tcPr>
            <w:tcW w:type="dxa" w:w="22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shd w:val="nil" w:color="auto" w:fill="auto"/>
                <w:rtl w:val="0"/>
                <w:lang w:val="en-US"/>
              </w:rPr>
              <w:t>May overestimate capability</w:t>
            </w:r>
          </w:p>
        </w:tc>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shd w:val="nil" w:color="auto" w:fill="auto"/>
                <w:rtl w:val="0"/>
                <w:lang w:val="en-US"/>
              </w:rPr>
              <w:t>Assess internal readiness for key operational roles</w:t>
            </w:r>
          </w:p>
        </w:tc>
      </w:tr>
      <w:tr>
        <w:tblPrEx>
          <w:shd w:val="clear" w:color="auto" w:fill="cdd4e9"/>
        </w:tblPrEx>
        <w:trPr>
          <w:trHeight w:val="1050" w:hRule="atLeast"/>
        </w:trPr>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shd w:val="nil" w:color="auto" w:fill="auto"/>
                <w:rtl w:val="0"/>
                <w:lang w:val="en-US"/>
              </w:rPr>
              <w:t>Strategic Tools</w:t>
            </w:r>
          </w:p>
        </w:tc>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after="0" w:line="240" w:lineRule="auto"/>
            </w:pPr>
            <w:r>
              <w:rPr>
                <w:rFonts w:ascii="Aptos" w:cs="Aptos" w:hAnsi="Aptos" w:eastAsia="Aptos"/>
                <w:b w:val="0"/>
                <w:bCs w:val="0"/>
                <w:sz w:val="22"/>
                <w:szCs w:val="22"/>
                <w:shd w:val="nil" w:color="auto" w:fill="auto"/>
                <w:rtl w:val="0"/>
                <w:lang w:val="en-US"/>
              </w:rPr>
              <w:t xml:space="preserve">Aligns planning with organisational strategy </w:t>
            </w:r>
          </w:p>
        </w:tc>
        <w:tc>
          <w:tcPr>
            <w:tcW w:type="dxa" w:w="22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shd w:val="nil" w:color="auto" w:fill="auto"/>
                <w:rtl w:val="0"/>
                <w:lang w:val="en-US"/>
              </w:rPr>
              <w:t>Requires clear organisational objectives</w:t>
            </w:r>
          </w:p>
        </w:tc>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shd w:val="nil" w:color="auto" w:fill="auto"/>
                <w:rtl w:val="0"/>
                <w:lang w:val="en-US"/>
              </w:rPr>
              <w:t>Identify future leaders and anticipate workforce peaks</w:t>
            </w:r>
          </w:p>
        </w:tc>
      </w:tr>
      <w:tr>
        <w:tblPrEx>
          <w:shd w:val="clear" w:color="auto" w:fill="cdd4e9"/>
        </w:tblPrEx>
        <w:trPr>
          <w:trHeight w:val="1050" w:hRule="atLeast"/>
        </w:trPr>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shd w:val="nil" w:color="auto" w:fill="auto"/>
                <w:rtl w:val="0"/>
                <w:lang w:val="en-US"/>
              </w:rPr>
              <w:t>Scenario &amp; Succession Planning</w:t>
            </w:r>
          </w:p>
        </w:tc>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after="0" w:line="240" w:lineRule="auto"/>
            </w:pPr>
            <w:r>
              <w:rPr>
                <w:rFonts w:ascii="Aptos" w:cs="Aptos" w:hAnsi="Aptos" w:eastAsia="Aptos"/>
                <w:b w:val="0"/>
                <w:bCs w:val="0"/>
                <w:sz w:val="22"/>
                <w:szCs w:val="22"/>
                <w:shd w:val="nil" w:color="auto" w:fill="auto"/>
                <w:rtl w:val="0"/>
                <w:lang w:val="en-US"/>
              </w:rPr>
              <w:t>Prepares for potential future scenarios</w:t>
            </w:r>
          </w:p>
        </w:tc>
        <w:tc>
          <w:tcPr>
            <w:tcW w:type="dxa" w:w="22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shd w:val="nil" w:color="auto" w:fill="auto"/>
                <w:rtl w:val="0"/>
                <w:lang w:val="en-US"/>
              </w:rPr>
              <w:t>Time-intensive</w:t>
            </w:r>
          </w:p>
        </w:tc>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shd w:val="nil" w:color="auto" w:fill="auto"/>
                <w:rtl w:val="0"/>
                <w:lang w:val="en-US"/>
              </w:rPr>
              <w:t>Maintain continuity in key roles during retirements or expansion</w:t>
            </w:r>
          </w:p>
        </w:tc>
      </w:tr>
      <w:tr>
        <w:tblPrEx>
          <w:shd w:val="clear" w:color="auto" w:fill="cdd4e9"/>
        </w:tblPrEx>
        <w:trPr>
          <w:trHeight w:val="1050" w:hRule="atLeast"/>
        </w:trPr>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sz w:val="22"/>
                <w:szCs w:val="22"/>
                <w:shd w:val="nil" w:color="auto" w:fill="auto"/>
                <w:rtl w:val="0"/>
                <w:lang w:val="en-US"/>
              </w:rPr>
              <w:t>Competency Mapping &amp; Skills Inventory</w:t>
            </w:r>
          </w:p>
        </w:tc>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shd w:val="nil" w:color="auto" w:fill="auto"/>
                <w:rtl w:val="0"/>
                <w:lang w:val="en-US"/>
              </w:rPr>
              <w:t>Supports targeted development</w:t>
            </w:r>
          </w:p>
        </w:tc>
        <w:tc>
          <w:tcPr>
            <w:tcW w:type="dxa" w:w="22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0"/>
                <w:bCs w:val="0"/>
                <w:sz w:val="22"/>
                <w:szCs w:val="22"/>
                <w:shd w:val="nil" w:color="auto" w:fill="auto"/>
                <w:rtl w:val="0"/>
                <w:lang w:val="en-US"/>
              </w:rPr>
              <w:t>Requires regular updates</w:t>
            </w:r>
          </w:p>
        </w:tc>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spacing w:after="0" w:line="240" w:lineRule="auto"/>
            </w:pPr>
            <w:r>
              <w:rPr>
                <w:rFonts w:ascii="Aptos" w:cs="Aptos" w:hAnsi="Aptos" w:eastAsia="Aptos"/>
                <w:b w:val="0"/>
                <w:bCs w:val="0"/>
                <w:sz w:val="22"/>
                <w:szCs w:val="22"/>
                <w:shd w:val="nil" w:color="auto" w:fill="auto"/>
                <w:rtl w:val="0"/>
                <w:lang w:val="en-US"/>
              </w:rPr>
              <w:t>Redeploy staff efficiently and plan development initiatives</w:t>
            </w:r>
          </w:p>
        </w:tc>
      </w:tr>
    </w:tbl>
    <w:p>
      <w:pPr>
        <w:pStyle w:val="Body"/>
        <w:widowControl w:val="0"/>
        <w:spacing w:line="240" w:lineRule="auto"/>
        <w:rPr>
          <w:rFonts w:ascii="Aptos" w:cs="Aptos" w:hAnsi="Aptos" w:eastAsia="Aptos"/>
          <w:b w:val="1"/>
          <w:bCs w:val="1"/>
          <w:sz w:val="22"/>
          <w:szCs w:val="22"/>
        </w:rPr>
      </w:pPr>
    </w:p>
    <w:p>
      <w:pPr>
        <w:pStyle w:val="Normal (Web)"/>
        <w:rPr>
          <w:rFonts w:ascii="Aptos" w:cs="Aptos" w:hAnsi="Aptos" w:eastAsia="Aptos"/>
          <w:sz w:val="22"/>
          <w:szCs w:val="22"/>
        </w:rPr>
      </w:pPr>
      <w:r>
        <w:rPr>
          <w:rFonts w:ascii="Aptos" w:cs="Aptos" w:hAnsi="Aptos" w:eastAsia="Aptos"/>
          <w:sz w:val="22"/>
          <w:szCs w:val="22"/>
          <w:rtl w:val="0"/>
          <w:lang w:val="en-US"/>
        </w:rPr>
        <w:t>CIPD (2025). CIPD (2023). ACAS (2023). Armstrong &amp; Taylor (2023). adapted for ParcelCare.</w:t>
      </w:r>
    </w:p>
    <w:p>
      <w:pPr>
        <w:pStyle w:val="Body"/>
        <w:rPr>
          <w:rFonts w:ascii="Aptos" w:cs="Aptos" w:hAnsi="Aptos" w:eastAsia="Aptos"/>
          <w:i w:val="1"/>
          <w:iCs w:val="1"/>
          <w:sz w:val="22"/>
          <w:szCs w:val="22"/>
        </w:rPr>
      </w:pPr>
      <w:r>
        <w:rPr>
          <w:rFonts w:ascii="Aptos" w:cs="Aptos" w:hAnsi="Aptos" w:eastAsia="Aptos"/>
          <w:sz w:val="22"/>
          <w:szCs w:val="22"/>
          <w:rtl w:val="0"/>
          <w:lang w:val="en-US"/>
        </w:rPr>
        <w:t>The six stages of strategic workforce planning provide ParcelCare with a structured roadmap for aligning workforce supply with organisational needs (CIPD, 2025). This model begins with establishing a baseline, assessing current workforce capabilities and external factors such as labour market trends and customer demand. Assessing supply identifies skills, experience, and mobility, while analysing demand forecasts future staffing needs for expansion or new technologies. Gap analysis highlights shortages, guiding recruitment, training, or redeployment. Action planning implements targeted interventions, and the final delivery and review stage monitors progress, adapting plans to changes in demand, regulation, or workforce dynamics.</w:t>
      </w:r>
      <w:r>
        <w:rPr>
          <w:rFonts w:ascii="Aptos" w:cs="Aptos" w:hAnsi="Aptos" w:eastAsia="Aptos"/>
          <w:i w:val="1"/>
          <w:iCs w:val="1"/>
          <w:sz w:val="22"/>
          <w:szCs w:val="22"/>
          <w:rtl w:val="0"/>
        </w:rPr>
        <w:t xml:space="preserve"> </w:t>
      </w:r>
      <w:r>
        <w:rPr>
          <w:rFonts w:ascii="Aptos" w:cs="Aptos" w:hAnsi="Aptos" w:eastAsia="Aptos"/>
          <w:sz w:val="22"/>
          <w:szCs w:val="22"/>
          <w:rtl w:val="0"/>
          <w:lang w:val="en-US"/>
        </w:rPr>
        <w:t>Figure 1 below illustrates this model:</w:t>
      </w:r>
    </w:p>
    <w:p>
      <w:pPr>
        <w:pStyle w:val="Body"/>
        <w:rPr>
          <w:rStyle w:val="None A"/>
          <w:rFonts w:ascii="Aptos" w:cs="Aptos" w:hAnsi="Aptos" w:eastAsia="Aptos"/>
          <w:sz w:val="22"/>
          <w:szCs w:val="22"/>
        </w:rPr>
      </w:pPr>
    </w:p>
    <w:p>
      <w:pPr>
        <w:pStyle w:val="Body"/>
        <w:rPr>
          <w:rFonts w:ascii="Aptos" w:cs="Aptos" w:hAnsi="Aptos" w:eastAsia="Aptos"/>
          <w:i w:val="1"/>
          <w:iCs w:val="1"/>
          <w:sz w:val="22"/>
          <w:szCs w:val="22"/>
        </w:rPr>
      </w:pPr>
      <w:r>
        <w:rPr>
          <w:rFonts w:ascii="Aptos" w:cs="Aptos" w:hAnsi="Aptos" w:eastAsia="Aptos"/>
          <w:i w:val="1"/>
          <w:iCs w:val="1"/>
          <w:sz w:val="22"/>
          <w:szCs w:val="22"/>
          <w:rtl w:val="0"/>
          <w:lang w:val="it-IT"/>
        </w:rPr>
        <w:t>Figure 1</w:t>
      </w:r>
    </w:p>
    <w:p>
      <w:pPr>
        <w:pStyle w:val="Body"/>
        <w:rPr>
          <w:rFonts w:ascii="Aptos" w:cs="Aptos" w:hAnsi="Aptos" w:eastAsia="Aptos"/>
          <w:sz w:val="22"/>
          <w:szCs w:val="22"/>
          <w:shd w:val="clear" w:color="auto" w:fill="ffff00"/>
        </w:rPr>
      </w:pPr>
      <w:r>
        <w:rPr>
          <w:rFonts w:ascii="Aptos" w:cs="Aptos" w:hAnsi="Aptos" w:eastAsia="Aptos"/>
          <w:sz w:val="22"/>
          <w:szCs w:val="22"/>
        </w:rPr>
        <w:drawing xmlns:a="http://schemas.openxmlformats.org/drawingml/2006/main">
          <wp:inline distT="0" distB="0" distL="0" distR="0">
            <wp:extent cx="2881223" cy="2461148"/>
            <wp:effectExtent l="0" t="0" r="0" b="0"/>
            <wp:docPr id="1073741825" name="officeArt object" descr="Picture 1"/>
            <wp:cNvGraphicFramePr/>
            <a:graphic xmlns:a="http://schemas.openxmlformats.org/drawingml/2006/main">
              <a:graphicData uri="http://schemas.openxmlformats.org/drawingml/2006/picture">
                <pic:pic xmlns:pic="http://schemas.openxmlformats.org/drawingml/2006/picture">
                  <pic:nvPicPr>
                    <pic:cNvPr id="1073741825" name="Picture 1" descr="Picture 1"/>
                    <pic:cNvPicPr>
                      <a:picLocks noChangeAspect="1"/>
                    </pic:cNvPicPr>
                  </pic:nvPicPr>
                  <pic:blipFill>
                    <a:blip r:embed="rId4">
                      <a:extLst/>
                    </a:blip>
                    <a:stretch>
                      <a:fillRect/>
                    </a:stretch>
                  </pic:blipFill>
                  <pic:spPr>
                    <a:xfrm>
                      <a:off x="0" y="0"/>
                      <a:ext cx="2881223" cy="2461148"/>
                    </a:xfrm>
                    <a:prstGeom prst="rect">
                      <a:avLst/>
                    </a:prstGeom>
                    <a:ln w="12700" cap="flat">
                      <a:noFill/>
                      <a:miter lim="400000"/>
                    </a:ln>
                    <a:effectLst/>
                  </pic:spPr>
                </pic:pic>
              </a:graphicData>
            </a:graphic>
          </wp:inline>
        </w:drawing>
      </w:r>
    </w:p>
    <w:p>
      <w:pPr>
        <w:pStyle w:val="Table Style 2 A"/>
        <w:rPr>
          <w:rFonts w:ascii="Aptos" w:cs="Aptos" w:hAnsi="Aptos" w:eastAsia="Aptos"/>
          <w:sz w:val="22"/>
          <w:szCs w:val="22"/>
          <w:lang w:val="en-US"/>
          <w14:textOutline w14:w="12700" w14:cap="flat">
            <w14:noFill/>
            <w14:miter w14:lim="400000"/>
          </w14:textOutline>
        </w:rPr>
      </w:pPr>
      <w:r>
        <w:rPr>
          <w:rFonts w:ascii="Aptos" w:cs="Aptos" w:hAnsi="Aptos" w:eastAsia="Aptos"/>
          <w:sz w:val="22"/>
          <w:szCs w:val="22"/>
          <w:rtl w:val="0"/>
          <w:lang w:val="en-US"/>
          <w14:textOutline w14:w="12700" w14:cap="flat">
            <w14:noFill/>
            <w14:miter w14:lim="400000"/>
          </w14:textOutline>
        </w:rPr>
        <w:t>Implementing comprehensive workforce planning ensures ParcelCare has the right people with the right skills at the right time (CIPD, 2023). Combining techniques such as gap analysis, demand forecasting, and supply analysis enables the company to identify current capabilities, anticipate future needs, and address skill shortages proactively (CIPD, 2025). Strategic tools like SWOT, PESTLE, HR dashboards, and the 9-box grid support alignment with organisational objectives and succession planning (ACAS, 2023). Forward-looking approaches, including scenario planning and analytical models, enhance staffing decisions, while financial planning ensures cost-effective solutions (Taylor, 2024). Together, these approaches create a proactive, agile, and high-performing workforce.</w:t>
      </w:r>
    </w:p>
    <w:p>
      <w:pPr>
        <w:pStyle w:val="Table Style 2 A"/>
        <w:rPr>
          <w:rStyle w:val="None A"/>
          <w:rFonts w:ascii="Aptos" w:cs="Aptos" w:hAnsi="Aptos" w:eastAsia="Aptos"/>
          <w:b w:val="1"/>
          <w:bCs w:val="1"/>
          <w:sz w:val="22"/>
          <w:szCs w:val="22"/>
          <w:lang w:val="en-US"/>
        </w:rPr>
      </w:pPr>
    </w:p>
    <w:p>
      <w:pPr>
        <w:pStyle w:val="Table Style 2 A"/>
        <w:rPr>
          <w:rStyle w:val="None A"/>
          <w:rFonts w:ascii="Aptos" w:cs="Aptos" w:hAnsi="Aptos" w:eastAsia="Aptos"/>
          <w:b w:val="1"/>
          <w:bCs w:val="1"/>
          <w:sz w:val="22"/>
          <w:szCs w:val="22"/>
          <w:lang w:val="en-US"/>
        </w:rPr>
      </w:pPr>
    </w:p>
    <w:p>
      <w:pPr>
        <w:pStyle w:val="Table Style 2 A"/>
        <w:rPr>
          <w:rFonts w:ascii="Aptos" w:cs="Aptos" w:hAnsi="Aptos" w:eastAsia="Aptos"/>
          <w:outline w:val="0"/>
          <w:color w:val="ee0000"/>
          <w:sz w:val="22"/>
          <w:szCs w:val="22"/>
          <w:u w:color="ee0000"/>
          <w14:textFill>
            <w14:solidFill>
              <w14:srgbClr w14:val="EE0000"/>
            </w14:solidFill>
          </w14:textFill>
        </w:rPr>
      </w:pPr>
      <w:r>
        <w:rPr>
          <w:rFonts w:ascii="Aptos" w:cs="Aptos" w:hAnsi="Aptos" w:eastAsia="Aptos"/>
          <w:outline w:val="0"/>
          <w:color w:val="ee0000"/>
          <w:sz w:val="22"/>
          <w:szCs w:val="22"/>
          <w:u w:color="ee0000"/>
          <w:rtl w:val="0"/>
          <w:lang w:val="en-US"/>
          <w14:textFill>
            <w14:solidFill>
              <w14:srgbClr w14:val="EE0000"/>
            </w14:solidFill>
          </w14:textFill>
        </w:rPr>
        <w:t>AC 2.3 - ParcelCare currently advertises vacancies on its website and relies on line managers to conduct interviews. While these approaches are functional, broadening recruitment and selection methods can improve candidate quality, enhance diversity, and support fair and objective assessment. Recruitment attracts suitable candidates, while selection evaluates their skills, experience, and organisational fit, which is a key part of effective workforce planning (CIPD, 2023). Incorporating additional techniques aligns with best practice for building high-performing workforces and ensures ParcelCare remains competitive in attracting and retaining talent, as highlighted by Taylor (2024).</w:t>
      </w:r>
    </w:p>
    <w:p>
      <w:pPr>
        <w:pStyle w:val="Body"/>
        <w:rPr>
          <w:rFonts w:ascii="Aptos" w:cs="Aptos" w:hAnsi="Aptos" w:eastAsia="Aptos"/>
          <w:outline w:val="0"/>
          <w:color w:val="ee0000"/>
          <w:sz w:val="22"/>
          <w:szCs w:val="22"/>
          <w:u w:color="ee0000"/>
          <w14:textFill>
            <w14:solidFill>
              <w14:srgbClr w14:val="EE0000"/>
            </w14:solidFill>
          </w14:textFill>
        </w:rPr>
      </w:pPr>
      <w:r>
        <w:rPr>
          <w:rFonts w:ascii="Aptos" w:cs="Aptos" w:hAnsi="Aptos" w:eastAsia="Aptos"/>
          <w:outline w:val="0"/>
          <w:color w:val="ee0000"/>
          <w:sz w:val="22"/>
          <w:szCs w:val="22"/>
          <w:u w:color="ee0000"/>
          <w:rtl w:val="0"/>
          <w:lang w:val="en-US"/>
          <w14:textFill>
            <w14:solidFill>
              <w14:srgbClr w14:val="EE0000"/>
            </w14:solidFill>
          </w14:textFill>
        </w:rPr>
        <w:t>Advertising vacancies on the ParcelCare website is a commonly used recruitment method. Its strengths include direct access to interested candidates, low cost, ease of updating postings, support for employer branding, and the ability to ensure consistent messaging (CIPD, 2023). For ParcelCare, maintaining this method is appropriate for core operational roles. However, its weaknesses include limited reach to passive candidates, potential reduction in diversity, and reliance on candidates actively searching the website (CIPD, 2025). Therefore, website advertising should be complemented with broader recruitment strategies to enhance candidate quality and inclusivity.</w:t>
      </w:r>
    </w:p>
    <w:p>
      <w:pPr>
        <w:pStyle w:val="Body"/>
        <w:rPr>
          <w:rFonts w:ascii="Aptos" w:cs="Aptos" w:hAnsi="Aptos" w:eastAsia="Aptos"/>
          <w:outline w:val="0"/>
          <w:color w:val="ee0000"/>
          <w:sz w:val="22"/>
          <w:szCs w:val="22"/>
          <w:u w:color="ee0000"/>
          <w14:textFill>
            <w14:solidFill>
              <w14:srgbClr w14:val="EE0000"/>
            </w14:solidFill>
          </w14:textFill>
        </w:rPr>
      </w:pPr>
      <w:r>
        <w:rPr>
          <w:rFonts w:ascii="Aptos" w:cs="Aptos" w:hAnsi="Aptos" w:eastAsia="Aptos"/>
          <w:outline w:val="0"/>
          <w:color w:val="ee0000"/>
          <w:sz w:val="22"/>
          <w:szCs w:val="22"/>
          <w:u w:color="ee0000"/>
          <w:rtl w:val="0"/>
          <w:lang w:val="en-US"/>
          <w14:textFill>
            <w14:solidFill>
              <w14:srgbClr w14:val="EE0000"/>
            </w14:solidFill>
          </w14:textFill>
        </w:rPr>
        <w:t>Social media recruitment offers additional benefits. It broadens the talent pool, targets specific skills or demographics, is low cost, and enhances the employer brand (Taylor, 2024). For ParcelCare, social media could help reach candidates with specialised skills or increase workforce diversity. The limitations include the risk of attracting unsuitable candidates, the need for specialist skills to manage campaigns effectively, and potential reputational risks if posts are mismanaged (CIPD, 2023). Evaluating these trade-offs shows that social media should complement, rather than replace, traditional website advertising to maximise recruitment outcomes.</w:t>
      </w:r>
    </w:p>
    <w:p>
      <w:pPr>
        <w:pStyle w:val="Body"/>
        <w:rPr>
          <w:rFonts w:ascii="Aptos" w:cs="Aptos" w:hAnsi="Aptos" w:eastAsia="Aptos"/>
          <w:outline w:val="0"/>
          <w:color w:val="ee0000"/>
          <w:sz w:val="22"/>
          <w:szCs w:val="22"/>
          <w:u w:color="ee0000"/>
          <w14:textFill>
            <w14:solidFill>
              <w14:srgbClr w14:val="EE0000"/>
            </w14:solidFill>
          </w14:textFill>
        </w:rPr>
      </w:pPr>
      <w:r>
        <w:rPr>
          <w:rFonts w:ascii="Aptos" w:cs="Aptos" w:hAnsi="Aptos" w:eastAsia="Aptos"/>
          <w:outline w:val="0"/>
          <w:color w:val="ee0000"/>
          <w:sz w:val="22"/>
          <w:szCs w:val="22"/>
          <w:u w:color="ee0000"/>
          <w:rtl w:val="0"/>
          <w:lang w:val="en-US"/>
          <w14:textFill>
            <w14:solidFill>
              <w14:srgbClr w14:val="EE0000"/>
            </w14:solidFill>
          </w14:textFill>
        </w:rPr>
        <w:t>Structured interviews conducted by line managers remain central to ParcelCare</w:t>
      </w:r>
      <w:r>
        <w:rPr>
          <w:rFonts w:ascii="Aptos" w:cs="Aptos" w:hAnsi="Aptos" w:eastAsia="Aptos"/>
          <w:outline w:val="0"/>
          <w:color w:val="ee0000"/>
          <w:sz w:val="22"/>
          <w:szCs w:val="22"/>
          <w:u w:color="ee0000"/>
          <w:rtl w:val="0"/>
          <w:lang w:val="en-US"/>
          <w14:textFill>
            <w14:solidFill>
              <w14:srgbClr w14:val="EE0000"/>
            </w14:solidFill>
          </w14:textFill>
        </w:rPr>
        <w:t>’</w:t>
      </w:r>
      <w:r>
        <w:rPr>
          <w:rFonts w:ascii="Aptos" w:cs="Aptos" w:hAnsi="Aptos" w:eastAsia="Aptos"/>
          <w:outline w:val="0"/>
          <w:color w:val="ee0000"/>
          <w:sz w:val="22"/>
          <w:szCs w:val="22"/>
          <w:u w:color="ee0000"/>
          <w:rtl w:val="0"/>
          <w:lang w:val="en-US"/>
          <w14:textFill>
            <w14:solidFill>
              <w14:srgbClr w14:val="EE0000"/>
            </w14:solidFill>
          </w14:textFill>
        </w:rPr>
        <w:t>s selection process. They allow consistent assessment of skills, experience, and cultural fit, enable probing, and reduce bias when properly structured (CIPD, 2019). However, they are time-consuming, may not fully predict job performance, and can still be biased if interviewers are not trained (ACAS, 2023). Supplementing interviews with psychometric testing can mitigate some of these weaknesses. Psychometric tests provide objective assessment of candidates</w:t>
      </w:r>
      <w:r>
        <w:rPr>
          <w:rFonts w:ascii="Aptos" w:cs="Aptos" w:hAnsi="Aptos" w:eastAsia="Aptos"/>
          <w:outline w:val="0"/>
          <w:color w:val="ee0000"/>
          <w:sz w:val="22"/>
          <w:szCs w:val="22"/>
          <w:u w:color="ee0000"/>
          <w:rtl w:val="0"/>
          <w:lang w:val="en-US"/>
          <w14:textFill>
            <w14:solidFill>
              <w14:srgbClr w14:val="EE0000"/>
            </w14:solidFill>
          </w14:textFill>
        </w:rPr>
        <w:t xml:space="preserve">’ </w:t>
      </w:r>
      <w:r>
        <w:rPr>
          <w:rFonts w:ascii="Aptos" w:cs="Aptos" w:hAnsi="Aptos" w:eastAsia="Aptos"/>
          <w:outline w:val="0"/>
          <w:color w:val="ee0000"/>
          <w:sz w:val="22"/>
          <w:szCs w:val="22"/>
          <w:u w:color="ee0000"/>
          <w:rtl w:val="0"/>
          <w:lang w:val="en-US"/>
          <w14:textFill>
            <w14:solidFill>
              <w14:srgbClr w14:val="EE0000"/>
            </w14:solidFill>
          </w14:textFill>
        </w:rPr>
        <w:t>strengths, potential, and suitability, reducing subjective judgement and improving fairness when validated tools are used (CIPD, 2025). Their limitations include cost, the need for valid tools, and the possibility of intimidating candidates. Combining these selection methods allows ParcelCare to make more reliable and fair recruitment decisions, particularly for technical or leadership roles.</w:t>
      </w:r>
    </w:p>
    <w:p>
      <w:pPr>
        <w:pStyle w:val="Body"/>
        <w:rPr>
          <w:rFonts w:ascii="Aptos" w:cs="Aptos" w:hAnsi="Aptos" w:eastAsia="Aptos"/>
          <w:outline w:val="0"/>
          <w:color w:val="ee0000"/>
          <w:sz w:val="22"/>
          <w:szCs w:val="22"/>
          <w:u w:color="ee0000"/>
          <w14:textFill>
            <w14:solidFill>
              <w14:srgbClr w14:val="EE0000"/>
            </w14:solidFill>
          </w14:textFill>
        </w:rPr>
      </w:pPr>
      <w:r>
        <w:rPr>
          <w:rFonts w:ascii="Aptos" w:cs="Aptos" w:hAnsi="Aptos" w:eastAsia="Aptos"/>
          <w:outline w:val="0"/>
          <w:color w:val="ee0000"/>
          <w:sz w:val="22"/>
          <w:szCs w:val="22"/>
          <w:u w:color="ee0000"/>
          <w:rtl w:val="0"/>
          <w:lang w:val="en-US"/>
          <w14:textFill>
            <w14:solidFill>
              <w14:srgbClr w14:val="EE0000"/>
            </w14:solidFill>
          </w14:textFill>
        </w:rPr>
        <w:t>Overall, integrating traditional and modern recruitment and selection methods supports a high-performing, adaptable workforce aligned with ParcelCare</w:t>
      </w:r>
      <w:r>
        <w:rPr>
          <w:rFonts w:ascii="Aptos" w:cs="Aptos" w:hAnsi="Aptos" w:eastAsia="Aptos"/>
          <w:outline w:val="0"/>
          <w:color w:val="ee0000"/>
          <w:sz w:val="22"/>
          <w:szCs w:val="22"/>
          <w:u w:color="ee0000"/>
          <w:rtl w:val="0"/>
          <w:lang w:val="en-US"/>
          <w14:textFill>
            <w14:solidFill>
              <w14:srgbClr w14:val="EE0000"/>
            </w14:solidFill>
          </w14:textFill>
        </w:rPr>
        <w:t>’</w:t>
      </w:r>
      <w:r>
        <w:rPr>
          <w:rFonts w:ascii="Aptos" w:cs="Aptos" w:hAnsi="Aptos" w:eastAsia="Aptos"/>
          <w:outline w:val="0"/>
          <w:color w:val="ee0000"/>
          <w:sz w:val="22"/>
          <w:szCs w:val="22"/>
          <w:u w:color="ee0000"/>
          <w:rtl w:val="0"/>
          <w:lang w:val="en-US"/>
          <w14:textFill>
            <w14:solidFill>
              <w14:srgbClr w14:val="EE0000"/>
            </w14:solidFill>
          </w14:textFill>
        </w:rPr>
        <w:t>s strategic HR goals. Emerging technologies, including applicant tracking systems and AI screening tools, can increase efficiency and improve candidate experience if ethically implemented (CIPD, 2023). Evaluating each method</w:t>
      </w:r>
      <w:r>
        <w:rPr>
          <w:rFonts w:ascii="Aptos" w:cs="Aptos" w:hAnsi="Aptos" w:eastAsia="Aptos"/>
          <w:outline w:val="0"/>
          <w:color w:val="ee0000"/>
          <w:sz w:val="22"/>
          <w:szCs w:val="22"/>
          <w:u w:color="ee0000"/>
          <w:rtl w:val="0"/>
          <w:lang w:val="en-US"/>
          <w14:textFill>
            <w14:solidFill>
              <w14:srgbClr w14:val="EE0000"/>
            </w14:solidFill>
          </w14:textFill>
        </w:rPr>
        <w:t>’</w:t>
      </w:r>
      <w:r>
        <w:rPr>
          <w:rFonts w:ascii="Aptos" w:cs="Aptos" w:hAnsi="Aptos" w:eastAsia="Aptos"/>
          <w:outline w:val="0"/>
          <w:color w:val="ee0000"/>
          <w:sz w:val="22"/>
          <w:szCs w:val="22"/>
          <w:u w:color="ee0000"/>
          <w:rtl w:val="0"/>
          <w:lang w:val="en-US"/>
          <w14:textFill>
            <w14:solidFill>
              <w14:srgbClr w14:val="EE0000"/>
            </w14:solidFill>
          </w14:textFill>
        </w:rPr>
        <w:t>s strengths and weaknesses ensures that recruitment and selection decisions are effective, fair, and inclusive, supporting long-term organisational objectives (Taylor, 2024; ACAS, 2023).</w:t>
      </w:r>
    </w:p>
    <w:p>
      <w:pPr>
        <w:pStyle w:val="Table Style 2 A"/>
        <w:rPr>
          <w:rStyle w:val="None A"/>
          <w:rFonts w:ascii="Aptos" w:cs="Aptos" w:hAnsi="Aptos" w:eastAsia="Aptos"/>
          <w:b w:val="1"/>
          <w:bCs w:val="1"/>
          <w:sz w:val="22"/>
          <w:szCs w:val="22"/>
          <w:lang w:val="en-US"/>
        </w:rPr>
      </w:pPr>
    </w:p>
    <w:p>
      <w:pPr>
        <w:pStyle w:val="Table Style 2 A"/>
        <w:rPr>
          <w:rFonts w:ascii="Aptos" w:cs="Aptos" w:hAnsi="Aptos" w:eastAsia="Aptos"/>
          <w:b w:val="1"/>
          <w:bCs w:val="1"/>
          <w:sz w:val="22"/>
          <w:szCs w:val="22"/>
        </w:rPr>
      </w:pPr>
      <w:r>
        <w:rPr>
          <w:rFonts w:ascii="Aptos" w:cs="Aptos" w:hAnsi="Aptos" w:eastAsia="Aptos"/>
          <w:b w:val="1"/>
          <w:bCs w:val="1"/>
          <w:sz w:val="22"/>
          <w:szCs w:val="22"/>
          <w:rtl w:val="0"/>
          <w:lang w:val="en-US"/>
        </w:rPr>
        <w:t>AC 2.3 - ParcelCare</w:t>
      </w:r>
      <w:r>
        <w:rPr>
          <w:rFonts w:ascii="Aptos" w:cs="Aptos" w:hAnsi="Aptos" w:eastAsia="Aptos"/>
          <w:sz w:val="22"/>
          <w:szCs w:val="22"/>
          <w:rtl w:val="0"/>
          <w:lang w:val="en-US"/>
        </w:rPr>
        <w:t xml:space="preserve"> currently advertises vacancies on its website and relies on line managers to conduct interviews. While functional, broadening these approaches can improve candidate quality, enhance diversity, and support fair assessment. Recruitment attracts suitable candidates, while selection evaluates their skills, experience, and organisational fit (CIPD, 2023). Incorporating additional methods aligns with best practice for building high-performing workforces (Taylor, 2024).</w:t>
      </w:r>
    </w:p>
    <w:p>
      <w:pPr>
        <w:pStyle w:val="Table Style 2 A"/>
        <w:rPr>
          <w:rStyle w:val="None A"/>
          <w:rFonts w:ascii="Aptos" w:cs="Aptos" w:hAnsi="Aptos" w:eastAsia="Aptos"/>
          <w:sz w:val="22"/>
          <w:szCs w:val="22"/>
        </w:rPr>
      </w:pPr>
    </w:p>
    <w:p>
      <w:pPr>
        <w:pStyle w:val="Table Style 2 A"/>
        <w:rPr>
          <w:rFonts w:ascii="Aptos" w:cs="Aptos" w:hAnsi="Aptos" w:eastAsia="Aptos"/>
          <w:sz w:val="22"/>
          <w:szCs w:val="22"/>
          <w:lang w:val="en-US"/>
        </w:rPr>
      </w:pPr>
      <w:r>
        <w:rPr>
          <w:rFonts w:ascii="Aptos" w:cs="Aptos" w:hAnsi="Aptos" w:eastAsia="Aptos"/>
          <w:b w:val="1"/>
          <w:bCs w:val="1"/>
          <w:sz w:val="22"/>
          <w:szCs w:val="22"/>
          <w:rtl w:val="0"/>
          <w:lang w:val="en-US"/>
        </w:rPr>
        <w:t>Recruitment Method</w:t>
      </w: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2254"/>
        <w:gridCol w:w="2254"/>
        <w:gridCol w:w="2253"/>
        <w:gridCol w:w="2255"/>
      </w:tblGrid>
      <w:tr>
        <w:tblPrEx>
          <w:shd w:val="clear" w:color="auto" w:fill="cdd4e9"/>
        </w:tblPrEx>
        <w:trPr>
          <w:trHeight w:val="530" w:hRule="atLeast"/>
        </w:trPr>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Table Style 2 A"/>
            </w:pPr>
            <w:r>
              <w:rPr>
                <w:rFonts w:ascii="Aptos" w:cs="Aptos" w:hAnsi="Aptos" w:eastAsia="Aptos"/>
                <w:b w:val="1"/>
                <w:bCs w:val="1"/>
                <w:sz w:val="22"/>
                <w:szCs w:val="22"/>
                <w:shd w:val="nil" w:color="auto" w:fill="auto"/>
                <w:rtl w:val="0"/>
                <w:lang w:val="en-US"/>
              </w:rPr>
              <w:t>Recruitment Method</w:t>
            </w:r>
          </w:p>
        </w:tc>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Table Style 2 A"/>
            </w:pPr>
            <w:r>
              <w:rPr>
                <w:rFonts w:ascii="Aptos" w:cs="Aptos" w:hAnsi="Aptos" w:eastAsia="Aptos"/>
                <w:b w:val="1"/>
                <w:bCs w:val="1"/>
                <w:sz w:val="22"/>
                <w:szCs w:val="22"/>
                <w:shd w:val="nil" w:color="auto" w:fill="auto"/>
                <w:rtl w:val="0"/>
                <w:lang w:val="en-US"/>
              </w:rPr>
              <w:t>Strengths</w:t>
            </w:r>
          </w:p>
        </w:tc>
        <w:tc>
          <w:tcPr>
            <w:tcW w:type="dxa" w:w="22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Table Style 2 A"/>
            </w:pPr>
            <w:r>
              <w:rPr>
                <w:rFonts w:ascii="Aptos" w:cs="Aptos" w:hAnsi="Aptos" w:eastAsia="Aptos"/>
                <w:b w:val="1"/>
                <w:bCs w:val="1"/>
                <w:sz w:val="22"/>
                <w:szCs w:val="22"/>
                <w:shd w:val="nil" w:color="auto" w:fill="auto"/>
                <w:rtl w:val="0"/>
                <w:lang w:val="en-US"/>
              </w:rPr>
              <w:t>Weaknesses</w:t>
            </w:r>
          </w:p>
        </w:tc>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Table Style 2 A"/>
            </w:pPr>
            <w:r>
              <w:rPr>
                <w:rFonts w:ascii="Aptos" w:cs="Aptos" w:hAnsi="Aptos" w:eastAsia="Aptos"/>
                <w:b w:val="1"/>
                <w:bCs w:val="1"/>
                <w:sz w:val="22"/>
                <w:szCs w:val="22"/>
                <w:shd w:val="nil" w:color="auto" w:fill="auto"/>
                <w:rtl w:val="0"/>
                <w:lang w:val="en-US"/>
              </w:rPr>
              <w:t>ParcelCare Use</w:t>
            </w:r>
          </w:p>
        </w:tc>
      </w:tr>
      <w:tr>
        <w:tblPrEx>
          <w:shd w:val="clear" w:color="auto" w:fill="cdd4e9"/>
        </w:tblPrEx>
        <w:trPr>
          <w:trHeight w:val="1830" w:hRule="atLeast"/>
        </w:trPr>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Table Style 2 A"/>
            </w:pPr>
            <w:r>
              <w:rPr>
                <w:rFonts w:ascii="Aptos" w:cs="Aptos" w:hAnsi="Aptos" w:eastAsia="Aptos"/>
                <w:sz w:val="22"/>
                <w:szCs w:val="22"/>
                <w:shd w:val="nil" w:color="auto" w:fill="auto"/>
                <w:rtl w:val="0"/>
                <w:lang w:val="en-US"/>
              </w:rPr>
              <w:t>Advertising on Parcelcare Website</w:t>
            </w:r>
          </w:p>
        </w:tc>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Table Style 2 A"/>
            </w:pPr>
            <w:r>
              <w:rPr>
                <w:rFonts w:ascii="Aptos" w:cs="Aptos" w:hAnsi="Aptos" w:eastAsia="Aptos"/>
                <w:sz w:val="22"/>
                <w:szCs w:val="22"/>
                <w:shd w:val="nil" w:color="auto" w:fill="auto"/>
                <w:rtl w:val="0"/>
                <w:lang w:val="en-US"/>
              </w:rPr>
              <w:t>Directly reaches interested candidates; low cost; easy to update; supports employer branding; consistent messaging</w:t>
            </w:r>
          </w:p>
        </w:tc>
        <w:tc>
          <w:tcPr>
            <w:tcW w:type="dxa" w:w="22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Table Style 2 A"/>
            </w:pPr>
            <w:r>
              <w:rPr>
                <w:rFonts w:ascii="Aptos" w:cs="Aptos" w:hAnsi="Aptos" w:eastAsia="Aptos"/>
                <w:sz w:val="22"/>
                <w:szCs w:val="22"/>
                <w:shd w:val="nil" w:color="auto" w:fill="auto"/>
                <w:rtl w:val="0"/>
                <w:lang w:val="en-US"/>
              </w:rPr>
              <w:t>Limited reach to passive candidates; may reduce diversity; reliant on candidates finding the post</w:t>
            </w:r>
          </w:p>
        </w:tc>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Table Style 2 A"/>
            </w:pPr>
            <w:r>
              <w:rPr>
                <w:rFonts w:ascii="Aptos" w:cs="Aptos" w:hAnsi="Aptos" w:eastAsia="Aptos"/>
                <w:sz w:val="22"/>
                <w:szCs w:val="22"/>
                <w:shd w:val="nil" w:color="auto" w:fill="auto"/>
                <w:rtl w:val="0"/>
                <w:lang w:val="en-US"/>
              </w:rPr>
              <w:t>Maintain for core operational roles</w:t>
            </w:r>
          </w:p>
        </w:tc>
      </w:tr>
      <w:tr>
        <w:tblPrEx>
          <w:shd w:val="clear" w:color="auto" w:fill="cdd4e9"/>
        </w:tblPrEx>
        <w:trPr>
          <w:trHeight w:val="1830" w:hRule="atLeast"/>
        </w:trPr>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Table Style 2 A"/>
            </w:pPr>
            <w:r>
              <w:rPr>
                <w:rFonts w:ascii="Aptos" w:cs="Aptos" w:hAnsi="Aptos" w:eastAsia="Aptos"/>
                <w:sz w:val="22"/>
                <w:szCs w:val="22"/>
                <w:shd w:val="nil" w:color="auto" w:fill="auto"/>
                <w:rtl w:val="0"/>
                <w:lang w:val="en-US"/>
              </w:rPr>
              <w:t>Social media recruitment</w:t>
            </w:r>
          </w:p>
        </w:tc>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Table Style 2 A"/>
            </w:pPr>
            <w:r>
              <w:rPr>
                <w:rFonts w:ascii="Aptos" w:cs="Aptos" w:hAnsi="Aptos" w:eastAsia="Aptos"/>
                <w:sz w:val="22"/>
                <w:szCs w:val="22"/>
                <w:shd w:val="nil" w:color="auto" w:fill="auto"/>
                <w:rtl w:val="0"/>
                <w:lang w:val="en-US"/>
              </w:rPr>
              <w:t>Broadens talent pool; targets specific skills or demographics; low cost; enhances employer brand</w:t>
            </w:r>
          </w:p>
        </w:tc>
        <w:tc>
          <w:tcPr>
            <w:tcW w:type="dxa" w:w="22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Table Style 2 A"/>
            </w:pPr>
            <w:r>
              <w:rPr>
                <w:rFonts w:ascii="Aptos" w:cs="Aptos" w:hAnsi="Aptos" w:eastAsia="Aptos"/>
                <w:sz w:val="22"/>
                <w:szCs w:val="22"/>
                <w:shd w:val="nil" w:color="auto" w:fill="auto"/>
                <w:rtl w:val="0"/>
                <w:lang w:val="en-US"/>
              </w:rPr>
              <w:t>May attract unsuitable candidates; requires specialist skills; risk of negative perception if poorly managed</w:t>
            </w:r>
          </w:p>
        </w:tc>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Table Style 2 A"/>
            </w:pPr>
            <w:r>
              <w:rPr>
                <w:rFonts w:ascii="Aptos" w:cs="Aptos" w:hAnsi="Aptos" w:eastAsia="Aptos"/>
                <w:sz w:val="22"/>
                <w:szCs w:val="22"/>
                <w:shd w:val="nil" w:color="auto" w:fill="auto"/>
                <w:rtl w:val="0"/>
                <w:lang w:val="en-US"/>
              </w:rPr>
              <w:t>Complement website advertising to access diverse candidates</w:t>
            </w:r>
          </w:p>
        </w:tc>
      </w:tr>
    </w:tbl>
    <w:p>
      <w:pPr>
        <w:pStyle w:val="Table Style 2 A"/>
        <w:widowControl w:val="0"/>
        <w:rPr>
          <w:rFonts w:ascii="Aptos" w:cs="Aptos" w:hAnsi="Aptos" w:eastAsia="Aptos"/>
          <w:sz w:val="22"/>
          <w:szCs w:val="22"/>
          <w:lang w:val="en-US"/>
        </w:rPr>
      </w:pPr>
    </w:p>
    <w:p>
      <w:pPr>
        <w:pStyle w:val="Table Style 2 A"/>
        <w:rPr>
          <w:rFonts w:ascii="Aptos" w:cs="Aptos" w:hAnsi="Aptos" w:eastAsia="Aptos"/>
          <w:sz w:val="22"/>
          <w:szCs w:val="22"/>
          <w:lang w:val="en-US"/>
        </w:rPr>
      </w:pPr>
      <w:r>
        <w:rPr>
          <w:rFonts w:ascii="Aptos" w:cs="Aptos" w:hAnsi="Aptos" w:eastAsia="Aptos"/>
          <w:sz w:val="22"/>
          <w:szCs w:val="22"/>
          <w:rtl w:val="0"/>
          <w:lang w:val="en-US"/>
        </w:rPr>
        <w:t>Source: CIPD (2023; 2025), Taylor (2024), adapted for ParcelCare</w:t>
      </w:r>
    </w:p>
    <w:p>
      <w:pPr>
        <w:pStyle w:val="Table Style 2 A"/>
        <w:rPr>
          <w:rFonts w:ascii="Aptos" w:cs="Aptos" w:hAnsi="Aptos" w:eastAsia="Aptos"/>
          <w:b w:val="1"/>
          <w:bCs w:val="1"/>
          <w:outline w:val="0"/>
          <w:color w:val="000000"/>
          <w:sz w:val="22"/>
          <w:szCs w:val="22"/>
          <w:u w:color="000000"/>
          <w:lang w:val="en-US"/>
          <w14:textFill>
            <w14:solidFill>
              <w14:srgbClr w14:val="000000"/>
            </w14:solidFill>
          </w14:textFill>
        </w:rPr>
      </w:pPr>
      <w:r>
        <w:rPr>
          <w:rFonts w:ascii="Aptos" w:cs="Aptos" w:hAnsi="Aptos" w:eastAsia="Aptos"/>
          <w:b w:val="1"/>
          <w:bCs w:val="1"/>
          <w:outline w:val="0"/>
          <w:color w:val="000000"/>
          <w:sz w:val="22"/>
          <w:szCs w:val="22"/>
          <w:u w:color="000000"/>
          <w:rtl w:val="0"/>
          <w:lang w:val="en-US"/>
          <w14:textFill>
            <w14:solidFill>
              <w14:srgbClr w14:val="000000"/>
            </w14:solidFill>
          </w14:textFill>
        </w:rPr>
        <w:t>Selection Method</w:t>
      </w: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2254"/>
        <w:gridCol w:w="2254"/>
        <w:gridCol w:w="2253"/>
        <w:gridCol w:w="2255"/>
      </w:tblGrid>
      <w:tr>
        <w:tblPrEx>
          <w:shd w:val="clear" w:color="auto" w:fill="cdd4e9"/>
        </w:tblPrEx>
        <w:trPr>
          <w:trHeight w:val="270" w:hRule="atLeast"/>
        </w:trPr>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ptos" w:cs="Aptos" w:hAnsi="Aptos" w:eastAsia="Aptos"/>
                <w:b w:val="1"/>
                <w:bCs w:val="1"/>
                <w:sz w:val="22"/>
                <w:szCs w:val="22"/>
                <w:shd w:val="nil" w:color="auto" w:fill="auto"/>
                <w:rtl w:val="0"/>
                <w:lang w:val="en-US"/>
              </w:rPr>
              <w:t>Selection Method</w:t>
            </w:r>
          </w:p>
        </w:tc>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1"/>
                <w:bCs w:val="1"/>
                <w:sz w:val="22"/>
                <w:szCs w:val="22"/>
                <w:shd w:val="nil" w:color="auto" w:fill="auto"/>
                <w:rtl w:val="0"/>
                <w:lang w:val="en-US"/>
              </w:rPr>
              <w:t>Strengths</w:t>
            </w:r>
          </w:p>
        </w:tc>
        <w:tc>
          <w:tcPr>
            <w:tcW w:type="dxa" w:w="22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1"/>
                <w:bCs w:val="1"/>
                <w:sz w:val="22"/>
                <w:szCs w:val="22"/>
                <w:shd w:val="nil" w:color="auto" w:fill="auto"/>
                <w:rtl w:val="0"/>
                <w:lang w:val="en-US"/>
              </w:rPr>
              <w:t>Weaknesses</w:t>
            </w:r>
          </w:p>
        </w:tc>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b w:val="1"/>
                <w:bCs w:val="1"/>
                <w:sz w:val="22"/>
                <w:szCs w:val="22"/>
                <w:shd w:val="nil" w:color="auto" w:fill="auto"/>
                <w:rtl w:val="0"/>
                <w:lang w:val="en-US"/>
              </w:rPr>
              <w:t>ParcelCare Use</w:t>
            </w:r>
          </w:p>
        </w:tc>
      </w:tr>
      <w:tr>
        <w:tblPrEx>
          <w:shd w:val="clear" w:color="auto" w:fill="cdd4e9"/>
        </w:tblPrEx>
        <w:trPr>
          <w:trHeight w:val="1570" w:hRule="atLeast"/>
        </w:trPr>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sz w:val="22"/>
                <w:szCs w:val="22"/>
                <w:shd w:val="nil" w:color="auto" w:fill="auto"/>
                <w:rtl w:val="0"/>
                <w:lang w:val="en-US"/>
              </w:rPr>
              <w:t>Structured Interviews (Manager Interviews)</w:t>
            </w:r>
          </w:p>
        </w:tc>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sz w:val="22"/>
                <w:szCs w:val="22"/>
                <w:shd w:val="nil" w:color="auto" w:fill="auto"/>
                <w:rtl w:val="0"/>
                <w:lang w:val="en-US"/>
              </w:rPr>
              <w:t>Ensures consistency; assesses skills, experience, and cultural fit; allows probing; reduces bias if structured</w:t>
            </w:r>
          </w:p>
        </w:tc>
        <w:tc>
          <w:tcPr>
            <w:tcW w:type="dxa" w:w="22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sz w:val="22"/>
                <w:szCs w:val="22"/>
                <w:shd w:val="nil" w:color="auto" w:fill="auto"/>
                <w:rtl w:val="0"/>
                <w:lang w:val="en-US"/>
              </w:rPr>
              <w:t>Time-consuming; may not fully predict performance; risk of bias if poorly implemented</w:t>
            </w:r>
          </w:p>
        </w:tc>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sz w:val="22"/>
                <w:szCs w:val="22"/>
                <w:shd w:val="nil" w:color="auto" w:fill="auto"/>
                <w:rtl w:val="0"/>
                <w:lang w:val="en-US"/>
              </w:rPr>
              <w:t>Core method for operational roles</w:t>
            </w:r>
          </w:p>
        </w:tc>
      </w:tr>
      <w:tr>
        <w:tblPrEx>
          <w:shd w:val="clear" w:color="auto" w:fill="cdd4e9"/>
        </w:tblPrEx>
        <w:trPr>
          <w:trHeight w:val="2090" w:hRule="atLeast"/>
        </w:trPr>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sz w:val="22"/>
                <w:szCs w:val="22"/>
                <w:shd w:val="nil" w:color="auto" w:fill="auto"/>
                <w:rtl w:val="0"/>
                <w:lang w:val="en-US"/>
              </w:rPr>
              <w:t>Psychometric Testing</w:t>
            </w:r>
          </w:p>
        </w:tc>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sz w:val="22"/>
                <w:szCs w:val="22"/>
                <w:shd w:val="nil" w:color="auto" w:fill="auto"/>
                <w:rtl w:val="0"/>
                <w:lang w:val="en-US"/>
              </w:rPr>
              <w:t>Objective assessment; identifies strengths and potential; reduces subjective judgement; validated tools improve fairness</w:t>
            </w:r>
          </w:p>
        </w:tc>
        <w:tc>
          <w:tcPr>
            <w:tcW w:type="dxa" w:w="22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sz w:val="22"/>
                <w:szCs w:val="22"/>
                <w:shd w:val="nil" w:color="auto" w:fill="auto"/>
                <w:rtl w:val="0"/>
                <w:lang w:val="en-US"/>
              </w:rPr>
              <w:t>Requires validated tests; can be costly; may intimidate candidates</w:t>
            </w:r>
          </w:p>
        </w:tc>
        <w:tc>
          <w:tcPr>
            <w:tcW w:type="dxa" w:w="22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Aptos" w:cs="Aptos" w:hAnsi="Aptos" w:eastAsia="Aptos"/>
                <w:sz w:val="22"/>
                <w:szCs w:val="22"/>
                <w:shd w:val="nil" w:color="auto" w:fill="auto"/>
                <w:rtl w:val="0"/>
                <w:lang w:val="en-US"/>
              </w:rPr>
              <w:t>Supplement structured interviews for key or technical roles</w:t>
            </w:r>
          </w:p>
        </w:tc>
      </w:tr>
    </w:tbl>
    <w:p>
      <w:pPr>
        <w:pStyle w:val="Table Style 2 A"/>
        <w:widowControl w:val="0"/>
        <w:rPr>
          <w:rFonts w:ascii="Aptos" w:cs="Aptos" w:hAnsi="Aptos" w:eastAsia="Aptos"/>
          <w:b w:val="1"/>
          <w:bCs w:val="1"/>
          <w:outline w:val="0"/>
          <w:color w:val="000000"/>
          <w:sz w:val="22"/>
          <w:szCs w:val="22"/>
          <w:u w:color="000000"/>
          <w:lang w:val="en-US"/>
          <w14:textFill>
            <w14:solidFill>
              <w14:srgbClr w14:val="000000"/>
            </w14:solidFill>
          </w14:textFill>
        </w:rPr>
      </w:pPr>
    </w:p>
    <w:p>
      <w:pPr>
        <w:pStyle w:val="Body"/>
        <w:rPr>
          <w:rFonts w:ascii="Aptos" w:cs="Aptos" w:hAnsi="Aptos" w:eastAsia="Aptos"/>
          <w:sz w:val="22"/>
          <w:szCs w:val="22"/>
        </w:rPr>
      </w:pPr>
      <w:r>
        <w:rPr>
          <w:rFonts w:ascii="Aptos" w:cs="Aptos" w:hAnsi="Aptos" w:eastAsia="Aptos"/>
          <w:sz w:val="22"/>
          <w:szCs w:val="22"/>
          <w:rtl w:val="0"/>
          <w:lang w:val="en-US"/>
        </w:rPr>
        <w:t>CIPD (2019; 2025), ACAS (2023), Taylor (2024), adapted for ParcelCare</w:t>
      </w:r>
    </w:p>
    <w:p>
      <w:pPr>
        <w:pStyle w:val="Body"/>
        <w:rPr>
          <w:rFonts w:ascii="Aptos" w:cs="Aptos" w:hAnsi="Aptos" w:eastAsia="Aptos"/>
          <w:sz w:val="22"/>
          <w:szCs w:val="22"/>
        </w:rPr>
      </w:pPr>
      <w:r>
        <w:rPr>
          <w:rFonts w:ascii="Aptos" w:cs="Aptos" w:hAnsi="Aptos" w:eastAsia="Aptos"/>
          <w:sz w:val="22"/>
          <w:szCs w:val="22"/>
          <w:rtl w:val="0"/>
          <w:lang w:val="en-US"/>
        </w:rPr>
        <w:t>Combining traditional and modern techniques allows ParcelCare to reach a broader talent pool, enhance diversity, and improve assessment objectivity. Emerging technologies, including applicant tracking systems and AI screening tools, can increase efficiency and candidate experience if ethically implemented. Overall, integrating multiple methods supports a high-performing, adaptable workforce aligned with strategic HR goals (CIPD, 2023; Taylor, 2024; ACAS, 2023).</w:t>
      </w:r>
    </w:p>
    <w:p>
      <w:pPr>
        <w:pStyle w:val="Body"/>
        <w:rPr>
          <w:rFonts w:ascii="Aptos" w:cs="Aptos" w:hAnsi="Aptos" w:eastAsia="Aptos"/>
          <w:outline w:val="0"/>
          <w:color w:val="ee0000"/>
          <w:sz w:val="22"/>
          <w:szCs w:val="22"/>
          <w:u w:color="ee0000"/>
          <w14:textFill>
            <w14:solidFill>
              <w14:srgbClr w14:val="EE0000"/>
            </w14:solidFill>
          </w14:textFill>
        </w:rPr>
      </w:pPr>
      <w:r>
        <w:rPr>
          <w:rFonts w:ascii="Aptos" w:cs="Aptos" w:hAnsi="Aptos" w:eastAsia="Aptos"/>
          <w:outline w:val="0"/>
          <w:color w:val="ee0000"/>
          <w:sz w:val="22"/>
          <w:szCs w:val="22"/>
          <w:u w:color="ee0000"/>
          <w:rtl w:val="0"/>
          <w:lang w:val="en-US"/>
          <w14:textFill>
            <w14:solidFill>
              <w14:srgbClr w14:val="EE0000"/>
            </w14:solidFill>
          </w14:textFill>
        </w:rPr>
        <w:t>3.1 - Employee turnover is influenced by a range of organisational and personal factors. To understand why ParcelCare</w:t>
      </w:r>
      <w:r>
        <w:rPr>
          <w:rFonts w:ascii="Aptos" w:cs="Aptos" w:hAnsi="Aptos" w:eastAsia="Aptos"/>
          <w:outline w:val="0"/>
          <w:color w:val="ee0000"/>
          <w:sz w:val="22"/>
          <w:szCs w:val="22"/>
          <w:u w:color="ee0000"/>
          <w:rtl w:val="0"/>
          <w:lang w:val="en-US"/>
          <w14:textFill>
            <w14:solidFill>
              <w14:srgbClr w14:val="EE0000"/>
            </w14:solidFill>
          </w14:textFill>
        </w:rPr>
        <w:t>’</w:t>
      </w:r>
      <w:r>
        <w:rPr>
          <w:rFonts w:ascii="Aptos" w:cs="Aptos" w:hAnsi="Aptos" w:eastAsia="Aptos"/>
          <w:outline w:val="0"/>
          <w:color w:val="ee0000"/>
          <w:sz w:val="22"/>
          <w:szCs w:val="22"/>
          <w:u w:color="ee0000"/>
          <w:rtl w:val="0"/>
          <w:lang w:val="en-US"/>
          <w14:textFill>
            <w14:solidFill>
              <w14:srgbClr w14:val="EE0000"/>
            </w14:solidFill>
          </w14:textFill>
        </w:rPr>
        <w:t>s turnover is higher than internal targets, it is useful to examine the distinctions between avoidable and unavoidable turnover, and between push and pull factor (CIPD, 2023).</w:t>
      </w:r>
    </w:p>
    <w:p>
      <w:pPr>
        <w:pStyle w:val="Body"/>
        <w:rPr>
          <w:rFonts w:ascii="Aptos" w:cs="Aptos" w:hAnsi="Aptos" w:eastAsia="Aptos"/>
          <w:outline w:val="0"/>
          <w:color w:val="ee0000"/>
          <w:sz w:val="22"/>
          <w:szCs w:val="22"/>
          <w:u w:color="ee0000"/>
          <w14:textFill>
            <w14:solidFill>
              <w14:srgbClr w14:val="EE0000"/>
            </w14:solidFill>
          </w14:textFill>
        </w:rPr>
      </w:pPr>
      <w:r>
        <w:rPr>
          <w:rFonts w:ascii="Aptos" w:cs="Aptos" w:hAnsi="Aptos" w:eastAsia="Aptos"/>
          <w:outline w:val="0"/>
          <w:color w:val="ee0000"/>
          <w:sz w:val="22"/>
          <w:szCs w:val="22"/>
          <w:u w:color="ee0000"/>
          <w:rtl w:val="0"/>
          <w:lang w:val="en-US"/>
          <w14:textFill>
            <w14:solidFill>
              <w14:srgbClr w14:val="EE0000"/>
            </w14:solidFill>
          </w14:textFill>
        </w:rPr>
        <w:t>Avoidable turnover refers to employee departures that could have been prevented through effective people management and organisational practices. Examples include resignations caused by poor management, excessive workloads, lack of recognition, limited progression opportunities, or insufficient wellbeing support. Research indicates that stress and wellbeing pressures remain major reasons for employee exits in the UK, suggesting that organisations can prevent many losses by improving job design, managerial support, and employee engagement (CIPD, 2023). For ParcelCare, avoidable turnover could occur if delivery drivers feel overworked during peak seasons or if warehouse staff perceive limited career progression. By implementing structured development plans, regular feedback, and wellbeing initiatives, ParcelCare can proactively reduce such preventable losses.</w:t>
      </w:r>
    </w:p>
    <w:p>
      <w:pPr>
        <w:pStyle w:val="Body"/>
        <w:rPr>
          <w:rFonts w:ascii="Aptos" w:cs="Aptos" w:hAnsi="Aptos" w:eastAsia="Aptos"/>
          <w:outline w:val="0"/>
          <w:color w:val="ee0000"/>
          <w:sz w:val="22"/>
          <w:szCs w:val="22"/>
          <w:u w:color="ee0000"/>
          <w14:textFill>
            <w14:solidFill>
              <w14:srgbClr w14:val="EE0000"/>
            </w14:solidFill>
          </w14:textFill>
        </w:rPr>
      </w:pPr>
      <w:r>
        <w:rPr>
          <w:rFonts w:ascii="Aptos" w:cs="Aptos" w:hAnsi="Aptos" w:eastAsia="Aptos"/>
          <w:outline w:val="0"/>
          <w:color w:val="ee0000"/>
          <w:sz w:val="22"/>
          <w:szCs w:val="22"/>
          <w:u w:color="ee0000"/>
          <w:rtl w:val="0"/>
          <w:lang w:val="en-US"/>
          <w14:textFill>
            <w14:solidFill>
              <w14:srgbClr w14:val="EE0000"/>
            </w14:solidFill>
          </w14:textFill>
        </w:rPr>
        <w:t>Unavoidable turnover, by contrast, results from circumstances outside the organisation</w:t>
      </w:r>
      <w:r>
        <w:rPr>
          <w:rFonts w:ascii="Aptos" w:cs="Aptos" w:hAnsi="Aptos" w:eastAsia="Aptos"/>
          <w:outline w:val="0"/>
          <w:color w:val="ee0000"/>
          <w:sz w:val="22"/>
          <w:szCs w:val="22"/>
          <w:u w:color="ee0000"/>
          <w:rtl w:val="0"/>
          <w:lang w:val="en-US"/>
          <w14:textFill>
            <w14:solidFill>
              <w14:srgbClr w14:val="EE0000"/>
            </w14:solidFill>
          </w14:textFill>
        </w:rPr>
        <w:t>’</w:t>
      </w:r>
      <w:r>
        <w:rPr>
          <w:rFonts w:ascii="Aptos" w:cs="Aptos" w:hAnsi="Aptos" w:eastAsia="Aptos"/>
          <w:outline w:val="0"/>
          <w:color w:val="ee0000"/>
          <w:sz w:val="22"/>
          <w:szCs w:val="22"/>
          <w:u w:color="ee0000"/>
          <w:rtl w:val="0"/>
          <w:lang w:val="en-US"/>
          <w14:textFill>
            <w14:solidFill>
              <w14:srgbClr w14:val="EE0000"/>
            </w14:solidFill>
          </w14:textFill>
        </w:rPr>
        <w:t>s control, such as retirement, long-term illness, relocation, or personal commitments. These departures are natural and expected in any workforce. ParcelCare uses workforce planning to anticipate these risks. For example, if a significant number of experienced drivers are approaching retirement, the company can introduce phased retirement options, knowledge-transfer initiatives, and proactive recruitment to maintain operational continuity. Monitoring demographic shifts, skills shortages, and changes in employment legislation further strengthens ParcelCare</w:t>
      </w:r>
      <w:r>
        <w:rPr>
          <w:rFonts w:ascii="Aptos" w:cs="Aptos" w:hAnsi="Aptos" w:eastAsia="Aptos"/>
          <w:outline w:val="0"/>
          <w:color w:val="ee0000"/>
          <w:sz w:val="22"/>
          <w:szCs w:val="22"/>
          <w:u w:color="ee0000"/>
          <w:rtl w:val="0"/>
          <w:lang w:val="en-US"/>
          <w14:textFill>
            <w14:solidFill>
              <w14:srgbClr w14:val="EE0000"/>
            </w14:solidFill>
          </w14:textFill>
        </w:rPr>
        <w:t>’</w:t>
      </w:r>
      <w:r>
        <w:rPr>
          <w:rFonts w:ascii="Aptos" w:cs="Aptos" w:hAnsi="Aptos" w:eastAsia="Aptos"/>
          <w:outline w:val="0"/>
          <w:color w:val="ee0000"/>
          <w:sz w:val="22"/>
          <w:szCs w:val="22"/>
          <w:u w:color="ee0000"/>
          <w:rtl w:val="0"/>
          <w:lang w:val="en-US"/>
          <w14:textFill>
            <w14:solidFill>
              <w14:srgbClr w14:val="EE0000"/>
            </w14:solidFill>
          </w14:textFill>
        </w:rPr>
        <w:t>s resilience in a changing labour market (CIPD, 2025).</w:t>
      </w:r>
    </w:p>
    <w:p>
      <w:pPr>
        <w:pStyle w:val="Body"/>
        <w:rPr>
          <w:rFonts w:ascii="Aptos" w:cs="Aptos" w:hAnsi="Aptos" w:eastAsia="Aptos"/>
          <w:outline w:val="0"/>
          <w:color w:val="ee0000"/>
          <w:sz w:val="22"/>
          <w:szCs w:val="22"/>
          <w:u w:color="ee0000"/>
          <w14:textFill>
            <w14:solidFill>
              <w14:srgbClr w14:val="EE0000"/>
            </w14:solidFill>
          </w14:textFill>
        </w:rPr>
      </w:pPr>
      <w:r>
        <w:rPr>
          <w:rFonts w:ascii="Aptos" w:cs="Aptos" w:hAnsi="Aptos" w:eastAsia="Aptos"/>
          <w:outline w:val="0"/>
          <w:color w:val="ee0000"/>
          <w:sz w:val="22"/>
          <w:szCs w:val="22"/>
          <w:u w:color="ee0000"/>
          <w:rtl w:val="0"/>
          <w:lang w:val="en-US"/>
          <w14:textFill>
            <w14:solidFill>
              <w14:srgbClr w14:val="EE0000"/>
            </w14:solidFill>
          </w14:textFill>
        </w:rPr>
        <w:t>Turnover can also be understood in terms of push and pull factors. Push factors are negative aspects of the current work environment that drive employees away, such as high stress, limited managerial support, or a poor organisational culture. Pull factors, on the other hand, attract employees to alternative employers through better pay, enhanced benefits, or career development opportunities. For ParcelCare, addressing push factors might involve improving managerial support, enhancing team cohesion, and reducing excessive workloads during busy periods. To counter pull factors, the organisation can strengthen its employee value proposition by offering competitive pay, performance-related bonuses, and clear pathways for career progression (Taylor &amp; Woodhams, 2022).</w:t>
      </w:r>
    </w:p>
    <w:p>
      <w:pPr>
        <w:pStyle w:val="Body"/>
        <w:rPr>
          <w:rFonts w:ascii="Aptos" w:cs="Aptos" w:hAnsi="Aptos" w:eastAsia="Aptos"/>
          <w:outline w:val="0"/>
          <w:color w:val="ee0000"/>
          <w:sz w:val="22"/>
          <w:szCs w:val="22"/>
          <w:u w:color="ee0000"/>
          <w14:textFill>
            <w14:solidFill>
              <w14:srgbClr w14:val="EE0000"/>
            </w14:solidFill>
          </w14:textFill>
        </w:rPr>
      </w:pPr>
      <w:r>
        <w:rPr>
          <w:rFonts w:ascii="Aptos" w:cs="Aptos" w:hAnsi="Aptos" w:eastAsia="Aptos"/>
          <w:outline w:val="0"/>
          <w:color w:val="ee0000"/>
          <w:sz w:val="22"/>
          <w:szCs w:val="22"/>
          <w:u w:color="ee0000"/>
          <w:rtl w:val="0"/>
          <w:lang w:val="en-US"/>
          <w14:textFill>
            <w14:solidFill>
              <w14:srgbClr w14:val="EE0000"/>
            </w14:solidFill>
          </w14:textFill>
        </w:rPr>
        <w:t>In conclusion, understanding the differences between avoidable and unavoidable turnover, and push and pull factors, enables ParcelCare to implement targeted strategies for retention. By reducing avoidable turnover, managing unavoidable workforce risks, and addressing both push and pull factors, ParcelCare can enhance workforce stability, maintain engagement, and sustain operational performance (CIPD, 2023; Taylor &amp; Woodhams, 2022).</w:t>
      </w:r>
    </w:p>
    <w:p>
      <w:pPr>
        <w:pStyle w:val="Table Style 2 A"/>
        <w:rPr>
          <w:rFonts w:ascii="Aptos" w:cs="Aptos" w:hAnsi="Aptos" w:eastAsia="Aptos"/>
          <w:sz w:val="22"/>
          <w:szCs w:val="22"/>
        </w:rPr>
      </w:pPr>
      <w:r>
        <w:rPr>
          <w:rFonts w:ascii="Aptos" w:cs="Aptos" w:hAnsi="Aptos" w:eastAsia="Aptos"/>
          <w:b w:val="1"/>
          <w:bCs w:val="1"/>
          <w:sz w:val="22"/>
          <w:szCs w:val="22"/>
          <w:rtl w:val="0"/>
          <w:lang w:val="en-US"/>
        </w:rPr>
        <w:t xml:space="preserve">3.1 - </w:t>
      </w:r>
      <w:r>
        <w:rPr>
          <w:rFonts w:ascii="Aptos" w:cs="Aptos" w:hAnsi="Aptos" w:eastAsia="Aptos"/>
          <w:sz w:val="22"/>
          <w:szCs w:val="22"/>
          <w:rtl w:val="0"/>
          <w:lang w:val="en-US"/>
        </w:rPr>
        <w:t>Turnover and retention are influenced by a range of organisational and personal factors. Understanding these requires examining the differences between avoidable and unavoidable turnover, and between push and pull factors. Avoidable turnover refers to employee departures that the organisation could have prevented through improved people practices. These may arise from issues such as poor management, excessive workload, lack of recognition, limited progression opportunities or insufficient wellbeing support. CIPD (2023) reports that stress and wellbeing pressures continue to be major reasons why employees leave UK organisations, suggesting that many exits are preventable through improved job design and a more supportive organisational culture.</w:t>
      </w:r>
    </w:p>
    <w:p>
      <w:pPr>
        <w:pStyle w:val="Body"/>
        <w:rPr>
          <w:rFonts w:ascii="Aptos" w:cs="Aptos" w:hAnsi="Aptos" w:eastAsia="Aptos"/>
          <w:sz w:val="22"/>
          <w:szCs w:val="22"/>
        </w:rPr>
      </w:pPr>
      <w:r>
        <w:rPr>
          <w:rFonts w:ascii="Aptos" w:cs="Aptos" w:hAnsi="Aptos" w:eastAsia="Aptos"/>
          <w:sz w:val="22"/>
          <w:szCs w:val="22"/>
          <w:rtl w:val="0"/>
          <w:lang w:val="en-US"/>
        </w:rPr>
        <w:t>In contrast, unavoidable turnover results from circumstances outside the organisation</w:t>
      </w:r>
      <w:r>
        <w:rPr>
          <w:rFonts w:ascii="Aptos" w:cs="Aptos" w:hAnsi="Aptos" w:eastAsia="Aptos"/>
          <w:sz w:val="22"/>
          <w:szCs w:val="22"/>
          <w:rtl w:val="0"/>
          <w:lang w:val="en-US"/>
        </w:rPr>
        <w:t>’</w:t>
      </w:r>
      <w:r>
        <w:rPr>
          <w:rFonts w:ascii="Aptos" w:cs="Aptos" w:hAnsi="Aptos" w:eastAsia="Aptos"/>
          <w:sz w:val="22"/>
          <w:szCs w:val="22"/>
          <w:rtl w:val="0"/>
          <w:lang w:val="en-US"/>
        </w:rPr>
        <w:t>s control, such as retirement, long-term illness, relocation or personal commitments. ParcelCare recognises these workforce risks and uses workforce planning to anticipate them. All organisations face workforce threats arising from retirements, resignations, ill-health absence and shifting employee expectations, and a failure to plan can turn these issues into operational difficulties. ParcelCare uses risk analysis to identify vulnerabilities</w:t>
      </w:r>
      <w:r>
        <w:rPr>
          <w:rFonts w:ascii="Aptos" w:cs="Aptos" w:hAnsi="Aptos" w:eastAsia="Aptos"/>
          <w:sz w:val="22"/>
          <w:szCs w:val="22"/>
          <w:rtl w:val="0"/>
          <w:lang w:val="en-US"/>
        </w:rPr>
        <w:t>—</w:t>
      </w:r>
      <w:r>
        <w:rPr>
          <w:rFonts w:ascii="Aptos" w:cs="Aptos" w:hAnsi="Aptos" w:eastAsia="Aptos"/>
          <w:sz w:val="22"/>
          <w:szCs w:val="22"/>
          <w:rtl w:val="0"/>
          <w:lang w:val="en-US"/>
        </w:rPr>
        <w:t>for example, if a large number of skilled drivers are approaching retirement, the company can introduce knowledge-transfer initiatives, phased retirement options and proactive recruitment to minimise disruption. Monitoring demographic shifts, skills shortages and changes in employment legislation helps strengthen ParcelCare</w:t>
      </w:r>
      <w:r>
        <w:rPr>
          <w:rFonts w:ascii="Aptos" w:cs="Aptos" w:hAnsi="Aptos" w:eastAsia="Aptos"/>
          <w:sz w:val="22"/>
          <w:szCs w:val="22"/>
          <w:rtl w:val="0"/>
          <w:lang w:val="en-US"/>
        </w:rPr>
        <w:t>’</w:t>
      </w:r>
      <w:r>
        <w:rPr>
          <w:rFonts w:ascii="Aptos" w:cs="Aptos" w:hAnsi="Aptos" w:eastAsia="Aptos"/>
          <w:sz w:val="22"/>
          <w:szCs w:val="22"/>
          <w:rtl w:val="0"/>
          <w:lang w:val="en-US"/>
        </w:rPr>
        <w:t>s resilience in a changing labour market (ParcelCare, n.d.).</w:t>
      </w:r>
    </w:p>
    <w:p>
      <w:pPr>
        <w:pStyle w:val="Body"/>
        <w:rPr>
          <w:rFonts w:ascii="Aptos" w:cs="Aptos" w:hAnsi="Aptos" w:eastAsia="Aptos"/>
          <w:sz w:val="22"/>
          <w:szCs w:val="22"/>
        </w:rPr>
      </w:pPr>
      <w:r>
        <w:rPr>
          <w:rFonts w:ascii="Aptos" w:cs="Aptos" w:hAnsi="Aptos" w:eastAsia="Aptos"/>
          <w:sz w:val="22"/>
          <w:szCs w:val="22"/>
          <w:rtl w:val="0"/>
          <w:lang w:val="en-US"/>
        </w:rPr>
        <w:t>Turnover can also be explained through push and pull factors. Push factors refer to negative aspects of the current working environment that drive employees away, such as excessive stress, a poor organisational culture or limited support from managers. Pull factors, on the other hand, attract employees towards alternative employers, including higher pay, improved benefits or enhanced career development opportunities. ParcelCare seeks to address pull factors by offering competitive compensation packages, wellbeing programmes and performance-related bonuses, thereby strengthening its employee value proposition and supporting both attraction and retention (CIPD Pros, n.d.).</w:t>
      </w:r>
    </w:p>
    <w:p>
      <w:pPr>
        <w:pStyle w:val="Body"/>
        <w:rPr>
          <w:rFonts w:ascii="Aptos" w:cs="Aptos" w:hAnsi="Aptos" w:eastAsia="Aptos"/>
          <w:sz w:val="22"/>
          <w:szCs w:val="22"/>
        </w:rPr>
      </w:pPr>
      <w:r>
        <w:rPr>
          <w:rFonts w:ascii="Aptos" w:cs="Aptos" w:hAnsi="Aptos" w:eastAsia="Aptos"/>
          <w:sz w:val="22"/>
          <w:szCs w:val="22"/>
          <w:rtl w:val="0"/>
          <w:lang w:val="en-US"/>
        </w:rPr>
        <w:t>In conclusion, understanding these dynamics enables ParcelCare to reduce avoidable turnover, manage unavoidable workforce risks and improve overall workforce stability. By addressing the causes of turnover and enhancing the employee experience, the organisation can better sustain an engaged and committed workforce (CIPD, 2023; CIPD Pros, n.d.).</w:t>
      </w:r>
    </w:p>
    <w:p>
      <w:pPr>
        <w:pStyle w:val="Body"/>
        <w:rPr>
          <w:rStyle w:val="None A"/>
          <w:rFonts w:ascii="Aptos" w:cs="Aptos" w:hAnsi="Aptos" w:eastAsia="Aptos"/>
          <w:sz w:val="22"/>
          <w:szCs w:val="22"/>
        </w:rPr>
      </w:pPr>
    </w:p>
    <w:p>
      <w:pPr>
        <w:pStyle w:val="Table Style 2 A"/>
        <w:rPr>
          <w:rFonts w:ascii="Aptos" w:cs="Aptos" w:hAnsi="Aptos" w:eastAsia="Aptos"/>
          <w:b w:val="1"/>
          <w:bCs w:val="1"/>
          <w:sz w:val="22"/>
          <w:szCs w:val="22"/>
        </w:rPr>
      </w:pPr>
      <w:r>
        <w:rPr>
          <w:rFonts w:ascii="Aptos" w:cs="Aptos" w:hAnsi="Aptos" w:eastAsia="Aptos"/>
          <w:b w:val="1"/>
          <w:bCs w:val="1"/>
          <w:sz w:val="22"/>
          <w:szCs w:val="22"/>
          <w:rtl w:val="0"/>
          <w:lang w:val="en-US"/>
        </w:rPr>
        <w:t xml:space="preserve">3.2 </w:t>
      </w:r>
      <w:r>
        <w:rPr>
          <w:rFonts w:ascii="Aptos" w:cs="Aptos" w:hAnsi="Aptos" w:eastAsia="Aptos"/>
          <w:sz w:val="22"/>
          <w:szCs w:val="22"/>
          <w:rtl w:val="0"/>
          <w:lang w:val="en-US"/>
        </w:rPr>
        <w:t>- Retention of warehouse staff at ParcelCare is particularly challenging due to strong competition in the labour market and difficulties in attracting and retaining skilled employees. Organisations can adopt multiple retention approaches to address these challenges effectively.</w:t>
      </w:r>
    </w:p>
    <w:p>
      <w:pPr>
        <w:pStyle w:val="Body"/>
        <w:rPr>
          <w:rFonts w:ascii="Aptos" w:cs="Aptos" w:hAnsi="Aptos" w:eastAsia="Aptos"/>
          <w:sz w:val="22"/>
          <w:szCs w:val="22"/>
        </w:rPr>
      </w:pPr>
      <w:r>
        <w:rPr>
          <w:rFonts w:ascii="Aptos" w:cs="Aptos" w:hAnsi="Aptos" w:eastAsia="Aptos"/>
          <w:sz w:val="22"/>
          <w:szCs w:val="22"/>
          <w:rtl w:val="0"/>
          <w:lang w:val="en-US"/>
        </w:rPr>
        <w:t>Realistic job previews provide potential employees with an accurate and balanced view of the role before they start, including both positive aspects and potential challenges. For ParcelCare</w:t>
      </w:r>
      <w:r>
        <w:rPr>
          <w:rFonts w:ascii="Aptos" w:cs="Aptos" w:hAnsi="Aptos" w:eastAsia="Aptos"/>
          <w:sz w:val="22"/>
          <w:szCs w:val="22"/>
          <w:rtl w:val="0"/>
          <w:lang w:val="en-US"/>
        </w:rPr>
        <w:t>’</w:t>
      </w:r>
      <w:r>
        <w:rPr>
          <w:rFonts w:ascii="Aptos" w:cs="Aptos" w:hAnsi="Aptos" w:eastAsia="Aptos"/>
          <w:sz w:val="22"/>
          <w:szCs w:val="22"/>
          <w:rtl w:val="0"/>
          <w:lang w:val="en-US"/>
        </w:rPr>
        <w:t>s warehouse staff, realistic job previews can help set expectations and reduce early turnover in a competitive market. Highlighting benefits such as parental leave, sick pay or pension contributions in job adverts can attract candidates whose needs align with the organisation</w:t>
      </w:r>
      <w:r>
        <w:rPr>
          <w:rFonts w:ascii="Aptos" w:cs="Aptos" w:hAnsi="Aptos" w:eastAsia="Aptos"/>
          <w:sz w:val="22"/>
          <w:szCs w:val="22"/>
          <w:rtl w:val="0"/>
          <w:lang w:val="en-US"/>
        </w:rPr>
        <w:t>’</w:t>
      </w:r>
      <w:r>
        <w:rPr>
          <w:rFonts w:ascii="Aptos" w:cs="Aptos" w:hAnsi="Aptos" w:eastAsia="Aptos"/>
          <w:sz w:val="22"/>
          <w:szCs w:val="22"/>
          <w:rtl w:val="0"/>
          <w:lang w:val="en-US"/>
        </w:rPr>
        <w:t>s offering, promoting inclusivity and supporting longer-term retention (CIPD, 2022). Figure 2 below illustrates the key elements of a well-designed job advert, showing how clear role descriptions, inclusivity, and detailed benefits can help attract candidates whose skills and expectations match the role, supporting engagement and retention (CIPD, 2023).</w:t>
      </w:r>
    </w:p>
    <w:p>
      <w:pPr>
        <w:pStyle w:val="Body"/>
        <w:rPr>
          <w:rFonts w:ascii="Aptos" w:cs="Aptos" w:hAnsi="Aptos" w:eastAsia="Aptos"/>
          <w:sz w:val="22"/>
          <w:szCs w:val="22"/>
        </w:rPr>
      </w:pPr>
      <w:r>
        <w:rPr>
          <w:rFonts w:ascii="Aptos" w:cs="Aptos" w:hAnsi="Aptos" w:eastAsia="Aptos"/>
          <w:sz w:val="22"/>
          <w:szCs w:val="22"/>
          <w:rtl w:val="0"/>
          <w:lang w:val="it-IT"/>
        </w:rPr>
        <w:t>Figure 2</w:t>
      </w:r>
    </w:p>
    <w:p>
      <w:pPr>
        <w:pStyle w:val="Body"/>
        <w:rPr>
          <w:rFonts w:ascii="Aptos" w:cs="Aptos" w:hAnsi="Aptos" w:eastAsia="Aptos"/>
          <w:sz w:val="22"/>
          <w:szCs w:val="22"/>
        </w:rPr>
      </w:pPr>
      <w:r>
        <w:rPr>
          <w:rFonts w:ascii="Aptos" w:cs="Aptos" w:hAnsi="Aptos" w:eastAsia="Aptos"/>
          <w:sz w:val="22"/>
          <w:szCs w:val="22"/>
        </w:rPr>
        <w:drawing xmlns:a="http://schemas.openxmlformats.org/drawingml/2006/main">
          <wp:inline distT="0" distB="0" distL="0" distR="0">
            <wp:extent cx="3052525" cy="3459193"/>
            <wp:effectExtent l="0" t="0" r="0" b="0"/>
            <wp:docPr id="1073741826" name="officeArt object" descr="Picture 1"/>
            <wp:cNvGraphicFramePr/>
            <a:graphic xmlns:a="http://schemas.openxmlformats.org/drawingml/2006/main">
              <a:graphicData uri="http://schemas.openxmlformats.org/drawingml/2006/picture">
                <pic:pic xmlns:pic="http://schemas.openxmlformats.org/drawingml/2006/picture">
                  <pic:nvPicPr>
                    <pic:cNvPr id="1073741826" name="Picture 1" descr="Picture 1"/>
                    <pic:cNvPicPr>
                      <a:picLocks noChangeAspect="1"/>
                    </pic:cNvPicPr>
                  </pic:nvPicPr>
                  <pic:blipFill>
                    <a:blip r:embed="rId5">
                      <a:extLst/>
                    </a:blip>
                    <a:stretch>
                      <a:fillRect/>
                    </a:stretch>
                  </pic:blipFill>
                  <pic:spPr>
                    <a:xfrm>
                      <a:off x="0" y="0"/>
                      <a:ext cx="3052525" cy="3459193"/>
                    </a:xfrm>
                    <a:prstGeom prst="rect">
                      <a:avLst/>
                    </a:prstGeom>
                    <a:ln w="12700" cap="flat">
                      <a:noFill/>
                      <a:miter lim="400000"/>
                    </a:ln>
                    <a:effectLst/>
                  </pic:spPr>
                </pic:pic>
              </a:graphicData>
            </a:graphic>
          </wp:inline>
        </w:drawing>
      </w:r>
    </w:p>
    <w:p>
      <w:pPr>
        <w:pStyle w:val="Body"/>
        <w:rPr>
          <w:rFonts w:ascii="Aptos" w:cs="Aptos" w:hAnsi="Aptos" w:eastAsia="Aptos"/>
          <w:sz w:val="22"/>
          <w:szCs w:val="22"/>
        </w:rPr>
      </w:pPr>
      <w:r>
        <w:rPr>
          <w:rFonts w:ascii="Aptos" w:cs="Aptos" w:hAnsi="Aptos" w:eastAsia="Aptos"/>
          <w:b w:val="1"/>
          <w:bCs w:val="1"/>
          <w:sz w:val="22"/>
          <w:szCs w:val="22"/>
          <w:rtl w:val="0"/>
          <w:lang w:val="en-US"/>
        </w:rPr>
        <w:t>Figure 2:</w:t>
      </w:r>
      <w:r>
        <w:rPr>
          <w:rFonts w:ascii="Aptos" w:cs="Aptos" w:hAnsi="Aptos" w:eastAsia="Aptos"/>
          <w:sz w:val="22"/>
          <w:szCs w:val="22"/>
          <w:rtl w:val="0"/>
          <w:lang w:val="en-US"/>
        </w:rPr>
        <w:t xml:space="preserve"> Elements of a Well-Designed Job Advert CIPD (2023), adapted for ParcelCare</w:t>
      </w:r>
    </w:p>
    <w:p>
      <w:pPr>
        <w:pStyle w:val="Body"/>
        <w:rPr>
          <w:rFonts w:ascii="Aptos" w:cs="Aptos" w:hAnsi="Aptos" w:eastAsia="Aptos"/>
          <w:sz w:val="22"/>
          <w:szCs w:val="22"/>
        </w:rPr>
      </w:pPr>
      <w:r>
        <w:rPr>
          <w:rFonts w:ascii="Aptos" w:cs="Aptos" w:hAnsi="Aptos" w:eastAsia="Aptos"/>
          <w:sz w:val="22"/>
          <w:szCs w:val="22"/>
          <w:rtl w:val="0"/>
          <w:lang w:val="en-US"/>
        </w:rPr>
        <w:t>Induction programmes introduce new employees to the organisation, its culture, policies, and colleagues. For ParcelCare warehouse staff, a thorough induction helps employees understand operational procedures, their role within the team, and the benefits available to them. In my experience, providing a comprehensive overview of the organisation, guiding new employees through all onboarding documents, explaining available benefits, incorporating Formity training videos, and introducing them to all team members has been highly effective in promoting engagement, reducing early turnover, and helping new starters feel more relaxed and confident on their first day (Cuthbert, 2025). While (Waite et al. 2021, pp. 98</w:t>
      </w:r>
      <w:r>
        <w:rPr>
          <w:rFonts w:ascii="Aptos" w:cs="Aptos" w:hAnsi="Aptos" w:eastAsia="Aptos"/>
          <w:sz w:val="22"/>
          <w:szCs w:val="22"/>
          <w:rtl w:val="0"/>
          <w:lang w:val="en-US"/>
        </w:rPr>
        <w:t>–</w:t>
      </w:r>
      <w:r>
        <w:rPr>
          <w:rFonts w:ascii="Aptos" w:cs="Aptos" w:hAnsi="Aptos" w:eastAsia="Aptos"/>
          <w:sz w:val="22"/>
          <w:szCs w:val="22"/>
          <w:rtl w:val="0"/>
          <w:lang w:val="en-US"/>
        </w:rPr>
        <w:t>99) emphasise that the way an employee is introduced to the organisation shapes their initial impressions, which can significantly influence engagement and long-term retention.</w:t>
      </w:r>
    </w:p>
    <w:p>
      <w:pPr>
        <w:pStyle w:val="Body"/>
        <w:rPr>
          <w:rFonts w:ascii="Aptos" w:cs="Aptos" w:hAnsi="Aptos" w:eastAsia="Aptos"/>
          <w:sz w:val="22"/>
          <w:szCs w:val="22"/>
        </w:rPr>
      </w:pPr>
      <w:r>
        <w:rPr>
          <w:rFonts w:ascii="Aptos" w:cs="Aptos" w:hAnsi="Aptos" w:eastAsia="Aptos"/>
          <w:sz w:val="22"/>
          <w:szCs w:val="22"/>
          <w:rtl w:val="0"/>
          <w:lang w:val="en-US"/>
        </w:rPr>
        <w:t>Job enrichment focuses on making roles more meaningful and engaging by increasing responsibility, introducing variety, or offering skill development opportunities. For ParcelCare warehouse roles, this might include cross-training, rotation between different tasks, or opportunities to lead small teams. Job enrichment improves intrinsic motivation and job satisfaction, reducing turnover by making employees feel valued and engaged (Waite et al, 2021, p. 186). By combining meaningful job design with clear role expectations, ParcelCare can make warehouse roles more rewarding and improve retention.</w:t>
      </w:r>
    </w:p>
    <w:p>
      <w:pPr>
        <w:pStyle w:val="Body"/>
        <w:rPr>
          <w:rFonts w:ascii="Aptos" w:cs="Aptos" w:hAnsi="Aptos" w:eastAsia="Aptos"/>
          <w:sz w:val="22"/>
          <w:szCs w:val="22"/>
        </w:rPr>
      </w:pPr>
      <w:r>
        <w:rPr>
          <w:rFonts w:ascii="Aptos" w:cs="Aptos" w:hAnsi="Aptos" w:eastAsia="Aptos"/>
          <w:sz w:val="22"/>
          <w:szCs w:val="22"/>
          <w:rtl w:val="0"/>
          <w:lang w:val="en-US"/>
        </w:rPr>
        <w:t>Finally, reward plays a central role in both attracting and retaining employees. A competitive pay and benefits package, including bonuses, flexible working options, and recognition schemes, provides a tangible incentive for employees to remain with ParcelCare. Pay and benefits are among the most frequently cited factors influencing retention (CIPD, 2020a), while (Waite et al, 2021, p. 186) emphasise that well-designed reward systems aligned with employee expectations and performance are powerful tools for sustaining engagement and commitment.</w:t>
      </w:r>
    </w:p>
    <w:p>
      <w:pPr>
        <w:pStyle w:val="Body"/>
        <w:rPr>
          <w:rFonts w:ascii="Aptos" w:cs="Aptos" w:hAnsi="Aptos" w:eastAsia="Aptos"/>
          <w:sz w:val="22"/>
          <w:szCs w:val="22"/>
        </w:rPr>
      </w:pPr>
      <w:r>
        <w:rPr>
          <w:rFonts w:ascii="Aptos" w:cs="Aptos" w:hAnsi="Aptos" w:eastAsia="Aptos"/>
          <w:sz w:val="22"/>
          <w:szCs w:val="22"/>
          <w:rtl w:val="0"/>
          <w:lang w:val="en-US"/>
        </w:rPr>
        <w:t>Overall, these approaches complement one another. Realistic job previews and induction primarily influence retention by shaping expectations and supporting early engagement, while job enrichment and reward target ongoing motivation and satisfaction. Together, they provide a holistic retention strategy tailored for ParcelCare warehouse staff, helping to reduce turnover, enhance engagement, and retain skilled employees in a competitive labour market.</w:t>
      </w:r>
    </w:p>
    <w:p>
      <w:pPr>
        <w:pStyle w:val="Body"/>
        <w:rPr>
          <w:rFonts w:ascii="Aptos" w:cs="Aptos" w:hAnsi="Aptos" w:eastAsia="Aptos"/>
          <w:sz w:val="22"/>
          <w:szCs w:val="22"/>
        </w:rPr>
      </w:pPr>
      <w:r>
        <w:rPr>
          <w:rFonts w:ascii="Aptos" w:cs="Aptos" w:hAnsi="Aptos" w:eastAsia="Aptos"/>
          <w:sz w:val="22"/>
          <w:szCs w:val="22"/>
          <w:rtl w:val="0"/>
          <w:lang w:val="en-US"/>
        </w:rPr>
        <w:t>Retention of warehouse staff at ParcelCare is particularly challenging due to strong competition in the labour market and difficulties in attracting and retaining skilled employees. Organisations can adopt multiple retention approaches to address these challenges effectively.</w:t>
      </w:r>
    </w:p>
    <w:p>
      <w:pPr>
        <w:pStyle w:val="Body"/>
        <w:rPr>
          <w:rFonts w:ascii="Aptos" w:cs="Aptos" w:hAnsi="Aptos" w:eastAsia="Aptos"/>
          <w:sz w:val="22"/>
          <w:szCs w:val="22"/>
        </w:rPr>
      </w:pPr>
      <w:r>
        <w:rPr>
          <w:rFonts w:ascii="Aptos" w:cs="Aptos" w:hAnsi="Aptos" w:eastAsia="Aptos"/>
          <w:sz w:val="22"/>
          <w:szCs w:val="22"/>
          <w:rtl w:val="0"/>
          <w:lang w:val="en-US"/>
        </w:rPr>
        <w:t>Realistic job previews provide potential employees with an accurate and balanced view of the role before they start, including both positive aspects and potential challenges. For ParcelCare</w:t>
      </w:r>
      <w:r>
        <w:rPr>
          <w:rFonts w:ascii="Aptos" w:cs="Aptos" w:hAnsi="Aptos" w:eastAsia="Aptos"/>
          <w:sz w:val="22"/>
          <w:szCs w:val="22"/>
          <w:rtl w:val="0"/>
          <w:lang w:val="en-US"/>
        </w:rPr>
        <w:t>’</w:t>
      </w:r>
      <w:r>
        <w:rPr>
          <w:rFonts w:ascii="Aptos" w:cs="Aptos" w:hAnsi="Aptos" w:eastAsia="Aptos"/>
          <w:sz w:val="22"/>
          <w:szCs w:val="22"/>
          <w:rtl w:val="0"/>
          <w:lang w:val="en-US"/>
        </w:rPr>
        <w:t>s warehouse staff, realistic job previews help set expectations and reduce early turnover. Highlighting benefits such as parental leave, sick pay, or pension contributions in job adverts can attract candidates whose needs align with the organisation</w:t>
      </w:r>
      <w:r>
        <w:rPr>
          <w:rFonts w:ascii="Aptos" w:cs="Aptos" w:hAnsi="Aptos" w:eastAsia="Aptos"/>
          <w:sz w:val="22"/>
          <w:szCs w:val="22"/>
          <w:rtl w:val="0"/>
          <w:lang w:val="en-US"/>
        </w:rPr>
        <w:t>’</w:t>
      </w:r>
      <w:r>
        <w:rPr>
          <w:rFonts w:ascii="Aptos" w:cs="Aptos" w:hAnsi="Aptos" w:eastAsia="Aptos"/>
          <w:sz w:val="22"/>
          <w:szCs w:val="22"/>
          <w:rtl w:val="0"/>
          <w:lang w:val="en-US"/>
        </w:rPr>
        <w:t>s offering, promoting inclusivity and supporting retention (CIPD, 2022; CIPD, 2023). Figure 2 illustrates the key elements of a well-designed job advert, showing how clear role descriptions, inclusivity, and detailed benefits help attract suitable candidates (CIPD, 2023).</w:t>
      </w:r>
    </w:p>
    <w:p>
      <w:pPr>
        <w:pStyle w:val="Body"/>
        <w:rPr>
          <w:rFonts w:ascii="Aptos" w:cs="Aptos" w:hAnsi="Aptos" w:eastAsia="Aptos"/>
          <w:sz w:val="22"/>
          <w:szCs w:val="22"/>
        </w:rPr>
      </w:pPr>
      <w:r>
        <w:rPr>
          <w:rFonts w:ascii="Aptos" w:cs="Aptos" w:hAnsi="Aptos" w:eastAsia="Aptos"/>
          <w:sz w:val="22"/>
          <w:szCs w:val="22"/>
          <w:rtl w:val="0"/>
          <w:lang w:val="en-US"/>
        </w:rPr>
        <w:t>Induction programmes introduce new employees to the organisation, its culture, policies, and colleagues. In my experience, a structured induction significantly influences engagement and retention. Providing an overview of the organisation, guiding employees through onboarding documents, explaining benefits, incorporating Formity training videos, and introducing them to all team members fosters understanding, confidence, and social integration. These practices reduce early turnover and help new starters feel comfortable, supported, and motivated from day one (Cuthbert, 2025).</w:t>
      </w:r>
    </w:p>
    <w:p>
      <w:pPr>
        <w:pStyle w:val="Body"/>
        <w:rPr>
          <w:rFonts w:ascii="Aptos" w:cs="Aptos" w:hAnsi="Aptos" w:eastAsia="Aptos"/>
          <w:sz w:val="22"/>
          <w:szCs w:val="22"/>
        </w:rPr>
      </w:pPr>
      <w:r>
        <w:rPr>
          <w:rFonts w:ascii="Aptos" w:cs="Aptos" w:hAnsi="Aptos" w:eastAsia="Aptos"/>
          <w:sz w:val="22"/>
          <w:szCs w:val="22"/>
          <w:rtl w:val="0"/>
          <w:lang w:val="en-US"/>
        </w:rPr>
        <w:t>Job enrichment makes roles more meaningful by increasing responsibility, variety, or offering skill development opportunities, such as cross-training or team leadership tasks. This improves intrinsic motivation and job satisfaction, reducing turnover (Waite et al., 2021, p.186).</w:t>
      </w:r>
    </w:p>
    <w:p>
      <w:pPr>
        <w:pStyle w:val="Body"/>
        <w:rPr>
          <w:rFonts w:ascii="Aptos" w:cs="Aptos" w:hAnsi="Aptos" w:eastAsia="Aptos"/>
          <w:sz w:val="22"/>
          <w:szCs w:val="22"/>
        </w:rPr>
      </w:pPr>
      <w:r>
        <w:rPr>
          <w:rFonts w:ascii="Aptos" w:cs="Aptos" w:hAnsi="Aptos" w:eastAsia="Aptos"/>
          <w:sz w:val="22"/>
          <w:szCs w:val="22"/>
          <w:rtl w:val="0"/>
          <w:lang w:val="en-US"/>
        </w:rPr>
        <w:t>Finally, reward plays a central role in attracting and retaining employees. A competitive pay and benefits package, including bonuses, flexible working options, and recognition schemes, provides tangible incentives. Pay and benefits are frequently cited as key retention factors, while well-designed reward systems aligned with expectations and performance sustain engagement and commitment (CIPD, 2020a; Waite et al., 2021, p.186).</w:t>
      </w:r>
    </w:p>
    <w:p>
      <w:pPr>
        <w:pStyle w:val="Body"/>
        <w:rPr>
          <w:rFonts w:ascii="Aptos" w:cs="Aptos" w:hAnsi="Aptos" w:eastAsia="Aptos"/>
          <w:sz w:val="22"/>
          <w:szCs w:val="22"/>
        </w:rPr>
      </w:pPr>
      <w:r>
        <w:rPr>
          <w:rFonts w:ascii="Aptos" w:cs="Aptos" w:hAnsi="Aptos" w:eastAsia="Aptos"/>
          <w:sz w:val="22"/>
          <w:szCs w:val="22"/>
          <w:rtl w:val="0"/>
          <w:lang w:val="en-US"/>
        </w:rPr>
        <w:t>Overall, these approaches complement one another. Realistic job previews and induction influence early retention, while job enrichment and reward target ongoing motivation. Together, they provide a holistic strategy tailored for ParcelCare warehouse staff, reducing turnover, enhancing engagement, and retaining skilled employees in a competitive labour market.</w:t>
      </w:r>
    </w:p>
    <w:p>
      <w:pPr>
        <w:pStyle w:val="Body"/>
        <w:rPr>
          <w:rFonts w:ascii="Aptos" w:cs="Aptos" w:hAnsi="Aptos" w:eastAsia="Aptos"/>
          <w:outline w:val="0"/>
          <w:color w:val="ee0000"/>
          <w:sz w:val="22"/>
          <w:szCs w:val="22"/>
          <w:u w:color="ee0000"/>
          <w14:textFill>
            <w14:solidFill>
              <w14:srgbClr w14:val="EE0000"/>
            </w14:solidFill>
          </w14:textFill>
        </w:rPr>
      </w:pPr>
      <w:r>
        <w:rPr>
          <w:rFonts w:ascii="Aptos" w:cs="Aptos" w:hAnsi="Aptos" w:eastAsia="Aptos"/>
          <w:outline w:val="0"/>
          <w:color w:val="ee0000"/>
          <w:sz w:val="22"/>
          <w:szCs w:val="22"/>
          <w:u w:color="ee0000"/>
          <w:rtl w:val="0"/>
          <w:lang w:val="en-US"/>
          <w14:textFill>
            <w14:solidFill>
              <w14:srgbClr w14:val="EE0000"/>
            </w14:solidFill>
          </w14:textFill>
        </w:rPr>
        <w:t>AC 3.3 - Employee turnover can have a significant impact on an organisation</w:t>
      </w:r>
      <w:r>
        <w:rPr>
          <w:rFonts w:ascii="Aptos" w:cs="Aptos" w:hAnsi="Aptos" w:eastAsia="Aptos"/>
          <w:outline w:val="0"/>
          <w:color w:val="ee0000"/>
          <w:sz w:val="22"/>
          <w:szCs w:val="22"/>
          <w:u w:color="ee0000"/>
          <w:rtl w:val="0"/>
          <w:lang w:val="en-US"/>
          <w14:textFill>
            <w14:solidFill>
              <w14:srgbClr w14:val="EE0000"/>
            </w14:solidFill>
          </w14:textFill>
        </w:rPr>
        <w:t>’</w:t>
      </w:r>
      <w:r>
        <w:rPr>
          <w:rFonts w:ascii="Aptos" w:cs="Aptos" w:hAnsi="Aptos" w:eastAsia="Aptos"/>
          <w:outline w:val="0"/>
          <w:color w:val="ee0000"/>
          <w:sz w:val="22"/>
          <w:szCs w:val="22"/>
          <w:u w:color="ee0000"/>
          <w:rtl w:val="0"/>
          <w:lang w:val="en-US"/>
          <w14:textFill>
            <w14:solidFill>
              <w14:srgbClr w14:val="EE0000"/>
            </w14:solidFill>
          </w14:textFill>
        </w:rPr>
        <w:t>s performance, particularly when high-performing, skilled, or critical employees leave. This type of departure is referred to as dysfunctional turnover, defined as the voluntary exit of employees whose loss negatively affects organisational performance (CIPD, 2025). Dysfunctional turnover contrasts with functional turnover, which occurs when low-performing employees leave the organisation and can sometimes even benefit the workforce by reducing underperformance. Understanding the distinction between these types of turnover is crucial for organisations seeking to retain talent and maintain operational efficiency.</w:t>
      </w:r>
    </w:p>
    <w:p>
      <w:pPr>
        <w:pStyle w:val="Body"/>
        <w:rPr>
          <w:rFonts w:ascii="Aptos" w:cs="Aptos" w:hAnsi="Aptos" w:eastAsia="Aptos"/>
          <w:outline w:val="0"/>
          <w:color w:val="ee0000"/>
          <w:sz w:val="22"/>
          <w:szCs w:val="22"/>
          <w:u w:color="ee0000"/>
          <w14:textFill>
            <w14:solidFill>
              <w14:srgbClr w14:val="EE0000"/>
            </w14:solidFill>
          </w14:textFill>
        </w:rPr>
      </w:pPr>
      <w:r>
        <w:rPr>
          <w:rFonts w:ascii="Aptos" w:cs="Aptos" w:hAnsi="Aptos" w:eastAsia="Aptos"/>
          <w:outline w:val="0"/>
          <w:color w:val="ee0000"/>
          <w:sz w:val="22"/>
          <w:szCs w:val="22"/>
          <w:u w:color="ee0000"/>
          <w:rtl w:val="0"/>
          <w:lang w:val="en-US"/>
          <w14:textFill>
            <w14:solidFill>
              <w14:srgbClr w14:val="EE0000"/>
            </w14:solidFill>
          </w14:textFill>
        </w:rPr>
        <w:t>Dysfunctional turnover carries both financial and operational implications. Direct costs include recruitment and selection expenses, time spent processing leavers and starters, induction, and initial training (CIPD, 2025). Indirect costs include lost productivity while new employees reach full competence, the loss of organisational knowledge and skills, reduced team morale, and a lower return on investment in employees (Taylor and Woodhams, 2022, p. 99). For ParcelCare, the departure of experienced delivery drivers or warehouse staff could disrupt operational efficiency, delay parcel deliveries, increase pressure on remaining staff, and reduce customer satisfaction.</w:t>
      </w:r>
    </w:p>
    <w:p>
      <w:pPr>
        <w:pStyle w:val="Body"/>
        <w:rPr>
          <w:rFonts w:ascii="Aptos" w:cs="Aptos" w:hAnsi="Aptos" w:eastAsia="Aptos"/>
          <w:outline w:val="0"/>
          <w:color w:val="ee0000"/>
          <w:sz w:val="22"/>
          <w:szCs w:val="22"/>
          <w:u w:color="ee0000"/>
          <w14:textFill>
            <w14:solidFill>
              <w14:srgbClr w14:val="EE0000"/>
            </w14:solidFill>
          </w14:textFill>
        </w:rPr>
      </w:pPr>
      <w:r>
        <w:rPr>
          <w:rFonts w:ascii="Aptos" w:cs="Aptos" w:hAnsi="Aptos" w:eastAsia="Aptos"/>
          <w:outline w:val="0"/>
          <w:color w:val="ee0000"/>
          <w:sz w:val="22"/>
          <w:szCs w:val="22"/>
          <w:u w:color="ee0000"/>
          <w:rtl w:val="0"/>
          <w:lang w:val="en-US"/>
          <w14:textFill>
            <w14:solidFill>
              <w14:srgbClr w14:val="EE0000"/>
            </w14:solidFill>
          </w14:textFill>
        </w:rPr>
        <w:t>Beyond financial impact, dysfunctional turnover can also affect employee engagement and motivation. The loss of key staff may exacerbate disengagement among remaining employees, creating a cycle of lowered productivity, increased stress, and potential further turnover (Gallup, 2021). Engagement is a complex area, and while it alone does not guarantee organisational performance (Schneider et al., 2017, p. 2), the departure of high-performing employees can have a negative ripple effect on team cohesion and overall workforce stability.</w:t>
      </w:r>
    </w:p>
    <w:p>
      <w:pPr>
        <w:pStyle w:val="Body"/>
        <w:rPr>
          <w:rFonts w:ascii="Aptos" w:cs="Aptos" w:hAnsi="Aptos" w:eastAsia="Aptos"/>
          <w:outline w:val="0"/>
          <w:color w:val="ee0000"/>
          <w:sz w:val="22"/>
          <w:szCs w:val="22"/>
          <w:u w:color="ee0000"/>
          <w14:textFill>
            <w14:solidFill>
              <w14:srgbClr w14:val="EE0000"/>
            </w14:solidFill>
          </w14:textFill>
        </w:rPr>
      </w:pPr>
      <w:r>
        <w:rPr>
          <w:rFonts w:ascii="Aptos" w:cs="Aptos" w:hAnsi="Aptos" w:eastAsia="Aptos"/>
          <w:outline w:val="0"/>
          <w:color w:val="ee0000"/>
          <w:sz w:val="22"/>
          <w:szCs w:val="22"/>
          <w:u w:color="ee0000"/>
          <w:rtl w:val="0"/>
          <w:lang w:val="en-US"/>
          <w14:textFill>
            <w14:solidFill>
              <w14:srgbClr w14:val="EE0000"/>
            </w14:solidFill>
          </w14:textFill>
        </w:rPr>
        <w:t>Addressing dysfunctional turnover is therefore essential to protect both operational performance and organisational culture. Organisations can implement strategies such as flexible working, fair treatment, wellbeing initiatives, and effective workforce planning to retain critical staff. At ParcelCare, understanding the drivers behind turnover, investing in employee engagement, and proactively planning for potential skill gaps will help maintain workforce stability, reduce operational risks, and protect overall organisational performance (Taylor and Woodhams, 2022, p. 99). By highlighting the impact of dysfunctional turnover, senior leaders can appreciate that retaining high-performing employees is not only an HR concern but a strategic business priority.</w:t>
      </w:r>
    </w:p>
    <w:p>
      <w:pPr>
        <w:pStyle w:val="Body"/>
        <w:rPr>
          <w:rFonts w:ascii="Aptos" w:cs="Aptos" w:hAnsi="Aptos" w:eastAsia="Aptos"/>
          <w:b w:val="1"/>
          <w:bCs w:val="1"/>
          <w:sz w:val="22"/>
          <w:szCs w:val="22"/>
        </w:rPr>
      </w:pPr>
      <w:r>
        <w:rPr>
          <w:rFonts w:ascii="Aptos" w:cs="Aptos" w:hAnsi="Aptos" w:eastAsia="Aptos"/>
          <w:b w:val="1"/>
          <w:bCs w:val="1"/>
          <w:sz w:val="22"/>
          <w:szCs w:val="22"/>
          <w:rtl w:val="0"/>
        </w:rPr>
        <w:t xml:space="preserve">AC 3.3 - </w:t>
      </w:r>
      <w:r>
        <w:rPr>
          <w:rFonts w:ascii="Aptos" w:cs="Aptos" w:hAnsi="Aptos" w:eastAsia="Aptos"/>
          <w:sz w:val="22"/>
          <w:szCs w:val="22"/>
          <w:rtl w:val="0"/>
          <w:lang w:val="en-US"/>
        </w:rPr>
        <w:t>Employee turnover can have a significant impact on an organisation</w:t>
      </w:r>
      <w:r>
        <w:rPr>
          <w:rFonts w:ascii="Aptos" w:cs="Aptos" w:hAnsi="Aptos" w:eastAsia="Aptos"/>
          <w:sz w:val="22"/>
          <w:szCs w:val="22"/>
          <w:rtl w:val="0"/>
          <w:lang w:val="en-US"/>
        </w:rPr>
        <w:t>’</w:t>
      </w:r>
      <w:r>
        <w:rPr>
          <w:rFonts w:ascii="Aptos" w:cs="Aptos" w:hAnsi="Aptos" w:eastAsia="Aptos"/>
          <w:sz w:val="22"/>
          <w:szCs w:val="22"/>
          <w:rtl w:val="0"/>
          <w:lang w:val="en-US"/>
        </w:rPr>
        <w:t>s performance. Understanding why staff leave is crucial, as it allows organisations to implement initiatives that reduce turnover and improve retention. The CIPD (2025) factsheet highlights turnover patterns in the UK and identifies when turnover becomes problematic. It outlines methods for measuring turnover and details the costs associated with losing employees. Direct costs include recruitment and selection expenses, time spent processing leavers and starters, induction, and initial training. Indirect costs include lost productivity while new employees reach full competence, the loss of organisational knowledge and skills, reduced team morale, and the potential loss of return on investment made in employees (Taylor and Woodhams, 2022, p. 99). For ParcelCare, such costs can affect operational efficiency, customer satisfaction, and overall workforce stability.</w:t>
      </w:r>
    </w:p>
    <w:p>
      <w:pPr>
        <w:pStyle w:val="Body"/>
        <w:rPr>
          <w:rFonts w:ascii="Aptos" w:cs="Aptos" w:hAnsi="Aptos" w:eastAsia="Aptos"/>
          <w:sz w:val="22"/>
          <w:szCs w:val="22"/>
        </w:rPr>
      </w:pPr>
      <w:r>
        <w:rPr>
          <w:rFonts w:ascii="Aptos" w:cs="Aptos" w:hAnsi="Aptos" w:eastAsia="Aptos"/>
          <w:sz w:val="22"/>
          <w:szCs w:val="22"/>
          <w:rtl w:val="0"/>
          <w:lang w:val="en-US"/>
        </w:rPr>
        <w:t>Dysfunctional turnover particularly affects employee engagement and motivation. According to Gallop (2021), nearly 85 per cent of employees worldwide are not engaged or are actively disengaged at work. Engagement is a complex and contested area (Schneider et al., 2017, p. 2), highlight that engagement alone does not guarantee organisational performance. Nevertheless, the departure of key staff can exacerbate disengagement among remaining employees, creating a cycle of reduced motivation, lowered productivity, and potential further turnover. In ParcelCare</w:t>
      </w:r>
      <w:r>
        <w:rPr>
          <w:rFonts w:ascii="Aptos" w:cs="Aptos" w:hAnsi="Aptos" w:eastAsia="Aptos"/>
          <w:sz w:val="22"/>
          <w:szCs w:val="22"/>
          <w:rtl w:val="0"/>
          <w:lang w:val="en-US"/>
        </w:rPr>
        <w:t>’</w:t>
      </w:r>
      <w:r>
        <w:rPr>
          <w:rFonts w:ascii="Aptos" w:cs="Aptos" w:hAnsi="Aptos" w:eastAsia="Aptos"/>
          <w:sz w:val="22"/>
          <w:szCs w:val="22"/>
          <w:rtl w:val="0"/>
          <w:lang w:val="en-US"/>
        </w:rPr>
        <w:t>s context, the loss of experienced delivery drivers or warehouse staff could lead to operational delays, increased stress for remaining staff, and reduced team cohesion.</w:t>
      </w:r>
    </w:p>
    <w:p>
      <w:pPr>
        <w:pStyle w:val="Body"/>
        <w:rPr>
          <w:rFonts w:ascii="Aptos" w:cs="Aptos" w:hAnsi="Aptos" w:eastAsia="Aptos"/>
          <w:sz w:val="22"/>
          <w:szCs w:val="22"/>
        </w:rPr>
      </w:pPr>
      <w:r>
        <w:rPr>
          <w:rFonts w:ascii="Aptos" w:cs="Aptos" w:hAnsi="Aptos" w:eastAsia="Aptos"/>
          <w:sz w:val="22"/>
          <w:szCs w:val="22"/>
          <w:rtl w:val="0"/>
          <w:lang w:val="en-US"/>
        </w:rPr>
        <w:t>Dysfunctional turnover also carries substantial financial implications. Taylor and Woodhams (2022, p.99) report that around 20 per cent of organisations calculate the costs of labour turnover, including the combined direct and indirect impacts outlined above. These costs demonstrate that turnover is not only an HR issue but also a business risk, affecting service delivery and profitability.</w:t>
      </w:r>
    </w:p>
    <w:p>
      <w:pPr>
        <w:pStyle w:val="Body"/>
        <w:rPr>
          <w:rFonts w:ascii="Aptos" w:cs="Aptos" w:hAnsi="Aptos" w:eastAsia="Aptos"/>
          <w:sz w:val="22"/>
          <w:szCs w:val="22"/>
        </w:rPr>
      </w:pPr>
      <w:r>
        <w:rPr>
          <w:rFonts w:ascii="Aptos" w:cs="Aptos" w:hAnsi="Aptos" w:eastAsia="Aptos"/>
          <w:sz w:val="22"/>
          <w:szCs w:val="22"/>
          <w:rtl w:val="0"/>
          <w:lang w:val="en-US"/>
        </w:rPr>
        <w:t>Addressing dysfunctional turnover is therefore essential. Organisations can implement strategies such as flexible working, fair treatment, wellbeing initiatives, and effective workforce planning to retain talent. At ParcelCare, understanding the drivers behind turnover, investing in engagement and retention strategies, and proactively planning for potential skill gaps will help maintain workforce stability, reduce operational risks, and protect organisational performance (Taylor and Woodhams, 2022, p.99).</w:t>
      </w:r>
    </w:p>
    <w:p>
      <w:pPr>
        <w:pStyle w:val="Body"/>
        <w:rPr>
          <w:rStyle w:val="None A"/>
          <w:rFonts w:ascii="Aptos" w:cs="Aptos" w:hAnsi="Aptos" w:eastAsia="Aptos"/>
          <w:sz w:val="22"/>
          <w:szCs w:val="22"/>
        </w:rPr>
      </w:pPr>
    </w:p>
    <w:p>
      <w:pPr>
        <w:pStyle w:val="Body"/>
        <w:rPr>
          <w:rFonts w:ascii="Aptos" w:cs="Aptos" w:hAnsi="Aptos" w:eastAsia="Aptos"/>
          <w:b w:val="1"/>
          <w:bCs w:val="1"/>
          <w:sz w:val="22"/>
          <w:szCs w:val="22"/>
        </w:rPr>
      </w:pPr>
      <w:r>
        <w:rPr>
          <w:rFonts w:ascii="Aptos" w:cs="Aptos" w:hAnsi="Aptos" w:eastAsia="Aptos"/>
          <w:b w:val="1"/>
          <w:bCs w:val="1"/>
          <w:sz w:val="22"/>
          <w:szCs w:val="22"/>
          <w:rtl w:val="0"/>
        </w:rPr>
        <w:t>AC 4.1 -</w:t>
      </w:r>
      <w:r>
        <w:rPr>
          <w:rFonts w:ascii="Aptos" w:cs="Aptos" w:hAnsi="Aptos" w:eastAsia="Aptos"/>
          <w:sz w:val="22"/>
          <w:szCs w:val="22"/>
          <w:rtl w:val="0"/>
          <w:lang w:val="en-US"/>
        </w:rPr>
        <w:t xml:space="preserve"> ParcelCare currently employs the majority of delivery drivers on permanent, full-time contracts. These provide stability, predictable hours, and full employment rights, which are essential for a core workforce responsible for daily operations (ACAS, 2024). Permanent contracts support retention and engagement as drivers have job security and a reliable income, which is particularly important in a competitive labour market (Daniels, 2025). They also facilitate structured rota planning, ensuring consistent service levels. However, permanent contracts have limited flexibility; during quieter periods, the organisation still incurs full employment costs, and staff may be underutilised if demand fluctuates (CIPD, 2023a). Incorporating flexible working arrangements, such as part-time schedules, job-sharing, or flexible start and finish times, can help optimise workforce utilisation while maintaining engagement and operational coverage (ACAS, 2024).</w:t>
      </w:r>
    </w:p>
    <w:p>
      <w:pPr>
        <w:pStyle w:val="Body"/>
        <w:rPr>
          <w:rFonts w:ascii="Aptos" w:cs="Aptos" w:hAnsi="Aptos" w:eastAsia="Aptos"/>
          <w:sz w:val="22"/>
          <w:szCs w:val="22"/>
        </w:rPr>
      </w:pPr>
      <w:r>
        <w:rPr>
          <w:rFonts w:ascii="Aptos" w:cs="Aptos" w:hAnsi="Aptos" w:eastAsia="Aptos"/>
          <w:sz w:val="22"/>
          <w:szCs w:val="22"/>
          <w:rtl w:val="0"/>
          <w:lang w:val="en-US"/>
        </w:rPr>
        <w:t>Fixed-term contracts offer a solution for temporary or seasonal staffing needs. These contracts last for a defined period or until a specific task is completed, giving employees similar rights to permanent staff during the contract (Daniels, 2025). ParcelCare could use fixed-term contracts during peak periods, such as Christmas, or for short-term client projects. They provide reliable coverage without incurring agency fees, while enabling managers to scale resources according to predictable demand. Training and onboarding are still required, so high turnover can reduce cost-effectiveness, and repeated use may affect morale if staff feel insecure (Daniels, 2025).</w:t>
      </w:r>
    </w:p>
    <w:p>
      <w:pPr>
        <w:pStyle w:val="Body"/>
        <w:rPr>
          <w:rFonts w:ascii="Aptos" w:cs="Aptos" w:hAnsi="Aptos" w:eastAsia="Aptos"/>
          <w:sz w:val="22"/>
          <w:szCs w:val="22"/>
        </w:rPr>
      </w:pPr>
      <w:r>
        <w:rPr>
          <w:rFonts w:ascii="Aptos" w:cs="Aptos" w:hAnsi="Aptos" w:eastAsia="Aptos"/>
          <w:sz w:val="22"/>
          <w:szCs w:val="22"/>
          <w:rtl w:val="0"/>
          <w:lang w:val="en-US"/>
        </w:rPr>
        <w:t>Zero-hours contracts and agency worker arrangements provide maximum flexibility, engaging workers only when needed (ACAS, 2024). These contracts allow ParcelCare to respond quickly to unexpected spikes, such as staff absence or sudden surges in deliveries. However, casual and agency workers may demonstrate lower commitment, resulting in inconsistent service quality. Agency workers can also be more expensive due to fees, and over-reliance on zero-hours contracts may damage the organisation</w:t>
      </w:r>
      <w:r>
        <w:rPr>
          <w:rFonts w:ascii="Aptos" w:cs="Aptos" w:hAnsi="Aptos" w:eastAsia="Aptos"/>
          <w:sz w:val="22"/>
          <w:szCs w:val="22"/>
          <w:rtl w:val="0"/>
          <w:lang w:val="en-US"/>
        </w:rPr>
        <w:t>’</w:t>
      </w:r>
      <w:r>
        <w:rPr>
          <w:rFonts w:ascii="Aptos" w:cs="Aptos" w:hAnsi="Aptos" w:eastAsia="Aptos"/>
          <w:sz w:val="22"/>
          <w:szCs w:val="22"/>
          <w:rtl w:val="0"/>
          <w:lang w:val="en-US"/>
        </w:rPr>
        <w:t>s reputation in a sector under scrutiny for insecure work practices (CIPD, 2023b).</w:t>
      </w:r>
    </w:p>
    <w:p>
      <w:pPr>
        <w:pStyle w:val="Body"/>
        <w:rPr>
          <w:rFonts w:ascii="Aptos" w:cs="Aptos" w:hAnsi="Aptos" w:eastAsia="Aptos"/>
          <w:sz w:val="22"/>
          <w:szCs w:val="22"/>
        </w:rPr>
      </w:pPr>
      <w:r>
        <w:rPr>
          <w:rFonts w:ascii="Aptos" w:cs="Aptos" w:hAnsi="Aptos" w:eastAsia="Aptos"/>
          <w:sz w:val="22"/>
          <w:szCs w:val="22"/>
          <w:rtl w:val="0"/>
          <w:lang w:val="en-US"/>
        </w:rPr>
        <w:t>In conclusion, a blended approach is most suitable. Permanent full-time contracts underpin the core workforce, ensuring reliability and engagement, complemented by flexible working arrangements. Fixed-term contracts cover predictable peaks, while zero-hours or agency workers provide agility for unforeseen demand. Aligning contract types to workforce needs enables ParcelCare to maintain service quality, manage costs, and remain compliant with employment law (Daniels, 2025; CIPD, 2023a; ACAS, 2024).</w:t>
      </w:r>
    </w:p>
    <w:p>
      <w:pPr>
        <w:pStyle w:val="Body"/>
        <w:rPr>
          <w:rFonts w:ascii="Aptos" w:cs="Aptos" w:hAnsi="Aptos" w:eastAsia="Aptos"/>
          <w:outline w:val="0"/>
          <w:color w:val="ee0000"/>
          <w:sz w:val="22"/>
          <w:szCs w:val="22"/>
          <w:u w:color="ee0000"/>
          <w14:textFill>
            <w14:solidFill>
              <w14:srgbClr w14:val="EE0000"/>
            </w14:solidFill>
          </w14:textFill>
        </w:rPr>
      </w:pPr>
      <w:r>
        <w:rPr>
          <w:rFonts w:ascii="Aptos" w:cs="Aptos" w:hAnsi="Aptos" w:eastAsia="Aptos"/>
          <w:b w:val="1"/>
          <w:bCs w:val="1"/>
          <w:outline w:val="0"/>
          <w:color w:val="ee0000"/>
          <w:u w:color="ee0000"/>
          <w:rtl w:val="0"/>
          <w14:textFill>
            <w14:solidFill>
              <w14:srgbClr w14:val="EE0000"/>
            </w14:solidFill>
          </w14:textFill>
        </w:rPr>
        <w:t xml:space="preserve">AC 4.2 - </w:t>
      </w:r>
      <w:r>
        <w:rPr>
          <w:rFonts w:ascii="Aptos" w:cs="Aptos" w:hAnsi="Aptos" w:eastAsia="Aptos"/>
          <w:outline w:val="0"/>
          <w:color w:val="ee0000"/>
          <w:sz w:val="22"/>
          <w:szCs w:val="22"/>
          <w:u w:color="ee0000"/>
          <w:rtl w:val="0"/>
          <w:lang w:val="en-US"/>
          <w14:textFill>
            <w14:solidFill>
              <w14:srgbClr w14:val="EE0000"/>
            </w14:solidFill>
          </w14:textFill>
        </w:rPr>
        <w:t>Induction and onboarding are essential processes that help new employees integrate into an organisation, understand their roles, and develop the skills and knowledge required to perform effectively. At ParcelCare, the current approach is largely ad hoc, focusing primarily on administrative tasks and basic health and safety training. While these are necessary, they do not fully support engagement, role clarity, or understanding of the organisation</w:t>
      </w:r>
      <w:r>
        <w:rPr>
          <w:rFonts w:ascii="Aptos" w:cs="Aptos" w:hAnsi="Aptos" w:eastAsia="Aptos"/>
          <w:outline w:val="0"/>
          <w:color w:val="ee0000"/>
          <w:sz w:val="22"/>
          <w:szCs w:val="22"/>
          <w:u w:color="ee0000"/>
          <w:rtl w:val="0"/>
          <w:lang w:val="en-US"/>
          <w14:textFill>
            <w14:solidFill>
              <w14:srgbClr w14:val="EE0000"/>
            </w14:solidFill>
          </w14:textFill>
        </w:rPr>
        <w:t>’</w:t>
      </w:r>
      <w:r>
        <w:rPr>
          <w:rFonts w:ascii="Aptos" w:cs="Aptos" w:hAnsi="Aptos" w:eastAsia="Aptos"/>
          <w:outline w:val="0"/>
          <w:color w:val="ee0000"/>
          <w:sz w:val="22"/>
          <w:szCs w:val="22"/>
          <w:u w:color="ee0000"/>
          <w:rtl w:val="0"/>
          <w:lang w:val="en-US"/>
          <w14:textFill>
            <w14:solidFill>
              <w14:srgbClr w14:val="EE0000"/>
            </w14:solidFill>
          </w14:textFill>
        </w:rPr>
        <w:t>s culture. Implementing a structured onboarding programme ensures that new hires are supported from pre-employment through their initial months, reducing uncertainty, increasing confidence, and accelerating productivity (CIPD, 2024).</w:t>
      </w:r>
    </w:p>
    <w:p>
      <w:pPr>
        <w:pStyle w:val="Body"/>
        <w:rPr>
          <w:rFonts w:ascii="Aptos" w:cs="Aptos" w:hAnsi="Aptos" w:eastAsia="Aptos"/>
          <w:outline w:val="0"/>
          <w:color w:val="ee0000"/>
          <w:sz w:val="22"/>
          <w:szCs w:val="22"/>
          <w:u w:color="ee0000"/>
          <w14:textFill>
            <w14:solidFill>
              <w14:srgbClr w14:val="EE0000"/>
            </w14:solidFill>
          </w14:textFill>
        </w:rPr>
      </w:pPr>
      <w:r>
        <w:rPr>
          <w:rFonts w:ascii="Aptos" w:cs="Aptos" w:hAnsi="Aptos" w:eastAsia="Aptos"/>
          <w:outline w:val="0"/>
          <w:color w:val="ee0000"/>
          <w:sz w:val="22"/>
          <w:szCs w:val="22"/>
          <w:u w:color="ee0000"/>
          <w:rtl w:val="0"/>
          <w:lang w:val="en-US"/>
          <w14:textFill>
            <w14:solidFill>
              <w14:srgbClr w14:val="EE0000"/>
            </w14:solidFill>
          </w14:textFill>
        </w:rPr>
        <w:t>Effective onboarding benefits both employees and the organisation. For employees, it provides clear role expectations, access to necessary resources, and guidance on organisational culture and values. This clarity helps reduce anxiety, fosters engagement, and supports faster integration into teams, which can increase job satisfaction and loyalty (Taylor and Woodhams, 2022, p. 98). For organisations, structured onboarding improves retention by decreasing early turnover; many organisations experience financial losses when employees leave within the first six months, demonstrating the business importance of onboarding (Taylor and Woodhams, 2022, p. 98). Additionally, effective onboarding enhances employee motivation and productivity by ensuring that new hires quickly understand how their contributions support organisational goals and operational objectives (CIPD, 2024).</w:t>
      </w:r>
    </w:p>
    <w:p>
      <w:pPr>
        <w:pStyle w:val="Body"/>
        <w:rPr>
          <w:rFonts w:ascii="Aptos" w:cs="Aptos" w:hAnsi="Aptos" w:eastAsia="Aptos"/>
          <w:outline w:val="0"/>
          <w:color w:val="ee0000"/>
          <w:sz w:val="22"/>
          <w:szCs w:val="22"/>
          <w:u w:color="ee0000"/>
          <w14:textFill>
            <w14:solidFill>
              <w14:srgbClr w14:val="EE0000"/>
            </w14:solidFill>
          </w14:textFill>
        </w:rPr>
      </w:pPr>
      <w:r>
        <w:rPr>
          <w:rFonts w:ascii="Aptos" w:cs="Aptos" w:hAnsi="Aptos" w:eastAsia="Aptos"/>
          <w:outline w:val="0"/>
          <w:color w:val="ee0000"/>
          <w:sz w:val="22"/>
          <w:szCs w:val="22"/>
          <w:u w:color="ee0000"/>
          <w:rtl w:val="0"/>
          <w:lang w:val="en-US"/>
          <w14:textFill>
            <w14:solidFill>
              <w14:srgbClr w14:val="EE0000"/>
            </w14:solidFill>
          </w14:textFill>
        </w:rPr>
        <w:t xml:space="preserve">Clear and accurate job descriptions are another key component of onboarding. They detail the nature of the role, summarise tasks, and outline reporting lines, responsibilities, and performance expectations (Taylor and Woodhams, 2022, p. 91). Ensuring employees understand their role from the outset reduces the risk of an early </w:t>
      </w:r>
      <w:r>
        <w:rPr>
          <w:rFonts w:ascii="Aptos" w:cs="Aptos" w:hAnsi="Aptos" w:eastAsia="Aptos"/>
          <w:outline w:val="0"/>
          <w:color w:val="ee0000"/>
          <w:sz w:val="22"/>
          <w:szCs w:val="22"/>
          <w:u w:color="ee0000"/>
          <w:rtl w:val="0"/>
          <w:lang w:val="en-US"/>
          <w14:textFill>
            <w14:solidFill>
              <w14:srgbClr w14:val="EE0000"/>
            </w14:solidFill>
          </w14:textFill>
        </w:rPr>
        <w:t>“</w:t>
      </w:r>
      <w:r>
        <w:rPr>
          <w:rFonts w:ascii="Aptos" w:cs="Aptos" w:hAnsi="Aptos" w:eastAsia="Aptos"/>
          <w:outline w:val="0"/>
          <w:color w:val="ee0000"/>
          <w:sz w:val="22"/>
          <w:szCs w:val="22"/>
          <w:u w:color="ee0000"/>
          <w:rtl w:val="0"/>
          <w:lang w:val="fr-FR"/>
          <w14:textFill>
            <w14:solidFill>
              <w14:srgbClr w14:val="EE0000"/>
            </w14:solidFill>
          </w14:textFill>
        </w:rPr>
        <w:t>induction crisis,</w:t>
      </w:r>
      <w:r>
        <w:rPr>
          <w:rFonts w:ascii="Aptos" w:cs="Aptos" w:hAnsi="Aptos" w:eastAsia="Aptos"/>
          <w:outline w:val="0"/>
          <w:color w:val="ee0000"/>
          <w:sz w:val="22"/>
          <w:szCs w:val="22"/>
          <w:u w:color="ee0000"/>
          <w:rtl w:val="0"/>
          <w:lang w:val="en-US"/>
          <w14:textFill>
            <w14:solidFill>
              <w14:srgbClr w14:val="EE0000"/>
            </w14:solidFill>
          </w14:textFill>
        </w:rPr>
        <w:t xml:space="preserve">” </w:t>
      </w:r>
      <w:r>
        <w:rPr>
          <w:rFonts w:ascii="Aptos" w:cs="Aptos" w:hAnsi="Aptos" w:eastAsia="Aptos"/>
          <w:outline w:val="0"/>
          <w:color w:val="ee0000"/>
          <w:sz w:val="22"/>
          <w:szCs w:val="22"/>
          <w:u w:color="ee0000"/>
          <w:rtl w:val="0"/>
          <w:lang w:val="en-US"/>
          <w14:textFill>
            <w14:solidFill>
              <w14:srgbClr w14:val="EE0000"/>
            </w14:solidFill>
          </w14:textFill>
        </w:rPr>
        <w:t>facilitates smoother integration into teams, and allows managers to focus on coaching and performance development rather than correcting misunderstandings. Structured onboarding also encourages socialisation, helping new staff build relationships with colleagues and managers, which is particularly important for fostering teamwork in operational roles such as drivers and warehouse staff.</w:t>
      </w:r>
    </w:p>
    <w:p>
      <w:pPr>
        <w:pStyle w:val="Body"/>
        <w:rPr>
          <w:rFonts w:ascii="Aptos" w:cs="Aptos" w:hAnsi="Aptos" w:eastAsia="Aptos"/>
          <w:outline w:val="0"/>
          <w:color w:val="ee0000"/>
          <w:sz w:val="22"/>
          <w:szCs w:val="22"/>
          <w:u w:color="ee0000"/>
          <w14:textFill>
            <w14:solidFill>
              <w14:srgbClr w14:val="EE0000"/>
            </w14:solidFill>
          </w14:textFill>
        </w:rPr>
      </w:pPr>
      <w:r>
        <w:rPr>
          <w:rFonts w:ascii="Aptos" w:cs="Aptos" w:hAnsi="Aptos" w:eastAsia="Aptos"/>
          <w:outline w:val="0"/>
          <w:color w:val="ee0000"/>
          <w:sz w:val="22"/>
          <w:szCs w:val="22"/>
          <w:u w:color="ee0000"/>
          <w:rtl w:val="0"/>
          <w:lang w:val="en-US"/>
          <w14:textFill>
            <w14:solidFill>
              <w14:srgbClr w14:val="EE0000"/>
            </w14:solidFill>
          </w14:textFill>
        </w:rPr>
        <w:t>Structured onboarding additionally supports long-term workforce planning and succession. By helping employees build connections, understand organisational processes, and develop required skills early, it strengthens engagement and reduces the likelihood of turnover. For ParcelCare, investing in effective onboarding ensures that delivery drivers, warehouse staff, and operational managers are productive, motivated, and aligned with company values from day one, ultimately protecting service delivery, operational efficiency, and employee morale (CIPD, 2024; Taylor and Woodhams, 2022).</w:t>
      </w:r>
    </w:p>
    <w:p>
      <w:pPr>
        <w:pStyle w:val="Body"/>
        <w:rPr>
          <w:rFonts w:ascii="Aptos" w:cs="Aptos" w:hAnsi="Aptos" w:eastAsia="Aptos"/>
          <w:outline w:val="0"/>
          <w:color w:val="ee0000"/>
          <w:sz w:val="22"/>
          <w:szCs w:val="22"/>
          <w:u w:color="ee0000"/>
          <w14:textFill>
            <w14:solidFill>
              <w14:srgbClr w14:val="EE0000"/>
            </w14:solidFill>
          </w14:textFill>
        </w:rPr>
      </w:pPr>
      <w:r>
        <w:rPr>
          <w:rFonts w:ascii="Aptos" w:cs="Aptos" w:hAnsi="Aptos" w:eastAsia="Aptos"/>
          <w:outline w:val="0"/>
          <w:color w:val="ee0000"/>
          <w:sz w:val="22"/>
          <w:szCs w:val="22"/>
          <w:u w:color="ee0000"/>
          <w:rtl w:val="0"/>
          <w:lang w:val="en-US"/>
          <w14:textFill>
            <w14:solidFill>
              <w14:srgbClr w14:val="EE0000"/>
            </w14:solidFill>
          </w14:textFill>
        </w:rPr>
        <w:t>In summary, the benefits of effective onboarding include faster integration, improved engagement and motivation, reduced early turnover, clearer role understanding, enhanced teamwork, and stronger organisational performance. A well-structured programme ensures that employees feel supported, understand their responsibilities, and are able to contribute effectively, creating value for both the workforce and the organisation.</w:t>
      </w:r>
    </w:p>
    <w:p>
      <w:pPr>
        <w:pStyle w:val="Nornal"/>
        <w:rPr>
          <w:rFonts w:ascii="Aptos" w:cs="Aptos" w:hAnsi="Aptos" w:eastAsia="Aptos"/>
          <w:b w:val="1"/>
          <w:bCs w:val="1"/>
        </w:rPr>
      </w:pPr>
      <w:r>
        <w:rPr>
          <w:rFonts w:ascii="Aptos" w:cs="Aptos" w:hAnsi="Aptos" w:eastAsia="Aptos"/>
          <w:b w:val="1"/>
          <w:bCs w:val="1"/>
          <w:rtl w:val="0"/>
          <w:lang w:val="en-US"/>
        </w:rPr>
        <w:t xml:space="preserve">AC 4.2 - </w:t>
      </w:r>
      <w:r>
        <w:rPr>
          <w:rFonts w:ascii="Aptos" w:cs="Aptos" w:hAnsi="Aptos" w:eastAsia="Aptos"/>
          <w:rtl w:val="0"/>
          <w:lang w:val="en-US"/>
        </w:rPr>
        <w:t>Induction and onboarding are essential processes that help new employees integrate into an organisation, understand their roles, and develop the skills and knowledge required to perform effectively. At ParcelCare, the current approach is largely ad hoc, focusing primarily on completing administrative forms and health and safety training. While these tasks are necessary, they do not fully support engagement, role clarity, or understanding of the organisation</w:t>
      </w:r>
      <w:r>
        <w:rPr>
          <w:rFonts w:ascii="Aptos" w:cs="Aptos" w:hAnsi="Aptos" w:eastAsia="Aptos"/>
          <w:rtl w:val="0"/>
          <w:lang w:val="en-US"/>
        </w:rPr>
        <w:t>’</w:t>
      </w:r>
      <w:r>
        <w:rPr>
          <w:rFonts w:ascii="Aptos" w:cs="Aptos" w:hAnsi="Aptos" w:eastAsia="Aptos"/>
          <w:rtl w:val="0"/>
          <w:lang w:val="en-US"/>
        </w:rPr>
        <w:t xml:space="preserve">s culture. Implementing a structured onboarding programme ensures that new hires are supported from pre-employment through their initial months, reducing uncertainty, increasing confidence, and accelerating productivity (CIPD, 2024) </w:t>
      </w:r>
    </w:p>
    <w:p>
      <w:pPr>
        <w:pStyle w:val="Body"/>
        <w:rPr>
          <w:rFonts w:ascii="Aptos" w:cs="Aptos" w:hAnsi="Aptos" w:eastAsia="Aptos"/>
          <w:sz w:val="22"/>
          <w:szCs w:val="22"/>
        </w:rPr>
      </w:pPr>
      <w:r>
        <w:rPr>
          <w:rFonts w:ascii="Aptos" w:cs="Aptos" w:hAnsi="Aptos" w:eastAsia="Aptos"/>
          <w:sz w:val="22"/>
          <w:szCs w:val="22"/>
          <w:rtl w:val="0"/>
          <w:lang w:val="en-US"/>
        </w:rPr>
        <w:t xml:space="preserve">The organisation has an important role in designing and delivering a positive onboarding experience. Many organisations experience financial losses when employees leave within six months of starting, highlighting the importance of effective onboarding (Taylor and Woodhams, 2022, p. 98). Clear and accurate job descriptions are also a key part of recruitment and selection, as they detail the nature of the role, summarise the tasks involved, and outline reporting lines, responsibilities, and performance criteria (Taylor and Woodhams, 2022, p. 91). Ensuring employees understand their role from the outset helps reduce the risk of an early </w:t>
      </w:r>
      <w:r>
        <w:rPr>
          <w:rFonts w:ascii="Aptos" w:cs="Aptos" w:hAnsi="Aptos" w:eastAsia="Aptos"/>
          <w:sz w:val="22"/>
          <w:szCs w:val="22"/>
          <w:rtl w:val="0"/>
          <w:lang w:val="en-US"/>
        </w:rPr>
        <w:t>‘</w:t>
      </w:r>
      <w:r>
        <w:rPr>
          <w:rFonts w:ascii="Aptos" w:cs="Aptos" w:hAnsi="Aptos" w:eastAsia="Aptos"/>
          <w:sz w:val="22"/>
          <w:szCs w:val="22"/>
          <w:rtl w:val="0"/>
          <w:lang w:val="fr-FR"/>
        </w:rPr>
        <w:t>induction crisis</w:t>
      </w:r>
      <w:r>
        <w:rPr>
          <w:rFonts w:ascii="Aptos" w:cs="Aptos" w:hAnsi="Aptos" w:eastAsia="Aptos"/>
          <w:sz w:val="22"/>
          <w:szCs w:val="22"/>
          <w:rtl w:val="0"/>
          <w:lang w:val="en-US"/>
        </w:rPr>
        <w:t xml:space="preserve">’ </w:t>
      </w:r>
      <w:r>
        <w:rPr>
          <w:rFonts w:ascii="Aptos" w:cs="Aptos" w:hAnsi="Aptos" w:eastAsia="Aptos"/>
          <w:sz w:val="22"/>
          <w:szCs w:val="22"/>
          <w:rtl w:val="0"/>
          <w:lang w:val="en-US"/>
        </w:rPr>
        <w:t>and supports faster integration into teams (CIPD, 2024).</w:t>
      </w:r>
    </w:p>
    <w:p>
      <w:pPr>
        <w:pStyle w:val="Body"/>
        <w:rPr>
          <w:rFonts w:ascii="Aptos" w:cs="Aptos" w:hAnsi="Aptos" w:eastAsia="Aptos"/>
          <w:sz w:val="22"/>
          <w:szCs w:val="22"/>
        </w:rPr>
      </w:pPr>
      <w:r>
        <w:rPr>
          <w:rFonts w:ascii="Aptos" w:cs="Aptos" w:hAnsi="Aptos" w:eastAsia="Aptos"/>
          <w:sz w:val="22"/>
          <w:szCs w:val="22"/>
          <w:rtl w:val="0"/>
          <w:lang w:val="en-US"/>
        </w:rPr>
        <w:t>ParcelCare can further enhance onboarding by leveraging technology in line with CIPD best practice. Digital tools, such as HR information systems (HRIS), can automate and streamline administrative tasks, including scheduling paperwork, approvals, and initial training, reducing manual burden and allowing HR and line managers to focus on relationship building and coaching (CIPD, 2021). Remote onboarding flows can be enabled digitally, supporting virtual inductions even for small to medium-sized business units. Managers can receive guidance on running virtual sessions effectively, including checking audio/video, restructuring ice-breakers, and shortening sessions to maintain engagement (CIPD, 2021).</w:t>
      </w:r>
    </w:p>
    <w:p>
      <w:pPr>
        <w:pStyle w:val="Body"/>
        <w:rPr>
          <w:rFonts w:ascii="Aptos" w:cs="Aptos" w:hAnsi="Aptos" w:eastAsia="Aptos"/>
          <w:sz w:val="22"/>
          <w:szCs w:val="22"/>
        </w:rPr>
      </w:pPr>
      <w:r>
        <w:rPr>
          <w:rFonts w:ascii="Aptos" w:cs="Aptos" w:hAnsi="Aptos" w:eastAsia="Aptos"/>
          <w:sz w:val="22"/>
          <w:szCs w:val="22"/>
          <w:rtl w:val="0"/>
          <w:lang w:val="en-US"/>
        </w:rPr>
        <w:t>While technology improves efficiency, CIPD (2021) highlights the need to balance automation with human touchpoints. Too much automation can create an impersonal experience or reduce accessibility for some groups. Retaining manager check-ins and personalised interactions ensures that new drivers feel welcomed, supported, and aligned with ParcelCare</w:t>
      </w:r>
      <w:r>
        <w:rPr>
          <w:rFonts w:ascii="Aptos" w:cs="Aptos" w:hAnsi="Aptos" w:eastAsia="Aptos"/>
          <w:sz w:val="22"/>
          <w:szCs w:val="22"/>
          <w:rtl w:val="0"/>
          <w:lang w:val="en-US"/>
        </w:rPr>
        <w:t>’</w:t>
      </w:r>
      <w:r>
        <w:rPr>
          <w:rFonts w:ascii="Aptos" w:cs="Aptos" w:hAnsi="Aptos" w:eastAsia="Aptos"/>
          <w:sz w:val="22"/>
          <w:szCs w:val="22"/>
          <w:rtl w:val="0"/>
          <w:lang w:val="en-US"/>
        </w:rPr>
        <w:t>s culture. Moreover, digital onboarding provides valuable data on completion rates and engagement, informing workforce planning and helping identify where additional support may be required (CIPD, 2021). By combining structured onboarding with technology, ParcelCare can improve efficiency, enhance the new-hire experience, and support long-term retention and productivity (CIPD, 2021; CIPD, 2024; Taylor and Woodhams, 2022; Daniels, 2025).</w:t>
      </w:r>
    </w:p>
    <w:p>
      <w:pPr>
        <w:pStyle w:val="Body"/>
        <w:rPr>
          <w:rStyle w:val="None A"/>
          <w:rFonts w:ascii="Aptos" w:cs="Aptos" w:hAnsi="Aptos" w:eastAsia="Aptos"/>
          <w:sz w:val="22"/>
          <w:szCs w:val="22"/>
        </w:rPr>
      </w:pPr>
    </w:p>
    <w:p>
      <w:pPr>
        <w:pStyle w:val="Body"/>
        <w:rPr>
          <w:rStyle w:val="None A"/>
          <w:rFonts w:ascii="Aptos" w:cs="Aptos" w:hAnsi="Aptos" w:eastAsia="Aptos"/>
          <w:sz w:val="22"/>
          <w:szCs w:val="22"/>
        </w:rPr>
      </w:pPr>
    </w:p>
    <w:p>
      <w:pPr>
        <w:pStyle w:val="Body"/>
        <w:rPr>
          <w:rFonts w:ascii="Aptos" w:cs="Aptos" w:hAnsi="Aptos" w:eastAsia="Aptos"/>
          <w:b w:val="1"/>
          <w:bCs w:val="1"/>
          <w:sz w:val="22"/>
          <w:szCs w:val="22"/>
          <w:u w:color="004147"/>
        </w:rPr>
      </w:pPr>
      <w:r>
        <w:rPr>
          <w:rFonts w:ascii="Aptos" w:cs="Aptos" w:hAnsi="Aptos" w:eastAsia="Aptos"/>
          <w:b w:val="1"/>
          <w:bCs w:val="1"/>
          <w:sz w:val="22"/>
          <w:szCs w:val="22"/>
          <w:u w:color="004147"/>
          <w:rtl w:val="0"/>
          <w:lang w:val="fr-FR"/>
        </w:rPr>
        <w:t>References:</w:t>
      </w:r>
    </w:p>
    <w:p>
      <w:pPr>
        <w:pStyle w:val="Body"/>
        <w:rPr>
          <w:rFonts w:ascii="Aptos" w:cs="Aptos" w:hAnsi="Aptos" w:eastAsia="Aptos"/>
          <w:sz w:val="22"/>
          <w:szCs w:val="22"/>
          <w:u w:color="004147"/>
        </w:rPr>
      </w:pPr>
      <w:r>
        <w:rPr>
          <w:rFonts w:ascii="Aptos" w:cs="Aptos" w:hAnsi="Aptos" w:eastAsia="Aptos"/>
          <w:sz w:val="22"/>
          <w:szCs w:val="22"/>
          <w:u w:color="004147"/>
          <w:rtl w:val="0"/>
          <w:lang w:val="en-US"/>
        </w:rPr>
        <w:t xml:space="preserve">ACAS (2023) Workforce planning and strategic HR. Available at: </w:t>
      </w:r>
      <w:r>
        <w:rPr>
          <w:rStyle w:val="Hyperlink.0"/>
        </w:rPr>
        <w:fldChar w:fldCharType="begin" w:fldLock="0"/>
      </w:r>
      <w:r>
        <w:rPr>
          <w:rStyle w:val="Hyperlink.0"/>
        </w:rPr>
        <w:instrText xml:space="preserve"> HYPERLINK "https://www.acas.org.uk/workforce-planning"</w:instrText>
      </w:r>
      <w:r>
        <w:rPr>
          <w:rStyle w:val="Hyperlink.0"/>
        </w:rPr>
        <w:fldChar w:fldCharType="separate" w:fldLock="0"/>
      </w:r>
      <w:r>
        <w:rPr>
          <w:rStyle w:val="Hyperlink.0"/>
          <w:rtl w:val="0"/>
        </w:rPr>
        <w:t>https://www.acas.org.uk/workforce-planning</w:t>
      </w:r>
      <w:r>
        <w:rPr/>
        <w:fldChar w:fldCharType="end" w:fldLock="0"/>
      </w:r>
      <w:r>
        <w:rPr>
          <w:rFonts w:ascii="Aptos" w:cs="Aptos" w:hAnsi="Aptos" w:eastAsia="Aptos"/>
          <w:sz w:val="22"/>
          <w:szCs w:val="22"/>
          <w:u w:color="004147"/>
          <w:rtl w:val="0"/>
          <w:lang w:val="en-US"/>
        </w:rPr>
        <w:t xml:space="preserve"> (Accessed: 18 November 2025).</w:t>
      </w:r>
    </w:p>
    <w:p>
      <w:pPr>
        <w:pStyle w:val="Body"/>
        <w:rPr>
          <w:rFonts w:ascii="Aptos" w:cs="Aptos" w:hAnsi="Aptos" w:eastAsia="Aptos"/>
          <w:sz w:val="22"/>
          <w:szCs w:val="22"/>
          <w:u w:color="004147"/>
        </w:rPr>
      </w:pPr>
      <w:r>
        <w:rPr>
          <w:rFonts w:ascii="Aptos" w:cs="Aptos" w:hAnsi="Aptos" w:eastAsia="Aptos"/>
          <w:sz w:val="22"/>
          <w:szCs w:val="22"/>
          <w:u w:color="004147"/>
          <w:rtl w:val="0"/>
          <w:lang w:val="en-US"/>
        </w:rPr>
        <w:t xml:space="preserve">ACAS (2024) Employment contracts. Available at: </w:t>
      </w:r>
      <w:r>
        <w:rPr>
          <w:rStyle w:val="Hyperlink.0"/>
        </w:rPr>
        <w:fldChar w:fldCharType="begin" w:fldLock="0"/>
      </w:r>
      <w:r>
        <w:rPr>
          <w:rStyle w:val="Hyperlink.0"/>
        </w:rPr>
        <w:instrText xml:space="preserve"> HYPERLINK "https://www.acas.org.uk/employment-contracts"</w:instrText>
      </w:r>
      <w:r>
        <w:rPr>
          <w:rStyle w:val="Hyperlink.0"/>
        </w:rPr>
        <w:fldChar w:fldCharType="separate" w:fldLock="0"/>
      </w:r>
      <w:r>
        <w:rPr>
          <w:rStyle w:val="Hyperlink.0"/>
          <w:rtl w:val="0"/>
        </w:rPr>
        <w:t>https://www.acas.org.uk/employment-contracts</w:t>
      </w:r>
      <w:r>
        <w:rPr/>
        <w:fldChar w:fldCharType="end" w:fldLock="0"/>
      </w:r>
      <w:r>
        <w:rPr>
          <w:rFonts w:ascii="Aptos" w:cs="Aptos" w:hAnsi="Aptos" w:eastAsia="Aptos"/>
          <w:sz w:val="22"/>
          <w:szCs w:val="22"/>
          <w:u w:color="004147"/>
          <w:rtl w:val="0"/>
          <w:lang w:val="en-US"/>
        </w:rPr>
        <w:t xml:space="preserve"> (Accessed: 22 November 2025).</w:t>
      </w:r>
    </w:p>
    <w:p>
      <w:pPr>
        <w:pStyle w:val="Body"/>
        <w:rPr>
          <w:rFonts w:ascii="Aptos" w:cs="Aptos" w:hAnsi="Aptos" w:eastAsia="Aptos"/>
          <w:sz w:val="22"/>
          <w:szCs w:val="22"/>
          <w:u w:color="004147"/>
        </w:rPr>
      </w:pPr>
      <w:r>
        <w:rPr>
          <w:rFonts w:ascii="Aptos" w:cs="Aptos" w:hAnsi="Aptos" w:eastAsia="Aptos"/>
          <w:sz w:val="22"/>
          <w:szCs w:val="22"/>
          <w:u w:color="004147"/>
          <w:rtl w:val="0"/>
          <w:lang w:val="en-US"/>
        </w:rPr>
        <w:t xml:space="preserve">ACAS (2024) ACAS code of practice on flexible working requests. Available at: </w:t>
      </w:r>
      <w:r>
        <w:rPr>
          <w:rStyle w:val="Hyperlink.0"/>
        </w:rPr>
        <w:fldChar w:fldCharType="begin" w:fldLock="0"/>
      </w:r>
      <w:r>
        <w:rPr>
          <w:rStyle w:val="Hyperlink.0"/>
        </w:rPr>
        <w:instrText xml:space="preserve"> HYPERLINK "https://www.acas.org.uk/acas-code-of-practice-on-flexible-working-requests"</w:instrText>
      </w:r>
      <w:r>
        <w:rPr>
          <w:rStyle w:val="Hyperlink.0"/>
        </w:rPr>
        <w:fldChar w:fldCharType="separate" w:fldLock="0"/>
      </w:r>
      <w:r>
        <w:rPr>
          <w:rStyle w:val="Hyperlink.0"/>
          <w:rtl w:val="0"/>
        </w:rPr>
        <w:t>https://www.acas.org.uk/acas-code-of-practice-on-flexible-working-requests</w:t>
      </w:r>
      <w:r>
        <w:rPr/>
        <w:fldChar w:fldCharType="end" w:fldLock="0"/>
      </w:r>
      <w:r>
        <w:rPr>
          <w:rFonts w:ascii="Aptos" w:cs="Aptos" w:hAnsi="Aptos" w:eastAsia="Aptos"/>
          <w:sz w:val="22"/>
          <w:szCs w:val="22"/>
          <w:u w:color="004147"/>
          <w:rtl w:val="0"/>
          <w:lang w:val="en-US"/>
        </w:rPr>
        <w:t xml:space="preserve"> (Accessed: 22 November 2025).</w:t>
      </w:r>
    </w:p>
    <w:p>
      <w:pPr>
        <w:pStyle w:val="Body"/>
        <w:rPr>
          <w:rFonts w:ascii="Aptos" w:cs="Aptos" w:hAnsi="Aptos" w:eastAsia="Aptos"/>
          <w:sz w:val="22"/>
          <w:szCs w:val="22"/>
          <w:u w:color="004147"/>
        </w:rPr>
      </w:pPr>
      <w:r>
        <w:rPr>
          <w:rFonts w:ascii="Aptos" w:cs="Aptos" w:hAnsi="Aptos" w:eastAsia="Aptos"/>
          <w:sz w:val="22"/>
          <w:szCs w:val="22"/>
          <w:u w:color="004147"/>
          <w:rtl w:val="0"/>
          <w:lang w:val="en-US"/>
        </w:rPr>
        <w:t xml:space="preserve">Armstrong, M. and Taylor, S. (2023) </w:t>
      </w:r>
      <w:r>
        <w:rPr>
          <w:rFonts w:ascii="Aptos" w:cs="Aptos" w:hAnsi="Aptos" w:eastAsia="Aptos"/>
          <w:i w:val="1"/>
          <w:iCs w:val="1"/>
          <w:sz w:val="22"/>
          <w:szCs w:val="22"/>
          <w:u w:color="004147"/>
          <w:rtl w:val="0"/>
        </w:rPr>
        <w:t>Armstrong</w:t>
      </w:r>
      <w:r>
        <w:rPr>
          <w:rFonts w:ascii="Aptos" w:cs="Aptos" w:hAnsi="Aptos" w:eastAsia="Aptos"/>
          <w:i w:val="1"/>
          <w:iCs w:val="1"/>
          <w:sz w:val="22"/>
          <w:szCs w:val="22"/>
          <w:u w:color="004147"/>
          <w:rtl w:val="0"/>
          <w:lang w:val="en-US"/>
        </w:rPr>
        <w:t>’</w:t>
      </w:r>
      <w:r>
        <w:rPr>
          <w:rFonts w:ascii="Aptos" w:cs="Aptos" w:hAnsi="Aptos" w:eastAsia="Aptos"/>
          <w:i w:val="1"/>
          <w:iCs w:val="1"/>
          <w:sz w:val="22"/>
          <w:szCs w:val="22"/>
          <w:u w:color="004147"/>
          <w:rtl w:val="0"/>
          <w:lang w:val="en-US"/>
        </w:rPr>
        <w:t>s Handbook of Human Resource Management Practice: A Guide to the Theory and Practice of People Management</w:t>
      </w:r>
      <w:r>
        <w:rPr>
          <w:rFonts w:ascii="Aptos" w:cs="Aptos" w:hAnsi="Aptos" w:eastAsia="Aptos"/>
          <w:sz w:val="22"/>
          <w:szCs w:val="22"/>
          <w:u w:color="004147"/>
          <w:rtl w:val="0"/>
          <w:lang w:val="en-US"/>
        </w:rPr>
        <w:t xml:space="preserve">. 16th edn. London: Kogan Page. Available at: </w:t>
      </w:r>
      <w:r>
        <w:rPr>
          <w:rStyle w:val="Hyperlink.0"/>
        </w:rPr>
        <w:fldChar w:fldCharType="begin" w:fldLock="0"/>
      </w:r>
      <w:r>
        <w:rPr>
          <w:rStyle w:val="Hyperlink.0"/>
        </w:rPr>
        <w:instrText xml:space="preserve"> HYPERLINK "https://www.koganpage.com/hr-learning-development/armstrong-s-handbook-of-human-resource-management-practice-9781398606630?utm_source=chatgpt.com"</w:instrText>
      </w:r>
      <w:r>
        <w:rPr>
          <w:rStyle w:val="Hyperlink.0"/>
        </w:rPr>
        <w:fldChar w:fldCharType="separate" w:fldLock="0"/>
      </w:r>
      <w:r>
        <w:rPr>
          <w:rStyle w:val="Hyperlink.0"/>
          <w:rtl w:val="0"/>
        </w:rPr>
        <w:t>https://www.koganpage.com/hr-learning-development/armstrong-s-handbook-of-human-resource-management-practice-9781398606630</w:t>
      </w:r>
      <w:r>
        <w:rPr/>
        <w:fldChar w:fldCharType="end" w:fldLock="0"/>
      </w:r>
      <w:r>
        <w:rPr>
          <w:rFonts w:ascii="Aptos" w:cs="Aptos" w:hAnsi="Aptos" w:eastAsia="Aptos"/>
          <w:sz w:val="22"/>
          <w:szCs w:val="22"/>
          <w:u w:color="004147"/>
          <w:rtl w:val="0"/>
          <w:lang w:val="en-US"/>
        </w:rPr>
        <w:t xml:space="preserve"> (Accessed: 22 November 2025).</w:t>
      </w:r>
    </w:p>
    <w:p>
      <w:pPr>
        <w:pStyle w:val="Body"/>
        <w:rPr>
          <w:rFonts w:ascii="Aptos" w:cs="Aptos" w:hAnsi="Aptos" w:eastAsia="Aptos"/>
          <w:sz w:val="22"/>
          <w:szCs w:val="22"/>
          <w:u w:color="004147"/>
        </w:rPr>
      </w:pPr>
      <w:r>
        <w:rPr>
          <w:rFonts w:ascii="Aptos" w:cs="Aptos" w:hAnsi="Aptos" w:eastAsia="Aptos"/>
          <w:sz w:val="22"/>
          <w:szCs w:val="22"/>
          <w:u w:color="004147"/>
          <w:rtl w:val="0"/>
          <w:lang w:val="en-US"/>
        </w:rPr>
        <w:t xml:space="preserve">CIPD (2019) Workforce planning: An overview. London: Chartered Institute of Personnel and Development. Available at: </w:t>
      </w:r>
      <w:r>
        <w:rPr>
          <w:rStyle w:val="Hyperlink.0"/>
        </w:rPr>
        <w:fldChar w:fldCharType="begin" w:fldLock="0"/>
      </w:r>
      <w:r>
        <w:rPr>
          <w:rStyle w:val="Hyperlink.0"/>
        </w:rPr>
        <w:instrText xml:space="preserve"> HYPERLINK "https://www.cipd.org/uk/knowledge/factsheets/workforce-planning-factsheet/?utm_source=chatgpt.com"</w:instrText>
      </w:r>
      <w:r>
        <w:rPr>
          <w:rStyle w:val="Hyperlink.0"/>
        </w:rPr>
        <w:fldChar w:fldCharType="separate" w:fldLock="0"/>
      </w:r>
      <w:r>
        <w:rPr>
          <w:rStyle w:val="Hyperlink.0"/>
          <w:rtl w:val="0"/>
        </w:rPr>
        <w:t>https://www.cipd.org/uk/knowledge/factsheets/workforce-planning-factsheet/</w:t>
      </w:r>
      <w:r>
        <w:rPr/>
        <w:fldChar w:fldCharType="end" w:fldLock="0"/>
      </w:r>
      <w:r>
        <w:rPr>
          <w:rFonts w:ascii="Aptos" w:cs="Aptos" w:hAnsi="Aptos" w:eastAsia="Aptos"/>
          <w:sz w:val="22"/>
          <w:szCs w:val="22"/>
          <w:u w:color="004147"/>
          <w:rtl w:val="0"/>
          <w:lang w:val="en-US"/>
        </w:rPr>
        <w:t xml:space="preserve"> (Accessed: 28 October 2025).</w:t>
      </w:r>
    </w:p>
    <w:p>
      <w:pPr>
        <w:pStyle w:val="Body"/>
        <w:rPr>
          <w:rFonts w:ascii="Aptos" w:cs="Aptos" w:hAnsi="Aptos" w:eastAsia="Aptos"/>
          <w:sz w:val="22"/>
          <w:szCs w:val="22"/>
          <w:u w:color="004147"/>
        </w:rPr>
      </w:pPr>
      <w:r>
        <w:rPr>
          <w:rFonts w:ascii="Aptos" w:cs="Aptos" w:hAnsi="Aptos" w:eastAsia="Aptos"/>
          <w:sz w:val="22"/>
          <w:szCs w:val="22"/>
          <w:u w:color="004147"/>
          <w:rtl w:val="0"/>
          <w:lang w:val="en-US"/>
        </w:rPr>
        <w:t xml:space="preserve">CIPD (2021) Using technology to improve hiring and onboarding. Available at: </w:t>
      </w:r>
      <w:r>
        <w:rPr>
          <w:rStyle w:val="Hyperlink.0"/>
        </w:rPr>
        <w:fldChar w:fldCharType="begin" w:fldLock="0"/>
      </w:r>
      <w:r>
        <w:rPr>
          <w:rStyle w:val="Hyperlink.0"/>
        </w:rPr>
        <w:instrText xml:space="preserve"> HYPERLINK "https://www.cipd.org/uk/views-and-insights/thought-leadership/insight/using-technology-to-improve-hiring-and-onboarding/?utm_source=chatgpt.com"</w:instrText>
      </w:r>
      <w:r>
        <w:rPr>
          <w:rStyle w:val="Hyperlink.0"/>
        </w:rPr>
        <w:fldChar w:fldCharType="separate" w:fldLock="0"/>
      </w:r>
      <w:r>
        <w:rPr>
          <w:rStyle w:val="Hyperlink.0"/>
          <w:rtl w:val="0"/>
        </w:rPr>
        <w:t>https://www.cipd.org/uk/views-and-insights/thought-leadership/insight/using-technology-to-improve-hiring-and-onboarding/</w:t>
      </w:r>
      <w:r>
        <w:rPr/>
        <w:fldChar w:fldCharType="end" w:fldLock="0"/>
      </w:r>
      <w:r>
        <w:rPr>
          <w:rFonts w:ascii="Aptos" w:cs="Aptos" w:hAnsi="Aptos" w:eastAsia="Aptos"/>
          <w:sz w:val="22"/>
          <w:szCs w:val="22"/>
          <w:u w:color="004147"/>
          <w:rtl w:val="0"/>
          <w:lang w:val="en-US"/>
        </w:rPr>
        <w:t xml:space="preserve"> (Accessed: 22 November 2025).</w:t>
      </w:r>
    </w:p>
    <w:p>
      <w:pPr>
        <w:pStyle w:val="Body"/>
        <w:rPr>
          <w:rFonts w:ascii="Aptos" w:cs="Aptos" w:hAnsi="Aptos" w:eastAsia="Aptos"/>
          <w:sz w:val="22"/>
          <w:szCs w:val="22"/>
          <w:u w:color="004147"/>
        </w:rPr>
      </w:pPr>
      <w:r>
        <w:rPr>
          <w:rFonts w:ascii="Aptos" w:cs="Aptos" w:hAnsi="Aptos" w:eastAsia="Aptos"/>
          <w:sz w:val="22"/>
          <w:szCs w:val="22"/>
          <w:u w:color="004147"/>
          <w:rtl w:val="0"/>
          <w:lang w:val="en-US"/>
        </w:rPr>
        <w:t xml:space="preserve">CIPD (2022) Employee reward and recognition. London: Chartered Institute of Personnel and Development. Available at: </w:t>
      </w:r>
      <w:r>
        <w:rPr>
          <w:rStyle w:val="Hyperlink.0"/>
        </w:rPr>
        <w:fldChar w:fldCharType="begin" w:fldLock="0"/>
      </w:r>
      <w:r>
        <w:rPr>
          <w:rStyle w:val="Hyperlink.0"/>
        </w:rPr>
        <w:instrText xml:space="preserve"> HYPERLINK "https://www.cipd.org/uk/knowledge/factsheets/reward-factsheet/"</w:instrText>
      </w:r>
      <w:r>
        <w:rPr>
          <w:rStyle w:val="Hyperlink.0"/>
        </w:rPr>
        <w:fldChar w:fldCharType="separate" w:fldLock="0"/>
      </w:r>
      <w:r>
        <w:rPr>
          <w:rStyle w:val="Hyperlink.0"/>
          <w:rtl w:val="0"/>
        </w:rPr>
        <w:t>https://www.cipd.org/uk/knowledge/factsheets/reward-factsheet/</w:t>
      </w:r>
      <w:r>
        <w:rPr/>
        <w:fldChar w:fldCharType="end" w:fldLock="0"/>
      </w:r>
      <w:r>
        <w:rPr>
          <w:rFonts w:ascii="Aptos" w:cs="Aptos" w:hAnsi="Aptos" w:eastAsia="Aptos"/>
          <w:sz w:val="22"/>
          <w:szCs w:val="22"/>
          <w:u w:color="004147"/>
          <w:rtl w:val="0"/>
          <w:lang w:val="en-US"/>
        </w:rPr>
        <w:t xml:space="preserve"> (Accessed: 12 November 2025).</w:t>
      </w:r>
    </w:p>
    <w:p>
      <w:pPr>
        <w:pStyle w:val="Body"/>
        <w:rPr>
          <w:rFonts w:ascii="Aptos" w:cs="Aptos" w:hAnsi="Aptos" w:eastAsia="Aptos"/>
          <w:sz w:val="22"/>
          <w:szCs w:val="22"/>
          <w:u w:color="004147"/>
        </w:rPr>
      </w:pPr>
      <w:r>
        <w:rPr>
          <w:rFonts w:ascii="Aptos" w:cs="Aptos" w:hAnsi="Aptos" w:eastAsia="Aptos"/>
          <w:sz w:val="22"/>
          <w:szCs w:val="22"/>
          <w:u w:color="004147"/>
          <w:rtl w:val="0"/>
          <w:lang w:val="en-US"/>
        </w:rPr>
        <w:t xml:space="preserve">CIPD (2022) Elements of a well-designed job advert. Available at: </w:t>
      </w:r>
      <w:r>
        <w:rPr>
          <w:rStyle w:val="Hyperlink.0"/>
        </w:rPr>
        <w:fldChar w:fldCharType="begin" w:fldLock="0"/>
      </w:r>
      <w:r>
        <w:rPr>
          <w:rStyle w:val="Hyperlink.0"/>
        </w:rPr>
        <w:instrText xml:space="preserve"> HYPERLINK "https://www.cipd.org/globalassets/media/knowledge/knowledge-hub/guides/2023-pdfs/inclusive-recruitment-employers-guide_tcm18-112787.pdf"</w:instrText>
      </w:r>
      <w:r>
        <w:rPr>
          <w:rStyle w:val="Hyperlink.0"/>
        </w:rPr>
        <w:fldChar w:fldCharType="separate" w:fldLock="0"/>
      </w:r>
      <w:r>
        <w:rPr>
          <w:rStyle w:val="Hyperlink.0"/>
          <w:rtl w:val="0"/>
        </w:rPr>
        <w:t>https://www.cipd.org/globalassets/media/knowledge/knowledge-hub/guides/2023-pdfs/inclusive-recruitment-employers-guide_tcm18-112787.pdf</w:t>
      </w:r>
      <w:r>
        <w:rPr/>
        <w:fldChar w:fldCharType="end" w:fldLock="0"/>
      </w:r>
      <w:r>
        <w:rPr>
          <w:rFonts w:ascii="Aptos" w:cs="Aptos" w:hAnsi="Aptos" w:eastAsia="Aptos"/>
          <w:sz w:val="22"/>
          <w:szCs w:val="22"/>
          <w:u w:color="004147"/>
          <w:rtl w:val="0"/>
          <w:lang w:val="en-US"/>
        </w:rPr>
        <w:t xml:space="preserve"> (Accessed: 21 November 2025).</w:t>
      </w:r>
    </w:p>
    <w:p>
      <w:pPr>
        <w:pStyle w:val="Body"/>
        <w:rPr>
          <w:rFonts w:ascii="Aptos" w:cs="Aptos" w:hAnsi="Aptos" w:eastAsia="Aptos"/>
          <w:sz w:val="22"/>
          <w:szCs w:val="22"/>
          <w:u w:color="004147"/>
        </w:rPr>
      </w:pPr>
      <w:r>
        <w:rPr>
          <w:rFonts w:ascii="Aptos" w:cs="Aptos" w:hAnsi="Aptos" w:eastAsia="Aptos"/>
          <w:sz w:val="22"/>
          <w:szCs w:val="22"/>
          <w:u w:color="004147"/>
          <w:rtl w:val="0"/>
          <w:lang w:val="en-US"/>
        </w:rPr>
        <w:t xml:space="preserve">CIPD (2023) Recruitment and selection: An overview. London: Chartered Institute of Personnel and Development. Available at: </w:t>
      </w:r>
      <w:r>
        <w:rPr>
          <w:rStyle w:val="Hyperlink.0"/>
        </w:rPr>
        <w:fldChar w:fldCharType="begin" w:fldLock="0"/>
      </w:r>
      <w:r>
        <w:rPr>
          <w:rStyle w:val="Hyperlink.0"/>
        </w:rPr>
        <w:instrText xml:space="preserve"> HYPERLINK "https://www.cipd.org/uk/knowledge/factsheets/recruitment-factsheet/"</w:instrText>
      </w:r>
      <w:r>
        <w:rPr>
          <w:rStyle w:val="Hyperlink.0"/>
        </w:rPr>
        <w:fldChar w:fldCharType="separate" w:fldLock="0"/>
      </w:r>
      <w:r>
        <w:rPr>
          <w:rStyle w:val="Hyperlink.0"/>
          <w:rtl w:val="0"/>
        </w:rPr>
        <w:t>https://www.cipd.org/uk/knowledge/factsheets/recruitment-factsheet/</w:t>
      </w:r>
      <w:r>
        <w:rPr/>
        <w:fldChar w:fldCharType="end" w:fldLock="0"/>
      </w:r>
      <w:r>
        <w:rPr>
          <w:rFonts w:ascii="Aptos" w:cs="Aptos" w:hAnsi="Aptos" w:eastAsia="Aptos"/>
          <w:sz w:val="22"/>
          <w:szCs w:val="22"/>
          <w:u w:color="004147"/>
          <w:rtl w:val="0"/>
          <w:lang w:val="en-US"/>
        </w:rPr>
        <w:t xml:space="preserve"> (Accessed: 11 November 2025).</w:t>
      </w:r>
    </w:p>
    <w:p>
      <w:pPr>
        <w:pStyle w:val="Body"/>
        <w:rPr>
          <w:rFonts w:ascii="Aptos" w:cs="Aptos" w:hAnsi="Aptos" w:eastAsia="Aptos"/>
          <w:sz w:val="22"/>
          <w:szCs w:val="22"/>
          <w:u w:color="004147"/>
        </w:rPr>
      </w:pPr>
      <w:r>
        <w:rPr>
          <w:rFonts w:ascii="Aptos" w:cs="Aptos" w:hAnsi="Aptos" w:eastAsia="Aptos"/>
          <w:sz w:val="22"/>
          <w:szCs w:val="22"/>
          <w:u w:color="004147"/>
          <w:rtl w:val="0"/>
          <w:lang w:val="en-US"/>
        </w:rPr>
        <w:t xml:space="preserve">CIPD (2023) Structured interviews and assessment techniques. London: Chartered Institute of Personnel and Development. Available at: </w:t>
      </w:r>
      <w:r>
        <w:rPr>
          <w:rStyle w:val="Hyperlink.0"/>
        </w:rPr>
        <w:fldChar w:fldCharType="begin" w:fldLock="0"/>
      </w:r>
      <w:r>
        <w:rPr>
          <w:rStyle w:val="Hyperlink.0"/>
        </w:rPr>
        <w:instrText xml:space="preserve"> HYPERLINK "https://www.cipd.org/uk/knowledge/factsheets/interviewing/"</w:instrText>
      </w:r>
      <w:r>
        <w:rPr>
          <w:rStyle w:val="Hyperlink.0"/>
        </w:rPr>
        <w:fldChar w:fldCharType="separate" w:fldLock="0"/>
      </w:r>
      <w:r>
        <w:rPr>
          <w:rStyle w:val="Hyperlink.0"/>
          <w:rtl w:val="0"/>
        </w:rPr>
        <w:t>https://www.cipd.org/uk/knowledge/factsheets/interviewing/</w:t>
      </w:r>
      <w:r>
        <w:rPr/>
        <w:fldChar w:fldCharType="end" w:fldLock="0"/>
      </w:r>
      <w:r>
        <w:rPr>
          <w:rFonts w:ascii="Aptos" w:cs="Aptos" w:hAnsi="Aptos" w:eastAsia="Aptos"/>
          <w:sz w:val="22"/>
          <w:szCs w:val="22"/>
          <w:u w:color="004147"/>
          <w:rtl w:val="0"/>
          <w:lang w:val="en-US"/>
        </w:rPr>
        <w:t xml:space="preserve"> (Accessed: 15 November 2025).</w:t>
      </w:r>
    </w:p>
    <w:p>
      <w:pPr>
        <w:pStyle w:val="Body"/>
        <w:rPr>
          <w:rFonts w:ascii="Aptos" w:cs="Aptos" w:hAnsi="Aptos" w:eastAsia="Aptos"/>
          <w:sz w:val="22"/>
          <w:szCs w:val="22"/>
          <w:u w:color="004147"/>
        </w:rPr>
      </w:pPr>
      <w:r>
        <w:rPr>
          <w:rFonts w:ascii="Aptos" w:cs="Aptos" w:hAnsi="Aptos" w:eastAsia="Aptos"/>
          <w:sz w:val="22"/>
          <w:szCs w:val="22"/>
          <w:u w:color="004147"/>
          <w:rtl w:val="0"/>
          <w:lang w:val="en-US"/>
        </w:rPr>
        <w:t xml:space="preserve">CIPD (2023a) Employment status: Factsheet. London: Chartered Institute of Personnel and Development. Available at: </w:t>
      </w:r>
      <w:r>
        <w:rPr>
          <w:rStyle w:val="Hyperlink.0"/>
        </w:rPr>
        <w:fldChar w:fldCharType="begin" w:fldLock="0"/>
      </w:r>
      <w:r>
        <w:rPr>
          <w:rStyle w:val="Hyperlink.0"/>
        </w:rPr>
        <w:instrText xml:space="preserve"> HYPERLINK "https://www.cipd.org/uk/knowledge/factsheets/status-factsheet/?utm_source=chatgpt.com"</w:instrText>
      </w:r>
      <w:r>
        <w:rPr>
          <w:rStyle w:val="Hyperlink.0"/>
        </w:rPr>
        <w:fldChar w:fldCharType="separate" w:fldLock="0"/>
      </w:r>
      <w:r>
        <w:rPr>
          <w:rStyle w:val="Hyperlink.0"/>
          <w:rtl w:val="0"/>
        </w:rPr>
        <w:t>https://www.cipd.org/uk/knowledge/factsheets/status-factsheet/</w:t>
      </w:r>
      <w:r>
        <w:rPr/>
        <w:fldChar w:fldCharType="end" w:fldLock="0"/>
      </w:r>
      <w:r>
        <w:rPr>
          <w:rFonts w:ascii="Aptos" w:cs="Aptos" w:hAnsi="Aptos" w:eastAsia="Aptos"/>
          <w:sz w:val="22"/>
          <w:szCs w:val="22"/>
          <w:u w:color="004147"/>
          <w:rtl w:val="0"/>
          <w:lang w:val="en-US"/>
        </w:rPr>
        <w:t xml:space="preserve"> (Accessed: 22 November 2025).</w:t>
      </w:r>
    </w:p>
    <w:p>
      <w:pPr>
        <w:pStyle w:val="Body"/>
        <w:rPr>
          <w:rFonts w:ascii="Aptos" w:cs="Aptos" w:hAnsi="Aptos" w:eastAsia="Aptos"/>
          <w:sz w:val="22"/>
          <w:szCs w:val="22"/>
          <w:u w:color="004147"/>
        </w:rPr>
      </w:pPr>
      <w:r>
        <w:rPr>
          <w:rFonts w:ascii="Aptos" w:cs="Aptos" w:hAnsi="Aptos" w:eastAsia="Aptos"/>
          <w:sz w:val="22"/>
          <w:szCs w:val="22"/>
          <w:u w:color="004147"/>
          <w:rtl w:val="0"/>
          <w:lang w:val="en-US"/>
        </w:rPr>
        <w:t xml:space="preserve">CIPD (2023b) Flexible working: Factsheet. London: Chartered Institute of Personnel and Development. Available at: </w:t>
      </w:r>
      <w:r>
        <w:rPr>
          <w:rStyle w:val="Hyperlink.0"/>
        </w:rPr>
        <w:fldChar w:fldCharType="begin" w:fldLock="0"/>
      </w:r>
      <w:r>
        <w:rPr>
          <w:rStyle w:val="Hyperlink.0"/>
        </w:rPr>
        <w:instrText xml:space="preserve"> HYPERLINK "https://www.cipd.org/uk/knowledge/factsheets/flexible-working-practices/"</w:instrText>
      </w:r>
      <w:r>
        <w:rPr>
          <w:rStyle w:val="Hyperlink.0"/>
        </w:rPr>
        <w:fldChar w:fldCharType="separate" w:fldLock="0"/>
      </w:r>
      <w:r>
        <w:rPr>
          <w:rStyle w:val="Hyperlink.0"/>
          <w:rtl w:val="0"/>
        </w:rPr>
        <w:t>https://www.cipd.org/uk/knowledge/factsheets/flexible-working-practices/</w:t>
      </w:r>
      <w:r>
        <w:rPr/>
        <w:fldChar w:fldCharType="end" w:fldLock="0"/>
      </w:r>
      <w:r>
        <w:rPr>
          <w:rFonts w:ascii="Aptos" w:cs="Aptos" w:hAnsi="Aptos" w:eastAsia="Aptos"/>
          <w:sz w:val="22"/>
          <w:szCs w:val="22"/>
          <w:u w:color="004147"/>
          <w:rtl w:val="0"/>
          <w:lang w:val="en-US"/>
        </w:rPr>
        <w:t xml:space="preserve"> (Accessed: 22 November 2025).</w:t>
      </w:r>
    </w:p>
    <w:p>
      <w:pPr>
        <w:pStyle w:val="Body"/>
        <w:rPr>
          <w:rFonts w:ascii="Aptos" w:cs="Aptos" w:hAnsi="Aptos" w:eastAsia="Aptos"/>
          <w:sz w:val="22"/>
          <w:szCs w:val="22"/>
          <w:u w:color="004147"/>
        </w:rPr>
      </w:pPr>
      <w:r>
        <w:rPr>
          <w:rFonts w:ascii="Aptos" w:cs="Aptos" w:hAnsi="Aptos" w:eastAsia="Aptos"/>
          <w:sz w:val="22"/>
          <w:szCs w:val="22"/>
          <w:u w:color="004147"/>
          <w:rtl w:val="0"/>
          <w:lang w:val="en-US"/>
        </w:rPr>
        <w:t xml:space="preserve">CIPD (2023) Inclusive recruitment: A guide for employers. London: Chartered Institute of Personnel and Development. Available at: </w:t>
      </w:r>
      <w:r>
        <w:rPr>
          <w:rStyle w:val="Hyperlink.0"/>
        </w:rPr>
        <w:fldChar w:fldCharType="begin" w:fldLock="0"/>
      </w:r>
      <w:r>
        <w:rPr>
          <w:rStyle w:val="Hyperlink.0"/>
        </w:rPr>
        <w:instrText xml:space="preserve"> HYPERLINK "https://www.cipd.org/globalassets/media/knowledge/knowledge-hub/guides/2023-pdfs/inclusive-recruitment-employers-guide_tcm18-112787.pdf"</w:instrText>
      </w:r>
      <w:r>
        <w:rPr>
          <w:rStyle w:val="Hyperlink.0"/>
        </w:rPr>
        <w:fldChar w:fldCharType="separate" w:fldLock="0"/>
      </w:r>
      <w:r>
        <w:rPr>
          <w:rStyle w:val="Hyperlink.0"/>
          <w:rtl w:val="0"/>
        </w:rPr>
        <w:t>https://www.cipd.org/globalassets/media/knowledge/knowledge-hub/guides/2023-pdfs/inclusive-recruitment-employers-guide_tcm18-112787.pdf</w:t>
      </w:r>
      <w:r>
        <w:rPr/>
        <w:fldChar w:fldCharType="end" w:fldLock="0"/>
      </w:r>
      <w:r>
        <w:rPr>
          <w:rFonts w:ascii="Aptos" w:cs="Aptos" w:hAnsi="Aptos" w:eastAsia="Aptos"/>
          <w:sz w:val="22"/>
          <w:szCs w:val="22"/>
          <w:u w:color="004147"/>
          <w:rtl w:val="0"/>
          <w:lang w:val="en-US"/>
        </w:rPr>
        <w:t xml:space="preserve"> (Accessed: 21 November 2025).</w:t>
      </w:r>
    </w:p>
    <w:p>
      <w:pPr>
        <w:pStyle w:val="Body"/>
        <w:rPr>
          <w:rFonts w:ascii="Aptos" w:cs="Aptos" w:hAnsi="Aptos" w:eastAsia="Aptos"/>
          <w:sz w:val="22"/>
          <w:szCs w:val="22"/>
          <w:u w:color="004147"/>
        </w:rPr>
      </w:pPr>
      <w:r>
        <w:rPr>
          <w:rFonts w:ascii="Aptos" w:cs="Aptos" w:hAnsi="Aptos" w:eastAsia="Aptos"/>
          <w:sz w:val="22"/>
          <w:szCs w:val="22"/>
          <w:u w:color="004147"/>
          <w:rtl w:val="0"/>
          <w:lang w:val="en-US"/>
        </w:rPr>
        <w:t xml:space="preserve">CIPD (2023) People Profession 2023: UK and Ireland Survey Report. Available at: </w:t>
      </w:r>
      <w:r>
        <w:rPr>
          <w:rStyle w:val="Hyperlink.0"/>
        </w:rPr>
        <w:fldChar w:fldCharType="begin" w:fldLock="0"/>
      </w:r>
      <w:r>
        <w:rPr>
          <w:rStyle w:val="Hyperlink.0"/>
        </w:rPr>
        <w:instrText xml:space="preserve"> HYPERLINK "https://www.cipd.org/globalassets/media/knowledge/knowledge-hub/reports/2023-pdfs/2023-people-profession-report-uk-ireland-2.pdf"</w:instrText>
      </w:r>
      <w:r>
        <w:rPr>
          <w:rStyle w:val="Hyperlink.0"/>
        </w:rPr>
        <w:fldChar w:fldCharType="separate" w:fldLock="0"/>
      </w:r>
      <w:r>
        <w:rPr>
          <w:rStyle w:val="Hyperlink.0"/>
          <w:rtl w:val="0"/>
        </w:rPr>
        <w:t>https://www.cipd.org/globalassets/media/knowledge/knowledge-hub/reports/2023-pdfs/2023-people-profession-report-uk-ireland-2.pdf</w:t>
      </w:r>
      <w:r>
        <w:rPr/>
        <w:fldChar w:fldCharType="end" w:fldLock="0"/>
      </w:r>
      <w:r>
        <w:rPr>
          <w:rFonts w:ascii="Aptos" w:cs="Aptos" w:hAnsi="Aptos" w:eastAsia="Aptos"/>
          <w:sz w:val="22"/>
          <w:szCs w:val="22"/>
          <w:u w:color="004147"/>
          <w:rtl w:val="0"/>
          <w:lang w:val="en-US"/>
        </w:rPr>
        <w:t xml:space="preserve"> (Accessed: 20 November 2025).</w:t>
      </w:r>
    </w:p>
    <w:p>
      <w:pPr>
        <w:pStyle w:val="Body"/>
        <w:rPr>
          <w:rFonts w:ascii="Aptos" w:cs="Aptos" w:hAnsi="Aptos" w:eastAsia="Aptos"/>
          <w:sz w:val="22"/>
          <w:szCs w:val="22"/>
          <w:u w:color="004147"/>
        </w:rPr>
      </w:pPr>
      <w:r>
        <w:rPr>
          <w:rFonts w:ascii="Aptos" w:cs="Aptos" w:hAnsi="Aptos" w:eastAsia="Aptos"/>
          <w:sz w:val="22"/>
          <w:szCs w:val="22"/>
          <w:u w:color="004147"/>
          <w:rtl w:val="0"/>
          <w:lang w:val="en-US"/>
        </w:rPr>
        <w:t xml:space="preserve">CIPD (2024) Induction. London: Chartered Institute of Personnel and Development. Available at: </w:t>
      </w:r>
      <w:r>
        <w:rPr>
          <w:rStyle w:val="Hyperlink.0"/>
        </w:rPr>
        <w:fldChar w:fldCharType="begin" w:fldLock="0"/>
      </w:r>
      <w:r>
        <w:rPr>
          <w:rStyle w:val="Hyperlink.0"/>
        </w:rPr>
        <w:instrText xml:space="preserve"> HYPERLINK "https://www.cipd.org/uk/knowledge/fundamentals/people/recruitment/induction-factsheet"</w:instrText>
      </w:r>
      <w:r>
        <w:rPr>
          <w:rStyle w:val="Hyperlink.0"/>
        </w:rPr>
        <w:fldChar w:fldCharType="separate" w:fldLock="0"/>
      </w:r>
      <w:r>
        <w:rPr>
          <w:rStyle w:val="Hyperlink.0"/>
          <w:rtl w:val="0"/>
        </w:rPr>
        <w:t>https://www.cipd.org/uk/knowledge/fundamentals/people/recruitment/induction-factsheet</w:t>
      </w:r>
      <w:r>
        <w:rPr/>
        <w:fldChar w:fldCharType="end" w:fldLock="0"/>
      </w:r>
      <w:r>
        <w:rPr>
          <w:rFonts w:ascii="Aptos" w:cs="Aptos" w:hAnsi="Aptos" w:eastAsia="Aptos"/>
          <w:sz w:val="22"/>
          <w:szCs w:val="22"/>
          <w:u w:color="004147"/>
          <w:rtl w:val="0"/>
          <w:lang w:val="en-US"/>
        </w:rPr>
        <w:t xml:space="preserve"> (Accessed: 22 November 2025).</w:t>
      </w:r>
    </w:p>
    <w:p>
      <w:pPr>
        <w:pStyle w:val="Body"/>
        <w:rPr>
          <w:rFonts w:ascii="Aptos" w:cs="Aptos" w:hAnsi="Aptos" w:eastAsia="Aptos"/>
          <w:sz w:val="22"/>
          <w:szCs w:val="22"/>
          <w:u w:color="004147"/>
        </w:rPr>
      </w:pPr>
      <w:r>
        <w:rPr>
          <w:rFonts w:ascii="Aptos" w:cs="Aptos" w:hAnsi="Aptos" w:eastAsia="Aptos"/>
          <w:sz w:val="22"/>
          <w:szCs w:val="22"/>
          <w:u w:color="004147"/>
          <w:rtl w:val="0"/>
          <w:lang w:val="en-US"/>
        </w:rPr>
        <w:t xml:space="preserve">CIPD (2025) Labour Market Outlook. Available at: </w:t>
      </w:r>
      <w:r>
        <w:rPr>
          <w:rStyle w:val="Hyperlink.0"/>
        </w:rPr>
        <w:fldChar w:fldCharType="begin" w:fldLock="0"/>
      </w:r>
      <w:r>
        <w:rPr>
          <w:rStyle w:val="Hyperlink.0"/>
        </w:rPr>
        <w:instrText xml:space="preserve"> HYPERLINK "https://www.cipd.org/globalassets/media/knowledge/knowledge-hub/reports/2025-pdfs/9024-lmo-autumn-2025-report-web.pdf"</w:instrText>
      </w:r>
      <w:r>
        <w:rPr>
          <w:rStyle w:val="Hyperlink.0"/>
        </w:rPr>
        <w:fldChar w:fldCharType="separate" w:fldLock="0"/>
      </w:r>
      <w:r>
        <w:rPr>
          <w:rStyle w:val="Hyperlink.0"/>
          <w:rtl w:val="0"/>
        </w:rPr>
        <w:t>https://www.cipd.org/globalassets/media/knowledge/knowledge-hub/reports/2025-pdfs/9024-lmo-autumn-2025-report-web.pdf</w:t>
      </w:r>
      <w:r>
        <w:rPr/>
        <w:fldChar w:fldCharType="end" w:fldLock="0"/>
      </w:r>
      <w:r>
        <w:rPr>
          <w:rFonts w:ascii="Aptos" w:cs="Aptos" w:hAnsi="Aptos" w:eastAsia="Aptos"/>
          <w:sz w:val="22"/>
          <w:szCs w:val="22"/>
          <w:u w:color="004147"/>
          <w:rtl w:val="0"/>
          <w:lang w:val="en-US"/>
        </w:rPr>
        <w:t xml:space="preserve"> (Accessed: 28 October 2025).</w:t>
      </w:r>
    </w:p>
    <w:p>
      <w:pPr>
        <w:pStyle w:val="Body"/>
        <w:rPr>
          <w:rFonts w:ascii="Aptos" w:cs="Aptos" w:hAnsi="Aptos" w:eastAsia="Aptos"/>
          <w:sz w:val="22"/>
          <w:szCs w:val="22"/>
          <w:u w:color="004147"/>
        </w:rPr>
      </w:pPr>
      <w:r>
        <w:rPr>
          <w:rFonts w:ascii="Aptos" w:cs="Aptos" w:hAnsi="Aptos" w:eastAsia="Aptos"/>
          <w:sz w:val="22"/>
          <w:szCs w:val="22"/>
          <w:u w:color="004147"/>
          <w:rtl w:val="0"/>
          <w:lang w:val="en-US"/>
        </w:rPr>
        <w:t xml:space="preserve">CIPD (2025) Resourcing and talent planning. London: Chartered Institute of Personnel and Development. Available at: </w:t>
      </w:r>
      <w:r>
        <w:rPr>
          <w:rStyle w:val="Hyperlink.0"/>
        </w:rPr>
        <w:fldChar w:fldCharType="begin" w:fldLock="0"/>
      </w:r>
      <w:r>
        <w:rPr>
          <w:rStyle w:val="Hyperlink.0"/>
        </w:rPr>
        <w:instrText xml:space="preserve"> HYPERLINK "https://www.cipd.org/uk/knowledge/factsheets/resourcing-factsheet/"</w:instrText>
      </w:r>
      <w:r>
        <w:rPr>
          <w:rStyle w:val="Hyperlink.0"/>
        </w:rPr>
        <w:fldChar w:fldCharType="separate" w:fldLock="0"/>
      </w:r>
      <w:r>
        <w:rPr>
          <w:rStyle w:val="Hyperlink.0"/>
          <w:rtl w:val="0"/>
        </w:rPr>
        <w:t>https://www.cipd.org/uk/knowledge/factsheets/resourcing-factsheet/</w:t>
      </w:r>
      <w:r>
        <w:rPr/>
        <w:fldChar w:fldCharType="end" w:fldLock="0"/>
      </w:r>
      <w:r>
        <w:rPr>
          <w:rFonts w:ascii="Aptos" w:cs="Aptos" w:hAnsi="Aptos" w:eastAsia="Aptos"/>
          <w:sz w:val="22"/>
          <w:szCs w:val="22"/>
          <w:u w:color="004147"/>
          <w:rtl w:val="0"/>
          <w:lang w:val="en-US"/>
        </w:rPr>
        <w:t xml:space="preserve"> (Accessed: 10 November 2025).</w:t>
      </w:r>
    </w:p>
    <w:p>
      <w:pPr>
        <w:pStyle w:val="Body"/>
        <w:rPr>
          <w:rFonts w:ascii="Aptos" w:cs="Aptos" w:hAnsi="Aptos" w:eastAsia="Aptos"/>
          <w:sz w:val="22"/>
          <w:szCs w:val="22"/>
          <w:u w:color="004147"/>
        </w:rPr>
      </w:pPr>
      <w:r>
        <w:rPr>
          <w:rFonts w:ascii="Aptos" w:cs="Aptos" w:hAnsi="Aptos" w:eastAsia="Aptos"/>
          <w:sz w:val="22"/>
          <w:szCs w:val="22"/>
          <w:u w:color="004147"/>
          <w:rtl w:val="0"/>
          <w:lang w:val="en-US"/>
        </w:rPr>
        <w:t xml:space="preserve">CIPD (2025) Strategic workforce planning: Guide for HR practitioners. London: Chartered Institute of Personnel and Development. Available at: </w:t>
      </w:r>
      <w:r>
        <w:rPr>
          <w:rStyle w:val="Hyperlink.0"/>
        </w:rPr>
        <w:fldChar w:fldCharType="begin" w:fldLock="0"/>
      </w:r>
      <w:r>
        <w:rPr>
          <w:rStyle w:val="Hyperlink.0"/>
        </w:rPr>
        <w:instrText xml:space="preserve"> HYPERLINK "https://www.cipd.org/uk/knowledge/guides/strategic-workforce-planning/?utm_source=chatgpt.com"</w:instrText>
      </w:r>
      <w:r>
        <w:rPr>
          <w:rStyle w:val="Hyperlink.0"/>
        </w:rPr>
        <w:fldChar w:fldCharType="separate" w:fldLock="0"/>
      </w:r>
      <w:r>
        <w:rPr>
          <w:rStyle w:val="Hyperlink.0"/>
          <w:rtl w:val="0"/>
        </w:rPr>
        <w:t>https://www.cipd.org/uk/knowledge/guides/strategic-workforce-planning/</w:t>
      </w:r>
      <w:r>
        <w:rPr/>
        <w:fldChar w:fldCharType="end" w:fldLock="0"/>
      </w:r>
      <w:r>
        <w:rPr>
          <w:rFonts w:ascii="Aptos" w:cs="Aptos" w:hAnsi="Aptos" w:eastAsia="Aptos"/>
          <w:sz w:val="22"/>
          <w:szCs w:val="22"/>
          <w:u w:color="004147"/>
          <w:rtl w:val="0"/>
          <w:lang w:val="en-US"/>
        </w:rPr>
        <w:t xml:space="preserve"> (Accessed: 28 October 2025).</w:t>
      </w:r>
    </w:p>
    <w:p>
      <w:pPr>
        <w:pStyle w:val="Body"/>
        <w:rPr>
          <w:rFonts w:ascii="Aptos" w:cs="Aptos" w:hAnsi="Aptos" w:eastAsia="Aptos"/>
          <w:sz w:val="22"/>
          <w:szCs w:val="22"/>
          <w:u w:color="004147"/>
        </w:rPr>
      </w:pPr>
      <w:r>
        <w:rPr>
          <w:rFonts w:ascii="Aptos" w:cs="Aptos" w:hAnsi="Aptos" w:eastAsia="Aptos"/>
          <w:sz w:val="22"/>
          <w:szCs w:val="22"/>
          <w:u w:color="004147"/>
          <w:rtl w:val="0"/>
          <w:lang w:val="en-US"/>
        </w:rPr>
        <w:t>Cuthbert, S. (2025) Personal experience of employee induction programmes. [Unpublished].</w:t>
      </w:r>
    </w:p>
    <w:p>
      <w:pPr>
        <w:pStyle w:val="Body"/>
        <w:rPr>
          <w:rFonts w:ascii="Aptos" w:cs="Aptos" w:hAnsi="Aptos" w:eastAsia="Aptos"/>
          <w:sz w:val="22"/>
          <w:szCs w:val="22"/>
          <w:u w:color="004147"/>
        </w:rPr>
      </w:pPr>
      <w:r>
        <w:rPr>
          <w:rFonts w:ascii="Aptos" w:cs="Aptos" w:hAnsi="Aptos" w:eastAsia="Aptos"/>
          <w:sz w:val="22"/>
          <w:szCs w:val="22"/>
          <w:u w:color="004147"/>
          <w:rtl w:val="0"/>
          <w:lang w:val="en-US"/>
        </w:rPr>
        <w:t>Daniels, K. (2025) Introduction to Employment Law: Fundamentals for HR and Business Students. 7th edn. London: Kogan Page.</w:t>
      </w:r>
    </w:p>
    <w:p>
      <w:pPr>
        <w:pStyle w:val="Body"/>
        <w:rPr>
          <w:rFonts w:ascii="Aptos" w:cs="Aptos" w:hAnsi="Aptos" w:eastAsia="Aptos"/>
          <w:outline w:val="0"/>
          <w:color w:val="ee0000"/>
          <w:sz w:val="22"/>
          <w:szCs w:val="22"/>
          <w:u w:color="004147"/>
          <w14:textFill>
            <w14:solidFill>
              <w14:srgbClr w14:val="EE0000"/>
            </w14:solidFill>
          </w14:textFill>
        </w:rPr>
      </w:pPr>
      <w:r>
        <w:rPr>
          <w:rFonts w:ascii="Aptos" w:cs="Aptos" w:hAnsi="Aptos" w:eastAsia="Aptos"/>
          <w:outline w:val="0"/>
          <w:color w:val="ee0000"/>
          <w:sz w:val="22"/>
          <w:szCs w:val="22"/>
          <w:u w:color="004147"/>
          <w:rtl w:val="0"/>
          <w14:textFill>
            <w14:solidFill>
              <w14:srgbClr w14:val="EE0000"/>
            </w14:solidFill>
          </w14:textFill>
        </w:rPr>
        <w:t xml:space="preserve">myHRfuture (2018) </w:t>
      </w:r>
      <w:r>
        <w:rPr>
          <w:rFonts w:ascii="Aptos" w:cs="Aptos" w:hAnsi="Aptos" w:eastAsia="Aptos"/>
          <w:i w:val="1"/>
          <w:iCs w:val="1"/>
          <w:outline w:val="0"/>
          <w:color w:val="ee0000"/>
          <w:sz w:val="22"/>
          <w:szCs w:val="22"/>
          <w:u w:color="004147"/>
          <w:rtl w:val="0"/>
          <w:lang w:val="en-US"/>
          <w14:textFill>
            <w14:solidFill>
              <w14:srgbClr w14:val="EE0000"/>
            </w14:solidFill>
          </w14:textFill>
        </w:rPr>
        <w:t>What are the steps in a workforce planning process?</w:t>
      </w:r>
      <w:r>
        <w:rPr>
          <w:rFonts w:ascii="Aptos" w:cs="Aptos" w:hAnsi="Aptos" w:eastAsia="Aptos"/>
          <w:outline w:val="0"/>
          <w:color w:val="ee0000"/>
          <w:sz w:val="22"/>
          <w:szCs w:val="22"/>
          <w:u w:color="004147"/>
          <w:rtl w:val="0"/>
          <w:lang w:val="en-US"/>
          <w14:textFill>
            <w14:solidFill>
              <w14:srgbClr w14:val="EE0000"/>
            </w14:solidFill>
          </w14:textFill>
        </w:rPr>
        <w:t xml:space="preserve"> YouTube. Available at: </w:t>
      </w:r>
      <w:r>
        <w:rPr>
          <w:rStyle w:val="Hyperlink.1"/>
        </w:rPr>
        <w:fldChar w:fldCharType="begin" w:fldLock="0"/>
      </w:r>
      <w:r>
        <w:rPr>
          <w:rStyle w:val="Hyperlink.1"/>
        </w:rPr>
        <w:instrText xml:space="preserve"> HYPERLINK "https://www.youtube.com/watch?v=EvGhsGOtToI&amp;utm_source=chatgpt.com"</w:instrText>
      </w:r>
      <w:r>
        <w:rPr>
          <w:rStyle w:val="Hyperlink.1"/>
        </w:rPr>
        <w:fldChar w:fldCharType="separate" w:fldLock="0"/>
      </w:r>
      <w:r>
        <w:rPr>
          <w:rStyle w:val="Hyperlink.1"/>
          <w:rtl w:val="0"/>
        </w:rPr>
        <w:t>https://www.youtube.com/watch?v=EvGhsGOtToI</w:t>
      </w:r>
      <w:r>
        <w:rPr/>
        <w:fldChar w:fldCharType="end" w:fldLock="0"/>
      </w:r>
      <w:r>
        <w:rPr>
          <w:rFonts w:ascii="Aptos" w:cs="Aptos" w:hAnsi="Aptos" w:eastAsia="Aptos"/>
          <w:outline w:val="0"/>
          <w:color w:val="ee0000"/>
          <w:sz w:val="22"/>
          <w:szCs w:val="22"/>
          <w:u w:color="004147"/>
          <w:rtl w:val="0"/>
          <w:lang w:val="en-US"/>
          <w14:textFill>
            <w14:solidFill>
              <w14:srgbClr w14:val="EE0000"/>
            </w14:solidFill>
          </w14:textFill>
        </w:rPr>
        <w:t xml:space="preserve"> (Accessed: 27 December 2025).</w:t>
      </w:r>
    </w:p>
    <w:p>
      <w:pPr>
        <w:pStyle w:val="Body"/>
        <w:rPr>
          <w:rFonts w:ascii="Aptos" w:cs="Aptos" w:hAnsi="Aptos" w:eastAsia="Aptos"/>
          <w:sz w:val="22"/>
          <w:szCs w:val="22"/>
          <w:u w:color="004147"/>
        </w:rPr>
      </w:pPr>
      <w:r>
        <w:rPr>
          <w:rFonts w:ascii="Aptos" w:cs="Aptos" w:hAnsi="Aptos" w:eastAsia="Aptos"/>
          <w:sz w:val="22"/>
          <w:szCs w:val="22"/>
          <w:u w:color="004147"/>
          <w:rtl w:val="0"/>
          <w:lang w:val="en-US"/>
        </w:rPr>
        <w:t xml:space="preserve">Office for National Statistics (ONS) (2024) Labour market overview: UK. London: ONS. Available at: </w:t>
      </w:r>
      <w:r>
        <w:rPr>
          <w:rStyle w:val="Hyperlink.0"/>
        </w:rPr>
        <w:fldChar w:fldCharType="begin" w:fldLock="0"/>
      </w:r>
      <w:r>
        <w:rPr>
          <w:rStyle w:val="Hyperlink.0"/>
        </w:rPr>
        <w:instrText xml:space="preserve"> HYPERLINK "https://www.ons.gov.uk/employmentandlabourmarket/peopleinwork/"</w:instrText>
      </w:r>
      <w:r>
        <w:rPr>
          <w:rStyle w:val="Hyperlink.0"/>
        </w:rPr>
        <w:fldChar w:fldCharType="separate" w:fldLock="0"/>
      </w:r>
      <w:r>
        <w:rPr>
          <w:rStyle w:val="Hyperlink.0"/>
          <w:rtl w:val="0"/>
        </w:rPr>
        <w:t>https://www.ons.gov.uk/employmentandlabourmarket/peopleinwork/</w:t>
      </w:r>
      <w:r>
        <w:rPr/>
        <w:fldChar w:fldCharType="end" w:fldLock="0"/>
      </w:r>
      <w:r>
        <w:rPr>
          <w:rFonts w:ascii="Aptos" w:cs="Aptos" w:hAnsi="Aptos" w:eastAsia="Aptos"/>
          <w:sz w:val="22"/>
          <w:szCs w:val="22"/>
          <w:u w:color="004147"/>
          <w:rtl w:val="0"/>
          <w:lang w:val="en-US"/>
        </w:rPr>
        <w:t xml:space="preserve"> (Accessed: 18 November 2025).</w:t>
      </w:r>
    </w:p>
    <w:p>
      <w:pPr>
        <w:pStyle w:val="Body"/>
        <w:rPr>
          <w:rFonts w:ascii="Aptos" w:cs="Aptos" w:hAnsi="Aptos" w:eastAsia="Aptos"/>
          <w:sz w:val="22"/>
          <w:szCs w:val="22"/>
          <w:u w:color="004147"/>
        </w:rPr>
      </w:pPr>
      <w:r>
        <w:rPr>
          <w:rFonts w:ascii="Aptos" w:cs="Aptos" w:hAnsi="Aptos" w:eastAsia="Aptos"/>
          <w:sz w:val="22"/>
          <w:szCs w:val="22"/>
          <w:u w:color="004147"/>
          <w:rtl w:val="0"/>
          <w:lang w:val="en-US"/>
        </w:rPr>
        <w:t xml:space="preserve">Taylor, S. (2024) Resourcing and Talent Planning Report 2024. Available at: </w:t>
      </w:r>
      <w:r>
        <w:rPr>
          <w:rStyle w:val="Hyperlink.0"/>
        </w:rPr>
        <w:fldChar w:fldCharType="begin" w:fldLock="0"/>
      </w:r>
      <w:r>
        <w:rPr>
          <w:rStyle w:val="Hyperlink.0"/>
        </w:rPr>
        <w:instrText xml:space="preserve"> HYPERLINK "https://cdn.koganpage.com/media/public/document/resourcing_09_taylor_9781398618381_c01.pdf"</w:instrText>
      </w:r>
      <w:r>
        <w:rPr>
          <w:rStyle w:val="Hyperlink.0"/>
        </w:rPr>
        <w:fldChar w:fldCharType="separate" w:fldLock="0"/>
      </w:r>
      <w:r>
        <w:rPr>
          <w:rStyle w:val="Hyperlink.0"/>
          <w:rtl w:val="0"/>
        </w:rPr>
        <w:t>https://cdn.koganpage.com/media/public/document/resourcing_09_taylor_9781398618381_c01.pdf</w:t>
      </w:r>
      <w:r>
        <w:rPr/>
        <w:fldChar w:fldCharType="end" w:fldLock="0"/>
      </w:r>
      <w:r>
        <w:rPr>
          <w:rFonts w:ascii="Aptos" w:cs="Aptos" w:hAnsi="Aptos" w:eastAsia="Aptos"/>
          <w:sz w:val="22"/>
          <w:szCs w:val="22"/>
          <w:u w:color="004147"/>
          <w:rtl w:val="0"/>
          <w:lang w:val="en-US"/>
        </w:rPr>
        <w:t xml:space="preserve"> (Accessed: 18 November 2025).</w:t>
      </w:r>
    </w:p>
    <w:p>
      <w:pPr>
        <w:pStyle w:val="Body"/>
        <w:rPr>
          <w:rFonts w:ascii="Aptos" w:cs="Aptos" w:hAnsi="Aptos" w:eastAsia="Aptos"/>
          <w:sz w:val="22"/>
          <w:szCs w:val="22"/>
          <w:u w:color="004147"/>
        </w:rPr>
      </w:pPr>
      <w:r>
        <w:rPr>
          <w:rFonts w:ascii="Aptos" w:cs="Aptos" w:hAnsi="Aptos" w:eastAsia="Aptos"/>
          <w:sz w:val="22"/>
          <w:szCs w:val="22"/>
          <w:u w:color="004147"/>
          <w:rtl w:val="0"/>
          <w:lang w:val="en-US"/>
        </w:rPr>
        <w:t>Taylor, S. and Woodhams, C. (2022) Human Resource Management: People, Performance and Change. 5th edn. London: Kogan Page.</w:t>
      </w:r>
    </w:p>
    <w:p>
      <w:pPr>
        <w:pStyle w:val="Body"/>
        <w:rPr>
          <w:rFonts w:ascii="Aptos" w:cs="Aptos" w:hAnsi="Aptos" w:eastAsia="Aptos"/>
          <w:sz w:val="22"/>
          <w:szCs w:val="22"/>
          <w:u w:color="004147"/>
        </w:rPr>
      </w:pPr>
      <w:r>
        <w:rPr>
          <w:rFonts w:ascii="Aptos" w:cs="Aptos" w:hAnsi="Aptos" w:eastAsia="Aptos"/>
          <w:sz w:val="22"/>
          <w:szCs w:val="22"/>
          <w:u w:color="004147"/>
          <w:rtl w:val="0"/>
          <w:lang w:val="en-US"/>
        </w:rPr>
        <w:t>Taylor, S. and Woodhams, C. (2022) Studying Human Resource Management: A Guide to the Study, Context and Practice of HR. 3rd edn. London, UK; New York, NY: Kogan Page.</w:t>
      </w:r>
    </w:p>
    <w:p>
      <w:pPr>
        <w:pStyle w:val="Body"/>
      </w:pPr>
      <w:r>
        <w:rPr>
          <w:rFonts w:ascii="Aptos" w:cs="Aptos" w:hAnsi="Aptos" w:eastAsia="Aptos"/>
          <w:sz w:val="22"/>
          <w:szCs w:val="22"/>
          <w:u w:color="004147"/>
          <w:rtl w:val="0"/>
          <w:lang w:val="en-US"/>
        </w:rPr>
        <w:t>Waite, K. Beevers, K. Small, N. Tomlinson, K. and Hussain, S. (2021) People Practice: A Complete Guide. London, UK; New York, NY: Kogan Page.</w:t>
      </w:r>
    </w:p>
    <w:sectPr>
      <w:headerReference w:type="default" r:id="rId6"/>
      <w:footerReference w:type="default" r:id="rId7"/>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Apto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start w:val="1"/>
      <w:numFmt w:val="bullet"/>
      <w:suff w:val="tab"/>
      <w:lvlText w:val="o"/>
      <w:lvlJc w:val="left"/>
      <w:pPr>
        <w:tabs>
          <w:tab w:val="left" w:pos="720"/>
        </w:tabs>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start w:val="1"/>
      <w:numFmt w:val="bullet"/>
      <w:suff w:val="tab"/>
      <w:lvlText w:val="▪"/>
      <w:lvlJc w:val="left"/>
      <w:pPr>
        <w:tabs>
          <w:tab w:val="left" w:pos="720"/>
        </w:tabs>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start w:val="1"/>
      <w:numFmt w:val="bullet"/>
      <w:suff w:val="tab"/>
      <w:lvlText w:val="▪"/>
      <w:lvlJc w:val="left"/>
      <w:pPr>
        <w:tabs>
          <w:tab w:val="left" w:pos="720"/>
        </w:tabs>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start w:val="1"/>
      <w:numFmt w:val="bullet"/>
      <w:suff w:val="tab"/>
      <w:lvlText w:val="▪"/>
      <w:lvlJc w:val="left"/>
      <w:pPr>
        <w:tabs>
          <w:tab w:val="left" w:pos="720"/>
        </w:tabs>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start w:val="1"/>
      <w:numFmt w:val="bullet"/>
      <w:suff w:val="tab"/>
      <w:lvlText w:val="▪"/>
      <w:lvlJc w:val="left"/>
      <w:pPr>
        <w:tabs>
          <w:tab w:val="left" w:pos="720"/>
        </w:tabs>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start w:val="1"/>
      <w:numFmt w:val="bullet"/>
      <w:suff w:val="tab"/>
      <w:lvlText w:val="▪"/>
      <w:lvlJc w:val="left"/>
      <w:pPr>
        <w:tabs>
          <w:tab w:val="left" w:pos="720"/>
        </w:tabs>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start w:val="1"/>
      <w:numFmt w:val="bullet"/>
      <w:suff w:val="tab"/>
      <w:lvlText w:val="▪"/>
      <w:lvlJc w:val="left"/>
      <w:pPr>
        <w:tabs>
          <w:tab w:val="left" w:pos="720"/>
        </w:tabs>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start w:val="1"/>
      <w:numFmt w:val="bullet"/>
      <w:suff w:val="tab"/>
      <w:lvlText w:val="▪"/>
      <w:lvlJc w:val="left"/>
      <w:pPr>
        <w:tabs>
          <w:tab w:val="left" w:pos="720"/>
        </w:tabs>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78"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2"/>
      <w:position w:val="0"/>
      <w:sz w:val="24"/>
      <w:szCs w:val="24"/>
      <w:u w:val="none" w:color="000000"/>
      <w:shd w:val="nil" w:color="auto" w:fill="auto"/>
      <w:vertAlign w:val="baseline"/>
      <w:lang w:val="en-US"/>
      <w14:textOutline>
        <w14:noFill/>
      </w14:textOutline>
      <w14:textFill>
        <w14:solidFill>
          <w14:srgbClr w14:val="000000"/>
        </w14:solidFill>
      </w14:textFill>
    </w:rPr>
  </w:style>
  <w:style w:type="character" w:styleId="None A">
    <w:name w:val="None A"/>
  </w:style>
  <w:style w:type="paragraph" w:styleId="Table Style 2 A">
    <w:name w:val="Table Style 2 A"/>
    <w:next w:val="Table Style 2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numbering" w:styleId="Imported Style 1">
    <w:name w:val="Imported Style 1"/>
    <w:pPr>
      <w:numPr>
        <w:numId w:val="1"/>
      </w:numPr>
    </w:p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Nornal">
    <w:name w:val="Nornal"/>
    <w:next w:val="Nornal"/>
    <w:pPr>
      <w:keepNext w:val="0"/>
      <w:keepLines w:val="0"/>
      <w:pageBreakBefore w:val="0"/>
      <w:widowControl w:val="1"/>
      <w:shd w:val="clear" w:color="auto" w:fill="auto"/>
      <w:suppressAutoHyphens w:val="0"/>
      <w:bidi w:val="0"/>
      <w:spacing w:before="0" w:after="160" w:line="264"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character" w:styleId="Link">
    <w:name w:val="Link"/>
    <w:rPr>
      <w:outline w:val="0"/>
      <w:color w:val="0563c1"/>
      <w:u w:val="single" w:color="0563c1"/>
      <w14:textFill>
        <w14:solidFill>
          <w14:srgbClr w14:val="0563C1"/>
        </w14:solidFill>
      </w14:textFill>
    </w:rPr>
  </w:style>
  <w:style w:type="character" w:styleId="Hyperlink.0">
    <w:name w:val="Hyperlink.0"/>
    <w:basedOn w:val="Link"/>
    <w:next w:val="Hyperlink.0"/>
    <w:rPr>
      <w:rFonts w:ascii="Aptos" w:cs="Aptos" w:hAnsi="Aptos" w:eastAsia="Aptos"/>
      <w:sz w:val="22"/>
      <w:szCs w:val="22"/>
    </w:rPr>
  </w:style>
  <w:style w:type="character" w:styleId="Hyperlink.1">
    <w:name w:val="Hyperlink.1"/>
    <w:basedOn w:val="Link"/>
    <w:next w:val="Hyperlink.1"/>
    <w:rPr>
      <w:rFonts w:ascii="Aptos" w:cs="Aptos" w:hAnsi="Aptos" w:eastAsia="Aptos"/>
      <w:outline w:val="0"/>
      <w:color w:val="ee0000"/>
      <w:sz w:val="22"/>
      <w:szCs w:val="22"/>
      <w:u w:color="ee0000"/>
      <w14:textFill>
        <w14:solidFill>
          <w14:srgbClr w14:val="EE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