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F51D8" w14:textId="77777777" w:rsidR="007E286C" w:rsidRPr="007E57A2" w:rsidRDefault="007E286C" w:rsidP="007E286C">
      <w:pPr>
        <w:autoSpaceDE w:val="0"/>
        <w:autoSpaceDN w:val="0"/>
        <w:adjustRightInd w:val="0"/>
        <w:spacing w:after="0" w:line="240" w:lineRule="auto"/>
        <w:ind w:left="567" w:hanging="567"/>
        <w:rPr>
          <w:rFonts w:ascii="Arial" w:hAnsi="Arial" w:cs="Arial"/>
          <w:color w:val="000000"/>
          <w:kern w:val="0"/>
          <w:sz w:val="22"/>
          <w:szCs w:val="22"/>
        </w:rPr>
      </w:pPr>
      <w:r w:rsidRPr="007E57A2">
        <w:rPr>
          <w:rFonts w:ascii="Arial" w:hAnsi="Arial" w:cs="Arial"/>
          <w:b/>
          <w:bCs/>
          <w:color w:val="053237"/>
          <w:kern w:val="0"/>
          <w:sz w:val="22"/>
          <w:szCs w:val="22"/>
        </w:rPr>
        <w:t>Q1</w:t>
      </w:r>
      <w:r w:rsidRPr="007E57A2">
        <w:rPr>
          <w:rFonts w:ascii="Arial" w:hAnsi="Arial" w:cs="Arial"/>
          <w:b/>
          <w:bCs/>
          <w:color w:val="053236"/>
          <w:kern w:val="0"/>
          <w:sz w:val="22"/>
          <w:szCs w:val="22"/>
        </w:rPr>
        <w:t xml:space="preserve">. </w:t>
      </w:r>
      <w:r w:rsidRPr="007E57A2">
        <w:rPr>
          <w:rFonts w:ascii="Arial" w:hAnsi="Arial" w:cs="Arial"/>
          <w:b/>
          <w:bCs/>
          <w:color w:val="000000"/>
          <w:kern w:val="0"/>
          <w:sz w:val="22"/>
          <w:szCs w:val="22"/>
        </w:rPr>
        <w:t xml:space="preserve">Evaluate the concept of evidence-based practice (EBP) and provide two examples of where </w:t>
      </w:r>
      <w:proofErr w:type="spellStart"/>
      <w:r w:rsidRPr="007E57A2">
        <w:rPr>
          <w:rFonts w:ascii="Arial" w:hAnsi="Arial" w:cs="Arial"/>
          <w:b/>
          <w:bCs/>
          <w:color w:val="000000"/>
          <w:kern w:val="0"/>
          <w:sz w:val="22"/>
          <w:szCs w:val="22"/>
        </w:rPr>
        <w:t>Technivara</w:t>
      </w:r>
      <w:proofErr w:type="spellEnd"/>
      <w:r w:rsidRPr="007E57A2">
        <w:rPr>
          <w:rFonts w:ascii="Arial" w:hAnsi="Arial" w:cs="Arial"/>
          <w:b/>
          <w:bCs/>
          <w:color w:val="000000"/>
          <w:kern w:val="0"/>
          <w:sz w:val="22"/>
          <w:szCs w:val="22"/>
        </w:rPr>
        <w:t xml:space="preserve"> could use it to ensure sound decision-making in people practice. (AC 1.1)</w:t>
      </w:r>
    </w:p>
    <w:p w14:paraId="2FC3B040" w14:textId="7A6EFE56"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r w:rsidRPr="007E57A2">
        <w:rPr>
          <w:rFonts w:ascii="Arial" w:hAnsi="Arial" w:cs="Arial"/>
          <w:color w:val="000000"/>
          <w:kern w:val="0"/>
          <w:sz w:val="22"/>
          <w:szCs w:val="22"/>
        </w:rPr>
        <w:t xml:space="preserve"> </w:t>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p>
    <w:p w14:paraId="1C799E1C" w14:textId="0F202939"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r w:rsidRPr="007E57A2">
        <w:rPr>
          <w:rFonts w:ascii="Arial" w:hAnsi="Arial" w:cs="Arial"/>
          <w:noProof/>
          <w:color w:val="000000"/>
          <w:kern w:val="0"/>
          <w:sz w:val="22"/>
          <w:szCs w:val="22"/>
        </w:rPr>
        <w:drawing>
          <wp:anchor distT="0" distB="0" distL="114300" distR="114300" simplePos="0" relativeHeight="251658240" behindDoc="1" locked="0" layoutInCell="1" allowOverlap="1" wp14:anchorId="22B45869" wp14:editId="7EAEB5C8">
            <wp:simplePos x="0" y="0"/>
            <wp:positionH relativeFrom="column">
              <wp:posOffset>1108710</wp:posOffset>
            </wp:positionH>
            <wp:positionV relativeFrom="paragraph">
              <wp:posOffset>55245</wp:posOffset>
            </wp:positionV>
            <wp:extent cx="3790950" cy="3883025"/>
            <wp:effectExtent l="0" t="0" r="6350" b="3175"/>
            <wp:wrapTight wrapText="bothSides">
              <wp:wrapPolygon edited="0">
                <wp:start x="0" y="0"/>
                <wp:lineTo x="0" y="21547"/>
                <wp:lineTo x="21564" y="21547"/>
                <wp:lineTo x="21564" y="0"/>
                <wp:lineTo x="0" y="0"/>
              </wp:wrapPolygon>
            </wp:wrapTight>
            <wp:docPr id="1897997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997573"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90950" cy="3883025"/>
                    </a:xfrm>
                    <a:prstGeom prst="rect">
                      <a:avLst/>
                    </a:prstGeom>
                  </pic:spPr>
                </pic:pic>
              </a:graphicData>
            </a:graphic>
            <wp14:sizeRelH relativeFrom="page">
              <wp14:pctWidth>0</wp14:pctWidth>
            </wp14:sizeRelH>
            <wp14:sizeRelV relativeFrom="page">
              <wp14:pctHeight>0</wp14:pctHeight>
            </wp14:sizeRelV>
          </wp:anchor>
        </w:drawing>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r w:rsidRPr="007E57A2">
        <w:rPr>
          <w:rFonts w:ascii="Arial" w:hAnsi="Arial" w:cs="Arial"/>
          <w:color w:val="000000"/>
          <w:kern w:val="0"/>
          <w:sz w:val="22"/>
          <w:szCs w:val="22"/>
        </w:rPr>
        <w:tab/>
      </w:r>
    </w:p>
    <w:p w14:paraId="7DA2C059" w14:textId="183471C5"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6AF3D8B" w14:textId="7322530B"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E0273C6" w14:textId="788C07AF"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5B272E83"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904B937"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34AD94F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66F5FCF"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08D1B297"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411C8D0D"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06E9C706"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5EDCEB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7F28364"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04C8029"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03CAA3B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3581214F"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355802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280793BD"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47501018"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D017F1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69C579F5"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B08AAC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1CD8AB99"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xml:space="preserve"> </w:t>
      </w:r>
    </w:p>
    <w:p w14:paraId="014D467E" w14:textId="55173A22" w:rsidR="007E286C" w:rsidRPr="007E57A2" w:rsidRDefault="007E286C" w:rsidP="007E286C">
      <w:pPr>
        <w:autoSpaceDE w:val="0"/>
        <w:autoSpaceDN w:val="0"/>
        <w:adjustRightInd w:val="0"/>
        <w:spacing w:after="0" w:line="240" w:lineRule="auto"/>
        <w:ind w:left="6480" w:firstLine="720"/>
        <w:jc w:val="both"/>
        <w:rPr>
          <w:rFonts w:ascii="Arial" w:hAnsi="Arial" w:cs="Arial"/>
          <w:color w:val="000000"/>
          <w:kern w:val="0"/>
          <w:sz w:val="22"/>
          <w:szCs w:val="22"/>
        </w:rPr>
      </w:pPr>
      <w:r w:rsidRPr="007E57A2">
        <w:rPr>
          <w:rFonts w:ascii="Arial" w:hAnsi="Arial" w:cs="Arial"/>
          <w:color w:val="000000"/>
          <w:kern w:val="0"/>
          <w:sz w:val="22"/>
          <w:szCs w:val="22"/>
        </w:rPr>
        <w:t xml:space="preserve">  (CIPD, 2025</w:t>
      </w:r>
      <w:r w:rsidR="0024043C">
        <w:rPr>
          <w:rFonts w:ascii="Arial" w:hAnsi="Arial" w:cs="Arial"/>
          <w:color w:val="000000"/>
          <w:kern w:val="0"/>
          <w:sz w:val="22"/>
          <w:szCs w:val="22"/>
        </w:rPr>
        <w:t>a</w:t>
      </w:r>
      <w:r w:rsidRPr="007E57A2">
        <w:rPr>
          <w:rFonts w:ascii="Arial" w:hAnsi="Arial" w:cs="Arial"/>
          <w:color w:val="000000"/>
          <w:kern w:val="0"/>
          <w:sz w:val="22"/>
          <w:szCs w:val="22"/>
        </w:rPr>
        <w:t>)</w:t>
      </w:r>
    </w:p>
    <w:p w14:paraId="0C960EF1"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rPr>
      </w:pPr>
    </w:p>
    <w:p w14:paraId="73C7EBBF" w14:textId="268DF63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xml:space="preserve">EBP helps HR professionals make better decisions </w:t>
      </w:r>
      <w:r w:rsidR="008D41A0" w:rsidRPr="007E57A2">
        <w:rPr>
          <w:rFonts w:ascii="Arial" w:hAnsi="Arial" w:cs="Arial"/>
          <w:color w:val="000000"/>
          <w:kern w:val="0"/>
          <w:sz w:val="22"/>
          <w:szCs w:val="22"/>
        </w:rPr>
        <w:t>using</w:t>
      </w:r>
      <w:r w:rsidRPr="007E57A2">
        <w:rPr>
          <w:rFonts w:ascii="Arial" w:hAnsi="Arial" w:cs="Arial"/>
          <w:color w:val="000000"/>
          <w:kern w:val="0"/>
          <w:sz w:val="22"/>
          <w:szCs w:val="22"/>
        </w:rPr>
        <w:t xml:space="preserve"> reliable sources to gather information (CIPD, 2025</w:t>
      </w:r>
      <w:r w:rsidR="00051D11">
        <w:rPr>
          <w:rFonts w:ascii="Arial" w:hAnsi="Arial" w:cs="Arial"/>
          <w:color w:val="000000"/>
          <w:kern w:val="0"/>
          <w:sz w:val="22"/>
          <w:szCs w:val="22"/>
        </w:rPr>
        <w:t>g</w:t>
      </w:r>
      <w:r w:rsidRPr="007E57A2">
        <w:rPr>
          <w:rFonts w:ascii="Arial" w:hAnsi="Arial" w:cs="Arial"/>
          <w:color w:val="000000"/>
          <w:kern w:val="0"/>
          <w:sz w:val="22"/>
          <w:szCs w:val="22"/>
        </w:rPr>
        <w:t>)</w:t>
      </w:r>
      <w:r w:rsidR="006B7E35">
        <w:rPr>
          <w:rFonts w:ascii="Arial" w:hAnsi="Arial" w:cs="Arial"/>
          <w:color w:val="000000"/>
          <w:kern w:val="0"/>
          <w:sz w:val="22"/>
          <w:szCs w:val="22"/>
        </w:rPr>
        <w:t xml:space="preserve">. </w:t>
      </w:r>
      <w:r w:rsidRPr="007E57A2">
        <w:rPr>
          <w:rFonts w:ascii="Arial" w:hAnsi="Arial" w:cs="Arial"/>
          <w:color w:val="000000"/>
          <w:kern w:val="0"/>
          <w:sz w:val="22"/>
          <w:szCs w:val="22"/>
        </w:rPr>
        <w:t xml:space="preserve">Organisations should use optimal resources </w:t>
      </w:r>
      <w:r w:rsidR="008D41A0" w:rsidRPr="007E57A2">
        <w:rPr>
          <w:rFonts w:ascii="Arial" w:hAnsi="Arial" w:cs="Arial"/>
          <w:color w:val="000000"/>
          <w:kern w:val="0"/>
          <w:sz w:val="22"/>
          <w:szCs w:val="22"/>
        </w:rPr>
        <w:t>as</w:t>
      </w:r>
      <w:r w:rsidRPr="007E57A2">
        <w:rPr>
          <w:rFonts w:ascii="Arial" w:hAnsi="Arial" w:cs="Arial"/>
          <w:color w:val="000000"/>
          <w:kern w:val="0"/>
          <w:sz w:val="22"/>
          <w:szCs w:val="22"/>
        </w:rPr>
        <w:t xml:space="preserve"> it is their “moral obligation” (Barends, Rousseau and Briner, 2014). The six</w:t>
      </w:r>
      <w:r w:rsidR="002E5012" w:rsidRPr="007E57A2">
        <w:rPr>
          <w:rFonts w:ascii="Arial" w:hAnsi="Arial" w:cs="Arial"/>
          <w:color w:val="000000"/>
          <w:kern w:val="0"/>
          <w:sz w:val="22"/>
          <w:szCs w:val="22"/>
        </w:rPr>
        <w:t>-</w:t>
      </w:r>
      <w:r w:rsidRPr="007E57A2">
        <w:rPr>
          <w:rFonts w:ascii="Arial" w:hAnsi="Arial" w:cs="Arial"/>
          <w:color w:val="000000"/>
          <w:kern w:val="0"/>
          <w:sz w:val="22"/>
          <w:szCs w:val="22"/>
        </w:rPr>
        <w:t xml:space="preserve">step EBP process above is a useful map for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to follow. </w:t>
      </w:r>
    </w:p>
    <w:p w14:paraId="57ABEC91"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p>
    <w:p w14:paraId="799F679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Manager decisions have significant influence on employees’ working lives (Barends, Rousseau and Briner, 2014). Often managers will make decisions on ‘autopilot’ (Rousseau and Barends, 2011), particularly in fast paced organisations (Rousseau and Barends, 2011), which is detrimental. Despite many practitioners using evidence to guide their decisions, quality of evidence is ignored leading to substandard decision making (Barends, Rousseau and Briner, 2014). If people practice incorporated wide-ranging resources this could increase strategic success and credibility (Elder and Nikodem, 2023). Therefore,</w:t>
      </w:r>
      <w:r w:rsidRPr="007E57A2">
        <w:rPr>
          <w:rFonts w:ascii="Arial" w:hAnsi="Arial" w:cs="Arial"/>
          <w:i/>
          <w:iCs/>
          <w:color w:val="000000"/>
          <w:kern w:val="0"/>
          <w:sz w:val="22"/>
          <w:szCs w:val="22"/>
        </w:rPr>
        <w:t xml:space="preserve"> appraising </w:t>
      </w:r>
      <w:r w:rsidRPr="007E57A2">
        <w:rPr>
          <w:rFonts w:ascii="Arial" w:hAnsi="Arial" w:cs="Arial"/>
          <w:color w:val="000000"/>
          <w:kern w:val="0"/>
          <w:sz w:val="22"/>
          <w:szCs w:val="22"/>
        </w:rPr>
        <w:t xml:space="preserve">data as per the EBP six step process (CIPD, 2025). HR practitioners can lack a critical thinking mindset which prevents other viewpoints being considered (Rousseau, 2011). Using resources that are reinforced by scientific research and are relevant can help make finer decisions (CIPD, 2025d).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should establish policies by choosing an objective and gathering evidence systematically (CIPD, 2025d), which relating to steps 1 and 2 of the process shown above.</w:t>
      </w:r>
    </w:p>
    <w:p w14:paraId="735601CA"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p>
    <w:p w14:paraId="458F9ED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xml:space="preserve">EBP can help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expand the business through recruitment like </w:t>
      </w:r>
      <w:r w:rsidRPr="007E57A2">
        <w:rPr>
          <w:rFonts w:ascii="Arial" w:hAnsi="Arial" w:cs="Arial"/>
          <w:i/>
          <w:iCs/>
          <w:color w:val="000000"/>
          <w:kern w:val="0"/>
          <w:sz w:val="22"/>
          <w:szCs w:val="22"/>
        </w:rPr>
        <w:t xml:space="preserve">Network Rail </w:t>
      </w:r>
      <w:r w:rsidRPr="007E57A2">
        <w:rPr>
          <w:rFonts w:ascii="Arial" w:hAnsi="Arial" w:cs="Arial"/>
          <w:color w:val="000000"/>
          <w:kern w:val="0"/>
          <w:sz w:val="22"/>
          <w:szCs w:val="22"/>
        </w:rPr>
        <w:t xml:space="preserve">(NW). NW used a mixed-method approach including qualitative and quantitate methods such as </w:t>
      </w:r>
      <w:r w:rsidRPr="007E57A2">
        <w:rPr>
          <w:rFonts w:ascii="Arial" w:hAnsi="Arial" w:cs="Arial"/>
          <w:color w:val="000000"/>
          <w:kern w:val="0"/>
          <w:sz w:val="22"/>
          <w:szCs w:val="22"/>
        </w:rPr>
        <w:lastRenderedPageBreak/>
        <w:t xml:space="preserve">performance data, interviews and surveys identifying they needed to address their talent management and external recruitment (CIPD, 2022). Employee feedback told NW the structure was too top-down with a lack of problem solving (CIPD, 2022) NR worked with trade unions to resolve this issue and devised a talent dashboard to keep track of progress, continue career conversations and use innovative external recruitment such as social media Q&amp;A sessions (CIPD, 2022). This improved recruitment from diverse backgrounds (CIPD, 2022); female representation increased to 12% from 3% and BAME representation to 9% from 1% (CIPD, 2022). </w:t>
      </w:r>
    </w:p>
    <w:p w14:paraId="31CD6CB5" w14:textId="77777777" w:rsidR="007E286C" w:rsidRPr="007E57A2" w:rsidRDefault="007E286C" w:rsidP="007E286C">
      <w:pPr>
        <w:autoSpaceDE w:val="0"/>
        <w:autoSpaceDN w:val="0"/>
        <w:adjustRightInd w:val="0"/>
        <w:spacing w:after="0" w:line="240" w:lineRule="auto"/>
        <w:jc w:val="both"/>
        <w:rPr>
          <w:rFonts w:ascii="Arial" w:hAnsi="Arial" w:cs="Arial"/>
          <w:b/>
          <w:bCs/>
          <w:color w:val="0D6002"/>
          <w:kern w:val="0"/>
          <w:sz w:val="22"/>
          <w:szCs w:val="22"/>
        </w:rPr>
      </w:pPr>
    </w:p>
    <w:p w14:paraId="30D023FC" w14:textId="3485820B"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could use EBP within performance management, like the </w:t>
      </w:r>
      <w:r w:rsidRPr="007E57A2">
        <w:rPr>
          <w:rFonts w:ascii="Arial" w:hAnsi="Arial" w:cs="Arial"/>
          <w:i/>
          <w:iCs/>
          <w:color w:val="000000"/>
          <w:kern w:val="0"/>
          <w:sz w:val="22"/>
          <w:szCs w:val="22"/>
        </w:rPr>
        <w:t>BBC</w:t>
      </w:r>
      <w:r w:rsidRPr="007E57A2">
        <w:rPr>
          <w:rFonts w:ascii="Arial" w:hAnsi="Arial" w:cs="Arial"/>
          <w:color w:val="000000"/>
          <w:kern w:val="0"/>
          <w:sz w:val="22"/>
          <w:szCs w:val="22"/>
        </w:rPr>
        <w:t xml:space="preserve">. Random methods lacking supporting evidence causes ‘performance mismanagement’ (Briner, 2015).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could consult with stakeholders such as senior managers and trade union representatives to gather their ideas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The BBC’s analysis showed little performance management practice engagement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Thorough reflection on what improvements could be made to enhance their </w:t>
      </w:r>
      <w:r w:rsidR="00E32FC8" w:rsidRPr="007E57A2">
        <w:rPr>
          <w:rFonts w:ascii="Arial" w:hAnsi="Arial" w:cs="Arial"/>
          <w:color w:val="000000"/>
          <w:kern w:val="0"/>
          <w:sz w:val="22"/>
          <w:szCs w:val="22"/>
        </w:rPr>
        <w:t>long-term</w:t>
      </w:r>
      <w:r w:rsidRPr="007E57A2">
        <w:rPr>
          <w:rFonts w:ascii="Arial" w:hAnsi="Arial" w:cs="Arial"/>
          <w:color w:val="000000"/>
          <w:kern w:val="0"/>
          <w:sz w:val="22"/>
          <w:szCs w:val="22"/>
        </w:rPr>
        <w:t xml:space="preserve"> goals and development was crucial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could use organisational data such as </w:t>
      </w:r>
      <w:r w:rsidRPr="007E57A2">
        <w:rPr>
          <w:rFonts w:ascii="Arial" w:hAnsi="Arial" w:cs="Arial"/>
          <w:i/>
          <w:iCs/>
          <w:color w:val="000000"/>
          <w:kern w:val="0"/>
          <w:sz w:val="22"/>
          <w:szCs w:val="22"/>
        </w:rPr>
        <w:t>Key Performance Indicators</w:t>
      </w:r>
      <w:r w:rsidRPr="007E57A2">
        <w:rPr>
          <w:rFonts w:ascii="Arial" w:hAnsi="Arial" w:cs="Arial"/>
          <w:color w:val="000000"/>
          <w:kern w:val="0"/>
          <w:sz w:val="22"/>
          <w:szCs w:val="22"/>
        </w:rPr>
        <w:t xml:space="preserve"> or employee focus groups and the use of performance development reviews (CIPD, 2025e</w:t>
      </w:r>
      <w:r w:rsidR="00E32FC8" w:rsidRPr="007E57A2">
        <w:rPr>
          <w:rFonts w:ascii="Arial" w:hAnsi="Arial" w:cs="Arial"/>
          <w:color w:val="000000"/>
          <w:kern w:val="0"/>
          <w:sz w:val="22"/>
          <w:szCs w:val="22"/>
        </w:rPr>
        <w:t>) and</w:t>
      </w:r>
      <w:r w:rsidRPr="007E57A2">
        <w:rPr>
          <w:rFonts w:ascii="Arial" w:hAnsi="Arial" w:cs="Arial"/>
          <w:color w:val="000000"/>
          <w:kern w:val="0"/>
          <w:sz w:val="22"/>
          <w:szCs w:val="22"/>
        </w:rPr>
        <w:t xml:space="preserve"> use scientific literature to investigate (CIPD</w:t>
      </w:r>
      <w:r w:rsidR="0024043C">
        <w:rPr>
          <w:rFonts w:ascii="Arial" w:hAnsi="Arial" w:cs="Arial"/>
          <w:color w:val="000000"/>
          <w:kern w:val="0"/>
          <w:sz w:val="22"/>
          <w:szCs w:val="22"/>
        </w:rPr>
        <w:t>,</w:t>
      </w:r>
      <w:r w:rsidRPr="007E57A2">
        <w:rPr>
          <w:rFonts w:ascii="Arial" w:hAnsi="Arial" w:cs="Arial"/>
          <w:color w:val="000000"/>
          <w:kern w:val="0"/>
          <w:sz w:val="22"/>
          <w:szCs w:val="22"/>
        </w:rPr>
        <w:t xml:space="preserve"> 2025e). The BBC utilised an MSc dissertation on the subject to assist (CIPD, 2023e). Ultimately the BBC implemented frequent meetings providing an optimistic approach using webinars (CIPD, 2025e), with the use of EBP allowing leaders to bolster their decisions (CIPD, 2025e). </w:t>
      </w:r>
    </w:p>
    <w:p w14:paraId="3C015848"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rPr>
      </w:pPr>
      <w:r w:rsidRPr="007E57A2">
        <w:rPr>
          <w:rFonts w:ascii="Arial" w:hAnsi="Arial" w:cs="Arial"/>
          <w:color w:val="000000"/>
          <w:kern w:val="0"/>
          <w:sz w:val="22"/>
          <w:szCs w:val="22"/>
        </w:rPr>
        <w:t> </w:t>
      </w:r>
    </w:p>
    <w:p w14:paraId="1AA4A4EA" w14:textId="153B76BB" w:rsidR="007E286C" w:rsidRPr="007E57A2" w:rsidRDefault="007E286C" w:rsidP="007E286C">
      <w:pPr>
        <w:autoSpaceDE w:val="0"/>
        <w:autoSpaceDN w:val="0"/>
        <w:adjustRightInd w:val="0"/>
        <w:spacing w:after="0" w:line="240" w:lineRule="auto"/>
        <w:jc w:val="both"/>
        <w:rPr>
          <w:rFonts w:ascii="Arial" w:hAnsi="Arial" w:cs="Arial"/>
          <w:color w:val="0B4CB4"/>
          <w:kern w:val="0"/>
          <w:sz w:val="22"/>
          <w:szCs w:val="22"/>
          <w:u w:val="single" w:color="0B4CB4"/>
        </w:rPr>
      </w:pPr>
      <w:r w:rsidRPr="007E57A2">
        <w:rPr>
          <w:rFonts w:ascii="Arial" w:hAnsi="Arial" w:cs="Arial"/>
          <w:color w:val="000000"/>
          <w:kern w:val="0"/>
          <w:sz w:val="22"/>
          <w:szCs w:val="22"/>
        </w:rPr>
        <w:t xml:space="preserve">The required evidence is not always available in </w:t>
      </w:r>
      <w:r w:rsidR="00E32FC8" w:rsidRPr="007E57A2">
        <w:rPr>
          <w:rFonts w:ascii="Arial" w:hAnsi="Arial" w:cs="Arial"/>
          <w:color w:val="000000"/>
          <w:kern w:val="0"/>
          <w:sz w:val="22"/>
          <w:szCs w:val="22"/>
        </w:rPr>
        <w:t>EBP,</w:t>
      </w:r>
      <w:r w:rsidRPr="007E57A2">
        <w:rPr>
          <w:rFonts w:ascii="Arial" w:hAnsi="Arial" w:cs="Arial"/>
          <w:color w:val="000000"/>
          <w:kern w:val="0"/>
          <w:sz w:val="22"/>
          <w:szCs w:val="22"/>
        </w:rPr>
        <w:t xml:space="preserve"> and contemporary management environments frequently change which means scientific research is less applicable than at time of publishing (CEBMA, 2026). It is therefore recommended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critically reflects on any research used (CEBMA, 2026). It can take significant time for staff to develop analytical skills and confirmation bias may exist (CEBMA, 2026), so </w:t>
      </w:r>
      <w:proofErr w:type="spellStart"/>
      <w:r w:rsidRPr="007E57A2">
        <w:rPr>
          <w:rFonts w:ascii="Arial" w:hAnsi="Arial" w:cs="Arial"/>
          <w:color w:val="000000"/>
          <w:kern w:val="0"/>
          <w:sz w:val="22"/>
          <w:szCs w:val="22"/>
        </w:rPr>
        <w:t>Technivara</w:t>
      </w:r>
      <w:proofErr w:type="spellEnd"/>
      <w:r w:rsidRPr="007E57A2">
        <w:rPr>
          <w:rFonts w:ascii="Arial" w:hAnsi="Arial" w:cs="Arial"/>
          <w:color w:val="000000"/>
          <w:kern w:val="0"/>
          <w:sz w:val="22"/>
          <w:szCs w:val="22"/>
        </w:rPr>
        <w:t xml:space="preserve"> should consider this.</w:t>
      </w:r>
    </w:p>
    <w:p w14:paraId="395767EB"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p>
    <w:p w14:paraId="693A8413" w14:textId="77777777" w:rsidR="007E286C" w:rsidRPr="007E57A2" w:rsidRDefault="007E286C" w:rsidP="007E286C">
      <w:pPr>
        <w:autoSpaceDE w:val="0"/>
        <w:autoSpaceDN w:val="0"/>
        <w:adjustRightInd w:val="0"/>
        <w:spacing w:after="0" w:line="240" w:lineRule="auto"/>
        <w:ind w:left="567" w:hanging="567"/>
        <w:rPr>
          <w:rFonts w:ascii="Arial" w:hAnsi="Arial" w:cs="Arial"/>
          <w:color w:val="000000"/>
          <w:kern w:val="0"/>
          <w:sz w:val="22"/>
          <w:szCs w:val="22"/>
          <w:u w:color="0B4CB4"/>
        </w:rPr>
      </w:pPr>
      <w:r w:rsidRPr="007E57A2">
        <w:rPr>
          <w:rFonts w:ascii="Arial" w:hAnsi="Arial" w:cs="Arial"/>
          <w:b/>
          <w:bCs/>
          <w:color w:val="053236"/>
          <w:kern w:val="0"/>
          <w:sz w:val="22"/>
          <w:szCs w:val="22"/>
          <w:u w:color="0B4CB4"/>
        </w:rPr>
        <w:t xml:space="preserve">Q2. </w:t>
      </w:r>
      <w:r w:rsidRPr="007E57A2">
        <w:rPr>
          <w:rFonts w:ascii="Arial" w:hAnsi="Arial" w:cs="Arial"/>
          <w:b/>
          <w:bCs/>
          <w:color w:val="000000"/>
          <w:kern w:val="0"/>
          <w:sz w:val="22"/>
          <w:szCs w:val="22"/>
          <w:u w:color="0B4CB4"/>
        </w:rPr>
        <w:t xml:space="preserve">Evaluate one appropriate analysis tool and one appropriate analysis method that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might apply to recognise and diagnose issues, challenges, and opportunities. (AC 1.2 </w:t>
      </w:r>
    </w:p>
    <w:p w14:paraId="04E9C7B7"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p>
    <w:p w14:paraId="179F5FCB" w14:textId="0B4C61D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One analysis tool is Porter’s Five Forces model. These forces analyse external competitive forces within an industry (Harvard Business Review, no date). For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t>
      </w:r>
      <w:r w:rsidRPr="007E57A2">
        <w:rPr>
          <w:rFonts w:ascii="Arial" w:hAnsi="Arial" w:cs="Arial"/>
          <w:i/>
          <w:iCs/>
          <w:color w:val="000000"/>
          <w:kern w:val="0"/>
          <w:sz w:val="22"/>
          <w:szCs w:val="22"/>
          <w:u w:color="0B4CB4"/>
        </w:rPr>
        <w:t xml:space="preserve">threat of new entrants </w:t>
      </w:r>
      <w:r w:rsidRPr="007E57A2">
        <w:rPr>
          <w:rFonts w:ascii="Arial" w:hAnsi="Arial" w:cs="Arial"/>
          <w:color w:val="000000"/>
          <w:kern w:val="0"/>
          <w:sz w:val="22"/>
          <w:szCs w:val="22"/>
          <w:u w:color="0B4CB4"/>
        </w:rPr>
        <w:t xml:space="preserve">relates to other electrical manufacturers with competitive pricing, and </w:t>
      </w:r>
      <w:r w:rsidRPr="007E57A2">
        <w:rPr>
          <w:rFonts w:ascii="Arial" w:hAnsi="Arial" w:cs="Arial"/>
          <w:i/>
          <w:iCs/>
          <w:color w:val="000000"/>
          <w:kern w:val="0"/>
          <w:sz w:val="22"/>
          <w:szCs w:val="22"/>
          <w:u w:color="0B4CB4"/>
        </w:rPr>
        <w:t xml:space="preserve">rivalry of existing competitors </w:t>
      </w:r>
      <w:r w:rsidRPr="007E57A2">
        <w:rPr>
          <w:rFonts w:ascii="Arial" w:hAnsi="Arial" w:cs="Arial"/>
          <w:color w:val="000000"/>
          <w:kern w:val="0"/>
          <w:sz w:val="22"/>
          <w:szCs w:val="22"/>
          <w:u w:color="0B4CB4"/>
        </w:rPr>
        <w:t xml:space="preserve">relates to other existing electrical companies and rivalry exists if there is a slow growth in that industry (Harvard Business Review, no date). UK manufacturing has grappled with cost pressures and reduced order quantities (CBI, 2025) with competitiveness hindered by rising labour costs (CBI, 2025). Porter’s model provides a strategic analysis even in the circumstances that a business does have a </w:t>
      </w:r>
      <w:r w:rsidR="00E32FC8" w:rsidRPr="007E57A2">
        <w:rPr>
          <w:rFonts w:ascii="Arial" w:hAnsi="Arial" w:cs="Arial"/>
          <w:color w:val="000000"/>
          <w:kern w:val="0"/>
          <w:sz w:val="22"/>
          <w:szCs w:val="22"/>
          <w:u w:color="0B4CB4"/>
        </w:rPr>
        <w:t>profit criterion</w:t>
      </w:r>
      <w:r w:rsidRPr="007E57A2">
        <w:rPr>
          <w:rFonts w:ascii="Arial" w:hAnsi="Arial" w:cs="Arial"/>
          <w:color w:val="000000"/>
          <w:kern w:val="0"/>
          <w:sz w:val="22"/>
          <w:szCs w:val="22"/>
          <w:u w:color="0B4CB4"/>
        </w:rPr>
        <w:t xml:space="preserve"> (Johnson et al., 2008 in Khurram, Hassan and Khurram, 2020), therefore it is accessible. However, it overly focuses on analysis at a macro-level and the ‘bigger picture’ of the industry instead of focusing on the subtleties within the micro level (Grundy, 2006). It emphasises an industry-focused mindset neglecting that industries are more flexible and businesses may fit into multiple industries (Grundy, 2006). It is a standalone theory and does not relate to PESTLE (Grundy, 2006). The term “buyers” is broad and could be split into different categories (Grundy, 2006). The extensive use of economic language can be uninviting for people practitioners; it is irrelevant to the everyday (Grundy, 2006). The model could be adapted to </w:t>
      </w:r>
      <w:r w:rsidR="00E32FC8" w:rsidRPr="007E57A2">
        <w:rPr>
          <w:rFonts w:ascii="Arial" w:hAnsi="Arial" w:cs="Arial"/>
          <w:color w:val="000000"/>
          <w:kern w:val="0"/>
          <w:sz w:val="22"/>
          <w:szCs w:val="22"/>
          <w:u w:color="0B4CB4"/>
        </w:rPr>
        <w:t xml:space="preserve">the </w:t>
      </w:r>
      <w:r w:rsidR="00E50E6A" w:rsidRPr="007E57A2">
        <w:rPr>
          <w:rFonts w:ascii="Arial" w:hAnsi="Arial" w:cs="Arial"/>
          <w:color w:val="000000"/>
          <w:kern w:val="0"/>
          <w:sz w:val="22"/>
          <w:szCs w:val="22"/>
          <w:u w:color="0B4CB4"/>
        </w:rPr>
        <w:t>modern age</w:t>
      </w:r>
      <w:r w:rsidRPr="007E57A2">
        <w:rPr>
          <w:rFonts w:ascii="Arial" w:hAnsi="Arial" w:cs="Arial"/>
          <w:color w:val="000000"/>
          <w:kern w:val="0"/>
          <w:sz w:val="22"/>
          <w:szCs w:val="22"/>
          <w:u w:color="0B4CB4"/>
        </w:rPr>
        <w:t xml:space="preserve"> through incorporating new forces (Khurram, Hassan and Khurram, 2020).</w:t>
      </w:r>
    </w:p>
    <w:p w14:paraId="582ABDF2"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7AC5C686" w14:textId="1706242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An analysis method is job analysis questionnaires. </w:t>
      </w:r>
      <w:r w:rsidRPr="007E57A2">
        <w:rPr>
          <w:rFonts w:ascii="Arial" w:hAnsi="Arial" w:cs="Arial"/>
          <w:i/>
          <w:iCs/>
          <w:color w:val="000000"/>
          <w:kern w:val="0"/>
          <w:sz w:val="22"/>
          <w:szCs w:val="22"/>
          <w:u w:color="0B4CB4"/>
        </w:rPr>
        <w:t xml:space="preserve">Google </w:t>
      </w:r>
      <w:r w:rsidRPr="007E57A2">
        <w:rPr>
          <w:rFonts w:ascii="Arial" w:hAnsi="Arial" w:cs="Arial"/>
          <w:color w:val="000000"/>
          <w:kern w:val="0"/>
          <w:sz w:val="22"/>
          <w:szCs w:val="22"/>
          <w:u w:color="0B4CB4"/>
        </w:rPr>
        <w:t xml:space="preserve">used a </w:t>
      </w:r>
      <w:r w:rsidRPr="007E57A2">
        <w:rPr>
          <w:rFonts w:ascii="Arial" w:hAnsi="Arial" w:cs="Arial"/>
          <w:i/>
          <w:iCs/>
          <w:color w:val="000000"/>
          <w:kern w:val="0"/>
          <w:sz w:val="22"/>
          <w:szCs w:val="22"/>
          <w:u w:color="0B4CB4"/>
        </w:rPr>
        <w:t xml:space="preserve">data-driven job analysis </w:t>
      </w:r>
      <w:r w:rsidR="00E32FC8" w:rsidRPr="007E57A2">
        <w:rPr>
          <w:rFonts w:ascii="Arial" w:hAnsi="Arial" w:cs="Arial"/>
          <w:i/>
          <w:iCs/>
          <w:color w:val="000000"/>
          <w:kern w:val="0"/>
          <w:sz w:val="22"/>
          <w:szCs w:val="22"/>
          <w:u w:color="0B4CB4"/>
        </w:rPr>
        <w:t xml:space="preserve">model </w:t>
      </w:r>
      <w:r w:rsidR="00E32FC8" w:rsidRPr="007E57A2">
        <w:rPr>
          <w:rFonts w:ascii="Arial" w:hAnsi="Arial" w:cs="Arial"/>
          <w:color w:val="000000"/>
          <w:kern w:val="0"/>
          <w:sz w:val="22"/>
          <w:szCs w:val="22"/>
          <w:u w:color="0B4CB4"/>
        </w:rPr>
        <w:t>allowing</w:t>
      </w:r>
      <w:r w:rsidRPr="007E57A2">
        <w:rPr>
          <w:rFonts w:ascii="Arial" w:hAnsi="Arial" w:cs="Arial"/>
          <w:color w:val="000000"/>
          <w:kern w:val="0"/>
          <w:sz w:val="22"/>
          <w:szCs w:val="22"/>
          <w:u w:color="0B4CB4"/>
        </w:rPr>
        <w:t xml:space="preserve"> it to align strategy employee needs whereby human capital is considered a “vital asset” </w:t>
      </w:r>
      <w:r w:rsidRPr="007E57A2">
        <w:rPr>
          <w:rFonts w:ascii="Arial" w:hAnsi="Arial" w:cs="Arial"/>
          <w:color w:val="000000"/>
          <w:kern w:val="0"/>
          <w:sz w:val="22"/>
          <w:szCs w:val="22"/>
          <w:u w:color="0B4CB4"/>
        </w:rPr>
        <w:lastRenderedPageBreak/>
        <w:t xml:space="preserve">impacting on the organisation’s performance (Ahmed et al, 2025). Therefore, job satisfaction impacts business performance and determining this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discover potential improvements. Google’s model maintained the use of an electronic system to routinely update their job analysis data which can aid in updating job requirements (Ahmed et al, 2025). This removes risk of bias and is upfront and transparent for employees to use (Ahmed et al, 2025). There is however a gender divide in these questionnaires as men may be more likely to overemphasise the importance of their job role (Reilly, 2006). To counteract this,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engage an analyst to check results (Reilly, 2006). This was used at </w:t>
      </w:r>
      <w:r w:rsidRPr="007E57A2">
        <w:rPr>
          <w:rFonts w:ascii="Arial" w:hAnsi="Arial" w:cs="Arial"/>
          <w:i/>
          <w:iCs/>
          <w:color w:val="000000"/>
          <w:kern w:val="0"/>
          <w:sz w:val="22"/>
          <w:szCs w:val="22"/>
          <w:u w:color="0B4CB4"/>
        </w:rPr>
        <w:t xml:space="preserve">Derbyshire Constabulary </w:t>
      </w:r>
      <w:r w:rsidRPr="007E57A2">
        <w:rPr>
          <w:rFonts w:ascii="Arial" w:hAnsi="Arial" w:cs="Arial"/>
          <w:color w:val="000000"/>
          <w:kern w:val="0"/>
          <w:sz w:val="22"/>
          <w:szCs w:val="22"/>
          <w:u w:color="0B4CB4"/>
        </w:rPr>
        <w:t xml:space="preserve">whereby questionnaires were completed following instructions from an analyst who then checked the results and interviewed employees to identify any omissions (Reilly, 2006). However, these questionnaires can be costly and demands extensive resources with the average costing $100,000 in the US (Waters, Mironova and </w:t>
      </w:r>
      <w:proofErr w:type="spellStart"/>
      <w:r w:rsidRPr="007E57A2">
        <w:rPr>
          <w:rFonts w:ascii="Arial" w:hAnsi="Arial" w:cs="Arial"/>
          <w:color w:val="000000"/>
          <w:kern w:val="0"/>
          <w:sz w:val="22"/>
          <w:szCs w:val="22"/>
          <w:u w:color="0B4CB4"/>
        </w:rPr>
        <w:t>Stobinski</w:t>
      </w:r>
      <w:proofErr w:type="spellEnd"/>
      <w:r w:rsidRPr="007E57A2">
        <w:rPr>
          <w:rFonts w:ascii="Arial" w:hAnsi="Arial" w:cs="Arial"/>
          <w:color w:val="000000"/>
          <w:kern w:val="0"/>
          <w:sz w:val="22"/>
          <w:szCs w:val="22"/>
          <w:u w:color="0B4CB4"/>
        </w:rPr>
        <w:t xml:space="preserve">, 2017). Nonetheless, the benefits of it in terms of Return on Investment (ROI) makes it worthwhile (Waters, Mironova and </w:t>
      </w:r>
      <w:proofErr w:type="spellStart"/>
      <w:r w:rsidRPr="007E57A2">
        <w:rPr>
          <w:rFonts w:ascii="Arial" w:hAnsi="Arial" w:cs="Arial"/>
          <w:color w:val="000000"/>
          <w:kern w:val="0"/>
          <w:sz w:val="22"/>
          <w:szCs w:val="22"/>
          <w:u w:color="0B4CB4"/>
        </w:rPr>
        <w:t>Stobinski</w:t>
      </w:r>
      <w:proofErr w:type="spellEnd"/>
      <w:r w:rsidRPr="007E57A2">
        <w:rPr>
          <w:rFonts w:ascii="Arial" w:hAnsi="Arial" w:cs="Arial"/>
          <w:color w:val="000000"/>
          <w:kern w:val="0"/>
          <w:sz w:val="22"/>
          <w:szCs w:val="22"/>
          <w:u w:color="0B4CB4"/>
        </w:rPr>
        <w:t xml:space="preserve">, 2017). </w:t>
      </w:r>
    </w:p>
    <w:p w14:paraId="0305D9D1" w14:textId="7D671FC6" w:rsidR="007E286C" w:rsidRPr="007E57A2" w:rsidRDefault="007E286C" w:rsidP="00413A45">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1281D4A3"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 xml:space="preserve">Q3. Explain the main principles of critical thinking including how these might apply to your own and others’ ideas to assist objective and rational debate 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(AC 1.3)</w:t>
      </w:r>
    </w:p>
    <w:p w14:paraId="19C71D0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50E3F091" w14:textId="77777777" w:rsidR="00836E7B"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Critical thinking involves analysing information given and consistently examining the premise of the argument (CIPD, 2023). It involves coming to conclusions based on different notions (CIPD, 2019). This is considerably more relevant in today’s workplaces whereby AI can do administrative tasks leaving people to work on decision making tasks (CIPD, 2019). However, it has been recognised the increasing predominance of AI within workplaces is reducing core thinking skills in employees and a focus now will be on intrinsically ‘human’ skills (Colletta, 2026). </w:t>
      </w:r>
    </w:p>
    <w:p w14:paraId="74C422A1" w14:textId="77777777" w:rsidR="00836E7B" w:rsidRDefault="00836E7B" w:rsidP="007E286C">
      <w:pPr>
        <w:autoSpaceDE w:val="0"/>
        <w:autoSpaceDN w:val="0"/>
        <w:adjustRightInd w:val="0"/>
        <w:spacing w:after="0" w:line="240" w:lineRule="auto"/>
        <w:jc w:val="both"/>
        <w:rPr>
          <w:rFonts w:ascii="Arial" w:hAnsi="Arial" w:cs="Arial"/>
          <w:color w:val="000000"/>
          <w:kern w:val="0"/>
          <w:sz w:val="22"/>
          <w:szCs w:val="22"/>
          <w:u w:color="0B4CB4"/>
        </w:rPr>
      </w:pPr>
    </w:p>
    <w:p w14:paraId="06B2502C" w14:textId="01EFED4D"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i/>
          <w:iCs/>
          <w:color w:val="000000"/>
          <w:kern w:val="0"/>
          <w:sz w:val="22"/>
          <w:szCs w:val="22"/>
          <w:u w:color="0B4CB4"/>
        </w:rPr>
        <w:t>PwC</w:t>
      </w:r>
      <w:r w:rsidRPr="007E57A2">
        <w:rPr>
          <w:rFonts w:ascii="Arial" w:hAnsi="Arial" w:cs="Arial"/>
          <w:color w:val="000000"/>
          <w:kern w:val="0"/>
          <w:sz w:val="22"/>
          <w:szCs w:val="22"/>
          <w:u w:color="0B4CB4"/>
        </w:rPr>
        <w:t xml:space="preserve"> is counteracting this by promoting critical thinking skills via coaching and training with the aim of ensuring employees are “engaged and accountable” (Colletta, 2026). </w:t>
      </w:r>
      <w:r w:rsidR="009A1F74">
        <w:rPr>
          <w:rFonts w:ascii="Arial" w:hAnsi="Arial" w:cs="Arial"/>
          <w:color w:val="000000"/>
          <w:kern w:val="0"/>
          <w:sz w:val="22"/>
          <w:szCs w:val="22"/>
          <w:u w:color="0B4CB4"/>
        </w:rPr>
        <w:t xml:space="preserve">This helps employees critique the data used in AI </w:t>
      </w:r>
      <w:r w:rsidR="009A1F74" w:rsidRPr="007E57A2">
        <w:rPr>
          <w:rFonts w:ascii="Arial" w:hAnsi="Arial" w:cs="Arial"/>
          <w:color w:val="000000"/>
          <w:kern w:val="0"/>
          <w:sz w:val="22"/>
          <w:szCs w:val="22"/>
          <w:u w:color="0B4CB4"/>
        </w:rPr>
        <w:t xml:space="preserve">(Colletta, 2026). </w:t>
      </w:r>
      <w:proofErr w:type="spellStart"/>
      <w:r w:rsidR="009A1F74">
        <w:rPr>
          <w:rFonts w:ascii="Arial" w:hAnsi="Arial" w:cs="Arial"/>
          <w:color w:val="000000"/>
          <w:kern w:val="0"/>
          <w:sz w:val="22"/>
          <w:szCs w:val="22"/>
          <w:u w:color="0B4CB4"/>
        </w:rPr>
        <w:t>Technivara</w:t>
      </w:r>
      <w:proofErr w:type="spellEnd"/>
      <w:r w:rsidR="009A1F74">
        <w:rPr>
          <w:rFonts w:ascii="Arial" w:hAnsi="Arial" w:cs="Arial"/>
          <w:color w:val="000000"/>
          <w:kern w:val="0"/>
          <w:sz w:val="22"/>
          <w:szCs w:val="22"/>
          <w:u w:color="0B4CB4"/>
        </w:rPr>
        <w:t xml:space="preserve"> can adopt </w:t>
      </w:r>
      <w:proofErr w:type="spellStart"/>
      <w:proofErr w:type="gramStart"/>
      <w:r w:rsidR="009A1F74">
        <w:rPr>
          <w:rFonts w:ascii="Arial" w:hAnsi="Arial" w:cs="Arial"/>
          <w:color w:val="000000"/>
          <w:kern w:val="0"/>
          <w:sz w:val="22"/>
          <w:szCs w:val="22"/>
          <w:u w:color="0B4CB4"/>
        </w:rPr>
        <w:t>this.</w:t>
      </w:r>
      <w:r w:rsidRPr="007E57A2">
        <w:rPr>
          <w:rFonts w:ascii="Arial" w:hAnsi="Arial" w:cs="Arial"/>
          <w:color w:val="000000"/>
          <w:kern w:val="0"/>
          <w:sz w:val="22"/>
          <w:szCs w:val="22"/>
          <w:u w:color="0B4CB4"/>
        </w:rPr>
        <w:t>Critical</w:t>
      </w:r>
      <w:proofErr w:type="spellEnd"/>
      <w:proofErr w:type="gramEnd"/>
      <w:r w:rsidRPr="007E57A2">
        <w:rPr>
          <w:rFonts w:ascii="Arial" w:hAnsi="Arial" w:cs="Arial"/>
          <w:color w:val="000000"/>
          <w:kern w:val="0"/>
          <w:sz w:val="22"/>
          <w:szCs w:val="22"/>
          <w:u w:color="0B4CB4"/>
        </w:rPr>
        <w:t xml:space="preserve"> thinking counteracts the notion of autocracy within management culture where the lack of critical </w:t>
      </w:r>
      <w:r w:rsidR="00E32FC8" w:rsidRPr="007E57A2">
        <w:rPr>
          <w:rFonts w:ascii="Arial" w:hAnsi="Arial" w:cs="Arial"/>
          <w:color w:val="000000"/>
          <w:kern w:val="0"/>
          <w:sz w:val="22"/>
          <w:szCs w:val="22"/>
          <w:u w:color="0B4CB4"/>
        </w:rPr>
        <w:t>thinking often</w:t>
      </w:r>
      <w:r w:rsidRPr="007E57A2">
        <w:rPr>
          <w:rFonts w:ascii="Arial" w:hAnsi="Arial" w:cs="Arial"/>
          <w:color w:val="000000"/>
          <w:kern w:val="0"/>
          <w:sz w:val="22"/>
          <w:szCs w:val="22"/>
          <w:u w:color="0B4CB4"/>
        </w:rPr>
        <w:t xml:space="preserve"> sabotages efficiency (Ivanova, 2019). Critical thinking instead promotes honesty and learning from mistakes which enables better decision making (Ivanova, 2019). </w:t>
      </w:r>
    </w:p>
    <w:p w14:paraId="01BA504D"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63A742CF" w14:textId="65D0D206" w:rsidR="007E286C" w:rsidRPr="007E57A2" w:rsidRDefault="007E286C" w:rsidP="00E50E6A">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To think critically, it should be evaluated what has been said or documented (Ricci, 2014). In doing so, one should consider their unique thoughts and opinions (Ricci, 2014). ‘Structured thinking’ plays a part in critical thinking whereby it is most important for critical thinking is to ensure we think in a certain organised way than the method in which we choose to do this (Haber, 2020). Haber also posits there are ‘deductive and inductive reasoning[s]’ (Haber, 2020, p28)</w:t>
      </w:r>
      <w:r w:rsidR="006B7E35">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The former focuses on validity and the latter involves strengths and weaknesses (Haber, 2020). The individual can then consider questions based on this information so clarification can be provided (Ricci, 2014). A Socratic method can be used whereby claims made by someone can be interrogated to decipher if there are any irregularities within these claims (Ricci, 2014). Within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all staff should be encouraged to exercise critical thinking through consistently critiquing what they are consuming (Ricci, 2014). Ricci stresses that critical thinking is a learned skill that develops over time, so by utilising training, the organisation can adopt this is a habit. In doing so, organisational strategies will be even more effective (Ricci, 2014). Overall,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think objectively about information and continually analyse information before making decisions, to reach the best outcome. </w:t>
      </w:r>
    </w:p>
    <w:p w14:paraId="751C9DB1" w14:textId="17160AFF"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65DA9259" w14:textId="77777777" w:rsidR="007E286C" w:rsidRPr="007E57A2" w:rsidRDefault="007E286C" w:rsidP="007E286C">
      <w:pPr>
        <w:autoSpaceDE w:val="0"/>
        <w:autoSpaceDN w:val="0"/>
        <w:adjustRightInd w:val="0"/>
        <w:spacing w:after="0" w:line="240" w:lineRule="auto"/>
        <w:ind w:left="567" w:right="377" w:hanging="567"/>
        <w:jc w:val="both"/>
        <w:rPr>
          <w:rFonts w:ascii="Arial" w:hAnsi="Arial" w:cs="Arial"/>
          <w:color w:val="000000"/>
          <w:kern w:val="0"/>
          <w:sz w:val="22"/>
          <w:szCs w:val="22"/>
          <w:u w:color="0B4CB4"/>
        </w:rPr>
      </w:pPr>
      <w:r w:rsidRPr="007E57A2">
        <w:rPr>
          <w:rFonts w:ascii="Arial" w:hAnsi="Arial" w:cs="Arial"/>
          <w:b/>
          <w:bCs/>
          <w:color w:val="053236"/>
          <w:kern w:val="0"/>
          <w:sz w:val="22"/>
          <w:szCs w:val="22"/>
          <w:u w:color="0B4CB4"/>
        </w:rPr>
        <w:t>Q4.</w:t>
      </w:r>
      <w:r w:rsidRPr="007E57A2">
        <w:rPr>
          <w:rFonts w:ascii="Arial" w:hAnsi="Arial" w:cs="Arial"/>
          <w:b/>
          <w:bCs/>
          <w:color w:val="000000"/>
          <w:kern w:val="0"/>
          <w:sz w:val="22"/>
          <w:szCs w:val="22"/>
          <w:u w:color="0B4CB4"/>
        </w:rPr>
        <w:t xml:space="preserve"> Explain two decision-making processes that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could apply to ensure that effective outcomes are achieved. (AC 1.4) </w:t>
      </w:r>
    </w:p>
    <w:p w14:paraId="527C22B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7F4CA63C" w14:textId="1E210258"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roofErr w:type="spellStart"/>
      <w:r w:rsidRPr="007E57A2">
        <w:rPr>
          <w:rFonts w:ascii="Arial" w:hAnsi="Arial" w:cs="Arial"/>
          <w:color w:val="000000"/>
          <w:kern w:val="0"/>
          <w:sz w:val="22"/>
          <w:szCs w:val="22"/>
          <w:u w:color="0B4CB4"/>
        </w:rPr>
        <w:lastRenderedPageBreak/>
        <w:t>Technivara</w:t>
      </w:r>
      <w:proofErr w:type="spellEnd"/>
      <w:r w:rsidRPr="007E57A2">
        <w:rPr>
          <w:rFonts w:ascii="Arial" w:hAnsi="Arial" w:cs="Arial"/>
          <w:color w:val="000000"/>
          <w:kern w:val="0"/>
          <w:sz w:val="22"/>
          <w:szCs w:val="22"/>
          <w:u w:color="0B4CB4"/>
        </w:rPr>
        <w:t xml:space="preserve"> could adopt a </w:t>
      </w:r>
      <w:r w:rsidRPr="007E57A2">
        <w:rPr>
          <w:rFonts w:ascii="Arial" w:hAnsi="Arial" w:cs="Arial"/>
          <w:i/>
          <w:iCs/>
          <w:color w:val="000000"/>
          <w:kern w:val="0"/>
          <w:sz w:val="22"/>
          <w:szCs w:val="22"/>
          <w:u w:color="0B4CB4"/>
        </w:rPr>
        <w:t>rational approach,</w:t>
      </w:r>
      <w:r w:rsidRPr="007E57A2">
        <w:rPr>
          <w:rFonts w:ascii="Arial" w:hAnsi="Arial" w:cs="Arial"/>
          <w:color w:val="000000"/>
          <w:kern w:val="0"/>
          <w:sz w:val="22"/>
          <w:szCs w:val="22"/>
          <w:u w:color="0B4CB4"/>
        </w:rPr>
        <w:t xml:space="preserve"> whereby decision making includes steps to increase the likelihood of reaching an outcome (Buchanan and Huczynski, 2023), and include scientific reasoning (Buchanan and Huczynski, 2023). Rational decisions contrast with intuition utilising objective understanding and reasoning (Adam, Kuchta and </w:t>
      </w:r>
      <w:proofErr w:type="spellStart"/>
      <w:r w:rsidRPr="007E57A2">
        <w:rPr>
          <w:rFonts w:ascii="Arial" w:hAnsi="Arial" w:cs="Arial"/>
          <w:color w:val="000000"/>
          <w:kern w:val="0"/>
          <w:sz w:val="22"/>
          <w:szCs w:val="22"/>
          <w:u w:color="0B4CB4"/>
        </w:rPr>
        <w:t>Stankek</w:t>
      </w:r>
      <w:proofErr w:type="spellEnd"/>
      <w:r w:rsidRPr="007E57A2">
        <w:rPr>
          <w:rFonts w:ascii="Arial" w:hAnsi="Arial" w:cs="Arial"/>
          <w:color w:val="000000"/>
          <w:kern w:val="0"/>
          <w:sz w:val="22"/>
          <w:szCs w:val="22"/>
          <w:u w:color="0B4CB4"/>
        </w:rPr>
        <w:t>, 2022</w:t>
      </w:r>
      <w:r w:rsidR="00812BAC" w:rsidRPr="007E57A2">
        <w:rPr>
          <w:rFonts w:ascii="Arial" w:hAnsi="Arial" w:cs="Arial"/>
          <w:color w:val="000000"/>
          <w:kern w:val="0"/>
          <w:sz w:val="22"/>
          <w:szCs w:val="22"/>
          <w:u w:color="0B4CB4"/>
        </w:rPr>
        <w:t>) and</w:t>
      </w:r>
      <w:r w:rsidRPr="007E57A2">
        <w:rPr>
          <w:rFonts w:ascii="Arial" w:hAnsi="Arial" w:cs="Arial"/>
          <w:color w:val="000000"/>
          <w:kern w:val="0"/>
          <w:sz w:val="22"/>
          <w:szCs w:val="22"/>
          <w:u w:color="0B4CB4"/>
        </w:rPr>
        <w:t xml:space="preserve"> usually consider the option with the most benefit and the least amount of loss (Adam, Kuchta and </w:t>
      </w:r>
      <w:proofErr w:type="spellStart"/>
      <w:r w:rsidRPr="007E57A2">
        <w:rPr>
          <w:rFonts w:ascii="Arial" w:hAnsi="Arial" w:cs="Arial"/>
          <w:color w:val="000000"/>
          <w:kern w:val="0"/>
          <w:sz w:val="22"/>
          <w:szCs w:val="22"/>
          <w:u w:color="0B4CB4"/>
        </w:rPr>
        <w:t>Stankek</w:t>
      </w:r>
      <w:proofErr w:type="spellEnd"/>
      <w:r w:rsidRPr="007E57A2">
        <w:rPr>
          <w:rFonts w:ascii="Arial" w:hAnsi="Arial" w:cs="Arial"/>
          <w:color w:val="000000"/>
          <w:kern w:val="0"/>
          <w:sz w:val="22"/>
          <w:szCs w:val="22"/>
          <w:u w:color="0B4CB4"/>
        </w:rPr>
        <w:t xml:space="preserve">, 2022). It is most suited in straightforward and structured circumstances (Adam, Kuchta and </w:t>
      </w:r>
      <w:proofErr w:type="spellStart"/>
      <w:r w:rsidRPr="007E57A2">
        <w:rPr>
          <w:rFonts w:ascii="Arial" w:hAnsi="Arial" w:cs="Arial"/>
          <w:color w:val="000000"/>
          <w:kern w:val="0"/>
          <w:sz w:val="22"/>
          <w:szCs w:val="22"/>
          <w:u w:color="0B4CB4"/>
        </w:rPr>
        <w:t>Stankek</w:t>
      </w:r>
      <w:proofErr w:type="spellEnd"/>
      <w:r w:rsidRPr="007E57A2">
        <w:rPr>
          <w:rFonts w:ascii="Arial" w:hAnsi="Arial" w:cs="Arial"/>
          <w:color w:val="000000"/>
          <w:kern w:val="0"/>
          <w:sz w:val="22"/>
          <w:szCs w:val="22"/>
          <w:u w:color="0B4CB4"/>
        </w:rPr>
        <w:t xml:space="preserve">, 2022). Therefore, its effectiveness is reduced in situations with nuance like employee wellbeing whereby approaches may need to vary (McPeck, 2024). Kepner and </w:t>
      </w:r>
      <w:proofErr w:type="spellStart"/>
      <w:r w:rsidRPr="007E57A2">
        <w:rPr>
          <w:rFonts w:ascii="Arial" w:hAnsi="Arial" w:cs="Arial"/>
          <w:color w:val="000000"/>
          <w:kern w:val="0"/>
          <w:sz w:val="22"/>
          <w:szCs w:val="22"/>
          <w:u w:color="0B4CB4"/>
        </w:rPr>
        <w:t>Tregnoe’s</w:t>
      </w:r>
      <w:proofErr w:type="spellEnd"/>
      <w:r w:rsidRPr="007E57A2">
        <w:rPr>
          <w:rFonts w:ascii="Arial" w:hAnsi="Arial" w:cs="Arial"/>
          <w:color w:val="000000"/>
          <w:kern w:val="0"/>
          <w:sz w:val="22"/>
          <w:szCs w:val="22"/>
          <w:u w:color="0B4CB4"/>
        </w:rPr>
        <w:t xml:space="preserve"> model is a rational approach; it is most suited in scenarios where forthright and uncomplicated methods are appropriate as it neglects creativity (CMI, 2015). It involves devising a </w:t>
      </w:r>
      <w:r w:rsidR="00E32FC8" w:rsidRPr="007E57A2">
        <w:rPr>
          <w:rFonts w:ascii="Arial" w:hAnsi="Arial" w:cs="Arial"/>
          <w:color w:val="000000"/>
          <w:kern w:val="0"/>
          <w:sz w:val="22"/>
          <w:szCs w:val="22"/>
          <w:u w:color="0B4CB4"/>
        </w:rPr>
        <w:t>criterion</w:t>
      </w:r>
      <w:r w:rsidRPr="007E57A2">
        <w:rPr>
          <w:rFonts w:ascii="Arial" w:hAnsi="Arial" w:cs="Arial"/>
          <w:color w:val="000000"/>
          <w:kern w:val="0"/>
          <w:sz w:val="22"/>
          <w:szCs w:val="22"/>
          <w:u w:color="0B4CB4"/>
        </w:rPr>
        <w:t xml:space="preserve"> of ‘want’ and ‘must’ (Oosthuizen, 2014) the former being less important and the latter being integral (Oosthuizen, 2014). This is a quantitative </w:t>
      </w:r>
      <w:r w:rsidR="00E32FC8" w:rsidRPr="007E57A2">
        <w:rPr>
          <w:rFonts w:ascii="Arial" w:hAnsi="Arial" w:cs="Arial"/>
          <w:color w:val="000000"/>
          <w:kern w:val="0"/>
          <w:sz w:val="22"/>
          <w:szCs w:val="22"/>
          <w:u w:color="0B4CB4"/>
        </w:rPr>
        <w:t>method,</w:t>
      </w:r>
      <w:r w:rsidRPr="007E57A2">
        <w:rPr>
          <w:rFonts w:ascii="Arial" w:hAnsi="Arial" w:cs="Arial"/>
          <w:color w:val="000000"/>
          <w:kern w:val="0"/>
          <w:sz w:val="22"/>
          <w:szCs w:val="22"/>
          <w:u w:color="0B4CB4"/>
        </w:rPr>
        <w:t xml:space="preserve"> and the highest weighted score indicates the optimal approach (Oosthuizen, 2014). </w:t>
      </w:r>
    </w:p>
    <w:p w14:paraId="3A92513F"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1A43A4B2" w14:textId="2757D4FE"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This method can be time </w:t>
      </w:r>
      <w:proofErr w:type="gramStart"/>
      <w:r w:rsidRPr="007E57A2">
        <w:rPr>
          <w:rFonts w:ascii="Arial" w:hAnsi="Arial" w:cs="Arial"/>
          <w:color w:val="000000"/>
          <w:kern w:val="0"/>
          <w:sz w:val="22"/>
          <w:szCs w:val="22"/>
          <w:u w:color="0B4CB4"/>
        </w:rPr>
        <w:t>consuming</w:t>
      </w:r>
      <w:proofErr w:type="gramEnd"/>
      <w:r w:rsidRPr="007E57A2">
        <w:rPr>
          <w:rFonts w:ascii="Arial" w:hAnsi="Arial" w:cs="Arial"/>
          <w:color w:val="000000"/>
          <w:kern w:val="0"/>
          <w:sz w:val="22"/>
          <w:szCs w:val="22"/>
          <w:u w:color="0B4CB4"/>
        </w:rPr>
        <w:t xml:space="preserve"> and </w:t>
      </w:r>
      <w:r w:rsidR="006B7E35">
        <w:rPr>
          <w:rFonts w:ascii="Arial" w:hAnsi="Arial" w:cs="Arial"/>
          <w:color w:val="000000"/>
          <w:kern w:val="0"/>
          <w:sz w:val="22"/>
          <w:szCs w:val="22"/>
          <w:u w:color="0B4CB4"/>
        </w:rPr>
        <w:t xml:space="preserve">the </w:t>
      </w:r>
      <w:r w:rsidRPr="007E57A2">
        <w:rPr>
          <w:rFonts w:ascii="Arial" w:hAnsi="Arial" w:cs="Arial"/>
          <w:color w:val="000000"/>
          <w:kern w:val="0"/>
          <w:sz w:val="22"/>
          <w:szCs w:val="22"/>
          <w:u w:color="0B4CB4"/>
        </w:rPr>
        <w:t xml:space="preserve">information </w:t>
      </w:r>
      <w:r w:rsidR="006B7E35">
        <w:rPr>
          <w:rFonts w:ascii="Arial" w:hAnsi="Arial" w:cs="Arial"/>
          <w:color w:val="000000"/>
          <w:kern w:val="0"/>
          <w:sz w:val="22"/>
          <w:szCs w:val="22"/>
          <w:u w:color="0B4CB4"/>
        </w:rPr>
        <w:t>m</w:t>
      </w:r>
      <w:r w:rsidRPr="007E57A2">
        <w:rPr>
          <w:rFonts w:ascii="Arial" w:hAnsi="Arial" w:cs="Arial"/>
          <w:color w:val="000000"/>
          <w:kern w:val="0"/>
          <w:sz w:val="22"/>
          <w:szCs w:val="22"/>
          <w:u w:color="0B4CB4"/>
        </w:rPr>
        <w:t>ight be difficult to obtain so could prove ineffective (CMI, 2015). Its rigidness neglects past experiences and rejects intuition (CMI, 2015), which some managers may wish to include along with their EBP. Though the rational approach can stop managers from becoming preoccupied with their emotional reactions (CMI, 2015), rational approaches often do not align with everyone which is why 70 - 80% of ideas do not materialise (Roebuck, 2017).</w:t>
      </w:r>
    </w:p>
    <w:p w14:paraId="013373D4"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p>
    <w:p w14:paraId="2DEF41F7" w14:textId="19742DE3" w:rsidR="007E286C" w:rsidRPr="007E57A2" w:rsidRDefault="007E286C" w:rsidP="00E50E6A">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In De Bono’s </w:t>
      </w:r>
      <w:r w:rsidR="00413A45"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six thinking hat</w:t>
      </w:r>
      <w:r w:rsidR="00413A45"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method, each person in a group gives their unique perspective which provides superior results as everyone has their say (Patre, 2016). The knowledge and perspective of everyone is utilised (De Bono, 2000). This method was used by the</w:t>
      </w:r>
      <w:r w:rsidRPr="007E57A2">
        <w:rPr>
          <w:rFonts w:ascii="Arial" w:hAnsi="Arial" w:cs="Arial"/>
          <w:i/>
          <w:iCs/>
          <w:color w:val="000000"/>
          <w:kern w:val="0"/>
          <w:sz w:val="22"/>
          <w:szCs w:val="22"/>
          <w:u w:color="0B4CB4"/>
        </w:rPr>
        <w:t xml:space="preserve"> NHS</w:t>
      </w:r>
      <w:r w:rsidRPr="007E57A2">
        <w:rPr>
          <w:rFonts w:ascii="Arial" w:hAnsi="Arial" w:cs="Arial"/>
          <w:color w:val="000000"/>
          <w:kern w:val="0"/>
          <w:sz w:val="22"/>
          <w:szCs w:val="22"/>
          <w:u w:color="0B4CB4"/>
        </w:rPr>
        <w:t xml:space="preserve"> in </w:t>
      </w:r>
      <w:r w:rsidRPr="007E57A2">
        <w:rPr>
          <w:rFonts w:ascii="Arial" w:hAnsi="Arial" w:cs="Arial"/>
          <w:i/>
          <w:iCs/>
          <w:color w:val="000000"/>
          <w:kern w:val="0"/>
          <w:sz w:val="22"/>
          <w:szCs w:val="22"/>
          <w:u w:color="0B4CB4"/>
        </w:rPr>
        <w:t>The Black Country Health Review</w:t>
      </w:r>
      <w:r w:rsidRPr="007E57A2">
        <w:rPr>
          <w:rFonts w:ascii="Arial" w:hAnsi="Arial" w:cs="Arial"/>
          <w:color w:val="000000"/>
          <w:kern w:val="0"/>
          <w:sz w:val="22"/>
          <w:szCs w:val="22"/>
          <w:u w:color="0B4CB4"/>
        </w:rPr>
        <w:t xml:space="preserve"> whereby 500 people including managers, medical and administrative staff and other stakeholders such as patients and community members took part (NHS, 2017). The green ‘hat’ was used to produce multiple unsystematic ideas and then partakers each had a ‘hat’ to review their ideas (NHS, 2017). The black ‘hat’ reviewed disadvantages and the yellow determined positives (NHS, 2017). This process allowed participants to think differently than usual and created ideas that impacted on strategy rather than merely remaining as ideas (NHS, 2017</w:t>
      </w:r>
      <w:r w:rsidR="00E32FC8" w:rsidRPr="007E57A2">
        <w:rPr>
          <w:rFonts w:ascii="Arial" w:hAnsi="Arial" w:cs="Arial"/>
          <w:color w:val="000000"/>
          <w:kern w:val="0"/>
          <w:sz w:val="22"/>
          <w:szCs w:val="22"/>
          <w:u w:color="0B4CB4"/>
        </w:rPr>
        <w:t>). This</w:t>
      </w:r>
      <w:r w:rsidRPr="007E57A2">
        <w:rPr>
          <w:rFonts w:ascii="Arial" w:hAnsi="Arial" w:cs="Arial"/>
          <w:color w:val="000000"/>
          <w:kern w:val="0"/>
          <w:sz w:val="22"/>
          <w:szCs w:val="22"/>
          <w:u w:color="0B4CB4"/>
        </w:rPr>
        <w:t xml:space="preserve"> method is beneficial as it focuses on looking at the positive outcomes of a situation and accelerates the decision-making process with meeting lengths almost halved (Patre, 2016). Moreover, it can used remotely online should not everyone can attend in-person at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(Pearson, 2019). </w:t>
      </w:r>
    </w:p>
    <w:p w14:paraId="4EC2722E"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14A31EB3"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50DD7BF0"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r w:rsidRPr="0075511A">
        <w:rPr>
          <w:rFonts w:ascii="Arial" w:hAnsi="Arial" w:cs="Arial"/>
          <w:b/>
          <w:bCs/>
          <w:color w:val="000000" w:themeColor="text1"/>
          <w:kern w:val="0"/>
          <w:sz w:val="22"/>
          <w:szCs w:val="22"/>
          <w:u w:color="0B4CB4"/>
        </w:rPr>
        <w:t>Q5</w:t>
      </w:r>
      <w:r w:rsidRPr="007E57A2">
        <w:rPr>
          <w:rFonts w:ascii="Arial" w:hAnsi="Arial" w:cs="Arial"/>
          <w:b/>
          <w:bCs/>
          <w:color w:val="053236"/>
          <w:kern w:val="0"/>
          <w:sz w:val="22"/>
          <w:szCs w:val="22"/>
          <w:u w:color="0B4CB4"/>
        </w:rPr>
        <w:t>.</w:t>
      </w:r>
      <w:r w:rsidRPr="007E57A2">
        <w:rPr>
          <w:rFonts w:ascii="Arial" w:hAnsi="Arial" w:cs="Arial"/>
          <w:b/>
          <w:bCs/>
          <w:color w:val="000000"/>
          <w:kern w:val="0"/>
          <w:sz w:val="22"/>
          <w:szCs w:val="22"/>
          <w:u w:color="0B4CB4"/>
        </w:rPr>
        <w:t xml:space="preserve"> Assess two different ethical perspectives including how these could be used 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to inform and influence decision-making. (AC 1.5)</w:t>
      </w:r>
    </w:p>
    <w:p w14:paraId="0900ABE5" w14:textId="3EE9E757" w:rsidR="007E286C" w:rsidRPr="007E57A2" w:rsidRDefault="007E286C" w:rsidP="004B376B">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r w:rsidRPr="007E57A2">
        <w:rPr>
          <w:rFonts w:ascii="Arial" w:hAnsi="Arial" w:cs="Arial"/>
          <w:color w:val="000000"/>
          <w:kern w:val="0"/>
          <w:sz w:val="22"/>
          <w:szCs w:val="22"/>
          <w:u w:color="0B4CB4"/>
        </w:rPr>
        <w:t> </w:t>
      </w:r>
    </w:p>
    <w:p w14:paraId="79CF190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Utilitarianism incorporates decision making that aims to produce positive outcomes and the least amount of harm (Schumann, 2001). It posits an action or law only works if a positive or preferably</w:t>
      </w:r>
      <w:r w:rsidRPr="007E57A2">
        <w:rPr>
          <w:rFonts w:ascii="Arial" w:hAnsi="Arial" w:cs="Arial"/>
          <w:i/>
          <w:iCs/>
          <w:color w:val="000000"/>
          <w:kern w:val="0"/>
          <w:sz w:val="22"/>
          <w:szCs w:val="22"/>
          <w:u w:color="0B4CB4"/>
        </w:rPr>
        <w:t xml:space="preserve"> best possible</w:t>
      </w:r>
      <w:r w:rsidRPr="007E57A2">
        <w:rPr>
          <w:rFonts w:ascii="Arial" w:hAnsi="Arial" w:cs="Arial"/>
          <w:color w:val="000000"/>
          <w:kern w:val="0"/>
          <w:sz w:val="22"/>
          <w:szCs w:val="22"/>
          <w:u w:color="0B4CB4"/>
        </w:rPr>
        <w:t xml:space="preserve"> outcome happens from an action or law (</w:t>
      </w:r>
      <w:proofErr w:type="spellStart"/>
      <w:r w:rsidRPr="007E57A2">
        <w:rPr>
          <w:rFonts w:ascii="Arial" w:hAnsi="Arial" w:cs="Arial"/>
          <w:color w:val="000000"/>
          <w:kern w:val="0"/>
          <w:sz w:val="22"/>
          <w:szCs w:val="22"/>
          <w:u w:color="0B4CB4"/>
        </w:rPr>
        <w:t>Klikauer</w:t>
      </w:r>
      <w:proofErr w:type="spellEnd"/>
      <w:r w:rsidRPr="007E57A2">
        <w:rPr>
          <w:rFonts w:ascii="Arial" w:hAnsi="Arial" w:cs="Arial"/>
          <w:color w:val="000000"/>
          <w:kern w:val="0"/>
          <w:sz w:val="22"/>
          <w:szCs w:val="22"/>
          <w:u w:color="0B4CB4"/>
        </w:rPr>
        <w:t xml:space="preserve"> 2014). This being the “happiness principle” which contrasts with Human Resource Management (HRM) because HRM favours organisational performance rather than the greatest good for the highest number of people (</w:t>
      </w:r>
      <w:proofErr w:type="spellStart"/>
      <w:r w:rsidRPr="007E57A2">
        <w:rPr>
          <w:rFonts w:ascii="Arial" w:hAnsi="Arial" w:cs="Arial"/>
          <w:color w:val="000000"/>
          <w:kern w:val="0"/>
          <w:sz w:val="22"/>
          <w:szCs w:val="22"/>
          <w:u w:color="0B4CB4"/>
        </w:rPr>
        <w:t>Klikauer</w:t>
      </w:r>
      <w:proofErr w:type="spellEnd"/>
      <w:r w:rsidRPr="007E57A2">
        <w:rPr>
          <w:rFonts w:ascii="Arial" w:hAnsi="Arial" w:cs="Arial"/>
          <w:color w:val="000000"/>
          <w:kern w:val="0"/>
          <w:sz w:val="22"/>
          <w:szCs w:val="22"/>
          <w:u w:color="0B4CB4"/>
        </w:rPr>
        <w:t xml:space="preserve"> 2014).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do a 'cost benefit analysis’ of the required use of Learning and Development tools (Winstanley and Woodhall, 2000), or through understanding how automated systems can add value through supporting strategic decisions through reducing costs of organising information (Boudreau, 1990). A cost benefit analysis would be a quantitative method to analyse data (Boudreau, 1990). However, the ‘utility’ element of the Utilitarian theory overrules so an employee’s right to privacy is most important (Winstanley and Woodhall, 2000). </w:t>
      </w:r>
    </w:p>
    <w:p w14:paraId="1900122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32C52D06"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lastRenderedPageBreak/>
        <w:t xml:space="preserve">Utilitarianism promotes wellbeing, with corporate capabilities only being worthwhile if they encourage wellbeing (CIPD, 2015 p 25).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incorporate a wellbeing programme and develop a “burnout assessment” which can promote a good working life and provide organisational results in the modern age (De Beer and Schaufeli, 2024). </w:t>
      </w:r>
    </w:p>
    <w:p w14:paraId="7216D887"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717DB591"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Deontological theory stresses the significance of following rules no matter the situation (Naithani and Goyal, 2022), because it is what should</w:t>
      </w:r>
      <w:r w:rsidRPr="007E57A2">
        <w:rPr>
          <w:rFonts w:ascii="Arial" w:hAnsi="Arial" w:cs="Arial"/>
          <w:i/>
          <w:iCs/>
          <w:color w:val="000000"/>
          <w:kern w:val="0"/>
          <w:sz w:val="22"/>
          <w:szCs w:val="22"/>
          <w:u w:color="0B4CB4"/>
        </w:rPr>
        <w:t xml:space="preserve"> </w:t>
      </w:r>
      <w:r w:rsidRPr="007E57A2">
        <w:rPr>
          <w:rFonts w:ascii="Arial" w:hAnsi="Arial" w:cs="Arial"/>
          <w:color w:val="000000"/>
          <w:kern w:val="0"/>
          <w:sz w:val="22"/>
          <w:szCs w:val="22"/>
          <w:u w:color="0B4CB4"/>
        </w:rPr>
        <w:t xml:space="preserve">be done and it is the most ethically correct action to take (Olanipekun and </w:t>
      </w:r>
      <w:proofErr w:type="spellStart"/>
      <w:r w:rsidRPr="007E57A2">
        <w:rPr>
          <w:rFonts w:ascii="Arial" w:hAnsi="Arial" w:cs="Arial"/>
          <w:color w:val="000000"/>
          <w:kern w:val="0"/>
          <w:sz w:val="22"/>
          <w:szCs w:val="22"/>
          <w:u w:color="0B4CB4"/>
        </w:rPr>
        <w:t>Jayeoba</w:t>
      </w:r>
      <w:proofErr w:type="spellEnd"/>
      <w:r w:rsidRPr="007E57A2">
        <w:rPr>
          <w:rFonts w:ascii="Arial" w:hAnsi="Arial" w:cs="Arial"/>
          <w:color w:val="000000"/>
          <w:kern w:val="0"/>
          <w:sz w:val="22"/>
          <w:szCs w:val="22"/>
          <w:u w:color="0B4CB4"/>
        </w:rPr>
        <w:t xml:space="preserve">, 2022). It is positive in the sense that all decisions will largely remain the same (Olanipekun and </w:t>
      </w:r>
      <w:proofErr w:type="spellStart"/>
      <w:r w:rsidRPr="007E57A2">
        <w:rPr>
          <w:rFonts w:ascii="Arial" w:hAnsi="Arial" w:cs="Arial"/>
          <w:color w:val="000000"/>
          <w:kern w:val="0"/>
          <w:sz w:val="22"/>
          <w:szCs w:val="22"/>
          <w:u w:color="0B4CB4"/>
        </w:rPr>
        <w:t>Jayeoba</w:t>
      </w:r>
      <w:proofErr w:type="spellEnd"/>
      <w:r w:rsidRPr="007E57A2">
        <w:rPr>
          <w:rFonts w:ascii="Arial" w:hAnsi="Arial" w:cs="Arial"/>
          <w:color w:val="000000"/>
          <w:kern w:val="0"/>
          <w:sz w:val="22"/>
          <w:szCs w:val="22"/>
          <w:u w:color="0B4CB4"/>
        </w:rPr>
        <w:t xml:space="preserve">, 2022), which provides predictability. An example of where deontology may be utilised at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is by ensuring that employee data and privacy is upheld in line with GDPR rules when introducing a new HR system to maximise workforce efficiency and gain employee consent for data to be used (Naithani and Goyal, 2022). This is despite this being a time-consuming process (Naithani and Goyal, 2022). </w:t>
      </w:r>
    </w:p>
    <w:p w14:paraId="7EAB658C"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10639F07" w14:textId="09C010F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Acting with good will is integral to operating under a Kantian philosophy therefore having virtuous and good intentions is most important (Reynolds and Dang, 2012). Therefore, making decisions with the best intentions is important, but managers having authenticity provides a favourable culture (Reynolds and Dang, 2012). Following rules and regulations is a way of ensuring that good will is met in situations where it may prove difficult and reduces the risk of making decisions without having morals in mind (Reynolds and Dang, 2012), following </w:t>
      </w:r>
      <w:r w:rsidRPr="007E57A2">
        <w:rPr>
          <w:rFonts w:ascii="Arial" w:hAnsi="Arial" w:cs="Arial"/>
          <w:i/>
          <w:iCs/>
          <w:color w:val="000000"/>
          <w:kern w:val="0"/>
          <w:sz w:val="22"/>
          <w:szCs w:val="22"/>
          <w:u w:color="0B4CB4"/>
        </w:rPr>
        <w:t xml:space="preserve">The Categorical Imperative. </w:t>
      </w:r>
      <w:r w:rsidRPr="007E57A2">
        <w:rPr>
          <w:rFonts w:ascii="Arial" w:hAnsi="Arial" w:cs="Arial"/>
          <w:color w:val="000000"/>
          <w:kern w:val="0"/>
          <w:sz w:val="22"/>
          <w:szCs w:val="22"/>
          <w:u w:color="0B4CB4"/>
        </w:rPr>
        <w:t>Kantian HR however is deemed outdated and impractical. Instead, ‘</w:t>
      </w:r>
      <w:proofErr w:type="spellStart"/>
      <w:r w:rsidR="00DB6B0B" w:rsidRPr="007E57A2">
        <w:rPr>
          <w:rFonts w:ascii="Arial" w:hAnsi="Arial" w:cs="Arial"/>
          <w:color w:val="000000"/>
          <w:kern w:val="0"/>
          <w:sz w:val="22"/>
          <w:szCs w:val="22"/>
          <w:u w:color="0B4CB4"/>
        </w:rPr>
        <w:t>S</w:t>
      </w:r>
      <w:r w:rsidRPr="007E57A2">
        <w:rPr>
          <w:rFonts w:ascii="Arial" w:hAnsi="Arial" w:cs="Arial"/>
          <w:color w:val="000000"/>
          <w:kern w:val="0"/>
          <w:sz w:val="22"/>
          <w:szCs w:val="22"/>
          <w:u w:color="0B4CB4"/>
        </w:rPr>
        <w:t>takeholding</w:t>
      </w:r>
      <w:proofErr w:type="spellEnd"/>
      <w:r w:rsidRPr="007E57A2">
        <w:rPr>
          <w:rFonts w:ascii="Arial" w:hAnsi="Arial" w:cs="Arial"/>
          <w:color w:val="000000"/>
          <w:kern w:val="0"/>
          <w:sz w:val="22"/>
          <w:szCs w:val="22"/>
          <w:u w:color="0B4CB4"/>
        </w:rPr>
        <w:t xml:space="preserve">’ could be used whereby employees are given a say in management decisions via the use of consultation methods (Winstanley and Woodhall, 2000). </w:t>
      </w:r>
    </w:p>
    <w:p w14:paraId="58D88A10"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06355C56" w14:textId="5A28FD2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Multiple ethical frameworks have relevance to </w:t>
      </w:r>
      <w:r w:rsidR="00E32FC8" w:rsidRPr="007E57A2">
        <w:rPr>
          <w:rFonts w:ascii="Arial" w:hAnsi="Arial" w:cs="Arial"/>
          <w:color w:val="000000"/>
          <w:kern w:val="0"/>
          <w:sz w:val="22"/>
          <w:szCs w:val="22"/>
          <w:u w:color="0B4CB4"/>
        </w:rPr>
        <w:t>HRM,</w:t>
      </w:r>
      <w:r w:rsidRPr="007E57A2">
        <w:rPr>
          <w:rFonts w:ascii="Arial" w:hAnsi="Arial" w:cs="Arial"/>
          <w:color w:val="000000"/>
          <w:kern w:val="0"/>
          <w:sz w:val="22"/>
          <w:szCs w:val="22"/>
          <w:u w:color="0B4CB4"/>
        </w:rPr>
        <w:t xml:space="preserve"> and the key focus should be on “academic debate, academic research and professional HR practice” (Winstanley and Woodhall, 2000) with a humanistic approach taken instead (Winstanley and Woodhall, 2000). Continued use of performance and evaluation should be criticised (Winstanley and Woodhall, 2000) because of the constant monitoring of employees (Winstanley and Woodhall, 2000).</w:t>
      </w:r>
    </w:p>
    <w:p w14:paraId="4823FE86"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b/>
          <w:bCs/>
          <w:color w:val="F6000B"/>
          <w:kern w:val="0"/>
          <w:sz w:val="22"/>
          <w:szCs w:val="22"/>
          <w:u w:color="0B4CB4"/>
        </w:rPr>
        <w:t> </w:t>
      </w:r>
    </w:p>
    <w:p w14:paraId="27E825C2" w14:textId="690797A5" w:rsidR="007E286C" w:rsidRPr="007E57A2" w:rsidRDefault="007E286C" w:rsidP="007E286C">
      <w:pPr>
        <w:autoSpaceDE w:val="0"/>
        <w:autoSpaceDN w:val="0"/>
        <w:adjustRightInd w:val="0"/>
        <w:spacing w:after="0" w:line="240" w:lineRule="auto"/>
        <w:rPr>
          <w:rFonts w:ascii="Arial" w:hAnsi="Arial" w:cs="Arial"/>
          <w:color w:val="F6000B"/>
          <w:kern w:val="0"/>
          <w:sz w:val="22"/>
          <w:szCs w:val="22"/>
          <w:u w:color="0B4CB4"/>
        </w:rPr>
      </w:pPr>
      <w:r w:rsidRPr="007E57A2">
        <w:rPr>
          <w:rFonts w:ascii="Arial" w:hAnsi="Arial" w:cs="Arial"/>
          <w:b/>
          <w:bCs/>
          <w:color w:val="000000"/>
          <w:kern w:val="0"/>
          <w:sz w:val="22"/>
          <w:szCs w:val="22"/>
          <w:u w:color="0B4CB4"/>
        </w:rPr>
        <w:t xml:space="preserve">Q6. Appraise two different ways that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could measure financial and non-financial performance, providing one example of each. (AC 3.1)</w:t>
      </w:r>
    </w:p>
    <w:p w14:paraId="0FFD5D78" w14:textId="77777777" w:rsidR="007E286C" w:rsidRPr="007E57A2" w:rsidRDefault="007E286C" w:rsidP="007E286C">
      <w:pPr>
        <w:autoSpaceDE w:val="0"/>
        <w:autoSpaceDN w:val="0"/>
        <w:adjustRightInd w:val="0"/>
        <w:spacing w:after="0" w:line="240" w:lineRule="auto"/>
        <w:ind w:left="755" w:right="377" w:hanging="755"/>
        <w:jc w:val="both"/>
        <w:rPr>
          <w:rFonts w:ascii="Arial" w:hAnsi="Arial" w:cs="Arial"/>
          <w:color w:val="000000"/>
          <w:kern w:val="0"/>
          <w:sz w:val="22"/>
          <w:szCs w:val="22"/>
          <w:u w:color="0B4CB4"/>
        </w:rPr>
      </w:pPr>
      <w:r w:rsidRPr="007E57A2">
        <w:rPr>
          <w:rFonts w:ascii="Arial" w:hAnsi="Arial" w:cs="Arial"/>
          <w:b/>
          <w:bCs/>
          <w:color w:val="000000"/>
          <w:kern w:val="0"/>
          <w:sz w:val="22"/>
          <w:szCs w:val="22"/>
          <w:u w:color="0B4CB4"/>
        </w:rPr>
        <w:t> </w:t>
      </w:r>
    </w:p>
    <w:p w14:paraId="05F77DD8"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measure performance through using Financial ‘Key Performance Indicators’ (KPI’s). KPI’s will allow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to measure and analyse the financial robustness of the company (Stobierski, 2020). It would be important that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produces reports and distributes them regularly such as weekly or monthly to the wider company so managers can keep track of performance (Stobierski, 2020). This will allow managers to adapt their goals based on the capabilities of the company (Stobierski, 2020). It will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to see whether they are on track to reach their organisational objectives and goals (Bhatti, Awan and Razaq, 2013). By using Parmenter’s methods such as cost of goods sold divided by sales or cash flows, this can pinpoint financial success (Bhatti, Awan and Razaq, 2013). It will be integral that </w:t>
      </w:r>
      <w:proofErr w:type="spellStart"/>
      <w:r w:rsidRPr="007E57A2">
        <w:rPr>
          <w:rFonts w:ascii="Arial" w:hAnsi="Arial" w:cs="Arial"/>
          <w:color w:val="000000"/>
          <w:kern w:val="0"/>
          <w:sz w:val="22"/>
          <w:szCs w:val="22"/>
          <w:u w:color="0B4CB4"/>
        </w:rPr>
        <w:t>Technivara’s</w:t>
      </w:r>
      <w:proofErr w:type="spellEnd"/>
      <w:r w:rsidRPr="007E57A2">
        <w:rPr>
          <w:rFonts w:ascii="Arial" w:hAnsi="Arial" w:cs="Arial"/>
          <w:color w:val="000000"/>
          <w:kern w:val="0"/>
          <w:sz w:val="22"/>
          <w:szCs w:val="22"/>
          <w:u w:color="0B4CB4"/>
        </w:rPr>
        <w:t xml:space="preserve"> KPI’s are easily understandable by everyone and can be easily observed (Hey, 2017).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also assign one person as being the singular owner of the KPI and this should be someone who has the most control over the KPI and who can use the data most effectively to determine targets (Hey, 2017). </w:t>
      </w:r>
    </w:p>
    <w:p w14:paraId="02A37242" w14:textId="77777777" w:rsidR="007E286C" w:rsidRPr="007E57A2" w:rsidRDefault="007E286C" w:rsidP="007E286C">
      <w:pPr>
        <w:autoSpaceDE w:val="0"/>
        <w:autoSpaceDN w:val="0"/>
        <w:adjustRightInd w:val="0"/>
        <w:spacing w:after="0" w:line="240" w:lineRule="auto"/>
        <w:jc w:val="both"/>
        <w:rPr>
          <w:rFonts w:ascii="Arial" w:hAnsi="Arial" w:cs="Arial"/>
          <w:b/>
          <w:bCs/>
          <w:color w:val="F6000B"/>
          <w:kern w:val="0"/>
          <w:sz w:val="22"/>
          <w:szCs w:val="22"/>
          <w:u w:color="0B4CB4"/>
        </w:rPr>
      </w:pPr>
      <w:r w:rsidRPr="007E57A2">
        <w:rPr>
          <w:rFonts w:ascii="Arial" w:hAnsi="Arial" w:cs="Arial"/>
          <w:b/>
          <w:bCs/>
          <w:color w:val="F6000B"/>
          <w:kern w:val="0"/>
          <w:sz w:val="22"/>
          <w:szCs w:val="22"/>
          <w:u w:color="0B4CB4"/>
        </w:rPr>
        <w:t> </w:t>
      </w:r>
    </w:p>
    <w:p w14:paraId="5362F696" w14:textId="0ACAA468"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Customer satisfaction also measures performance. There are four main ways to analyse customer satisfaction. These are their general satisfaction, perception from customers, loyalty of customers and how likely customers are to recommend the service or product (Prudence, 2023). By looking at customer satisfaction data,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can understand the needs of their customers </w:t>
      </w:r>
      <w:r w:rsidRPr="007E57A2">
        <w:rPr>
          <w:rFonts w:ascii="Arial" w:hAnsi="Arial" w:cs="Arial"/>
          <w:color w:val="000000"/>
          <w:kern w:val="0"/>
          <w:sz w:val="22"/>
          <w:szCs w:val="22"/>
          <w:u w:color="0B4CB4"/>
        </w:rPr>
        <w:lastRenderedPageBreak/>
        <w:t xml:space="preserve">and discover ways of improving services to increase likelihood of customer loyalty (Prudence, 2023). Customer satisfaction surveys help to learn the views and perspectives on products and the company (Prudence, 2023). A customer satisfaction score can help determine the overall satisfaction by rating on a scale (Prudence, 2023). This data is beneficial as there is a significant relationship between higher customer satisfaction scores and company revenue (Williams and Naumann, 2011). Indeed, if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has a high satisfaction level, this would result in a </w:t>
      </w:r>
      <w:r w:rsidR="00E32FC8" w:rsidRPr="007E57A2">
        <w:rPr>
          <w:rFonts w:ascii="Arial" w:hAnsi="Arial" w:cs="Arial"/>
          <w:color w:val="000000"/>
          <w:kern w:val="0"/>
          <w:sz w:val="22"/>
          <w:szCs w:val="22"/>
          <w:u w:color="0B4CB4"/>
        </w:rPr>
        <w:t>sped-up</w:t>
      </w:r>
      <w:r w:rsidRPr="007E57A2">
        <w:rPr>
          <w:rFonts w:ascii="Arial" w:hAnsi="Arial" w:cs="Arial"/>
          <w:color w:val="000000"/>
          <w:kern w:val="0"/>
          <w:sz w:val="22"/>
          <w:szCs w:val="22"/>
          <w:u w:color="0B4CB4"/>
        </w:rPr>
        <w:t xml:space="preserve"> cash flow and reduced financial risks that are linked to these (Williams and Naumann, 2011). Customer satisfaction is an aspect that many organisations do not fully appreciate the significance of (van der Wiele and Hesselink, 2002) with Bell recognising that ‘lip service’ is often favoured over customer service (Bell 1990 in (van der Wiele and Hesselink, 2002). There is also an issue with organisations delaying their measurements of customer satisfaction so there is a gap between this and profitability measurements (van der Wiele and Hesselink, 2002).</w:t>
      </w:r>
    </w:p>
    <w:p w14:paraId="4A4D71CF" w14:textId="1B39E4C4" w:rsidR="007E286C" w:rsidRPr="007E57A2" w:rsidRDefault="007E286C" w:rsidP="005B2EBF">
      <w:pPr>
        <w:autoSpaceDE w:val="0"/>
        <w:autoSpaceDN w:val="0"/>
        <w:adjustRightInd w:val="0"/>
        <w:spacing w:after="0" w:line="240" w:lineRule="auto"/>
        <w:ind w:right="377"/>
        <w:jc w:val="both"/>
        <w:rPr>
          <w:rFonts w:ascii="Arial" w:hAnsi="Arial" w:cs="Arial"/>
          <w:color w:val="000000"/>
          <w:kern w:val="0"/>
          <w:sz w:val="22"/>
          <w:szCs w:val="22"/>
          <w:u w:color="0B4CB4"/>
        </w:rPr>
      </w:pPr>
    </w:p>
    <w:p w14:paraId="1813EDC4" w14:textId="4D190336" w:rsidR="007E286C" w:rsidRPr="007E57A2" w:rsidRDefault="007E286C" w:rsidP="007E286C">
      <w:pPr>
        <w:autoSpaceDE w:val="0"/>
        <w:autoSpaceDN w:val="0"/>
        <w:adjustRightInd w:val="0"/>
        <w:spacing w:after="0" w:line="240" w:lineRule="auto"/>
        <w:ind w:left="567" w:right="377" w:hanging="567"/>
        <w:jc w:val="both"/>
        <w:rPr>
          <w:rFonts w:ascii="Arial" w:hAnsi="Arial" w:cs="Arial"/>
          <w:color w:val="000000"/>
          <w:kern w:val="0"/>
          <w:sz w:val="22"/>
          <w:szCs w:val="22"/>
          <w:u w:color="0B4CB4"/>
        </w:rPr>
      </w:pPr>
      <w:r w:rsidRPr="007E57A2">
        <w:rPr>
          <w:rFonts w:ascii="Arial" w:hAnsi="Arial" w:cs="Arial"/>
          <w:b/>
          <w:bCs/>
          <w:color w:val="000000"/>
          <w:kern w:val="0"/>
          <w:sz w:val="22"/>
          <w:szCs w:val="22"/>
          <w:u w:color="0B4CB4"/>
        </w:rPr>
        <w:t>Q</w:t>
      </w:r>
      <w:r w:rsidR="00F544B7" w:rsidRPr="007E57A2">
        <w:rPr>
          <w:rFonts w:ascii="Arial" w:hAnsi="Arial" w:cs="Arial"/>
          <w:b/>
          <w:bCs/>
          <w:color w:val="000000"/>
          <w:kern w:val="0"/>
          <w:sz w:val="22"/>
          <w:szCs w:val="22"/>
          <w:u w:color="0B4CB4"/>
        </w:rPr>
        <w:t>7. Explain</w:t>
      </w:r>
      <w:r w:rsidRPr="007E57A2">
        <w:rPr>
          <w:rFonts w:ascii="Arial" w:hAnsi="Arial" w:cs="Arial"/>
          <w:b/>
          <w:bCs/>
          <w:color w:val="000000"/>
          <w:kern w:val="0"/>
          <w:sz w:val="22"/>
          <w:szCs w:val="22"/>
          <w:u w:color="0B4CB4"/>
        </w:rPr>
        <w:t xml:space="preserve"> how people practices could add value at </w:t>
      </w:r>
      <w:proofErr w:type="spellStart"/>
      <w:r w:rsidRPr="007E57A2">
        <w:rPr>
          <w:rFonts w:ascii="Arial" w:hAnsi="Arial" w:cs="Arial"/>
          <w:b/>
          <w:bCs/>
          <w:color w:val="000000"/>
          <w:kern w:val="0"/>
          <w:sz w:val="22"/>
          <w:szCs w:val="22"/>
          <w:u w:color="0B4CB4"/>
        </w:rPr>
        <w:t>Technivara</w:t>
      </w:r>
      <w:proofErr w:type="spellEnd"/>
      <w:r w:rsidRPr="007E57A2">
        <w:rPr>
          <w:rFonts w:ascii="Arial" w:hAnsi="Arial" w:cs="Arial"/>
          <w:b/>
          <w:bCs/>
          <w:color w:val="000000"/>
          <w:kern w:val="0"/>
          <w:sz w:val="22"/>
          <w:szCs w:val="22"/>
          <w:u w:color="0B4CB4"/>
        </w:rPr>
        <w:t xml:space="preserve"> and identify two methods that might be used to measure the impact of these people practices. (AC 3.2)</w:t>
      </w:r>
    </w:p>
    <w:p w14:paraId="4F952A54" w14:textId="77777777" w:rsidR="007E286C" w:rsidRPr="007E57A2" w:rsidRDefault="007E286C" w:rsidP="00E50E6A">
      <w:pPr>
        <w:autoSpaceDE w:val="0"/>
        <w:autoSpaceDN w:val="0"/>
        <w:adjustRightInd w:val="0"/>
        <w:spacing w:after="0" w:line="240" w:lineRule="auto"/>
        <w:ind w:left="567" w:right="377" w:hanging="567"/>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2885C636" w14:textId="77777777" w:rsidR="007E286C" w:rsidRPr="007E57A2" w:rsidRDefault="007E286C" w:rsidP="00E50E6A">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Value can be created by people practices and varies depending on each stakeholder for example if there have been higher earnings or a higher ROI for shareholders (Taylor and Woodhams, 2022).</w:t>
      </w:r>
    </w:p>
    <w:p w14:paraId="2F11DC76"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5B436259"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ROI</w:t>
      </w:r>
    </w:p>
    <w:p w14:paraId="4320D51C"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5D9C78C6" w14:textId="2375E61A"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ROI is a calculation used to determine the amount of profit made from an investment that a business has made (Stobierski, 2020). It can help managers understand their team’s performance (Stobierski, 2020). Positively, it is a straightforward </w:t>
      </w:r>
      <w:r w:rsidR="00E32FC8" w:rsidRPr="007E57A2">
        <w:rPr>
          <w:rFonts w:ascii="Arial" w:hAnsi="Arial" w:cs="Arial"/>
          <w:color w:val="000000"/>
          <w:kern w:val="0"/>
          <w:sz w:val="22"/>
          <w:szCs w:val="22"/>
          <w:u w:color="0B4CB4"/>
        </w:rPr>
        <w:t>process,</w:t>
      </w:r>
      <w:r w:rsidRPr="007E57A2">
        <w:rPr>
          <w:rFonts w:ascii="Arial" w:hAnsi="Arial" w:cs="Arial"/>
          <w:color w:val="000000"/>
          <w:kern w:val="0"/>
          <w:sz w:val="22"/>
          <w:szCs w:val="22"/>
          <w:u w:color="0B4CB4"/>
        </w:rPr>
        <w:t xml:space="preserve"> and practitioners need not have a financial background to use it (Stobierski, 2020). The formula to follow is net profit divided by the cost of investment and multiplied by 100 (Stobierski, 2020). ROI can be used to demonstrate the effectiveness of HR </w:t>
      </w:r>
      <w:r w:rsidR="00E32FC8" w:rsidRPr="007E57A2">
        <w:rPr>
          <w:rFonts w:ascii="Arial" w:hAnsi="Arial" w:cs="Arial"/>
          <w:color w:val="000000"/>
          <w:kern w:val="0"/>
          <w:sz w:val="22"/>
          <w:szCs w:val="22"/>
          <w:u w:color="0B4CB4"/>
        </w:rPr>
        <w:t>programmes,</w:t>
      </w:r>
      <w:r w:rsidRPr="007E57A2">
        <w:rPr>
          <w:rFonts w:ascii="Arial" w:hAnsi="Arial" w:cs="Arial"/>
          <w:color w:val="000000"/>
          <w:kern w:val="0"/>
          <w:sz w:val="22"/>
          <w:szCs w:val="22"/>
          <w:u w:color="0B4CB4"/>
        </w:rPr>
        <w:t xml:space="preserve"> and it can be useful as it can outline that a performance measure was improved based on a HR incentive introduced (Phillips and Phillips, 2017). One example is when introducing a working from home incentive, productivity data per month increased (Phillips and Phillips, 2017).</w:t>
      </w:r>
    </w:p>
    <w:p w14:paraId="56D22975"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578D4C10"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It is important for a successful ROI evaluation to have ‘purpose, feasibility and objectives’ (Philips, 2005). If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were to evaluate the ROI for Learning and Development (L&amp;D), the goal could be to see if the initiative was successful and for promotion of future training initiatives (Philips, 2005). Analysing feasibility will include whether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has enough measures in place to analyse (Philips, 2005).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would need to collect both hard data such as time and quality and soft data such as job satisfaction (Philips, 2005). </w:t>
      </w:r>
    </w:p>
    <w:p w14:paraId="62ABE47E" w14:textId="77777777" w:rsidR="007E286C" w:rsidRPr="007E57A2" w:rsidRDefault="007E286C" w:rsidP="007E286C">
      <w:pPr>
        <w:autoSpaceDE w:val="0"/>
        <w:autoSpaceDN w:val="0"/>
        <w:adjustRightInd w:val="0"/>
        <w:spacing w:after="0" w:line="240" w:lineRule="auto"/>
        <w:rPr>
          <w:rFonts w:ascii="Arial" w:hAnsi="Arial" w:cs="Arial"/>
          <w:color w:val="131313"/>
          <w:kern w:val="0"/>
          <w:sz w:val="22"/>
          <w:szCs w:val="22"/>
          <w:u w:color="0B4CB4"/>
        </w:rPr>
      </w:pPr>
    </w:p>
    <w:p w14:paraId="77699814" w14:textId="77777777" w:rsidR="007E286C" w:rsidRPr="007E57A2" w:rsidRDefault="007E286C" w:rsidP="007E286C">
      <w:pPr>
        <w:autoSpaceDE w:val="0"/>
        <w:autoSpaceDN w:val="0"/>
        <w:adjustRightInd w:val="0"/>
        <w:spacing w:after="0" w:line="240" w:lineRule="auto"/>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Absence data</w:t>
      </w:r>
    </w:p>
    <w:p w14:paraId="28FC1D18" w14:textId="77777777" w:rsidR="007E286C" w:rsidRPr="007E57A2" w:rsidRDefault="007E286C" w:rsidP="007E286C">
      <w:pPr>
        <w:autoSpaceDE w:val="0"/>
        <w:autoSpaceDN w:val="0"/>
        <w:adjustRightInd w:val="0"/>
        <w:spacing w:after="0" w:line="240" w:lineRule="auto"/>
        <w:jc w:val="both"/>
        <w:rPr>
          <w:rFonts w:ascii="Arial" w:hAnsi="Arial" w:cs="Arial"/>
          <w:i/>
          <w:iCs/>
          <w:color w:val="000000"/>
          <w:kern w:val="0"/>
          <w:sz w:val="22"/>
          <w:szCs w:val="22"/>
          <w:u w:color="0B4CB4"/>
        </w:rPr>
      </w:pPr>
    </w:p>
    <w:p w14:paraId="6AF4F5DC" w14:textId="10991EFA"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The Bradford factor measures absence episodes and identifies continued short term absence trends (CIPD, 2025</w:t>
      </w:r>
      <w:r w:rsidR="0024043C">
        <w:rPr>
          <w:rFonts w:ascii="Arial" w:hAnsi="Arial" w:cs="Arial"/>
          <w:color w:val="000000"/>
          <w:kern w:val="0"/>
          <w:sz w:val="22"/>
          <w:szCs w:val="22"/>
          <w:u w:color="0B4CB4"/>
        </w:rPr>
        <w:t>b</w:t>
      </w:r>
      <w:r w:rsidRPr="007E57A2">
        <w:rPr>
          <w:rFonts w:ascii="Arial" w:hAnsi="Arial" w:cs="Arial"/>
          <w:color w:val="000000"/>
          <w:kern w:val="0"/>
          <w:sz w:val="22"/>
          <w:szCs w:val="22"/>
          <w:u w:color="0B4CB4"/>
        </w:rPr>
        <w:t>). The number of episodes is then squared and multiplied by the number of absent days to give a score (CIPD, 2025</w:t>
      </w:r>
      <w:r w:rsidR="0024043C">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Absence data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have a greater comprehension of the causes of certain behaviours and attendance (CIPD, 2025c). </w:t>
      </w:r>
      <w:r w:rsidR="00E32FC8" w:rsidRPr="007E57A2">
        <w:rPr>
          <w:rFonts w:ascii="Arial" w:hAnsi="Arial" w:cs="Arial"/>
          <w:color w:val="000000"/>
          <w:kern w:val="0"/>
          <w:sz w:val="22"/>
          <w:szCs w:val="22"/>
          <w:u w:color="0B4CB4"/>
        </w:rPr>
        <w:t>Homeworking</w:t>
      </w:r>
      <w:r w:rsidRPr="007E57A2">
        <w:rPr>
          <w:rFonts w:ascii="Arial" w:hAnsi="Arial" w:cs="Arial"/>
          <w:color w:val="000000"/>
          <w:kern w:val="0"/>
          <w:sz w:val="22"/>
          <w:szCs w:val="22"/>
          <w:u w:color="0B4CB4"/>
        </w:rPr>
        <w:t xml:space="preserve"> can increase productivity and lower sickness absence trends (CIPD, 2025c). This tool is helpful in organisations where most staff work shifts or on rotas whereby frequent </w:t>
      </w:r>
      <w:r w:rsidR="00E32FC8" w:rsidRPr="007E57A2">
        <w:rPr>
          <w:rFonts w:ascii="Arial" w:hAnsi="Arial" w:cs="Arial"/>
          <w:color w:val="000000"/>
          <w:kern w:val="0"/>
          <w:sz w:val="22"/>
          <w:szCs w:val="22"/>
          <w:u w:color="0B4CB4"/>
        </w:rPr>
        <w:t>short-term</w:t>
      </w:r>
      <w:r w:rsidRPr="007E57A2">
        <w:rPr>
          <w:rFonts w:ascii="Arial" w:hAnsi="Arial" w:cs="Arial"/>
          <w:color w:val="000000"/>
          <w:kern w:val="0"/>
          <w:sz w:val="22"/>
          <w:szCs w:val="22"/>
          <w:u w:color="0B4CB4"/>
        </w:rPr>
        <w:t xml:space="preserve"> absences can be disruptive and perhaps even more so than occasional long</w:t>
      </w:r>
      <w:r w:rsidR="00E32FC8"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term absences (Seccombe, 1995), as people are needed for cover (King, 2023). Generally, employees who are content with their role will take less time off work. Absence patterns can highlight if there are any underlying </w:t>
      </w:r>
      <w:r w:rsidRPr="007E57A2">
        <w:rPr>
          <w:rFonts w:ascii="Arial" w:hAnsi="Arial" w:cs="Arial"/>
          <w:color w:val="000000"/>
          <w:kern w:val="0"/>
          <w:sz w:val="22"/>
          <w:szCs w:val="22"/>
          <w:u w:color="0B4CB4"/>
        </w:rPr>
        <w:lastRenderedPageBreak/>
        <w:t xml:space="preserve">issues like stress or emotional detachment (Hayes, 2025). Analysing reasons for absence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determine if policies need to be updated i.e. if greater flexibility is needed (Dale, 2019) Moreover,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determine the total cost absences have to the business to understand what could counteract it (Dale, 2019). </w:t>
      </w:r>
    </w:p>
    <w:p w14:paraId="5288F873" w14:textId="77777777"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p>
    <w:p w14:paraId="6BB03375" w14:textId="037FA49F" w:rsidR="007E286C" w:rsidRPr="007E57A2" w:rsidRDefault="007E286C" w:rsidP="007E286C">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This tool can disfavour employees who have health issues and disabilities (CIPD, 2025</w:t>
      </w:r>
      <w:r w:rsidR="004B0187">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follow the Equality Act 2010 to ensure that their procedures are adapted </w:t>
      </w:r>
      <w:r w:rsidR="00E32FC8" w:rsidRPr="007E57A2">
        <w:rPr>
          <w:rFonts w:ascii="Arial" w:hAnsi="Arial" w:cs="Arial"/>
          <w:color w:val="000000"/>
          <w:kern w:val="0"/>
          <w:sz w:val="22"/>
          <w:szCs w:val="22"/>
          <w:u w:color="0B4CB4"/>
        </w:rPr>
        <w:t>for employees</w:t>
      </w:r>
      <w:r w:rsidRPr="007E57A2">
        <w:rPr>
          <w:rFonts w:ascii="Arial" w:hAnsi="Arial" w:cs="Arial"/>
          <w:color w:val="000000"/>
          <w:kern w:val="0"/>
          <w:sz w:val="22"/>
          <w:szCs w:val="22"/>
          <w:u w:color="0B4CB4"/>
        </w:rPr>
        <w:t xml:space="preserve"> with disabilities (CIPD, 2025</w:t>
      </w:r>
      <w:r w:rsidR="00226F7E">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Especially as </w:t>
      </w:r>
      <w:r w:rsidR="00E32FC8" w:rsidRPr="007E57A2">
        <w:rPr>
          <w:rFonts w:ascii="Arial" w:hAnsi="Arial" w:cs="Arial"/>
          <w:color w:val="000000"/>
          <w:kern w:val="0"/>
          <w:sz w:val="22"/>
          <w:szCs w:val="22"/>
          <w:u w:color="0B4CB4"/>
        </w:rPr>
        <w:t>long-term</w:t>
      </w:r>
      <w:r w:rsidRPr="007E57A2">
        <w:rPr>
          <w:rFonts w:ascii="Arial" w:hAnsi="Arial" w:cs="Arial"/>
          <w:color w:val="000000"/>
          <w:kern w:val="0"/>
          <w:sz w:val="22"/>
          <w:szCs w:val="22"/>
          <w:u w:color="0B4CB4"/>
        </w:rPr>
        <w:t xml:space="preserve"> health conditions can cause higher </w:t>
      </w:r>
      <w:r w:rsidR="00E32FC8" w:rsidRPr="007E57A2">
        <w:rPr>
          <w:rFonts w:ascii="Arial" w:hAnsi="Arial" w:cs="Arial"/>
          <w:color w:val="000000"/>
          <w:kern w:val="0"/>
          <w:sz w:val="22"/>
          <w:szCs w:val="22"/>
          <w:u w:color="0B4CB4"/>
        </w:rPr>
        <w:t>short-term</w:t>
      </w:r>
      <w:r w:rsidRPr="007E57A2">
        <w:rPr>
          <w:rFonts w:ascii="Arial" w:hAnsi="Arial" w:cs="Arial"/>
          <w:color w:val="000000"/>
          <w:kern w:val="0"/>
          <w:sz w:val="22"/>
          <w:szCs w:val="22"/>
          <w:u w:color="0B4CB4"/>
        </w:rPr>
        <w:t xml:space="preserve"> absences (CIPD, 2025</w:t>
      </w:r>
      <w:r w:rsidR="00226F7E">
        <w:rPr>
          <w:rFonts w:ascii="Arial" w:hAnsi="Arial" w:cs="Arial"/>
          <w:color w:val="000000"/>
          <w:kern w:val="0"/>
          <w:sz w:val="22"/>
          <w:szCs w:val="22"/>
          <w:u w:color="0B4CB4"/>
        </w:rPr>
        <w:t>b</w:t>
      </w:r>
      <w:r w:rsidRPr="007E57A2">
        <w:rPr>
          <w:rFonts w:ascii="Arial" w:hAnsi="Arial" w:cs="Arial"/>
          <w:color w:val="000000"/>
          <w:kern w:val="0"/>
          <w:sz w:val="22"/>
          <w:szCs w:val="22"/>
          <w:u w:color="0B4CB4"/>
        </w:rPr>
        <w:t xml:space="preserve">). Positively however, the method can help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determine if wellbeing programmes and clearer policies could reduce absences.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take a proactive approach like </w:t>
      </w:r>
      <w:r w:rsidRPr="007E57A2">
        <w:rPr>
          <w:rFonts w:ascii="Arial" w:hAnsi="Arial" w:cs="Arial"/>
          <w:i/>
          <w:iCs/>
          <w:color w:val="000000"/>
          <w:kern w:val="0"/>
          <w:sz w:val="22"/>
          <w:szCs w:val="22"/>
          <w:u w:color="0B4CB4"/>
        </w:rPr>
        <w:t xml:space="preserve">Melin Homes, </w:t>
      </w:r>
      <w:r w:rsidRPr="007E57A2">
        <w:rPr>
          <w:rFonts w:ascii="Arial" w:hAnsi="Arial" w:cs="Arial"/>
          <w:color w:val="000000"/>
          <w:kern w:val="0"/>
          <w:sz w:val="22"/>
          <w:szCs w:val="22"/>
          <w:u w:color="0B4CB4"/>
        </w:rPr>
        <w:t>whereby management training on policies, requirement for fit notes and training on stress awareness (CIPD, 2023), reduced absences.</w:t>
      </w:r>
    </w:p>
    <w:p w14:paraId="61B30DFB" w14:textId="77777777" w:rsidR="007E286C" w:rsidRPr="007E57A2" w:rsidRDefault="007E286C" w:rsidP="007E286C">
      <w:pPr>
        <w:autoSpaceDE w:val="0"/>
        <w:autoSpaceDN w:val="0"/>
        <w:adjustRightInd w:val="0"/>
        <w:spacing w:after="0" w:line="240" w:lineRule="auto"/>
        <w:rPr>
          <w:rFonts w:ascii="Arial" w:hAnsi="Arial" w:cs="Arial"/>
          <w:b/>
          <w:bCs/>
          <w:i/>
          <w:iCs/>
          <w:color w:val="E6000E"/>
          <w:kern w:val="0"/>
          <w:sz w:val="22"/>
          <w:szCs w:val="22"/>
          <w:u w:color="0B4CB4"/>
        </w:rPr>
      </w:pPr>
    </w:p>
    <w:p w14:paraId="7EBB976C"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20BE124"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5B01383B" w14:textId="6E59BB9F"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4D23ED3F"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D1DB4B7"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1801ACB9"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65FBA74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620903F5"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3745D63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9BAEB0D"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38E9B20C"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10307F0"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1972A034"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8D03D43"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AE3DD7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1D9F77F2"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092B7AA6"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5B907594"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04465F59"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02E48128"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70799F6C"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2F5BFD0"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64412F6D"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330563AD"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20B371F2"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3B6F4D7F"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76D1A3E0"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0DDA91AD"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21A10E48"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3349F9E4" w14:textId="77777777" w:rsidR="00CC653E"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73185B3B"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6B980C0D"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561293EA"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14C63175" w14:textId="77777777" w:rsid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251D9B50" w14:textId="77777777" w:rsidR="007E57A2" w:rsidRPr="007E57A2" w:rsidRDefault="007E57A2" w:rsidP="007E286C">
      <w:pPr>
        <w:autoSpaceDE w:val="0"/>
        <w:autoSpaceDN w:val="0"/>
        <w:adjustRightInd w:val="0"/>
        <w:spacing w:after="0" w:line="240" w:lineRule="auto"/>
        <w:rPr>
          <w:rFonts w:ascii="Arial" w:hAnsi="Arial" w:cs="Arial"/>
          <w:b/>
          <w:bCs/>
          <w:i/>
          <w:iCs/>
          <w:color w:val="E6000E"/>
          <w:kern w:val="0"/>
          <w:sz w:val="22"/>
          <w:szCs w:val="22"/>
          <w:u w:color="0B4CB4"/>
        </w:rPr>
      </w:pPr>
    </w:p>
    <w:p w14:paraId="1D2CD8C6" w14:textId="77777777" w:rsidR="00CC653E" w:rsidRPr="007E57A2" w:rsidRDefault="00CC653E" w:rsidP="007E286C">
      <w:pPr>
        <w:autoSpaceDE w:val="0"/>
        <w:autoSpaceDN w:val="0"/>
        <w:adjustRightInd w:val="0"/>
        <w:spacing w:after="0" w:line="240" w:lineRule="auto"/>
        <w:rPr>
          <w:rFonts w:ascii="Arial" w:hAnsi="Arial" w:cs="Arial"/>
          <w:b/>
          <w:bCs/>
          <w:i/>
          <w:iCs/>
          <w:color w:val="E6000E"/>
          <w:kern w:val="0"/>
          <w:sz w:val="22"/>
          <w:szCs w:val="22"/>
          <w:u w:color="0B4CB4"/>
        </w:rPr>
      </w:pPr>
    </w:p>
    <w:p w14:paraId="02989B33" w14:textId="77777777" w:rsidR="00E50E6A" w:rsidRPr="007E57A2" w:rsidRDefault="00E50E6A" w:rsidP="007E286C">
      <w:pPr>
        <w:autoSpaceDE w:val="0"/>
        <w:autoSpaceDN w:val="0"/>
        <w:adjustRightInd w:val="0"/>
        <w:spacing w:after="0" w:line="240" w:lineRule="auto"/>
        <w:rPr>
          <w:rFonts w:ascii="Arial" w:hAnsi="Arial" w:cs="Arial"/>
          <w:b/>
          <w:bCs/>
          <w:i/>
          <w:iCs/>
          <w:color w:val="E6000E"/>
          <w:kern w:val="0"/>
          <w:sz w:val="22"/>
          <w:szCs w:val="22"/>
          <w:u w:color="0B4CB4"/>
        </w:rPr>
      </w:pPr>
    </w:p>
    <w:p w14:paraId="2D2C4767"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p>
    <w:p w14:paraId="16BBFF81" w14:textId="77777777" w:rsidR="007E286C" w:rsidRPr="0075511A" w:rsidRDefault="007E286C" w:rsidP="007E286C">
      <w:pPr>
        <w:autoSpaceDE w:val="0"/>
        <w:autoSpaceDN w:val="0"/>
        <w:adjustRightInd w:val="0"/>
        <w:spacing w:after="0" w:line="240" w:lineRule="auto"/>
        <w:rPr>
          <w:rFonts w:ascii="Arial" w:hAnsi="Arial" w:cs="Arial"/>
          <w:b/>
          <w:bCs/>
          <w:color w:val="000000"/>
          <w:kern w:val="0"/>
          <w:sz w:val="22"/>
          <w:szCs w:val="22"/>
          <w:u w:color="0B4CB4"/>
        </w:rPr>
      </w:pPr>
      <w:r w:rsidRPr="0075511A">
        <w:rPr>
          <w:rFonts w:ascii="Arial" w:hAnsi="Arial" w:cs="Arial"/>
          <w:b/>
          <w:bCs/>
          <w:color w:val="000000"/>
          <w:kern w:val="0"/>
          <w:sz w:val="22"/>
          <w:szCs w:val="22"/>
          <w:u w:color="0B4CB4"/>
        </w:rPr>
        <w:lastRenderedPageBreak/>
        <w:t xml:space="preserve"> Q8. Table 1 shows </w:t>
      </w:r>
      <w:proofErr w:type="spellStart"/>
      <w:r w:rsidRPr="0075511A">
        <w:rPr>
          <w:rFonts w:ascii="Arial" w:hAnsi="Arial" w:cs="Arial"/>
          <w:b/>
          <w:bCs/>
          <w:color w:val="000000"/>
          <w:kern w:val="0"/>
          <w:sz w:val="22"/>
          <w:szCs w:val="22"/>
          <w:u w:color="0B4CB4"/>
        </w:rPr>
        <w:t>Technivara's</w:t>
      </w:r>
      <w:proofErr w:type="spellEnd"/>
      <w:r w:rsidRPr="0075511A">
        <w:rPr>
          <w:rFonts w:ascii="Arial" w:hAnsi="Arial" w:cs="Arial"/>
          <w:b/>
          <w:bCs/>
          <w:color w:val="000000"/>
          <w:kern w:val="0"/>
          <w:sz w:val="22"/>
          <w:szCs w:val="22"/>
          <w:u w:color="0B4CB4"/>
        </w:rPr>
        <w:t xml:space="preserve"> turnover and recruitment data for 2024. Sue has asked you to convert the data into percentage form, for each of the departments, to show:</w:t>
      </w:r>
    </w:p>
    <w:p w14:paraId="4545BD79" w14:textId="77777777" w:rsidR="007E286C" w:rsidRPr="0075511A" w:rsidRDefault="007E286C" w:rsidP="007E286C">
      <w:pPr>
        <w:autoSpaceDE w:val="0"/>
        <w:autoSpaceDN w:val="0"/>
        <w:adjustRightInd w:val="0"/>
        <w:spacing w:after="0" w:line="240" w:lineRule="auto"/>
        <w:jc w:val="both"/>
        <w:rPr>
          <w:rFonts w:ascii="Arial" w:hAnsi="Arial" w:cs="Arial"/>
          <w:b/>
          <w:bCs/>
          <w:color w:val="000000"/>
          <w:kern w:val="0"/>
          <w:sz w:val="22"/>
          <w:szCs w:val="22"/>
          <w:u w:color="0B4CB4"/>
        </w:rPr>
      </w:pPr>
      <w:r w:rsidRPr="0075511A">
        <w:rPr>
          <w:rFonts w:ascii="Arial" w:hAnsi="Arial" w:cs="Arial"/>
          <w:b/>
          <w:bCs/>
          <w:color w:val="000000"/>
          <w:kern w:val="0"/>
          <w:sz w:val="22"/>
          <w:szCs w:val="22"/>
          <w:u w:color="0B4CB4"/>
        </w:rPr>
        <w:t> </w:t>
      </w:r>
    </w:p>
    <w:p w14:paraId="1F829AFC" w14:textId="77777777" w:rsidR="007E286C" w:rsidRPr="0075511A" w:rsidRDefault="007E286C" w:rsidP="007E286C">
      <w:pPr>
        <w:autoSpaceDE w:val="0"/>
        <w:autoSpaceDN w:val="0"/>
        <w:adjustRightInd w:val="0"/>
        <w:spacing w:line="322" w:lineRule="atLeast"/>
        <w:ind w:left="960" w:hanging="480"/>
        <w:jc w:val="both"/>
        <w:rPr>
          <w:rFonts w:ascii="Arial" w:hAnsi="Arial" w:cs="Arial"/>
          <w:b/>
          <w:bCs/>
          <w:color w:val="000000"/>
          <w:kern w:val="0"/>
          <w:sz w:val="22"/>
          <w:szCs w:val="22"/>
          <w:u w:color="0B4CB4"/>
        </w:rPr>
      </w:pPr>
      <w:r w:rsidRPr="0075511A">
        <w:rPr>
          <w:rFonts w:ascii="Arial" w:hAnsi="Arial" w:cs="Arial"/>
          <w:b/>
          <w:bCs/>
          <w:color w:val="000000"/>
          <w:kern w:val="0"/>
          <w:sz w:val="22"/>
          <w:szCs w:val="22"/>
          <w:u w:color="0B4CB4"/>
        </w:rPr>
        <w:t xml:space="preserve">·       </w:t>
      </w:r>
      <w:proofErr w:type="gramStart"/>
      <w:r w:rsidRPr="0075511A">
        <w:rPr>
          <w:rFonts w:ascii="Arial" w:hAnsi="Arial" w:cs="Arial"/>
          <w:b/>
          <w:bCs/>
          <w:color w:val="000000"/>
          <w:kern w:val="0"/>
          <w:sz w:val="22"/>
          <w:szCs w:val="22"/>
          <w:u w:color="0B4CB4"/>
        </w:rPr>
        <w:t>leavers</w:t>
      </w:r>
      <w:proofErr w:type="gramEnd"/>
      <w:r w:rsidRPr="0075511A">
        <w:rPr>
          <w:rFonts w:ascii="Arial" w:hAnsi="Arial" w:cs="Arial"/>
          <w:b/>
          <w:bCs/>
          <w:color w:val="000000"/>
          <w:kern w:val="0"/>
          <w:sz w:val="22"/>
          <w:szCs w:val="22"/>
          <w:u w:color="0B4CB4"/>
        </w:rPr>
        <w:t xml:space="preserve"> as a % of the total number of employees </w:t>
      </w:r>
    </w:p>
    <w:p w14:paraId="708068B8" w14:textId="77777777" w:rsidR="007E286C" w:rsidRPr="0075511A" w:rsidRDefault="007E286C" w:rsidP="007E286C">
      <w:pPr>
        <w:autoSpaceDE w:val="0"/>
        <w:autoSpaceDN w:val="0"/>
        <w:adjustRightInd w:val="0"/>
        <w:spacing w:after="0" w:line="322" w:lineRule="atLeast"/>
        <w:ind w:left="960" w:hanging="480"/>
        <w:jc w:val="both"/>
        <w:rPr>
          <w:rFonts w:ascii="Arial" w:hAnsi="Arial" w:cs="Arial"/>
          <w:b/>
          <w:bCs/>
          <w:color w:val="000000"/>
          <w:kern w:val="0"/>
          <w:sz w:val="22"/>
          <w:szCs w:val="22"/>
          <w:u w:color="0B4CB4"/>
        </w:rPr>
      </w:pPr>
      <w:r w:rsidRPr="0075511A">
        <w:rPr>
          <w:rFonts w:ascii="Arial" w:hAnsi="Arial" w:cs="Arial"/>
          <w:b/>
          <w:bCs/>
          <w:color w:val="000000"/>
          <w:kern w:val="0"/>
          <w:sz w:val="22"/>
          <w:szCs w:val="22"/>
          <w:u w:color="0B4CB4"/>
        </w:rPr>
        <w:t xml:space="preserve">·       </w:t>
      </w:r>
      <w:proofErr w:type="gramStart"/>
      <w:r w:rsidRPr="0075511A">
        <w:rPr>
          <w:rFonts w:ascii="Arial" w:hAnsi="Arial" w:cs="Arial"/>
          <w:b/>
          <w:bCs/>
          <w:color w:val="000000"/>
          <w:kern w:val="0"/>
          <w:sz w:val="22"/>
          <w:szCs w:val="22"/>
          <w:u w:color="0B4CB4"/>
        </w:rPr>
        <w:t>vacancies</w:t>
      </w:r>
      <w:proofErr w:type="gramEnd"/>
      <w:r w:rsidRPr="0075511A">
        <w:rPr>
          <w:rFonts w:ascii="Arial" w:hAnsi="Arial" w:cs="Arial"/>
          <w:b/>
          <w:bCs/>
          <w:color w:val="000000"/>
          <w:kern w:val="0"/>
          <w:sz w:val="22"/>
          <w:szCs w:val="22"/>
          <w:u w:color="0B4CB4"/>
        </w:rPr>
        <w:t xml:space="preserve"> as % of the total number of employees</w:t>
      </w:r>
    </w:p>
    <w:p w14:paraId="093E5D5F" w14:textId="77777777" w:rsidR="007E286C" w:rsidRPr="0075511A" w:rsidRDefault="007E286C" w:rsidP="007E286C">
      <w:pPr>
        <w:autoSpaceDE w:val="0"/>
        <w:autoSpaceDN w:val="0"/>
        <w:adjustRightInd w:val="0"/>
        <w:spacing w:after="0" w:line="322" w:lineRule="atLeast"/>
        <w:ind w:left="960" w:hanging="480"/>
        <w:jc w:val="both"/>
        <w:rPr>
          <w:rFonts w:ascii="Arial" w:hAnsi="Arial" w:cs="Arial"/>
          <w:b/>
          <w:bCs/>
          <w:color w:val="000000"/>
          <w:kern w:val="0"/>
          <w:sz w:val="22"/>
          <w:szCs w:val="22"/>
          <w:u w:color="0B4CB4"/>
        </w:rPr>
      </w:pPr>
      <w:r w:rsidRPr="0075511A">
        <w:rPr>
          <w:rFonts w:ascii="Arial" w:hAnsi="Arial" w:cs="Arial"/>
          <w:b/>
          <w:bCs/>
          <w:color w:val="000000"/>
          <w:kern w:val="0"/>
          <w:sz w:val="22"/>
          <w:szCs w:val="22"/>
          <w:u w:color="0B4CB4"/>
        </w:rPr>
        <w:t xml:space="preserve">·       </w:t>
      </w:r>
      <w:proofErr w:type="gramStart"/>
      <w:r w:rsidRPr="0075511A">
        <w:rPr>
          <w:rFonts w:ascii="Arial" w:hAnsi="Arial" w:cs="Arial"/>
          <w:b/>
          <w:bCs/>
          <w:color w:val="000000"/>
          <w:kern w:val="0"/>
          <w:sz w:val="22"/>
          <w:szCs w:val="22"/>
          <w:u w:color="0B4CB4"/>
        </w:rPr>
        <w:t>positions</w:t>
      </w:r>
      <w:proofErr w:type="gramEnd"/>
      <w:r w:rsidRPr="0075511A">
        <w:rPr>
          <w:rFonts w:ascii="Arial" w:hAnsi="Arial" w:cs="Arial"/>
          <w:b/>
          <w:bCs/>
          <w:color w:val="000000"/>
          <w:kern w:val="0"/>
          <w:sz w:val="22"/>
          <w:szCs w:val="22"/>
          <w:u w:color="0B4CB4"/>
        </w:rPr>
        <w:t xml:space="preserve"> filled as a % of the total number of employees (AC 2.1)</w:t>
      </w:r>
    </w:p>
    <w:p w14:paraId="3890C906"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color="0B4CB4"/>
        </w:rPr>
      </w:pPr>
    </w:p>
    <w:p w14:paraId="77A6FC86"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1C0B1E9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tbl>
      <w:tblPr>
        <w:tblW w:w="11429" w:type="dxa"/>
        <w:tblInd w:w="-1041" w:type="dxa"/>
        <w:tblLook w:val="04A0" w:firstRow="1" w:lastRow="0" w:firstColumn="1" w:lastColumn="0" w:noHBand="0" w:noVBand="1"/>
      </w:tblPr>
      <w:tblGrid>
        <w:gridCol w:w="1989"/>
        <w:gridCol w:w="1439"/>
        <w:gridCol w:w="1048"/>
        <w:gridCol w:w="1439"/>
        <w:gridCol w:w="1207"/>
        <w:gridCol w:w="1439"/>
        <w:gridCol w:w="1207"/>
        <w:gridCol w:w="1439"/>
        <w:gridCol w:w="222"/>
      </w:tblGrid>
      <w:tr w:rsidR="00E50E6A" w:rsidRPr="00E50E6A" w14:paraId="38000BE2" w14:textId="77777777" w:rsidTr="00BC6F92">
        <w:trPr>
          <w:gridAfter w:val="1"/>
          <w:wAfter w:w="222" w:type="dxa"/>
          <w:trHeight w:val="499"/>
        </w:trPr>
        <w:tc>
          <w:tcPr>
            <w:tcW w:w="11207"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0EE9BCE3" w14:textId="77777777" w:rsidR="00E50E6A" w:rsidRPr="00E50E6A" w:rsidRDefault="00E50E6A" w:rsidP="00E50E6A">
            <w:pPr>
              <w:spacing w:after="0" w:line="240" w:lineRule="auto"/>
              <w:jc w:val="center"/>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xml:space="preserve">Turnover and recruitment take up for </w:t>
            </w:r>
            <w:proofErr w:type="spellStart"/>
            <w:r w:rsidRPr="00E50E6A">
              <w:rPr>
                <w:rFonts w:ascii="Arial" w:eastAsia="Times New Roman" w:hAnsi="Arial" w:cs="Arial"/>
                <w:b/>
                <w:bCs/>
                <w:color w:val="004147"/>
                <w:kern w:val="0"/>
                <w:sz w:val="22"/>
                <w:szCs w:val="22"/>
                <w:lang w:eastAsia="en-GB"/>
                <w14:ligatures w14:val="none"/>
              </w:rPr>
              <w:t>Technivara</w:t>
            </w:r>
            <w:proofErr w:type="spellEnd"/>
            <w:r w:rsidRPr="00E50E6A">
              <w:rPr>
                <w:rFonts w:ascii="Arial" w:eastAsia="Times New Roman" w:hAnsi="Arial" w:cs="Arial"/>
                <w:b/>
                <w:bCs/>
                <w:color w:val="004147"/>
                <w:kern w:val="0"/>
                <w:sz w:val="22"/>
                <w:szCs w:val="22"/>
                <w:lang w:eastAsia="en-GB"/>
                <w14:ligatures w14:val="none"/>
              </w:rPr>
              <w:t xml:space="preserve"> 2024 </w:t>
            </w:r>
          </w:p>
        </w:tc>
      </w:tr>
      <w:tr w:rsidR="00E50E6A" w:rsidRPr="00E50E6A" w14:paraId="5A7DCCE0" w14:textId="77777777" w:rsidTr="00BC6F92">
        <w:trPr>
          <w:trHeight w:val="235"/>
        </w:trPr>
        <w:tc>
          <w:tcPr>
            <w:tcW w:w="11207" w:type="dxa"/>
            <w:gridSpan w:val="8"/>
            <w:vMerge/>
            <w:tcBorders>
              <w:top w:val="single" w:sz="4" w:space="0" w:color="auto"/>
              <w:left w:val="single" w:sz="4" w:space="0" w:color="auto"/>
              <w:bottom w:val="single" w:sz="4" w:space="0" w:color="auto"/>
              <w:right w:val="single" w:sz="4" w:space="0" w:color="auto"/>
            </w:tcBorders>
            <w:vAlign w:val="center"/>
            <w:hideMark/>
          </w:tcPr>
          <w:p w14:paraId="74D4B883"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p>
        </w:tc>
        <w:tc>
          <w:tcPr>
            <w:tcW w:w="222" w:type="dxa"/>
            <w:tcBorders>
              <w:top w:val="nil"/>
              <w:left w:val="nil"/>
              <w:bottom w:val="nil"/>
              <w:right w:val="nil"/>
            </w:tcBorders>
            <w:noWrap/>
            <w:vAlign w:val="bottom"/>
            <w:hideMark/>
          </w:tcPr>
          <w:p w14:paraId="1FB76A82" w14:textId="77777777" w:rsidR="00E50E6A" w:rsidRPr="00E50E6A" w:rsidRDefault="00E50E6A" w:rsidP="00E50E6A">
            <w:pPr>
              <w:spacing w:after="0" w:line="240" w:lineRule="auto"/>
              <w:jc w:val="center"/>
              <w:rPr>
                <w:rFonts w:ascii="Arial" w:eastAsia="Times New Roman" w:hAnsi="Arial" w:cs="Arial"/>
                <w:b/>
                <w:bCs/>
                <w:color w:val="004147"/>
                <w:kern w:val="0"/>
                <w:sz w:val="22"/>
                <w:szCs w:val="22"/>
                <w:lang w:eastAsia="en-GB"/>
                <w14:ligatures w14:val="none"/>
              </w:rPr>
            </w:pPr>
          </w:p>
        </w:tc>
      </w:tr>
      <w:tr w:rsidR="00E50E6A" w:rsidRPr="007E57A2" w14:paraId="73393AD8" w14:textId="77777777" w:rsidTr="00BC6F92">
        <w:trPr>
          <w:trHeight w:val="1442"/>
        </w:trPr>
        <w:tc>
          <w:tcPr>
            <w:tcW w:w="1989" w:type="dxa"/>
            <w:tcBorders>
              <w:top w:val="nil"/>
              <w:left w:val="single" w:sz="4" w:space="0" w:color="auto"/>
              <w:bottom w:val="single" w:sz="4" w:space="0" w:color="auto"/>
              <w:right w:val="single" w:sz="4" w:space="0" w:color="auto"/>
            </w:tcBorders>
            <w:shd w:val="clear" w:color="000000" w:fill="B3D7DB"/>
            <w:noWrap/>
            <w:vAlign w:val="bottom"/>
            <w:hideMark/>
          </w:tcPr>
          <w:p w14:paraId="27298A70"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w:t>
            </w:r>
          </w:p>
        </w:tc>
        <w:tc>
          <w:tcPr>
            <w:tcW w:w="1439" w:type="dxa"/>
            <w:tcBorders>
              <w:top w:val="nil"/>
              <w:left w:val="nil"/>
              <w:bottom w:val="single" w:sz="4" w:space="0" w:color="auto"/>
              <w:right w:val="single" w:sz="4" w:space="0" w:color="auto"/>
            </w:tcBorders>
            <w:shd w:val="clear" w:color="000000" w:fill="B3D7DB"/>
            <w:vAlign w:val="center"/>
            <w:hideMark/>
          </w:tcPr>
          <w:p w14:paraId="7FB0B516"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Total in Department 2024</w:t>
            </w:r>
          </w:p>
        </w:tc>
        <w:tc>
          <w:tcPr>
            <w:tcW w:w="1048" w:type="dxa"/>
            <w:tcBorders>
              <w:top w:val="nil"/>
              <w:left w:val="nil"/>
              <w:bottom w:val="single" w:sz="4" w:space="0" w:color="auto"/>
              <w:right w:val="single" w:sz="4" w:space="0" w:color="auto"/>
            </w:tcBorders>
            <w:shd w:val="clear" w:color="000000" w:fill="B3D7DB"/>
            <w:vAlign w:val="center"/>
            <w:hideMark/>
          </w:tcPr>
          <w:p w14:paraId="39201B5B"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Leavers for 2024</w:t>
            </w:r>
          </w:p>
        </w:tc>
        <w:tc>
          <w:tcPr>
            <w:tcW w:w="1439" w:type="dxa"/>
            <w:tcBorders>
              <w:top w:val="nil"/>
              <w:left w:val="nil"/>
              <w:bottom w:val="single" w:sz="4" w:space="0" w:color="auto"/>
              <w:right w:val="single" w:sz="4" w:space="0" w:color="auto"/>
            </w:tcBorders>
            <w:shd w:val="clear" w:color="000000" w:fill="B3D7DB"/>
            <w:vAlign w:val="center"/>
            <w:hideMark/>
          </w:tcPr>
          <w:p w14:paraId="1FC65065"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Leavers as a % against total in each Department</w:t>
            </w:r>
          </w:p>
        </w:tc>
        <w:tc>
          <w:tcPr>
            <w:tcW w:w="1207" w:type="dxa"/>
            <w:tcBorders>
              <w:top w:val="nil"/>
              <w:left w:val="nil"/>
              <w:bottom w:val="single" w:sz="4" w:space="0" w:color="auto"/>
              <w:right w:val="single" w:sz="4" w:space="0" w:color="auto"/>
            </w:tcBorders>
            <w:shd w:val="clear" w:color="000000" w:fill="B3D7DB"/>
            <w:vAlign w:val="center"/>
            <w:hideMark/>
          </w:tcPr>
          <w:p w14:paraId="16070078"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xml:space="preserve">Positions vacant </w:t>
            </w:r>
          </w:p>
        </w:tc>
        <w:tc>
          <w:tcPr>
            <w:tcW w:w="1439" w:type="dxa"/>
            <w:tcBorders>
              <w:top w:val="nil"/>
              <w:left w:val="nil"/>
              <w:bottom w:val="single" w:sz="4" w:space="0" w:color="auto"/>
              <w:right w:val="single" w:sz="4" w:space="0" w:color="auto"/>
            </w:tcBorders>
            <w:shd w:val="clear" w:color="000000" w:fill="B3D7DB"/>
            <w:vAlign w:val="center"/>
            <w:hideMark/>
          </w:tcPr>
          <w:p w14:paraId="25A9C3E7"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Vacancies as a % against total in each Department</w:t>
            </w:r>
          </w:p>
        </w:tc>
        <w:tc>
          <w:tcPr>
            <w:tcW w:w="1207" w:type="dxa"/>
            <w:tcBorders>
              <w:top w:val="nil"/>
              <w:left w:val="nil"/>
              <w:bottom w:val="single" w:sz="4" w:space="0" w:color="auto"/>
              <w:right w:val="single" w:sz="4" w:space="0" w:color="auto"/>
            </w:tcBorders>
            <w:shd w:val="clear" w:color="000000" w:fill="B3D7DB"/>
            <w:vAlign w:val="center"/>
            <w:hideMark/>
          </w:tcPr>
          <w:p w14:paraId="7CCD3341"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 xml:space="preserve">Positions filled </w:t>
            </w:r>
          </w:p>
        </w:tc>
        <w:tc>
          <w:tcPr>
            <w:tcW w:w="1439" w:type="dxa"/>
            <w:tcBorders>
              <w:top w:val="nil"/>
              <w:left w:val="nil"/>
              <w:bottom w:val="single" w:sz="4" w:space="0" w:color="auto"/>
              <w:right w:val="single" w:sz="4" w:space="0" w:color="auto"/>
            </w:tcBorders>
            <w:shd w:val="clear" w:color="000000" w:fill="B3D7DB"/>
            <w:vAlign w:val="center"/>
            <w:hideMark/>
          </w:tcPr>
          <w:p w14:paraId="6734499C" w14:textId="77777777" w:rsidR="00E50E6A" w:rsidRPr="00E50E6A" w:rsidRDefault="00E50E6A" w:rsidP="00E50E6A">
            <w:pPr>
              <w:spacing w:after="0" w:line="240" w:lineRule="auto"/>
              <w:rPr>
                <w:rFonts w:ascii="Arial" w:eastAsia="Times New Roman" w:hAnsi="Arial" w:cs="Arial"/>
                <w:b/>
                <w:bCs/>
                <w:color w:val="004147"/>
                <w:kern w:val="0"/>
                <w:sz w:val="22"/>
                <w:szCs w:val="22"/>
                <w:lang w:eastAsia="en-GB"/>
                <w14:ligatures w14:val="none"/>
              </w:rPr>
            </w:pPr>
            <w:r w:rsidRPr="00E50E6A">
              <w:rPr>
                <w:rFonts w:ascii="Arial" w:eastAsia="Times New Roman" w:hAnsi="Arial" w:cs="Arial"/>
                <w:b/>
                <w:bCs/>
                <w:color w:val="004147"/>
                <w:kern w:val="0"/>
                <w:sz w:val="22"/>
                <w:szCs w:val="22"/>
                <w:lang w:eastAsia="en-GB"/>
                <w14:ligatures w14:val="none"/>
              </w:rPr>
              <w:t>Positions filled as a % of total in each Department</w:t>
            </w:r>
          </w:p>
        </w:tc>
        <w:tc>
          <w:tcPr>
            <w:tcW w:w="222" w:type="dxa"/>
            <w:vAlign w:val="center"/>
            <w:hideMark/>
          </w:tcPr>
          <w:p w14:paraId="5BF8CF65"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14656595" w14:textId="77777777" w:rsidTr="00BC6F92">
        <w:trPr>
          <w:trHeight w:val="507"/>
        </w:trPr>
        <w:tc>
          <w:tcPr>
            <w:tcW w:w="1989" w:type="dxa"/>
            <w:tcBorders>
              <w:top w:val="nil"/>
              <w:left w:val="single" w:sz="4" w:space="0" w:color="auto"/>
              <w:bottom w:val="single" w:sz="4" w:space="0" w:color="auto"/>
              <w:right w:val="single" w:sz="4" w:space="0" w:color="auto"/>
            </w:tcBorders>
            <w:shd w:val="clear" w:color="000000" w:fill="FFFFFF"/>
            <w:vAlign w:val="bottom"/>
            <w:hideMark/>
          </w:tcPr>
          <w:p w14:paraId="7593528C"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Audio technical Department</w:t>
            </w:r>
          </w:p>
        </w:tc>
        <w:tc>
          <w:tcPr>
            <w:tcW w:w="1439" w:type="dxa"/>
            <w:tcBorders>
              <w:top w:val="nil"/>
              <w:left w:val="nil"/>
              <w:bottom w:val="single" w:sz="4" w:space="0" w:color="auto"/>
              <w:right w:val="single" w:sz="4" w:space="0" w:color="auto"/>
            </w:tcBorders>
            <w:shd w:val="clear" w:color="000000" w:fill="FFFFFF"/>
            <w:noWrap/>
            <w:vAlign w:val="bottom"/>
            <w:hideMark/>
          </w:tcPr>
          <w:p w14:paraId="2FD2BC3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26</w:t>
            </w:r>
          </w:p>
        </w:tc>
        <w:tc>
          <w:tcPr>
            <w:tcW w:w="1048" w:type="dxa"/>
            <w:tcBorders>
              <w:top w:val="nil"/>
              <w:left w:val="nil"/>
              <w:bottom w:val="single" w:sz="4" w:space="0" w:color="auto"/>
              <w:right w:val="single" w:sz="4" w:space="0" w:color="auto"/>
            </w:tcBorders>
            <w:shd w:val="clear" w:color="000000" w:fill="FFFFFF"/>
            <w:noWrap/>
            <w:vAlign w:val="bottom"/>
            <w:hideMark/>
          </w:tcPr>
          <w:p w14:paraId="428B97D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439" w:type="dxa"/>
            <w:tcBorders>
              <w:top w:val="nil"/>
              <w:left w:val="nil"/>
              <w:bottom w:val="single" w:sz="4" w:space="0" w:color="auto"/>
              <w:right w:val="single" w:sz="4" w:space="0" w:color="auto"/>
            </w:tcBorders>
            <w:shd w:val="clear" w:color="000000" w:fill="FFFFFF"/>
            <w:noWrap/>
            <w:vAlign w:val="bottom"/>
            <w:hideMark/>
          </w:tcPr>
          <w:p w14:paraId="004C2737"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23%</w:t>
            </w:r>
          </w:p>
        </w:tc>
        <w:tc>
          <w:tcPr>
            <w:tcW w:w="1207" w:type="dxa"/>
            <w:tcBorders>
              <w:top w:val="nil"/>
              <w:left w:val="nil"/>
              <w:bottom w:val="single" w:sz="4" w:space="0" w:color="auto"/>
              <w:right w:val="single" w:sz="4" w:space="0" w:color="auto"/>
            </w:tcBorders>
            <w:shd w:val="clear" w:color="000000" w:fill="FFFFFF"/>
            <w:noWrap/>
            <w:vAlign w:val="bottom"/>
            <w:hideMark/>
          </w:tcPr>
          <w:p w14:paraId="048906E1"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439" w:type="dxa"/>
            <w:tcBorders>
              <w:top w:val="nil"/>
              <w:left w:val="nil"/>
              <w:bottom w:val="single" w:sz="4" w:space="0" w:color="auto"/>
              <w:right w:val="single" w:sz="4" w:space="0" w:color="auto"/>
            </w:tcBorders>
            <w:shd w:val="clear" w:color="000000" w:fill="FFFFFF"/>
            <w:noWrap/>
            <w:vAlign w:val="bottom"/>
            <w:hideMark/>
          </w:tcPr>
          <w:p w14:paraId="17D9AB6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31%</w:t>
            </w:r>
          </w:p>
        </w:tc>
        <w:tc>
          <w:tcPr>
            <w:tcW w:w="1207" w:type="dxa"/>
            <w:tcBorders>
              <w:top w:val="nil"/>
              <w:left w:val="nil"/>
              <w:bottom w:val="single" w:sz="4" w:space="0" w:color="auto"/>
              <w:right w:val="single" w:sz="4" w:space="0" w:color="auto"/>
            </w:tcBorders>
            <w:shd w:val="clear" w:color="000000" w:fill="FFFFFF"/>
            <w:noWrap/>
            <w:vAlign w:val="bottom"/>
            <w:hideMark/>
          </w:tcPr>
          <w:p w14:paraId="1492339A"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47D254A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6B075C1B"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6A78A208"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10F6BCA7"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Offices and Administration</w:t>
            </w:r>
          </w:p>
        </w:tc>
        <w:tc>
          <w:tcPr>
            <w:tcW w:w="1439" w:type="dxa"/>
            <w:tcBorders>
              <w:top w:val="nil"/>
              <w:left w:val="nil"/>
              <w:bottom w:val="single" w:sz="4" w:space="0" w:color="auto"/>
              <w:right w:val="single" w:sz="4" w:space="0" w:color="auto"/>
            </w:tcBorders>
            <w:shd w:val="clear" w:color="000000" w:fill="FFFFFF"/>
            <w:noWrap/>
            <w:vAlign w:val="bottom"/>
            <w:hideMark/>
          </w:tcPr>
          <w:p w14:paraId="64B01CFF"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048" w:type="dxa"/>
            <w:tcBorders>
              <w:top w:val="nil"/>
              <w:left w:val="nil"/>
              <w:bottom w:val="single" w:sz="4" w:space="0" w:color="auto"/>
              <w:right w:val="single" w:sz="4" w:space="0" w:color="auto"/>
            </w:tcBorders>
            <w:shd w:val="clear" w:color="000000" w:fill="FFFFFF"/>
            <w:noWrap/>
            <w:vAlign w:val="bottom"/>
            <w:hideMark/>
          </w:tcPr>
          <w:p w14:paraId="535543AB"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0911D995"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0CD4D02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5B42CD7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1207" w:type="dxa"/>
            <w:tcBorders>
              <w:top w:val="nil"/>
              <w:left w:val="nil"/>
              <w:bottom w:val="single" w:sz="4" w:space="0" w:color="auto"/>
              <w:right w:val="single" w:sz="4" w:space="0" w:color="auto"/>
            </w:tcBorders>
            <w:shd w:val="clear" w:color="000000" w:fill="FFFFFF"/>
            <w:noWrap/>
            <w:vAlign w:val="bottom"/>
            <w:hideMark/>
          </w:tcPr>
          <w:p w14:paraId="2CD087B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56F3A0F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222" w:type="dxa"/>
            <w:vAlign w:val="center"/>
            <w:hideMark/>
          </w:tcPr>
          <w:p w14:paraId="5B731EFC"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55995AF4"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30ECE9BE"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Research and Development</w:t>
            </w:r>
          </w:p>
        </w:tc>
        <w:tc>
          <w:tcPr>
            <w:tcW w:w="1439" w:type="dxa"/>
            <w:tcBorders>
              <w:top w:val="nil"/>
              <w:left w:val="nil"/>
              <w:bottom w:val="single" w:sz="4" w:space="0" w:color="auto"/>
              <w:right w:val="single" w:sz="4" w:space="0" w:color="auto"/>
            </w:tcBorders>
            <w:shd w:val="clear" w:color="000000" w:fill="FFFFFF"/>
            <w:noWrap/>
            <w:vAlign w:val="bottom"/>
            <w:hideMark/>
          </w:tcPr>
          <w:p w14:paraId="0BCFF9E4"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048" w:type="dxa"/>
            <w:tcBorders>
              <w:top w:val="nil"/>
              <w:left w:val="nil"/>
              <w:bottom w:val="single" w:sz="4" w:space="0" w:color="auto"/>
              <w:right w:val="single" w:sz="4" w:space="0" w:color="auto"/>
            </w:tcBorders>
            <w:shd w:val="clear" w:color="000000" w:fill="FFFFFF"/>
            <w:noWrap/>
            <w:vAlign w:val="bottom"/>
            <w:hideMark/>
          </w:tcPr>
          <w:p w14:paraId="44B2477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066C7D7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207" w:type="dxa"/>
            <w:tcBorders>
              <w:top w:val="nil"/>
              <w:left w:val="nil"/>
              <w:bottom w:val="single" w:sz="4" w:space="0" w:color="auto"/>
              <w:right w:val="single" w:sz="4" w:space="0" w:color="auto"/>
            </w:tcBorders>
            <w:shd w:val="clear" w:color="000000" w:fill="FFFFFF"/>
            <w:noWrap/>
            <w:vAlign w:val="bottom"/>
            <w:hideMark/>
          </w:tcPr>
          <w:p w14:paraId="0B153065"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46EE4C16"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3EE9C714"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29871100"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222" w:type="dxa"/>
            <w:vAlign w:val="center"/>
            <w:hideMark/>
          </w:tcPr>
          <w:p w14:paraId="3DA3F276"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1457EF22"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7743246B"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Quality control</w:t>
            </w:r>
          </w:p>
        </w:tc>
        <w:tc>
          <w:tcPr>
            <w:tcW w:w="1439" w:type="dxa"/>
            <w:tcBorders>
              <w:top w:val="nil"/>
              <w:left w:val="nil"/>
              <w:bottom w:val="single" w:sz="4" w:space="0" w:color="auto"/>
              <w:right w:val="single" w:sz="4" w:space="0" w:color="auto"/>
            </w:tcBorders>
            <w:shd w:val="clear" w:color="000000" w:fill="FFFFFF"/>
            <w:noWrap/>
            <w:vAlign w:val="bottom"/>
            <w:hideMark/>
          </w:tcPr>
          <w:p w14:paraId="65D91EA5"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048" w:type="dxa"/>
            <w:tcBorders>
              <w:top w:val="nil"/>
              <w:left w:val="nil"/>
              <w:bottom w:val="single" w:sz="4" w:space="0" w:color="auto"/>
              <w:right w:val="single" w:sz="4" w:space="0" w:color="auto"/>
            </w:tcBorders>
            <w:shd w:val="clear" w:color="000000" w:fill="FFFFFF"/>
            <w:noWrap/>
            <w:vAlign w:val="bottom"/>
            <w:hideMark/>
          </w:tcPr>
          <w:p w14:paraId="557990DB"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w:t>
            </w:r>
          </w:p>
        </w:tc>
        <w:tc>
          <w:tcPr>
            <w:tcW w:w="1439" w:type="dxa"/>
            <w:tcBorders>
              <w:top w:val="nil"/>
              <w:left w:val="nil"/>
              <w:bottom w:val="single" w:sz="4" w:space="0" w:color="auto"/>
              <w:right w:val="single" w:sz="4" w:space="0" w:color="auto"/>
            </w:tcBorders>
            <w:shd w:val="clear" w:color="000000" w:fill="FFFFFF"/>
            <w:noWrap/>
            <w:vAlign w:val="bottom"/>
            <w:hideMark/>
          </w:tcPr>
          <w:p w14:paraId="33B7177F"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207" w:type="dxa"/>
            <w:tcBorders>
              <w:top w:val="nil"/>
              <w:left w:val="nil"/>
              <w:bottom w:val="single" w:sz="4" w:space="0" w:color="auto"/>
              <w:right w:val="single" w:sz="4" w:space="0" w:color="auto"/>
            </w:tcBorders>
            <w:shd w:val="clear" w:color="000000" w:fill="FFFFFF"/>
            <w:noWrap/>
            <w:vAlign w:val="bottom"/>
            <w:hideMark/>
          </w:tcPr>
          <w:p w14:paraId="120D393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20595AF6"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1F0350A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5D39125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71819C59"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06895371"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0C7D94F1"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Dispatch </w:t>
            </w:r>
          </w:p>
        </w:tc>
        <w:tc>
          <w:tcPr>
            <w:tcW w:w="1439" w:type="dxa"/>
            <w:tcBorders>
              <w:top w:val="nil"/>
              <w:left w:val="nil"/>
              <w:bottom w:val="single" w:sz="4" w:space="0" w:color="auto"/>
              <w:right w:val="single" w:sz="4" w:space="0" w:color="auto"/>
            </w:tcBorders>
            <w:shd w:val="clear" w:color="000000" w:fill="FFFFFF"/>
            <w:noWrap/>
            <w:vAlign w:val="bottom"/>
            <w:hideMark/>
          </w:tcPr>
          <w:p w14:paraId="48C78DC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048" w:type="dxa"/>
            <w:tcBorders>
              <w:top w:val="nil"/>
              <w:left w:val="nil"/>
              <w:bottom w:val="single" w:sz="4" w:space="0" w:color="auto"/>
              <w:right w:val="single" w:sz="4" w:space="0" w:color="auto"/>
            </w:tcBorders>
            <w:shd w:val="clear" w:color="000000" w:fill="FFFFFF"/>
            <w:noWrap/>
            <w:vAlign w:val="bottom"/>
            <w:hideMark/>
          </w:tcPr>
          <w:p w14:paraId="2A962BC3"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5E199AF9"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175B391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439" w:type="dxa"/>
            <w:tcBorders>
              <w:top w:val="nil"/>
              <w:left w:val="nil"/>
              <w:bottom w:val="single" w:sz="4" w:space="0" w:color="auto"/>
              <w:right w:val="single" w:sz="4" w:space="0" w:color="auto"/>
            </w:tcBorders>
            <w:shd w:val="clear" w:color="000000" w:fill="FFFFFF"/>
            <w:noWrap/>
            <w:vAlign w:val="bottom"/>
            <w:hideMark/>
          </w:tcPr>
          <w:p w14:paraId="21A92F9F"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23%</w:t>
            </w:r>
          </w:p>
        </w:tc>
        <w:tc>
          <w:tcPr>
            <w:tcW w:w="1207" w:type="dxa"/>
            <w:tcBorders>
              <w:top w:val="nil"/>
              <w:left w:val="nil"/>
              <w:bottom w:val="single" w:sz="4" w:space="0" w:color="auto"/>
              <w:right w:val="single" w:sz="4" w:space="0" w:color="auto"/>
            </w:tcBorders>
            <w:shd w:val="clear" w:color="000000" w:fill="FFFFFF"/>
            <w:noWrap/>
            <w:vAlign w:val="bottom"/>
            <w:hideMark/>
          </w:tcPr>
          <w:p w14:paraId="7294B68F"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439" w:type="dxa"/>
            <w:tcBorders>
              <w:top w:val="nil"/>
              <w:left w:val="nil"/>
              <w:bottom w:val="single" w:sz="4" w:space="0" w:color="auto"/>
              <w:right w:val="single" w:sz="4" w:space="0" w:color="auto"/>
            </w:tcBorders>
            <w:shd w:val="clear" w:color="000000" w:fill="FFFFFF"/>
            <w:noWrap/>
            <w:vAlign w:val="bottom"/>
            <w:hideMark/>
          </w:tcPr>
          <w:p w14:paraId="4E2C76F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23%</w:t>
            </w:r>
          </w:p>
        </w:tc>
        <w:tc>
          <w:tcPr>
            <w:tcW w:w="222" w:type="dxa"/>
            <w:vAlign w:val="center"/>
            <w:hideMark/>
          </w:tcPr>
          <w:p w14:paraId="1ADC0A71"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010EBB82"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5D52C6FA"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Engineering </w:t>
            </w:r>
          </w:p>
        </w:tc>
        <w:tc>
          <w:tcPr>
            <w:tcW w:w="1439" w:type="dxa"/>
            <w:tcBorders>
              <w:top w:val="nil"/>
              <w:left w:val="nil"/>
              <w:bottom w:val="single" w:sz="4" w:space="0" w:color="auto"/>
              <w:right w:val="single" w:sz="4" w:space="0" w:color="auto"/>
            </w:tcBorders>
            <w:shd w:val="clear" w:color="000000" w:fill="FFFFFF"/>
            <w:noWrap/>
            <w:vAlign w:val="bottom"/>
            <w:hideMark/>
          </w:tcPr>
          <w:p w14:paraId="4BA8561D"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35</w:t>
            </w:r>
          </w:p>
        </w:tc>
        <w:tc>
          <w:tcPr>
            <w:tcW w:w="1048" w:type="dxa"/>
            <w:tcBorders>
              <w:top w:val="nil"/>
              <w:left w:val="nil"/>
              <w:bottom w:val="single" w:sz="4" w:space="0" w:color="auto"/>
              <w:right w:val="single" w:sz="4" w:space="0" w:color="auto"/>
            </w:tcBorders>
            <w:shd w:val="clear" w:color="000000" w:fill="FFFFFF"/>
            <w:noWrap/>
            <w:vAlign w:val="bottom"/>
            <w:hideMark/>
          </w:tcPr>
          <w:p w14:paraId="13FC629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439" w:type="dxa"/>
            <w:tcBorders>
              <w:top w:val="nil"/>
              <w:left w:val="nil"/>
              <w:bottom w:val="single" w:sz="4" w:space="0" w:color="auto"/>
              <w:right w:val="single" w:sz="4" w:space="0" w:color="auto"/>
            </w:tcBorders>
            <w:shd w:val="clear" w:color="000000" w:fill="FFFFFF"/>
            <w:noWrap/>
            <w:vAlign w:val="bottom"/>
            <w:hideMark/>
          </w:tcPr>
          <w:p w14:paraId="545EFC5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31%</w:t>
            </w:r>
          </w:p>
        </w:tc>
        <w:tc>
          <w:tcPr>
            <w:tcW w:w="1207" w:type="dxa"/>
            <w:tcBorders>
              <w:top w:val="nil"/>
              <w:left w:val="nil"/>
              <w:bottom w:val="single" w:sz="4" w:space="0" w:color="auto"/>
              <w:right w:val="single" w:sz="4" w:space="0" w:color="auto"/>
            </w:tcBorders>
            <w:shd w:val="clear" w:color="000000" w:fill="FFFFFF"/>
            <w:noWrap/>
            <w:vAlign w:val="bottom"/>
            <w:hideMark/>
          </w:tcPr>
          <w:p w14:paraId="5B038C5E"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1439" w:type="dxa"/>
            <w:tcBorders>
              <w:top w:val="nil"/>
              <w:left w:val="nil"/>
              <w:bottom w:val="single" w:sz="4" w:space="0" w:color="auto"/>
              <w:right w:val="single" w:sz="4" w:space="0" w:color="auto"/>
            </w:tcBorders>
            <w:shd w:val="clear" w:color="000000" w:fill="FFFFFF"/>
            <w:noWrap/>
            <w:vAlign w:val="bottom"/>
            <w:hideMark/>
          </w:tcPr>
          <w:p w14:paraId="322CC82B"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31%</w:t>
            </w:r>
          </w:p>
        </w:tc>
        <w:tc>
          <w:tcPr>
            <w:tcW w:w="1207" w:type="dxa"/>
            <w:tcBorders>
              <w:top w:val="nil"/>
              <w:left w:val="nil"/>
              <w:bottom w:val="single" w:sz="4" w:space="0" w:color="auto"/>
              <w:right w:val="single" w:sz="4" w:space="0" w:color="auto"/>
            </w:tcBorders>
            <w:shd w:val="clear" w:color="000000" w:fill="FFFFFF"/>
            <w:noWrap/>
            <w:vAlign w:val="bottom"/>
            <w:hideMark/>
          </w:tcPr>
          <w:p w14:paraId="7B07E12D"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78566717"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25BDE534"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5BE13507"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2D3C25DF"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Casting Department </w:t>
            </w:r>
          </w:p>
        </w:tc>
        <w:tc>
          <w:tcPr>
            <w:tcW w:w="1439" w:type="dxa"/>
            <w:tcBorders>
              <w:top w:val="nil"/>
              <w:left w:val="nil"/>
              <w:bottom w:val="single" w:sz="4" w:space="0" w:color="auto"/>
              <w:right w:val="single" w:sz="4" w:space="0" w:color="auto"/>
            </w:tcBorders>
            <w:shd w:val="clear" w:color="000000" w:fill="FFFFFF"/>
            <w:noWrap/>
            <w:vAlign w:val="bottom"/>
            <w:hideMark/>
          </w:tcPr>
          <w:p w14:paraId="7785A5F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6</w:t>
            </w:r>
          </w:p>
        </w:tc>
        <w:tc>
          <w:tcPr>
            <w:tcW w:w="1048" w:type="dxa"/>
            <w:tcBorders>
              <w:top w:val="nil"/>
              <w:left w:val="nil"/>
              <w:bottom w:val="single" w:sz="4" w:space="0" w:color="auto"/>
              <w:right w:val="single" w:sz="4" w:space="0" w:color="auto"/>
            </w:tcBorders>
            <w:shd w:val="clear" w:color="000000" w:fill="FFFFFF"/>
            <w:noWrap/>
            <w:vAlign w:val="bottom"/>
            <w:hideMark/>
          </w:tcPr>
          <w:p w14:paraId="5D3CE4C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0421D268"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20919C07"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0D1B6D85"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1207" w:type="dxa"/>
            <w:tcBorders>
              <w:top w:val="nil"/>
              <w:left w:val="nil"/>
              <w:bottom w:val="single" w:sz="4" w:space="0" w:color="auto"/>
              <w:right w:val="single" w:sz="4" w:space="0" w:color="auto"/>
            </w:tcBorders>
            <w:shd w:val="clear" w:color="000000" w:fill="FFFFFF"/>
            <w:noWrap/>
            <w:vAlign w:val="bottom"/>
            <w:hideMark/>
          </w:tcPr>
          <w:p w14:paraId="70454AE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w:t>
            </w:r>
          </w:p>
        </w:tc>
        <w:tc>
          <w:tcPr>
            <w:tcW w:w="1439" w:type="dxa"/>
            <w:tcBorders>
              <w:top w:val="nil"/>
              <w:left w:val="nil"/>
              <w:bottom w:val="single" w:sz="4" w:space="0" w:color="auto"/>
              <w:right w:val="single" w:sz="4" w:space="0" w:color="auto"/>
            </w:tcBorders>
            <w:shd w:val="clear" w:color="000000" w:fill="FFFFFF"/>
            <w:noWrap/>
            <w:vAlign w:val="bottom"/>
            <w:hideMark/>
          </w:tcPr>
          <w:p w14:paraId="2D57539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222" w:type="dxa"/>
            <w:vAlign w:val="center"/>
            <w:hideMark/>
          </w:tcPr>
          <w:p w14:paraId="0A2F83D5"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25092FC0"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69BC45A7"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Sales &amp; Marketing </w:t>
            </w:r>
          </w:p>
        </w:tc>
        <w:tc>
          <w:tcPr>
            <w:tcW w:w="1439" w:type="dxa"/>
            <w:tcBorders>
              <w:top w:val="nil"/>
              <w:left w:val="nil"/>
              <w:bottom w:val="single" w:sz="4" w:space="0" w:color="auto"/>
              <w:right w:val="single" w:sz="4" w:space="0" w:color="auto"/>
            </w:tcBorders>
            <w:shd w:val="clear" w:color="000000" w:fill="FFFFFF"/>
            <w:noWrap/>
            <w:vAlign w:val="bottom"/>
            <w:hideMark/>
          </w:tcPr>
          <w:p w14:paraId="76C8F80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048" w:type="dxa"/>
            <w:tcBorders>
              <w:top w:val="nil"/>
              <w:left w:val="nil"/>
              <w:bottom w:val="single" w:sz="4" w:space="0" w:color="auto"/>
              <w:right w:val="single" w:sz="4" w:space="0" w:color="auto"/>
            </w:tcBorders>
            <w:shd w:val="clear" w:color="000000" w:fill="FFFFFF"/>
            <w:noWrap/>
            <w:vAlign w:val="bottom"/>
            <w:hideMark/>
          </w:tcPr>
          <w:p w14:paraId="16DFEEA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439" w:type="dxa"/>
            <w:tcBorders>
              <w:top w:val="nil"/>
              <w:left w:val="nil"/>
              <w:bottom w:val="single" w:sz="4" w:space="0" w:color="auto"/>
              <w:right w:val="single" w:sz="4" w:space="0" w:color="auto"/>
            </w:tcBorders>
            <w:shd w:val="clear" w:color="000000" w:fill="FFFFFF"/>
            <w:noWrap/>
            <w:vAlign w:val="bottom"/>
            <w:hideMark/>
          </w:tcPr>
          <w:p w14:paraId="27D32282"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15%</w:t>
            </w:r>
          </w:p>
        </w:tc>
        <w:tc>
          <w:tcPr>
            <w:tcW w:w="1207" w:type="dxa"/>
            <w:tcBorders>
              <w:top w:val="nil"/>
              <w:left w:val="nil"/>
              <w:bottom w:val="single" w:sz="4" w:space="0" w:color="auto"/>
              <w:right w:val="single" w:sz="4" w:space="0" w:color="auto"/>
            </w:tcBorders>
            <w:shd w:val="clear" w:color="000000" w:fill="FFFFFF"/>
            <w:noWrap/>
            <w:vAlign w:val="bottom"/>
            <w:hideMark/>
          </w:tcPr>
          <w:p w14:paraId="69DFA4A6"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43BC62D3"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2D280F6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74E462BF"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222" w:type="dxa"/>
            <w:vAlign w:val="center"/>
            <w:hideMark/>
          </w:tcPr>
          <w:p w14:paraId="78AD2248"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7FDF2E0D"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6C799B82"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Human Resources </w:t>
            </w:r>
          </w:p>
        </w:tc>
        <w:tc>
          <w:tcPr>
            <w:tcW w:w="1439" w:type="dxa"/>
            <w:tcBorders>
              <w:top w:val="nil"/>
              <w:left w:val="nil"/>
              <w:bottom w:val="single" w:sz="4" w:space="0" w:color="auto"/>
              <w:right w:val="single" w:sz="4" w:space="0" w:color="auto"/>
            </w:tcBorders>
            <w:shd w:val="clear" w:color="000000" w:fill="FFFFFF"/>
            <w:noWrap/>
            <w:vAlign w:val="bottom"/>
            <w:hideMark/>
          </w:tcPr>
          <w:p w14:paraId="104FC45D"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048" w:type="dxa"/>
            <w:tcBorders>
              <w:top w:val="nil"/>
              <w:left w:val="nil"/>
              <w:bottom w:val="single" w:sz="4" w:space="0" w:color="auto"/>
              <w:right w:val="single" w:sz="4" w:space="0" w:color="auto"/>
            </w:tcBorders>
            <w:shd w:val="clear" w:color="000000" w:fill="FFFFFF"/>
            <w:noWrap/>
            <w:vAlign w:val="bottom"/>
            <w:hideMark/>
          </w:tcPr>
          <w:p w14:paraId="5F2CDA1B"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56B83219"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207" w:type="dxa"/>
            <w:tcBorders>
              <w:top w:val="nil"/>
              <w:left w:val="nil"/>
              <w:bottom w:val="single" w:sz="4" w:space="0" w:color="auto"/>
              <w:right w:val="single" w:sz="4" w:space="0" w:color="auto"/>
            </w:tcBorders>
            <w:shd w:val="clear" w:color="000000" w:fill="FFFFFF"/>
            <w:noWrap/>
            <w:vAlign w:val="bottom"/>
            <w:hideMark/>
          </w:tcPr>
          <w:p w14:paraId="7366BF5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47C6AF9D"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1207" w:type="dxa"/>
            <w:tcBorders>
              <w:top w:val="nil"/>
              <w:left w:val="nil"/>
              <w:bottom w:val="single" w:sz="4" w:space="0" w:color="auto"/>
              <w:right w:val="single" w:sz="4" w:space="0" w:color="auto"/>
            </w:tcBorders>
            <w:shd w:val="clear" w:color="000000" w:fill="FFFFFF"/>
            <w:noWrap/>
            <w:vAlign w:val="bottom"/>
            <w:hideMark/>
          </w:tcPr>
          <w:p w14:paraId="2C4BF96C"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w:t>
            </w:r>
          </w:p>
        </w:tc>
        <w:tc>
          <w:tcPr>
            <w:tcW w:w="1439" w:type="dxa"/>
            <w:tcBorders>
              <w:top w:val="nil"/>
              <w:left w:val="nil"/>
              <w:bottom w:val="single" w:sz="4" w:space="0" w:color="auto"/>
              <w:right w:val="single" w:sz="4" w:space="0" w:color="auto"/>
            </w:tcBorders>
            <w:shd w:val="clear" w:color="000000" w:fill="FFFFFF"/>
            <w:noWrap/>
            <w:vAlign w:val="bottom"/>
            <w:hideMark/>
          </w:tcPr>
          <w:p w14:paraId="79AC6079"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4%</w:t>
            </w:r>
          </w:p>
        </w:tc>
        <w:tc>
          <w:tcPr>
            <w:tcW w:w="222" w:type="dxa"/>
            <w:vAlign w:val="center"/>
            <w:hideMark/>
          </w:tcPr>
          <w:p w14:paraId="64FE03A8"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r w:rsidR="00E50E6A" w:rsidRPr="007E57A2" w14:paraId="0B07E729" w14:textId="77777777" w:rsidTr="00BC6F92">
        <w:trPr>
          <w:trHeight w:val="235"/>
        </w:trPr>
        <w:tc>
          <w:tcPr>
            <w:tcW w:w="1989" w:type="dxa"/>
            <w:tcBorders>
              <w:top w:val="nil"/>
              <w:left w:val="single" w:sz="4" w:space="0" w:color="auto"/>
              <w:bottom w:val="single" w:sz="4" w:space="0" w:color="auto"/>
              <w:right w:val="single" w:sz="4" w:space="0" w:color="auto"/>
            </w:tcBorders>
            <w:shd w:val="clear" w:color="000000" w:fill="FFFFFF"/>
            <w:noWrap/>
            <w:vAlign w:val="bottom"/>
            <w:hideMark/>
          </w:tcPr>
          <w:p w14:paraId="2FF6A9C0" w14:textId="77777777" w:rsidR="00E50E6A" w:rsidRPr="00E50E6A" w:rsidRDefault="00E50E6A" w:rsidP="00E50E6A">
            <w:pPr>
              <w:spacing w:after="0" w:line="240" w:lineRule="auto"/>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 xml:space="preserve">Design </w:t>
            </w:r>
          </w:p>
        </w:tc>
        <w:tc>
          <w:tcPr>
            <w:tcW w:w="1439" w:type="dxa"/>
            <w:tcBorders>
              <w:top w:val="nil"/>
              <w:left w:val="nil"/>
              <w:bottom w:val="single" w:sz="4" w:space="0" w:color="auto"/>
              <w:right w:val="single" w:sz="4" w:space="0" w:color="auto"/>
            </w:tcBorders>
            <w:shd w:val="clear" w:color="000000" w:fill="FFFFFF"/>
            <w:noWrap/>
            <w:vAlign w:val="bottom"/>
            <w:hideMark/>
          </w:tcPr>
          <w:p w14:paraId="24DAFC59"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048" w:type="dxa"/>
            <w:tcBorders>
              <w:top w:val="nil"/>
              <w:left w:val="nil"/>
              <w:bottom w:val="single" w:sz="4" w:space="0" w:color="auto"/>
              <w:right w:val="single" w:sz="4" w:space="0" w:color="auto"/>
            </w:tcBorders>
            <w:shd w:val="clear" w:color="000000" w:fill="FFFFFF"/>
            <w:noWrap/>
            <w:vAlign w:val="bottom"/>
            <w:hideMark/>
          </w:tcPr>
          <w:p w14:paraId="000FB4C2"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3</w:t>
            </w:r>
          </w:p>
        </w:tc>
        <w:tc>
          <w:tcPr>
            <w:tcW w:w="1439" w:type="dxa"/>
            <w:tcBorders>
              <w:top w:val="nil"/>
              <w:left w:val="nil"/>
              <w:bottom w:val="single" w:sz="4" w:space="0" w:color="auto"/>
              <w:right w:val="single" w:sz="4" w:space="0" w:color="auto"/>
            </w:tcBorders>
            <w:shd w:val="clear" w:color="000000" w:fill="FFFFFF"/>
            <w:noWrap/>
            <w:vAlign w:val="bottom"/>
            <w:hideMark/>
          </w:tcPr>
          <w:p w14:paraId="75962275"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12%</w:t>
            </w:r>
          </w:p>
        </w:tc>
        <w:tc>
          <w:tcPr>
            <w:tcW w:w="1207" w:type="dxa"/>
            <w:tcBorders>
              <w:top w:val="nil"/>
              <w:left w:val="nil"/>
              <w:bottom w:val="single" w:sz="4" w:space="0" w:color="auto"/>
              <w:right w:val="single" w:sz="4" w:space="0" w:color="auto"/>
            </w:tcBorders>
            <w:shd w:val="clear" w:color="000000" w:fill="FFFFFF"/>
            <w:noWrap/>
            <w:vAlign w:val="bottom"/>
            <w:hideMark/>
          </w:tcPr>
          <w:p w14:paraId="1BB4D440"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5</w:t>
            </w:r>
          </w:p>
        </w:tc>
        <w:tc>
          <w:tcPr>
            <w:tcW w:w="1439" w:type="dxa"/>
            <w:tcBorders>
              <w:top w:val="nil"/>
              <w:left w:val="nil"/>
              <w:bottom w:val="single" w:sz="4" w:space="0" w:color="auto"/>
              <w:right w:val="single" w:sz="4" w:space="0" w:color="auto"/>
            </w:tcBorders>
            <w:shd w:val="clear" w:color="000000" w:fill="FFFFFF"/>
            <w:noWrap/>
            <w:vAlign w:val="bottom"/>
            <w:hideMark/>
          </w:tcPr>
          <w:p w14:paraId="033F5207"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19%</w:t>
            </w:r>
          </w:p>
        </w:tc>
        <w:tc>
          <w:tcPr>
            <w:tcW w:w="1207" w:type="dxa"/>
            <w:tcBorders>
              <w:top w:val="nil"/>
              <w:left w:val="nil"/>
              <w:bottom w:val="single" w:sz="4" w:space="0" w:color="auto"/>
              <w:right w:val="single" w:sz="4" w:space="0" w:color="auto"/>
            </w:tcBorders>
            <w:shd w:val="clear" w:color="000000" w:fill="FFFFFF"/>
            <w:noWrap/>
            <w:vAlign w:val="bottom"/>
            <w:hideMark/>
          </w:tcPr>
          <w:p w14:paraId="2F3A818E" w14:textId="77777777" w:rsidR="00E50E6A" w:rsidRPr="00E50E6A" w:rsidRDefault="00E50E6A" w:rsidP="00E50E6A">
            <w:pPr>
              <w:spacing w:after="0" w:line="240" w:lineRule="auto"/>
              <w:jc w:val="center"/>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2</w:t>
            </w:r>
          </w:p>
        </w:tc>
        <w:tc>
          <w:tcPr>
            <w:tcW w:w="1439" w:type="dxa"/>
            <w:tcBorders>
              <w:top w:val="nil"/>
              <w:left w:val="nil"/>
              <w:bottom w:val="single" w:sz="4" w:space="0" w:color="auto"/>
              <w:right w:val="single" w:sz="4" w:space="0" w:color="auto"/>
            </w:tcBorders>
            <w:shd w:val="clear" w:color="000000" w:fill="FFFFFF"/>
            <w:noWrap/>
            <w:vAlign w:val="bottom"/>
            <w:hideMark/>
          </w:tcPr>
          <w:p w14:paraId="7288E21A" w14:textId="77777777" w:rsidR="00E50E6A" w:rsidRPr="00E50E6A" w:rsidRDefault="00E50E6A" w:rsidP="00E50E6A">
            <w:pPr>
              <w:spacing w:after="0" w:line="240" w:lineRule="auto"/>
              <w:jc w:val="right"/>
              <w:rPr>
                <w:rFonts w:ascii="Arial" w:eastAsia="Times New Roman" w:hAnsi="Arial" w:cs="Arial"/>
                <w:color w:val="004147"/>
                <w:kern w:val="0"/>
                <w:sz w:val="22"/>
                <w:szCs w:val="22"/>
                <w:lang w:eastAsia="en-GB"/>
                <w14:ligatures w14:val="none"/>
              </w:rPr>
            </w:pPr>
            <w:r w:rsidRPr="00E50E6A">
              <w:rPr>
                <w:rFonts w:ascii="Arial" w:eastAsia="Times New Roman" w:hAnsi="Arial" w:cs="Arial"/>
                <w:color w:val="004147"/>
                <w:kern w:val="0"/>
                <w:sz w:val="22"/>
                <w:szCs w:val="22"/>
                <w:lang w:eastAsia="en-GB"/>
                <w14:ligatures w14:val="none"/>
              </w:rPr>
              <w:t>8%</w:t>
            </w:r>
          </w:p>
        </w:tc>
        <w:tc>
          <w:tcPr>
            <w:tcW w:w="222" w:type="dxa"/>
            <w:vAlign w:val="center"/>
            <w:hideMark/>
          </w:tcPr>
          <w:p w14:paraId="0856F529" w14:textId="77777777" w:rsidR="00E50E6A" w:rsidRPr="00E50E6A" w:rsidRDefault="00E50E6A" w:rsidP="00E50E6A">
            <w:pPr>
              <w:spacing w:after="0" w:line="240" w:lineRule="auto"/>
              <w:rPr>
                <w:rFonts w:ascii="Arial" w:eastAsia="Times New Roman" w:hAnsi="Arial" w:cs="Arial"/>
                <w:kern w:val="0"/>
                <w:sz w:val="22"/>
                <w:szCs w:val="22"/>
                <w:lang w:eastAsia="en-GB"/>
                <w14:ligatures w14:val="none"/>
              </w:rPr>
            </w:pPr>
          </w:p>
        </w:tc>
      </w:tr>
    </w:tbl>
    <w:p w14:paraId="6B16CA22"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5031BDFE"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402CF6D3"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36FAC8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0D0AC3C5"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0D4D0530"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5D5DA5A9"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2DF289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49014901"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16D2034B"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4C9D38D"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62378DDD"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212EAB98"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52660F32" w14:textId="77777777" w:rsidR="00E50E6A" w:rsidRPr="007E57A2" w:rsidRDefault="00E50E6A" w:rsidP="007E286C">
      <w:pPr>
        <w:autoSpaceDE w:val="0"/>
        <w:autoSpaceDN w:val="0"/>
        <w:adjustRightInd w:val="0"/>
        <w:spacing w:after="0" w:line="240" w:lineRule="auto"/>
        <w:rPr>
          <w:rFonts w:ascii="Arial" w:hAnsi="Arial" w:cs="Arial"/>
          <w:b/>
          <w:bCs/>
          <w:color w:val="000000"/>
          <w:kern w:val="0"/>
          <w:sz w:val="22"/>
          <w:szCs w:val="22"/>
          <w:u w:color="0B4CB4"/>
        </w:rPr>
      </w:pPr>
    </w:p>
    <w:p w14:paraId="33F45BA1" w14:textId="23116BCE" w:rsidR="00E50E6A" w:rsidRPr="007E57A2" w:rsidRDefault="00E50E6A" w:rsidP="00E50E6A">
      <w:pPr>
        <w:contextualSpacing/>
        <w:jc w:val="both"/>
        <w:rPr>
          <w:rFonts w:ascii="Arial" w:hAnsi="Arial" w:cs="Arial"/>
          <w:b/>
          <w:bCs/>
          <w:sz w:val="22"/>
          <w:szCs w:val="22"/>
        </w:rPr>
      </w:pPr>
      <w:r w:rsidRPr="007E57A2">
        <w:rPr>
          <w:rFonts w:ascii="Arial" w:hAnsi="Arial" w:cs="Arial"/>
          <w:b/>
          <w:bCs/>
          <w:color w:val="262626" w:themeColor="text1" w:themeTint="D9"/>
          <w:sz w:val="22"/>
          <w:szCs w:val="22"/>
        </w:rPr>
        <w:lastRenderedPageBreak/>
        <w:t xml:space="preserve">Q9. </w:t>
      </w:r>
      <w:r w:rsidRPr="007E57A2">
        <w:rPr>
          <w:rFonts w:ascii="Arial" w:hAnsi="Arial" w:cs="Arial"/>
          <w:b/>
          <w:bCs/>
          <w:sz w:val="22"/>
          <w:szCs w:val="22"/>
        </w:rPr>
        <w:t>When you have completed Table 1, present your findings using a minimum of three different types of diagrammatical forms. (AC 2.2)</w:t>
      </w:r>
      <w:bookmarkStart w:id="0" w:name="_Hlk191626829"/>
    </w:p>
    <w:p w14:paraId="62823576" w14:textId="7B29AB6E" w:rsidR="007E57A2" w:rsidRPr="007E57A2" w:rsidRDefault="00E50E6A" w:rsidP="007E57A2">
      <w:pPr>
        <w:contextualSpacing/>
        <w:jc w:val="both"/>
        <w:rPr>
          <w:rFonts w:ascii="Arial" w:hAnsi="Arial" w:cs="Arial"/>
          <w:b/>
          <w:bCs/>
          <w:i/>
          <w:iCs/>
          <w:sz w:val="22"/>
          <w:szCs w:val="22"/>
        </w:rPr>
      </w:pPr>
      <w:r w:rsidRPr="007E57A2">
        <w:rPr>
          <w:rFonts w:ascii="Arial" w:hAnsi="Arial" w:cs="Arial"/>
          <w:b/>
          <w:bCs/>
          <w:i/>
          <w:iCs/>
          <w:sz w:val="22"/>
          <w:szCs w:val="22"/>
        </w:rPr>
        <w:t>You don’t need to provide a reference or in-text citation for AC 2.2</w:t>
      </w:r>
      <w:bookmarkEnd w:id="0"/>
    </w:p>
    <w:p w14:paraId="1F5B03D9" w14:textId="2CFA96DD"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r w:rsidRPr="007E57A2">
        <w:rPr>
          <w:rFonts w:ascii="Arial" w:hAnsi="Arial" w:cs="Arial"/>
          <w:noProof/>
          <w:sz w:val="22"/>
          <w:szCs w:val="22"/>
        </w:rPr>
        <w:drawing>
          <wp:inline distT="0" distB="0" distL="0" distR="0" wp14:anchorId="75A529BB" wp14:editId="6582825C">
            <wp:extent cx="6027821" cy="3487186"/>
            <wp:effectExtent l="0" t="0" r="17780" b="18415"/>
            <wp:docPr id="41159218" name="Chart 1">
              <a:extLst xmlns:a="http://schemas.openxmlformats.org/drawingml/2006/main">
                <a:ext uri="{FF2B5EF4-FFF2-40B4-BE49-F238E27FC236}">
                  <a16:creationId xmlns:a16="http://schemas.microsoft.com/office/drawing/2014/main" id="{F8BB31A4-A579-61E0-4A2A-29B6959859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3364B2" w:rsidRPr="007E57A2">
        <w:rPr>
          <w:rFonts w:ascii="Arial" w:hAnsi="Arial" w:cs="Arial"/>
          <w:noProof/>
          <w:sz w:val="22"/>
          <w:szCs w:val="22"/>
        </w:rPr>
        <w:drawing>
          <wp:inline distT="0" distB="0" distL="0" distR="0" wp14:anchorId="34D52E19" wp14:editId="4D6CDB4D">
            <wp:extent cx="5943600" cy="3938905"/>
            <wp:effectExtent l="0" t="0" r="12700" b="10795"/>
            <wp:docPr id="1056494289" name="Chart 1">
              <a:extLst xmlns:a="http://schemas.openxmlformats.org/drawingml/2006/main">
                <a:ext uri="{FF2B5EF4-FFF2-40B4-BE49-F238E27FC236}">
                  <a16:creationId xmlns:a16="http://schemas.microsoft.com/office/drawing/2014/main" id="{20A14CD1-E695-2103-CFC4-C8111DCF57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177DA0" w14:textId="185CE534"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r w:rsidRPr="007E57A2">
        <w:rPr>
          <w:rFonts w:ascii="Arial" w:hAnsi="Arial" w:cs="Arial"/>
          <w:noProof/>
          <w:sz w:val="22"/>
          <w:szCs w:val="22"/>
        </w:rPr>
        <w:lastRenderedPageBreak/>
        <w:drawing>
          <wp:inline distT="0" distB="0" distL="0" distR="0" wp14:anchorId="3ED1B01E" wp14:editId="50279D1C">
            <wp:extent cx="5943600" cy="3113405"/>
            <wp:effectExtent l="0" t="0" r="12700" b="10795"/>
            <wp:docPr id="203157675" name="Chart 1">
              <a:extLst xmlns:a="http://schemas.openxmlformats.org/drawingml/2006/main">
                <a:ext uri="{FF2B5EF4-FFF2-40B4-BE49-F238E27FC236}">
                  <a16:creationId xmlns:a16="http://schemas.microsoft.com/office/drawing/2014/main" id="{EF4D4612-7115-C2AF-8EC9-69541D1F5A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3CA5C8" w14:textId="77777777"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p>
    <w:p w14:paraId="4845926D" w14:textId="77777777" w:rsidR="00E50E6A" w:rsidRPr="007E57A2" w:rsidRDefault="00E50E6A" w:rsidP="007E286C">
      <w:pPr>
        <w:autoSpaceDE w:val="0"/>
        <w:autoSpaceDN w:val="0"/>
        <w:adjustRightInd w:val="0"/>
        <w:spacing w:after="0" w:line="240" w:lineRule="auto"/>
        <w:rPr>
          <w:rFonts w:ascii="Arial" w:hAnsi="Arial" w:cs="Arial"/>
          <w:i/>
          <w:iCs/>
          <w:color w:val="000000"/>
          <w:kern w:val="0"/>
          <w:sz w:val="22"/>
          <w:szCs w:val="22"/>
          <w:u w:color="0B4CB4"/>
        </w:rPr>
      </w:pPr>
    </w:p>
    <w:p w14:paraId="01A2F136" w14:textId="77777777" w:rsidR="007E286C" w:rsidRPr="007E57A2" w:rsidRDefault="007E286C" w:rsidP="007E286C">
      <w:pPr>
        <w:autoSpaceDE w:val="0"/>
        <w:autoSpaceDN w:val="0"/>
        <w:adjustRightInd w:val="0"/>
        <w:spacing w:after="0" w:line="240" w:lineRule="auto"/>
        <w:jc w:val="both"/>
        <w:rPr>
          <w:rFonts w:ascii="Arial" w:hAnsi="Arial" w:cs="Arial"/>
          <w:b/>
          <w:bCs/>
          <w:color w:val="000000"/>
          <w:kern w:val="0"/>
          <w:sz w:val="22"/>
          <w:szCs w:val="22"/>
          <w:u w:color="0B4CB4"/>
        </w:rPr>
      </w:pPr>
      <w:r w:rsidRPr="007E57A2">
        <w:rPr>
          <w:rFonts w:ascii="Arial" w:hAnsi="Arial" w:cs="Arial"/>
          <w:b/>
          <w:bCs/>
          <w:color w:val="000000"/>
          <w:kern w:val="0"/>
          <w:sz w:val="22"/>
          <w:szCs w:val="22"/>
          <w:u w:color="0B4CB4"/>
        </w:rPr>
        <w:t>Q10. Table 2 contains evaluation feedback from 42 employees who attended a recent learning and development activity. Sue would like you to review the feedback and identify patterns, themes or trends that might be occurring and make recommendations based on your findings. (AC 2.3)</w:t>
      </w:r>
    </w:p>
    <w:p w14:paraId="57C1279D" w14:textId="77777777" w:rsidR="00341834" w:rsidRDefault="00341834" w:rsidP="003364B2">
      <w:pPr>
        <w:autoSpaceDE w:val="0"/>
        <w:autoSpaceDN w:val="0"/>
        <w:adjustRightInd w:val="0"/>
        <w:spacing w:after="0" w:line="240" w:lineRule="auto"/>
        <w:jc w:val="both"/>
        <w:rPr>
          <w:rFonts w:ascii="Arial" w:hAnsi="Arial" w:cs="Arial"/>
          <w:color w:val="EE0000"/>
          <w:kern w:val="0"/>
          <w:sz w:val="22"/>
          <w:szCs w:val="22"/>
          <w:u w:color="0B4CB4"/>
        </w:rPr>
      </w:pPr>
    </w:p>
    <w:p w14:paraId="71E410D5" w14:textId="37D4FF6B" w:rsidR="00341834" w:rsidRPr="00C94089" w:rsidRDefault="00341834" w:rsidP="003364B2">
      <w:pPr>
        <w:autoSpaceDE w:val="0"/>
        <w:autoSpaceDN w:val="0"/>
        <w:adjustRightInd w:val="0"/>
        <w:spacing w:after="0" w:line="240" w:lineRule="auto"/>
        <w:jc w:val="both"/>
        <w:rPr>
          <w:rFonts w:ascii="Arial" w:hAnsi="Arial" w:cs="Arial"/>
          <w:color w:val="000000" w:themeColor="text1"/>
          <w:kern w:val="0"/>
          <w:sz w:val="22"/>
          <w:szCs w:val="22"/>
          <w:u w:color="0B4CB4"/>
        </w:rPr>
      </w:pPr>
      <w:r w:rsidRPr="00C94089">
        <w:rPr>
          <w:rFonts w:ascii="Arial" w:hAnsi="Arial" w:cs="Arial"/>
          <w:color w:val="000000" w:themeColor="text1"/>
          <w:kern w:val="0"/>
          <w:sz w:val="22"/>
          <w:szCs w:val="22"/>
          <w:u w:color="0B4CB4"/>
        </w:rPr>
        <w:t xml:space="preserve">The right L&amp;D strategy at a business is integral as training should help employees and teams develop skills which in turn promotes higher performance and contributes to overall business strategy (CIPD, 2025h). </w:t>
      </w:r>
      <w:r w:rsidR="00C94089" w:rsidRPr="00C94089">
        <w:rPr>
          <w:rFonts w:ascii="Arial" w:hAnsi="Arial" w:cs="Arial"/>
          <w:color w:val="000000" w:themeColor="text1"/>
          <w:kern w:val="0"/>
          <w:sz w:val="22"/>
          <w:szCs w:val="22"/>
          <w:u w:color="0B4CB4"/>
        </w:rPr>
        <w:t xml:space="preserve">In today’s working environment, it is important that training is adaptable to everchanging business strategy (CIPD, 2025h). </w:t>
      </w:r>
      <w:proofErr w:type="spellStart"/>
      <w:r w:rsidR="00C94089" w:rsidRPr="00C94089">
        <w:rPr>
          <w:rFonts w:ascii="Arial" w:hAnsi="Arial" w:cs="Arial"/>
          <w:color w:val="000000" w:themeColor="text1"/>
          <w:kern w:val="0"/>
          <w:sz w:val="22"/>
          <w:szCs w:val="22"/>
          <w:u w:color="0B4CB4"/>
        </w:rPr>
        <w:t>Technivara</w:t>
      </w:r>
      <w:proofErr w:type="spellEnd"/>
      <w:r w:rsidR="00C94089" w:rsidRPr="00C94089">
        <w:rPr>
          <w:rFonts w:ascii="Arial" w:hAnsi="Arial" w:cs="Arial"/>
          <w:color w:val="000000" w:themeColor="text1"/>
          <w:kern w:val="0"/>
          <w:sz w:val="22"/>
          <w:szCs w:val="22"/>
          <w:u w:color="0B4CB4"/>
        </w:rPr>
        <w:t xml:space="preserve"> have used a survey approach to collect data regarding opinions on their taught classroom-style training. </w:t>
      </w:r>
    </w:p>
    <w:p w14:paraId="6DC1B7BC"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61D60B28" w14:textId="369F0855" w:rsidR="007E286C" w:rsidRPr="007E57A2" w:rsidRDefault="007E286C" w:rsidP="007E57A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Table 2 shows that generally, employees found the person who carried out the training to be </w:t>
      </w:r>
      <w:r w:rsidR="003364B2" w:rsidRPr="007E57A2">
        <w:rPr>
          <w:rFonts w:ascii="Arial" w:hAnsi="Arial" w:cs="Arial"/>
          <w:color w:val="000000"/>
          <w:kern w:val="0"/>
          <w:sz w:val="22"/>
          <w:szCs w:val="22"/>
          <w:u w:color="0B4CB4"/>
        </w:rPr>
        <w:t>knowledgeable</w:t>
      </w:r>
      <w:r w:rsidRPr="007E57A2">
        <w:rPr>
          <w:rFonts w:ascii="Arial" w:hAnsi="Arial" w:cs="Arial"/>
          <w:color w:val="000000"/>
          <w:kern w:val="0"/>
          <w:sz w:val="22"/>
          <w:szCs w:val="22"/>
          <w:u w:color="0B4CB4"/>
        </w:rPr>
        <w:t xml:space="preserve"> on the subject and topics; 13 employees strongly agreed with the statement and 26 </w:t>
      </w:r>
      <w:r w:rsidR="003364B2" w:rsidRPr="007E57A2">
        <w:rPr>
          <w:rFonts w:ascii="Arial" w:hAnsi="Arial" w:cs="Arial"/>
          <w:color w:val="000000"/>
          <w:kern w:val="0"/>
          <w:sz w:val="22"/>
          <w:szCs w:val="22"/>
          <w:u w:color="0B4CB4"/>
        </w:rPr>
        <w:t>agreed. Employees</w:t>
      </w:r>
      <w:r w:rsidRPr="007E57A2">
        <w:rPr>
          <w:rFonts w:ascii="Arial" w:hAnsi="Arial" w:cs="Arial"/>
          <w:color w:val="000000"/>
          <w:kern w:val="0"/>
          <w:sz w:val="22"/>
          <w:szCs w:val="22"/>
          <w:u w:color="0B4CB4"/>
        </w:rPr>
        <w:t xml:space="preserve"> thought </w:t>
      </w:r>
      <w:r w:rsidR="003364B2" w:rsidRPr="007E57A2">
        <w:rPr>
          <w:rFonts w:ascii="Arial" w:hAnsi="Arial" w:cs="Arial"/>
          <w:color w:val="000000"/>
          <w:kern w:val="0"/>
          <w:sz w:val="22"/>
          <w:szCs w:val="22"/>
          <w:u w:color="0B4CB4"/>
        </w:rPr>
        <w:t>c</w:t>
      </w:r>
      <w:r w:rsidRPr="007E57A2">
        <w:rPr>
          <w:rFonts w:ascii="Arial" w:hAnsi="Arial" w:cs="Arial"/>
          <w:color w:val="000000"/>
          <w:kern w:val="0"/>
          <w:sz w:val="22"/>
          <w:szCs w:val="22"/>
          <w:u w:color="0B4CB4"/>
        </w:rPr>
        <w:t xml:space="preserve">lear explanations were given to them </w:t>
      </w:r>
      <w:r w:rsidR="003364B2" w:rsidRPr="007E57A2">
        <w:rPr>
          <w:rFonts w:ascii="Arial" w:hAnsi="Arial" w:cs="Arial"/>
          <w:color w:val="000000"/>
          <w:kern w:val="0"/>
          <w:sz w:val="22"/>
          <w:szCs w:val="22"/>
          <w:u w:color="0B4CB4"/>
        </w:rPr>
        <w:t>regarding what</w:t>
      </w:r>
      <w:r w:rsidRPr="007E57A2">
        <w:rPr>
          <w:rFonts w:ascii="Arial" w:hAnsi="Arial" w:cs="Arial"/>
          <w:color w:val="000000"/>
          <w:kern w:val="0"/>
          <w:sz w:val="22"/>
          <w:szCs w:val="22"/>
          <w:u w:color="0B4CB4"/>
        </w:rPr>
        <w:t xml:space="preserve"> the topics were; 5 people strongly believed that clear explanations were provided, with most people (28) agreeing with the statement.</w:t>
      </w:r>
      <w:r w:rsidR="009E2529">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Another positive aspect is that the resources used were of a good quality. Most employees (36) agreed that the resources were good, and 6 were not sure. Using good quality resources is important, as per the six step EBP process</w:t>
      </w:r>
      <w:r w:rsidR="009E2529">
        <w:rPr>
          <w:rFonts w:ascii="Arial" w:hAnsi="Arial" w:cs="Arial"/>
          <w:color w:val="000000"/>
          <w:kern w:val="0"/>
          <w:sz w:val="22"/>
          <w:szCs w:val="22"/>
          <w:u w:color="0B4CB4"/>
        </w:rPr>
        <w:t xml:space="preserve"> </w:t>
      </w:r>
      <w:r w:rsidR="009E2529" w:rsidRPr="007E57A2">
        <w:rPr>
          <w:rFonts w:ascii="Arial" w:hAnsi="Arial" w:cs="Arial"/>
          <w:color w:val="000000"/>
          <w:kern w:val="0"/>
          <w:sz w:val="22"/>
          <w:szCs w:val="22"/>
        </w:rPr>
        <w:t>(CIPD, 2025</w:t>
      </w:r>
      <w:r w:rsidR="009E2529">
        <w:rPr>
          <w:rFonts w:ascii="Arial" w:hAnsi="Arial" w:cs="Arial"/>
          <w:color w:val="000000"/>
          <w:kern w:val="0"/>
          <w:sz w:val="22"/>
          <w:szCs w:val="22"/>
        </w:rPr>
        <w:t>a</w:t>
      </w:r>
      <w:r w:rsidR="009E2529" w:rsidRPr="007E57A2">
        <w:rPr>
          <w:rFonts w:ascii="Arial" w:hAnsi="Arial" w:cs="Arial"/>
          <w:color w:val="000000"/>
          <w:kern w:val="0"/>
          <w:sz w:val="22"/>
          <w:szCs w:val="22"/>
        </w:rPr>
        <w:t>)</w:t>
      </w:r>
      <w:r w:rsidRPr="007E57A2">
        <w:rPr>
          <w:rFonts w:ascii="Arial" w:hAnsi="Arial" w:cs="Arial"/>
          <w:color w:val="000000"/>
          <w:kern w:val="0"/>
          <w:sz w:val="22"/>
          <w:szCs w:val="22"/>
          <w:u w:color="0B4CB4"/>
        </w:rPr>
        <w:t xml:space="preserve">. Less favourably, despite many employees strongly agreeing that their learning preferences were considered prior to the learning activity, 18 ‘weren’t sure’ and 14 employees disagreed. </w:t>
      </w:r>
    </w:p>
    <w:p w14:paraId="6B76EEBF" w14:textId="77777777" w:rsidR="007E286C" w:rsidRPr="007E57A2" w:rsidRDefault="007E286C" w:rsidP="003364B2">
      <w:pPr>
        <w:autoSpaceDE w:val="0"/>
        <w:autoSpaceDN w:val="0"/>
        <w:adjustRightInd w:val="0"/>
        <w:spacing w:after="0" w:line="240" w:lineRule="auto"/>
        <w:jc w:val="both"/>
        <w:rPr>
          <w:rFonts w:ascii="Arial" w:hAnsi="Arial" w:cs="Arial"/>
          <w:i/>
          <w:iCs/>
          <w:color w:val="000000"/>
          <w:kern w:val="0"/>
          <w:sz w:val="22"/>
          <w:szCs w:val="22"/>
          <w:u w:color="0B4CB4"/>
        </w:rPr>
      </w:pPr>
    </w:p>
    <w:p w14:paraId="179270B5" w14:textId="23BBDFBC" w:rsidR="004D775F" w:rsidRPr="007E57A2" w:rsidRDefault="009E2529" w:rsidP="004D775F">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27 </w:t>
      </w:r>
      <w:r w:rsidR="007E286C" w:rsidRPr="007E57A2">
        <w:rPr>
          <w:rFonts w:ascii="Arial" w:hAnsi="Arial" w:cs="Arial"/>
          <w:color w:val="000000"/>
          <w:kern w:val="0"/>
          <w:sz w:val="22"/>
          <w:szCs w:val="22"/>
          <w:u w:color="0B4CB4"/>
        </w:rPr>
        <w:t>employees did not think that they were able to engage with meaningful questioning which is an important aspect to analyse</w:t>
      </w:r>
      <w:r>
        <w:rPr>
          <w:rFonts w:ascii="Arial" w:hAnsi="Arial" w:cs="Arial"/>
          <w:color w:val="000000"/>
          <w:kern w:val="0"/>
          <w:sz w:val="22"/>
          <w:szCs w:val="22"/>
          <w:u w:color="0B4CB4"/>
        </w:rPr>
        <w:t xml:space="preserve"> It</w:t>
      </w:r>
      <w:r w:rsidR="007E286C" w:rsidRPr="007E57A2">
        <w:rPr>
          <w:rFonts w:ascii="Arial" w:hAnsi="Arial" w:cs="Arial"/>
          <w:color w:val="000000"/>
          <w:kern w:val="0"/>
          <w:sz w:val="22"/>
          <w:szCs w:val="22"/>
          <w:u w:color="0B4CB4"/>
        </w:rPr>
        <w:t xml:space="preserve"> suggests that there was a lack of interaction within the training. </w:t>
      </w:r>
      <w:r w:rsidR="004D775F" w:rsidRPr="007E57A2">
        <w:rPr>
          <w:rFonts w:ascii="Arial" w:hAnsi="Arial" w:cs="Arial"/>
          <w:color w:val="000000"/>
          <w:kern w:val="0"/>
          <w:sz w:val="22"/>
          <w:szCs w:val="22"/>
          <w:u w:color="0B4CB4"/>
        </w:rPr>
        <w:t xml:space="preserve">There is a tendency for workplace training to take the format like a school learning environment which will not be favoured by many therefore emphasising </w:t>
      </w:r>
      <w:r>
        <w:rPr>
          <w:rFonts w:ascii="Arial" w:hAnsi="Arial" w:cs="Arial"/>
          <w:color w:val="000000"/>
          <w:kern w:val="0"/>
          <w:sz w:val="22"/>
          <w:szCs w:val="22"/>
          <w:u w:color="0B4CB4"/>
        </w:rPr>
        <w:t xml:space="preserve">the importance of </w:t>
      </w:r>
      <w:r w:rsidR="004D775F" w:rsidRPr="007E57A2">
        <w:rPr>
          <w:rFonts w:ascii="Arial" w:hAnsi="Arial" w:cs="Arial"/>
          <w:color w:val="000000"/>
          <w:kern w:val="0"/>
          <w:sz w:val="22"/>
          <w:szCs w:val="22"/>
          <w:u w:color="0B4CB4"/>
        </w:rPr>
        <w:t xml:space="preserve">conversations and openness for discussions with more of an informal structure (Cole, 2024). </w:t>
      </w:r>
    </w:p>
    <w:p w14:paraId="16AB804D" w14:textId="77777777" w:rsidR="004D775F" w:rsidRPr="007E57A2" w:rsidRDefault="004D775F" w:rsidP="003364B2">
      <w:pPr>
        <w:autoSpaceDE w:val="0"/>
        <w:autoSpaceDN w:val="0"/>
        <w:adjustRightInd w:val="0"/>
        <w:spacing w:after="0" w:line="240" w:lineRule="auto"/>
        <w:jc w:val="both"/>
        <w:rPr>
          <w:rFonts w:ascii="Arial" w:hAnsi="Arial" w:cs="Arial"/>
          <w:color w:val="000000"/>
          <w:kern w:val="0"/>
          <w:sz w:val="22"/>
          <w:szCs w:val="22"/>
          <w:u w:color="0B4CB4"/>
        </w:rPr>
      </w:pPr>
    </w:p>
    <w:p w14:paraId="7A84633C" w14:textId="4690EDBE" w:rsidR="004D775F" w:rsidRPr="007E57A2" w:rsidRDefault="007E286C" w:rsidP="003364B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Interaction is integral to learning as </w:t>
      </w:r>
      <w:r w:rsidR="004D775F" w:rsidRPr="007E57A2">
        <w:rPr>
          <w:rFonts w:ascii="Arial" w:hAnsi="Arial" w:cs="Arial"/>
          <w:color w:val="000000"/>
          <w:kern w:val="0"/>
          <w:sz w:val="22"/>
          <w:szCs w:val="22"/>
          <w:u w:color="0B4CB4"/>
        </w:rPr>
        <w:t>such</w:t>
      </w:r>
      <w:r w:rsidRPr="007E57A2">
        <w:rPr>
          <w:rFonts w:ascii="Arial" w:hAnsi="Arial" w:cs="Arial"/>
          <w:color w:val="000000"/>
          <w:kern w:val="0"/>
          <w:sz w:val="22"/>
          <w:szCs w:val="22"/>
          <w:u w:color="0B4CB4"/>
        </w:rPr>
        <w:t xml:space="preserve"> features create a higher quality learning experience so the focus should be on enhancing the learning experience (CIPD, 2021). This should be easier </w:t>
      </w:r>
      <w:r w:rsidRPr="007E57A2">
        <w:rPr>
          <w:rFonts w:ascii="Arial" w:hAnsi="Arial" w:cs="Arial"/>
          <w:color w:val="000000"/>
          <w:kern w:val="0"/>
          <w:sz w:val="22"/>
          <w:szCs w:val="22"/>
          <w:u w:color="0B4CB4"/>
        </w:rPr>
        <w:lastRenderedPageBreak/>
        <w:t xml:space="preserve">in-person however studies show that this is possible virtually as the </w:t>
      </w:r>
      <w:r w:rsidRPr="007E57A2">
        <w:rPr>
          <w:rFonts w:ascii="Arial" w:hAnsi="Arial" w:cs="Arial"/>
          <w:i/>
          <w:iCs/>
          <w:color w:val="000000"/>
          <w:kern w:val="0"/>
          <w:sz w:val="22"/>
          <w:szCs w:val="22"/>
          <w:u w:color="0B4CB4"/>
        </w:rPr>
        <w:t xml:space="preserve">Co-op Group </w:t>
      </w:r>
      <w:r w:rsidRPr="007E57A2">
        <w:rPr>
          <w:rFonts w:ascii="Arial" w:hAnsi="Arial" w:cs="Arial"/>
          <w:color w:val="000000"/>
          <w:kern w:val="0"/>
          <w:sz w:val="22"/>
          <w:szCs w:val="22"/>
          <w:u w:color="0B4CB4"/>
        </w:rPr>
        <w:t xml:space="preserve">did this by creating a ‘learning management system’ </w:t>
      </w:r>
      <w:r w:rsidR="004D775F" w:rsidRPr="007E57A2">
        <w:rPr>
          <w:rFonts w:ascii="Arial" w:hAnsi="Arial" w:cs="Arial"/>
          <w:color w:val="000000"/>
          <w:kern w:val="0"/>
          <w:sz w:val="22"/>
          <w:szCs w:val="22"/>
          <w:u w:color="0B4CB4"/>
        </w:rPr>
        <w:t xml:space="preserve">(LMS) </w:t>
      </w:r>
      <w:r w:rsidRPr="007E57A2">
        <w:rPr>
          <w:rFonts w:ascii="Arial" w:hAnsi="Arial" w:cs="Arial"/>
          <w:color w:val="000000"/>
          <w:kern w:val="0"/>
          <w:sz w:val="22"/>
          <w:szCs w:val="22"/>
          <w:u w:color="0B4CB4"/>
        </w:rPr>
        <w:t xml:space="preserve">(CIPD, 2021b) which provided an easy collaboration between HR and learning which meant training could be tracked and accessible to everyone (CIPD, 2021b). </w:t>
      </w:r>
      <w:r w:rsidR="004D775F" w:rsidRPr="007E57A2">
        <w:rPr>
          <w:rFonts w:ascii="Arial" w:hAnsi="Arial" w:cs="Arial"/>
          <w:color w:val="000000"/>
          <w:kern w:val="0"/>
          <w:sz w:val="22"/>
          <w:szCs w:val="22"/>
          <w:u w:color="0B4CB4"/>
        </w:rPr>
        <w:t xml:space="preserve">A learning management system would help </w:t>
      </w:r>
      <w:proofErr w:type="spellStart"/>
      <w:r w:rsidR="004D775F" w:rsidRPr="007E57A2">
        <w:rPr>
          <w:rFonts w:ascii="Arial" w:hAnsi="Arial" w:cs="Arial"/>
          <w:color w:val="000000"/>
          <w:kern w:val="0"/>
          <w:sz w:val="22"/>
          <w:szCs w:val="22"/>
          <w:u w:color="0B4CB4"/>
        </w:rPr>
        <w:t>Technivara</w:t>
      </w:r>
      <w:proofErr w:type="spellEnd"/>
      <w:r w:rsidR="004D775F" w:rsidRPr="007E57A2">
        <w:rPr>
          <w:rFonts w:ascii="Arial" w:hAnsi="Arial" w:cs="Arial"/>
          <w:color w:val="000000"/>
          <w:kern w:val="0"/>
          <w:sz w:val="22"/>
          <w:szCs w:val="22"/>
          <w:u w:color="0B4CB4"/>
        </w:rPr>
        <w:t xml:space="preserve"> keep track of their training courses and their delivery (Hadlow, 2024). Costs of an LMS can vary and it depends on number</w:t>
      </w:r>
      <w:r w:rsidR="00850D70">
        <w:rPr>
          <w:rFonts w:ascii="Arial" w:hAnsi="Arial" w:cs="Arial"/>
          <w:color w:val="000000"/>
          <w:kern w:val="0"/>
          <w:sz w:val="22"/>
          <w:szCs w:val="22"/>
          <w:u w:color="0B4CB4"/>
        </w:rPr>
        <w:t>s</w:t>
      </w:r>
      <w:r w:rsidR="004D775F" w:rsidRPr="007E57A2">
        <w:rPr>
          <w:rFonts w:ascii="Arial" w:hAnsi="Arial" w:cs="Arial"/>
          <w:color w:val="000000"/>
          <w:kern w:val="0"/>
          <w:sz w:val="22"/>
          <w:szCs w:val="22"/>
          <w:u w:color="0B4CB4"/>
        </w:rPr>
        <w:t xml:space="preserve"> of users and amount of training resources (Hadlow, 2024).</w:t>
      </w:r>
      <w:r w:rsidR="00CE73F0">
        <w:rPr>
          <w:rFonts w:ascii="Arial" w:hAnsi="Arial" w:cs="Arial"/>
          <w:color w:val="000000"/>
          <w:kern w:val="0"/>
          <w:sz w:val="22"/>
          <w:szCs w:val="22"/>
          <w:u w:color="0B4CB4"/>
        </w:rPr>
        <w:t xml:space="preserve"> </w:t>
      </w:r>
      <w:r w:rsidR="004D775F" w:rsidRPr="007E57A2">
        <w:rPr>
          <w:rFonts w:ascii="Arial" w:hAnsi="Arial" w:cs="Arial"/>
          <w:color w:val="000000"/>
          <w:kern w:val="0"/>
          <w:sz w:val="22"/>
          <w:szCs w:val="22"/>
          <w:u w:color="0B4CB4"/>
        </w:rPr>
        <w:t xml:space="preserve">There are some free providers or products by </w:t>
      </w:r>
      <w:r w:rsidR="004D775F" w:rsidRPr="007E57A2">
        <w:rPr>
          <w:rFonts w:ascii="Arial" w:hAnsi="Arial" w:cs="Arial"/>
          <w:i/>
          <w:iCs/>
          <w:color w:val="000000"/>
          <w:kern w:val="0"/>
          <w:sz w:val="22"/>
          <w:szCs w:val="22"/>
          <w:u w:color="0B4CB4"/>
        </w:rPr>
        <w:t>Access</w:t>
      </w:r>
      <w:r w:rsidR="004D775F" w:rsidRPr="007E57A2">
        <w:rPr>
          <w:rFonts w:ascii="Arial" w:hAnsi="Arial" w:cs="Arial"/>
          <w:color w:val="000000"/>
          <w:kern w:val="0"/>
          <w:sz w:val="22"/>
          <w:szCs w:val="22"/>
          <w:u w:color="0B4CB4"/>
        </w:rPr>
        <w:t xml:space="preserve"> which range between £7-£60 per user per year (Hadlow, 2024)</w:t>
      </w:r>
      <w:r w:rsidR="00780DE5" w:rsidRPr="007E57A2">
        <w:rPr>
          <w:rFonts w:ascii="Arial" w:hAnsi="Arial" w:cs="Arial"/>
          <w:color w:val="000000"/>
          <w:kern w:val="0"/>
          <w:sz w:val="22"/>
          <w:szCs w:val="22"/>
          <w:u w:color="0B4CB4"/>
        </w:rPr>
        <w:t>, so it could be cost effective</w:t>
      </w:r>
      <w:r w:rsidR="00ED046E" w:rsidRPr="007E57A2">
        <w:rPr>
          <w:rFonts w:ascii="Arial" w:hAnsi="Arial" w:cs="Arial"/>
          <w:color w:val="000000"/>
          <w:kern w:val="0"/>
          <w:sz w:val="22"/>
          <w:szCs w:val="22"/>
          <w:u w:color="0B4CB4"/>
        </w:rPr>
        <w:t xml:space="preserve"> and easy to use. </w:t>
      </w:r>
    </w:p>
    <w:p w14:paraId="63D6D759"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441067B8" w14:textId="5C03E9B7" w:rsidR="007E286C" w:rsidRPr="007E57A2" w:rsidRDefault="007E286C" w:rsidP="003364B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Utilising technology could be a useful way of addressing learner-needs. </w:t>
      </w:r>
      <w:proofErr w:type="spellStart"/>
      <w:r w:rsidR="003364B2"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wishes to be a </w:t>
      </w:r>
      <w:r w:rsidR="003364B2" w:rsidRPr="007E57A2">
        <w:rPr>
          <w:rFonts w:ascii="Arial" w:hAnsi="Arial" w:cs="Arial"/>
          <w:color w:val="000000"/>
          <w:kern w:val="0"/>
          <w:sz w:val="22"/>
          <w:szCs w:val="22"/>
          <w:u w:color="0B4CB4"/>
        </w:rPr>
        <w:t>forward-thinking</w:t>
      </w:r>
      <w:r w:rsidRPr="007E57A2">
        <w:rPr>
          <w:rFonts w:ascii="Arial" w:hAnsi="Arial" w:cs="Arial"/>
          <w:color w:val="000000"/>
          <w:kern w:val="0"/>
          <w:sz w:val="22"/>
          <w:szCs w:val="22"/>
          <w:u w:color="0B4CB4"/>
        </w:rPr>
        <w:t xml:space="preserve"> workplace; increasingly technology use will help achieve this. There has been a large shift in learning demands due to increased technology in society (Wilson, 2024</w:t>
      </w:r>
      <w:r w:rsidR="003364B2" w:rsidRPr="007E57A2">
        <w:rPr>
          <w:rFonts w:ascii="Arial" w:hAnsi="Arial" w:cs="Arial"/>
          <w:color w:val="000000"/>
          <w:kern w:val="0"/>
          <w:sz w:val="22"/>
          <w:szCs w:val="22"/>
          <w:u w:color="0B4CB4"/>
        </w:rPr>
        <w:t>). This</w:t>
      </w:r>
      <w:r w:rsidRPr="007E57A2">
        <w:rPr>
          <w:rFonts w:ascii="Arial" w:hAnsi="Arial" w:cs="Arial"/>
          <w:color w:val="000000"/>
          <w:kern w:val="0"/>
          <w:sz w:val="22"/>
          <w:szCs w:val="22"/>
          <w:u w:color="0B4CB4"/>
        </w:rPr>
        <w:t xml:space="preserve"> is reflected in </w:t>
      </w:r>
      <w:proofErr w:type="spellStart"/>
      <w:r w:rsidRPr="007E57A2">
        <w:rPr>
          <w:rFonts w:ascii="Arial" w:hAnsi="Arial" w:cs="Arial"/>
          <w:color w:val="000000"/>
          <w:kern w:val="0"/>
          <w:sz w:val="22"/>
          <w:szCs w:val="22"/>
          <w:u w:color="0B4CB4"/>
        </w:rPr>
        <w:t>Technivara’s</w:t>
      </w:r>
      <w:proofErr w:type="spellEnd"/>
      <w:r w:rsidRPr="007E57A2">
        <w:rPr>
          <w:rFonts w:ascii="Arial" w:hAnsi="Arial" w:cs="Arial"/>
          <w:color w:val="000000"/>
          <w:kern w:val="0"/>
          <w:sz w:val="22"/>
          <w:szCs w:val="22"/>
          <w:u w:color="0B4CB4"/>
        </w:rPr>
        <w:t xml:space="preserve"> survey results as learning preferences were not considered prior to the training. Perhaps learners would have benefited from an interactive learning environment and one that aligns with the technical needs of the modern learner. Technology can provide an interactive learning setting for employees with </w:t>
      </w:r>
      <w:r w:rsidRPr="007E57A2">
        <w:rPr>
          <w:rFonts w:ascii="Arial" w:hAnsi="Arial" w:cs="Arial"/>
          <w:i/>
          <w:iCs/>
          <w:color w:val="000000"/>
          <w:kern w:val="0"/>
          <w:sz w:val="22"/>
          <w:szCs w:val="22"/>
          <w:u w:color="0B4CB4"/>
        </w:rPr>
        <w:t>Volkswagen</w:t>
      </w:r>
      <w:r w:rsidRPr="007E57A2">
        <w:rPr>
          <w:rFonts w:ascii="Arial" w:hAnsi="Arial" w:cs="Arial"/>
          <w:color w:val="000000"/>
          <w:kern w:val="0"/>
          <w:sz w:val="22"/>
          <w:szCs w:val="22"/>
          <w:u w:color="0B4CB4"/>
        </w:rPr>
        <w:t xml:space="preserve"> utilising virtual reality to not only help with car manufacturing training such as assembly of vehicles but how to deal with customer scenarios (Wilson, 2024).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therefore utilise such technologies due to their manufacturing nature, to help train staff on electronics production and customer service skills. The CIPD’s 2023 </w:t>
      </w:r>
      <w:r w:rsidRPr="007E57A2">
        <w:rPr>
          <w:rFonts w:ascii="Arial" w:hAnsi="Arial" w:cs="Arial"/>
          <w:i/>
          <w:iCs/>
          <w:color w:val="000000"/>
          <w:kern w:val="0"/>
          <w:sz w:val="22"/>
          <w:szCs w:val="22"/>
          <w:u w:color="0B4CB4"/>
        </w:rPr>
        <w:t>Learning at Work</w:t>
      </w:r>
      <w:r w:rsidRPr="007E57A2">
        <w:rPr>
          <w:rFonts w:ascii="Arial" w:hAnsi="Arial" w:cs="Arial"/>
          <w:color w:val="000000"/>
          <w:kern w:val="0"/>
          <w:sz w:val="22"/>
          <w:szCs w:val="22"/>
          <w:u w:color="0B4CB4"/>
        </w:rPr>
        <w:t xml:space="preserve"> survey unearthed a decline in </w:t>
      </w:r>
      <w:r w:rsidR="003364B2" w:rsidRPr="007E57A2">
        <w:rPr>
          <w:rFonts w:ascii="Arial" w:hAnsi="Arial" w:cs="Arial"/>
          <w:color w:val="000000"/>
          <w:kern w:val="0"/>
          <w:sz w:val="22"/>
          <w:szCs w:val="22"/>
          <w:u w:color="0B4CB4"/>
        </w:rPr>
        <w:t>face-to-face</w:t>
      </w:r>
      <w:r w:rsidRPr="007E57A2">
        <w:rPr>
          <w:rFonts w:ascii="Arial" w:hAnsi="Arial" w:cs="Arial"/>
          <w:color w:val="000000"/>
          <w:kern w:val="0"/>
          <w:sz w:val="22"/>
          <w:szCs w:val="22"/>
          <w:u w:color="0B4CB4"/>
        </w:rPr>
        <w:t xml:space="preserve"> learning and a major increase in the integration of technology (CIPD</w:t>
      </w:r>
      <w:r w:rsidR="00CA3D94" w:rsidRPr="007E57A2">
        <w:rPr>
          <w:rFonts w:ascii="Arial" w:hAnsi="Arial" w:cs="Arial"/>
          <w:color w:val="000000"/>
          <w:kern w:val="0"/>
          <w:sz w:val="22"/>
          <w:szCs w:val="22"/>
          <w:u w:color="0B4CB4"/>
        </w:rPr>
        <w:t>, 2023</w:t>
      </w:r>
      <w:r w:rsidRPr="007E57A2">
        <w:rPr>
          <w:rFonts w:ascii="Arial" w:hAnsi="Arial" w:cs="Arial"/>
          <w:color w:val="000000"/>
          <w:kern w:val="0"/>
          <w:sz w:val="22"/>
          <w:szCs w:val="22"/>
          <w:u w:color="0B4CB4"/>
        </w:rPr>
        <w:t>), though less of an uptake of virtual reality (CIPD</w:t>
      </w:r>
      <w:r w:rsidR="00CA3D94" w:rsidRPr="007E57A2">
        <w:rPr>
          <w:rFonts w:ascii="Arial" w:hAnsi="Arial" w:cs="Arial"/>
          <w:color w:val="000000"/>
          <w:kern w:val="0"/>
          <w:sz w:val="22"/>
          <w:szCs w:val="22"/>
          <w:u w:color="0B4CB4"/>
        </w:rPr>
        <w:t>, 2023</w:t>
      </w:r>
      <w:r w:rsidRPr="007E57A2">
        <w:rPr>
          <w:rFonts w:ascii="Arial" w:hAnsi="Arial" w:cs="Arial"/>
          <w:color w:val="000000"/>
          <w:kern w:val="0"/>
          <w:sz w:val="22"/>
          <w:szCs w:val="22"/>
          <w:u w:color="0B4CB4"/>
        </w:rPr>
        <w:t xml:space="preserve">).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could leverage this and be innovative by utilising such technologies. Particularly as it has been found that virtual training can be completed four times faster than in-person (PwC</w:t>
      </w:r>
      <w:r w:rsidR="00CA3D94" w:rsidRPr="007E57A2">
        <w:rPr>
          <w:rFonts w:ascii="Arial" w:hAnsi="Arial" w:cs="Arial"/>
          <w:color w:val="000000"/>
          <w:kern w:val="0"/>
          <w:sz w:val="22"/>
          <w:szCs w:val="22"/>
          <w:u w:color="0B4CB4"/>
        </w:rPr>
        <w:t>, 2020a</w:t>
      </w:r>
      <w:r w:rsidRPr="007E57A2">
        <w:rPr>
          <w:rFonts w:ascii="Arial" w:hAnsi="Arial" w:cs="Arial"/>
          <w:color w:val="000000"/>
          <w:kern w:val="0"/>
          <w:sz w:val="22"/>
          <w:szCs w:val="22"/>
          <w:u w:color="0B4CB4"/>
        </w:rPr>
        <w:t xml:space="preserve">). </w:t>
      </w:r>
      <w:r w:rsidR="00CA3D94" w:rsidRPr="007E57A2">
        <w:rPr>
          <w:rFonts w:ascii="Arial" w:hAnsi="Arial" w:cs="Arial"/>
          <w:color w:val="000000"/>
          <w:kern w:val="0"/>
          <w:sz w:val="22"/>
          <w:szCs w:val="22"/>
          <w:u w:color="0B4CB4"/>
        </w:rPr>
        <w:t xml:space="preserve">In terms of costs, a unique course can cost 47% more than an in-person course (PwC, 2020b). However, when looking at ROI, virtual reality training uses less time than both in-person training and online learning (PwC, 2020b). </w:t>
      </w:r>
      <w:r w:rsidR="006D5B0D">
        <w:rPr>
          <w:rFonts w:ascii="Arial" w:hAnsi="Arial" w:cs="Arial"/>
          <w:color w:val="000000"/>
          <w:kern w:val="0"/>
          <w:sz w:val="22"/>
          <w:szCs w:val="22"/>
          <w:u w:color="0B4CB4"/>
        </w:rPr>
        <w:t xml:space="preserve">Upskilling of some employees may be required as 27% of employees lack digital skills (CIPD, 2021c). </w:t>
      </w:r>
      <w:r w:rsidRPr="007E57A2">
        <w:rPr>
          <w:rFonts w:ascii="Arial" w:hAnsi="Arial" w:cs="Arial"/>
          <w:color w:val="000000"/>
          <w:kern w:val="0"/>
          <w:sz w:val="22"/>
          <w:szCs w:val="22"/>
          <w:u w:color="0B4CB4"/>
        </w:rPr>
        <w:t xml:space="preserve">Costs </w:t>
      </w:r>
      <w:r w:rsidR="006D5B0D">
        <w:rPr>
          <w:rFonts w:ascii="Arial" w:hAnsi="Arial" w:cs="Arial"/>
          <w:color w:val="000000"/>
          <w:kern w:val="0"/>
          <w:sz w:val="22"/>
          <w:szCs w:val="22"/>
          <w:u w:color="0B4CB4"/>
        </w:rPr>
        <w:t xml:space="preserve">and skills </w:t>
      </w:r>
      <w:r w:rsidRPr="007E57A2">
        <w:rPr>
          <w:rFonts w:ascii="Arial" w:hAnsi="Arial" w:cs="Arial"/>
          <w:color w:val="000000"/>
          <w:kern w:val="0"/>
          <w:sz w:val="22"/>
          <w:szCs w:val="22"/>
          <w:u w:color="0B4CB4"/>
        </w:rPr>
        <w:t>will need to be considered, however if training can be expedited yet still be</w:t>
      </w:r>
      <w:r w:rsidR="00CA3D94" w:rsidRPr="007E57A2">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effective, it could benefit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profoundly.</w:t>
      </w:r>
    </w:p>
    <w:p w14:paraId="768B2AF7" w14:textId="77777777" w:rsidR="0091286B" w:rsidRDefault="0091286B" w:rsidP="003364B2">
      <w:pPr>
        <w:autoSpaceDE w:val="0"/>
        <w:autoSpaceDN w:val="0"/>
        <w:adjustRightInd w:val="0"/>
        <w:spacing w:after="0" w:line="240" w:lineRule="auto"/>
        <w:jc w:val="both"/>
        <w:rPr>
          <w:rFonts w:ascii="Arial" w:hAnsi="Arial" w:cs="Arial"/>
          <w:color w:val="000000"/>
          <w:kern w:val="0"/>
          <w:sz w:val="22"/>
          <w:szCs w:val="22"/>
          <w:u w:color="0B4CB4"/>
        </w:rPr>
      </w:pPr>
    </w:p>
    <w:p w14:paraId="5EBEA6C3" w14:textId="134D2D5C" w:rsidR="007E286C" w:rsidRPr="007E57A2" w:rsidRDefault="006D5B0D" w:rsidP="003364B2">
      <w:pPr>
        <w:autoSpaceDE w:val="0"/>
        <w:autoSpaceDN w:val="0"/>
        <w:adjustRightInd w:val="0"/>
        <w:spacing w:after="0" w:line="240" w:lineRule="auto"/>
        <w:jc w:val="both"/>
        <w:rPr>
          <w:rFonts w:ascii="Arial" w:hAnsi="Arial" w:cs="Arial"/>
          <w:color w:val="000000"/>
          <w:kern w:val="0"/>
          <w:sz w:val="22"/>
          <w:szCs w:val="22"/>
          <w:u w:color="0B4CB4"/>
        </w:rPr>
      </w:pPr>
      <w:proofErr w:type="spellStart"/>
      <w:r>
        <w:rPr>
          <w:rFonts w:ascii="Arial" w:hAnsi="Arial" w:cs="Arial"/>
          <w:color w:val="000000"/>
          <w:kern w:val="0"/>
          <w:sz w:val="22"/>
          <w:szCs w:val="22"/>
          <w:u w:color="0B4CB4"/>
        </w:rPr>
        <w:t>Technivara</w:t>
      </w:r>
      <w:proofErr w:type="spellEnd"/>
      <w:r>
        <w:rPr>
          <w:rFonts w:ascii="Arial" w:hAnsi="Arial" w:cs="Arial"/>
          <w:color w:val="000000"/>
          <w:kern w:val="0"/>
          <w:sz w:val="22"/>
          <w:szCs w:val="22"/>
          <w:u w:color="0B4CB4"/>
        </w:rPr>
        <w:t xml:space="preserve"> have used only one method of teaching. </w:t>
      </w:r>
      <w:r w:rsidR="0091286B">
        <w:rPr>
          <w:rFonts w:ascii="Arial" w:hAnsi="Arial" w:cs="Arial"/>
          <w:color w:val="000000"/>
          <w:kern w:val="0"/>
          <w:sz w:val="22"/>
          <w:szCs w:val="22"/>
          <w:u w:color="0B4CB4"/>
        </w:rPr>
        <w:t xml:space="preserve">Using multiple training methods is more impactful </w:t>
      </w:r>
      <w:r w:rsidR="0088452B">
        <w:rPr>
          <w:rFonts w:ascii="Arial" w:hAnsi="Arial" w:cs="Arial"/>
          <w:color w:val="000000"/>
          <w:kern w:val="0"/>
          <w:sz w:val="22"/>
          <w:szCs w:val="22"/>
          <w:u w:color="0B4CB4"/>
        </w:rPr>
        <w:t>and helps retain information (Raistrick, 2024</w:t>
      </w:r>
      <w:proofErr w:type="gramStart"/>
      <w:r w:rsidR="0088452B">
        <w:rPr>
          <w:rFonts w:ascii="Arial" w:hAnsi="Arial" w:cs="Arial"/>
          <w:color w:val="000000"/>
          <w:kern w:val="0"/>
          <w:sz w:val="22"/>
          <w:szCs w:val="22"/>
          <w:u w:color="0B4CB4"/>
        </w:rPr>
        <w:t>).</w:t>
      </w:r>
      <w:proofErr w:type="spellStart"/>
      <w:r w:rsidR="0091286B">
        <w:rPr>
          <w:rFonts w:ascii="Arial" w:hAnsi="Arial" w:cs="Arial"/>
          <w:color w:val="000000"/>
          <w:kern w:val="0"/>
          <w:sz w:val="22"/>
          <w:szCs w:val="22"/>
          <w:u w:color="0B4CB4"/>
        </w:rPr>
        <w:t>Technivara</w:t>
      </w:r>
      <w:proofErr w:type="spellEnd"/>
      <w:proofErr w:type="gramEnd"/>
      <w:r w:rsidR="0091286B">
        <w:rPr>
          <w:rFonts w:ascii="Arial" w:hAnsi="Arial" w:cs="Arial"/>
          <w:color w:val="000000"/>
          <w:kern w:val="0"/>
          <w:sz w:val="22"/>
          <w:szCs w:val="22"/>
          <w:u w:color="0B4CB4"/>
        </w:rPr>
        <w:t xml:space="preserve"> should follow the “FACTS” process</w:t>
      </w:r>
      <w:r>
        <w:rPr>
          <w:rFonts w:ascii="Arial" w:hAnsi="Arial" w:cs="Arial"/>
          <w:color w:val="000000"/>
          <w:kern w:val="0"/>
          <w:sz w:val="22"/>
          <w:szCs w:val="22"/>
          <w:u w:color="0B4CB4"/>
        </w:rPr>
        <w:t xml:space="preserve"> (CIPD, 2021)</w:t>
      </w:r>
      <w:r w:rsidR="0091286B">
        <w:rPr>
          <w:rFonts w:ascii="Arial" w:hAnsi="Arial" w:cs="Arial"/>
          <w:color w:val="000000"/>
          <w:kern w:val="0"/>
          <w:sz w:val="22"/>
          <w:szCs w:val="22"/>
          <w:u w:color="0B4CB4"/>
        </w:rPr>
        <w:t xml:space="preserve">; the training should be flexible accessible, collaborative, tailored and should </w:t>
      </w:r>
      <w:r w:rsidRPr="006D5B0D">
        <w:rPr>
          <w:rFonts w:ascii="Arial" w:hAnsi="Arial" w:cs="Arial"/>
          <w:i/>
          <w:iCs/>
          <w:color w:val="000000"/>
          <w:kern w:val="0"/>
          <w:sz w:val="22"/>
          <w:szCs w:val="22"/>
          <w:u w:color="0B4CB4"/>
        </w:rPr>
        <w:t xml:space="preserve">better </w:t>
      </w:r>
      <w:r w:rsidR="0091286B">
        <w:rPr>
          <w:rFonts w:ascii="Arial" w:hAnsi="Arial" w:cs="Arial"/>
          <w:color w:val="000000"/>
          <w:kern w:val="0"/>
          <w:sz w:val="22"/>
          <w:szCs w:val="22"/>
          <w:u w:color="0B4CB4"/>
        </w:rPr>
        <w:t xml:space="preserve">employee’s knowledge </w:t>
      </w:r>
      <w:r>
        <w:rPr>
          <w:rFonts w:ascii="Arial" w:hAnsi="Arial" w:cs="Arial"/>
          <w:color w:val="000000"/>
          <w:kern w:val="0"/>
          <w:sz w:val="22"/>
          <w:szCs w:val="22"/>
          <w:u w:color="0B4CB4"/>
        </w:rPr>
        <w:t xml:space="preserve">(CIPD, 2021). </w:t>
      </w:r>
      <w:r w:rsidR="007E286C" w:rsidRPr="007E57A2">
        <w:rPr>
          <w:rFonts w:ascii="Arial" w:hAnsi="Arial" w:cs="Arial"/>
          <w:color w:val="000000"/>
          <w:kern w:val="0"/>
          <w:sz w:val="22"/>
          <w:szCs w:val="22"/>
          <w:u w:color="0B4CB4"/>
        </w:rPr>
        <w:t>It will be for managers to try and implement learning and development into the everyday working practices with a larger responsibility for managers (CIPD, 2025</w:t>
      </w:r>
      <w:r w:rsidR="0091286B">
        <w:rPr>
          <w:rFonts w:ascii="Arial" w:hAnsi="Arial" w:cs="Arial"/>
          <w:color w:val="000000"/>
          <w:kern w:val="0"/>
          <w:sz w:val="22"/>
          <w:szCs w:val="22"/>
          <w:u w:color="0B4CB4"/>
        </w:rPr>
        <w:t>f</w:t>
      </w:r>
      <w:r w:rsidR="007E286C" w:rsidRPr="007E57A2">
        <w:rPr>
          <w:rFonts w:ascii="Arial" w:hAnsi="Arial" w:cs="Arial"/>
          <w:color w:val="000000"/>
          <w:kern w:val="0"/>
          <w:sz w:val="22"/>
          <w:szCs w:val="22"/>
          <w:u w:color="0B4CB4"/>
        </w:rPr>
        <w:t>). For example, they can identify the training needs of employees which can be communicated to the L&amp;D team (CIPD, 2025</w:t>
      </w:r>
      <w:r w:rsidR="0091286B">
        <w:rPr>
          <w:rFonts w:ascii="Arial" w:hAnsi="Arial" w:cs="Arial"/>
          <w:color w:val="000000"/>
          <w:kern w:val="0"/>
          <w:sz w:val="22"/>
          <w:szCs w:val="22"/>
          <w:u w:color="0B4CB4"/>
        </w:rPr>
        <w:t>f</w:t>
      </w:r>
      <w:r w:rsidR="007E286C" w:rsidRPr="007E57A2">
        <w:rPr>
          <w:rFonts w:ascii="Arial" w:hAnsi="Arial" w:cs="Arial"/>
          <w:color w:val="000000"/>
          <w:kern w:val="0"/>
          <w:sz w:val="22"/>
          <w:szCs w:val="22"/>
          <w:u w:color="0B4CB4"/>
        </w:rPr>
        <w:t>)</w:t>
      </w:r>
      <w:r w:rsidR="002105B8" w:rsidRPr="007E57A2">
        <w:rPr>
          <w:rFonts w:ascii="Arial" w:hAnsi="Arial" w:cs="Arial"/>
          <w:color w:val="000000"/>
          <w:kern w:val="0"/>
          <w:sz w:val="22"/>
          <w:szCs w:val="22"/>
          <w:u w:color="0B4CB4"/>
        </w:rPr>
        <w:t xml:space="preserve">. Whilst online and VR training will be effective for softer skills and some manual elements, there of course will still need to be physical manual training </w:t>
      </w:r>
      <w:r w:rsidR="0056724D">
        <w:rPr>
          <w:rFonts w:ascii="Arial" w:hAnsi="Arial" w:cs="Arial"/>
          <w:color w:val="000000"/>
          <w:kern w:val="0"/>
          <w:sz w:val="22"/>
          <w:szCs w:val="22"/>
          <w:u w:color="0B4CB4"/>
        </w:rPr>
        <w:t>regarding</w:t>
      </w:r>
      <w:r w:rsidR="002105B8" w:rsidRPr="007E57A2">
        <w:rPr>
          <w:rFonts w:ascii="Arial" w:hAnsi="Arial" w:cs="Arial"/>
          <w:color w:val="000000"/>
          <w:kern w:val="0"/>
          <w:sz w:val="22"/>
          <w:szCs w:val="22"/>
          <w:u w:color="0B4CB4"/>
        </w:rPr>
        <w:t xml:space="preserve"> making electronic components. </w:t>
      </w:r>
      <w:proofErr w:type="spellStart"/>
      <w:r w:rsidR="002105B8" w:rsidRPr="007E57A2">
        <w:rPr>
          <w:rFonts w:ascii="Arial" w:hAnsi="Arial" w:cs="Arial"/>
          <w:color w:val="000000"/>
          <w:kern w:val="0"/>
          <w:sz w:val="22"/>
          <w:szCs w:val="22"/>
          <w:u w:color="0B4CB4"/>
        </w:rPr>
        <w:t>Technivara</w:t>
      </w:r>
      <w:proofErr w:type="spellEnd"/>
      <w:r w:rsidR="002105B8" w:rsidRPr="007E57A2">
        <w:rPr>
          <w:rFonts w:ascii="Arial" w:hAnsi="Arial" w:cs="Arial"/>
          <w:color w:val="000000"/>
          <w:kern w:val="0"/>
          <w:sz w:val="22"/>
          <w:szCs w:val="22"/>
          <w:u w:color="0B4CB4"/>
        </w:rPr>
        <w:t xml:space="preserve"> will need to follow Health and Safety Executive guidance on </w:t>
      </w:r>
      <w:r w:rsidR="007E57A2" w:rsidRPr="007E57A2">
        <w:rPr>
          <w:rFonts w:ascii="Arial" w:hAnsi="Arial" w:cs="Arial"/>
          <w:color w:val="000000"/>
          <w:kern w:val="0"/>
          <w:sz w:val="22"/>
          <w:szCs w:val="22"/>
          <w:u w:color="0B4CB4"/>
        </w:rPr>
        <w:t>safely</w:t>
      </w:r>
      <w:r w:rsidR="002105B8" w:rsidRPr="007E57A2">
        <w:rPr>
          <w:rFonts w:ascii="Arial" w:hAnsi="Arial" w:cs="Arial"/>
          <w:color w:val="000000"/>
          <w:kern w:val="0"/>
          <w:sz w:val="22"/>
          <w:szCs w:val="22"/>
          <w:u w:color="0B4CB4"/>
        </w:rPr>
        <w:t xml:space="preserve"> working with electrics at work (HSE, 2012), and manual handling training is required for handling heavy loads</w:t>
      </w:r>
      <w:r w:rsidR="0056724D">
        <w:rPr>
          <w:rFonts w:ascii="Arial" w:hAnsi="Arial" w:cs="Arial"/>
          <w:color w:val="000000"/>
          <w:kern w:val="0"/>
          <w:sz w:val="22"/>
          <w:szCs w:val="22"/>
          <w:u w:color="0B4CB4"/>
        </w:rPr>
        <w:t xml:space="preserve"> </w:t>
      </w:r>
      <w:r w:rsidR="0056724D" w:rsidRPr="007E57A2">
        <w:rPr>
          <w:rFonts w:ascii="Arial" w:hAnsi="Arial" w:cs="Arial"/>
          <w:color w:val="000000"/>
          <w:kern w:val="0"/>
          <w:sz w:val="22"/>
          <w:szCs w:val="22"/>
          <w:u w:color="0B4CB4"/>
        </w:rPr>
        <w:t>(HSE, 2025</w:t>
      </w:r>
      <w:r w:rsidR="00080016" w:rsidRPr="007E57A2">
        <w:rPr>
          <w:rFonts w:ascii="Arial" w:hAnsi="Arial" w:cs="Arial"/>
          <w:color w:val="000000"/>
          <w:kern w:val="0"/>
          <w:sz w:val="22"/>
          <w:szCs w:val="22"/>
          <w:u w:color="0B4CB4"/>
        </w:rPr>
        <w:t>).</w:t>
      </w:r>
      <w:r w:rsidR="00080016">
        <w:rPr>
          <w:rFonts w:ascii="Arial" w:hAnsi="Arial" w:cs="Arial"/>
          <w:color w:val="000000"/>
          <w:kern w:val="0"/>
          <w:sz w:val="22"/>
          <w:szCs w:val="22"/>
          <w:u w:color="0B4CB4"/>
        </w:rPr>
        <w:t xml:space="preserve"> Practical</w:t>
      </w:r>
      <w:r w:rsidR="0056724D">
        <w:rPr>
          <w:rFonts w:ascii="Arial" w:hAnsi="Arial" w:cs="Arial"/>
          <w:color w:val="000000"/>
          <w:kern w:val="0"/>
          <w:sz w:val="22"/>
          <w:szCs w:val="22"/>
          <w:u w:color="0B4CB4"/>
        </w:rPr>
        <w:t xml:space="preserve"> </w:t>
      </w:r>
      <w:r w:rsidR="007E57A2" w:rsidRPr="007E57A2">
        <w:rPr>
          <w:rFonts w:ascii="Arial" w:hAnsi="Arial" w:cs="Arial"/>
          <w:color w:val="000000"/>
          <w:kern w:val="0"/>
          <w:sz w:val="22"/>
          <w:szCs w:val="22"/>
          <w:u w:color="0B4CB4"/>
        </w:rPr>
        <w:t xml:space="preserve">work </w:t>
      </w:r>
      <w:r w:rsidR="0056724D">
        <w:rPr>
          <w:rFonts w:ascii="Arial" w:hAnsi="Arial" w:cs="Arial"/>
          <w:color w:val="000000"/>
          <w:kern w:val="0"/>
          <w:sz w:val="22"/>
          <w:szCs w:val="22"/>
          <w:u w:color="0B4CB4"/>
        </w:rPr>
        <w:t xml:space="preserve">is </w:t>
      </w:r>
      <w:r w:rsidR="007E57A2" w:rsidRPr="007E57A2">
        <w:rPr>
          <w:rFonts w:ascii="Arial" w:hAnsi="Arial" w:cs="Arial"/>
          <w:color w:val="000000"/>
          <w:kern w:val="0"/>
          <w:sz w:val="22"/>
          <w:szCs w:val="22"/>
          <w:u w:color="0B4CB4"/>
        </w:rPr>
        <w:t xml:space="preserve">required so that a trainer can ensure the trainee is being safe (HSE, 2025). </w:t>
      </w:r>
      <w:r w:rsidR="00080016">
        <w:rPr>
          <w:rFonts w:ascii="Arial" w:hAnsi="Arial" w:cs="Arial"/>
          <w:color w:val="000000"/>
          <w:kern w:val="0"/>
          <w:sz w:val="22"/>
          <w:szCs w:val="22"/>
          <w:u w:color="0B4CB4"/>
        </w:rPr>
        <w:t xml:space="preserve">Costs can be approximately £175 per person (CE Safety, 2026) which is worthwhile. </w:t>
      </w:r>
    </w:p>
    <w:p w14:paraId="531070B6" w14:textId="77777777" w:rsidR="007E286C" w:rsidRPr="007E57A2" w:rsidRDefault="007E286C" w:rsidP="007E286C">
      <w:pPr>
        <w:autoSpaceDE w:val="0"/>
        <w:autoSpaceDN w:val="0"/>
        <w:adjustRightInd w:val="0"/>
        <w:spacing w:after="0" w:line="240" w:lineRule="auto"/>
        <w:rPr>
          <w:rFonts w:ascii="Arial" w:hAnsi="Arial" w:cs="Arial"/>
          <w:i/>
          <w:iCs/>
          <w:color w:val="000000"/>
          <w:kern w:val="0"/>
          <w:sz w:val="22"/>
          <w:szCs w:val="22"/>
          <w:u w:color="0B4CB4"/>
        </w:rPr>
      </w:pPr>
    </w:p>
    <w:p w14:paraId="38C0E935" w14:textId="67F704FF" w:rsidR="007E286C" w:rsidRPr="007E57A2" w:rsidRDefault="007E286C" w:rsidP="003364B2">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Evidence based decisions should be made to inform</w:t>
      </w:r>
      <w:r w:rsidR="003364B2" w:rsidRPr="007E57A2">
        <w:rPr>
          <w:rFonts w:ascii="Arial" w:hAnsi="Arial" w:cs="Arial"/>
          <w:color w:val="000000"/>
          <w:kern w:val="0"/>
          <w:sz w:val="22"/>
          <w:szCs w:val="22"/>
          <w:u w:color="0B4CB4"/>
        </w:rPr>
        <w:t xml:space="preserve"> plans</w:t>
      </w:r>
      <w:r w:rsidRPr="007E57A2">
        <w:rPr>
          <w:rFonts w:ascii="Arial" w:hAnsi="Arial" w:cs="Arial"/>
          <w:color w:val="000000"/>
          <w:kern w:val="0"/>
          <w:sz w:val="22"/>
          <w:szCs w:val="22"/>
          <w:u w:color="0B4CB4"/>
        </w:rPr>
        <w:t xml:space="preserve"> regarding the format and presentation of learning and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can do this by using evidence from the beginning of the </w:t>
      </w:r>
      <w:r w:rsidR="00FA2AD4" w:rsidRPr="007E57A2">
        <w:rPr>
          <w:rFonts w:ascii="Arial" w:hAnsi="Arial" w:cs="Arial"/>
          <w:color w:val="000000"/>
          <w:kern w:val="0"/>
          <w:sz w:val="22"/>
          <w:szCs w:val="22"/>
          <w:u w:color="0B4CB4"/>
        </w:rPr>
        <w:t>decision-making</w:t>
      </w:r>
      <w:r w:rsidR="003364B2" w:rsidRPr="007E57A2">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process (CIPD, 2021).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should consult with key stakeholders and focus on both qualitative and quantitative evidence (CIPD, 2021). </w:t>
      </w:r>
      <w:proofErr w:type="spellStart"/>
      <w:r w:rsidRPr="007E57A2">
        <w:rPr>
          <w:rFonts w:ascii="Arial" w:hAnsi="Arial" w:cs="Arial"/>
          <w:color w:val="000000"/>
          <w:kern w:val="0"/>
          <w:sz w:val="22"/>
          <w:szCs w:val="22"/>
          <w:u w:color="0B4CB4"/>
        </w:rPr>
        <w:t>Technivara</w:t>
      </w:r>
      <w:proofErr w:type="spellEnd"/>
      <w:r w:rsidRPr="007E57A2">
        <w:rPr>
          <w:rFonts w:ascii="Arial" w:hAnsi="Arial" w:cs="Arial"/>
          <w:color w:val="000000"/>
          <w:kern w:val="0"/>
          <w:sz w:val="22"/>
          <w:szCs w:val="22"/>
          <w:u w:color="0B4CB4"/>
        </w:rPr>
        <w:t xml:space="preserve"> </w:t>
      </w:r>
      <w:r w:rsidR="00FA2AD4" w:rsidRPr="007E57A2">
        <w:rPr>
          <w:rFonts w:ascii="Arial" w:hAnsi="Arial" w:cs="Arial"/>
          <w:color w:val="000000"/>
          <w:kern w:val="0"/>
          <w:sz w:val="22"/>
          <w:szCs w:val="22"/>
          <w:u w:color="0B4CB4"/>
        </w:rPr>
        <w:t>are currently</w:t>
      </w:r>
      <w:r w:rsidRPr="007E57A2">
        <w:rPr>
          <w:rFonts w:ascii="Arial" w:hAnsi="Arial" w:cs="Arial"/>
          <w:color w:val="000000"/>
          <w:kern w:val="0"/>
          <w:sz w:val="22"/>
          <w:szCs w:val="22"/>
          <w:u w:color="0B4CB4"/>
        </w:rPr>
        <w:t xml:space="preserve"> working with solely quantitative data in the form of this questionnaire</w:t>
      </w:r>
      <w:r w:rsidR="00FA2AD4" w:rsidRPr="007E57A2">
        <w:rPr>
          <w:rFonts w:ascii="Arial" w:hAnsi="Arial" w:cs="Arial"/>
          <w:color w:val="000000"/>
          <w:kern w:val="0"/>
          <w:sz w:val="22"/>
          <w:szCs w:val="22"/>
          <w:u w:color="0B4CB4"/>
        </w:rPr>
        <w:t xml:space="preserve"> for their L&amp;D strategy</w:t>
      </w:r>
      <w:r w:rsidRPr="007E57A2">
        <w:rPr>
          <w:rFonts w:ascii="Arial" w:hAnsi="Arial" w:cs="Arial"/>
          <w:color w:val="000000"/>
          <w:kern w:val="0"/>
          <w:sz w:val="22"/>
          <w:szCs w:val="22"/>
          <w:u w:color="0B4CB4"/>
        </w:rPr>
        <w:t>, so to incorporate multiple methods would be beneficial</w:t>
      </w:r>
      <w:r w:rsidR="00FA2AD4" w:rsidRPr="007E57A2">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w:t>
      </w:r>
      <w:r w:rsidR="00FA2AD4" w:rsidRPr="007E57A2">
        <w:rPr>
          <w:rFonts w:ascii="Arial" w:hAnsi="Arial" w:cs="Arial"/>
          <w:color w:val="000000"/>
          <w:kern w:val="0"/>
          <w:sz w:val="22"/>
          <w:szCs w:val="22"/>
          <w:u w:color="0B4CB4"/>
        </w:rPr>
        <w:t>They could</w:t>
      </w:r>
      <w:r w:rsidRPr="007E57A2">
        <w:rPr>
          <w:rFonts w:ascii="Arial" w:hAnsi="Arial" w:cs="Arial"/>
          <w:color w:val="000000"/>
          <w:kern w:val="0"/>
          <w:sz w:val="22"/>
          <w:szCs w:val="22"/>
          <w:u w:color="0B4CB4"/>
        </w:rPr>
        <w:t xml:space="preserve"> speak with employees and determine through words what they learnt from the teaching</w:t>
      </w:r>
      <w:r w:rsidR="00FA2AD4" w:rsidRPr="007E57A2">
        <w:rPr>
          <w:rFonts w:ascii="Arial" w:hAnsi="Arial" w:cs="Arial"/>
          <w:color w:val="000000"/>
          <w:kern w:val="0"/>
          <w:sz w:val="22"/>
          <w:szCs w:val="22"/>
          <w:u w:color="0B4CB4"/>
        </w:rPr>
        <w:t xml:space="preserve"> which will provide a better understanding (CIPD, 2021). </w:t>
      </w:r>
      <w:r w:rsidRPr="007E57A2">
        <w:rPr>
          <w:rFonts w:ascii="Arial" w:hAnsi="Arial" w:cs="Arial"/>
          <w:color w:val="000000"/>
          <w:kern w:val="0"/>
          <w:sz w:val="22"/>
          <w:szCs w:val="22"/>
          <w:u w:color="0B4CB4"/>
        </w:rPr>
        <w:t xml:space="preserve">Anecdotal evidence is a powerful tool as it can provide a story of what is going on (CIPD, 2021). </w:t>
      </w:r>
      <w:proofErr w:type="spellStart"/>
      <w:r w:rsidR="00C94089">
        <w:rPr>
          <w:rFonts w:ascii="Arial" w:hAnsi="Arial" w:cs="Arial"/>
          <w:color w:val="000000"/>
          <w:kern w:val="0"/>
          <w:sz w:val="22"/>
          <w:szCs w:val="22"/>
          <w:u w:color="0B4CB4"/>
        </w:rPr>
        <w:lastRenderedPageBreak/>
        <w:t>Technivara</w:t>
      </w:r>
      <w:proofErr w:type="spellEnd"/>
      <w:r w:rsidR="00C94089">
        <w:rPr>
          <w:rFonts w:ascii="Arial" w:hAnsi="Arial" w:cs="Arial"/>
          <w:color w:val="000000"/>
          <w:kern w:val="0"/>
          <w:sz w:val="22"/>
          <w:szCs w:val="22"/>
          <w:u w:color="0B4CB4"/>
        </w:rPr>
        <w:t xml:space="preserve"> in the future could produce a learning needs analysis to determine what exact training is needed at every level which will promote higher performance (CIPD, 2025i). </w:t>
      </w:r>
      <w:proofErr w:type="spellStart"/>
      <w:r w:rsidR="00C94089">
        <w:rPr>
          <w:rFonts w:ascii="Arial" w:hAnsi="Arial" w:cs="Arial"/>
          <w:color w:val="000000"/>
          <w:kern w:val="0"/>
          <w:sz w:val="22"/>
          <w:szCs w:val="22"/>
          <w:u w:color="0B4CB4"/>
        </w:rPr>
        <w:t>Technivara</w:t>
      </w:r>
      <w:proofErr w:type="spellEnd"/>
      <w:r w:rsidR="00C94089">
        <w:rPr>
          <w:rFonts w:ascii="Arial" w:hAnsi="Arial" w:cs="Arial"/>
          <w:color w:val="000000"/>
          <w:kern w:val="0"/>
          <w:sz w:val="22"/>
          <w:szCs w:val="22"/>
          <w:u w:color="0B4CB4"/>
        </w:rPr>
        <w:t xml:space="preserve"> will need to establish their current and future learning needs by consulting with various stakeholders </w:t>
      </w:r>
      <w:r w:rsidR="009E2529">
        <w:rPr>
          <w:rFonts w:ascii="Arial" w:hAnsi="Arial" w:cs="Arial"/>
          <w:color w:val="000000"/>
          <w:kern w:val="0"/>
          <w:sz w:val="22"/>
          <w:szCs w:val="22"/>
          <w:u w:color="0B4CB4"/>
        </w:rPr>
        <w:t>and can use a vast array of data collection tools such as interviews, questionnaires and business documentation (CIPD, 2025i). AI could be incorporated to assist with research though it will need to be ensured that confidentially is upheld (CIPD, 2025i). From this data collection, personal development plans and overall training can be produced (CIPD, 2025i). Gaps in performance can indicate where further training is needed (CIPD, 2025i).</w:t>
      </w:r>
    </w:p>
    <w:p w14:paraId="4ECD47B8" w14:textId="77777777" w:rsidR="007E286C" w:rsidRPr="007E57A2" w:rsidRDefault="007E286C" w:rsidP="007E286C">
      <w:pPr>
        <w:autoSpaceDE w:val="0"/>
        <w:autoSpaceDN w:val="0"/>
        <w:adjustRightInd w:val="0"/>
        <w:spacing w:after="0" w:line="240" w:lineRule="auto"/>
        <w:rPr>
          <w:rFonts w:ascii="Arial" w:hAnsi="Arial" w:cs="Arial"/>
          <w:i/>
          <w:iCs/>
          <w:color w:val="000000"/>
          <w:kern w:val="0"/>
          <w:sz w:val="22"/>
          <w:szCs w:val="22"/>
          <w:u w:color="0B4CB4"/>
        </w:rPr>
      </w:pPr>
    </w:p>
    <w:p w14:paraId="34452C12" w14:textId="77777777" w:rsidR="007E286C" w:rsidRPr="007E57A2" w:rsidRDefault="007E286C" w:rsidP="007E286C">
      <w:pPr>
        <w:autoSpaceDE w:val="0"/>
        <w:autoSpaceDN w:val="0"/>
        <w:adjustRightInd w:val="0"/>
        <w:spacing w:after="0" w:line="240" w:lineRule="auto"/>
        <w:rPr>
          <w:rFonts w:ascii="Arial" w:hAnsi="Arial" w:cs="Arial"/>
          <w:color w:val="000000"/>
          <w:kern w:val="0"/>
          <w:sz w:val="22"/>
          <w:szCs w:val="22"/>
          <w:u w:color="0B4CB4"/>
        </w:rPr>
      </w:pPr>
    </w:p>
    <w:p w14:paraId="5CB87A4A" w14:textId="41D0BFBD"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val="single" w:color="0B4CB4"/>
        </w:rPr>
      </w:pPr>
      <w:r w:rsidRPr="007E57A2">
        <w:rPr>
          <w:rFonts w:ascii="Arial" w:hAnsi="Arial" w:cs="Arial"/>
          <w:b/>
          <w:bCs/>
          <w:color w:val="000000"/>
          <w:kern w:val="0"/>
          <w:sz w:val="22"/>
          <w:szCs w:val="22"/>
          <w:u w:val="single" w:color="0B4CB4"/>
        </w:rPr>
        <w:t>Reference</w:t>
      </w:r>
      <w:r w:rsidR="007E57A2">
        <w:rPr>
          <w:rFonts w:ascii="Arial" w:hAnsi="Arial" w:cs="Arial"/>
          <w:b/>
          <w:bCs/>
          <w:color w:val="000000"/>
          <w:kern w:val="0"/>
          <w:sz w:val="22"/>
          <w:szCs w:val="22"/>
          <w:u w:val="single" w:color="0B4CB4"/>
        </w:rPr>
        <w:t xml:space="preserve"> </w:t>
      </w:r>
      <w:r w:rsidRPr="007E57A2">
        <w:rPr>
          <w:rFonts w:ascii="Arial" w:hAnsi="Arial" w:cs="Arial"/>
          <w:b/>
          <w:bCs/>
          <w:color w:val="000000"/>
          <w:kern w:val="0"/>
          <w:sz w:val="22"/>
          <w:szCs w:val="22"/>
          <w:u w:val="single" w:color="0B4CB4"/>
        </w:rPr>
        <w:t>List</w:t>
      </w:r>
    </w:p>
    <w:p w14:paraId="2C385B3A" w14:textId="77777777" w:rsidR="007E286C" w:rsidRPr="007E57A2" w:rsidRDefault="007E286C" w:rsidP="007E286C">
      <w:pPr>
        <w:autoSpaceDE w:val="0"/>
        <w:autoSpaceDN w:val="0"/>
        <w:adjustRightInd w:val="0"/>
        <w:spacing w:after="0" w:line="240" w:lineRule="auto"/>
        <w:rPr>
          <w:rFonts w:ascii="Arial" w:hAnsi="Arial" w:cs="Arial"/>
          <w:b/>
          <w:bCs/>
          <w:color w:val="000000"/>
          <w:kern w:val="0"/>
          <w:sz w:val="22"/>
          <w:szCs w:val="22"/>
          <w:u w:val="single" w:color="0B4CB4"/>
        </w:rPr>
      </w:pPr>
    </w:p>
    <w:p w14:paraId="09107A9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Adam, F., Kuchta, D., and Stanek, S. (2022)</w:t>
      </w:r>
      <w:r w:rsidRPr="007E57A2">
        <w:rPr>
          <w:rFonts w:ascii="Arial" w:hAnsi="Arial" w:cs="Arial"/>
          <w:i/>
          <w:iCs/>
          <w:color w:val="000000"/>
          <w:kern w:val="0"/>
          <w:sz w:val="22"/>
          <w:szCs w:val="22"/>
          <w:u w:color="0B4CB4"/>
        </w:rPr>
        <w:t xml:space="preserve"> Rational Decisions in Organisations: Theoretical and Practical Aspects</w:t>
      </w:r>
      <w:r w:rsidRPr="007E57A2">
        <w:rPr>
          <w:rFonts w:ascii="Arial" w:hAnsi="Arial" w:cs="Arial"/>
          <w:color w:val="000000"/>
          <w:kern w:val="0"/>
          <w:sz w:val="22"/>
          <w:szCs w:val="22"/>
          <w:u w:color="0B4CB4"/>
        </w:rPr>
        <w:t xml:space="preserve">. Auerbach Publications. </w:t>
      </w:r>
    </w:p>
    <w:p w14:paraId="583BC76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85C838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Ahmed, F., et al. (2025</w:t>
      </w:r>
      <w:proofErr w:type="gramStart"/>
      <w:r w:rsidRPr="007E57A2">
        <w:rPr>
          <w:rFonts w:ascii="Arial" w:hAnsi="Arial" w:cs="Arial"/>
          <w:color w:val="000000"/>
          <w:kern w:val="0"/>
          <w:sz w:val="22"/>
          <w:szCs w:val="22"/>
          <w:u w:color="0B4CB4"/>
        </w:rPr>
        <w:t>)  Strategic</w:t>
      </w:r>
      <w:proofErr w:type="gramEnd"/>
      <w:r w:rsidRPr="007E57A2">
        <w:rPr>
          <w:rFonts w:ascii="Arial" w:hAnsi="Arial" w:cs="Arial"/>
          <w:color w:val="000000"/>
          <w:kern w:val="0"/>
          <w:sz w:val="22"/>
          <w:szCs w:val="22"/>
          <w:u w:color="0B4CB4"/>
        </w:rPr>
        <w:t xml:space="preserve"> Role of Job Analysis in Enhancing Human Resource Management Practices: A Case Study Approach. Pac J Bus </w:t>
      </w:r>
      <w:proofErr w:type="spellStart"/>
      <w:r w:rsidRPr="007E57A2">
        <w:rPr>
          <w:rFonts w:ascii="Arial" w:hAnsi="Arial" w:cs="Arial"/>
          <w:color w:val="000000"/>
          <w:kern w:val="0"/>
          <w:sz w:val="22"/>
          <w:szCs w:val="22"/>
          <w:u w:color="0B4CB4"/>
        </w:rPr>
        <w:t>Innov</w:t>
      </w:r>
      <w:proofErr w:type="spellEnd"/>
      <w:r w:rsidRPr="007E57A2">
        <w:rPr>
          <w:rFonts w:ascii="Arial" w:hAnsi="Arial" w:cs="Arial"/>
          <w:color w:val="000000"/>
          <w:kern w:val="0"/>
          <w:sz w:val="22"/>
          <w:szCs w:val="22"/>
          <w:u w:color="0B4CB4"/>
        </w:rPr>
        <w:t xml:space="preserve"> </w:t>
      </w:r>
      <w:proofErr w:type="spellStart"/>
      <w:r w:rsidRPr="007E57A2">
        <w:rPr>
          <w:rFonts w:ascii="Arial" w:hAnsi="Arial" w:cs="Arial"/>
          <w:color w:val="000000"/>
          <w:kern w:val="0"/>
          <w:sz w:val="22"/>
          <w:szCs w:val="22"/>
          <w:u w:color="0B4CB4"/>
        </w:rPr>
        <w:t>Strateg</w:t>
      </w:r>
      <w:proofErr w:type="spellEnd"/>
      <w:r w:rsidRPr="007E57A2">
        <w:rPr>
          <w:rFonts w:ascii="Arial" w:hAnsi="Arial" w:cs="Arial"/>
          <w:color w:val="000000"/>
          <w:kern w:val="0"/>
          <w:sz w:val="22"/>
          <w:szCs w:val="22"/>
          <w:u w:color="0B4CB4"/>
        </w:rPr>
        <w:t>, 2 (2), 5-10.</w:t>
      </w:r>
    </w:p>
    <w:p w14:paraId="602E506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i/>
          <w:iCs/>
          <w:color w:val="000000"/>
          <w:kern w:val="0"/>
          <w:sz w:val="22"/>
          <w:szCs w:val="22"/>
          <w:u w:color="0B4CB4"/>
        </w:rPr>
        <w:t> </w:t>
      </w:r>
    </w:p>
    <w:p w14:paraId="6BCF0CA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Barends, E., Rousseau, D.M., and Briner, R.B</w:t>
      </w:r>
      <w:r w:rsidRPr="007E57A2">
        <w:rPr>
          <w:rFonts w:ascii="Arial" w:hAnsi="Arial" w:cs="Arial"/>
          <w:i/>
          <w:iCs/>
          <w:color w:val="000000"/>
          <w:kern w:val="0"/>
          <w:sz w:val="22"/>
          <w:szCs w:val="22"/>
          <w:u w:color="0B4CB4"/>
        </w:rPr>
        <w:t xml:space="preserve"> (2014). Evidence-Based Management: The Basic Principles</w:t>
      </w:r>
      <w:r w:rsidRPr="007E57A2">
        <w:rPr>
          <w:rFonts w:ascii="Arial" w:hAnsi="Arial" w:cs="Arial"/>
          <w:color w:val="000000"/>
          <w:kern w:val="0"/>
          <w:sz w:val="22"/>
          <w:szCs w:val="22"/>
          <w:u w:color="0B4CB4"/>
        </w:rPr>
        <w:t xml:space="preserve">. Amsterdam: </w:t>
      </w:r>
      <w:proofErr w:type="spellStart"/>
      <w:r w:rsidRPr="007E57A2">
        <w:rPr>
          <w:rFonts w:ascii="Arial" w:hAnsi="Arial" w:cs="Arial"/>
          <w:color w:val="000000"/>
          <w:kern w:val="0"/>
          <w:sz w:val="22"/>
          <w:szCs w:val="22"/>
          <w:u w:color="0B4CB4"/>
        </w:rPr>
        <w:t>Center</w:t>
      </w:r>
      <w:proofErr w:type="spellEnd"/>
      <w:r w:rsidRPr="007E57A2">
        <w:rPr>
          <w:rFonts w:ascii="Arial" w:hAnsi="Arial" w:cs="Arial"/>
          <w:color w:val="000000"/>
          <w:kern w:val="0"/>
          <w:sz w:val="22"/>
          <w:szCs w:val="22"/>
          <w:u w:color="0B4CB4"/>
        </w:rPr>
        <w:t xml:space="preserve"> for Evidence-Based Management. </w:t>
      </w:r>
    </w:p>
    <w:p w14:paraId="01264ED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5AA9F70"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Boudreau, John W. (1990) ‘Cost-Benefit" Analysis Applied to Personnel/Human Resource Management Decisions’. </w:t>
      </w:r>
      <w:r w:rsidRPr="007E57A2">
        <w:rPr>
          <w:rFonts w:ascii="Arial" w:hAnsi="Arial" w:cs="Arial"/>
          <w:i/>
          <w:iCs/>
          <w:color w:val="000000"/>
          <w:kern w:val="0"/>
          <w:sz w:val="22"/>
          <w:szCs w:val="22"/>
          <w:u w:color="0B4CB4"/>
        </w:rPr>
        <w:t>CAHRS Working Paper Series.</w:t>
      </w:r>
      <w:r w:rsidRPr="007E57A2">
        <w:rPr>
          <w:rFonts w:ascii="Arial" w:hAnsi="Arial" w:cs="Arial"/>
          <w:color w:val="000000"/>
          <w:kern w:val="0"/>
          <w:sz w:val="22"/>
          <w:szCs w:val="22"/>
          <w:u w:color="0B4CB4"/>
        </w:rPr>
        <w:t xml:space="preserve"> Paper 383.</w:t>
      </w:r>
    </w:p>
    <w:p w14:paraId="6DB35AA9"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p>
    <w:p w14:paraId="14A9FBEF"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Briner, R. (2007) ‘Is HRM evidence-based and does it matter?’,</w:t>
      </w:r>
      <w:r w:rsidRPr="007E57A2">
        <w:rPr>
          <w:rFonts w:ascii="Arial" w:hAnsi="Arial" w:cs="Arial"/>
          <w:i/>
          <w:iCs/>
          <w:color w:val="000000"/>
          <w:kern w:val="0"/>
          <w:sz w:val="22"/>
          <w:szCs w:val="22"/>
          <w:u w:color="0B4CB4"/>
        </w:rPr>
        <w:t xml:space="preserve"> Institute for Employment Studies</w:t>
      </w:r>
      <w:r w:rsidRPr="007E57A2">
        <w:rPr>
          <w:rFonts w:ascii="Arial" w:hAnsi="Arial" w:cs="Arial"/>
          <w:color w:val="000000"/>
          <w:kern w:val="0"/>
          <w:sz w:val="22"/>
          <w:szCs w:val="22"/>
          <w:u w:color="0B4CB4"/>
        </w:rPr>
        <w:t xml:space="preserve">, Opinion Paper OP6. </w:t>
      </w:r>
      <w:hyperlink r:id="rId10" w:history="1">
        <w:r w:rsidRPr="007E57A2">
          <w:rPr>
            <w:rFonts w:ascii="Arial" w:hAnsi="Arial" w:cs="Arial"/>
            <w:color w:val="000000"/>
            <w:kern w:val="0"/>
            <w:sz w:val="22"/>
            <w:szCs w:val="22"/>
            <w:u w:val="single" w:color="0B4CB4"/>
          </w:rPr>
          <w:t>https://www.employment-studies.co.uk/system/files/resources/files/op6.pdf</w:t>
        </w:r>
      </w:hyperlink>
      <w:r w:rsidRPr="007E57A2">
        <w:rPr>
          <w:rFonts w:ascii="Arial" w:hAnsi="Arial" w:cs="Arial"/>
          <w:color w:val="000000"/>
          <w:kern w:val="0"/>
          <w:sz w:val="22"/>
          <w:szCs w:val="22"/>
          <w:u w:color="0B4CB4"/>
        </w:rPr>
        <w:t xml:space="preserve"> </w:t>
      </w:r>
    </w:p>
    <w:p w14:paraId="5832C0F0"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p>
    <w:p w14:paraId="2E208B1C" w14:textId="62A10F0B"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Briner, R. (2015) ‘What's the evidence for... performance management?’</w:t>
      </w:r>
      <w:r w:rsidR="00010F60">
        <w:rPr>
          <w:rFonts w:ascii="Arial" w:hAnsi="Arial" w:cs="Arial"/>
          <w:color w:val="000000"/>
          <w:kern w:val="0"/>
          <w:sz w:val="22"/>
          <w:szCs w:val="22"/>
          <w:u w:color="0B4CB4"/>
        </w:rPr>
        <w:t xml:space="preserve"> Available at: </w:t>
      </w:r>
      <w:hyperlink r:id="rId11" w:history="1">
        <w:r w:rsidR="00010F60" w:rsidRPr="00A5288F">
          <w:rPr>
            <w:rStyle w:val="Hyperlink"/>
            <w:rFonts w:ascii="Arial" w:hAnsi="Arial" w:cs="Arial"/>
            <w:kern w:val="0"/>
            <w:sz w:val="22"/>
            <w:szCs w:val="22"/>
          </w:rPr>
          <w:t>https://www.hrmagazine.co.uk/content/features/whats-the-evidence-for-performance-management</w:t>
        </w:r>
      </w:hyperlink>
      <w:r w:rsidR="00010F60">
        <w:rPr>
          <w:rFonts w:ascii="Arial" w:hAnsi="Arial" w:cs="Arial"/>
          <w:color w:val="000000"/>
          <w:kern w:val="0"/>
          <w:sz w:val="22"/>
          <w:szCs w:val="22"/>
          <w:u w:val="single" w:color="0B4CB4"/>
        </w:rPr>
        <w:t xml:space="preserve"> </w:t>
      </w:r>
      <w:r w:rsidR="00010F60">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18 January 2026</w:t>
      </w:r>
      <w:r w:rsidR="00010F60">
        <w:rPr>
          <w:rFonts w:ascii="Arial" w:hAnsi="Arial" w:cs="Arial"/>
          <w:color w:val="000000"/>
          <w:kern w:val="0"/>
          <w:sz w:val="22"/>
          <w:szCs w:val="22"/>
          <w:u w:color="0B4CB4"/>
        </w:rPr>
        <w:t xml:space="preserve">). </w:t>
      </w:r>
    </w:p>
    <w:p w14:paraId="3185756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67F6E90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Buchanan, D.A., and Huczynski, A.A. (2023</w:t>
      </w:r>
      <w:r w:rsidRPr="007E57A2">
        <w:rPr>
          <w:rFonts w:ascii="Arial" w:hAnsi="Arial" w:cs="Arial"/>
          <w:i/>
          <w:iCs/>
          <w:color w:val="000000"/>
          <w:kern w:val="0"/>
          <w:sz w:val="22"/>
          <w:szCs w:val="22"/>
          <w:u w:color="0B4CB4"/>
        </w:rPr>
        <w:t>) Organisational Behaviour,</w:t>
      </w:r>
      <w:r w:rsidRPr="007E57A2">
        <w:rPr>
          <w:rFonts w:ascii="Arial" w:hAnsi="Arial" w:cs="Arial"/>
          <w:color w:val="000000"/>
          <w:kern w:val="0"/>
          <w:sz w:val="22"/>
          <w:szCs w:val="22"/>
          <w:u w:color="0B4CB4"/>
        </w:rPr>
        <w:t xml:space="preserve"> Pearson Education. </w:t>
      </w:r>
    </w:p>
    <w:p w14:paraId="0655C8B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4021044" w14:textId="0334BCE3"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CBI (2025) </w:t>
      </w:r>
      <w:r w:rsidRPr="007E57A2">
        <w:rPr>
          <w:rFonts w:ascii="Arial" w:hAnsi="Arial" w:cs="Arial"/>
          <w:i/>
          <w:iCs/>
          <w:color w:val="000000"/>
          <w:kern w:val="0"/>
          <w:sz w:val="22"/>
          <w:szCs w:val="22"/>
          <w:u w:color="0B4CB4"/>
        </w:rPr>
        <w:t>UK manufacturing struggles to regain momentum as cost pressures mount and orders remain weak - CBI Industrial Trends Survey</w:t>
      </w:r>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Available at:</w:t>
      </w:r>
      <w:r w:rsidRPr="007E57A2">
        <w:rPr>
          <w:rFonts w:ascii="Arial" w:hAnsi="Arial" w:cs="Arial"/>
          <w:i/>
          <w:iCs/>
          <w:color w:val="000000"/>
          <w:kern w:val="0"/>
          <w:sz w:val="22"/>
          <w:szCs w:val="22"/>
          <w:u w:color="0B4CB4"/>
        </w:rPr>
        <w:t xml:space="preserve"> </w:t>
      </w:r>
      <w:hyperlink r:id="rId12" w:history="1">
        <w:r w:rsidRPr="007E57A2">
          <w:rPr>
            <w:rFonts w:ascii="Arial" w:hAnsi="Arial" w:cs="Arial"/>
            <w:color w:val="000000"/>
            <w:kern w:val="0"/>
            <w:sz w:val="22"/>
            <w:szCs w:val="22"/>
            <w:u w:val="single" w:color="0B4CB4"/>
          </w:rPr>
          <w:t>https://www.cbi.org.uk/media-centre/articles/uk-manufacturing-struggles-to-regain-momentum-as-cost-pressures-mount-and-orders-remain-weak-cbi-industrial-trends-survey-july-2025/</w:t>
        </w:r>
      </w:hyperlink>
      <w:r w:rsidR="00010F60">
        <w:rPr>
          <w:rFonts w:ascii="Arial" w:hAnsi="Arial" w:cs="Arial"/>
          <w:color w:val="000000"/>
          <w:kern w:val="0"/>
          <w:sz w:val="22"/>
          <w:szCs w:val="22"/>
          <w:u w:color="0B4CB4"/>
        </w:rPr>
        <w:t xml:space="preserve">. (Accessed 25 January 2026). </w:t>
      </w:r>
    </w:p>
    <w:p w14:paraId="7E36B6D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41295BB" w14:textId="79122354" w:rsidR="007E286C"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color w:val="000000"/>
          <w:kern w:val="0"/>
          <w:sz w:val="22"/>
          <w:szCs w:val="22"/>
          <w:u w:color="0B4CB4"/>
        </w:rPr>
        <w:t xml:space="preserve">CEBMA (2026) </w:t>
      </w:r>
      <w:r w:rsidRPr="007E57A2">
        <w:rPr>
          <w:rFonts w:ascii="Arial" w:hAnsi="Arial" w:cs="Arial"/>
          <w:i/>
          <w:iCs/>
          <w:color w:val="000000"/>
          <w:kern w:val="0"/>
          <w:sz w:val="22"/>
          <w:szCs w:val="22"/>
          <w:u w:color="0B4CB4"/>
        </w:rPr>
        <w:t>What are the limitations of evidence based practice?</w:t>
      </w:r>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Available at:</w:t>
      </w:r>
      <w:r w:rsidRPr="007E57A2">
        <w:rPr>
          <w:rFonts w:ascii="Arial" w:hAnsi="Arial" w:cs="Arial"/>
          <w:i/>
          <w:iCs/>
          <w:color w:val="000000"/>
          <w:kern w:val="0"/>
          <w:sz w:val="22"/>
          <w:szCs w:val="22"/>
          <w:u w:color="0B4CB4"/>
        </w:rPr>
        <w:t xml:space="preserve"> </w:t>
      </w:r>
      <w:hyperlink r:id="rId13" w:history="1">
        <w:r w:rsidRPr="007E57A2">
          <w:rPr>
            <w:rFonts w:ascii="Arial" w:hAnsi="Arial" w:cs="Arial"/>
            <w:color w:val="000000"/>
            <w:kern w:val="0"/>
            <w:sz w:val="22"/>
            <w:szCs w:val="22"/>
            <w:u w:color="0B4CB4"/>
          </w:rPr>
          <w:t>https://cebma.org/resources/frequently-asked-questions/what-are-the-limitations-of-evidence-based-practice/</w:t>
        </w:r>
      </w:hyperlink>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(Accessed: 5 January 2026).</w:t>
      </w:r>
      <w:r w:rsidR="00010F60">
        <w:rPr>
          <w:rFonts w:ascii="Arial" w:hAnsi="Arial" w:cs="Arial"/>
          <w:i/>
          <w:iCs/>
          <w:color w:val="000000"/>
          <w:kern w:val="0"/>
          <w:sz w:val="22"/>
          <w:szCs w:val="22"/>
          <w:u w:color="0B4CB4"/>
        </w:rPr>
        <w:t xml:space="preserve"> </w:t>
      </w:r>
    </w:p>
    <w:p w14:paraId="6D87B71F" w14:textId="77777777" w:rsidR="00C308BD" w:rsidRDefault="00C308BD"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498CC887" w14:textId="04B8B099" w:rsidR="00C308BD" w:rsidRPr="00C308BD" w:rsidRDefault="00C308BD" w:rsidP="00DB0EF9">
      <w:pPr>
        <w:autoSpaceDE w:val="0"/>
        <w:autoSpaceDN w:val="0"/>
        <w:adjustRightInd w:val="0"/>
        <w:spacing w:after="0" w:line="240" w:lineRule="auto"/>
        <w:jc w:val="both"/>
        <w:rPr>
          <w:rFonts w:ascii="Arial" w:hAnsi="Arial" w:cs="Arial"/>
          <w:color w:val="000000"/>
          <w:kern w:val="0"/>
          <w:sz w:val="22"/>
          <w:szCs w:val="22"/>
          <w:u w:color="0B4CB4"/>
        </w:rPr>
      </w:pPr>
      <w:r w:rsidRPr="0024043C">
        <w:rPr>
          <w:rFonts w:ascii="Arial" w:hAnsi="Arial" w:cs="Arial"/>
          <w:color w:val="000000"/>
          <w:kern w:val="0"/>
          <w:sz w:val="22"/>
          <w:szCs w:val="22"/>
          <w:u w:color="0B4CB4"/>
        </w:rPr>
        <w:t>CE Safety</w:t>
      </w:r>
      <w:r>
        <w:rPr>
          <w:rFonts w:ascii="Arial" w:hAnsi="Arial" w:cs="Arial"/>
          <w:i/>
          <w:iCs/>
          <w:color w:val="000000"/>
          <w:kern w:val="0"/>
          <w:sz w:val="22"/>
          <w:szCs w:val="22"/>
          <w:u w:color="0B4CB4"/>
        </w:rPr>
        <w:t xml:space="preserve"> </w:t>
      </w:r>
      <w:r w:rsidRPr="00C919A3">
        <w:rPr>
          <w:rFonts w:ascii="Arial" w:hAnsi="Arial" w:cs="Arial"/>
          <w:color w:val="000000"/>
          <w:kern w:val="0"/>
          <w:sz w:val="22"/>
          <w:szCs w:val="22"/>
          <w:u w:color="0B4CB4"/>
        </w:rPr>
        <w:t xml:space="preserve">(2026) </w:t>
      </w:r>
      <w:r w:rsidRPr="00C308BD">
        <w:rPr>
          <w:rFonts w:ascii="Arial" w:hAnsi="Arial" w:cs="Arial"/>
          <w:i/>
          <w:iCs/>
          <w:color w:val="000000"/>
          <w:kern w:val="0"/>
          <w:sz w:val="22"/>
          <w:szCs w:val="22"/>
          <w:u w:color="0B4CB4"/>
        </w:rPr>
        <w:t>Manual Handling Training</w:t>
      </w:r>
      <w:r>
        <w:rPr>
          <w:rFonts w:ascii="Arial" w:hAnsi="Arial" w:cs="Arial"/>
          <w:i/>
          <w:iCs/>
          <w:color w:val="000000"/>
          <w:kern w:val="0"/>
          <w:sz w:val="22"/>
          <w:szCs w:val="22"/>
          <w:u w:color="0B4CB4"/>
        </w:rPr>
        <w:t xml:space="preserve">. </w:t>
      </w:r>
      <w:r w:rsidRPr="00C308BD">
        <w:rPr>
          <w:rFonts w:ascii="Arial" w:hAnsi="Arial" w:cs="Arial"/>
          <w:color w:val="000000"/>
          <w:kern w:val="0"/>
          <w:sz w:val="22"/>
          <w:szCs w:val="22"/>
          <w:u w:color="0B4CB4"/>
        </w:rPr>
        <w:t xml:space="preserve">Available at </w:t>
      </w:r>
      <w:hyperlink r:id="rId14" w:history="1">
        <w:r w:rsidRPr="00C308BD">
          <w:rPr>
            <w:rStyle w:val="Hyperlink"/>
            <w:rFonts w:ascii="Arial" w:hAnsi="Arial" w:cs="Arial"/>
            <w:kern w:val="0"/>
            <w:sz w:val="22"/>
            <w:szCs w:val="22"/>
          </w:rPr>
          <w:t>https://cesafety.co.uk/training-courses/manual-handling-courses/3-hour-manual-handling-training/</w:t>
        </w:r>
      </w:hyperlink>
      <w:r w:rsidRPr="00C308BD">
        <w:rPr>
          <w:rFonts w:ascii="Arial" w:hAnsi="Arial" w:cs="Arial"/>
          <w:color w:val="000000"/>
          <w:kern w:val="0"/>
          <w:sz w:val="22"/>
          <w:szCs w:val="22"/>
          <w:u w:color="0B4CB4"/>
        </w:rPr>
        <w:t xml:space="preserve">. (Accessed: 30 January 2026). </w:t>
      </w:r>
    </w:p>
    <w:p w14:paraId="2806DF0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AA7F7CD" w14:textId="156F47AE"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(2015) Ethical decision-making: Eight perspectives on workplace dilemmas </w:t>
      </w:r>
      <w:hyperlink r:id="rId15" w:history="1">
        <w:r w:rsidRPr="007E57A2">
          <w:rPr>
            <w:rFonts w:ascii="Arial" w:hAnsi="Arial" w:cs="Arial"/>
            <w:color w:val="000000"/>
            <w:kern w:val="0"/>
            <w:sz w:val="22"/>
            <w:szCs w:val="22"/>
            <w:u w:color="0B4CB4"/>
          </w:rPr>
          <w:t>https://www.cipd.org/globalassets/media/comms/the-people-profession/profession-map-pdfs/ethical-decision-making-2015-eight-perspectives-on-workplace-dilemmas_tcm29-9564.pdf</w:t>
        </w:r>
      </w:hyperlink>
      <w:r w:rsidRPr="007E57A2">
        <w:rPr>
          <w:rFonts w:ascii="Arial" w:hAnsi="Arial" w:cs="Arial"/>
          <w:color w:val="000000"/>
          <w:kern w:val="0"/>
          <w:sz w:val="22"/>
          <w:szCs w:val="22"/>
          <w:u w:color="0B4CB4"/>
        </w:rPr>
        <w:t xml:space="preserve"> </w:t>
      </w:r>
      <w:r w:rsidR="00C919A3">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29 January 2026</w:t>
      </w:r>
      <w:r w:rsidR="00C919A3">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w:t>
      </w:r>
    </w:p>
    <w:p w14:paraId="08DA338A" w14:textId="77777777" w:rsidR="007E286C" w:rsidRPr="007E57A2" w:rsidRDefault="007E286C" w:rsidP="00DB0EF9">
      <w:pPr>
        <w:autoSpaceDE w:val="0"/>
        <w:autoSpaceDN w:val="0"/>
        <w:adjustRightInd w:val="0"/>
        <w:spacing w:after="0" w:line="240" w:lineRule="auto"/>
        <w:jc w:val="both"/>
        <w:rPr>
          <w:rFonts w:ascii="Arial" w:hAnsi="Arial" w:cs="Arial"/>
          <w:color w:val="0B4CB4"/>
          <w:kern w:val="0"/>
          <w:sz w:val="22"/>
          <w:szCs w:val="22"/>
          <w:u w:val="single" w:color="0B4CB4"/>
        </w:rPr>
      </w:pPr>
    </w:p>
    <w:p w14:paraId="35F7F439" w14:textId="77777777" w:rsidR="007E286C" w:rsidRPr="007E57A2" w:rsidRDefault="007E286C" w:rsidP="00DB0EF9">
      <w:pPr>
        <w:autoSpaceDE w:val="0"/>
        <w:autoSpaceDN w:val="0"/>
        <w:adjustRightInd w:val="0"/>
        <w:spacing w:after="0" w:line="240" w:lineRule="auto"/>
        <w:jc w:val="both"/>
        <w:rPr>
          <w:rFonts w:ascii="Arial" w:hAnsi="Arial" w:cs="Arial"/>
          <w:color w:val="0B4CB4"/>
          <w:kern w:val="0"/>
          <w:sz w:val="22"/>
          <w:szCs w:val="22"/>
          <w:u w:val="single" w:color="0B4CB4"/>
        </w:rPr>
      </w:pPr>
    </w:p>
    <w:p w14:paraId="0461064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(2019) </w:t>
      </w:r>
      <w:r w:rsidRPr="007E57A2">
        <w:rPr>
          <w:rFonts w:ascii="Arial" w:hAnsi="Arial" w:cs="Arial"/>
          <w:i/>
          <w:iCs/>
          <w:color w:val="000000"/>
          <w:kern w:val="0"/>
          <w:sz w:val="22"/>
          <w:szCs w:val="22"/>
          <w:u w:color="0B4CB4"/>
        </w:rPr>
        <w:t xml:space="preserve">Critical thinking. </w:t>
      </w:r>
      <w:r w:rsidRPr="007E57A2">
        <w:rPr>
          <w:rFonts w:ascii="Arial" w:hAnsi="Arial" w:cs="Arial"/>
          <w:color w:val="000000"/>
          <w:kern w:val="0"/>
          <w:sz w:val="22"/>
          <w:szCs w:val="22"/>
          <w:u w:color="0B4CB4"/>
        </w:rPr>
        <w:t xml:space="preserve">Available at: </w:t>
      </w:r>
      <w:hyperlink r:id="rId16" w:history="1">
        <w:r w:rsidRPr="007E57A2">
          <w:rPr>
            <w:rFonts w:ascii="Arial" w:hAnsi="Arial" w:cs="Arial"/>
            <w:color w:val="0B4CB4"/>
            <w:kern w:val="0"/>
            <w:sz w:val="22"/>
            <w:szCs w:val="22"/>
            <w:u w:val="single" w:color="0B4CB4"/>
          </w:rPr>
          <w:t>https://www.cipd.org/uk/knowledge/podcasts/critical-thinking/</w:t>
        </w:r>
      </w:hyperlink>
      <w:r w:rsidRPr="007E57A2">
        <w:rPr>
          <w:rFonts w:ascii="Arial" w:hAnsi="Arial" w:cs="Arial"/>
          <w:color w:val="000000"/>
          <w:kern w:val="0"/>
          <w:sz w:val="22"/>
          <w:szCs w:val="22"/>
          <w:u w:color="0B4CB4"/>
        </w:rPr>
        <w:t xml:space="preserve">. (Accessed: 23 December 2025) </w:t>
      </w:r>
    </w:p>
    <w:p w14:paraId="193B786A"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1987361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(2021) </w:t>
      </w:r>
      <w:r w:rsidRPr="007E57A2">
        <w:rPr>
          <w:rFonts w:ascii="Arial" w:hAnsi="Arial" w:cs="Arial"/>
          <w:i/>
          <w:iCs/>
          <w:color w:val="000000"/>
          <w:kern w:val="0"/>
          <w:sz w:val="22"/>
          <w:szCs w:val="22"/>
          <w:u w:color="0B4CB4"/>
        </w:rPr>
        <w:t xml:space="preserve">Learning and Skills at Work Survey 2021. </w:t>
      </w:r>
      <w:r w:rsidRPr="00010F60">
        <w:rPr>
          <w:rFonts w:ascii="Arial" w:hAnsi="Arial" w:cs="Arial"/>
          <w:color w:val="000000"/>
          <w:kern w:val="0"/>
          <w:sz w:val="22"/>
          <w:szCs w:val="22"/>
          <w:u w:color="0B4CB4"/>
        </w:rPr>
        <w:t>Available at:</w:t>
      </w:r>
      <w:r w:rsidRPr="007E57A2">
        <w:rPr>
          <w:rFonts w:ascii="Arial" w:hAnsi="Arial" w:cs="Arial"/>
          <w:i/>
          <w:iCs/>
          <w:color w:val="000000"/>
          <w:kern w:val="0"/>
          <w:sz w:val="22"/>
          <w:szCs w:val="22"/>
          <w:u w:color="0B4CB4"/>
        </w:rPr>
        <w:t xml:space="preserve">  </w:t>
      </w:r>
      <w:hyperlink r:id="rId17" w:history="1">
        <w:r w:rsidRPr="007E57A2">
          <w:rPr>
            <w:rFonts w:ascii="Arial" w:hAnsi="Arial" w:cs="Arial"/>
            <w:color w:val="000000"/>
            <w:kern w:val="0"/>
            <w:sz w:val="22"/>
            <w:szCs w:val="22"/>
            <w:u w:val="single" w:color="0B4CB4"/>
          </w:rPr>
          <w:t>https://www.cipd.org/globalassets/media/comms/news/as2learning-skills-work-report-2021-1_tcm18-95433.pdf</w:t>
        </w:r>
      </w:hyperlink>
      <w:r w:rsidRPr="007E57A2">
        <w:rPr>
          <w:rFonts w:ascii="Arial" w:hAnsi="Arial" w:cs="Arial"/>
          <w:color w:val="000000"/>
          <w:kern w:val="0"/>
          <w:sz w:val="22"/>
          <w:szCs w:val="22"/>
          <w:u w:color="0B4CB4"/>
        </w:rPr>
        <w:t xml:space="preserve">. (Accessed: 15 January 2026). </w:t>
      </w:r>
    </w:p>
    <w:p w14:paraId="7332604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EA35FEC" w14:textId="543947A1" w:rsidR="007E286C" w:rsidRPr="00010F60"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(2021b) </w:t>
      </w:r>
      <w:r w:rsidRPr="007E57A2">
        <w:rPr>
          <w:rFonts w:ascii="Arial" w:hAnsi="Arial" w:cs="Arial"/>
          <w:i/>
          <w:iCs/>
          <w:color w:val="000000"/>
          <w:kern w:val="0"/>
          <w:sz w:val="22"/>
          <w:szCs w:val="22"/>
          <w:u w:color="0B4CB4"/>
        </w:rPr>
        <w:t>Learning and Skills at Work 2021: Can Studies</w:t>
      </w:r>
      <w:r w:rsidR="00010F60">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Available at:</w:t>
      </w:r>
      <w:r w:rsidR="00010F60" w:rsidRPr="007E57A2">
        <w:rPr>
          <w:rFonts w:ascii="Arial" w:hAnsi="Arial" w:cs="Arial"/>
          <w:i/>
          <w:iCs/>
          <w:color w:val="000000"/>
          <w:kern w:val="0"/>
          <w:sz w:val="22"/>
          <w:szCs w:val="22"/>
          <w:u w:color="0B4CB4"/>
        </w:rPr>
        <w:t xml:space="preserve">  </w:t>
      </w:r>
      <w:hyperlink r:id="rId18" w:history="1">
        <w:r w:rsidR="00010F60" w:rsidRPr="00A5288F">
          <w:rPr>
            <w:rStyle w:val="Hyperlink"/>
            <w:rFonts w:ascii="Arial" w:hAnsi="Arial" w:cs="Arial"/>
            <w:kern w:val="0"/>
            <w:sz w:val="22"/>
            <w:szCs w:val="22"/>
          </w:rPr>
          <w:t>https://www.cipd.org/globalassets/media/comms/news/as22learning-skills-work-case-study-2021-1_tcm18-95434.pdf</w:t>
        </w:r>
      </w:hyperlink>
      <w:r w:rsidR="00010F60">
        <w:rPr>
          <w:rFonts w:ascii="Arial" w:hAnsi="Arial" w:cs="Arial"/>
          <w:color w:val="000000"/>
          <w:kern w:val="0"/>
          <w:sz w:val="22"/>
          <w:szCs w:val="22"/>
          <w:u w:val="single" w:color="0B4CB4"/>
        </w:rPr>
        <w:t xml:space="preserve"> </w:t>
      </w:r>
      <w:r w:rsidR="00010F60" w:rsidRPr="007E57A2">
        <w:rPr>
          <w:rFonts w:ascii="Arial" w:hAnsi="Arial" w:cs="Arial"/>
          <w:color w:val="000000"/>
          <w:kern w:val="0"/>
          <w:sz w:val="22"/>
          <w:szCs w:val="22"/>
          <w:u w:color="0B4CB4"/>
        </w:rPr>
        <w:t>(Accessed: 1</w:t>
      </w:r>
      <w:r w:rsidR="00010F60">
        <w:rPr>
          <w:rFonts w:ascii="Arial" w:hAnsi="Arial" w:cs="Arial"/>
          <w:color w:val="000000"/>
          <w:kern w:val="0"/>
          <w:sz w:val="22"/>
          <w:szCs w:val="22"/>
          <w:u w:color="0B4CB4"/>
        </w:rPr>
        <w:t>7</w:t>
      </w:r>
      <w:r w:rsidR="00010F60" w:rsidRPr="007E57A2">
        <w:rPr>
          <w:rFonts w:ascii="Arial" w:hAnsi="Arial" w:cs="Arial"/>
          <w:color w:val="000000"/>
          <w:kern w:val="0"/>
          <w:sz w:val="22"/>
          <w:szCs w:val="22"/>
          <w:u w:color="0B4CB4"/>
        </w:rPr>
        <w:t xml:space="preserve"> January 2026). </w:t>
      </w:r>
    </w:p>
    <w:p w14:paraId="1D5065C7" w14:textId="77777777" w:rsidR="006D5B0D" w:rsidRDefault="006D5B0D"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062A60D8" w14:textId="7EF5E7E5" w:rsidR="006D5B0D" w:rsidRPr="006D5B0D" w:rsidRDefault="006D5B0D" w:rsidP="006D5B0D">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i/>
          <w:iCs/>
          <w:color w:val="000000"/>
          <w:kern w:val="0"/>
          <w:sz w:val="22"/>
          <w:szCs w:val="22"/>
          <w:u w:color="0B4CB4"/>
        </w:rPr>
        <w:t xml:space="preserve">CIPD (2021c) </w:t>
      </w:r>
      <w:r w:rsidRPr="006D5B0D">
        <w:rPr>
          <w:rFonts w:ascii="Arial" w:hAnsi="Arial" w:cs="Arial"/>
          <w:i/>
          <w:iCs/>
          <w:color w:val="000000"/>
          <w:kern w:val="0"/>
          <w:sz w:val="22"/>
          <w:szCs w:val="22"/>
          <w:u w:color="0B4CB4"/>
        </w:rPr>
        <w:t>Creating impactful and inclusive learning</w:t>
      </w:r>
      <w:r>
        <w:rPr>
          <w:rFonts w:ascii="Arial" w:hAnsi="Arial" w:cs="Arial"/>
          <w:i/>
          <w:iCs/>
          <w:color w:val="000000"/>
          <w:kern w:val="0"/>
          <w:sz w:val="22"/>
          <w:szCs w:val="22"/>
          <w:u w:color="0B4CB4"/>
        </w:rPr>
        <w:t xml:space="preserve">. </w:t>
      </w:r>
      <w:r w:rsidRPr="006D5B0D">
        <w:rPr>
          <w:rFonts w:ascii="Arial" w:hAnsi="Arial" w:cs="Arial"/>
          <w:color w:val="000000"/>
          <w:kern w:val="0"/>
          <w:sz w:val="22"/>
          <w:szCs w:val="22"/>
          <w:u w:color="0B4CB4"/>
        </w:rPr>
        <w:t xml:space="preserve">Available at </w:t>
      </w:r>
      <w:hyperlink r:id="rId19" w:history="1">
        <w:r w:rsidRPr="006D5B0D">
          <w:rPr>
            <w:rStyle w:val="Hyperlink"/>
            <w:rFonts w:ascii="Arial" w:hAnsi="Arial" w:cs="Arial"/>
            <w:kern w:val="0"/>
            <w:sz w:val="22"/>
            <w:szCs w:val="22"/>
          </w:rPr>
          <w:t>https://www.cipd.org/en/views-and-insights/thought-leadership/insight/impactful-inclusive-learning/</w:t>
        </w:r>
      </w:hyperlink>
      <w:r w:rsidRPr="006D5B0D">
        <w:rPr>
          <w:rFonts w:ascii="Arial" w:hAnsi="Arial" w:cs="Arial"/>
          <w:color w:val="000000"/>
          <w:kern w:val="0"/>
          <w:sz w:val="22"/>
          <w:szCs w:val="22"/>
          <w:u w:color="0B4CB4"/>
        </w:rPr>
        <w:t xml:space="preserve"> (Accessed: 31 January 2026). </w:t>
      </w:r>
    </w:p>
    <w:p w14:paraId="0CA3D780"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048EF93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24043C">
        <w:rPr>
          <w:rFonts w:ascii="Arial" w:hAnsi="Arial" w:cs="Arial"/>
          <w:color w:val="000000"/>
          <w:kern w:val="0"/>
          <w:sz w:val="22"/>
          <w:szCs w:val="22"/>
          <w:u w:color="0B4CB4"/>
        </w:rPr>
        <w:t>CIPD (2022)</w:t>
      </w:r>
      <w:r w:rsidRPr="007E57A2">
        <w:rPr>
          <w:rFonts w:ascii="Arial" w:hAnsi="Arial" w:cs="Arial"/>
          <w:i/>
          <w:iCs/>
          <w:color w:val="000000"/>
          <w:kern w:val="0"/>
          <w:sz w:val="22"/>
          <w:szCs w:val="22"/>
          <w:u w:color="0B4CB4"/>
        </w:rPr>
        <w:t xml:space="preserve"> Resourcing and Talent Planning 2022: Case Studies. </w:t>
      </w:r>
      <w:r w:rsidRPr="007E57A2">
        <w:rPr>
          <w:rFonts w:ascii="Arial" w:hAnsi="Arial" w:cs="Arial"/>
          <w:color w:val="000000"/>
          <w:kern w:val="0"/>
          <w:sz w:val="22"/>
          <w:szCs w:val="22"/>
          <w:u w:color="0B4CB4"/>
        </w:rPr>
        <w:t xml:space="preserve">Available at: </w:t>
      </w:r>
      <w:hyperlink r:id="rId20" w:history="1">
        <w:r w:rsidRPr="007E57A2">
          <w:rPr>
            <w:rFonts w:ascii="Arial" w:hAnsi="Arial" w:cs="Arial"/>
            <w:color w:val="000000"/>
            <w:kern w:val="0"/>
            <w:sz w:val="22"/>
            <w:szCs w:val="22"/>
            <w:u w:val="single" w:color="0B4CB4"/>
          </w:rPr>
          <w:t>https://www.cipd.org/globalassets/media/knowledge/knowledge-hub/reports/resourcing-and-talent-planning-case-studies-2022_tcm18-111501.pdf</w:t>
        </w:r>
      </w:hyperlink>
      <w:r w:rsidRPr="007E57A2">
        <w:rPr>
          <w:rFonts w:ascii="Arial" w:hAnsi="Arial" w:cs="Arial"/>
          <w:color w:val="000000"/>
          <w:kern w:val="0"/>
          <w:sz w:val="22"/>
          <w:szCs w:val="22"/>
          <w:u w:color="0B4CB4"/>
        </w:rPr>
        <w:t xml:space="preserve"> (Accessed: 30 January 2026). </w:t>
      </w:r>
    </w:p>
    <w:p w14:paraId="7BFC1AF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1A310A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(2023) </w:t>
      </w:r>
      <w:r w:rsidRPr="007E57A2">
        <w:rPr>
          <w:rFonts w:ascii="Arial" w:hAnsi="Arial" w:cs="Arial"/>
          <w:i/>
          <w:iCs/>
          <w:color w:val="000000"/>
          <w:kern w:val="0"/>
          <w:sz w:val="22"/>
          <w:szCs w:val="22"/>
          <w:u w:color="0B4CB4"/>
        </w:rPr>
        <w:t xml:space="preserve">Case studies - Melin Homes. </w:t>
      </w:r>
      <w:r w:rsidRPr="007E57A2">
        <w:rPr>
          <w:rFonts w:ascii="Arial" w:hAnsi="Arial" w:cs="Arial"/>
          <w:color w:val="000000"/>
          <w:kern w:val="0"/>
          <w:sz w:val="22"/>
          <w:szCs w:val="22"/>
          <w:u w:color="0B4CB4"/>
        </w:rPr>
        <w:t xml:space="preserve">Available at: </w:t>
      </w:r>
      <w:hyperlink r:id="rId21" w:history="1">
        <w:r w:rsidRPr="007E57A2">
          <w:rPr>
            <w:rFonts w:ascii="Arial" w:hAnsi="Arial" w:cs="Arial"/>
            <w:color w:val="000000"/>
            <w:kern w:val="0"/>
            <w:sz w:val="22"/>
            <w:szCs w:val="22"/>
            <w:u w:val="single" w:color="0B4CB4"/>
          </w:rPr>
          <w:t>https://www.hr-inform.co.uk/case-study/absence-management</w:t>
        </w:r>
      </w:hyperlink>
      <w:r w:rsidRPr="007E57A2">
        <w:rPr>
          <w:rFonts w:ascii="Arial" w:hAnsi="Arial" w:cs="Arial"/>
          <w:color w:val="000000"/>
          <w:kern w:val="0"/>
          <w:sz w:val="22"/>
          <w:szCs w:val="22"/>
          <w:u w:color="0B4CB4"/>
        </w:rPr>
        <w:t xml:space="preserve"> (Accessed: 30 January 2026)</w:t>
      </w:r>
    </w:p>
    <w:p w14:paraId="21B23C3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A75A523" w14:textId="47276D9C"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CIPD (2025</w:t>
      </w:r>
      <w:r w:rsidR="0024043C">
        <w:rPr>
          <w:rFonts w:ascii="Arial" w:hAnsi="Arial" w:cs="Arial"/>
          <w:color w:val="000000"/>
          <w:kern w:val="0"/>
          <w:sz w:val="22"/>
          <w:szCs w:val="22"/>
          <w:u w:color="0B4CB4"/>
        </w:rPr>
        <w:t>a</w:t>
      </w:r>
      <w:r w:rsidRPr="007E57A2">
        <w:rPr>
          <w:rFonts w:ascii="Arial" w:hAnsi="Arial" w:cs="Arial"/>
          <w:color w:val="000000"/>
          <w:kern w:val="0"/>
          <w:sz w:val="22"/>
          <w:szCs w:val="22"/>
          <w:u w:color="0B4CB4"/>
        </w:rPr>
        <w:t xml:space="preserve">) </w:t>
      </w:r>
      <w:r w:rsidRPr="0024043C">
        <w:rPr>
          <w:rFonts w:ascii="Arial" w:hAnsi="Arial" w:cs="Arial"/>
          <w:i/>
          <w:iCs/>
          <w:color w:val="000000"/>
          <w:kern w:val="0"/>
          <w:sz w:val="22"/>
          <w:szCs w:val="22"/>
          <w:u w:color="0B4CB4"/>
        </w:rPr>
        <w:t xml:space="preserve">Evidence-based HR: Make better decisions and step up your </w:t>
      </w:r>
      <w:r w:rsidR="00D17C1E" w:rsidRPr="0024043C">
        <w:rPr>
          <w:rFonts w:ascii="Arial" w:hAnsi="Arial" w:cs="Arial"/>
          <w:i/>
          <w:iCs/>
          <w:color w:val="000000"/>
          <w:kern w:val="0"/>
          <w:sz w:val="22"/>
          <w:szCs w:val="22"/>
          <w:u w:color="0B4CB4"/>
        </w:rPr>
        <w:t>influence</w:t>
      </w:r>
      <w:r w:rsidR="00D17C1E">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r w:rsidRPr="0024043C">
        <w:rPr>
          <w:rFonts w:ascii="Arial" w:hAnsi="Arial" w:cs="Arial"/>
          <w:i/>
          <w:iCs/>
          <w:color w:val="000000"/>
          <w:kern w:val="0"/>
          <w:sz w:val="22"/>
          <w:szCs w:val="22"/>
          <w:u w:color="0B4CB4"/>
        </w:rPr>
        <w:t xml:space="preserve"> </w:t>
      </w:r>
      <w:hyperlink r:id="rId22" w:history="1">
        <w:r w:rsidRPr="007E57A2">
          <w:rPr>
            <w:rFonts w:ascii="Arial" w:hAnsi="Arial" w:cs="Arial"/>
            <w:color w:val="000000"/>
            <w:kern w:val="0"/>
            <w:sz w:val="22"/>
            <w:szCs w:val="22"/>
            <w:u w:val="single" w:color="0B4CB4"/>
          </w:rPr>
          <w:t>https://www.cipd.org/uk/knowledge/guides/evidence-based-profession/</w:t>
        </w:r>
      </w:hyperlink>
      <w:r w:rsidRPr="007E57A2">
        <w:rPr>
          <w:rFonts w:ascii="Arial" w:hAnsi="Arial" w:cs="Arial"/>
          <w:color w:val="000000"/>
          <w:kern w:val="0"/>
          <w:sz w:val="22"/>
          <w:szCs w:val="22"/>
          <w:u w:color="0B4CB4"/>
        </w:rPr>
        <w:t xml:space="preserve"> </w:t>
      </w:r>
      <w:r w:rsidR="0024043C" w:rsidRPr="007E57A2">
        <w:rPr>
          <w:rFonts w:ascii="Arial" w:hAnsi="Arial" w:cs="Arial"/>
          <w:color w:val="000000"/>
          <w:kern w:val="0"/>
          <w:sz w:val="22"/>
          <w:szCs w:val="22"/>
          <w:u w:color="0B4CB4"/>
        </w:rPr>
        <w:t>(Accessed: 30 January 2026)</w:t>
      </w:r>
      <w:r w:rsidR="0024043C">
        <w:rPr>
          <w:rFonts w:ascii="Arial" w:hAnsi="Arial" w:cs="Arial"/>
          <w:color w:val="000000"/>
          <w:kern w:val="0"/>
          <w:sz w:val="22"/>
          <w:szCs w:val="22"/>
          <w:u w:color="0B4CB4"/>
        </w:rPr>
        <w:t xml:space="preserve">. </w:t>
      </w:r>
    </w:p>
    <w:p w14:paraId="0C891B2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2E2A5FF" w14:textId="23368711" w:rsidR="007E286C" w:rsidRPr="007E57A2" w:rsidRDefault="007E286C" w:rsidP="0024043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CIPD (2025</w:t>
      </w:r>
      <w:r w:rsidR="0024043C">
        <w:rPr>
          <w:rFonts w:ascii="Arial" w:hAnsi="Arial" w:cs="Arial"/>
          <w:color w:val="000000"/>
          <w:kern w:val="0"/>
          <w:sz w:val="22"/>
          <w:szCs w:val="22"/>
          <w:u w:color="0B4CB4"/>
        </w:rPr>
        <w:t>b</w:t>
      </w:r>
      <w:r w:rsidRPr="007E57A2">
        <w:rPr>
          <w:rFonts w:ascii="Arial" w:hAnsi="Arial" w:cs="Arial"/>
          <w:color w:val="000000"/>
          <w:kern w:val="0"/>
          <w:sz w:val="22"/>
          <w:szCs w:val="22"/>
          <w:u w:color="0B4CB4"/>
        </w:rPr>
        <w:t>)</w:t>
      </w:r>
      <w:r w:rsidRPr="007E57A2">
        <w:rPr>
          <w:rFonts w:ascii="Arial" w:hAnsi="Arial" w:cs="Arial"/>
          <w:i/>
          <w:iCs/>
          <w:color w:val="000000"/>
          <w:kern w:val="0"/>
          <w:sz w:val="22"/>
          <w:szCs w:val="22"/>
          <w:u w:color="0B4CB4"/>
        </w:rPr>
        <w:t xml:space="preserve"> Absence measurement and management</w:t>
      </w:r>
      <w:r w:rsidR="00D17C1E">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hyperlink r:id="rId23" w:anchor="Measuring" w:history="1">
        <w:r w:rsidRPr="007E57A2">
          <w:rPr>
            <w:rFonts w:ascii="Arial" w:hAnsi="Arial" w:cs="Arial"/>
            <w:color w:val="000000"/>
            <w:kern w:val="0"/>
            <w:sz w:val="22"/>
            <w:szCs w:val="22"/>
            <w:u w:val="single" w:color="0B4CB4"/>
          </w:rPr>
          <w:t>https://www.cipd.org/uk/knowledge/factsheets/absence-factsheet/#Measuring</w:t>
        </w:r>
      </w:hyperlink>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 xml:space="preserve">(Accessed 20 January 2026). </w:t>
      </w:r>
    </w:p>
    <w:p w14:paraId="4C06D56B" w14:textId="77777777" w:rsidR="007E286C" w:rsidRPr="007E57A2" w:rsidRDefault="007E286C" w:rsidP="0024043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3D36430A" w14:textId="5719B115" w:rsidR="007E286C" w:rsidRPr="007E57A2" w:rsidRDefault="007E286C" w:rsidP="0024043C">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CIPD</w:t>
      </w:r>
      <w:r w:rsidR="0024043C">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(2025c)</w:t>
      </w:r>
      <w:r w:rsidRPr="007E57A2">
        <w:rPr>
          <w:rFonts w:ascii="Arial" w:hAnsi="Arial" w:cs="Arial"/>
          <w:i/>
          <w:iCs/>
          <w:color w:val="000000"/>
          <w:kern w:val="0"/>
          <w:sz w:val="22"/>
          <w:szCs w:val="22"/>
          <w:u w:color="0B4CB4"/>
        </w:rPr>
        <w:t xml:space="preserve"> Health and Wellbeing at Work</w:t>
      </w:r>
      <w:r w:rsidR="00D17C1E">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hyperlink r:id="rId24" w:history="1">
        <w:r w:rsidRPr="007E57A2">
          <w:rPr>
            <w:rFonts w:ascii="Arial" w:hAnsi="Arial" w:cs="Arial"/>
            <w:color w:val="000000"/>
            <w:kern w:val="0"/>
            <w:sz w:val="22"/>
            <w:szCs w:val="22"/>
            <w:u w:val="single" w:color="0B4CB4"/>
          </w:rPr>
          <w:t>https://www.cipd.org/globalassets/media/knowledge/knowledge-hub/reports/2025-pdfs/8920-Health-and-wellbeing-report-2025.pdf</w:t>
        </w:r>
      </w:hyperlink>
      <w:r w:rsidR="0024043C">
        <w:rPr>
          <w:rFonts w:ascii="Arial" w:hAnsi="Arial" w:cs="Arial"/>
          <w:i/>
          <w:iCs/>
          <w:color w:val="000000"/>
          <w:kern w:val="0"/>
          <w:sz w:val="22"/>
          <w:szCs w:val="22"/>
          <w:u w:color="0B4CB4"/>
        </w:rPr>
        <w:t xml:space="preserve"> </w:t>
      </w:r>
      <w:r w:rsidR="0024043C">
        <w:rPr>
          <w:rFonts w:ascii="Arial" w:hAnsi="Arial" w:cs="Arial"/>
          <w:color w:val="000000"/>
          <w:kern w:val="0"/>
          <w:sz w:val="22"/>
          <w:szCs w:val="22"/>
          <w:u w:color="0B4CB4"/>
        </w:rPr>
        <w:t xml:space="preserve">(Accessed 20 January 2026). </w:t>
      </w:r>
    </w:p>
    <w:p w14:paraId="65B6A6F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B2FD40E" w14:textId="62153AA3"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(2025d) </w:t>
      </w:r>
      <w:r w:rsidRPr="007E57A2">
        <w:rPr>
          <w:rFonts w:ascii="Arial" w:hAnsi="Arial" w:cs="Arial"/>
          <w:i/>
          <w:iCs/>
          <w:color w:val="000000"/>
          <w:kern w:val="0"/>
          <w:sz w:val="22"/>
          <w:szCs w:val="22"/>
          <w:u w:color="0B4CB4"/>
        </w:rPr>
        <w:t>Thought Leadership | Evidence-based HRM: Navigating evidence for creating effective HR practices</w:t>
      </w:r>
      <w:r w:rsidR="00D17C1E">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r w:rsidRPr="007E57A2">
        <w:rPr>
          <w:rFonts w:ascii="Arial" w:hAnsi="Arial" w:cs="Arial"/>
          <w:i/>
          <w:iCs/>
          <w:color w:val="000000"/>
          <w:kern w:val="0"/>
          <w:sz w:val="22"/>
          <w:szCs w:val="22"/>
          <w:u w:color="0B4CB4"/>
        </w:rPr>
        <w:t xml:space="preserve"> </w:t>
      </w:r>
      <w:hyperlink r:id="rId25" w:history="1">
        <w:r w:rsidRPr="007E57A2">
          <w:rPr>
            <w:rFonts w:ascii="Arial" w:hAnsi="Arial" w:cs="Arial"/>
            <w:color w:val="000000"/>
            <w:kern w:val="0"/>
            <w:sz w:val="22"/>
            <w:szCs w:val="22"/>
            <w:u w:val="single" w:color="0B4CB4"/>
          </w:rPr>
          <w:t>https://www.cipd.org/en/views-and-insights/thought-leadership/insight/evidence-based-hrm/</w:t>
        </w:r>
      </w:hyperlink>
      <w:r w:rsidRPr="007E57A2">
        <w:rPr>
          <w:rFonts w:ascii="Arial" w:hAnsi="Arial" w:cs="Arial"/>
          <w:color w:val="000000"/>
          <w:kern w:val="0"/>
          <w:sz w:val="22"/>
          <w:szCs w:val="22"/>
          <w:u w:color="0B4CB4"/>
        </w:rPr>
        <w:t xml:space="preserve"> (Accessed: 18 January 2026). </w:t>
      </w:r>
    </w:p>
    <w:p w14:paraId="64E6E8C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97C6C37" w14:textId="4076937B" w:rsidR="007E286C" w:rsidRPr="007E57A2" w:rsidRDefault="007E286C" w:rsidP="00D17C1E">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(2025e) </w:t>
      </w:r>
      <w:r w:rsidRPr="007E57A2">
        <w:rPr>
          <w:rFonts w:ascii="Arial" w:hAnsi="Arial" w:cs="Arial"/>
          <w:i/>
          <w:iCs/>
          <w:color w:val="000000"/>
          <w:kern w:val="0"/>
          <w:sz w:val="22"/>
          <w:szCs w:val="22"/>
          <w:u w:color="0B4CB4"/>
        </w:rPr>
        <w:t>Performance management: BBC</w:t>
      </w:r>
      <w:r w:rsidR="00D17C1E">
        <w:rPr>
          <w:rFonts w:ascii="Arial" w:hAnsi="Arial" w:cs="Arial"/>
          <w:i/>
          <w:iCs/>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r w:rsidRPr="007E57A2">
        <w:rPr>
          <w:rFonts w:ascii="Arial" w:hAnsi="Arial" w:cs="Arial"/>
          <w:color w:val="000000"/>
          <w:kern w:val="0"/>
          <w:sz w:val="22"/>
          <w:szCs w:val="22"/>
          <w:u w:color="0B4CB4"/>
        </w:rPr>
        <w:t xml:space="preserve"> </w:t>
      </w:r>
      <w:hyperlink r:id="rId26" w:history="1">
        <w:r w:rsidRPr="007E57A2">
          <w:rPr>
            <w:rFonts w:ascii="Arial" w:hAnsi="Arial" w:cs="Arial"/>
            <w:color w:val="000000"/>
            <w:kern w:val="0"/>
            <w:sz w:val="22"/>
            <w:szCs w:val="22"/>
            <w:u w:val="single" w:color="0B4CB4"/>
          </w:rPr>
          <w:t>https://www.cipd.org/uk/knowledge/case-studies/bbc/#what-evidence-was-used</w:t>
        </w:r>
      </w:hyperlink>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18 January 2026</w:t>
      </w:r>
      <w:r w:rsidR="0024043C">
        <w:rPr>
          <w:rFonts w:ascii="Arial" w:hAnsi="Arial" w:cs="Arial"/>
          <w:color w:val="000000"/>
          <w:kern w:val="0"/>
          <w:sz w:val="22"/>
          <w:szCs w:val="22"/>
          <w:u w:color="0B4CB4"/>
        </w:rPr>
        <w:t xml:space="preserve">). </w:t>
      </w:r>
    </w:p>
    <w:p w14:paraId="7198FFE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59E4073" w14:textId="77777777" w:rsidR="007E286C"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CIPD (2025f)</w:t>
      </w:r>
      <w:r w:rsidRPr="007E57A2">
        <w:rPr>
          <w:rFonts w:ascii="Arial" w:hAnsi="Arial" w:cs="Arial"/>
          <w:i/>
          <w:iCs/>
          <w:color w:val="000000"/>
          <w:kern w:val="0"/>
          <w:sz w:val="22"/>
          <w:szCs w:val="22"/>
          <w:u w:color="0B4CB4"/>
        </w:rPr>
        <w:t xml:space="preserve"> Line managers' role in supporting the people profession. </w:t>
      </w:r>
      <w:r w:rsidRPr="007E57A2">
        <w:rPr>
          <w:rFonts w:ascii="Arial" w:hAnsi="Arial" w:cs="Arial"/>
          <w:color w:val="000000"/>
          <w:kern w:val="0"/>
          <w:sz w:val="22"/>
          <w:szCs w:val="22"/>
          <w:u w:color="0B4CB4"/>
        </w:rPr>
        <w:t xml:space="preserve">Available at: </w:t>
      </w:r>
      <w:hyperlink r:id="rId27" w:anchor="processes" w:history="1">
        <w:r w:rsidRPr="007E57A2">
          <w:rPr>
            <w:rFonts w:ascii="Arial" w:hAnsi="Arial" w:cs="Arial"/>
            <w:color w:val="000000"/>
            <w:kern w:val="0"/>
            <w:sz w:val="22"/>
            <w:szCs w:val="22"/>
            <w:u w:val="single" w:color="0B4CB4"/>
          </w:rPr>
          <w:t>https://www.cipd.org/uk/knowledge/factsheets/line-managers-factsheet/#processes</w:t>
        </w:r>
      </w:hyperlink>
      <w:r w:rsidRPr="007E57A2">
        <w:rPr>
          <w:rFonts w:ascii="Arial" w:hAnsi="Arial" w:cs="Arial"/>
          <w:color w:val="000000"/>
          <w:kern w:val="0"/>
          <w:sz w:val="22"/>
          <w:szCs w:val="22"/>
          <w:u w:color="0B4CB4"/>
        </w:rPr>
        <w:t xml:space="preserve"> (Accessed: 30 January 2026). </w:t>
      </w:r>
    </w:p>
    <w:p w14:paraId="58ED2B01" w14:textId="77777777" w:rsidR="009D5858" w:rsidRDefault="009D5858" w:rsidP="00DB0EF9">
      <w:pPr>
        <w:autoSpaceDE w:val="0"/>
        <w:autoSpaceDN w:val="0"/>
        <w:adjustRightInd w:val="0"/>
        <w:spacing w:after="0" w:line="240" w:lineRule="auto"/>
        <w:jc w:val="both"/>
        <w:rPr>
          <w:rFonts w:ascii="Arial" w:hAnsi="Arial" w:cs="Arial"/>
          <w:color w:val="000000"/>
          <w:kern w:val="0"/>
          <w:sz w:val="22"/>
          <w:szCs w:val="22"/>
          <w:u w:color="0B4CB4"/>
        </w:rPr>
      </w:pPr>
    </w:p>
    <w:p w14:paraId="7B16E361" w14:textId="715FE817" w:rsidR="009D5858" w:rsidRPr="007E57A2" w:rsidRDefault="009D5858" w:rsidP="009D5858">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CIPD (2025</w:t>
      </w:r>
      <w:proofErr w:type="gramStart"/>
      <w:r>
        <w:rPr>
          <w:rFonts w:ascii="Arial" w:hAnsi="Arial" w:cs="Arial"/>
          <w:color w:val="000000"/>
          <w:kern w:val="0"/>
          <w:sz w:val="22"/>
          <w:szCs w:val="22"/>
          <w:u w:color="0B4CB4"/>
        </w:rPr>
        <w:t>g</w:t>
      </w:r>
      <w:r w:rsidRPr="007E57A2">
        <w:rPr>
          <w:rFonts w:ascii="Arial" w:hAnsi="Arial" w:cs="Arial"/>
          <w:color w:val="000000"/>
          <w:kern w:val="0"/>
          <w:sz w:val="22"/>
          <w:szCs w:val="22"/>
          <w:u w:color="0B4CB4"/>
        </w:rPr>
        <w:t>)   </w:t>
      </w:r>
      <w:proofErr w:type="gramEnd"/>
      <w:r w:rsidRPr="007E57A2">
        <w:rPr>
          <w:rFonts w:ascii="Arial" w:hAnsi="Arial" w:cs="Arial"/>
          <w:color w:val="000000"/>
          <w:kern w:val="0"/>
          <w:sz w:val="22"/>
          <w:szCs w:val="22"/>
          <w:u w:color="0B4CB4"/>
        </w:rPr>
        <w:t xml:space="preserve">‘Evidence based practice for effective decision making’. Available at: </w:t>
      </w:r>
      <w:hyperlink r:id="rId28" w:history="1">
        <w:r w:rsidRPr="007E57A2">
          <w:rPr>
            <w:rFonts w:ascii="Arial" w:hAnsi="Arial" w:cs="Arial"/>
            <w:color w:val="0B4CB4"/>
            <w:kern w:val="0"/>
            <w:sz w:val="22"/>
            <w:szCs w:val="22"/>
            <w:u w:val="single" w:color="0B4CB4"/>
          </w:rPr>
          <w:t>https://www.cipd.org/uk/knowledge/factsheets/evidence-based-practice-factsheet/</w:t>
        </w:r>
      </w:hyperlink>
      <w:r w:rsidRPr="007E57A2">
        <w:rPr>
          <w:rFonts w:ascii="Arial" w:hAnsi="Arial" w:cs="Arial"/>
          <w:color w:val="000000"/>
          <w:kern w:val="0"/>
          <w:sz w:val="22"/>
          <w:szCs w:val="22"/>
          <w:u w:color="0B4CB4"/>
        </w:rPr>
        <w:t xml:space="preserve"> (Accessed: 7 December 2025). </w:t>
      </w:r>
    </w:p>
    <w:p w14:paraId="5E334F02" w14:textId="77777777" w:rsidR="009D5858" w:rsidRDefault="009D5858" w:rsidP="00DB0EF9">
      <w:pPr>
        <w:autoSpaceDE w:val="0"/>
        <w:autoSpaceDN w:val="0"/>
        <w:adjustRightInd w:val="0"/>
        <w:spacing w:after="0" w:line="240" w:lineRule="auto"/>
        <w:jc w:val="both"/>
        <w:rPr>
          <w:rFonts w:ascii="Arial" w:hAnsi="Arial" w:cs="Arial"/>
          <w:color w:val="000000"/>
          <w:kern w:val="0"/>
          <w:sz w:val="22"/>
          <w:szCs w:val="22"/>
          <w:u w:color="0B4CB4"/>
        </w:rPr>
      </w:pPr>
    </w:p>
    <w:p w14:paraId="2C881192" w14:textId="77777777" w:rsidR="009D5858" w:rsidRDefault="009D5858" w:rsidP="00DB0EF9">
      <w:pPr>
        <w:autoSpaceDE w:val="0"/>
        <w:autoSpaceDN w:val="0"/>
        <w:adjustRightInd w:val="0"/>
        <w:spacing w:after="0" w:line="240" w:lineRule="auto"/>
        <w:jc w:val="both"/>
        <w:rPr>
          <w:rFonts w:ascii="Arial" w:hAnsi="Arial" w:cs="Arial"/>
          <w:color w:val="000000"/>
          <w:kern w:val="0"/>
          <w:sz w:val="22"/>
          <w:szCs w:val="22"/>
          <w:u w:color="0B4CB4"/>
        </w:rPr>
      </w:pPr>
    </w:p>
    <w:p w14:paraId="1E164092" w14:textId="6984D645" w:rsidR="00D17C1E" w:rsidRDefault="00341834" w:rsidP="00D17C1E">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CIPD (2025h) </w:t>
      </w:r>
      <w:r w:rsidRPr="00341834">
        <w:rPr>
          <w:rFonts w:ascii="Arial" w:hAnsi="Arial" w:cs="Arial"/>
          <w:i/>
          <w:iCs/>
          <w:color w:val="000000"/>
          <w:kern w:val="0"/>
          <w:sz w:val="22"/>
          <w:szCs w:val="22"/>
          <w:u w:color="0B4CB4"/>
        </w:rPr>
        <w:t>Methods of delivering learning interventions</w:t>
      </w:r>
      <w:r>
        <w:rPr>
          <w:rFonts w:ascii="Arial" w:hAnsi="Arial" w:cs="Arial"/>
          <w:color w:val="000000"/>
          <w:kern w:val="0"/>
          <w:sz w:val="22"/>
          <w:szCs w:val="22"/>
          <w:u w:color="0B4CB4"/>
        </w:rPr>
        <w:t xml:space="preserve">. </w:t>
      </w:r>
      <w:r w:rsidR="00D17C1E" w:rsidRPr="007E57A2">
        <w:rPr>
          <w:rFonts w:ascii="Arial" w:hAnsi="Arial" w:cs="Arial"/>
          <w:color w:val="000000"/>
          <w:kern w:val="0"/>
          <w:sz w:val="22"/>
          <w:szCs w:val="22"/>
          <w:u w:color="0B4CB4"/>
        </w:rPr>
        <w:t xml:space="preserve">Available at: </w:t>
      </w:r>
      <w:hyperlink r:id="rId29" w:anchor="what-are-learning-methods" w:history="1">
        <w:r w:rsidR="00D17C1E" w:rsidRPr="00A5288F">
          <w:rPr>
            <w:rStyle w:val="Hyperlink"/>
            <w:rFonts w:ascii="Arial" w:hAnsi="Arial" w:cs="Arial"/>
            <w:kern w:val="0"/>
            <w:sz w:val="22"/>
            <w:szCs w:val="22"/>
          </w:rPr>
          <w:t>https://www.cipd.org/uk/knowledge/factsheets/learning-methods-factsheet/#what-are-learning-methods</w:t>
        </w:r>
      </w:hyperlink>
      <w:r w:rsidR="00D17C1E">
        <w:rPr>
          <w:rFonts w:ascii="Arial" w:hAnsi="Arial" w:cs="Arial"/>
          <w:color w:val="000000"/>
          <w:kern w:val="0"/>
          <w:sz w:val="22"/>
          <w:szCs w:val="22"/>
          <w:u w:color="0B4CB4"/>
        </w:rPr>
        <w:t xml:space="preserve">. (Accessed 20 January 2026). </w:t>
      </w:r>
    </w:p>
    <w:p w14:paraId="5D908B85" w14:textId="56B7D6E9" w:rsidR="00341834" w:rsidRPr="00341834" w:rsidRDefault="00341834" w:rsidP="00341834">
      <w:pPr>
        <w:autoSpaceDE w:val="0"/>
        <w:autoSpaceDN w:val="0"/>
        <w:adjustRightInd w:val="0"/>
        <w:spacing w:after="0" w:line="240" w:lineRule="auto"/>
        <w:jc w:val="both"/>
        <w:rPr>
          <w:rFonts w:ascii="Arial" w:hAnsi="Arial" w:cs="Arial"/>
          <w:color w:val="000000"/>
          <w:kern w:val="0"/>
          <w:sz w:val="22"/>
          <w:szCs w:val="22"/>
          <w:u w:color="0B4CB4"/>
        </w:rPr>
      </w:pPr>
    </w:p>
    <w:p w14:paraId="75D0D832" w14:textId="77777777" w:rsidR="007E286C"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60A2C32" w14:textId="1BFBDD0B" w:rsidR="009E2529" w:rsidRDefault="009E2529" w:rsidP="00DB0EF9">
      <w:pPr>
        <w:autoSpaceDE w:val="0"/>
        <w:autoSpaceDN w:val="0"/>
        <w:adjustRightInd w:val="0"/>
        <w:spacing w:after="0"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CIPD (2025i) </w:t>
      </w:r>
      <w:r w:rsidR="0080310F" w:rsidRPr="0080310F">
        <w:rPr>
          <w:rFonts w:ascii="Arial" w:hAnsi="Arial" w:cs="Arial"/>
          <w:i/>
          <w:iCs/>
          <w:color w:val="000000"/>
          <w:kern w:val="0"/>
          <w:sz w:val="22"/>
          <w:szCs w:val="22"/>
          <w:u w:color="0B4CB4"/>
        </w:rPr>
        <w:t>Learning needs analysis</w:t>
      </w:r>
      <w:r w:rsidR="0080310F">
        <w:rPr>
          <w:rFonts w:ascii="Arial" w:hAnsi="Arial" w:cs="Arial"/>
          <w:color w:val="000000"/>
          <w:kern w:val="0"/>
          <w:sz w:val="22"/>
          <w:szCs w:val="22"/>
          <w:u w:color="0B4CB4"/>
        </w:rPr>
        <w:t xml:space="preserve">. Available at </w:t>
      </w:r>
      <w:hyperlink r:id="rId30" w:anchor="Preparing" w:history="1">
        <w:r w:rsidR="0080310F" w:rsidRPr="00A5288F">
          <w:rPr>
            <w:rStyle w:val="Hyperlink"/>
            <w:rFonts w:ascii="Arial" w:hAnsi="Arial" w:cs="Arial"/>
            <w:kern w:val="0"/>
            <w:sz w:val="22"/>
            <w:szCs w:val="22"/>
          </w:rPr>
          <w:t>https://www.cipd.org/uk/knowledge/factsheets/learning-needs-factsheet/#Preparing</w:t>
        </w:r>
      </w:hyperlink>
      <w:r w:rsidR="0080310F">
        <w:rPr>
          <w:rFonts w:ascii="Arial" w:hAnsi="Arial" w:cs="Arial"/>
          <w:color w:val="000000"/>
          <w:kern w:val="0"/>
          <w:sz w:val="22"/>
          <w:szCs w:val="22"/>
          <w:u w:color="0B4CB4"/>
        </w:rPr>
        <w:t xml:space="preserve"> (Accessed 31 January 2026). </w:t>
      </w:r>
    </w:p>
    <w:p w14:paraId="60A83448" w14:textId="77777777" w:rsidR="0080310F" w:rsidRPr="007E57A2" w:rsidRDefault="0080310F" w:rsidP="00DB0EF9">
      <w:pPr>
        <w:autoSpaceDE w:val="0"/>
        <w:autoSpaceDN w:val="0"/>
        <w:adjustRightInd w:val="0"/>
        <w:spacing w:after="0" w:line="240" w:lineRule="auto"/>
        <w:jc w:val="both"/>
        <w:rPr>
          <w:rFonts w:ascii="Arial" w:hAnsi="Arial" w:cs="Arial"/>
          <w:color w:val="000000"/>
          <w:kern w:val="0"/>
          <w:sz w:val="22"/>
          <w:szCs w:val="22"/>
          <w:u w:color="0B4CB4"/>
        </w:rPr>
      </w:pPr>
    </w:p>
    <w:p w14:paraId="6802E76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CIPD (2023) </w:t>
      </w:r>
      <w:r w:rsidRPr="007E57A2">
        <w:rPr>
          <w:rFonts w:ascii="Arial" w:hAnsi="Arial" w:cs="Arial"/>
          <w:i/>
          <w:iCs/>
          <w:color w:val="000000"/>
          <w:kern w:val="0"/>
          <w:sz w:val="22"/>
          <w:szCs w:val="22"/>
          <w:u w:color="0B4CB4"/>
        </w:rPr>
        <w:t xml:space="preserve">Building and evidence-based people profession. </w:t>
      </w:r>
      <w:r w:rsidRPr="007E57A2">
        <w:rPr>
          <w:rFonts w:ascii="Arial" w:hAnsi="Arial" w:cs="Arial"/>
          <w:color w:val="000000"/>
          <w:kern w:val="0"/>
          <w:sz w:val="22"/>
          <w:szCs w:val="22"/>
          <w:u w:color="0B4CB4"/>
        </w:rPr>
        <w:t xml:space="preserve">Available at </w:t>
      </w:r>
      <w:hyperlink r:id="rId31" w:history="1">
        <w:r w:rsidRPr="007E57A2">
          <w:rPr>
            <w:rFonts w:ascii="Arial" w:hAnsi="Arial" w:cs="Arial"/>
            <w:color w:val="0B4CB4"/>
            <w:kern w:val="0"/>
            <w:sz w:val="22"/>
            <w:szCs w:val="22"/>
            <w:u w:val="single" w:color="0B4CB4"/>
          </w:rPr>
          <w:t>https://www.cipd.org/uk/views-and-insights/thought-leadership/insight/evidence-based-profession/</w:t>
        </w:r>
      </w:hyperlink>
      <w:r w:rsidRPr="007E57A2">
        <w:rPr>
          <w:rFonts w:ascii="Arial" w:hAnsi="Arial" w:cs="Arial"/>
          <w:color w:val="000000"/>
          <w:kern w:val="0"/>
          <w:sz w:val="22"/>
          <w:szCs w:val="22"/>
          <w:u w:color="0B4CB4"/>
        </w:rPr>
        <w:t xml:space="preserve">. (Accessed: 23 December 2025). </w:t>
      </w:r>
    </w:p>
    <w:p w14:paraId="52735FC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F2D886B" w14:textId="09E9FED6" w:rsidR="007E286C" w:rsidRPr="007E57A2" w:rsidRDefault="007E286C" w:rsidP="00C919A3">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CMI (2015</w:t>
      </w:r>
      <w:r w:rsidRPr="007E57A2">
        <w:rPr>
          <w:rFonts w:ascii="Arial" w:hAnsi="Arial" w:cs="Arial"/>
          <w:i/>
          <w:iCs/>
          <w:color w:val="000000"/>
          <w:kern w:val="0"/>
          <w:sz w:val="22"/>
          <w:szCs w:val="22"/>
          <w:u w:color="0B4CB4"/>
        </w:rPr>
        <w:t>) RATIONAL DECISION-MAKING: KEPNER AND TREGOE’S MODEL</w:t>
      </w:r>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 xml:space="preserve">Available at: </w:t>
      </w:r>
      <w:hyperlink r:id="rId32" w:history="1">
        <w:r w:rsidR="00C919A3" w:rsidRPr="00A5288F">
          <w:rPr>
            <w:rStyle w:val="Hyperlink"/>
            <w:rFonts w:ascii="Arial" w:hAnsi="Arial" w:cs="Arial"/>
            <w:kern w:val="0"/>
            <w:sz w:val="22"/>
            <w:szCs w:val="22"/>
          </w:rPr>
          <w:t>https://ugc.futurelearn.com/uploads/files/c8/f6/c8f6b763-9cc4-4804-a1a1-2db2f5bd0a36/Rational_decision_making.pdf</w:t>
        </w:r>
      </w:hyperlink>
      <w:r w:rsidRPr="007E57A2">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(Accessed</w:t>
      </w:r>
      <w:r w:rsidR="00C919A3">
        <w:rPr>
          <w:rFonts w:ascii="Arial" w:hAnsi="Arial" w:cs="Arial"/>
          <w:color w:val="000000"/>
          <w:kern w:val="0"/>
          <w:sz w:val="22"/>
          <w:szCs w:val="22"/>
          <w:u w:color="0B4CB4"/>
        </w:rPr>
        <w:t xml:space="preserve">: </w:t>
      </w:r>
      <w:r w:rsidR="0024043C">
        <w:rPr>
          <w:rFonts w:ascii="Arial" w:hAnsi="Arial" w:cs="Arial"/>
          <w:color w:val="000000"/>
          <w:kern w:val="0"/>
          <w:sz w:val="22"/>
          <w:szCs w:val="22"/>
          <w:u w:color="0B4CB4"/>
        </w:rPr>
        <w:t xml:space="preserve">15 January 2026). </w:t>
      </w:r>
    </w:p>
    <w:p w14:paraId="00D73CC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C4351D8" w14:textId="70E2201D"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Cole, M. (2024)</w:t>
      </w:r>
      <w:r w:rsidRPr="007E57A2">
        <w:rPr>
          <w:rFonts w:ascii="Arial" w:hAnsi="Arial" w:cs="Arial"/>
          <w:i/>
          <w:iCs/>
          <w:color w:val="000000"/>
          <w:kern w:val="0"/>
          <w:sz w:val="22"/>
          <w:szCs w:val="22"/>
          <w:u w:color="0B4CB4"/>
        </w:rPr>
        <w:t xml:space="preserve"> How L&amp;D can </w:t>
      </w:r>
      <w:proofErr w:type="gramStart"/>
      <w:r w:rsidRPr="007E57A2">
        <w:rPr>
          <w:rFonts w:ascii="Arial" w:hAnsi="Arial" w:cs="Arial"/>
          <w:i/>
          <w:iCs/>
          <w:color w:val="000000"/>
          <w:kern w:val="0"/>
          <w:sz w:val="22"/>
          <w:szCs w:val="22"/>
          <w:u w:color="0B4CB4"/>
        </w:rPr>
        <w:t>open up</w:t>
      </w:r>
      <w:proofErr w:type="gramEnd"/>
      <w:r w:rsidRPr="007E57A2">
        <w:rPr>
          <w:rFonts w:ascii="Arial" w:hAnsi="Arial" w:cs="Arial"/>
          <w:i/>
          <w:iCs/>
          <w:color w:val="000000"/>
          <w:kern w:val="0"/>
          <w:sz w:val="22"/>
          <w:szCs w:val="22"/>
          <w:u w:color="0B4CB4"/>
        </w:rPr>
        <w:t xml:space="preserve"> space for richer conversations.</w:t>
      </w:r>
      <w:r w:rsidRPr="007E57A2">
        <w:rPr>
          <w:rFonts w:ascii="Arial" w:hAnsi="Arial" w:cs="Arial"/>
          <w:color w:val="000000"/>
          <w:kern w:val="0"/>
          <w:sz w:val="22"/>
          <w:szCs w:val="22"/>
          <w:u w:color="0B4CB4"/>
        </w:rPr>
        <w:t xml:space="preserve"> Available at: </w:t>
      </w:r>
      <w:hyperlink r:id="rId33" w:history="1">
        <w:r w:rsidRPr="007E57A2">
          <w:rPr>
            <w:rFonts w:ascii="Arial" w:hAnsi="Arial" w:cs="Arial"/>
            <w:color w:val="0B4CB4"/>
            <w:kern w:val="0"/>
            <w:sz w:val="22"/>
            <w:szCs w:val="22"/>
            <w:u w:val="single" w:color="0B4CB4"/>
          </w:rPr>
          <w:t>https://www.peoplemanagement.co.uk/article/1886602/l-d-open-space-richer-conversations</w:t>
        </w:r>
      </w:hyperlink>
      <w:r w:rsidRPr="007E57A2">
        <w:rPr>
          <w:rFonts w:ascii="Arial" w:hAnsi="Arial" w:cs="Arial"/>
          <w:color w:val="000000"/>
          <w:kern w:val="0"/>
          <w:sz w:val="22"/>
          <w:szCs w:val="22"/>
          <w:u w:color="0B4CB4"/>
        </w:rPr>
        <w:t>. (Accessed</w:t>
      </w:r>
      <w:r w:rsidR="00C919A3">
        <w:rPr>
          <w:rFonts w:ascii="Arial" w:hAnsi="Arial" w:cs="Arial"/>
          <w:color w:val="000000"/>
          <w:kern w:val="0"/>
          <w:sz w:val="22"/>
          <w:szCs w:val="22"/>
          <w:u w:color="0B4CB4"/>
        </w:rPr>
        <w:t>:</w:t>
      </w:r>
      <w:r w:rsidRPr="007E57A2">
        <w:rPr>
          <w:rFonts w:ascii="Arial" w:hAnsi="Arial" w:cs="Arial"/>
          <w:color w:val="000000"/>
          <w:kern w:val="0"/>
          <w:sz w:val="22"/>
          <w:szCs w:val="22"/>
          <w:u w:color="0B4CB4"/>
        </w:rPr>
        <w:t xml:space="preserve"> 24 January 2026). </w:t>
      </w:r>
    </w:p>
    <w:p w14:paraId="1DA7A41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34FA6E8" w14:textId="08398B2F"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val="single" w:color="0B4CB4"/>
        </w:rPr>
      </w:pPr>
      <w:r w:rsidRPr="007E57A2">
        <w:rPr>
          <w:rFonts w:ascii="Arial" w:hAnsi="Arial" w:cs="Arial"/>
          <w:color w:val="000000"/>
          <w:kern w:val="0"/>
          <w:sz w:val="22"/>
          <w:szCs w:val="22"/>
          <w:u w:color="0B4CB4"/>
        </w:rPr>
        <w:t>Colletta, J. (2026)</w:t>
      </w:r>
      <w:r w:rsidRPr="007E57A2">
        <w:rPr>
          <w:rFonts w:ascii="Arial" w:hAnsi="Arial" w:cs="Arial"/>
          <w:i/>
          <w:iCs/>
          <w:color w:val="000000"/>
          <w:kern w:val="0"/>
          <w:sz w:val="22"/>
          <w:szCs w:val="22"/>
          <w:u w:color="0B4CB4"/>
        </w:rPr>
        <w:t xml:space="preserve"> PwC’s playbook for creating skilled critical thinkers in the age of AI</w:t>
      </w:r>
      <w:r w:rsidR="009A1F74">
        <w:rPr>
          <w:rFonts w:ascii="Arial" w:hAnsi="Arial" w:cs="Arial"/>
          <w:i/>
          <w:iCs/>
          <w:color w:val="000000"/>
          <w:kern w:val="0"/>
          <w:sz w:val="22"/>
          <w:szCs w:val="22"/>
          <w:u w:color="0B4CB4"/>
        </w:rPr>
        <w:t xml:space="preserve">. </w:t>
      </w:r>
      <w:r w:rsidR="009A1F74" w:rsidRPr="007E57A2">
        <w:rPr>
          <w:rFonts w:ascii="Arial" w:hAnsi="Arial" w:cs="Arial"/>
          <w:color w:val="000000"/>
          <w:kern w:val="0"/>
          <w:sz w:val="22"/>
          <w:szCs w:val="22"/>
          <w:u w:color="0B4CB4"/>
        </w:rPr>
        <w:t xml:space="preserve">Available at: </w:t>
      </w:r>
      <w:r w:rsidRPr="007E57A2">
        <w:rPr>
          <w:rFonts w:ascii="Arial" w:hAnsi="Arial" w:cs="Arial"/>
          <w:i/>
          <w:iCs/>
          <w:color w:val="000000"/>
          <w:kern w:val="0"/>
          <w:sz w:val="22"/>
          <w:szCs w:val="22"/>
          <w:u w:color="0B4CB4"/>
        </w:rPr>
        <w:t xml:space="preserve"> </w:t>
      </w:r>
      <w:hyperlink r:id="rId34" w:history="1">
        <w:r w:rsidRPr="007E57A2">
          <w:rPr>
            <w:rFonts w:ascii="Arial" w:hAnsi="Arial" w:cs="Arial"/>
            <w:color w:val="0B4CB4"/>
            <w:kern w:val="0"/>
            <w:sz w:val="22"/>
            <w:szCs w:val="22"/>
            <w:u w:val="single" w:color="0B4CB4"/>
          </w:rPr>
          <w:t>https://hrexecutive.com/pwcs-playbook-for-creating-skilled-critical-thinkers-in-the-age-of-ai/</w:t>
        </w:r>
      </w:hyperlink>
      <w:r w:rsidRPr="007E57A2">
        <w:rPr>
          <w:rFonts w:ascii="Arial" w:hAnsi="Arial" w:cs="Arial"/>
          <w:color w:val="000000"/>
          <w:kern w:val="0"/>
          <w:sz w:val="22"/>
          <w:szCs w:val="22"/>
          <w:u w:color="0B4CB4"/>
        </w:rPr>
        <w:t xml:space="preserve"> </w:t>
      </w:r>
      <w:r w:rsidR="009A1F74">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18 January 2026</w:t>
      </w:r>
      <w:r w:rsidR="009A1F74">
        <w:rPr>
          <w:rFonts w:ascii="Arial" w:hAnsi="Arial" w:cs="Arial"/>
          <w:color w:val="000000"/>
          <w:kern w:val="0"/>
          <w:sz w:val="22"/>
          <w:szCs w:val="22"/>
          <w:u w:color="0B4CB4"/>
        </w:rPr>
        <w:t xml:space="preserve">). </w:t>
      </w:r>
    </w:p>
    <w:p w14:paraId="61C2D8D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val="single" w:color="0B4CB4"/>
        </w:rPr>
      </w:pPr>
    </w:p>
    <w:p w14:paraId="0B06742D" w14:textId="72A189A6"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Dale, G. (2019) </w:t>
      </w:r>
      <w:r w:rsidRPr="007E57A2">
        <w:rPr>
          <w:rFonts w:ascii="Arial" w:hAnsi="Arial" w:cs="Arial"/>
          <w:i/>
          <w:iCs/>
          <w:color w:val="000000"/>
          <w:kern w:val="0"/>
          <w:sz w:val="22"/>
          <w:szCs w:val="22"/>
          <w:u w:color="0B4CB4"/>
        </w:rPr>
        <w:t>Absence data: how to use staff sickness absence data</w:t>
      </w:r>
      <w:r w:rsidR="00C919A3">
        <w:rPr>
          <w:rFonts w:ascii="Arial" w:hAnsi="Arial" w:cs="Arial"/>
          <w:i/>
          <w:iCs/>
          <w:color w:val="000000"/>
          <w:kern w:val="0"/>
          <w:sz w:val="22"/>
          <w:szCs w:val="22"/>
          <w:u w:color="0B4CB4"/>
        </w:rPr>
        <w:t>.</w:t>
      </w:r>
      <w:r w:rsidR="00C919A3" w:rsidRPr="00C919A3">
        <w:rPr>
          <w:rFonts w:ascii="Arial" w:hAnsi="Arial" w:cs="Arial"/>
          <w:color w:val="000000"/>
          <w:kern w:val="0"/>
          <w:sz w:val="22"/>
          <w:szCs w:val="22"/>
          <w:u w:color="0B4CB4"/>
        </w:rPr>
        <w:t xml:space="preserve"> Available at: </w:t>
      </w:r>
      <w:hyperlink r:id="rId35" w:history="1">
        <w:r w:rsidR="00C919A3" w:rsidRPr="00A5288F">
          <w:rPr>
            <w:rStyle w:val="Hyperlink"/>
            <w:rFonts w:ascii="Arial" w:hAnsi="Arial" w:cs="Arial"/>
            <w:kern w:val="0"/>
            <w:sz w:val="22"/>
            <w:szCs w:val="22"/>
          </w:rPr>
          <w:t>https://www.myhrtoolkit.com/blog/absence-data</w:t>
        </w:r>
      </w:hyperlink>
      <w:r w:rsidRPr="007E57A2">
        <w:rPr>
          <w:rFonts w:ascii="Arial" w:hAnsi="Arial" w:cs="Arial"/>
          <w:color w:val="000000"/>
          <w:kern w:val="0"/>
          <w:sz w:val="22"/>
          <w:szCs w:val="22"/>
          <w:u w:color="0B4CB4"/>
        </w:rPr>
        <w:t xml:space="preserve"> </w:t>
      </w:r>
      <w:r w:rsidR="00C919A3">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27 January 2026</w:t>
      </w:r>
      <w:r w:rsidR="00C919A3">
        <w:rPr>
          <w:rFonts w:ascii="Arial" w:hAnsi="Arial" w:cs="Arial"/>
          <w:color w:val="000000"/>
          <w:kern w:val="0"/>
          <w:sz w:val="22"/>
          <w:szCs w:val="22"/>
          <w:u w:color="0B4CB4"/>
        </w:rPr>
        <w:t>)</w:t>
      </w:r>
    </w:p>
    <w:p w14:paraId="11A3865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val="single" w:color="0B4CB4"/>
        </w:rPr>
      </w:pPr>
    </w:p>
    <w:p w14:paraId="49648C1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De Beer, L. </w:t>
      </w:r>
      <w:proofErr w:type="gramStart"/>
      <w:r w:rsidRPr="007E57A2">
        <w:rPr>
          <w:rFonts w:ascii="Arial" w:hAnsi="Arial" w:cs="Arial"/>
          <w:color w:val="000000"/>
          <w:kern w:val="0"/>
          <w:sz w:val="22"/>
          <w:szCs w:val="22"/>
          <w:u w:color="0B4CB4"/>
        </w:rPr>
        <w:t>T .</w:t>
      </w:r>
      <w:proofErr w:type="gramEnd"/>
      <w:r w:rsidRPr="007E57A2">
        <w:rPr>
          <w:rFonts w:ascii="Arial" w:hAnsi="Arial" w:cs="Arial"/>
          <w:color w:val="000000"/>
          <w:kern w:val="0"/>
          <w:sz w:val="22"/>
          <w:szCs w:val="22"/>
          <w:u w:color="0B4CB4"/>
        </w:rPr>
        <w:t xml:space="preserve"> And Schaufeli, W. B (2024) ‘Casting a Wider Net: On the Utilitarian Nature of Burnout Assessment in the Workplace’, </w:t>
      </w:r>
      <w:r w:rsidRPr="007E57A2">
        <w:rPr>
          <w:rFonts w:ascii="Arial" w:hAnsi="Arial" w:cs="Arial"/>
          <w:i/>
          <w:iCs/>
          <w:color w:val="000000"/>
          <w:kern w:val="0"/>
          <w:sz w:val="22"/>
          <w:szCs w:val="22"/>
          <w:u w:color="0B4CB4"/>
        </w:rPr>
        <w:t>Eval Health Prof.</w:t>
      </w:r>
      <w:r w:rsidRPr="007E57A2">
        <w:rPr>
          <w:rFonts w:ascii="Arial" w:hAnsi="Arial" w:cs="Arial"/>
          <w:color w:val="000000"/>
          <w:kern w:val="0"/>
          <w:sz w:val="22"/>
          <w:szCs w:val="22"/>
          <w:u w:color="0B4CB4"/>
        </w:rPr>
        <w:t xml:space="preserve"> 31;48(2):238–241. </w:t>
      </w:r>
      <w:proofErr w:type="spellStart"/>
      <w:r w:rsidRPr="007E57A2">
        <w:rPr>
          <w:rFonts w:ascii="Arial" w:hAnsi="Arial" w:cs="Arial"/>
          <w:color w:val="000000"/>
          <w:kern w:val="0"/>
          <w:sz w:val="22"/>
          <w:szCs w:val="22"/>
          <w:u w:color="0B4CB4"/>
        </w:rPr>
        <w:t>doi</w:t>
      </w:r>
      <w:proofErr w:type="spellEnd"/>
      <w:r w:rsidRPr="007E57A2">
        <w:rPr>
          <w:rFonts w:ascii="Arial" w:hAnsi="Arial" w:cs="Arial"/>
          <w:color w:val="000000"/>
          <w:kern w:val="0"/>
          <w:sz w:val="22"/>
          <w:szCs w:val="22"/>
          <w:u w:color="0B4CB4"/>
        </w:rPr>
        <w:t xml:space="preserve">: </w:t>
      </w:r>
      <w:hyperlink r:id="rId36" w:history="1">
        <w:r w:rsidRPr="007E57A2">
          <w:rPr>
            <w:rFonts w:ascii="Arial" w:hAnsi="Arial" w:cs="Arial"/>
            <w:color w:val="000000"/>
            <w:kern w:val="0"/>
            <w:sz w:val="22"/>
            <w:szCs w:val="22"/>
            <w:u w:color="0B4CB4"/>
          </w:rPr>
          <w:t>10.1177/01632787241259032</w:t>
        </w:r>
      </w:hyperlink>
    </w:p>
    <w:p w14:paraId="315F572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1A026C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De Bono, E. (2000) </w:t>
      </w:r>
      <w:r w:rsidRPr="007E57A2">
        <w:rPr>
          <w:rFonts w:ascii="Arial" w:hAnsi="Arial" w:cs="Arial"/>
          <w:i/>
          <w:iCs/>
          <w:color w:val="000000"/>
          <w:kern w:val="0"/>
          <w:sz w:val="22"/>
          <w:szCs w:val="22"/>
          <w:u w:color="0B4CB4"/>
        </w:rPr>
        <w:t>Six Thinking Hats: Revised and Updated,</w:t>
      </w:r>
      <w:r w:rsidRPr="007E57A2">
        <w:rPr>
          <w:rFonts w:ascii="Arial" w:hAnsi="Arial" w:cs="Arial"/>
          <w:color w:val="000000"/>
          <w:kern w:val="0"/>
          <w:sz w:val="22"/>
          <w:szCs w:val="22"/>
          <w:u w:color="0B4CB4"/>
        </w:rPr>
        <w:t xml:space="preserve"> Penguin.</w:t>
      </w:r>
    </w:p>
    <w:p w14:paraId="67FB5F9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318E83B6" w14:textId="281D003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Elder, S. and Nikodem, M. (2023) </w:t>
      </w:r>
      <w:r w:rsidRPr="007E57A2">
        <w:rPr>
          <w:rFonts w:ascii="Arial" w:hAnsi="Arial" w:cs="Arial"/>
          <w:i/>
          <w:iCs/>
          <w:color w:val="000000"/>
          <w:kern w:val="0"/>
          <w:sz w:val="22"/>
          <w:szCs w:val="22"/>
          <w:u w:color="0B4CB4"/>
        </w:rPr>
        <w:t>Considering the application and relevance of evidence-based HR</w:t>
      </w:r>
      <w:r w:rsidR="00D17C1E">
        <w:rPr>
          <w:rFonts w:ascii="Arial" w:hAnsi="Arial" w:cs="Arial"/>
          <w:i/>
          <w:iCs/>
          <w:color w:val="000000"/>
          <w:kern w:val="0"/>
          <w:sz w:val="22"/>
          <w:szCs w:val="22"/>
          <w:u w:color="0B4CB4"/>
        </w:rPr>
        <w:t>.</w:t>
      </w:r>
      <w:r w:rsidRPr="007E57A2">
        <w:rPr>
          <w:rFonts w:ascii="Arial" w:hAnsi="Arial" w:cs="Arial"/>
          <w:color w:val="000000"/>
          <w:kern w:val="0"/>
          <w:sz w:val="22"/>
          <w:szCs w:val="22"/>
          <w:u w:color="0B4CB4"/>
        </w:rPr>
        <w:t xml:space="preserve"> Available at </w:t>
      </w:r>
      <w:hyperlink r:id="rId37" w:history="1">
        <w:r w:rsidRPr="007E57A2">
          <w:rPr>
            <w:rFonts w:ascii="Arial" w:hAnsi="Arial" w:cs="Arial"/>
            <w:color w:val="0B4CB4"/>
            <w:kern w:val="0"/>
            <w:sz w:val="22"/>
            <w:szCs w:val="22"/>
            <w:u w:val="single" w:color="0B4CB4"/>
          </w:rPr>
          <w:t>https://www.peoplemanagement.co.uk/article/1845833/considering-application-relevance-evidence-based-hr</w:t>
        </w:r>
      </w:hyperlink>
      <w:r w:rsidRPr="007E57A2">
        <w:rPr>
          <w:rFonts w:ascii="Arial" w:hAnsi="Arial" w:cs="Arial"/>
          <w:color w:val="000000"/>
          <w:kern w:val="0"/>
          <w:sz w:val="22"/>
          <w:szCs w:val="22"/>
          <w:u w:color="0B4CB4"/>
        </w:rPr>
        <w:t xml:space="preserve">. (Accessed: 23 December 2025). </w:t>
      </w:r>
    </w:p>
    <w:p w14:paraId="435FB9E1"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4A6AC1A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Grundy, T. (2006). ‘Rethinking and reinventing Michael Porter’s five forces model’. </w:t>
      </w:r>
      <w:r w:rsidRPr="007E57A2">
        <w:rPr>
          <w:rFonts w:ascii="Arial" w:hAnsi="Arial" w:cs="Arial"/>
          <w:i/>
          <w:iCs/>
          <w:color w:val="000000"/>
          <w:kern w:val="0"/>
          <w:sz w:val="22"/>
          <w:szCs w:val="22"/>
          <w:u w:color="0B4CB4"/>
        </w:rPr>
        <w:t>Strat. Change</w:t>
      </w:r>
      <w:r w:rsidRPr="007E57A2">
        <w:rPr>
          <w:rFonts w:ascii="Arial" w:hAnsi="Arial" w:cs="Arial"/>
          <w:color w:val="000000"/>
          <w:kern w:val="0"/>
          <w:sz w:val="22"/>
          <w:szCs w:val="22"/>
          <w:u w:color="0B4CB4"/>
        </w:rPr>
        <w:t xml:space="preserve">, 15:21, p 213-229. </w:t>
      </w:r>
    </w:p>
    <w:p w14:paraId="7C9335F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68A6E4B"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Haber, J. and MIT Press. (2020) Critical thinking. 1st ed. Cambridge: The MIT Press.</w:t>
      </w:r>
    </w:p>
    <w:p w14:paraId="7F11D041" w14:textId="77777777" w:rsidR="005E3B6A" w:rsidRPr="007E57A2" w:rsidRDefault="005E3B6A" w:rsidP="00DB0EF9">
      <w:pPr>
        <w:autoSpaceDE w:val="0"/>
        <w:autoSpaceDN w:val="0"/>
        <w:adjustRightInd w:val="0"/>
        <w:spacing w:after="0" w:line="240" w:lineRule="auto"/>
        <w:jc w:val="both"/>
        <w:rPr>
          <w:rFonts w:ascii="Arial" w:hAnsi="Arial" w:cs="Arial"/>
          <w:color w:val="000000"/>
          <w:kern w:val="0"/>
          <w:sz w:val="22"/>
          <w:szCs w:val="22"/>
          <w:u w:color="0B4CB4"/>
        </w:rPr>
      </w:pPr>
    </w:p>
    <w:p w14:paraId="77B60F2E" w14:textId="09D4B0B4" w:rsidR="007E286C" w:rsidRPr="007E57A2" w:rsidRDefault="005E3B6A" w:rsidP="007E57A2">
      <w:pPr>
        <w:autoSpaceDE w:val="0"/>
        <w:autoSpaceDN w:val="0"/>
        <w:adjustRightInd w:val="0"/>
        <w:spacing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Hadlow M (2024) </w:t>
      </w:r>
      <w:r w:rsidRPr="007E57A2">
        <w:rPr>
          <w:rFonts w:ascii="Arial" w:hAnsi="Arial" w:cs="Arial"/>
          <w:i/>
          <w:iCs/>
          <w:color w:val="000000"/>
          <w:kern w:val="0"/>
          <w:sz w:val="22"/>
          <w:szCs w:val="22"/>
          <w:u w:color="0B4CB4"/>
        </w:rPr>
        <w:t>How much does a learning management system cos</w:t>
      </w:r>
      <w:r w:rsidRPr="007E57A2">
        <w:rPr>
          <w:rFonts w:ascii="Arial" w:hAnsi="Arial" w:cs="Arial"/>
          <w:color w:val="000000"/>
          <w:kern w:val="0"/>
          <w:sz w:val="22"/>
          <w:szCs w:val="22"/>
          <w:u w:color="0B4CB4"/>
        </w:rPr>
        <w:t>t?</w:t>
      </w:r>
      <w:r w:rsidR="002105B8" w:rsidRPr="007E57A2">
        <w:rPr>
          <w:rFonts w:ascii="Arial" w:hAnsi="Arial" w:cs="Arial"/>
          <w:color w:val="000000"/>
          <w:kern w:val="0"/>
          <w:sz w:val="22"/>
          <w:szCs w:val="22"/>
          <w:u w:color="0B4CB4"/>
        </w:rPr>
        <w:t xml:space="preserve"> Available at</w:t>
      </w:r>
      <w:r w:rsidR="00D17C1E">
        <w:rPr>
          <w:rFonts w:ascii="Arial" w:hAnsi="Arial" w:cs="Arial"/>
          <w:color w:val="000000"/>
          <w:kern w:val="0"/>
          <w:sz w:val="22"/>
          <w:szCs w:val="22"/>
          <w:u w:color="0B4CB4"/>
        </w:rPr>
        <w:t xml:space="preserve">: </w:t>
      </w:r>
      <w:hyperlink r:id="rId38" w:history="1">
        <w:r w:rsidR="00D17C1E" w:rsidRPr="00A5288F">
          <w:rPr>
            <w:rStyle w:val="Hyperlink"/>
            <w:rFonts w:ascii="Arial" w:hAnsi="Arial" w:cs="Arial"/>
            <w:kern w:val="0"/>
            <w:sz w:val="22"/>
            <w:szCs w:val="22"/>
          </w:rPr>
          <w:t>https://www.theaccessgroup.com/en-gb/digital-learning/software/learning-management-system/how-much-does-a-learning-management-system-cost/</w:t>
        </w:r>
      </w:hyperlink>
      <w:r w:rsidR="002105B8" w:rsidRPr="007E57A2">
        <w:rPr>
          <w:rFonts w:ascii="Arial" w:hAnsi="Arial" w:cs="Arial"/>
          <w:color w:val="000000"/>
          <w:kern w:val="0"/>
          <w:sz w:val="22"/>
          <w:szCs w:val="22"/>
          <w:u w:color="0B4CB4"/>
        </w:rPr>
        <w:t xml:space="preserve">. (Accessed 30 January 2026). </w:t>
      </w:r>
    </w:p>
    <w:p w14:paraId="76466FE6" w14:textId="7987DCED" w:rsidR="00D17C1E" w:rsidRDefault="007E286C" w:rsidP="00D17C1E">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Harvard Business Review</w:t>
      </w:r>
      <w:r w:rsidR="00D17C1E">
        <w:rPr>
          <w:rFonts w:ascii="Arial" w:hAnsi="Arial" w:cs="Arial"/>
          <w:color w:val="000000"/>
          <w:kern w:val="0"/>
          <w:sz w:val="22"/>
          <w:szCs w:val="22"/>
          <w:u w:color="0B4CB4"/>
        </w:rPr>
        <w:t xml:space="preserve"> (no date). Available at:</w:t>
      </w:r>
      <w:r w:rsidRPr="007E57A2">
        <w:rPr>
          <w:rFonts w:ascii="Arial" w:hAnsi="Arial" w:cs="Arial"/>
          <w:color w:val="000000"/>
          <w:kern w:val="0"/>
          <w:sz w:val="22"/>
          <w:szCs w:val="22"/>
          <w:u w:color="0B4CB4"/>
        </w:rPr>
        <w:t xml:space="preserve"> </w:t>
      </w:r>
      <w:hyperlink r:id="rId39" w:history="1">
        <w:r w:rsidRPr="007E57A2">
          <w:rPr>
            <w:rFonts w:ascii="Arial" w:hAnsi="Arial" w:cs="Arial"/>
            <w:color w:val="000000"/>
            <w:kern w:val="0"/>
            <w:sz w:val="22"/>
            <w:szCs w:val="22"/>
            <w:u w:val="single" w:color="0B4CB4"/>
          </w:rPr>
          <w:t>https://www.isc.hbs.edu/strategy/business-strategy/Pages/the-five-forces.aspx</w:t>
        </w:r>
      </w:hyperlink>
      <w:r w:rsidRPr="007E57A2">
        <w:rPr>
          <w:rFonts w:ascii="Arial" w:hAnsi="Arial" w:cs="Arial"/>
          <w:color w:val="000000"/>
          <w:kern w:val="0"/>
          <w:sz w:val="22"/>
          <w:szCs w:val="22"/>
          <w:u w:color="0B4CB4"/>
        </w:rPr>
        <w:t xml:space="preserve"> </w:t>
      </w:r>
      <w:r w:rsidR="00D17C1E">
        <w:rPr>
          <w:rFonts w:ascii="Arial" w:hAnsi="Arial" w:cs="Arial"/>
          <w:color w:val="000000"/>
          <w:kern w:val="0"/>
          <w:sz w:val="22"/>
          <w:szCs w:val="22"/>
          <w:u w:color="0B4CB4"/>
        </w:rPr>
        <w:t xml:space="preserve">(Accessed 29 January 2026). </w:t>
      </w:r>
    </w:p>
    <w:p w14:paraId="7C8BA615" w14:textId="073FC8E3"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46F72B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29065FE" w14:textId="7193BD96"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Hayes, F. (2025) </w:t>
      </w:r>
      <w:r w:rsidRPr="007E57A2">
        <w:rPr>
          <w:rFonts w:ascii="Arial" w:hAnsi="Arial" w:cs="Arial"/>
          <w:i/>
          <w:iCs/>
          <w:color w:val="000000"/>
          <w:kern w:val="0"/>
          <w:sz w:val="22"/>
          <w:szCs w:val="22"/>
          <w:u w:color="0B4CB4"/>
        </w:rPr>
        <w:t xml:space="preserve">How to Analyse Absence Data for Better Workforce Decisions. </w:t>
      </w:r>
      <w:r w:rsidRPr="007E57A2">
        <w:rPr>
          <w:rFonts w:ascii="Arial" w:hAnsi="Arial" w:cs="Arial"/>
          <w:color w:val="000000"/>
          <w:kern w:val="0"/>
          <w:sz w:val="22"/>
          <w:szCs w:val="22"/>
          <w:u w:color="0B4CB4"/>
        </w:rPr>
        <w:t xml:space="preserve">Available at: </w:t>
      </w:r>
      <w:hyperlink r:id="rId40" w:history="1">
        <w:r w:rsidRPr="007E57A2">
          <w:rPr>
            <w:rFonts w:ascii="Arial" w:hAnsi="Arial" w:cs="Arial"/>
            <w:color w:val="000000"/>
            <w:kern w:val="0"/>
            <w:sz w:val="22"/>
            <w:szCs w:val="22"/>
            <w:u w:val="single" w:color="0B4CB4"/>
          </w:rPr>
          <w:t>https://www.theaccessgroup.com/en-gb/blog/hcm-visualising-your-absence-data/</w:t>
        </w:r>
      </w:hyperlink>
      <w:r w:rsidRPr="007E57A2">
        <w:rPr>
          <w:rFonts w:ascii="Arial" w:hAnsi="Arial" w:cs="Arial"/>
          <w:color w:val="000000"/>
          <w:kern w:val="0"/>
          <w:sz w:val="22"/>
          <w:szCs w:val="22"/>
          <w:u w:color="0B4CB4"/>
        </w:rPr>
        <w:t xml:space="preserve"> (Accessed</w:t>
      </w:r>
      <w:r w:rsidR="00570B85">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29 January 2026). </w:t>
      </w:r>
    </w:p>
    <w:p w14:paraId="48A58BC1" w14:textId="77777777" w:rsidR="007E286C" w:rsidRPr="007E57A2" w:rsidRDefault="007E286C" w:rsidP="00DB0EF9">
      <w:pPr>
        <w:autoSpaceDE w:val="0"/>
        <w:autoSpaceDN w:val="0"/>
        <w:adjustRightInd w:val="0"/>
        <w:spacing w:after="0" w:line="240" w:lineRule="auto"/>
        <w:jc w:val="both"/>
        <w:rPr>
          <w:rFonts w:ascii="Arial" w:hAnsi="Arial" w:cs="Arial"/>
          <w:color w:val="2C2C2C"/>
          <w:kern w:val="0"/>
          <w:sz w:val="22"/>
          <w:szCs w:val="22"/>
          <w:u w:color="0B4CB4"/>
        </w:rPr>
      </w:pPr>
    </w:p>
    <w:p w14:paraId="052DB744" w14:textId="0C2F910B" w:rsidR="007E57A2" w:rsidRPr="007E57A2" w:rsidRDefault="007E57A2" w:rsidP="007E57A2">
      <w:pPr>
        <w:autoSpaceDE w:val="0"/>
        <w:autoSpaceDN w:val="0"/>
        <w:adjustRightInd w:val="0"/>
        <w:spacing w:after="0" w:line="240" w:lineRule="auto"/>
        <w:jc w:val="both"/>
        <w:rPr>
          <w:rFonts w:ascii="Arial" w:hAnsi="Arial" w:cs="Arial"/>
          <w:color w:val="2C2C2C"/>
          <w:kern w:val="0"/>
          <w:sz w:val="22"/>
          <w:szCs w:val="22"/>
          <w:u w:color="0B4CB4"/>
        </w:rPr>
      </w:pPr>
      <w:r w:rsidRPr="007E57A2">
        <w:rPr>
          <w:rFonts w:ascii="Arial" w:hAnsi="Arial" w:cs="Arial"/>
          <w:color w:val="2C2C2C"/>
          <w:kern w:val="0"/>
          <w:sz w:val="22"/>
          <w:szCs w:val="22"/>
          <w:u w:color="0B4CB4"/>
        </w:rPr>
        <w:t xml:space="preserve">HSE (2012) </w:t>
      </w:r>
      <w:r w:rsidRPr="007E57A2">
        <w:rPr>
          <w:rFonts w:ascii="Arial" w:hAnsi="Arial" w:cs="Arial"/>
          <w:i/>
          <w:iCs/>
          <w:color w:val="2C2C2C"/>
          <w:kern w:val="0"/>
          <w:sz w:val="22"/>
          <w:szCs w:val="22"/>
          <w:u w:color="0B4CB4"/>
        </w:rPr>
        <w:t>Electrical safety and you: A brief guide</w:t>
      </w:r>
      <w:r w:rsidRPr="007E57A2">
        <w:rPr>
          <w:rFonts w:ascii="Arial" w:hAnsi="Arial" w:cs="Arial"/>
          <w:color w:val="2C2C2C"/>
          <w:kern w:val="0"/>
          <w:sz w:val="22"/>
          <w:szCs w:val="22"/>
          <w:u w:color="0B4CB4"/>
        </w:rPr>
        <w:t xml:space="preserve">. Available at: </w:t>
      </w:r>
      <w:hyperlink r:id="rId41" w:history="1">
        <w:r w:rsidRPr="007E57A2">
          <w:rPr>
            <w:rStyle w:val="Hyperlink"/>
            <w:rFonts w:ascii="Arial" w:hAnsi="Arial" w:cs="Arial"/>
            <w:kern w:val="0"/>
            <w:sz w:val="22"/>
            <w:szCs w:val="22"/>
          </w:rPr>
          <w:t>https://www.hse.gov.uk/pubns/indg231.htm</w:t>
        </w:r>
      </w:hyperlink>
      <w:r w:rsidRPr="007E57A2">
        <w:rPr>
          <w:rFonts w:ascii="Arial" w:hAnsi="Arial" w:cs="Arial"/>
          <w:color w:val="2C2C2C"/>
          <w:kern w:val="0"/>
          <w:sz w:val="22"/>
          <w:szCs w:val="22"/>
          <w:u w:color="0B4CB4"/>
        </w:rPr>
        <w:t xml:space="preserve">. (Accessed 30 January 2026). </w:t>
      </w:r>
    </w:p>
    <w:p w14:paraId="13E037E2" w14:textId="77777777" w:rsidR="007E57A2" w:rsidRPr="007E57A2" w:rsidRDefault="007E57A2" w:rsidP="00DB0EF9">
      <w:pPr>
        <w:autoSpaceDE w:val="0"/>
        <w:autoSpaceDN w:val="0"/>
        <w:adjustRightInd w:val="0"/>
        <w:spacing w:after="0" w:line="240" w:lineRule="auto"/>
        <w:jc w:val="both"/>
        <w:rPr>
          <w:rFonts w:ascii="Arial" w:hAnsi="Arial" w:cs="Arial"/>
          <w:color w:val="2C2C2C"/>
          <w:kern w:val="0"/>
          <w:sz w:val="22"/>
          <w:szCs w:val="22"/>
          <w:u w:color="0B4CB4"/>
        </w:rPr>
      </w:pPr>
    </w:p>
    <w:p w14:paraId="7072504C" w14:textId="523397B7" w:rsidR="007E57A2" w:rsidRPr="007E57A2" w:rsidRDefault="007E57A2" w:rsidP="00DB0EF9">
      <w:pPr>
        <w:autoSpaceDE w:val="0"/>
        <w:autoSpaceDN w:val="0"/>
        <w:adjustRightInd w:val="0"/>
        <w:spacing w:after="0" w:line="240" w:lineRule="auto"/>
        <w:jc w:val="both"/>
        <w:rPr>
          <w:rFonts w:ascii="Arial" w:hAnsi="Arial" w:cs="Arial"/>
          <w:color w:val="2C2C2C"/>
          <w:kern w:val="0"/>
          <w:sz w:val="22"/>
          <w:szCs w:val="22"/>
          <w:u w:color="0B4CB4"/>
        </w:rPr>
      </w:pPr>
      <w:r w:rsidRPr="007E57A2">
        <w:rPr>
          <w:rFonts w:ascii="Arial" w:hAnsi="Arial" w:cs="Arial"/>
          <w:color w:val="2C2C2C"/>
          <w:kern w:val="0"/>
          <w:sz w:val="22"/>
          <w:szCs w:val="22"/>
          <w:u w:color="0B4CB4"/>
        </w:rPr>
        <w:t xml:space="preserve">HSE (2025) </w:t>
      </w:r>
      <w:r w:rsidRPr="007E57A2">
        <w:rPr>
          <w:rFonts w:ascii="Arial" w:hAnsi="Arial" w:cs="Arial"/>
          <w:i/>
          <w:iCs/>
          <w:color w:val="2C2C2C"/>
          <w:kern w:val="0"/>
          <w:sz w:val="22"/>
          <w:szCs w:val="22"/>
          <w:u w:color="0B4CB4"/>
        </w:rPr>
        <w:t>Manual Handling at Work</w:t>
      </w:r>
      <w:r w:rsidRPr="007E57A2">
        <w:rPr>
          <w:rFonts w:ascii="Arial" w:hAnsi="Arial" w:cs="Arial"/>
          <w:color w:val="2C2C2C"/>
          <w:kern w:val="0"/>
          <w:sz w:val="22"/>
          <w:szCs w:val="22"/>
          <w:u w:color="0B4CB4"/>
        </w:rPr>
        <w:t xml:space="preserve">. Available at </w:t>
      </w:r>
      <w:hyperlink r:id="rId42" w:history="1">
        <w:r w:rsidRPr="007E57A2">
          <w:rPr>
            <w:rStyle w:val="Hyperlink"/>
            <w:rFonts w:ascii="Arial" w:hAnsi="Arial" w:cs="Arial"/>
            <w:kern w:val="0"/>
            <w:sz w:val="22"/>
            <w:szCs w:val="22"/>
          </w:rPr>
          <w:t>https://www.hse.gov.uk/msd/manual-handling/training.htm</w:t>
        </w:r>
      </w:hyperlink>
      <w:r w:rsidRPr="007E57A2">
        <w:rPr>
          <w:rFonts w:ascii="Arial" w:hAnsi="Arial" w:cs="Arial"/>
          <w:color w:val="2C2C2C"/>
          <w:kern w:val="0"/>
          <w:sz w:val="22"/>
          <w:szCs w:val="22"/>
          <w:u w:color="0B4CB4"/>
        </w:rPr>
        <w:t xml:space="preserve">. (Accessed: 30 January 2026). </w:t>
      </w:r>
    </w:p>
    <w:p w14:paraId="19FB78C9" w14:textId="77777777" w:rsidR="007E57A2" w:rsidRPr="007E57A2" w:rsidRDefault="007E57A2" w:rsidP="00DB0EF9">
      <w:pPr>
        <w:autoSpaceDE w:val="0"/>
        <w:autoSpaceDN w:val="0"/>
        <w:adjustRightInd w:val="0"/>
        <w:spacing w:after="0" w:line="240" w:lineRule="auto"/>
        <w:jc w:val="both"/>
        <w:rPr>
          <w:rFonts w:ascii="Arial" w:hAnsi="Arial" w:cs="Arial"/>
          <w:color w:val="2C2C2C"/>
          <w:kern w:val="0"/>
          <w:sz w:val="22"/>
          <w:szCs w:val="22"/>
          <w:u w:color="0B4CB4"/>
        </w:rPr>
      </w:pPr>
    </w:p>
    <w:p w14:paraId="11EF33B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Ivanova, O. E. (2019) ‘Critical Thinking in the Digital Age: Strategies of Human Resource Management’.</w:t>
      </w:r>
      <w:r w:rsidRPr="007E57A2">
        <w:rPr>
          <w:rFonts w:ascii="Arial" w:hAnsi="Arial" w:cs="Arial"/>
          <w:i/>
          <w:iCs/>
          <w:color w:val="000000"/>
          <w:kern w:val="0"/>
          <w:sz w:val="22"/>
          <w:szCs w:val="22"/>
          <w:u w:color="0B4CB4"/>
        </w:rPr>
        <w:t xml:space="preserve"> Space and Culture</w:t>
      </w:r>
      <w:r w:rsidRPr="007E57A2">
        <w:rPr>
          <w:rFonts w:ascii="Arial" w:hAnsi="Arial" w:cs="Arial"/>
          <w:color w:val="000000"/>
          <w:kern w:val="0"/>
          <w:sz w:val="22"/>
          <w:szCs w:val="22"/>
          <w:u w:color="0B4CB4"/>
        </w:rPr>
        <w:t>, 7, 3, pp 139-148</w:t>
      </w:r>
    </w:p>
    <w:p w14:paraId="209FF40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362B19A" w14:textId="3A77BC16"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McPeck, W (2024) </w:t>
      </w:r>
      <w:r w:rsidRPr="007E57A2">
        <w:rPr>
          <w:rFonts w:ascii="Arial" w:hAnsi="Arial" w:cs="Arial"/>
          <w:i/>
          <w:iCs/>
          <w:color w:val="000000"/>
          <w:kern w:val="0"/>
          <w:sz w:val="22"/>
          <w:szCs w:val="22"/>
          <w:u w:color="0B4CB4"/>
        </w:rPr>
        <w:t xml:space="preserve">Embracing Nuances in Employee Wellbeing </w:t>
      </w:r>
      <w:proofErr w:type="gramStart"/>
      <w:r w:rsidRPr="007E57A2">
        <w:rPr>
          <w:rFonts w:ascii="Arial" w:hAnsi="Arial" w:cs="Arial"/>
          <w:i/>
          <w:iCs/>
          <w:color w:val="000000"/>
          <w:kern w:val="0"/>
          <w:sz w:val="22"/>
          <w:szCs w:val="22"/>
          <w:u w:color="0B4CB4"/>
        </w:rPr>
        <w:t>In</w:t>
      </w:r>
      <w:proofErr w:type="gramEnd"/>
      <w:r w:rsidRPr="007E57A2">
        <w:rPr>
          <w:rFonts w:ascii="Arial" w:hAnsi="Arial" w:cs="Arial"/>
          <w:i/>
          <w:iCs/>
          <w:color w:val="000000"/>
          <w:kern w:val="0"/>
          <w:sz w:val="22"/>
          <w:szCs w:val="22"/>
          <w:u w:color="0B4CB4"/>
        </w:rPr>
        <w:t xml:space="preserve"> Words and Actions.</w:t>
      </w:r>
      <w:r w:rsidRPr="007E57A2">
        <w:rPr>
          <w:rFonts w:ascii="Arial" w:hAnsi="Arial" w:cs="Arial"/>
          <w:color w:val="000000"/>
          <w:kern w:val="0"/>
          <w:sz w:val="22"/>
          <w:szCs w:val="22"/>
          <w:u w:color="0B4CB4"/>
        </w:rPr>
        <w:t xml:space="preserve"> </w:t>
      </w:r>
      <w:r w:rsidR="006B7E35">
        <w:rPr>
          <w:rFonts w:ascii="Arial" w:hAnsi="Arial" w:cs="Arial"/>
          <w:color w:val="000000"/>
          <w:kern w:val="0"/>
          <w:sz w:val="22"/>
          <w:szCs w:val="22"/>
          <w:u w:color="0B4CB4"/>
        </w:rPr>
        <w:t xml:space="preserve">Available at: </w:t>
      </w:r>
      <w:r w:rsidRPr="007E57A2">
        <w:rPr>
          <w:rFonts w:ascii="Arial" w:hAnsi="Arial" w:cs="Arial"/>
          <w:color w:val="000000"/>
          <w:kern w:val="0"/>
          <w:sz w:val="22"/>
          <w:szCs w:val="22"/>
          <w:u w:color="0B4CB4"/>
        </w:rPr>
        <w:t xml:space="preserve">https://www.linkedin.com/pulse/embracing-nuances-employee-wellbeing-words-actions-william-mcpeck-rk9ac#:~:text=Different%20employees%20have%20different%20stressors,well%20as%20each%20employee%20unique. </w:t>
      </w:r>
      <w:r w:rsidR="006B7E35">
        <w:rPr>
          <w:rFonts w:ascii="Arial" w:hAnsi="Arial" w:cs="Arial"/>
          <w:color w:val="000000"/>
          <w:kern w:val="0"/>
          <w:sz w:val="22"/>
          <w:szCs w:val="22"/>
          <w:u w:color="0B4CB4"/>
        </w:rPr>
        <w:t xml:space="preserve">(Accessed 20 January 2026). </w:t>
      </w:r>
    </w:p>
    <w:p w14:paraId="6C4425BA"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D684709" w14:textId="6C299AC0"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Stobierski, T. (2020) </w:t>
      </w:r>
      <w:r w:rsidRPr="007E57A2">
        <w:rPr>
          <w:rFonts w:ascii="Arial" w:hAnsi="Arial" w:cs="Arial"/>
          <w:i/>
          <w:iCs/>
          <w:color w:val="000000"/>
          <w:kern w:val="0"/>
          <w:sz w:val="22"/>
          <w:szCs w:val="22"/>
          <w:u w:color="0B4CB4"/>
        </w:rPr>
        <w:t>Business Insights</w:t>
      </w:r>
      <w:r w:rsidRPr="007E57A2">
        <w:rPr>
          <w:rFonts w:ascii="Arial" w:hAnsi="Arial" w:cs="Arial"/>
          <w:color w:val="000000"/>
          <w:kern w:val="0"/>
          <w:sz w:val="22"/>
          <w:szCs w:val="22"/>
          <w:u w:color="0B4CB4"/>
        </w:rPr>
        <w:t>.</w:t>
      </w:r>
      <w:r w:rsidR="006B7E35">
        <w:rPr>
          <w:rFonts w:ascii="Arial" w:hAnsi="Arial" w:cs="Arial"/>
          <w:color w:val="000000"/>
          <w:kern w:val="0"/>
          <w:sz w:val="22"/>
          <w:szCs w:val="22"/>
          <w:u w:color="0B4CB4"/>
        </w:rPr>
        <w:t xml:space="preserve"> Available at:</w:t>
      </w:r>
      <w:r w:rsidRPr="007E57A2">
        <w:rPr>
          <w:rFonts w:ascii="Arial" w:hAnsi="Arial" w:cs="Arial"/>
          <w:color w:val="000000"/>
          <w:kern w:val="0"/>
          <w:sz w:val="22"/>
          <w:szCs w:val="22"/>
          <w:u w:color="0B4CB4"/>
        </w:rPr>
        <w:t xml:space="preserve"> </w:t>
      </w:r>
      <w:hyperlink r:id="rId43" w:history="1">
        <w:r w:rsidRPr="007E57A2">
          <w:rPr>
            <w:rFonts w:ascii="Arial" w:hAnsi="Arial" w:cs="Arial"/>
            <w:color w:val="000000"/>
            <w:kern w:val="0"/>
            <w:sz w:val="22"/>
            <w:szCs w:val="22"/>
            <w:u w:val="single" w:color="0B4CB4"/>
          </w:rPr>
          <w:t>https://online.hbs.edu/blog/post/financial-performance-measures</w:t>
        </w:r>
      </w:hyperlink>
      <w:r w:rsidRPr="007E57A2">
        <w:rPr>
          <w:rFonts w:ascii="Arial" w:hAnsi="Arial" w:cs="Arial"/>
          <w:color w:val="000000"/>
          <w:kern w:val="0"/>
          <w:sz w:val="22"/>
          <w:szCs w:val="22"/>
          <w:u w:color="0B4CB4"/>
        </w:rPr>
        <w:t xml:space="preserve"> </w:t>
      </w:r>
      <w:r w:rsidR="006B7E35">
        <w:rPr>
          <w:rFonts w:ascii="Arial" w:hAnsi="Arial" w:cs="Arial"/>
          <w:color w:val="000000"/>
          <w:kern w:val="0"/>
          <w:sz w:val="22"/>
          <w:szCs w:val="22"/>
          <w:u w:color="0B4CB4"/>
        </w:rPr>
        <w:t xml:space="preserve">(Accessed </w:t>
      </w:r>
      <w:r w:rsidRPr="007E57A2">
        <w:rPr>
          <w:rFonts w:ascii="Arial" w:hAnsi="Arial" w:cs="Arial"/>
          <w:color w:val="000000"/>
          <w:kern w:val="0"/>
          <w:sz w:val="22"/>
          <w:szCs w:val="22"/>
          <w:u w:color="0B4CB4"/>
        </w:rPr>
        <w:t>29 December 2025</w:t>
      </w:r>
      <w:r w:rsidR="006B7E35">
        <w:rPr>
          <w:rFonts w:ascii="Arial" w:hAnsi="Arial" w:cs="Arial"/>
          <w:color w:val="000000"/>
          <w:kern w:val="0"/>
          <w:sz w:val="22"/>
          <w:szCs w:val="22"/>
          <w:u w:color="0B4CB4"/>
        </w:rPr>
        <w:t xml:space="preserve">). </w:t>
      </w:r>
      <w:r w:rsidRPr="007E57A2">
        <w:rPr>
          <w:rFonts w:ascii="Arial" w:hAnsi="Arial" w:cs="Arial"/>
          <w:color w:val="000000"/>
          <w:kern w:val="0"/>
          <w:sz w:val="22"/>
          <w:szCs w:val="22"/>
          <w:u w:color="0B4CB4"/>
        </w:rPr>
        <w:t xml:space="preserve"> </w:t>
      </w:r>
    </w:p>
    <w:p w14:paraId="7479DE7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259406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Olanipekun, L.O., and </w:t>
      </w:r>
      <w:proofErr w:type="spellStart"/>
      <w:r w:rsidRPr="007E57A2">
        <w:rPr>
          <w:rFonts w:ascii="Arial" w:hAnsi="Arial" w:cs="Arial"/>
          <w:color w:val="000000"/>
          <w:kern w:val="0"/>
          <w:sz w:val="22"/>
          <w:szCs w:val="22"/>
          <w:u w:color="0B4CB4"/>
        </w:rPr>
        <w:t>Jayeoba</w:t>
      </w:r>
      <w:proofErr w:type="spellEnd"/>
      <w:r w:rsidRPr="007E57A2">
        <w:rPr>
          <w:rFonts w:ascii="Arial" w:hAnsi="Arial" w:cs="Arial"/>
          <w:color w:val="000000"/>
          <w:kern w:val="0"/>
          <w:sz w:val="22"/>
          <w:szCs w:val="22"/>
          <w:u w:color="0B4CB4"/>
        </w:rPr>
        <w:t xml:space="preserve"> F.I (2022) ‘ETHICS IN HUMAN RESOURCE MANAGEMENT: A CONCEPTUAL AND THEORETICAL ANALYSIS’, American Journal of Business Management, Economics and Banking, Volume 1. </w:t>
      </w:r>
    </w:p>
    <w:p w14:paraId="35092F0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w:t>
      </w:r>
    </w:p>
    <w:p w14:paraId="3C5CDC9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Schumann, P. (2001). ‘A moral principles framework for human resource management ethics,</w:t>
      </w:r>
    </w:p>
    <w:p w14:paraId="518718D8" w14:textId="0B6D6381"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i/>
          <w:iCs/>
          <w:color w:val="000000"/>
          <w:kern w:val="0"/>
          <w:sz w:val="22"/>
          <w:szCs w:val="22"/>
          <w:u w:color="0B4CB4"/>
        </w:rPr>
        <w:t>Human Resource Management</w:t>
      </w:r>
      <w:r w:rsidRPr="007E57A2">
        <w:rPr>
          <w:rFonts w:ascii="Arial" w:hAnsi="Arial" w:cs="Arial"/>
          <w:color w:val="000000"/>
          <w:kern w:val="0"/>
          <w:sz w:val="22"/>
          <w:szCs w:val="22"/>
          <w:u w:color="0B4CB4"/>
        </w:rPr>
        <w:t xml:space="preserve"> </w:t>
      </w:r>
      <w:r w:rsidRPr="007E57A2">
        <w:rPr>
          <w:rFonts w:ascii="Arial" w:hAnsi="Arial" w:cs="Arial"/>
          <w:i/>
          <w:iCs/>
          <w:color w:val="000000"/>
          <w:kern w:val="0"/>
          <w:sz w:val="22"/>
          <w:szCs w:val="22"/>
          <w:u w:color="0B4CB4"/>
        </w:rPr>
        <w:t>Review</w:t>
      </w:r>
      <w:r w:rsidR="00010F60">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w:t>
      </w:r>
      <w:r w:rsidRPr="007E57A2">
        <w:rPr>
          <w:rFonts w:ascii="Arial" w:hAnsi="Arial" w:cs="Arial"/>
          <w:color w:val="000000"/>
          <w:kern w:val="0"/>
          <w:sz w:val="22"/>
          <w:szCs w:val="22"/>
          <w:u w:color="0B4CB4"/>
        </w:rPr>
        <w:t xml:space="preserve"> </w:t>
      </w:r>
      <w:r w:rsidRPr="00010F60">
        <w:rPr>
          <w:rFonts w:ascii="Arial" w:hAnsi="Arial" w:cs="Arial"/>
          <w:color w:val="000000"/>
          <w:kern w:val="0"/>
          <w:sz w:val="22"/>
          <w:szCs w:val="22"/>
          <w:u w:color="0B4CB4"/>
        </w:rPr>
        <w:t>Volume 11, Issues 1–2, 2001, Pages 93-111</w:t>
      </w:r>
    </w:p>
    <w:p w14:paraId="46D0F2B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8FBD43B"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Seccombe (1995) </w:t>
      </w:r>
      <w:r w:rsidRPr="007E57A2">
        <w:rPr>
          <w:rFonts w:ascii="Arial" w:hAnsi="Arial" w:cs="Arial"/>
          <w:i/>
          <w:iCs/>
          <w:color w:val="000000"/>
          <w:kern w:val="0"/>
          <w:sz w:val="22"/>
          <w:szCs w:val="22"/>
          <w:u w:color="0B4CB4"/>
        </w:rPr>
        <w:t xml:space="preserve">Measuring and Monitoring Absence from Work </w:t>
      </w:r>
      <w:hyperlink r:id="rId44" w:history="1">
        <w:r w:rsidRPr="007E57A2">
          <w:rPr>
            <w:rFonts w:ascii="Arial" w:hAnsi="Arial" w:cs="Arial"/>
            <w:color w:val="000000"/>
            <w:kern w:val="0"/>
            <w:sz w:val="22"/>
            <w:szCs w:val="22"/>
            <w:u w:val="single" w:color="0B4CB4"/>
          </w:rPr>
          <w:t>https://www.employment-studies.co.uk/system/files/resources/files/288.pdf</w:t>
        </w:r>
      </w:hyperlink>
      <w:r w:rsidRPr="007E57A2">
        <w:rPr>
          <w:rFonts w:ascii="Arial" w:hAnsi="Arial" w:cs="Arial"/>
          <w:color w:val="000000"/>
          <w:kern w:val="0"/>
          <w:sz w:val="22"/>
          <w:szCs w:val="22"/>
          <w:u w:color="0B4CB4"/>
        </w:rPr>
        <w:t xml:space="preserve"> </w:t>
      </w:r>
    </w:p>
    <w:p w14:paraId="5009CA6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22A6ABA2" w14:textId="4D14C29B"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Hey, R.B. (2017) Performance Management for the Oil, Gas, and Process Industries, Gulf Professional Publishing, Pp 243-259</w:t>
      </w:r>
      <w:r w:rsidR="00226F7E">
        <w:rPr>
          <w:rFonts w:ascii="Arial" w:hAnsi="Arial" w:cs="Arial"/>
          <w:color w:val="000000"/>
          <w:kern w:val="0"/>
          <w:sz w:val="22"/>
          <w:szCs w:val="22"/>
          <w:u w:color="0B4CB4"/>
        </w:rPr>
        <w:t xml:space="preserve">. </w:t>
      </w:r>
    </w:p>
    <w:p w14:paraId="6F13340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B4DD0D3" w14:textId="4AC0A787" w:rsidR="00570B85" w:rsidRDefault="007E286C" w:rsidP="00570B85">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Hults, B (2011) </w:t>
      </w:r>
      <w:r w:rsidRPr="007E57A2">
        <w:rPr>
          <w:rFonts w:ascii="Arial" w:hAnsi="Arial" w:cs="Arial"/>
          <w:i/>
          <w:iCs/>
          <w:color w:val="000000"/>
          <w:kern w:val="0"/>
          <w:sz w:val="22"/>
          <w:szCs w:val="22"/>
          <w:u w:color="0B4CB4"/>
        </w:rPr>
        <w:t>Why HR Really Does Add Value</w:t>
      </w:r>
      <w:r w:rsidR="00570B85">
        <w:rPr>
          <w:rFonts w:ascii="Arial" w:hAnsi="Arial" w:cs="Arial"/>
          <w:i/>
          <w:iCs/>
          <w:color w:val="000000"/>
          <w:kern w:val="0"/>
          <w:sz w:val="22"/>
          <w:szCs w:val="22"/>
          <w:u w:color="0B4CB4"/>
        </w:rPr>
        <w:t xml:space="preserve">. </w:t>
      </w:r>
      <w:r w:rsidR="00570B85" w:rsidRPr="00570B85">
        <w:rPr>
          <w:rFonts w:ascii="Arial" w:hAnsi="Arial" w:cs="Arial"/>
          <w:color w:val="000000"/>
          <w:kern w:val="0"/>
          <w:sz w:val="22"/>
          <w:szCs w:val="22"/>
          <w:u w:color="0B4CB4"/>
        </w:rPr>
        <w:t>Available at:</w:t>
      </w:r>
      <w:r w:rsidR="00570B85">
        <w:rPr>
          <w:rFonts w:ascii="Arial" w:hAnsi="Arial" w:cs="Arial"/>
          <w:i/>
          <w:iCs/>
          <w:color w:val="000000"/>
          <w:kern w:val="0"/>
          <w:sz w:val="22"/>
          <w:szCs w:val="22"/>
          <w:u w:color="0B4CB4"/>
        </w:rPr>
        <w:t xml:space="preserve"> </w:t>
      </w:r>
      <w:r w:rsidRPr="007E57A2">
        <w:rPr>
          <w:rFonts w:ascii="Arial" w:hAnsi="Arial" w:cs="Arial"/>
          <w:i/>
          <w:iCs/>
          <w:color w:val="000000"/>
          <w:kern w:val="0"/>
          <w:sz w:val="22"/>
          <w:szCs w:val="22"/>
          <w:u w:color="0B4CB4"/>
        </w:rPr>
        <w:t xml:space="preserve"> </w:t>
      </w:r>
      <w:hyperlink r:id="rId45" w:history="1">
        <w:r w:rsidRPr="007E57A2">
          <w:rPr>
            <w:rFonts w:ascii="Arial" w:hAnsi="Arial" w:cs="Arial"/>
            <w:color w:val="000000"/>
            <w:kern w:val="0"/>
            <w:sz w:val="22"/>
            <w:szCs w:val="22"/>
            <w:u w:val="single" w:color="0B4CB4"/>
          </w:rPr>
          <w:t>https://hbr.org/2011/12/why-hr-really-does-add-value</w:t>
        </w:r>
      </w:hyperlink>
      <w:r w:rsidRPr="007E57A2">
        <w:rPr>
          <w:rFonts w:ascii="Arial" w:hAnsi="Arial" w:cs="Arial"/>
          <w:color w:val="000000"/>
          <w:kern w:val="0"/>
          <w:sz w:val="22"/>
          <w:szCs w:val="22"/>
          <w:u w:color="0B4CB4"/>
        </w:rPr>
        <w:t xml:space="preserve"> </w:t>
      </w:r>
      <w:r w:rsidR="00570B85">
        <w:rPr>
          <w:rFonts w:ascii="Arial" w:hAnsi="Arial" w:cs="Arial"/>
          <w:color w:val="000000"/>
          <w:kern w:val="0"/>
          <w:sz w:val="22"/>
          <w:szCs w:val="22"/>
          <w:u w:color="0B4CB4"/>
        </w:rPr>
        <w:t xml:space="preserve">(Accessed 25 January 2026). </w:t>
      </w:r>
    </w:p>
    <w:p w14:paraId="4EBECF26" w14:textId="73512CAE"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91DB4E8"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3B1E26D"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van der Wiele. T., </w:t>
      </w:r>
      <w:proofErr w:type="spellStart"/>
      <w:r w:rsidRPr="007E57A2">
        <w:rPr>
          <w:rFonts w:ascii="Arial" w:hAnsi="Arial" w:cs="Arial"/>
          <w:color w:val="000000"/>
          <w:kern w:val="0"/>
          <w:sz w:val="22"/>
          <w:szCs w:val="22"/>
          <w:u w:color="0B4CB4"/>
        </w:rPr>
        <w:t>Boselie</w:t>
      </w:r>
      <w:proofErr w:type="spellEnd"/>
      <w:r w:rsidRPr="007E57A2">
        <w:rPr>
          <w:rFonts w:ascii="Arial" w:hAnsi="Arial" w:cs="Arial"/>
          <w:color w:val="000000"/>
          <w:kern w:val="0"/>
          <w:sz w:val="22"/>
          <w:szCs w:val="22"/>
          <w:u w:color="0B4CB4"/>
        </w:rPr>
        <w:t>, P., and Hesselink, M. (2002) ‘Empirical evidence for the relationship between customer satisfaction and business performance’, volume 12, issue 3, pp. 184 -193</w:t>
      </w:r>
    </w:p>
    <w:p w14:paraId="6A4847A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1F12276"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color w:val="000000"/>
          <w:kern w:val="0"/>
          <w:sz w:val="22"/>
          <w:szCs w:val="22"/>
          <w:u w:color="0B4CB4"/>
        </w:rPr>
        <w:t xml:space="preserve">Patre, S. (2016) ‘Six Thinking Hats Approach to HR Analytics’, </w:t>
      </w:r>
      <w:r w:rsidRPr="007E57A2">
        <w:rPr>
          <w:rFonts w:ascii="Arial" w:hAnsi="Arial" w:cs="Arial"/>
          <w:i/>
          <w:iCs/>
          <w:color w:val="000000"/>
          <w:kern w:val="0"/>
          <w:sz w:val="22"/>
          <w:szCs w:val="22"/>
          <w:u w:color="0B4CB4"/>
        </w:rPr>
        <w:t xml:space="preserve">South Asian Journal of Human Resources Management, </w:t>
      </w:r>
      <w:r w:rsidRPr="007E57A2">
        <w:rPr>
          <w:rFonts w:ascii="Arial" w:hAnsi="Arial" w:cs="Arial"/>
          <w:color w:val="000000"/>
          <w:kern w:val="0"/>
          <w:sz w:val="22"/>
          <w:szCs w:val="22"/>
          <w:u w:color="0B4CB4"/>
        </w:rPr>
        <w:t>3(2) 191–199</w:t>
      </w:r>
    </w:p>
    <w:p w14:paraId="4AC3F86F"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p>
    <w:p w14:paraId="5B1EA5FF" w14:textId="6D657D92"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i/>
          <w:iCs/>
          <w:color w:val="000000"/>
          <w:kern w:val="0"/>
          <w:sz w:val="22"/>
          <w:szCs w:val="22"/>
          <w:u w:color="0B4CB4"/>
        </w:rPr>
        <w:t>Pearson, J. (2019) Six thinking hats</w:t>
      </w:r>
      <w:r w:rsidR="00010F60">
        <w:rPr>
          <w:rFonts w:ascii="Arial" w:hAnsi="Arial" w:cs="Arial"/>
          <w:i/>
          <w:iCs/>
          <w:color w:val="000000"/>
          <w:kern w:val="0"/>
          <w:sz w:val="22"/>
          <w:szCs w:val="22"/>
          <w:u w:color="0B4CB4"/>
        </w:rPr>
        <w:t>.</w:t>
      </w:r>
      <w:r w:rsidRPr="007E57A2">
        <w:rPr>
          <w:rFonts w:ascii="Arial" w:hAnsi="Arial" w:cs="Arial"/>
          <w:i/>
          <w:iCs/>
          <w:color w:val="000000"/>
          <w:kern w:val="0"/>
          <w:sz w:val="22"/>
          <w:szCs w:val="22"/>
          <w:u w:color="0B4CB4"/>
        </w:rPr>
        <w:t xml:space="preserve"> </w:t>
      </w:r>
      <w:r w:rsidR="00010F60" w:rsidRPr="00010F60">
        <w:rPr>
          <w:rFonts w:ascii="Arial" w:hAnsi="Arial" w:cs="Arial"/>
          <w:color w:val="000000"/>
          <w:kern w:val="0"/>
          <w:sz w:val="22"/>
          <w:szCs w:val="22"/>
          <w:u w:color="0B4CB4"/>
        </w:rPr>
        <w:t>A</w:t>
      </w:r>
      <w:r w:rsidRPr="00010F60">
        <w:rPr>
          <w:rFonts w:ascii="Arial" w:hAnsi="Arial" w:cs="Arial"/>
          <w:color w:val="000000"/>
          <w:kern w:val="0"/>
          <w:sz w:val="22"/>
          <w:szCs w:val="22"/>
          <w:u w:color="0B4CB4"/>
        </w:rPr>
        <w:t>vailable at</w:t>
      </w:r>
      <w:r w:rsidRPr="007E57A2">
        <w:rPr>
          <w:rFonts w:ascii="Arial" w:hAnsi="Arial" w:cs="Arial"/>
          <w:i/>
          <w:iCs/>
          <w:color w:val="000000"/>
          <w:kern w:val="0"/>
          <w:sz w:val="22"/>
          <w:szCs w:val="22"/>
          <w:u w:color="0B4CB4"/>
        </w:rPr>
        <w:t xml:space="preserve"> </w:t>
      </w:r>
      <w:hyperlink r:id="rId46" w:history="1">
        <w:r w:rsidRPr="007E57A2">
          <w:rPr>
            <w:rFonts w:ascii="Arial" w:hAnsi="Arial" w:cs="Arial"/>
            <w:color w:val="000000"/>
            <w:kern w:val="0"/>
            <w:sz w:val="22"/>
            <w:szCs w:val="22"/>
            <w:u w:val="single" w:color="0B4CB4"/>
          </w:rPr>
          <w:t>https://blogs.kcl.ac.uk/activelearning/2019/05/17/six-thinking-hats/</w:t>
        </w:r>
      </w:hyperlink>
      <w:r w:rsidRPr="007E57A2">
        <w:rPr>
          <w:rFonts w:ascii="Arial" w:hAnsi="Arial" w:cs="Arial"/>
          <w:color w:val="000000"/>
          <w:kern w:val="0"/>
          <w:sz w:val="22"/>
          <w:szCs w:val="22"/>
          <w:u w:color="0B4CB4"/>
        </w:rPr>
        <w:t xml:space="preserve"> (Accessed: 30 January 2026). </w:t>
      </w:r>
    </w:p>
    <w:p w14:paraId="41D3022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5BE7C859" w14:textId="3C24E493" w:rsidR="00570B85" w:rsidRDefault="007E286C" w:rsidP="00570B85">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lastRenderedPageBreak/>
        <w:t xml:space="preserve">Prudence, K. (2023) </w:t>
      </w:r>
      <w:r w:rsidRPr="007E57A2">
        <w:rPr>
          <w:rFonts w:ascii="Arial" w:hAnsi="Arial" w:cs="Arial"/>
          <w:i/>
          <w:iCs/>
          <w:color w:val="000000"/>
          <w:kern w:val="0"/>
          <w:sz w:val="22"/>
          <w:szCs w:val="22"/>
          <w:u w:color="0B4CB4"/>
        </w:rPr>
        <w:t>The Four Most Important Customer Satisfaction Metrics</w:t>
      </w:r>
      <w:r w:rsidR="00570B85">
        <w:rPr>
          <w:rFonts w:ascii="Arial" w:hAnsi="Arial" w:cs="Arial"/>
          <w:i/>
          <w:iCs/>
          <w:color w:val="000000"/>
          <w:kern w:val="0"/>
          <w:sz w:val="22"/>
          <w:szCs w:val="22"/>
          <w:u w:color="0B4CB4"/>
        </w:rPr>
        <w:t>.</w:t>
      </w:r>
      <w:r w:rsidR="00570B85" w:rsidRPr="00570B85">
        <w:rPr>
          <w:rFonts w:ascii="Arial" w:hAnsi="Arial" w:cs="Arial"/>
          <w:color w:val="000000"/>
          <w:kern w:val="0"/>
          <w:sz w:val="22"/>
          <w:szCs w:val="22"/>
          <w:u w:color="0B4CB4"/>
        </w:rPr>
        <w:t xml:space="preserve"> Available at: </w:t>
      </w:r>
      <w:hyperlink r:id="rId47" w:history="1">
        <w:r w:rsidR="00570B85" w:rsidRPr="00A5288F">
          <w:rPr>
            <w:rStyle w:val="Hyperlink"/>
            <w:rFonts w:ascii="Arial" w:hAnsi="Arial" w:cs="Arial"/>
            <w:kern w:val="0"/>
            <w:sz w:val="22"/>
            <w:szCs w:val="22"/>
          </w:rPr>
          <w:t>https://www.hanoverresearch.com/insights-blog/corporate/four-most-important-customer-satisfaction-metrics/</w:t>
        </w:r>
      </w:hyperlink>
      <w:r w:rsidR="00570B85">
        <w:rPr>
          <w:rFonts w:ascii="Arial" w:hAnsi="Arial" w:cs="Arial"/>
          <w:color w:val="000000"/>
          <w:kern w:val="0"/>
          <w:sz w:val="22"/>
          <w:szCs w:val="22"/>
          <w:u w:color="0B4CB4"/>
        </w:rPr>
        <w:t xml:space="preserve">. (Accessed 15 January 2026). </w:t>
      </w:r>
    </w:p>
    <w:p w14:paraId="03C84CC3" w14:textId="65FDE428" w:rsidR="00CA3D94" w:rsidRPr="007E57A2" w:rsidRDefault="00CA3D94" w:rsidP="00DB0EF9">
      <w:pPr>
        <w:autoSpaceDE w:val="0"/>
        <w:autoSpaceDN w:val="0"/>
        <w:adjustRightInd w:val="0"/>
        <w:spacing w:after="0" w:line="240" w:lineRule="auto"/>
        <w:jc w:val="both"/>
        <w:rPr>
          <w:rFonts w:ascii="Arial" w:hAnsi="Arial" w:cs="Arial"/>
          <w:color w:val="000000"/>
          <w:kern w:val="0"/>
          <w:sz w:val="22"/>
          <w:szCs w:val="22"/>
          <w:u w:color="0B4CB4"/>
        </w:rPr>
      </w:pPr>
    </w:p>
    <w:p w14:paraId="62135AAA" w14:textId="77777777" w:rsidR="00CA3D94" w:rsidRPr="007E57A2" w:rsidRDefault="00CA3D94" w:rsidP="00DB0EF9">
      <w:pPr>
        <w:autoSpaceDE w:val="0"/>
        <w:autoSpaceDN w:val="0"/>
        <w:adjustRightInd w:val="0"/>
        <w:spacing w:after="0" w:line="240" w:lineRule="auto"/>
        <w:jc w:val="both"/>
        <w:rPr>
          <w:rFonts w:ascii="Arial" w:hAnsi="Arial" w:cs="Arial"/>
          <w:color w:val="000000"/>
          <w:kern w:val="0"/>
          <w:sz w:val="22"/>
          <w:szCs w:val="22"/>
          <w:u w:color="0B4CB4"/>
        </w:rPr>
      </w:pPr>
    </w:p>
    <w:p w14:paraId="0165A2D8" w14:textId="3CEB22E8" w:rsidR="00CA3D94" w:rsidRPr="007E57A2" w:rsidRDefault="00CA3D94" w:rsidP="00CA3D94">
      <w:pPr>
        <w:autoSpaceDE w:val="0"/>
        <w:autoSpaceDN w:val="0"/>
        <w:adjustRightInd w:val="0"/>
        <w:spacing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PwC (2020a) </w:t>
      </w:r>
      <w:r w:rsidRPr="007E57A2">
        <w:rPr>
          <w:rFonts w:ascii="Arial" w:hAnsi="Arial" w:cs="Arial"/>
          <w:i/>
          <w:iCs/>
          <w:color w:val="000000"/>
          <w:kern w:val="0"/>
          <w:sz w:val="22"/>
          <w:szCs w:val="22"/>
          <w:u w:color="0B4CB4"/>
        </w:rPr>
        <w:t>PwC’s study into the effectiveness of VR for soft skills training</w:t>
      </w:r>
      <w:r w:rsidRPr="007E57A2">
        <w:rPr>
          <w:rFonts w:ascii="Arial" w:hAnsi="Arial" w:cs="Arial"/>
          <w:color w:val="000000"/>
          <w:kern w:val="0"/>
          <w:sz w:val="22"/>
          <w:szCs w:val="22"/>
          <w:u w:color="0B4CB4"/>
        </w:rPr>
        <w:t xml:space="preserve">. Available at: </w:t>
      </w:r>
      <w:hyperlink r:id="rId48" w:history="1">
        <w:r w:rsidRPr="007E57A2">
          <w:rPr>
            <w:rStyle w:val="Hyperlink"/>
            <w:rFonts w:ascii="Arial" w:hAnsi="Arial" w:cs="Arial"/>
            <w:kern w:val="0"/>
            <w:sz w:val="22"/>
            <w:szCs w:val="22"/>
          </w:rPr>
          <w:t>https://www.pwc.co.uk/services/technology/immersive-technologies/study-into-vr-training-effectiveness.html</w:t>
        </w:r>
      </w:hyperlink>
      <w:r w:rsidRPr="007E57A2">
        <w:rPr>
          <w:rFonts w:ascii="Arial" w:hAnsi="Arial" w:cs="Arial"/>
          <w:color w:val="000000"/>
          <w:kern w:val="0"/>
          <w:sz w:val="22"/>
          <w:szCs w:val="22"/>
          <w:u w:color="0B4CB4"/>
        </w:rPr>
        <w:t xml:space="preserve"> (Accessed: 30 January 2026). </w:t>
      </w:r>
    </w:p>
    <w:p w14:paraId="0F61E365" w14:textId="77777777" w:rsidR="00CA3D94" w:rsidRPr="007E57A2" w:rsidRDefault="00CA3D94" w:rsidP="00010F60">
      <w:pPr>
        <w:autoSpaceDE w:val="0"/>
        <w:autoSpaceDN w:val="0"/>
        <w:adjustRightInd w:val="0"/>
        <w:spacing w:after="0" w:line="240" w:lineRule="auto"/>
        <w:rPr>
          <w:rFonts w:ascii="Arial" w:hAnsi="Arial" w:cs="Arial"/>
          <w:color w:val="000000"/>
          <w:kern w:val="0"/>
          <w:sz w:val="22"/>
          <w:szCs w:val="22"/>
          <w:u w:color="0B4CB4"/>
        </w:rPr>
      </w:pPr>
    </w:p>
    <w:p w14:paraId="3EE67B28" w14:textId="4AD72DD7" w:rsidR="00CA3D94" w:rsidRPr="007E57A2" w:rsidRDefault="00CA3D94" w:rsidP="00010F60">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PwC (2020b) </w:t>
      </w:r>
      <w:r w:rsidRPr="00010F60">
        <w:rPr>
          <w:rFonts w:ascii="Arial" w:hAnsi="Arial" w:cs="Arial"/>
          <w:i/>
          <w:iCs/>
          <w:color w:val="000000"/>
          <w:kern w:val="0"/>
          <w:sz w:val="22"/>
          <w:szCs w:val="22"/>
          <w:u w:color="0B4CB4"/>
        </w:rPr>
        <w:t>The Effectiveness of Virtual Reality Soft Skills Training in the Enterprise: A Study</w:t>
      </w:r>
      <w:r w:rsidR="00010F60">
        <w:rPr>
          <w:rFonts w:ascii="Arial" w:hAnsi="Arial" w:cs="Arial"/>
          <w:color w:val="000000"/>
          <w:kern w:val="0"/>
          <w:sz w:val="22"/>
          <w:szCs w:val="22"/>
          <w:u w:color="0B4CB4"/>
        </w:rPr>
        <w:t xml:space="preserve">. Available at: </w:t>
      </w:r>
      <w:hyperlink r:id="rId49" w:history="1">
        <w:r w:rsidR="00010F60" w:rsidRPr="00A5288F">
          <w:rPr>
            <w:rStyle w:val="Hyperlink"/>
            <w:rFonts w:ascii="Arial" w:hAnsi="Arial" w:cs="Arial"/>
            <w:kern w:val="0"/>
            <w:sz w:val="22"/>
            <w:szCs w:val="22"/>
          </w:rPr>
          <w:t>https://www.pwc.com/us/en/services/consulting/technology/emerging-technology/assets/pwc-understanding-the-effectiveness-of-soft-skills-training-in-the-enterprise-a-study.pdf</w:t>
        </w:r>
      </w:hyperlink>
      <w:r w:rsidR="00010F60">
        <w:rPr>
          <w:rFonts w:ascii="Arial" w:hAnsi="Arial" w:cs="Arial"/>
          <w:color w:val="000000"/>
          <w:kern w:val="0"/>
          <w:sz w:val="22"/>
          <w:szCs w:val="22"/>
          <w:u w:color="0B4CB4"/>
        </w:rPr>
        <w:t xml:space="preserve">. (Accessed 30 January 2026). </w:t>
      </w:r>
    </w:p>
    <w:p w14:paraId="291780A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5B064D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Williams, P., and Naumann, E. (2011) ‘Customer satisfaction and business performance: a firm-level analysis’, Journal of Services Marketing, 25,1, pp 20-32</w:t>
      </w:r>
    </w:p>
    <w:p w14:paraId="5B182B9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94E451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Jo, J., Chadwick, C., and Han, J.H. (2024) ‘How the human resource (HR) function adds strategic value: A relational perspective of the HR function’, Human Resource Management, Volume 63, Issue 1. Pp 5-23. </w:t>
      </w:r>
    </w:p>
    <w:p w14:paraId="5ABE0E8C"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84106B9"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Khurram, A., Hassan, S., and Kurram, S. (2020) ‘Revisiting Porter Five Forces Model: Influence of Non-Governmental Organizations on Competitive Rivalry in Various Economic Sectors’. </w:t>
      </w:r>
      <w:r w:rsidRPr="007E57A2">
        <w:rPr>
          <w:rFonts w:ascii="Arial" w:hAnsi="Arial" w:cs="Arial"/>
          <w:i/>
          <w:iCs/>
          <w:color w:val="000000"/>
          <w:kern w:val="0"/>
          <w:sz w:val="22"/>
          <w:szCs w:val="22"/>
          <w:u w:color="0B4CB4"/>
        </w:rPr>
        <w:t>Pakistan Social Sciences Review,</w:t>
      </w:r>
      <w:r w:rsidRPr="007E57A2">
        <w:rPr>
          <w:rFonts w:ascii="Arial" w:hAnsi="Arial" w:cs="Arial"/>
          <w:color w:val="000000"/>
          <w:kern w:val="0"/>
          <w:sz w:val="22"/>
          <w:szCs w:val="22"/>
          <w:u w:color="0B4CB4"/>
        </w:rPr>
        <w:t xml:space="preserve"> Vol. 4, No. 1, pp 1-15. </w:t>
      </w:r>
    </w:p>
    <w:p w14:paraId="01ABB65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337EAD87" w14:textId="3C066FD1"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roofErr w:type="spellStart"/>
      <w:r w:rsidRPr="007E57A2">
        <w:rPr>
          <w:rFonts w:ascii="Arial" w:hAnsi="Arial" w:cs="Arial"/>
          <w:color w:val="000000"/>
          <w:kern w:val="0"/>
          <w:sz w:val="22"/>
          <w:szCs w:val="22"/>
          <w:u w:color="0B4CB4"/>
        </w:rPr>
        <w:t>Klikauer</w:t>
      </w:r>
      <w:proofErr w:type="spellEnd"/>
      <w:r w:rsidRPr="007E57A2">
        <w:rPr>
          <w:rFonts w:ascii="Arial" w:hAnsi="Arial" w:cs="Arial"/>
          <w:color w:val="000000"/>
          <w:kern w:val="0"/>
          <w:sz w:val="22"/>
          <w:szCs w:val="22"/>
          <w:u w:color="0B4CB4"/>
        </w:rPr>
        <w:t>, T. (2014). Morality 5: HRM and Utilitarianism. In: Seven Moralities of Human Resource Management. Palgrave Macmillan, London.</w:t>
      </w:r>
    </w:p>
    <w:p w14:paraId="1DD3D4F0"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29CAAD7" w14:textId="17AAD238"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King, S (2023) </w:t>
      </w:r>
      <w:r w:rsidRPr="007E57A2">
        <w:rPr>
          <w:rFonts w:ascii="Arial" w:hAnsi="Arial" w:cs="Arial"/>
          <w:i/>
          <w:iCs/>
          <w:color w:val="000000"/>
          <w:kern w:val="0"/>
          <w:sz w:val="22"/>
          <w:szCs w:val="22"/>
          <w:u w:color="0B4CB4"/>
        </w:rPr>
        <w:t xml:space="preserve">Workplace sickness absence – what can HR do to reduce it? </w:t>
      </w:r>
      <w:r w:rsidRPr="007E57A2">
        <w:rPr>
          <w:rFonts w:ascii="Arial" w:hAnsi="Arial" w:cs="Arial"/>
          <w:color w:val="000000"/>
          <w:kern w:val="0"/>
          <w:sz w:val="22"/>
          <w:szCs w:val="22"/>
          <w:u w:color="0B4CB4"/>
        </w:rPr>
        <w:t xml:space="preserve"> </w:t>
      </w:r>
      <w:r w:rsidR="00570B85">
        <w:rPr>
          <w:rFonts w:ascii="Arial" w:hAnsi="Arial" w:cs="Arial"/>
          <w:color w:val="000000"/>
          <w:kern w:val="0"/>
          <w:sz w:val="22"/>
          <w:szCs w:val="22"/>
          <w:u w:color="0B4CB4"/>
        </w:rPr>
        <w:t xml:space="preserve">Available at: </w:t>
      </w:r>
      <w:hyperlink r:id="rId50" w:history="1">
        <w:r w:rsidR="00570B85" w:rsidRPr="00A5288F">
          <w:rPr>
            <w:rStyle w:val="Hyperlink"/>
            <w:rFonts w:ascii="Arial" w:hAnsi="Arial" w:cs="Arial"/>
            <w:kern w:val="0"/>
            <w:sz w:val="22"/>
            <w:szCs w:val="22"/>
          </w:rPr>
          <w:t>https://www.peoplemanagement.co.uk/article/1846826/workplace-sickness-absence-–-hr-reduce-it</w:t>
        </w:r>
      </w:hyperlink>
      <w:r w:rsidRPr="007E57A2">
        <w:rPr>
          <w:rFonts w:ascii="Arial" w:hAnsi="Arial" w:cs="Arial"/>
          <w:color w:val="000000"/>
          <w:kern w:val="0"/>
          <w:sz w:val="22"/>
          <w:szCs w:val="22"/>
          <w:u w:color="0B4CB4"/>
        </w:rPr>
        <w:t xml:space="preserve"> </w:t>
      </w:r>
      <w:r w:rsidR="00570B85">
        <w:rPr>
          <w:rFonts w:ascii="Arial" w:hAnsi="Arial" w:cs="Arial"/>
          <w:color w:val="000000"/>
          <w:kern w:val="0"/>
          <w:sz w:val="22"/>
          <w:szCs w:val="22"/>
          <w:u w:color="0B4CB4"/>
        </w:rPr>
        <w:t xml:space="preserve">(Accessed 14January 2026). </w:t>
      </w:r>
    </w:p>
    <w:p w14:paraId="2F52E80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A9C19EE" w14:textId="684C44FA"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NHS (2017) </w:t>
      </w:r>
      <w:r w:rsidRPr="007E57A2">
        <w:rPr>
          <w:rFonts w:ascii="Arial" w:hAnsi="Arial" w:cs="Arial"/>
          <w:i/>
          <w:iCs/>
          <w:color w:val="000000"/>
          <w:kern w:val="0"/>
          <w:sz w:val="22"/>
          <w:szCs w:val="22"/>
          <w:u w:color="0B4CB4"/>
        </w:rPr>
        <w:t>Thinking Differently</w:t>
      </w:r>
      <w:r w:rsidR="006B7E35">
        <w:rPr>
          <w:rFonts w:ascii="Arial" w:hAnsi="Arial" w:cs="Arial"/>
          <w:i/>
          <w:iCs/>
          <w:color w:val="000000"/>
          <w:kern w:val="0"/>
          <w:sz w:val="22"/>
          <w:szCs w:val="22"/>
          <w:u w:color="0B4CB4"/>
        </w:rPr>
        <w:t xml:space="preserve">. </w:t>
      </w:r>
      <w:r w:rsidR="006B7E35" w:rsidRPr="00010F60">
        <w:rPr>
          <w:rFonts w:ascii="Arial" w:hAnsi="Arial" w:cs="Arial"/>
          <w:color w:val="000000"/>
          <w:kern w:val="0"/>
          <w:sz w:val="22"/>
          <w:szCs w:val="22"/>
          <w:u w:color="0B4CB4"/>
        </w:rPr>
        <w:t>Available at:</w:t>
      </w:r>
      <w:r w:rsidRPr="00010F60">
        <w:rPr>
          <w:rFonts w:ascii="Arial" w:hAnsi="Arial" w:cs="Arial"/>
          <w:color w:val="000000"/>
          <w:kern w:val="0"/>
          <w:sz w:val="22"/>
          <w:szCs w:val="22"/>
          <w:u w:color="0B4CB4"/>
        </w:rPr>
        <w:t xml:space="preserve"> </w:t>
      </w:r>
      <w:hyperlink r:id="rId51" w:history="1">
        <w:r w:rsidRPr="007E57A2">
          <w:rPr>
            <w:rFonts w:ascii="Arial" w:hAnsi="Arial" w:cs="Arial"/>
            <w:color w:val="000000"/>
            <w:kern w:val="0"/>
            <w:sz w:val="22"/>
            <w:szCs w:val="22"/>
            <w:u w:val="single" w:color="0B4CB4"/>
          </w:rPr>
          <w:t>https://www.england.nhs.uk/improvement-hub/wp-content/uploads/sites/44/2017/11/Thinking-Differently-Book.pdf</w:t>
        </w:r>
      </w:hyperlink>
      <w:r w:rsidR="006B7E35">
        <w:rPr>
          <w:rFonts w:ascii="Arial" w:hAnsi="Arial" w:cs="Arial"/>
          <w:color w:val="000000"/>
          <w:kern w:val="0"/>
          <w:sz w:val="22"/>
          <w:szCs w:val="22"/>
          <w:u w:color="0B4CB4"/>
        </w:rPr>
        <w:t xml:space="preserve">. (Accessed: </w:t>
      </w:r>
      <w:r w:rsidRPr="007E57A2">
        <w:rPr>
          <w:rFonts w:ascii="Arial" w:hAnsi="Arial" w:cs="Arial"/>
          <w:color w:val="000000"/>
          <w:kern w:val="0"/>
          <w:sz w:val="22"/>
          <w:szCs w:val="22"/>
          <w:u w:color="0B4CB4"/>
        </w:rPr>
        <w:t>19 January 2026</w:t>
      </w:r>
      <w:r w:rsidR="006B7E35">
        <w:rPr>
          <w:rFonts w:ascii="Arial" w:hAnsi="Arial" w:cs="Arial"/>
          <w:color w:val="000000"/>
          <w:kern w:val="0"/>
          <w:sz w:val="22"/>
          <w:szCs w:val="22"/>
          <w:u w:color="0B4CB4"/>
        </w:rPr>
        <w:t xml:space="preserve">). </w:t>
      </w:r>
    </w:p>
    <w:p w14:paraId="719B7A9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4BA65AA"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Oosthuizen, T. F. J (2014) ‘The application of a selection of decision-making techniques by employees in a transport work environment in conjunction with their perceived decision-making success and practice’. J</w:t>
      </w:r>
      <w:r w:rsidRPr="007E57A2">
        <w:rPr>
          <w:rFonts w:ascii="Arial" w:hAnsi="Arial" w:cs="Arial"/>
          <w:i/>
          <w:iCs/>
          <w:color w:val="000000"/>
          <w:kern w:val="0"/>
          <w:sz w:val="22"/>
          <w:szCs w:val="22"/>
          <w:u w:color="0B4CB4"/>
        </w:rPr>
        <w:t>ournal of Transport and Supply Chain Management</w:t>
      </w:r>
      <w:r w:rsidRPr="007E57A2">
        <w:rPr>
          <w:rFonts w:ascii="Arial" w:hAnsi="Arial" w:cs="Arial"/>
          <w:color w:val="000000"/>
          <w:kern w:val="0"/>
          <w:sz w:val="22"/>
          <w:szCs w:val="22"/>
          <w:u w:color="0B4CB4"/>
        </w:rPr>
        <w:t xml:space="preserve"> 8(1), 9 pages. http://dx.doi. org/10.4102/</w:t>
      </w:r>
      <w:proofErr w:type="gramStart"/>
      <w:r w:rsidRPr="007E57A2">
        <w:rPr>
          <w:rFonts w:ascii="Arial" w:hAnsi="Arial" w:cs="Arial"/>
          <w:color w:val="000000"/>
          <w:kern w:val="0"/>
          <w:sz w:val="22"/>
          <w:szCs w:val="22"/>
          <w:u w:color="0B4CB4"/>
        </w:rPr>
        <w:t>jtscm.v</w:t>
      </w:r>
      <w:proofErr w:type="gramEnd"/>
      <w:r w:rsidRPr="007E57A2">
        <w:rPr>
          <w:rFonts w:ascii="Arial" w:hAnsi="Arial" w:cs="Arial"/>
          <w:color w:val="000000"/>
          <w:kern w:val="0"/>
          <w:sz w:val="22"/>
          <w:szCs w:val="22"/>
          <w:u w:color="0B4CB4"/>
        </w:rPr>
        <w:t>8i1.118</w:t>
      </w:r>
    </w:p>
    <w:p w14:paraId="2DDB2C29" w14:textId="77777777" w:rsidR="007E286C" w:rsidRPr="007E57A2" w:rsidRDefault="007E286C" w:rsidP="00DB0E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hAnsi="Arial" w:cs="Arial"/>
          <w:color w:val="141413"/>
          <w:kern w:val="0"/>
          <w:sz w:val="22"/>
          <w:szCs w:val="22"/>
          <w:u w:color="0B4CB4"/>
        </w:rPr>
      </w:pPr>
    </w:p>
    <w:p w14:paraId="4C39EF0B" w14:textId="374C4608" w:rsidR="007E286C" w:rsidRPr="007E57A2" w:rsidRDefault="007E286C" w:rsidP="00401CAB">
      <w:pPr>
        <w:autoSpaceDE w:val="0"/>
        <w:autoSpaceDN w:val="0"/>
        <w:adjustRightInd w:val="0"/>
        <w:spacing w:after="0" w:line="240" w:lineRule="auto"/>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Phillips, J. (2005) </w:t>
      </w:r>
      <w:r w:rsidRPr="00AF58F3">
        <w:rPr>
          <w:rFonts w:ascii="Arial" w:hAnsi="Arial" w:cs="Arial"/>
          <w:i/>
          <w:iCs/>
          <w:color w:val="000000"/>
          <w:kern w:val="0"/>
          <w:sz w:val="22"/>
          <w:szCs w:val="22"/>
          <w:u w:color="0B4CB4"/>
        </w:rPr>
        <w:t>Measuring up</w:t>
      </w:r>
      <w:r w:rsidR="00AF58F3">
        <w:rPr>
          <w:rFonts w:ascii="Arial" w:hAnsi="Arial" w:cs="Arial"/>
          <w:color w:val="000000"/>
          <w:kern w:val="0"/>
          <w:sz w:val="22"/>
          <w:szCs w:val="22"/>
          <w:u w:color="0B4CB4"/>
        </w:rPr>
        <w:t>. Available at</w:t>
      </w:r>
      <w:r w:rsidR="006B7E35">
        <w:rPr>
          <w:rFonts w:ascii="Arial" w:hAnsi="Arial" w:cs="Arial"/>
          <w:color w:val="000000"/>
          <w:kern w:val="0"/>
          <w:sz w:val="22"/>
          <w:szCs w:val="22"/>
          <w:u w:color="0B4CB4"/>
        </w:rPr>
        <w:t xml:space="preserve"> </w:t>
      </w:r>
      <w:hyperlink r:id="rId52" w:history="1">
        <w:r w:rsidR="006B7E35" w:rsidRPr="00A5288F">
          <w:rPr>
            <w:rStyle w:val="Hyperlink"/>
            <w:rFonts w:ascii="Arial" w:hAnsi="Arial" w:cs="Arial"/>
            <w:kern w:val="0"/>
            <w:sz w:val="22"/>
            <w:szCs w:val="22"/>
          </w:rPr>
          <w:t>https://www.peoplemanagement.co.uk/article/1743225/measuring-return-on-investment</w:t>
        </w:r>
      </w:hyperlink>
      <w:r w:rsidR="00AF58F3">
        <w:rPr>
          <w:rFonts w:ascii="Arial" w:hAnsi="Arial" w:cs="Arial"/>
          <w:color w:val="000000"/>
          <w:kern w:val="0"/>
          <w:sz w:val="22"/>
          <w:szCs w:val="22"/>
          <w:u w:color="0B4CB4"/>
        </w:rPr>
        <w:t xml:space="preserve">. (Accessed 30 January 2026).  </w:t>
      </w:r>
    </w:p>
    <w:p w14:paraId="6594642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ED797F5" w14:textId="73D7270F" w:rsidR="00401CAB" w:rsidRPr="00401CAB" w:rsidRDefault="00401CAB" w:rsidP="00135238">
      <w:pPr>
        <w:autoSpaceDE w:val="0"/>
        <w:autoSpaceDN w:val="0"/>
        <w:adjustRightInd w:val="0"/>
        <w:spacing w:line="240" w:lineRule="auto"/>
        <w:jc w:val="both"/>
        <w:rPr>
          <w:rFonts w:ascii="Arial" w:hAnsi="Arial" w:cs="Arial"/>
          <w:color w:val="000000"/>
          <w:kern w:val="0"/>
          <w:sz w:val="22"/>
          <w:szCs w:val="22"/>
          <w:u w:color="0B4CB4"/>
        </w:rPr>
      </w:pPr>
      <w:r>
        <w:rPr>
          <w:rFonts w:ascii="Arial" w:hAnsi="Arial" w:cs="Arial"/>
          <w:color w:val="000000"/>
          <w:kern w:val="0"/>
          <w:sz w:val="22"/>
          <w:szCs w:val="22"/>
          <w:u w:color="0B4CB4"/>
        </w:rPr>
        <w:t xml:space="preserve">Raistrick, C. </w:t>
      </w:r>
      <w:r w:rsidRPr="00401CAB">
        <w:rPr>
          <w:rFonts w:ascii="Arial" w:hAnsi="Arial" w:cs="Arial"/>
          <w:i/>
          <w:iCs/>
          <w:color w:val="000000"/>
          <w:kern w:val="0"/>
          <w:sz w:val="22"/>
          <w:szCs w:val="22"/>
          <w:u w:color="0B4CB4"/>
        </w:rPr>
        <w:t>Blended learning: the flexible future of employee development</w:t>
      </w:r>
      <w:r>
        <w:rPr>
          <w:rFonts w:ascii="Arial" w:hAnsi="Arial" w:cs="Arial"/>
          <w:i/>
          <w:iCs/>
          <w:color w:val="000000"/>
          <w:kern w:val="0"/>
          <w:sz w:val="22"/>
          <w:szCs w:val="22"/>
          <w:u w:color="0B4CB4"/>
        </w:rPr>
        <w:t xml:space="preserve">. Available at </w:t>
      </w:r>
      <w:hyperlink r:id="rId53" w:history="1">
        <w:r w:rsidRPr="00401CAB">
          <w:rPr>
            <w:rStyle w:val="Hyperlink"/>
            <w:rFonts w:ascii="Arial" w:hAnsi="Arial" w:cs="Arial"/>
            <w:color w:val="000000" w:themeColor="text1"/>
            <w:kern w:val="0"/>
            <w:sz w:val="22"/>
            <w:szCs w:val="22"/>
            <w:u w:val="none"/>
          </w:rPr>
          <w:t>https://www.peoplemanagement.co.uk/article/1878945/blended-learning-flexible-future-employee-development. (Accessed</w:t>
        </w:r>
      </w:hyperlink>
      <w:r w:rsidRPr="00401CAB">
        <w:rPr>
          <w:rFonts w:ascii="Arial" w:hAnsi="Arial" w:cs="Arial"/>
          <w:color w:val="000000" w:themeColor="text1"/>
          <w:kern w:val="0"/>
          <w:sz w:val="22"/>
          <w:szCs w:val="22"/>
        </w:rPr>
        <w:t>:</w:t>
      </w:r>
      <w:r w:rsidRPr="00401CAB">
        <w:rPr>
          <w:rFonts w:ascii="Arial" w:hAnsi="Arial" w:cs="Arial"/>
          <w:color w:val="000000" w:themeColor="text1"/>
          <w:kern w:val="0"/>
          <w:sz w:val="22"/>
          <w:szCs w:val="22"/>
          <w:u w:color="0B4CB4"/>
        </w:rPr>
        <w:t xml:space="preserve"> </w:t>
      </w:r>
      <w:r>
        <w:rPr>
          <w:rFonts w:ascii="Arial" w:hAnsi="Arial" w:cs="Arial"/>
          <w:color w:val="000000"/>
          <w:kern w:val="0"/>
          <w:sz w:val="22"/>
          <w:szCs w:val="22"/>
          <w:u w:color="0B4CB4"/>
        </w:rPr>
        <w:t xml:space="preserve">31 January 2026). </w:t>
      </w:r>
    </w:p>
    <w:p w14:paraId="47C4105D" w14:textId="77777777" w:rsidR="00401CAB" w:rsidRDefault="00401CAB" w:rsidP="00DB0EF9">
      <w:pPr>
        <w:autoSpaceDE w:val="0"/>
        <w:autoSpaceDN w:val="0"/>
        <w:adjustRightInd w:val="0"/>
        <w:spacing w:after="0" w:line="240" w:lineRule="auto"/>
        <w:jc w:val="both"/>
        <w:rPr>
          <w:rFonts w:ascii="Arial" w:hAnsi="Arial" w:cs="Arial"/>
          <w:color w:val="000000"/>
          <w:kern w:val="0"/>
          <w:sz w:val="22"/>
          <w:szCs w:val="22"/>
          <w:u w:color="0B4CB4"/>
        </w:rPr>
      </w:pPr>
    </w:p>
    <w:p w14:paraId="08D2AF8B" w14:textId="355C2524"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lastRenderedPageBreak/>
        <w:t xml:space="preserve">Reilly, P. (2006) 'The Appliance of an Inexact Science: Job Evaluation in the 21st Century'. </w:t>
      </w:r>
      <w:hyperlink r:id="rId54" w:history="1">
        <w:r w:rsidR="0057662E" w:rsidRPr="00A5288F">
          <w:rPr>
            <w:rStyle w:val="Hyperlink"/>
            <w:rFonts w:ascii="Arial" w:hAnsi="Arial" w:cs="Arial"/>
            <w:kern w:val="0"/>
            <w:sz w:val="22"/>
            <w:szCs w:val="22"/>
          </w:rPr>
          <w:t>https://www.employment-studies.co.uk/system/files/resources/files/mp58.pdf</w:t>
        </w:r>
      </w:hyperlink>
      <w:r w:rsidR="0057662E">
        <w:rPr>
          <w:rFonts w:ascii="Arial" w:hAnsi="Arial" w:cs="Arial"/>
          <w:color w:val="000000"/>
          <w:kern w:val="0"/>
          <w:sz w:val="22"/>
          <w:szCs w:val="22"/>
          <w:u w:color="0B4CB4"/>
        </w:rPr>
        <w:t xml:space="preserve">. (Accessed 30 January 2026).  </w:t>
      </w:r>
    </w:p>
    <w:p w14:paraId="15A521A5"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7B08689E"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Reynolds, S. J. (2012) ‘Should every manager become a Kantian? The empirical evidence and normative implications of the Kantian personality in </w:t>
      </w:r>
      <w:proofErr w:type="gramStart"/>
      <w:r w:rsidRPr="007E57A2">
        <w:rPr>
          <w:rFonts w:ascii="Arial" w:hAnsi="Arial" w:cs="Arial"/>
          <w:color w:val="000000"/>
          <w:kern w:val="0"/>
          <w:sz w:val="22"/>
          <w:szCs w:val="22"/>
          <w:u w:color="0B4CB4"/>
        </w:rPr>
        <w:t>organizations’</w:t>
      </w:r>
      <w:proofErr w:type="gramEnd"/>
      <w:r w:rsidRPr="007E57A2">
        <w:rPr>
          <w:rFonts w:ascii="Arial" w:hAnsi="Arial" w:cs="Arial"/>
          <w:color w:val="000000"/>
          <w:kern w:val="0"/>
          <w:sz w:val="22"/>
          <w:szCs w:val="22"/>
          <w:u w:color="0B4CB4"/>
        </w:rPr>
        <w:t xml:space="preserve"> in Elgar, E. (2012) </w:t>
      </w:r>
      <w:r w:rsidRPr="007E57A2">
        <w:rPr>
          <w:rFonts w:ascii="Arial" w:hAnsi="Arial" w:cs="Arial"/>
          <w:i/>
          <w:iCs/>
          <w:color w:val="000000"/>
          <w:kern w:val="0"/>
          <w:sz w:val="22"/>
          <w:szCs w:val="22"/>
          <w:u w:color="0B4CB4"/>
        </w:rPr>
        <w:t>Kantian Business Ethics: Critical Perspectives,</w:t>
      </w:r>
      <w:r w:rsidRPr="007E57A2">
        <w:rPr>
          <w:rFonts w:ascii="Arial" w:hAnsi="Arial" w:cs="Arial"/>
          <w:color w:val="000000"/>
          <w:kern w:val="0"/>
          <w:sz w:val="22"/>
          <w:szCs w:val="22"/>
          <w:u w:color="0B4CB4"/>
        </w:rPr>
        <w:t xml:space="preserve"> Edward Elgar Publishing Limited. </w:t>
      </w:r>
    </w:p>
    <w:p w14:paraId="0CA25FA6"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C3C2C82" w14:textId="778269A5"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Roebuck, C. (2017) </w:t>
      </w:r>
      <w:r w:rsidRPr="00570B85">
        <w:rPr>
          <w:rFonts w:ascii="Arial" w:hAnsi="Arial" w:cs="Arial"/>
          <w:i/>
          <w:iCs/>
          <w:color w:val="000000"/>
          <w:kern w:val="0"/>
          <w:sz w:val="22"/>
          <w:szCs w:val="22"/>
          <w:u w:color="0B4CB4"/>
        </w:rPr>
        <w:t>You need both the rational and emotional for success</w:t>
      </w:r>
      <w:r w:rsidR="00570B85">
        <w:rPr>
          <w:rFonts w:ascii="Arial" w:hAnsi="Arial" w:cs="Arial"/>
          <w:i/>
          <w:iCs/>
          <w:color w:val="000000"/>
          <w:kern w:val="0"/>
          <w:sz w:val="22"/>
          <w:szCs w:val="22"/>
          <w:u w:color="0B4CB4"/>
        </w:rPr>
        <w:t>. Available at:</w:t>
      </w:r>
      <w:r w:rsidR="00570B85" w:rsidRPr="00570B85">
        <w:rPr>
          <w:rFonts w:ascii="Arial" w:hAnsi="Arial" w:cs="Arial"/>
          <w:i/>
          <w:iCs/>
          <w:color w:val="000000"/>
          <w:kern w:val="0"/>
          <w:sz w:val="22"/>
          <w:szCs w:val="22"/>
          <w:u w:color="0B4CB4"/>
        </w:rPr>
        <w:t xml:space="preserve"> </w:t>
      </w:r>
      <w:hyperlink r:id="rId55" w:history="1">
        <w:r w:rsidR="00570B85" w:rsidRPr="00A5288F">
          <w:rPr>
            <w:rStyle w:val="Hyperlink"/>
            <w:rFonts w:ascii="Arial" w:hAnsi="Arial" w:cs="Arial"/>
            <w:kern w:val="0"/>
            <w:sz w:val="22"/>
            <w:szCs w:val="22"/>
          </w:rPr>
          <w:t>https://www.hrmagazine.co.uk/content/features/you-need-both-the-rational-and-emotional-for-success</w:t>
        </w:r>
      </w:hyperlink>
      <w:r w:rsidR="00570B85">
        <w:rPr>
          <w:rFonts w:ascii="Arial" w:hAnsi="Arial" w:cs="Arial"/>
          <w:color w:val="000000"/>
          <w:kern w:val="0"/>
          <w:sz w:val="22"/>
          <w:szCs w:val="22"/>
          <w:u w:val="single" w:color="0B4CB4"/>
        </w:rPr>
        <w:t xml:space="preserve"> </w:t>
      </w:r>
      <w:r w:rsidR="00570B85" w:rsidRPr="00570B85">
        <w:rPr>
          <w:rFonts w:ascii="Arial" w:hAnsi="Arial" w:cs="Arial"/>
          <w:color w:val="000000"/>
          <w:kern w:val="0"/>
          <w:sz w:val="22"/>
          <w:szCs w:val="22"/>
        </w:rPr>
        <w:t>(Accessed 17 January 2026).</w:t>
      </w:r>
      <w:r w:rsidR="00570B85">
        <w:rPr>
          <w:rFonts w:ascii="Arial" w:hAnsi="Arial" w:cs="Arial"/>
          <w:color w:val="000000"/>
          <w:kern w:val="0"/>
          <w:sz w:val="22"/>
          <w:szCs w:val="22"/>
          <w:u w:val="single" w:color="0B4CB4"/>
        </w:rPr>
        <w:t xml:space="preserve"> </w:t>
      </w:r>
    </w:p>
    <w:p w14:paraId="3B8462D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60D00C32"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Rousseau, D., and Barends, E. G. (2011) Becoming an evidence-based HR practitioner, Human Resource Management Journal, Vol 21, no 3, 2011, pages 221–235. </w:t>
      </w:r>
      <w:proofErr w:type="spellStart"/>
      <w:r w:rsidRPr="007E57A2">
        <w:rPr>
          <w:rFonts w:ascii="Arial" w:hAnsi="Arial" w:cs="Arial"/>
          <w:color w:val="000000"/>
          <w:kern w:val="0"/>
          <w:sz w:val="22"/>
          <w:szCs w:val="22"/>
          <w:u w:color="0B4CB4"/>
        </w:rPr>
        <w:t>doi</w:t>
      </w:r>
      <w:proofErr w:type="spellEnd"/>
      <w:r w:rsidRPr="007E57A2">
        <w:rPr>
          <w:rFonts w:ascii="Arial" w:hAnsi="Arial" w:cs="Arial"/>
          <w:color w:val="000000"/>
          <w:kern w:val="0"/>
          <w:sz w:val="22"/>
          <w:szCs w:val="22"/>
          <w:u w:color="0B4CB4"/>
        </w:rPr>
        <w:t>: 10.1111/j.1748-8583.</w:t>
      </w:r>
      <w:proofErr w:type="gramStart"/>
      <w:r w:rsidRPr="007E57A2">
        <w:rPr>
          <w:rFonts w:ascii="Arial" w:hAnsi="Arial" w:cs="Arial"/>
          <w:color w:val="000000"/>
          <w:kern w:val="0"/>
          <w:sz w:val="22"/>
          <w:szCs w:val="22"/>
          <w:u w:color="0B4CB4"/>
        </w:rPr>
        <w:t>2011.00173.x</w:t>
      </w:r>
      <w:proofErr w:type="gramEnd"/>
    </w:p>
    <w:p w14:paraId="2870C84F"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09C158FE" w14:textId="77777777" w:rsidR="007E286C" w:rsidRPr="007E57A2" w:rsidRDefault="007E286C" w:rsidP="00DB0EF9">
      <w:pPr>
        <w:autoSpaceDE w:val="0"/>
        <w:autoSpaceDN w:val="0"/>
        <w:adjustRightInd w:val="0"/>
        <w:spacing w:after="0" w:line="240" w:lineRule="auto"/>
        <w:jc w:val="both"/>
        <w:rPr>
          <w:rFonts w:ascii="Arial" w:hAnsi="Arial" w:cs="Arial"/>
          <w:i/>
          <w:iCs/>
          <w:color w:val="000000"/>
          <w:kern w:val="0"/>
          <w:sz w:val="22"/>
          <w:szCs w:val="22"/>
          <w:u w:color="0B4CB4"/>
        </w:rPr>
      </w:pPr>
      <w:r w:rsidRPr="007E57A2">
        <w:rPr>
          <w:rFonts w:ascii="Arial" w:hAnsi="Arial" w:cs="Arial"/>
          <w:color w:val="000000"/>
          <w:kern w:val="0"/>
          <w:sz w:val="22"/>
          <w:szCs w:val="22"/>
          <w:u w:color="0B4CB4"/>
        </w:rPr>
        <w:t xml:space="preserve">Taylor, S and Woodhams, C. (2022) </w:t>
      </w:r>
      <w:r w:rsidRPr="007E57A2">
        <w:rPr>
          <w:rFonts w:ascii="Arial" w:hAnsi="Arial" w:cs="Arial"/>
          <w:i/>
          <w:iCs/>
          <w:color w:val="000000"/>
          <w:kern w:val="0"/>
          <w:sz w:val="22"/>
          <w:szCs w:val="22"/>
          <w:u w:color="0B4CB4"/>
        </w:rPr>
        <w:t>Human resource management: people and organisations,</w:t>
      </w:r>
      <w:r w:rsidRPr="007E57A2">
        <w:rPr>
          <w:rFonts w:ascii="Arial" w:hAnsi="Arial" w:cs="Arial"/>
          <w:color w:val="000000"/>
          <w:kern w:val="0"/>
          <w:sz w:val="22"/>
          <w:szCs w:val="22"/>
          <w:u w:color="0B4CB4"/>
        </w:rPr>
        <w:t xml:space="preserve"> 3rd Edition, Kogan. </w:t>
      </w:r>
    </w:p>
    <w:p w14:paraId="597FB70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39D6E93" w14:textId="1FCCF8BF"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Wilson, H. (2024) </w:t>
      </w:r>
      <w:r w:rsidRPr="007E57A2">
        <w:rPr>
          <w:rFonts w:ascii="Arial" w:hAnsi="Arial" w:cs="Arial"/>
          <w:i/>
          <w:iCs/>
          <w:color w:val="000000"/>
          <w:kern w:val="0"/>
          <w:sz w:val="22"/>
          <w:szCs w:val="22"/>
          <w:u w:color="0B4CB4"/>
        </w:rPr>
        <w:t>Is your learning designed for the modern learner? The evolving landscape of w</w:t>
      </w:r>
      <w:r w:rsidRPr="00010F60">
        <w:rPr>
          <w:rFonts w:ascii="Arial" w:hAnsi="Arial" w:cs="Arial"/>
          <w:color w:val="000000"/>
          <w:kern w:val="0"/>
          <w:sz w:val="22"/>
          <w:szCs w:val="22"/>
          <w:u w:color="0B4CB4"/>
        </w:rPr>
        <w:t>ork</w:t>
      </w:r>
      <w:r w:rsidR="00010F60">
        <w:rPr>
          <w:rFonts w:ascii="Arial" w:hAnsi="Arial" w:cs="Arial"/>
          <w:color w:val="000000"/>
          <w:kern w:val="0"/>
          <w:sz w:val="22"/>
          <w:szCs w:val="22"/>
          <w:u w:color="0B4CB4"/>
        </w:rPr>
        <w:t>. Available at:</w:t>
      </w:r>
      <w:r w:rsidRPr="007E57A2">
        <w:rPr>
          <w:rFonts w:ascii="Arial" w:hAnsi="Arial" w:cs="Arial"/>
          <w:color w:val="000000"/>
          <w:kern w:val="0"/>
          <w:sz w:val="22"/>
          <w:szCs w:val="22"/>
          <w:u w:color="0B4CB4"/>
        </w:rPr>
        <w:t xml:space="preserve"> </w:t>
      </w:r>
      <w:hyperlink r:id="rId56" w:history="1">
        <w:r w:rsidRPr="007E57A2">
          <w:rPr>
            <w:rFonts w:ascii="Arial" w:hAnsi="Arial" w:cs="Arial"/>
            <w:color w:val="000000"/>
            <w:kern w:val="0"/>
            <w:sz w:val="22"/>
            <w:szCs w:val="22"/>
            <w:u w:val="single" w:color="0B4CB4"/>
          </w:rPr>
          <w:t>https://www.deloitte.com/nz/en/services/consulting/blogs/is-your-learning-designed-for-the-modern-learner.html</w:t>
        </w:r>
      </w:hyperlink>
      <w:r w:rsidR="00010F60">
        <w:rPr>
          <w:rFonts w:ascii="Arial" w:hAnsi="Arial" w:cs="Arial"/>
          <w:color w:val="000000"/>
          <w:kern w:val="0"/>
          <w:sz w:val="22"/>
          <w:szCs w:val="22"/>
          <w:u w:color="0B4CB4"/>
        </w:rPr>
        <w:t xml:space="preserve">. (Accessed: </w:t>
      </w:r>
      <w:r w:rsidRPr="007E57A2">
        <w:rPr>
          <w:rFonts w:ascii="Arial" w:hAnsi="Arial" w:cs="Arial"/>
          <w:color w:val="000000"/>
          <w:kern w:val="0"/>
          <w:sz w:val="22"/>
          <w:szCs w:val="22"/>
          <w:u w:color="0B4CB4"/>
        </w:rPr>
        <w:t>19 January 2026</w:t>
      </w:r>
      <w:r w:rsidR="00010F60">
        <w:rPr>
          <w:rFonts w:ascii="Arial" w:hAnsi="Arial" w:cs="Arial"/>
          <w:color w:val="000000"/>
          <w:kern w:val="0"/>
          <w:sz w:val="22"/>
          <w:szCs w:val="22"/>
          <w:u w:color="0B4CB4"/>
        </w:rPr>
        <w:t xml:space="preserve">). </w:t>
      </w:r>
    </w:p>
    <w:p w14:paraId="19A7A784"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FD2299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Winstanley, D. &amp; Woodall, J. (2000) "The ethical dimension of human resource management", </w:t>
      </w:r>
      <w:r w:rsidRPr="007E57A2">
        <w:rPr>
          <w:rFonts w:ascii="Arial" w:hAnsi="Arial" w:cs="Arial"/>
          <w:i/>
          <w:iCs/>
          <w:color w:val="000000"/>
          <w:kern w:val="0"/>
          <w:sz w:val="22"/>
          <w:szCs w:val="22"/>
          <w:u w:color="0B4CB4"/>
        </w:rPr>
        <w:t>Human Resource Management Journal, </w:t>
      </w:r>
      <w:r w:rsidRPr="007E57A2">
        <w:rPr>
          <w:rFonts w:ascii="Arial" w:hAnsi="Arial" w:cs="Arial"/>
          <w:color w:val="000000"/>
          <w:kern w:val="0"/>
          <w:sz w:val="22"/>
          <w:szCs w:val="22"/>
          <w:u w:color="0B4CB4"/>
        </w:rPr>
        <w:t>vol. 10, no. 2, pp. 5-20.</w:t>
      </w:r>
    </w:p>
    <w:p w14:paraId="4C91D63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11D34EA7"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r w:rsidRPr="007E57A2">
        <w:rPr>
          <w:rFonts w:ascii="Arial" w:hAnsi="Arial" w:cs="Arial"/>
          <w:color w:val="000000"/>
          <w:kern w:val="0"/>
          <w:sz w:val="22"/>
          <w:szCs w:val="22"/>
          <w:u w:color="0B4CB4"/>
        </w:rPr>
        <w:t xml:space="preserve">Waters L.D., Mironova, O. and </w:t>
      </w:r>
      <w:proofErr w:type="spellStart"/>
      <w:r w:rsidRPr="007E57A2">
        <w:rPr>
          <w:rFonts w:ascii="Arial" w:hAnsi="Arial" w:cs="Arial"/>
          <w:color w:val="000000"/>
          <w:kern w:val="0"/>
          <w:sz w:val="22"/>
          <w:szCs w:val="22"/>
          <w:u w:color="0B4CB4"/>
        </w:rPr>
        <w:t>Stobinski</w:t>
      </w:r>
      <w:proofErr w:type="spellEnd"/>
      <w:r w:rsidRPr="007E57A2">
        <w:rPr>
          <w:rFonts w:ascii="Arial" w:hAnsi="Arial" w:cs="Arial"/>
          <w:color w:val="000000"/>
          <w:kern w:val="0"/>
          <w:sz w:val="22"/>
          <w:szCs w:val="22"/>
          <w:u w:color="0B4CB4"/>
        </w:rPr>
        <w:t xml:space="preserve">, J.X., (2017). The Many </w:t>
      </w:r>
      <w:proofErr w:type="gramStart"/>
      <w:r w:rsidRPr="007E57A2">
        <w:rPr>
          <w:rFonts w:ascii="Arial" w:hAnsi="Arial" w:cs="Arial"/>
          <w:color w:val="000000"/>
          <w:kern w:val="0"/>
          <w:sz w:val="22"/>
          <w:szCs w:val="22"/>
          <w:u w:color="0B4CB4"/>
        </w:rPr>
        <w:t>Potential</w:t>
      </w:r>
      <w:proofErr w:type="gramEnd"/>
      <w:r w:rsidRPr="007E57A2">
        <w:rPr>
          <w:rFonts w:ascii="Arial" w:hAnsi="Arial" w:cs="Arial"/>
          <w:color w:val="000000"/>
          <w:kern w:val="0"/>
          <w:sz w:val="22"/>
          <w:szCs w:val="22"/>
          <w:u w:color="0B4CB4"/>
        </w:rPr>
        <w:t xml:space="preserve"> Uses for a Job Analysis. </w:t>
      </w:r>
      <w:r w:rsidRPr="007E57A2">
        <w:rPr>
          <w:rFonts w:ascii="Arial" w:hAnsi="Arial" w:cs="Arial"/>
          <w:i/>
          <w:iCs/>
          <w:color w:val="000000"/>
          <w:kern w:val="0"/>
          <w:sz w:val="22"/>
          <w:szCs w:val="22"/>
          <w:u w:color="0B4CB4"/>
        </w:rPr>
        <w:t>Journal of the Association for Vascular Access, </w:t>
      </w:r>
      <w:r w:rsidRPr="00010F60">
        <w:rPr>
          <w:rFonts w:ascii="Arial" w:hAnsi="Arial" w:cs="Arial"/>
          <w:color w:val="000000"/>
          <w:kern w:val="0"/>
          <w:sz w:val="22"/>
          <w:szCs w:val="22"/>
          <w:u w:color="0B4CB4"/>
        </w:rPr>
        <w:t>22</w:t>
      </w:r>
      <w:r w:rsidRPr="007E57A2">
        <w:rPr>
          <w:rFonts w:ascii="Arial" w:hAnsi="Arial" w:cs="Arial"/>
          <w:color w:val="000000"/>
          <w:kern w:val="0"/>
          <w:sz w:val="22"/>
          <w:szCs w:val="22"/>
          <w:u w:color="0B4CB4"/>
        </w:rPr>
        <w:t xml:space="preserve">(3), pp. 124-128. </w:t>
      </w:r>
      <w:proofErr w:type="gramStart"/>
      <w:r w:rsidRPr="007E57A2">
        <w:rPr>
          <w:rFonts w:ascii="Arial" w:hAnsi="Arial" w:cs="Arial"/>
          <w:color w:val="000000"/>
          <w:kern w:val="0"/>
          <w:sz w:val="22"/>
          <w:szCs w:val="22"/>
          <w:u w:color="0B4CB4"/>
        </w:rPr>
        <w:t>DOI:10.1016/j.java</w:t>
      </w:r>
      <w:proofErr w:type="gramEnd"/>
      <w:r w:rsidRPr="007E57A2">
        <w:rPr>
          <w:rFonts w:ascii="Arial" w:hAnsi="Arial" w:cs="Arial"/>
          <w:color w:val="000000"/>
          <w:kern w:val="0"/>
          <w:sz w:val="22"/>
          <w:szCs w:val="22"/>
          <w:u w:color="0B4CB4"/>
        </w:rPr>
        <w:t>.2017.06.007</w:t>
      </w:r>
    </w:p>
    <w:p w14:paraId="727D1443" w14:textId="77777777" w:rsidR="007E286C" w:rsidRPr="007E57A2" w:rsidRDefault="007E286C" w:rsidP="00DB0EF9">
      <w:pPr>
        <w:autoSpaceDE w:val="0"/>
        <w:autoSpaceDN w:val="0"/>
        <w:adjustRightInd w:val="0"/>
        <w:spacing w:after="0" w:line="240" w:lineRule="auto"/>
        <w:jc w:val="both"/>
        <w:rPr>
          <w:rFonts w:ascii="Arial" w:hAnsi="Arial" w:cs="Arial"/>
          <w:color w:val="000000"/>
          <w:kern w:val="0"/>
          <w:sz w:val="22"/>
          <w:szCs w:val="22"/>
          <w:u w:color="0B4CB4"/>
        </w:rPr>
      </w:pPr>
    </w:p>
    <w:p w14:paraId="476DD3C3" w14:textId="77777777" w:rsidR="007E286C" w:rsidRPr="007E57A2" w:rsidRDefault="007E286C" w:rsidP="00DB0EF9">
      <w:pPr>
        <w:jc w:val="both"/>
        <w:rPr>
          <w:rFonts w:ascii="Arial" w:hAnsi="Arial" w:cs="Arial"/>
          <w:sz w:val="22"/>
          <w:szCs w:val="22"/>
        </w:rPr>
      </w:pPr>
    </w:p>
    <w:sectPr w:rsidR="007E286C" w:rsidRPr="007E57A2" w:rsidSect="00E50E6A">
      <w:footerReference w:type="even" r:id="rId57"/>
      <w:footerReference w:type="default" r:id="rId58"/>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9AF03" w14:textId="77777777" w:rsidR="00462DD7" w:rsidRDefault="00462DD7" w:rsidP="00E50E6A">
      <w:pPr>
        <w:spacing w:after="0" w:line="240" w:lineRule="auto"/>
      </w:pPr>
      <w:r>
        <w:separator/>
      </w:r>
    </w:p>
  </w:endnote>
  <w:endnote w:type="continuationSeparator" w:id="0">
    <w:p w14:paraId="312FB818" w14:textId="77777777" w:rsidR="00462DD7" w:rsidRDefault="00462DD7" w:rsidP="00E50E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1880502"/>
      <w:docPartObj>
        <w:docPartGallery w:val="Page Numbers (Bottom of Page)"/>
        <w:docPartUnique/>
      </w:docPartObj>
    </w:sdtPr>
    <w:sdtContent>
      <w:p w14:paraId="6F1E84A6" w14:textId="57C62568" w:rsidR="00E50E6A" w:rsidRDefault="00E50E6A" w:rsidP="00A528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B26EB53" w14:textId="77777777" w:rsidR="00E50E6A" w:rsidRDefault="00E50E6A" w:rsidP="00E50E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9821715"/>
      <w:docPartObj>
        <w:docPartGallery w:val="Page Numbers (Bottom of Page)"/>
        <w:docPartUnique/>
      </w:docPartObj>
    </w:sdtPr>
    <w:sdtContent>
      <w:p w14:paraId="462BC926" w14:textId="58B37366" w:rsidR="00E50E6A" w:rsidRDefault="00E50E6A" w:rsidP="00A5288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3FDDC5" w14:textId="77777777" w:rsidR="00E50E6A" w:rsidRDefault="00E50E6A" w:rsidP="00E50E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8F3447" w14:textId="77777777" w:rsidR="00462DD7" w:rsidRDefault="00462DD7" w:rsidP="00E50E6A">
      <w:pPr>
        <w:spacing w:after="0" w:line="240" w:lineRule="auto"/>
      </w:pPr>
      <w:r>
        <w:separator/>
      </w:r>
    </w:p>
  </w:footnote>
  <w:footnote w:type="continuationSeparator" w:id="0">
    <w:p w14:paraId="011CDB55" w14:textId="77777777" w:rsidR="00462DD7" w:rsidRDefault="00462DD7" w:rsidP="00E50E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86C"/>
    <w:rsid w:val="00010F60"/>
    <w:rsid w:val="00051D11"/>
    <w:rsid w:val="00080016"/>
    <w:rsid w:val="000D0F7E"/>
    <w:rsid w:val="00135238"/>
    <w:rsid w:val="00192C88"/>
    <w:rsid w:val="002105B8"/>
    <w:rsid w:val="00226F7E"/>
    <w:rsid w:val="0024043C"/>
    <w:rsid w:val="002561CC"/>
    <w:rsid w:val="002E5012"/>
    <w:rsid w:val="003364B2"/>
    <w:rsid w:val="00341834"/>
    <w:rsid w:val="00401CAB"/>
    <w:rsid w:val="00413A45"/>
    <w:rsid w:val="00461C34"/>
    <w:rsid w:val="00462DD7"/>
    <w:rsid w:val="004B0187"/>
    <w:rsid w:val="004B376B"/>
    <w:rsid w:val="004D0060"/>
    <w:rsid w:val="004D775F"/>
    <w:rsid w:val="005062FF"/>
    <w:rsid w:val="005571BC"/>
    <w:rsid w:val="0056724D"/>
    <w:rsid w:val="00570B85"/>
    <w:rsid w:val="0057662E"/>
    <w:rsid w:val="005B2EBF"/>
    <w:rsid w:val="005E3B6A"/>
    <w:rsid w:val="005F5A94"/>
    <w:rsid w:val="006B7580"/>
    <w:rsid w:val="006B7E35"/>
    <w:rsid w:val="006C3BE7"/>
    <w:rsid w:val="006D5B0D"/>
    <w:rsid w:val="0075511A"/>
    <w:rsid w:val="00780DE5"/>
    <w:rsid w:val="007E286C"/>
    <w:rsid w:val="007E57A2"/>
    <w:rsid w:val="0080310F"/>
    <w:rsid w:val="00812BAC"/>
    <w:rsid w:val="00836E7B"/>
    <w:rsid w:val="00850D70"/>
    <w:rsid w:val="0088452B"/>
    <w:rsid w:val="008D41A0"/>
    <w:rsid w:val="0091286B"/>
    <w:rsid w:val="009A1F74"/>
    <w:rsid w:val="009D5858"/>
    <w:rsid w:val="009E2529"/>
    <w:rsid w:val="00A464FC"/>
    <w:rsid w:val="00AF58F3"/>
    <w:rsid w:val="00BC6F92"/>
    <w:rsid w:val="00C308BD"/>
    <w:rsid w:val="00C919A3"/>
    <w:rsid w:val="00C94089"/>
    <w:rsid w:val="00CA3D94"/>
    <w:rsid w:val="00CC653E"/>
    <w:rsid w:val="00CE73F0"/>
    <w:rsid w:val="00D17C1E"/>
    <w:rsid w:val="00DB0EF9"/>
    <w:rsid w:val="00DB6B0B"/>
    <w:rsid w:val="00E32FC8"/>
    <w:rsid w:val="00E50E6A"/>
    <w:rsid w:val="00EB30F2"/>
    <w:rsid w:val="00ED046E"/>
    <w:rsid w:val="00F544B7"/>
    <w:rsid w:val="00FA2AD4"/>
    <w:rsid w:val="00FD0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09CFF"/>
  <w15:chartTrackingRefBased/>
  <w15:docId w15:val="{D01A0A3F-7201-E04E-B5E5-264B35D2A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8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28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28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28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28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28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28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28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28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28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28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28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28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28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28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28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28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286C"/>
    <w:rPr>
      <w:rFonts w:eastAsiaTheme="majorEastAsia" w:cstheme="majorBidi"/>
      <w:color w:val="272727" w:themeColor="text1" w:themeTint="D8"/>
    </w:rPr>
  </w:style>
  <w:style w:type="paragraph" w:styleId="Title">
    <w:name w:val="Title"/>
    <w:basedOn w:val="Normal"/>
    <w:next w:val="Normal"/>
    <w:link w:val="TitleChar"/>
    <w:uiPriority w:val="10"/>
    <w:qFormat/>
    <w:rsid w:val="007E28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28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28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28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286C"/>
    <w:pPr>
      <w:spacing w:before="160"/>
      <w:jc w:val="center"/>
    </w:pPr>
    <w:rPr>
      <w:i/>
      <w:iCs/>
      <w:color w:val="404040" w:themeColor="text1" w:themeTint="BF"/>
    </w:rPr>
  </w:style>
  <w:style w:type="character" w:customStyle="1" w:styleId="QuoteChar">
    <w:name w:val="Quote Char"/>
    <w:basedOn w:val="DefaultParagraphFont"/>
    <w:link w:val="Quote"/>
    <w:uiPriority w:val="29"/>
    <w:rsid w:val="007E286C"/>
    <w:rPr>
      <w:i/>
      <w:iCs/>
      <w:color w:val="404040" w:themeColor="text1" w:themeTint="BF"/>
    </w:rPr>
  </w:style>
  <w:style w:type="paragraph" w:styleId="ListParagraph">
    <w:name w:val="List Paragraph"/>
    <w:basedOn w:val="Normal"/>
    <w:uiPriority w:val="34"/>
    <w:qFormat/>
    <w:rsid w:val="007E286C"/>
    <w:pPr>
      <w:ind w:left="720"/>
      <w:contextualSpacing/>
    </w:pPr>
  </w:style>
  <w:style w:type="character" w:styleId="IntenseEmphasis">
    <w:name w:val="Intense Emphasis"/>
    <w:basedOn w:val="DefaultParagraphFont"/>
    <w:uiPriority w:val="21"/>
    <w:qFormat/>
    <w:rsid w:val="007E286C"/>
    <w:rPr>
      <w:i/>
      <w:iCs/>
      <w:color w:val="0F4761" w:themeColor="accent1" w:themeShade="BF"/>
    </w:rPr>
  </w:style>
  <w:style w:type="paragraph" w:styleId="IntenseQuote">
    <w:name w:val="Intense Quote"/>
    <w:basedOn w:val="Normal"/>
    <w:next w:val="Normal"/>
    <w:link w:val="IntenseQuoteChar"/>
    <w:uiPriority w:val="30"/>
    <w:qFormat/>
    <w:rsid w:val="007E28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286C"/>
    <w:rPr>
      <w:i/>
      <w:iCs/>
      <w:color w:val="0F4761" w:themeColor="accent1" w:themeShade="BF"/>
    </w:rPr>
  </w:style>
  <w:style w:type="character" w:styleId="IntenseReference">
    <w:name w:val="Intense Reference"/>
    <w:basedOn w:val="DefaultParagraphFont"/>
    <w:uiPriority w:val="32"/>
    <w:qFormat/>
    <w:rsid w:val="007E286C"/>
    <w:rPr>
      <w:b/>
      <w:bCs/>
      <w:smallCaps/>
      <w:color w:val="0F4761" w:themeColor="accent1" w:themeShade="BF"/>
      <w:spacing w:val="5"/>
    </w:rPr>
  </w:style>
  <w:style w:type="paragraph" w:styleId="Footer">
    <w:name w:val="footer"/>
    <w:basedOn w:val="Normal"/>
    <w:link w:val="FooterChar"/>
    <w:uiPriority w:val="99"/>
    <w:unhideWhenUsed/>
    <w:rsid w:val="00E50E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E6A"/>
  </w:style>
  <w:style w:type="character" w:styleId="PageNumber">
    <w:name w:val="page number"/>
    <w:basedOn w:val="DefaultParagraphFont"/>
    <w:uiPriority w:val="99"/>
    <w:semiHidden/>
    <w:unhideWhenUsed/>
    <w:rsid w:val="00E50E6A"/>
  </w:style>
  <w:style w:type="character" w:styleId="Hyperlink">
    <w:name w:val="Hyperlink"/>
    <w:basedOn w:val="DefaultParagraphFont"/>
    <w:uiPriority w:val="99"/>
    <w:unhideWhenUsed/>
    <w:rsid w:val="00CA3D94"/>
    <w:rPr>
      <w:color w:val="467886" w:themeColor="hyperlink"/>
      <w:u w:val="single"/>
    </w:rPr>
  </w:style>
  <w:style w:type="character" w:styleId="UnresolvedMention">
    <w:name w:val="Unresolved Mention"/>
    <w:basedOn w:val="DefaultParagraphFont"/>
    <w:uiPriority w:val="99"/>
    <w:semiHidden/>
    <w:unhideWhenUsed/>
    <w:rsid w:val="00CA3D94"/>
    <w:rPr>
      <w:color w:val="605E5C"/>
      <w:shd w:val="clear" w:color="auto" w:fill="E1DFDD"/>
    </w:rPr>
  </w:style>
  <w:style w:type="character" w:styleId="FollowedHyperlink">
    <w:name w:val="FollowedHyperlink"/>
    <w:basedOn w:val="DefaultParagraphFont"/>
    <w:uiPriority w:val="99"/>
    <w:semiHidden/>
    <w:unhideWhenUsed/>
    <w:rsid w:val="007E57A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ebma.org/resources/frequently-asked-questions/what-are-the-limitations-of-evidence-based-practice/" TargetMode="External"/><Relationship Id="rId18" Type="http://schemas.openxmlformats.org/officeDocument/2006/relationships/hyperlink" Target="https://www.cipd.org/globalassets/media/comms/news/as22learning-skills-work-case-study-2021-1_tcm18-95434.pdf" TargetMode="External"/><Relationship Id="rId26" Type="http://schemas.openxmlformats.org/officeDocument/2006/relationships/hyperlink" Target="https://www.cipd.org/uk/knowledge/case-studies/bbc/#what-evidence-was-used" TargetMode="External"/><Relationship Id="rId39" Type="http://schemas.openxmlformats.org/officeDocument/2006/relationships/hyperlink" Target="https://www.isc.hbs.edu/strategy/business-strategy/Pages/the-five-forces.aspx" TargetMode="External"/><Relationship Id="rId21" Type="http://schemas.openxmlformats.org/officeDocument/2006/relationships/hyperlink" Target="https://www.hr-inform.co.uk/case-study/absence-management" TargetMode="External"/><Relationship Id="rId34" Type="http://schemas.openxmlformats.org/officeDocument/2006/relationships/hyperlink" Target="https://hrexecutive.com/pwcs-playbook-for-creating-skilled-critical-thinkers-in-the-age-of-ai/" TargetMode="External"/><Relationship Id="rId42" Type="http://schemas.openxmlformats.org/officeDocument/2006/relationships/hyperlink" Target="https://www.hse.gov.uk/msd/manual-handling/training.htm" TargetMode="External"/><Relationship Id="rId47" Type="http://schemas.openxmlformats.org/officeDocument/2006/relationships/hyperlink" Target="https://www.hanoverresearch.com/insights-blog/corporate/four-most-important-customer-satisfaction-metrics/" TargetMode="External"/><Relationship Id="rId50" Type="http://schemas.openxmlformats.org/officeDocument/2006/relationships/hyperlink" Target="https://www.peoplemanagement.co.uk/article/1846826/workplace-sickness-absence-&#8211;-hr-reduce-it" TargetMode="External"/><Relationship Id="rId55" Type="http://schemas.openxmlformats.org/officeDocument/2006/relationships/hyperlink" Target="https://www.hrmagazine.co.uk/content/features/you-need-both-the-rational-and-emotional-for-success" TargetMode="External"/><Relationship Id="rId7" Type="http://schemas.openxmlformats.org/officeDocument/2006/relationships/chart" Target="charts/chart1.xml"/><Relationship Id="rId2" Type="http://schemas.openxmlformats.org/officeDocument/2006/relationships/settings" Target="settings.xml"/><Relationship Id="rId16" Type="http://schemas.openxmlformats.org/officeDocument/2006/relationships/hyperlink" Target="https://www.cipd.org/uk/knowledge/podcasts/critical-thinking/" TargetMode="External"/><Relationship Id="rId29" Type="http://schemas.openxmlformats.org/officeDocument/2006/relationships/hyperlink" Target="https://www.cipd.org/uk/knowledge/factsheets/learning-methods-factsheet/" TargetMode="External"/><Relationship Id="rId11" Type="http://schemas.openxmlformats.org/officeDocument/2006/relationships/hyperlink" Target="https://www.hrmagazine.co.uk/content/features/whats-the-evidence-for-performance-management" TargetMode="External"/><Relationship Id="rId24" Type="http://schemas.openxmlformats.org/officeDocument/2006/relationships/hyperlink" Target="https://www.cipd.org/globalassets/media/knowledge/knowledge-hub/reports/2025-pdfs/8920-Health-and-wellbeing-report-2025.pdf" TargetMode="External"/><Relationship Id="rId32" Type="http://schemas.openxmlformats.org/officeDocument/2006/relationships/hyperlink" Target="https://ugc.futurelearn.com/uploads/files/c8/f6/c8f6b763-9cc4-4804-a1a1-2db2f5bd0a36/Rational_decision_making.pdf" TargetMode="External"/><Relationship Id="rId37" Type="http://schemas.openxmlformats.org/officeDocument/2006/relationships/hyperlink" Target="https://www.peoplemanagement.co.uk/article/1845833/considering-application-relevance-evidence-based-hr" TargetMode="External"/><Relationship Id="rId40" Type="http://schemas.openxmlformats.org/officeDocument/2006/relationships/hyperlink" Target="https://www.theaccessgroup.com/en-gb/blog/hcm-visualising-your-absence-data/" TargetMode="External"/><Relationship Id="rId45" Type="http://schemas.openxmlformats.org/officeDocument/2006/relationships/hyperlink" Target="https://hbr.org/2011/12/why-hr-really-does-add-value" TargetMode="External"/><Relationship Id="rId53" Type="http://schemas.openxmlformats.org/officeDocument/2006/relationships/hyperlink" Target="https://www.peoplemanagement.co.uk/article/1878945/blended-learning-flexible-future-employee-development.%20(Accessed" TargetMode="External"/><Relationship Id="rId58" Type="http://schemas.openxmlformats.org/officeDocument/2006/relationships/footer" Target="footer2.xml"/><Relationship Id="rId5" Type="http://schemas.openxmlformats.org/officeDocument/2006/relationships/endnotes" Target="endnotes.xml"/><Relationship Id="rId19" Type="http://schemas.openxmlformats.org/officeDocument/2006/relationships/hyperlink" Target="https://www.cipd.org/en/views-and-insights/thought-leadership/insight/impactful-inclusive-learning/" TargetMode="Externa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hyperlink" Target="https://cesafety.co.uk/training-courses/manual-handling-courses/3-hour-manual-handling-training/" TargetMode="External"/><Relationship Id="rId22" Type="http://schemas.openxmlformats.org/officeDocument/2006/relationships/hyperlink" Target="https://www.cipd.org/uk/knowledge/guides/evidence-based-profession/" TargetMode="External"/><Relationship Id="rId27" Type="http://schemas.openxmlformats.org/officeDocument/2006/relationships/hyperlink" Target="https://www.cipd.org/uk/knowledge/factsheets/line-managers-factsheet/" TargetMode="External"/><Relationship Id="rId30" Type="http://schemas.openxmlformats.org/officeDocument/2006/relationships/hyperlink" Target="https://www.cipd.org/uk/knowledge/factsheets/learning-needs-factsheet/" TargetMode="External"/><Relationship Id="rId35" Type="http://schemas.openxmlformats.org/officeDocument/2006/relationships/hyperlink" Target="https://www.myhrtoolkit.com/blog/absence-data" TargetMode="External"/><Relationship Id="rId43" Type="http://schemas.openxmlformats.org/officeDocument/2006/relationships/hyperlink" Target="https://online.hbs.edu/blog/post/financial-performance-measures" TargetMode="External"/><Relationship Id="rId48" Type="http://schemas.openxmlformats.org/officeDocument/2006/relationships/hyperlink" Target="https://www.pwc.co.uk/services/technology/immersive-technologies/study-into-vr-training-effectiveness.html" TargetMode="External"/><Relationship Id="rId56" Type="http://schemas.openxmlformats.org/officeDocument/2006/relationships/hyperlink" Target="https://www.deloitte.com/nz/en/services/consulting/blogs/is-your-learning-designed-for-the-modern-learner.html" TargetMode="External"/><Relationship Id="rId8" Type="http://schemas.openxmlformats.org/officeDocument/2006/relationships/chart" Target="charts/chart2.xml"/><Relationship Id="rId51" Type="http://schemas.openxmlformats.org/officeDocument/2006/relationships/hyperlink" Target="https://www.england.nhs.uk/improvement-hub/wp-content/uploads/sites/44/2017/11/Thinking-Differently-Book.pdf" TargetMode="External"/><Relationship Id="rId3" Type="http://schemas.openxmlformats.org/officeDocument/2006/relationships/webSettings" Target="webSettings.xml"/><Relationship Id="rId12" Type="http://schemas.openxmlformats.org/officeDocument/2006/relationships/hyperlink" Target="https://www.cbi.org.uk/media-centre/articles/uk-manufacturing-struggles-to-regain-momentum-as-cost-pressures-mount-and-orders-remain-weak-cbi-industrial-trends-survey-july-2025/" TargetMode="External"/><Relationship Id="rId17" Type="http://schemas.openxmlformats.org/officeDocument/2006/relationships/hyperlink" Target="https://www.cipd.org/globalassets/media/comms/news/as2learning-skills-work-report-2021-1_tcm18-95433.pdf" TargetMode="External"/><Relationship Id="rId25" Type="http://schemas.openxmlformats.org/officeDocument/2006/relationships/hyperlink" Target="https://www.cipd.org/en/views-and-insights/thought-leadership/insight/evidence-based-hrm/" TargetMode="External"/><Relationship Id="rId33" Type="http://schemas.openxmlformats.org/officeDocument/2006/relationships/hyperlink" Target="https://www.peoplemanagement.co.uk/article/1886602/l-d-open-space-richer-conversations" TargetMode="External"/><Relationship Id="rId38" Type="http://schemas.openxmlformats.org/officeDocument/2006/relationships/hyperlink" Target="https://www.theaccessgroup.com/en-gb/digital-learning/software/learning-management-system/how-much-does-a-learning-management-system-cost/" TargetMode="External"/><Relationship Id="rId46" Type="http://schemas.openxmlformats.org/officeDocument/2006/relationships/hyperlink" Target="https://blogs.kcl.ac.uk/activelearning/2019/05/17/six-thinking-hats/" TargetMode="External"/><Relationship Id="rId59" Type="http://schemas.openxmlformats.org/officeDocument/2006/relationships/fontTable" Target="fontTable.xml"/><Relationship Id="rId20" Type="http://schemas.openxmlformats.org/officeDocument/2006/relationships/hyperlink" Target="https://www.cipd.org/globalassets/media/knowledge/knowledge-hub/reports/resourcing-and-talent-planning-case-studies-2022_tcm18-111501.pdf" TargetMode="External"/><Relationship Id="rId41" Type="http://schemas.openxmlformats.org/officeDocument/2006/relationships/hyperlink" Target="https://www.hse.gov.uk/pubns/indg231.htm" TargetMode="External"/><Relationship Id="rId54" Type="http://schemas.openxmlformats.org/officeDocument/2006/relationships/hyperlink" Target="https://www.employment-studies.co.uk/system/files/resources/files/mp58.pdf" TargetMode="Externa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cipd.org/globalassets/media/comms/the-people-profession/profession-map-pdfs/ethical-decision-making-2015-eight-perspectives-on-workplace-dilemmas_tcm29-9564.pdf" TargetMode="External"/><Relationship Id="rId23" Type="http://schemas.openxmlformats.org/officeDocument/2006/relationships/hyperlink" Target="https://www.cipd.org/uk/knowledge/factsheets/absence-factsheet/" TargetMode="External"/><Relationship Id="rId28" Type="http://schemas.openxmlformats.org/officeDocument/2006/relationships/hyperlink" Target="https://www.cipd.org/uk/knowledge/factsheets/evidence-based-practice-factsheet/" TargetMode="External"/><Relationship Id="rId36" Type="http://schemas.openxmlformats.org/officeDocument/2006/relationships/hyperlink" Target="https://doi.org/10.1177/01632787241259032" TargetMode="External"/><Relationship Id="rId49" Type="http://schemas.openxmlformats.org/officeDocument/2006/relationships/hyperlink" Target="https://www.pwc.com/us/en/services/consulting/technology/emerging-technology/assets/pwc-understanding-the-effectiveness-of-soft-skills-training-in-the-enterprise-a-study.pdf" TargetMode="External"/><Relationship Id="rId57" Type="http://schemas.openxmlformats.org/officeDocument/2006/relationships/footer" Target="footer1.xml"/><Relationship Id="rId10" Type="http://schemas.openxmlformats.org/officeDocument/2006/relationships/hyperlink" Target="https://www.employment-studies.co.uk/system/files/resources/files/op6.pdf" TargetMode="External"/><Relationship Id="rId31" Type="http://schemas.openxmlformats.org/officeDocument/2006/relationships/hyperlink" Target="https://www.cipd.org/uk/views-and-insights/thought-leadership/insight/evidence-based-profession/" TargetMode="External"/><Relationship Id="rId44" Type="http://schemas.openxmlformats.org/officeDocument/2006/relationships/hyperlink" Target="https://www.employment-studies.co.uk/system/files/resources/files/288.pdf" TargetMode="External"/><Relationship Id="rId52" Type="http://schemas.openxmlformats.org/officeDocument/2006/relationships/hyperlink" Target="https://www.peoplemanagement.co.uk/article/1743225/measuring-return-on-investment"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9e520897eafe4603/Documents/EBP%20MM%20-%20char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9e520897eafe4603/Documents/EBP%20MM%20-%20char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9e520897eafe4603/Documents/EBP%20MM%20-%20char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Turnover and recruitment take up for Technivara 2024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Total in Department 2024</c:v>
                </c:pt>
              </c:strCache>
            </c:strRef>
          </c:tx>
          <c:spPr>
            <a:solidFill>
              <a:schemeClr val="accent1"/>
            </a:solidFill>
            <a:ln>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Sheet1!$B$4:$B$13</c:f>
              <c:numCache>
                <c:formatCode>General</c:formatCode>
                <c:ptCount val="10"/>
                <c:pt idx="0">
                  <c:v>26</c:v>
                </c:pt>
                <c:pt idx="1">
                  <c:v>15</c:v>
                </c:pt>
                <c:pt idx="2">
                  <c:v>8</c:v>
                </c:pt>
                <c:pt idx="3">
                  <c:v>4</c:v>
                </c:pt>
                <c:pt idx="4">
                  <c:v>15</c:v>
                </c:pt>
                <c:pt idx="5">
                  <c:v>35</c:v>
                </c:pt>
                <c:pt idx="6">
                  <c:v>6</c:v>
                </c:pt>
                <c:pt idx="7">
                  <c:v>12</c:v>
                </c:pt>
                <c:pt idx="8">
                  <c:v>4</c:v>
                </c:pt>
                <c:pt idx="9">
                  <c:v>12</c:v>
                </c:pt>
              </c:numCache>
            </c:numRef>
          </c:val>
          <c:extLst>
            <c:ext xmlns:c16="http://schemas.microsoft.com/office/drawing/2014/chart" uri="{C3380CC4-5D6E-409C-BE32-E72D297353CC}">
              <c16:uniqueId val="{00000000-1CB3-DC4A-8CC9-B4FB85B47531}"/>
            </c:ext>
          </c:extLst>
        </c:ser>
        <c:ser>
          <c:idx val="1"/>
          <c:order val="1"/>
          <c:tx>
            <c:strRef>
              <c:f>Sheet1!$C$3</c:f>
              <c:strCache>
                <c:ptCount val="1"/>
                <c:pt idx="0">
                  <c:v>Leavers for 2024</c:v>
                </c:pt>
              </c:strCache>
            </c:strRef>
          </c:tx>
          <c:spPr>
            <a:solidFill>
              <a:schemeClr val="accent2"/>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Sheet1!$C$4:$C$13</c:f>
              <c:numCache>
                <c:formatCode>General</c:formatCode>
                <c:ptCount val="10"/>
                <c:pt idx="0">
                  <c:v>6</c:v>
                </c:pt>
                <c:pt idx="1">
                  <c:v>4</c:v>
                </c:pt>
                <c:pt idx="2">
                  <c:v>1</c:v>
                </c:pt>
                <c:pt idx="3">
                  <c:v>2</c:v>
                </c:pt>
                <c:pt idx="4">
                  <c:v>4</c:v>
                </c:pt>
                <c:pt idx="5">
                  <c:v>8</c:v>
                </c:pt>
                <c:pt idx="6">
                  <c:v>3</c:v>
                </c:pt>
                <c:pt idx="7">
                  <c:v>4</c:v>
                </c:pt>
                <c:pt idx="8">
                  <c:v>1</c:v>
                </c:pt>
                <c:pt idx="9">
                  <c:v>3</c:v>
                </c:pt>
              </c:numCache>
            </c:numRef>
          </c:val>
          <c:extLst>
            <c:ext xmlns:c16="http://schemas.microsoft.com/office/drawing/2014/chart" uri="{C3380CC4-5D6E-409C-BE32-E72D297353CC}">
              <c16:uniqueId val="{00000001-1CB3-DC4A-8CC9-B4FB85B47531}"/>
            </c:ext>
          </c:extLst>
        </c:ser>
        <c:ser>
          <c:idx val="2"/>
          <c:order val="2"/>
          <c:tx>
            <c:strRef>
              <c:f>Sheet1!$D$3</c:f>
              <c:strCache>
                <c:ptCount val="1"/>
                <c:pt idx="0">
                  <c:v>Leavers as a % against total in each Department</c:v>
                </c:pt>
              </c:strCache>
            </c:strRef>
          </c:tx>
          <c:spPr>
            <a:solidFill>
              <a:schemeClr val="accent3"/>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Sheet1!$D$4:$D$13</c:f>
              <c:numCache>
                <c:formatCode>0%</c:formatCode>
                <c:ptCount val="10"/>
                <c:pt idx="0">
                  <c:v>0.23076923076923078</c:v>
                </c:pt>
                <c:pt idx="1">
                  <c:v>0.15384615384615385</c:v>
                </c:pt>
                <c:pt idx="2">
                  <c:v>3.8461538461538464E-2</c:v>
                </c:pt>
                <c:pt idx="3">
                  <c:v>7.6923076923076927E-2</c:v>
                </c:pt>
                <c:pt idx="4">
                  <c:v>0.15384615384615385</c:v>
                </c:pt>
                <c:pt idx="5">
                  <c:v>0.30769230769230771</c:v>
                </c:pt>
                <c:pt idx="6">
                  <c:v>0.11538461538461539</c:v>
                </c:pt>
                <c:pt idx="7">
                  <c:v>0.15384615384615385</c:v>
                </c:pt>
                <c:pt idx="8">
                  <c:v>3.8461538461538464E-2</c:v>
                </c:pt>
                <c:pt idx="9">
                  <c:v>0.11538461538461539</c:v>
                </c:pt>
              </c:numCache>
            </c:numRef>
          </c:val>
          <c:extLst>
            <c:ext xmlns:c16="http://schemas.microsoft.com/office/drawing/2014/chart" uri="{C3380CC4-5D6E-409C-BE32-E72D297353CC}">
              <c16:uniqueId val="{00000002-1CB3-DC4A-8CC9-B4FB85B47531}"/>
            </c:ext>
          </c:extLst>
        </c:ser>
        <c:ser>
          <c:idx val="3"/>
          <c:order val="3"/>
          <c:tx>
            <c:strRef>
              <c:f>Sheet1!$E$3</c:f>
              <c:strCache>
                <c:ptCount val="1"/>
                <c:pt idx="0">
                  <c:v>Positions vacant </c:v>
                </c:pt>
              </c:strCache>
            </c:strRef>
          </c:tx>
          <c:spPr>
            <a:solidFill>
              <a:schemeClr val="accent4"/>
            </a:solidFill>
            <a:ln>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Sheet1!$E$4:$E$13</c:f>
              <c:numCache>
                <c:formatCode>General</c:formatCode>
                <c:ptCount val="10"/>
                <c:pt idx="0">
                  <c:v>8</c:v>
                </c:pt>
                <c:pt idx="1">
                  <c:v>5</c:v>
                </c:pt>
                <c:pt idx="2">
                  <c:v>4</c:v>
                </c:pt>
                <c:pt idx="3">
                  <c:v>3</c:v>
                </c:pt>
                <c:pt idx="4">
                  <c:v>6</c:v>
                </c:pt>
                <c:pt idx="5">
                  <c:v>8</c:v>
                </c:pt>
                <c:pt idx="6">
                  <c:v>5</c:v>
                </c:pt>
                <c:pt idx="7">
                  <c:v>3</c:v>
                </c:pt>
                <c:pt idx="8">
                  <c:v>1</c:v>
                </c:pt>
                <c:pt idx="9">
                  <c:v>5</c:v>
                </c:pt>
              </c:numCache>
            </c:numRef>
          </c:val>
          <c:extLst>
            <c:ext xmlns:c16="http://schemas.microsoft.com/office/drawing/2014/chart" uri="{C3380CC4-5D6E-409C-BE32-E72D297353CC}">
              <c16:uniqueId val="{00000003-1CB3-DC4A-8CC9-B4FB85B47531}"/>
            </c:ext>
          </c:extLst>
        </c:ser>
        <c:ser>
          <c:idx val="4"/>
          <c:order val="4"/>
          <c:tx>
            <c:strRef>
              <c:f>Sheet1!$F$3</c:f>
              <c:strCache>
                <c:ptCount val="1"/>
                <c:pt idx="0">
                  <c:v>Vacancies as a % against total in each Department</c:v>
                </c:pt>
              </c:strCache>
            </c:strRef>
          </c:tx>
          <c:spPr>
            <a:solidFill>
              <a:schemeClr val="accent5"/>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Sheet1!$F$4:$F$13</c:f>
              <c:numCache>
                <c:formatCode>0%</c:formatCode>
                <c:ptCount val="10"/>
                <c:pt idx="0">
                  <c:v>0.30769230769230771</c:v>
                </c:pt>
                <c:pt idx="1">
                  <c:v>0.19230769230769232</c:v>
                </c:pt>
                <c:pt idx="2">
                  <c:v>0.15384615384615385</c:v>
                </c:pt>
                <c:pt idx="3">
                  <c:v>0.11538461538461539</c:v>
                </c:pt>
                <c:pt idx="4">
                  <c:v>0.23076923076923078</c:v>
                </c:pt>
                <c:pt idx="5">
                  <c:v>0.30769230769230771</c:v>
                </c:pt>
                <c:pt idx="6">
                  <c:v>0.19230769230769232</c:v>
                </c:pt>
                <c:pt idx="7">
                  <c:v>0.11538461538461539</c:v>
                </c:pt>
                <c:pt idx="8">
                  <c:v>3.8461538461538464E-2</c:v>
                </c:pt>
                <c:pt idx="9">
                  <c:v>0.19230769230769232</c:v>
                </c:pt>
              </c:numCache>
            </c:numRef>
          </c:val>
          <c:extLst>
            <c:ext xmlns:c16="http://schemas.microsoft.com/office/drawing/2014/chart" uri="{C3380CC4-5D6E-409C-BE32-E72D297353CC}">
              <c16:uniqueId val="{00000004-1CB3-DC4A-8CC9-B4FB85B47531}"/>
            </c:ext>
          </c:extLst>
        </c:ser>
        <c:ser>
          <c:idx val="5"/>
          <c:order val="5"/>
          <c:tx>
            <c:strRef>
              <c:f>Sheet1!$G$3</c:f>
              <c:strCache>
                <c:ptCount val="1"/>
                <c:pt idx="0">
                  <c:v>Positions filled </c:v>
                </c:pt>
              </c:strCache>
            </c:strRef>
          </c:tx>
          <c:spPr>
            <a:solidFill>
              <a:schemeClr val="accent6"/>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Sheet1!$G$4:$G$13</c:f>
              <c:numCache>
                <c:formatCode>General</c:formatCode>
                <c:ptCount val="10"/>
                <c:pt idx="0">
                  <c:v>3</c:v>
                </c:pt>
                <c:pt idx="1">
                  <c:v>5</c:v>
                </c:pt>
                <c:pt idx="2">
                  <c:v>4</c:v>
                </c:pt>
                <c:pt idx="3">
                  <c:v>3</c:v>
                </c:pt>
                <c:pt idx="4">
                  <c:v>6</c:v>
                </c:pt>
                <c:pt idx="5">
                  <c:v>3</c:v>
                </c:pt>
                <c:pt idx="6">
                  <c:v>2</c:v>
                </c:pt>
                <c:pt idx="7">
                  <c:v>3</c:v>
                </c:pt>
                <c:pt idx="8">
                  <c:v>1</c:v>
                </c:pt>
                <c:pt idx="9">
                  <c:v>2</c:v>
                </c:pt>
              </c:numCache>
            </c:numRef>
          </c:val>
          <c:extLst>
            <c:ext xmlns:c16="http://schemas.microsoft.com/office/drawing/2014/chart" uri="{C3380CC4-5D6E-409C-BE32-E72D297353CC}">
              <c16:uniqueId val="{00000005-1CB3-DC4A-8CC9-B4FB85B47531}"/>
            </c:ext>
          </c:extLst>
        </c:ser>
        <c:ser>
          <c:idx val="6"/>
          <c:order val="6"/>
          <c:tx>
            <c:strRef>
              <c:f>Sheet1!$H$3</c:f>
              <c:strCache>
                <c:ptCount val="1"/>
                <c:pt idx="0">
                  <c:v>Positions filled as a % of total in each Department</c:v>
                </c:pt>
              </c:strCache>
            </c:strRef>
          </c:tx>
          <c:spPr>
            <a:solidFill>
              <a:schemeClr val="accent1">
                <a:lumMod val="60000"/>
              </a:schemeClr>
            </a:solidFill>
            <a:ln w="19050">
              <a:noFill/>
            </a:ln>
            <a:effectLst/>
          </c:spPr>
          <c:invertIfNegative val="0"/>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Sheet1!$H$4:$H$13</c:f>
              <c:numCache>
                <c:formatCode>0%</c:formatCode>
                <c:ptCount val="10"/>
                <c:pt idx="0">
                  <c:v>0.11538461538461539</c:v>
                </c:pt>
                <c:pt idx="1">
                  <c:v>0.19230769230769232</c:v>
                </c:pt>
                <c:pt idx="2">
                  <c:v>0.15384615384615385</c:v>
                </c:pt>
                <c:pt idx="3">
                  <c:v>0.11538461538461539</c:v>
                </c:pt>
                <c:pt idx="4">
                  <c:v>0.23076923076923078</c:v>
                </c:pt>
                <c:pt idx="5">
                  <c:v>0.11538461538461539</c:v>
                </c:pt>
                <c:pt idx="6">
                  <c:v>7.6923076923076927E-2</c:v>
                </c:pt>
                <c:pt idx="7">
                  <c:v>0.11538461538461539</c:v>
                </c:pt>
                <c:pt idx="8">
                  <c:v>3.8461538461538464E-2</c:v>
                </c:pt>
                <c:pt idx="9">
                  <c:v>7.6923076923076927E-2</c:v>
                </c:pt>
              </c:numCache>
            </c:numRef>
          </c:val>
          <c:extLst>
            <c:ext xmlns:c16="http://schemas.microsoft.com/office/drawing/2014/chart" uri="{C3380CC4-5D6E-409C-BE32-E72D297353CC}">
              <c16:uniqueId val="{00000006-1CB3-DC4A-8CC9-B4FB85B47531}"/>
            </c:ext>
          </c:extLst>
        </c:ser>
        <c:dLbls>
          <c:showLegendKey val="0"/>
          <c:showVal val="0"/>
          <c:showCatName val="0"/>
          <c:showSerName val="0"/>
          <c:showPercent val="0"/>
          <c:showBubbleSize val="0"/>
        </c:dLbls>
        <c:gapWidth val="219"/>
        <c:overlap val="-27"/>
        <c:axId val="1385238272"/>
        <c:axId val="1386175056"/>
      </c:barChart>
      <c:catAx>
        <c:axId val="1385238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6175056"/>
        <c:crosses val="autoZero"/>
        <c:auto val="1"/>
        <c:lblAlgn val="ctr"/>
        <c:lblOffset val="100"/>
        <c:noMultiLvlLbl val="0"/>
      </c:catAx>
      <c:valAx>
        <c:axId val="1386175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52382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Sheet1!$B$3</c:f>
              <c:strCache>
                <c:ptCount val="1"/>
                <c:pt idx="0">
                  <c:v>Total in Department 2024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Sheet1!$B$4:$B$13</c:f>
              <c:numCache>
                <c:formatCode>General</c:formatCode>
                <c:ptCount val="10"/>
                <c:pt idx="0">
                  <c:v>26</c:v>
                </c:pt>
                <c:pt idx="1">
                  <c:v>15</c:v>
                </c:pt>
                <c:pt idx="2">
                  <c:v>8</c:v>
                </c:pt>
                <c:pt idx="3">
                  <c:v>4</c:v>
                </c:pt>
                <c:pt idx="4">
                  <c:v>15</c:v>
                </c:pt>
                <c:pt idx="5">
                  <c:v>35</c:v>
                </c:pt>
                <c:pt idx="6">
                  <c:v>6</c:v>
                </c:pt>
                <c:pt idx="7">
                  <c:v>12</c:v>
                </c:pt>
                <c:pt idx="8">
                  <c:v>4</c:v>
                </c:pt>
                <c:pt idx="9">
                  <c:v>12</c:v>
                </c:pt>
              </c:numCache>
            </c:numRef>
          </c:val>
          <c:extLst>
            <c:ext xmlns:c16="http://schemas.microsoft.com/office/drawing/2014/chart" uri="{C3380CC4-5D6E-409C-BE32-E72D297353CC}">
              <c16:uniqueId val="{00000014-6C6D-FE45-B33D-F64D6EE1BABE}"/>
            </c:ext>
          </c:extLst>
        </c:ser>
        <c:ser>
          <c:idx val="1"/>
          <c:order val="1"/>
          <c:tx>
            <c:strRef>
              <c:f>Sheet1!$C$3</c:f>
              <c:strCache>
                <c:ptCount val="1"/>
                <c:pt idx="0">
                  <c:v>Leavers for 2024</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16-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18-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A-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C-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E-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20-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22-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24-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26-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28-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Sheet1!$C$4:$C$13</c:f>
              <c:numCache>
                <c:formatCode>General</c:formatCode>
                <c:ptCount val="10"/>
                <c:pt idx="0">
                  <c:v>6</c:v>
                </c:pt>
                <c:pt idx="1">
                  <c:v>4</c:v>
                </c:pt>
                <c:pt idx="2">
                  <c:v>1</c:v>
                </c:pt>
                <c:pt idx="3">
                  <c:v>2</c:v>
                </c:pt>
                <c:pt idx="4">
                  <c:v>4</c:v>
                </c:pt>
                <c:pt idx="5">
                  <c:v>8</c:v>
                </c:pt>
                <c:pt idx="6">
                  <c:v>3</c:v>
                </c:pt>
                <c:pt idx="7">
                  <c:v>4</c:v>
                </c:pt>
                <c:pt idx="8">
                  <c:v>1</c:v>
                </c:pt>
                <c:pt idx="9">
                  <c:v>3</c:v>
                </c:pt>
              </c:numCache>
            </c:numRef>
          </c:val>
          <c:extLst>
            <c:ext xmlns:c16="http://schemas.microsoft.com/office/drawing/2014/chart" uri="{C3380CC4-5D6E-409C-BE32-E72D297353CC}">
              <c16:uniqueId val="{00000029-6C6D-FE45-B33D-F64D6EE1BABE}"/>
            </c:ext>
          </c:extLst>
        </c:ser>
        <c:ser>
          <c:idx val="2"/>
          <c:order val="2"/>
          <c:tx>
            <c:strRef>
              <c:f>Sheet1!$D$3</c:f>
              <c:strCache>
                <c:ptCount val="1"/>
                <c:pt idx="0">
                  <c:v>Leavers as a % against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2B-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2D-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2F-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31-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33-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35-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37-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39-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3B-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3D-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Sheet1!$D$4:$D$13</c:f>
              <c:numCache>
                <c:formatCode>0%</c:formatCode>
                <c:ptCount val="10"/>
                <c:pt idx="0">
                  <c:v>0.23076923076923078</c:v>
                </c:pt>
                <c:pt idx="1">
                  <c:v>0.15384615384615385</c:v>
                </c:pt>
                <c:pt idx="2">
                  <c:v>3.8461538461538464E-2</c:v>
                </c:pt>
                <c:pt idx="3">
                  <c:v>7.6923076923076927E-2</c:v>
                </c:pt>
                <c:pt idx="4">
                  <c:v>0.15384615384615385</c:v>
                </c:pt>
                <c:pt idx="5">
                  <c:v>0.30769230769230771</c:v>
                </c:pt>
                <c:pt idx="6">
                  <c:v>0.11538461538461539</c:v>
                </c:pt>
                <c:pt idx="7">
                  <c:v>0.15384615384615385</c:v>
                </c:pt>
                <c:pt idx="8">
                  <c:v>3.8461538461538464E-2</c:v>
                </c:pt>
                <c:pt idx="9">
                  <c:v>0.11538461538461539</c:v>
                </c:pt>
              </c:numCache>
            </c:numRef>
          </c:val>
          <c:extLst>
            <c:ext xmlns:c16="http://schemas.microsoft.com/office/drawing/2014/chart" uri="{C3380CC4-5D6E-409C-BE32-E72D297353CC}">
              <c16:uniqueId val="{0000003E-6C6D-FE45-B33D-F64D6EE1BABE}"/>
            </c:ext>
          </c:extLst>
        </c:ser>
        <c:ser>
          <c:idx val="3"/>
          <c:order val="3"/>
          <c:tx>
            <c:strRef>
              <c:f>Sheet1!$E$3</c:f>
              <c:strCache>
                <c:ptCount val="1"/>
                <c:pt idx="0">
                  <c:v>Positions vacant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40-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42-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44-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46-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48-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4A-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4C-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4E-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50-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52-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Sheet1!$E$4:$E$13</c:f>
              <c:numCache>
                <c:formatCode>General</c:formatCode>
                <c:ptCount val="10"/>
                <c:pt idx="0">
                  <c:v>8</c:v>
                </c:pt>
                <c:pt idx="1">
                  <c:v>5</c:v>
                </c:pt>
                <c:pt idx="2">
                  <c:v>4</c:v>
                </c:pt>
                <c:pt idx="3">
                  <c:v>3</c:v>
                </c:pt>
                <c:pt idx="4">
                  <c:v>6</c:v>
                </c:pt>
                <c:pt idx="5">
                  <c:v>8</c:v>
                </c:pt>
                <c:pt idx="6">
                  <c:v>5</c:v>
                </c:pt>
                <c:pt idx="7">
                  <c:v>3</c:v>
                </c:pt>
                <c:pt idx="8">
                  <c:v>1</c:v>
                </c:pt>
                <c:pt idx="9">
                  <c:v>5</c:v>
                </c:pt>
              </c:numCache>
            </c:numRef>
          </c:val>
          <c:extLst>
            <c:ext xmlns:c16="http://schemas.microsoft.com/office/drawing/2014/chart" uri="{C3380CC4-5D6E-409C-BE32-E72D297353CC}">
              <c16:uniqueId val="{00000053-6C6D-FE45-B33D-F64D6EE1BABE}"/>
            </c:ext>
          </c:extLst>
        </c:ser>
        <c:ser>
          <c:idx val="4"/>
          <c:order val="4"/>
          <c:tx>
            <c:strRef>
              <c:f>Sheet1!$F$3</c:f>
              <c:strCache>
                <c:ptCount val="1"/>
                <c:pt idx="0">
                  <c:v>Vacancies as a % against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55-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57-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59-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5B-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5D-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5F-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61-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63-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65-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67-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Sheet1!$F$4:$F$13</c:f>
              <c:numCache>
                <c:formatCode>0%</c:formatCode>
                <c:ptCount val="10"/>
                <c:pt idx="0">
                  <c:v>0.30769230769230771</c:v>
                </c:pt>
                <c:pt idx="1">
                  <c:v>0.19230769230769232</c:v>
                </c:pt>
                <c:pt idx="2">
                  <c:v>0.15384615384615385</c:v>
                </c:pt>
                <c:pt idx="3">
                  <c:v>0.11538461538461539</c:v>
                </c:pt>
                <c:pt idx="4">
                  <c:v>0.23076923076923078</c:v>
                </c:pt>
                <c:pt idx="5">
                  <c:v>0.30769230769230771</c:v>
                </c:pt>
                <c:pt idx="6">
                  <c:v>0.19230769230769232</c:v>
                </c:pt>
                <c:pt idx="7">
                  <c:v>0.11538461538461539</c:v>
                </c:pt>
                <c:pt idx="8">
                  <c:v>3.8461538461538464E-2</c:v>
                </c:pt>
                <c:pt idx="9">
                  <c:v>0.19230769230769232</c:v>
                </c:pt>
              </c:numCache>
            </c:numRef>
          </c:val>
          <c:extLst>
            <c:ext xmlns:c16="http://schemas.microsoft.com/office/drawing/2014/chart" uri="{C3380CC4-5D6E-409C-BE32-E72D297353CC}">
              <c16:uniqueId val="{00000068-6C6D-FE45-B33D-F64D6EE1BABE}"/>
            </c:ext>
          </c:extLst>
        </c:ser>
        <c:ser>
          <c:idx val="5"/>
          <c:order val="5"/>
          <c:tx>
            <c:strRef>
              <c:f>Sheet1!$G$3</c:f>
              <c:strCache>
                <c:ptCount val="1"/>
                <c:pt idx="0">
                  <c:v>Positions filled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6A-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6C-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6E-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70-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72-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74-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76-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78-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7A-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7C-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Sheet1!$G$4:$G$13</c:f>
              <c:numCache>
                <c:formatCode>General</c:formatCode>
                <c:ptCount val="10"/>
                <c:pt idx="0">
                  <c:v>3</c:v>
                </c:pt>
                <c:pt idx="1">
                  <c:v>5</c:v>
                </c:pt>
                <c:pt idx="2">
                  <c:v>4</c:v>
                </c:pt>
                <c:pt idx="3">
                  <c:v>3</c:v>
                </c:pt>
                <c:pt idx="4">
                  <c:v>6</c:v>
                </c:pt>
                <c:pt idx="5">
                  <c:v>3</c:v>
                </c:pt>
                <c:pt idx="6">
                  <c:v>2</c:v>
                </c:pt>
                <c:pt idx="7">
                  <c:v>3</c:v>
                </c:pt>
                <c:pt idx="8">
                  <c:v>1</c:v>
                </c:pt>
                <c:pt idx="9">
                  <c:v>2</c:v>
                </c:pt>
              </c:numCache>
            </c:numRef>
          </c:val>
          <c:extLst>
            <c:ext xmlns:c16="http://schemas.microsoft.com/office/drawing/2014/chart" uri="{C3380CC4-5D6E-409C-BE32-E72D297353CC}">
              <c16:uniqueId val="{0000007D-6C6D-FE45-B33D-F64D6EE1BABE}"/>
            </c:ext>
          </c:extLst>
        </c:ser>
        <c:ser>
          <c:idx val="6"/>
          <c:order val="6"/>
          <c:tx>
            <c:strRef>
              <c:f>Sheet1!$H$3</c:f>
              <c:strCache>
                <c:ptCount val="1"/>
                <c:pt idx="0">
                  <c:v>Positions filled as a % of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7F-6C6D-FE45-B33D-F64D6EE1BA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81-6C6D-FE45-B33D-F64D6EE1BA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83-6C6D-FE45-B33D-F64D6EE1BA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85-6C6D-FE45-B33D-F64D6EE1BA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87-6C6D-FE45-B33D-F64D6EE1BAB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89-6C6D-FE45-B33D-F64D6EE1BABE}"/>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8B-6C6D-FE45-B33D-F64D6EE1BABE}"/>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8D-6C6D-FE45-B33D-F64D6EE1BABE}"/>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8F-6C6D-FE45-B33D-F64D6EE1BABE}"/>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91-6C6D-FE45-B33D-F64D6EE1BABE}"/>
              </c:ext>
            </c:extLst>
          </c:dPt>
          <c:cat>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Sheet1!$H$4:$H$13</c:f>
              <c:numCache>
                <c:formatCode>0%</c:formatCode>
                <c:ptCount val="10"/>
                <c:pt idx="0">
                  <c:v>0.11538461538461539</c:v>
                </c:pt>
                <c:pt idx="1">
                  <c:v>0.19230769230769232</c:v>
                </c:pt>
                <c:pt idx="2">
                  <c:v>0.15384615384615385</c:v>
                </c:pt>
                <c:pt idx="3">
                  <c:v>0.11538461538461539</c:v>
                </c:pt>
                <c:pt idx="4">
                  <c:v>0.23076923076923078</c:v>
                </c:pt>
                <c:pt idx="5">
                  <c:v>0.11538461538461539</c:v>
                </c:pt>
                <c:pt idx="6">
                  <c:v>7.6923076923076927E-2</c:v>
                </c:pt>
                <c:pt idx="7">
                  <c:v>0.11538461538461539</c:v>
                </c:pt>
                <c:pt idx="8">
                  <c:v>3.8461538461538464E-2</c:v>
                </c:pt>
                <c:pt idx="9">
                  <c:v>7.6923076923076927E-2</c:v>
                </c:pt>
              </c:numCache>
            </c:numRef>
          </c:val>
          <c:extLst>
            <c:ext xmlns:c16="http://schemas.microsoft.com/office/drawing/2014/chart" uri="{C3380CC4-5D6E-409C-BE32-E72D297353CC}">
              <c16:uniqueId val="{00000092-6C6D-FE45-B33D-F64D6EE1BAB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Turnover and recruitment take up for Technivara 2024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Sheet1!$B$3</c:f>
              <c:strCache>
                <c:ptCount val="1"/>
                <c:pt idx="0">
                  <c:v>Total in Department 2024</c:v>
                </c:pt>
              </c:strCache>
            </c:strRef>
          </c:tx>
          <c:spPr>
            <a:ln w="19050" cap="rnd">
              <a:noFill/>
              <a:round/>
            </a:ln>
            <a:effectLst/>
          </c:spPr>
          <c:marker>
            <c:symbol val="circle"/>
            <c:size val="5"/>
            <c:spPr>
              <a:solidFill>
                <a:schemeClr val="accent1"/>
              </a:solidFill>
              <a:ln w="9525">
                <a:solidFill>
                  <a:schemeClr val="accent1"/>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Sheet1!$B$4:$B$13</c:f>
              <c:numCache>
                <c:formatCode>General</c:formatCode>
                <c:ptCount val="10"/>
                <c:pt idx="0">
                  <c:v>26</c:v>
                </c:pt>
                <c:pt idx="1">
                  <c:v>15</c:v>
                </c:pt>
                <c:pt idx="2">
                  <c:v>8</c:v>
                </c:pt>
                <c:pt idx="3">
                  <c:v>4</c:v>
                </c:pt>
                <c:pt idx="4">
                  <c:v>15</c:v>
                </c:pt>
                <c:pt idx="5">
                  <c:v>35</c:v>
                </c:pt>
                <c:pt idx="6">
                  <c:v>6</c:v>
                </c:pt>
                <c:pt idx="7">
                  <c:v>12</c:v>
                </c:pt>
                <c:pt idx="8">
                  <c:v>4</c:v>
                </c:pt>
                <c:pt idx="9">
                  <c:v>12</c:v>
                </c:pt>
              </c:numCache>
            </c:numRef>
          </c:yVal>
          <c:smooth val="0"/>
          <c:extLst>
            <c:ext xmlns:c16="http://schemas.microsoft.com/office/drawing/2014/chart" uri="{C3380CC4-5D6E-409C-BE32-E72D297353CC}">
              <c16:uniqueId val="{00000000-F80A-C549-923D-A314052C8C05}"/>
            </c:ext>
          </c:extLst>
        </c:ser>
        <c:ser>
          <c:idx val="1"/>
          <c:order val="1"/>
          <c:tx>
            <c:strRef>
              <c:f>Sheet1!$C$3</c:f>
              <c:strCache>
                <c:ptCount val="1"/>
                <c:pt idx="0">
                  <c:v>Leavers for 2024</c:v>
                </c:pt>
              </c:strCache>
            </c:strRef>
          </c:tx>
          <c:spPr>
            <a:ln w="19050" cap="rnd">
              <a:noFill/>
              <a:round/>
            </a:ln>
            <a:effectLst/>
          </c:spPr>
          <c:marker>
            <c:symbol val="circle"/>
            <c:size val="5"/>
            <c:spPr>
              <a:solidFill>
                <a:schemeClr val="accent2"/>
              </a:solidFill>
              <a:ln w="9525">
                <a:solidFill>
                  <a:schemeClr val="accent2"/>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Sheet1!$C$4:$C$13</c:f>
              <c:numCache>
                <c:formatCode>General</c:formatCode>
                <c:ptCount val="10"/>
                <c:pt idx="0">
                  <c:v>6</c:v>
                </c:pt>
                <c:pt idx="1">
                  <c:v>4</c:v>
                </c:pt>
                <c:pt idx="2">
                  <c:v>1</c:v>
                </c:pt>
                <c:pt idx="3">
                  <c:v>2</c:v>
                </c:pt>
                <c:pt idx="4">
                  <c:v>4</c:v>
                </c:pt>
                <c:pt idx="5">
                  <c:v>8</c:v>
                </c:pt>
                <c:pt idx="6">
                  <c:v>3</c:v>
                </c:pt>
                <c:pt idx="7">
                  <c:v>4</c:v>
                </c:pt>
                <c:pt idx="8">
                  <c:v>1</c:v>
                </c:pt>
                <c:pt idx="9">
                  <c:v>3</c:v>
                </c:pt>
              </c:numCache>
            </c:numRef>
          </c:yVal>
          <c:smooth val="0"/>
          <c:extLst>
            <c:ext xmlns:c16="http://schemas.microsoft.com/office/drawing/2014/chart" uri="{C3380CC4-5D6E-409C-BE32-E72D297353CC}">
              <c16:uniqueId val="{00000001-F80A-C549-923D-A314052C8C05}"/>
            </c:ext>
          </c:extLst>
        </c:ser>
        <c:ser>
          <c:idx val="2"/>
          <c:order val="2"/>
          <c:tx>
            <c:strRef>
              <c:f>Sheet1!$D$3</c:f>
              <c:strCache>
                <c:ptCount val="1"/>
                <c:pt idx="0">
                  <c:v>Leavers as a % against total in each Department</c:v>
                </c:pt>
              </c:strCache>
            </c:strRef>
          </c:tx>
          <c:spPr>
            <a:ln w="19050" cap="rnd">
              <a:noFill/>
              <a:round/>
            </a:ln>
            <a:effectLst/>
          </c:spPr>
          <c:marker>
            <c:symbol val="circle"/>
            <c:size val="5"/>
            <c:spPr>
              <a:solidFill>
                <a:schemeClr val="accent3"/>
              </a:solidFill>
              <a:ln w="9525">
                <a:solidFill>
                  <a:schemeClr val="accent3"/>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Sheet1!$D$4:$D$13</c:f>
              <c:numCache>
                <c:formatCode>0%</c:formatCode>
                <c:ptCount val="10"/>
                <c:pt idx="0">
                  <c:v>0.23076923076923078</c:v>
                </c:pt>
                <c:pt idx="1">
                  <c:v>0.15384615384615385</c:v>
                </c:pt>
                <c:pt idx="2">
                  <c:v>3.8461538461538464E-2</c:v>
                </c:pt>
                <c:pt idx="3">
                  <c:v>7.6923076923076927E-2</c:v>
                </c:pt>
                <c:pt idx="4">
                  <c:v>0.15384615384615385</c:v>
                </c:pt>
                <c:pt idx="5">
                  <c:v>0.30769230769230771</c:v>
                </c:pt>
                <c:pt idx="6">
                  <c:v>0.11538461538461539</c:v>
                </c:pt>
                <c:pt idx="7">
                  <c:v>0.15384615384615385</c:v>
                </c:pt>
                <c:pt idx="8">
                  <c:v>3.8461538461538464E-2</c:v>
                </c:pt>
                <c:pt idx="9">
                  <c:v>0.11538461538461539</c:v>
                </c:pt>
              </c:numCache>
            </c:numRef>
          </c:yVal>
          <c:smooth val="0"/>
          <c:extLst>
            <c:ext xmlns:c16="http://schemas.microsoft.com/office/drawing/2014/chart" uri="{C3380CC4-5D6E-409C-BE32-E72D297353CC}">
              <c16:uniqueId val="{00000002-F80A-C549-923D-A314052C8C05}"/>
            </c:ext>
          </c:extLst>
        </c:ser>
        <c:ser>
          <c:idx val="3"/>
          <c:order val="3"/>
          <c:tx>
            <c:strRef>
              <c:f>Sheet1!$E$3</c:f>
              <c:strCache>
                <c:ptCount val="1"/>
                <c:pt idx="0">
                  <c:v>Positions vacant </c:v>
                </c:pt>
              </c:strCache>
            </c:strRef>
          </c:tx>
          <c:spPr>
            <a:ln w="19050" cap="rnd">
              <a:noFill/>
              <a:round/>
            </a:ln>
            <a:effectLst/>
          </c:spPr>
          <c:marker>
            <c:symbol val="circle"/>
            <c:size val="5"/>
            <c:spPr>
              <a:solidFill>
                <a:schemeClr val="accent4"/>
              </a:solidFill>
              <a:ln w="9525">
                <a:solidFill>
                  <a:schemeClr val="accent4"/>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Sheet1!$E$4:$E$13</c:f>
              <c:numCache>
                <c:formatCode>General</c:formatCode>
                <c:ptCount val="10"/>
                <c:pt idx="0">
                  <c:v>8</c:v>
                </c:pt>
                <c:pt idx="1">
                  <c:v>5</c:v>
                </c:pt>
                <c:pt idx="2">
                  <c:v>4</c:v>
                </c:pt>
                <c:pt idx="3">
                  <c:v>3</c:v>
                </c:pt>
                <c:pt idx="4">
                  <c:v>6</c:v>
                </c:pt>
                <c:pt idx="5">
                  <c:v>8</c:v>
                </c:pt>
                <c:pt idx="6">
                  <c:v>5</c:v>
                </c:pt>
                <c:pt idx="7">
                  <c:v>3</c:v>
                </c:pt>
                <c:pt idx="8">
                  <c:v>1</c:v>
                </c:pt>
                <c:pt idx="9">
                  <c:v>5</c:v>
                </c:pt>
              </c:numCache>
            </c:numRef>
          </c:yVal>
          <c:smooth val="0"/>
          <c:extLst>
            <c:ext xmlns:c16="http://schemas.microsoft.com/office/drawing/2014/chart" uri="{C3380CC4-5D6E-409C-BE32-E72D297353CC}">
              <c16:uniqueId val="{00000003-F80A-C549-923D-A314052C8C05}"/>
            </c:ext>
          </c:extLst>
        </c:ser>
        <c:ser>
          <c:idx val="4"/>
          <c:order val="4"/>
          <c:tx>
            <c:strRef>
              <c:f>Sheet1!$F$3</c:f>
              <c:strCache>
                <c:ptCount val="1"/>
                <c:pt idx="0">
                  <c:v>Vacancies as a % against total in each Department</c:v>
                </c:pt>
              </c:strCache>
            </c:strRef>
          </c:tx>
          <c:spPr>
            <a:ln w="19050" cap="rnd">
              <a:noFill/>
              <a:round/>
            </a:ln>
            <a:effectLst/>
          </c:spPr>
          <c:marker>
            <c:symbol val="circle"/>
            <c:size val="5"/>
            <c:spPr>
              <a:solidFill>
                <a:schemeClr val="accent5"/>
              </a:solidFill>
              <a:ln w="9525">
                <a:solidFill>
                  <a:schemeClr val="accent5"/>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Sheet1!$F$4:$F$13</c:f>
              <c:numCache>
                <c:formatCode>0%</c:formatCode>
                <c:ptCount val="10"/>
                <c:pt idx="0">
                  <c:v>0.30769230769230771</c:v>
                </c:pt>
                <c:pt idx="1">
                  <c:v>0.19230769230769232</c:v>
                </c:pt>
                <c:pt idx="2">
                  <c:v>0.15384615384615385</c:v>
                </c:pt>
                <c:pt idx="3">
                  <c:v>0.11538461538461539</c:v>
                </c:pt>
                <c:pt idx="4">
                  <c:v>0.23076923076923078</c:v>
                </c:pt>
                <c:pt idx="5">
                  <c:v>0.30769230769230771</c:v>
                </c:pt>
                <c:pt idx="6">
                  <c:v>0.19230769230769232</c:v>
                </c:pt>
                <c:pt idx="7">
                  <c:v>0.11538461538461539</c:v>
                </c:pt>
                <c:pt idx="8">
                  <c:v>3.8461538461538464E-2</c:v>
                </c:pt>
                <c:pt idx="9">
                  <c:v>0.19230769230769232</c:v>
                </c:pt>
              </c:numCache>
            </c:numRef>
          </c:yVal>
          <c:smooth val="0"/>
          <c:extLst>
            <c:ext xmlns:c16="http://schemas.microsoft.com/office/drawing/2014/chart" uri="{C3380CC4-5D6E-409C-BE32-E72D297353CC}">
              <c16:uniqueId val="{00000004-F80A-C549-923D-A314052C8C05}"/>
            </c:ext>
          </c:extLst>
        </c:ser>
        <c:ser>
          <c:idx val="5"/>
          <c:order val="5"/>
          <c:tx>
            <c:strRef>
              <c:f>Sheet1!$G$3</c:f>
              <c:strCache>
                <c:ptCount val="1"/>
                <c:pt idx="0">
                  <c:v>Positions filled </c:v>
                </c:pt>
              </c:strCache>
            </c:strRef>
          </c:tx>
          <c:spPr>
            <a:ln w="19050" cap="rnd">
              <a:noFill/>
              <a:round/>
            </a:ln>
            <a:effectLst/>
          </c:spPr>
          <c:marker>
            <c:symbol val="circle"/>
            <c:size val="5"/>
            <c:spPr>
              <a:solidFill>
                <a:schemeClr val="accent6"/>
              </a:solidFill>
              <a:ln w="9525">
                <a:solidFill>
                  <a:schemeClr val="accent6"/>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Sheet1!$G$4:$G$13</c:f>
              <c:numCache>
                <c:formatCode>General</c:formatCode>
                <c:ptCount val="10"/>
                <c:pt idx="0">
                  <c:v>3</c:v>
                </c:pt>
                <c:pt idx="1">
                  <c:v>5</c:v>
                </c:pt>
                <c:pt idx="2">
                  <c:v>4</c:v>
                </c:pt>
                <c:pt idx="3">
                  <c:v>3</c:v>
                </c:pt>
                <c:pt idx="4">
                  <c:v>6</c:v>
                </c:pt>
                <c:pt idx="5">
                  <c:v>3</c:v>
                </c:pt>
                <c:pt idx="6">
                  <c:v>2</c:v>
                </c:pt>
                <c:pt idx="7">
                  <c:v>3</c:v>
                </c:pt>
                <c:pt idx="8">
                  <c:v>1</c:v>
                </c:pt>
                <c:pt idx="9">
                  <c:v>2</c:v>
                </c:pt>
              </c:numCache>
            </c:numRef>
          </c:yVal>
          <c:smooth val="0"/>
          <c:extLst>
            <c:ext xmlns:c16="http://schemas.microsoft.com/office/drawing/2014/chart" uri="{C3380CC4-5D6E-409C-BE32-E72D297353CC}">
              <c16:uniqueId val="{00000005-F80A-C549-923D-A314052C8C05}"/>
            </c:ext>
          </c:extLst>
        </c:ser>
        <c:ser>
          <c:idx val="6"/>
          <c:order val="6"/>
          <c:tx>
            <c:strRef>
              <c:f>Sheet1!$H$3</c:f>
              <c:strCache>
                <c:ptCount val="1"/>
                <c:pt idx="0">
                  <c:v>Positions filled as a % of total in each Department</c:v>
                </c:pt>
              </c:strCache>
            </c:strRef>
          </c:tx>
          <c:spPr>
            <a:ln w="19050" cap="rnd">
              <a:noFill/>
              <a:round/>
            </a:ln>
            <a:effectLst/>
          </c:spPr>
          <c:marker>
            <c:symbol val="circle"/>
            <c:size val="5"/>
            <c:spPr>
              <a:solidFill>
                <a:schemeClr val="accent1">
                  <a:lumMod val="60000"/>
                </a:schemeClr>
              </a:solidFill>
              <a:ln w="9525">
                <a:solidFill>
                  <a:schemeClr val="accent1">
                    <a:lumMod val="60000"/>
                  </a:schemeClr>
                </a:solidFill>
              </a:ln>
              <a:effectLst/>
            </c:spPr>
          </c:marker>
          <c:xVal>
            <c:strRef>
              <c:f>Sheet1!$A$4:$A$13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xVal>
          <c:yVal>
            <c:numRef>
              <c:f>Sheet1!$H$4:$H$13</c:f>
              <c:numCache>
                <c:formatCode>0%</c:formatCode>
                <c:ptCount val="10"/>
                <c:pt idx="0">
                  <c:v>0.11538461538461539</c:v>
                </c:pt>
                <c:pt idx="1">
                  <c:v>0.19230769230769232</c:v>
                </c:pt>
                <c:pt idx="2">
                  <c:v>0.15384615384615385</c:v>
                </c:pt>
                <c:pt idx="3">
                  <c:v>0.11538461538461539</c:v>
                </c:pt>
                <c:pt idx="4">
                  <c:v>0.23076923076923078</c:v>
                </c:pt>
                <c:pt idx="5">
                  <c:v>0.11538461538461539</c:v>
                </c:pt>
                <c:pt idx="6">
                  <c:v>7.6923076923076927E-2</c:v>
                </c:pt>
                <c:pt idx="7">
                  <c:v>0.11538461538461539</c:v>
                </c:pt>
                <c:pt idx="8">
                  <c:v>3.8461538461538464E-2</c:v>
                </c:pt>
                <c:pt idx="9">
                  <c:v>7.6923076923076927E-2</c:v>
                </c:pt>
              </c:numCache>
            </c:numRef>
          </c:yVal>
          <c:smooth val="0"/>
          <c:extLst>
            <c:ext xmlns:c16="http://schemas.microsoft.com/office/drawing/2014/chart" uri="{C3380CC4-5D6E-409C-BE32-E72D297353CC}">
              <c16:uniqueId val="{00000006-F80A-C549-923D-A314052C8C05}"/>
            </c:ext>
          </c:extLst>
        </c:ser>
        <c:dLbls>
          <c:showLegendKey val="0"/>
          <c:showVal val="0"/>
          <c:showCatName val="0"/>
          <c:showSerName val="0"/>
          <c:showPercent val="0"/>
          <c:showBubbleSize val="0"/>
        </c:dLbls>
        <c:axId val="1534602976"/>
        <c:axId val="28343424"/>
      </c:scatterChart>
      <c:valAx>
        <c:axId val="1534602976"/>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343424"/>
        <c:crosses val="autoZero"/>
        <c:crossBetween val="midCat"/>
      </c:valAx>
      <c:valAx>
        <c:axId val="283434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460297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204</TotalTime>
  <Pages>17</Pages>
  <Words>6799</Words>
  <Characters>43245</Characters>
  <Application>Microsoft Office Word</Application>
  <DocSecurity>0</DocSecurity>
  <Lines>982</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Maeve McGovern</dc:creator>
  <cp:keywords/>
  <dc:description/>
  <cp:lastModifiedBy>Maeve McGovern</cp:lastModifiedBy>
  <cp:revision>60</cp:revision>
  <dcterms:created xsi:type="dcterms:W3CDTF">2026-01-30T15:33:00Z</dcterms:created>
  <dcterms:modified xsi:type="dcterms:W3CDTF">2026-01-31T16:34:00Z</dcterms:modified>
</cp:coreProperties>
</file>