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99306194"/>
        <w:docPartObj>
          <w:docPartGallery w:val="Cover Pages"/>
          <w:docPartUnique/>
        </w:docPartObj>
      </w:sdtPr>
      <w:sdtEndPr>
        <w:rPr>
          <w:rFonts w:ascii="Arial" w:hAnsi="Arial" w:cs="Arial"/>
          <w:szCs w:val="24"/>
        </w:rPr>
      </w:sdtEndPr>
      <w:sdtContent>
        <w:p w14:paraId="18ABF210" w14:textId="77777777" w:rsidR="00D171BF" w:rsidRDefault="00D171BF">
          <w:pPr>
            <w:rPr>
              <w:noProof/>
            </w:rPr>
          </w:pPr>
        </w:p>
        <w:tbl>
          <w:tblPr>
            <w:tblpPr w:leftFromText="141" w:rightFromText="141" w:vertAnchor="page" w:horzAnchor="margin" w:tblpY="159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538"/>
            <w:gridCol w:w="1191"/>
            <w:gridCol w:w="1902"/>
            <w:gridCol w:w="385"/>
          </w:tblGrid>
          <w:tr w:rsidR="00D171BF" w:rsidRPr="00F721EF" w14:paraId="2759D82A" w14:textId="77777777" w:rsidTr="00166860">
            <w:trPr>
              <w:trHeight w:val="418"/>
            </w:trPr>
            <w:tc>
              <w:tcPr>
                <w:tcW w:w="5538" w:type="dxa"/>
                <w:vMerge w:val="restart"/>
                <w:tcBorders>
                  <w:top w:val="single" w:sz="4" w:space="0" w:color="auto"/>
                  <w:left w:val="single" w:sz="4" w:space="0" w:color="auto"/>
                  <w:right w:val="single" w:sz="4" w:space="0" w:color="auto"/>
                </w:tcBorders>
              </w:tcPr>
              <w:p w14:paraId="17720D2E" w14:textId="77777777" w:rsidR="00D171BF" w:rsidRPr="00F721EF" w:rsidRDefault="00D171BF" w:rsidP="00166860">
                <w:pPr>
                  <w:keepNext/>
                  <w:spacing w:after="0" w:line="360" w:lineRule="auto"/>
                  <w:jc w:val="center"/>
                  <w:rPr>
                    <w:rFonts w:ascii="Arial" w:eastAsia="Times New Roman" w:hAnsi="Arial" w:cs="Arial"/>
                    <w:b/>
                    <w:color w:val="auto"/>
                    <w:szCs w:val="24"/>
                    <w:lang w:val="en-AU"/>
                  </w:rPr>
                </w:pPr>
              </w:p>
              <w:p w14:paraId="0D706E7D" w14:textId="77777777" w:rsidR="00D171BF" w:rsidRPr="00F721EF" w:rsidRDefault="00D171BF" w:rsidP="00166860">
                <w:pPr>
                  <w:keepNext/>
                  <w:spacing w:after="0" w:line="360" w:lineRule="auto"/>
                  <w:jc w:val="both"/>
                  <w:rPr>
                    <w:rFonts w:ascii="Arial" w:eastAsia="Times New Roman" w:hAnsi="Arial" w:cs="Arial"/>
                    <w:b/>
                    <w:color w:val="auto"/>
                    <w:szCs w:val="24"/>
                    <w:lang w:val="en-AU"/>
                  </w:rPr>
                </w:pPr>
                <w:r w:rsidRPr="00F721EF">
                  <w:rPr>
                    <w:rFonts w:ascii="Arial" w:hAnsi="Arial" w:cs="Arial"/>
                    <w:noProof/>
                    <w:szCs w:val="24"/>
                    <w:lang w:eastAsia="en-GB"/>
                  </w:rPr>
                  <w:drawing>
                    <wp:inline distT="0" distB="0" distL="0" distR="0" wp14:anchorId="1825BEE2" wp14:editId="7B189494">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F721EF">
                  <w:rPr>
                    <w:rFonts w:ascii="Arial" w:eastAsia="Times New Roman" w:hAnsi="Arial" w:cs="Arial"/>
                    <w:b/>
                    <w:color w:val="auto"/>
                    <w:szCs w:val="24"/>
                    <w:lang w:val="en-AU"/>
                  </w:rPr>
                  <w:br/>
                </w:r>
              </w:p>
            </w:tc>
            <w:tc>
              <w:tcPr>
                <w:tcW w:w="1191" w:type="dxa"/>
                <w:tcBorders>
                  <w:top w:val="single" w:sz="4" w:space="0" w:color="auto"/>
                  <w:left w:val="single" w:sz="4" w:space="0" w:color="auto"/>
                  <w:bottom w:val="nil"/>
                  <w:right w:val="nil"/>
                </w:tcBorders>
                <w:vAlign w:val="center"/>
              </w:tcPr>
              <w:p w14:paraId="2D4B5D8B" w14:textId="77777777" w:rsidR="00D171BF" w:rsidRPr="00F721EF" w:rsidRDefault="00D171BF" w:rsidP="00166860">
                <w:pPr>
                  <w:keepNext/>
                  <w:spacing w:before="120" w:after="0" w:line="360" w:lineRule="auto"/>
                  <w:rPr>
                    <w:rFonts w:ascii="Arial" w:eastAsia="Times New Roman" w:hAnsi="Arial" w:cs="Arial"/>
                    <w:b/>
                    <w:bCs/>
                    <w:color w:val="auto"/>
                    <w:szCs w:val="24"/>
                    <w:lang w:val="en-AU"/>
                  </w:rPr>
                </w:pPr>
                <w:r w:rsidRPr="00F721EF">
                  <w:rPr>
                    <w:rFonts w:ascii="Arial" w:eastAsia="Times New Roman" w:hAnsi="Arial" w:cs="Arial"/>
                    <w:b/>
                    <w:bCs/>
                    <w:color w:val="auto"/>
                    <w:szCs w:val="24"/>
                  </w:rPr>
                  <w:t>Student No:</w:t>
                </w:r>
              </w:p>
            </w:tc>
            <w:tc>
              <w:tcPr>
                <w:tcW w:w="1902" w:type="dxa"/>
                <w:tcBorders>
                  <w:top w:val="single" w:sz="4" w:space="0" w:color="auto"/>
                  <w:left w:val="nil"/>
                  <w:bottom w:val="dashed" w:sz="4" w:space="0" w:color="auto"/>
                  <w:right w:val="nil"/>
                </w:tcBorders>
                <w:vAlign w:val="center"/>
              </w:tcPr>
              <w:p w14:paraId="3F5076D0" w14:textId="77777777" w:rsidR="00D171BF" w:rsidRPr="00F721EF" w:rsidRDefault="00D171BF" w:rsidP="00166860">
                <w:pPr>
                  <w:keepNext/>
                  <w:spacing w:after="0" w:line="240" w:lineRule="auto"/>
                  <w:rPr>
                    <w:rFonts w:ascii="Arial" w:eastAsia="Times New Roman" w:hAnsi="Arial" w:cs="Arial"/>
                    <w:b/>
                    <w:color w:val="auto"/>
                    <w:szCs w:val="24"/>
                    <w:lang w:val="en-AU"/>
                  </w:rPr>
                </w:pPr>
                <w:r w:rsidRPr="00F721EF">
                  <w:rPr>
                    <w:rFonts w:ascii="Arial" w:eastAsia="Times New Roman" w:hAnsi="Arial" w:cs="Arial"/>
                    <w:b/>
                    <w:color w:val="auto"/>
                    <w:szCs w:val="24"/>
                    <w:lang w:val="en-AU"/>
                  </w:rPr>
                  <w:t>2334177</w:t>
                </w:r>
              </w:p>
            </w:tc>
            <w:tc>
              <w:tcPr>
                <w:tcW w:w="385" w:type="dxa"/>
                <w:tcBorders>
                  <w:top w:val="single" w:sz="4" w:space="0" w:color="auto"/>
                  <w:left w:val="nil"/>
                  <w:bottom w:val="nil"/>
                  <w:right w:val="single" w:sz="4" w:space="0" w:color="auto"/>
                </w:tcBorders>
                <w:vAlign w:val="center"/>
              </w:tcPr>
              <w:p w14:paraId="0CEAD0D3" w14:textId="77777777" w:rsidR="00D171BF" w:rsidRPr="00F721EF" w:rsidRDefault="00D171BF" w:rsidP="00166860">
                <w:pPr>
                  <w:keepNext/>
                  <w:spacing w:after="0" w:line="360" w:lineRule="auto"/>
                  <w:jc w:val="center"/>
                  <w:rPr>
                    <w:rFonts w:ascii="Arial" w:eastAsia="Times New Roman" w:hAnsi="Arial" w:cs="Arial"/>
                    <w:b/>
                    <w:color w:val="auto"/>
                    <w:szCs w:val="24"/>
                    <w:lang w:val="en-AU"/>
                  </w:rPr>
                </w:pPr>
              </w:p>
            </w:tc>
          </w:tr>
          <w:tr w:rsidR="00D171BF" w:rsidRPr="00F721EF" w14:paraId="60B218EC" w14:textId="77777777" w:rsidTr="00166860">
            <w:trPr>
              <w:trHeight w:val="468"/>
            </w:trPr>
            <w:tc>
              <w:tcPr>
                <w:tcW w:w="5538" w:type="dxa"/>
                <w:vMerge/>
                <w:tcBorders>
                  <w:left w:val="single" w:sz="4" w:space="0" w:color="auto"/>
                  <w:right w:val="single" w:sz="4" w:space="0" w:color="auto"/>
                </w:tcBorders>
              </w:tcPr>
              <w:p w14:paraId="3CC68EDC" w14:textId="77777777" w:rsidR="00D171BF" w:rsidRPr="00F721EF" w:rsidRDefault="00D171BF" w:rsidP="00166860">
                <w:pPr>
                  <w:keepNext/>
                  <w:spacing w:after="0" w:line="360" w:lineRule="auto"/>
                  <w:jc w:val="center"/>
                  <w:rPr>
                    <w:rFonts w:ascii="Arial" w:eastAsia="Times New Roman" w:hAnsi="Arial" w:cs="Arial"/>
                    <w:b/>
                    <w:color w:val="auto"/>
                    <w:szCs w:val="24"/>
                    <w:lang w:val="en-AU"/>
                  </w:rPr>
                </w:pPr>
              </w:p>
            </w:tc>
            <w:tc>
              <w:tcPr>
                <w:tcW w:w="1191" w:type="dxa"/>
                <w:tcBorders>
                  <w:top w:val="nil"/>
                  <w:left w:val="single" w:sz="4" w:space="0" w:color="auto"/>
                  <w:bottom w:val="nil"/>
                  <w:right w:val="nil"/>
                </w:tcBorders>
                <w:vAlign w:val="center"/>
              </w:tcPr>
              <w:p w14:paraId="28637254" w14:textId="77777777" w:rsidR="00D171BF" w:rsidRPr="00F721EF" w:rsidRDefault="00D171BF" w:rsidP="00166860">
                <w:pPr>
                  <w:keepNext/>
                  <w:spacing w:after="0" w:line="360" w:lineRule="auto"/>
                  <w:rPr>
                    <w:rFonts w:ascii="Arial" w:eastAsia="Times New Roman" w:hAnsi="Arial" w:cs="Arial"/>
                    <w:color w:val="auto"/>
                    <w:szCs w:val="24"/>
                    <w:lang w:val="en-AU"/>
                  </w:rPr>
                </w:pPr>
              </w:p>
              <w:p w14:paraId="0A25C348" w14:textId="77777777" w:rsidR="00D171BF" w:rsidRPr="00F721EF" w:rsidRDefault="00D171BF" w:rsidP="00166860">
                <w:pPr>
                  <w:keepNext/>
                  <w:spacing w:after="0" w:line="360" w:lineRule="auto"/>
                  <w:rPr>
                    <w:rFonts w:ascii="Arial" w:eastAsia="Times New Roman" w:hAnsi="Arial" w:cs="Arial"/>
                    <w:color w:val="auto"/>
                    <w:szCs w:val="24"/>
                    <w:lang w:val="en-AU"/>
                  </w:rPr>
                </w:pPr>
                <w:r w:rsidRPr="00F721EF">
                  <w:rPr>
                    <w:rFonts w:ascii="Arial" w:eastAsia="Times New Roman" w:hAnsi="Arial" w:cs="Arial"/>
                    <w:color w:val="auto"/>
                    <w:szCs w:val="24"/>
                    <w:lang w:val="en-AU"/>
                  </w:rPr>
                  <w:t>Module Title:</w:t>
                </w:r>
              </w:p>
            </w:tc>
            <w:tc>
              <w:tcPr>
                <w:tcW w:w="1902" w:type="dxa"/>
                <w:tcBorders>
                  <w:top w:val="dashed" w:sz="4" w:space="0" w:color="auto"/>
                  <w:left w:val="nil"/>
                  <w:bottom w:val="dashed" w:sz="4" w:space="0" w:color="auto"/>
                  <w:right w:val="nil"/>
                </w:tcBorders>
                <w:vAlign w:val="center"/>
              </w:tcPr>
              <w:p w14:paraId="65C14E90" w14:textId="77777777" w:rsidR="00D171BF" w:rsidRPr="00202957" w:rsidRDefault="00D171BF" w:rsidP="00166860">
                <w:pPr>
                  <w:keepNext/>
                  <w:spacing w:after="0" w:line="240" w:lineRule="auto"/>
                  <w:rPr>
                    <w:rFonts w:ascii="Arial" w:eastAsia="Times New Roman" w:hAnsi="Arial" w:cs="Arial"/>
                    <w:b/>
                    <w:bCs/>
                    <w:color w:val="auto"/>
                    <w:szCs w:val="24"/>
                    <w:lang w:val="es-ES"/>
                  </w:rPr>
                </w:pPr>
                <w:r w:rsidRPr="00F721EF">
                  <w:rPr>
                    <w:rFonts w:ascii="Arial" w:eastAsia="Times New Roman" w:hAnsi="Arial" w:cs="Arial"/>
                    <w:b/>
                    <w:bCs/>
                    <w:color w:val="auto"/>
                    <w:szCs w:val="24"/>
                    <w:lang w:val="es-ES"/>
                  </w:rPr>
                  <w:t xml:space="preserve">Management and </w:t>
                </w:r>
                <w:proofErr w:type="spellStart"/>
                <w:r w:rsidRPr="00F721EF">
                  <w:rPr>
                    <w:rFonts w:ascii="Arial" w:eastAsia="Times New Roman" w:hAnsi="Arial" w:cs="Arial"/>
                    <w:b/>
                    <w:bCs/>
                    <w:color w:val="auto"/>
                    <w:szCs w:val="24"/>
                    <w:lang w:val="es-ES"/>
                  </w:rPr>
                  <w:t>Organisational</w:t>
                </w:r>
                <w:proofErr w:type="spellEnd"/>
                <w:r w:rsidRPr="00F721EF">
                  <w:rPr>
                    <w:rFonts w:ascii="Arial" w:eastAsia="Times New Roman" w:hAnsi="Arial" w:cs="Arial"/>
                    <w:b/>
                    <w:bCs/>
                    <w:color w:val="auto"/>
                    <w:szCs w:val="24"/>
                    <w:lang w:val="es-ES"/>
                  </w:rPr>
                  <w:t xml:space="preserve"> </w:t>
                </w:r>
                <w:proofErr w:type="spellStart"/>
                <w:r w:rsidRPr="00F721EF">
                  <w:rPr>
                    <w:rFonts w:ascii="Arial" w:eastAsia="Times New Roman" w:hAnsi="Arial" w:cs="Arial"/>
                    <w:b/>
                    <w:bCs/>
                    <w:color w:val="auto"/>
                    <w:szCs w:val="24"/>
                    <w:lang w:val="es-ES"/>
                  </w:rPr>
                  <w:t>Behaviour</w:t>
                </w:r>
                <w:proofErr w:type="spellEnd"/>
              </w:p>
            </w:tc>
            <w:tc>
              <w:tcPr>
                <w:tcW w:w="385" w:type="dxa"/>
                <w:tcBorders>
                  <w:top w:val="nil"/>
                  <w:left w:val="nil"/>
                  <w:bottom w:val="nil"/>
                  <w:right w:val="single" w:sz="4" w:space="0" w:color="auto"/>
                </w:tcBorders>
                <w:vAlign w:val="center"/>
              </w:tcPr>
              <w:p w14:paraId="43EFC700" w14:textId="77777777" w:rsidR="00D171BF" w:rsidRPr="00F721EF" w:rsidRDefault="00D171BF" w:rsidP="00166860">
                <w:pPr>
                  <w:keepNext/>
                  <w:spacing w:after="0" w:line="360" w:lineRule="auto"/>
                  <w:jc w:val="center"/>
                  <w:rPr>
                    <w:rFonts w:ascii="Arial" w:eastAsia="Times New Roman" w:hAnsi="Arial" w:cs="Arial"/>
                    <w:b/>
                    <w:color w:val="auto"/>
                    <w:szCs w:val="24"/>
                    <w:lang w:val="en-AU"/>
                  </w:rPr>
                </w:pPr>
              </w:p>
            </w:tc>
          </w:tr>
          <w:tr w:rsidR="00D171BF" w:rsidRPr="00F721EF" w14:paraId="4F3D6293" w14:textId="77777777" w:rsidTr="00166860">
            <w:trPr>
              <w:trHeight w:val="468"/>
            </w:trPr>
            <w:tc>
              <w:tcPr>
                <w:tcW w:w="5538" w:type="dxa"/>
                <w:vMerge/>
                <w:tcBorders>
                  <w:left w:val="single" w:sz="4" w:space="0" w:color="auto"/>
                  <w:right w:val="single" w:sz="4" w:space="0" w:color="auto"/>
                </w:tcBorders>
              </w:tcPr>
              <w:p w14:paraId="2B731257" w14:textId="77777777" w:rsidR="00D171BF" w:rsidRPr="00F721EF" w:rsidRDefault="00D171BF" w:rsidP="00166860">
                <w:pPr>
                  <w:keepNext/>
                  <w:spacing w:after="0" w:line="360" w:lineRule="auto"/>
                  <w:jc w:val="center"/>
                  <w:rPr>
                    <w:rFonts w:ascii="Arial" w:eastAsia="Times New Roman" w:hAnsi="Arial" w:cs="Arial"/>
                    <w:b/>
                    <w:color w:val="auto"/>
                    <w:szCs w:val="24"/>
                    <w:lang w:val="en-AU"/>
                  </w:rPr>
                </w:pPr>
              </w:p>
            </w:tc>
            <w:tc>
              <w:tcPr>
                <w:tcW w:w="1191" w:type="dxa"/>
                <w:tcBorders>
                  <w:top w:val="nil"/>
                  <w:left w:val="single" w:sz="4" w:space="0" w:color="auto"/>
                  <w:bottom w:val="nil"/>
                  <w:right w:val="nil"/>
                </w:tcBorders>
                <w:vAlign w:val="center"/>
              </w:tcPr>
              <w:p w14:paraId="78937010" w14:textId="77777777" w:rsidR="00D171BF" w:rsidRPr="00F721EF" w:rsidRDefault="00D171BF" w:rsidP="00166860">
                <w:pPr>
                  <w:keepNext/>
                  <w:spacing w:after="0" w:line="360" w:lineRule="auto"/>
                  <w:rPr>
                    <w:rFonts w:ascii="Arial" w:eastAsia="Times New Roman" w:hAnsi="Arial" w:cs="Arial"/>
                    <w:color w:val="auto"/>
                    <w:szCs w:val="24"/>
                    <w:lang w:val="en-AU"/>
                  </w:rPr>
                </w:pPr>
                <w:r w:rsidRPr="00F721EF">
                  <w:rPr>
                    <w:rFonts w:ascii="Arial" w:eastAsia="Times New Roman" w:hAnsi="Arial" w:cs="Arial"/>
                    <w:color w:val="auto"/>
                    <w:szCs w:val="24"/>
                    <w:lang w:val="en-AU"/>
                  </w:rPr>
                  <w:t>Module Code:</w:t>
                </w:r>
              </w:p>
            </w:tc>
            <w:tc>
              <w:tcPr>
                <w:tcW w:w="1902" w:type="dxa"/>
                <w:tcBorders>
                  <w:top w:val="dashed" w:sz="4" w:space="0" w:color="auto"/>
                  <w:left w:val="nil"/>
                  <w:bottom w:val="dashed" w:sz="4" w:space="0" w:color="auto"/>
                  <w:right w:val="nil"/>
                </w:tcBorders>
                <w:vAlign w:val="center"/>
              </w:tcPr>
              <w:p w14:paraId="4B3F1B8F" w14:textId="77777777" w:rsidR="00D171BF" w:rsidRPr="00F721EF" w:rsidRDefault="00D171BF" w:rsidP="00166860">
                <w:pPr>
                  <w:keepNext/>
                  <w:spacing w:after="0" w:line="240" w:lineRule="auto"/>
                  <w:rPr>
                    <w:rFonts w:ascii="Arial" w:eastAsia="Times New Roman" w:hAnsi="Arial" w:cs="Arial"/>
                    <w:b/>
                    <w:bCs/>
                    <w:color w:val="auto"/>
                    <w:szCs w:val="24"/>
                    <w:lang w:val="es-ES"/>
                  </w:rPr>
                </w:pPr>
                <w:r w:rsidRPr="00F721EF">
                  <w:rPr>
                    <w:rFonts w:ascii="Arial" w:eastAsia="Times New Roman" w:hAnsi="Arial" w:cs="Arial"/>
                    <w:b/>
                    <w:bCs/>
                    <w:color w:val="auto"/>
                    <w:szCs w:val="24"/>
                    <w:lang w:val="es-ES"/>
                  </w:rPr>
                  <w:t>BMIH4008</w:t>
                </w:r>
              </w:p>
              <w:p w14:paraId="4F111FA1" w14:textId="77777777" w:rsidR="00D171BF" w:rsidRPr="00F721EF" w:rsidRDefault="00D171BF" w:rsidP="00166860">
                <w:pPr>
                  <w:keepNext/>
                  <w:spacing w:after="0" w:line="240" w:lineRule="auto"/>
                  <w:rPr>
                    <w:rFonts w:ascii="Arial" w:eastAsia="Times New Roman" w:hAnsi="Arial" w:cs="Arial"/>
                    <w:b/>
                    <w:color w:val="auto"/>
                    <w:szCs w:val="24"/>
                    <w:lang w:val="en-AU"/>
                  </w:rPr>
                </w:pPr>
              </w:p>
            </w:tc>
            <w:tc>
              <w:tcPr>
                <w:tcW w:w="385" w:type="dxa"/>
                <w:tcBorders>
                  <w:top w:val="nil"/>
                  <w:left w:val="nil"/>
                  <w:bottom w:val="nil"/>
                  <w:right w:val="single" w:sz="4" w:space="0" w:color="auto"/>
                </w:tcBorders>
                <w:vAlign w:val="center"/>
              </w:tcPr>
              <w:p w14:paraId="5EF745CB" w14:textId="77777777" w:rsidR="00D171BF" w:rsidRPr="00F721EF" w:rsidRDefault="00D171BF" w:rsidP="00166860">
                <w:pPr>
                  <w:keepNext/>
                  <w:spacing w:after="0" w:line="360" w:lineRule="auto"/>
                  <w:jc w:val="center"/>
                  <w:rPr>
                    <w:rFonts w:ascii="Arial" w:eastAsia="Times New Roman" w:hAnsi="Arial" w:cs="Arial"/>
                    <w:b/>
                    <w:color w:val="auto"/>
                    <w:szCs w:val="24"/>
                    <w:lang w:val="en-AU"/>
                  </w:rPr>
                </w:pPr>
              </w:p>
            </w:tc>
          </w:tr>
          <w:tr w:rsidR="00D171BF" w:rsidRPr="00F721EF" w14:paraId="7650E31D" w14:textId="77777777" w:rsidTr="00166860">
            <w:trPr>
              <w:trHeight w:val="468"/>
            </w:trPr>
            <w:tc>
              <w:tcPr>
                <w:tcW w:w="5538" w:type="dxa"/>
                <w:vMerge/>
                <w:tcBorders>
                  <w:left w:val="single" w:sz="4" w:space="0" w:color="auto"/>
                  <w:right w:val="single" w:sz="4" w:space="0" w:color="auto"/>
                </w:tcBorders>
              </w:tcPr>
              <w:p w14:paraId="00FB757A" w14:textId="77777777" w:rsidR="00D171BF" w:rsidRPr="00F721EF" w:rsidRDefault="00D171BF" w:rsidP="00166860">
                <w:pPr>
                  <w:keepNext/>
                  <w:spacing w:after="0" w:line="360" w:lineRule="auto"/>
                  <w:jc w:val="center"/>
                  <w:rPr>
                    <w:rFonts w:ascii="Arial" w:eastAsia="Times New Roman" w:hAnsi="Arial" w:cs="Arial"/>
                    <w:b/>
                    <w:color w:val="auto"/>
                    <w:szCs w:val="24"/>
                    <w:lang w:val="en-AU"/>
                  </w:rPr>
                </w:pPr>
              </w:p>
            </w:tc>
            <w:tc>
              <w:tcPr>
                <w:tcW w:w="1191" w:type="dxa"/>
                <w:tcBorders>
                  <w:top w:val="nil"/>
                  <w:left w:val="single" w:sz="4" w:space="0" w:color="auto"/>
                  <w:bottom w:val="nil"/>
                  <w:right w:val="nil"/>
                </w:tcBorders>
                <w:vAlign w:val="center"/>
              </w:tcPr>
              <w:p w14:paraId="49D67527" w14:textId="77777777" w:rsidR="00D171BF" w:rsidRPr="00F721EF" w:rsidRDefault="00D171BF" w:rsidP="00166860">
                <w:pPr>
                  <w:keepNext/>
                  <w:spacing w:after="0" w:line="360" w:lineRule="auto"/>
                  <w:rPr>
                    <w:rFonts w:ascii="Arial" w:eastAsia="Times New Roman" w:hAnsi="Arial" w:cs="Arial"/>
                    <w:color w:val="auto"/>
                    <w:szCs w:val="24"/>
                    <w:lang w:val="en-AU"/>
                  </w:rPr>
                </w:pPr>
                <w:r w:rsidRPr="00F721EF">
                  <w:rPr>
                    <w:rFonts w:ascii="Arial" w:eastAsia="Times New Roman" w:hAnsi="Arial" w:cs="Arial"/>
                    <w:color w:val="auto"/>
                    <w:szCs w:val="24"/>
                    <w:lang w:val="en-AU"/>
                  </w:rPr>
                  <w:t>Lecturer:</w:t>
                </w:r>
              </w:p>
            </w:tc>
            <w:tc>
              <w:tcPr>
                <w:tcW w:w="1902" w:type="dxa"/>
                <w:tcBorders>
                  <w:top w:val="dashed" w:sz="4" w:space="0" w:color="auto"/>
                  <w:left w:val="nil"/>
                  <w:bottom w:val="dashed" w:sz="4" w:space="0" w:color="auto"/>
                  <w:right w:val="nil"/>
                </w:tcBorders>
                <w:vAlign w:val="center"/>
              </w:tcPr>
              <w:p w14:paraId="43593CF9" w14:textId="77777777" w:rsidR="00D171BF" w:rsidRPr="00F721EF" w:rsidRDefault="00D171BF" w:rsidP="00166860">
                <w:pPr>
                  <w:keepNext/>
                  <w:spacing w:after="0" w:line="240" w:lineRule="auto"/>
                  <w:rPr>
                    <w:rFonts w:ascii="Arial" w:eastAsia="Times New Roman" w:hAnsi="Arial" w:cs="Arial"/>
                    <w:b/>
                    <w:color w:val="auto"/>
                    <w:szCs w:val="24"/>
                    <w:lang w:val="en-AU"/>
                  </w:rPr>
                </w:pPr>
                <w:r w:rsidRPr="00F721EF">
                  <w:rPr>
                    <w:rFonts w:ascii="Arial" w:eastAsia="Times New Roman" w:hAnsi="Arial" w:cs="Arial"/>
                    <w:b/>
                    <w:color w:val="auto"/>
                    <w:szCs w:val="24"/>
                    <w:lang w:val="en-AU"/>
                  </w:rPr>
                  <w:t>LISA BASSLER</w:t>
                </w:r>
              </w:p>
            </w:tc>
            <w:tc>
              <w:tcPr>
                <w:tcW w:w="385" w:type="dxa"/>
                <w:tcBorders>
                  <w:top w:val="nil"/>
                  <w:left w:val="nil"/>
                  <w:bottom w:val="nil"/>
                  <w:right w:val="single" w:sz="4" w:space="0" w:color="auto"/>
                </w:tcBorders>
                <w:vAlign w:val="center"/>
              </w:tcPr>
              <w:p w14:paraId="5184FFA9" w14:textId="77777777" w:rsidR="00D171BF" w:rsidRPr="00F721EF" w:rsidRDefault="00D171BF" w:rsidP="00166860">
                <w:pPr>
                  <w:keepNext/>
                  <w:spacing w:after="0" w:line="360" w:lineRule="auto"/>
                  <w:jc w:val="center"/>
                  <w:rPr>
                    <w:rFonts w:ascii="Arial" w:eastAsia="Times New Roman" w:hAnsi="Arial" w:cs="Arial"/>
                    <w:b/>
                    <w:color w:val="auto"/>
                    <w:szCs w:val="24"/>
                    <w:lang w:val="en-AU"/>
                  </w:rPr>
                </w:pPr>
              </w:p>
            </w:tc>
          </w:tr>
        </w:tbl>
        <w:p w14:paraId="682CB394" w14:textId="5F799BDE" w:rsidR="0021788E" w:rsidRDefault="0021788E"/>
        <w:p w14:paraId="78A5B99D" w14:textId="77777777" w:rsidR="001505F5" w:rsidRDefault="00D171BF" w:rsidP="001505F5">
          <w:pPr>
            <w:spacing w:line="278" w:lineRule="auto"/>
            <w:rPr>
              <w:rFonts w:ascii="Arial" w:hAnsi="Arial" w:cs="Arial"/>
              <w:szCs w:val="24"/>
            </w:rPr>
          </w:pPr>
          <w:r>
            <w:rPr>
              <w:noProof/>
            </w:rPr>
            <w:drawing>
              <wp:anchor distT="0" distB="0" distL="114300" distR="114300" simplePos="0" relativeHeight="251659264" behindDoc="0" locked="0" layoutInCell="1" allowOverlap="1" wp14:anchorId="4241FECF" wp14:editId="65980963">
                <wp:simplePos x="0" y="0"/>
                <wp:positionH relativeFrom="margin">
                  <wp:posOffset>702733</wp:posOffset>
                </wp:positionH>
                <wp:positionV relativeFrom="margin">
                  <wp:posOffset>3161241</wp:posOffset>
                </wp:positionV>
                <wp:extent cx="4711382" cy="5234870"/>
                <wp:effectExtent l="0" t="0" r="0" b="4445"/>
                <wp:wrapSquare wrapText="bothSides"/>
                <wp:docPr id="157898792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11382" cy="5234870"/>
                        </a:xfrm>
                        <a:prstGeom prst="rect">
                          <a:avLst/>
                        </a:prstGeom>
                        <a:noFill/>
                        <a:ln>
                          <a:noFill/>
                        </a:ln>
                      </pic:spPr>
                    </pic:pic>
                  </a:graphicData>
                </a:graphic>
              </wp:anchor>
            </w:drawing>
          </w:r>
          <w:r w:rsidR="0021788E">
            <w:rPr>
              <w:rFonts w:ascii="Arial" w:hAnsi="Arial" w:cs="Arial"/>
              <w:szCs w:val="24"/>
            </w:rPr>
            <w:br w:type="page"/>
          </w:r>
        </w:p>
      </w:sdtContent>
    </w:sdt>
    <w:p w14:paraId="14DA5524" w14:textId="70794DAC" w:rsidR="00F721EF" w:rsidRPr="00A046BE" w:rsidRDefault="00F721EF" w:rsidP="00A046BE">
      <w:pPr>
        <w:spacing w:line="360" w:lineRule="auto"/>
        <w:rPr>
          <w:rFonts w:cs="Times New Roman"/>
          <w:szCs w:val="24"/>
        </w:rPr>
      </w:pPr>
      <w:r w:rsidRPr="00A046BE">
        <w:rPr>
          <w:rFonts w:cs="Times New Roman"/>
          <w:b/>
          <w:bCs/>
          <w:szCs w:val="24"/>
        </w:rPr>
        <w:lastRenderedPageBreak/>
        <w:t>AI Acknowledgement</w:t>
      </w:r>
    </w:p>
    <w:p w14:paraId="17010626" w14:textId="77777777" w:rsidR="00F721EF" w:rsidRPr="00A046BE" w:rsidRDefault="00F721EF" w:rsidP="00A046BE">
      <w:pPr>
        <w:spacing w:line="360" w:lineRule="auto"/>
        <w:rPr>
          <w:rFonts w:cs="Times New Roman"/>
          <w:szCs w:val="24"/>
        </w:rPr>
      </w:pPr>
      <w:r w:rsidRPr="00A046BE">
        <w:rPr>
          <w:rFonts w:cs="Times New Roman"/>
          <w:szCs w:val="24"/>
        </w:rPr>
        <w:t>I acknowledge the use of ChatGPT (https://chatgpt.com) and Grammarly (</w:t>
      </w:r>
      <w:hyperlink r:id="rId10" w:tgtFrame="_new" w:history="1">
        <w:r w:rsidRPr="00A046BE">
          <w:rPr>
            <w:rStyle w:val="Hipervnculo"/>
            <w:rFonts w:cs="Times New Roman"/>
            <w:szCs w:val="24"/>
          </w:rPr>
          <w:t>https://www.grammarly.com/</w:t>
        </w:r>
      </w:hyperlink>
      <w:r w:rsidRPr="00A046BE">
        <w:rPr>
          <w:rFonts w:cs="Times New Roman"/>
          <w:szCs w:val="24"/>
        </w:rPr>
        <w:t>) in the preparation of this assessment.</w:t>
      </w:r>
    </w:p>
    <w:p w14:paraId="1D558F89" w14:textId="77777777" w:rsidR="00F721EF" w:rsidRPr="00A046BE" w:rsidRDefault="00F721EF" w:rsidP="00A046BE">
      <w:pPr>
        <w:spacing w:line="360" w:lineRule="auto"/>
        <w:rPr>
          <w:rFonts w:cs="Times New Roman"/>
          <w:szCs w:val="24"/>
        </w:rPr>
      </w:pPr>
      <w:r w:rsidRPr="00A046BE">
        <w:rPr>
          <w:rFonts w:cs="Times New Roman"/>
          <w:szCs w:val="24"/>
        </w:rPr>
        <w:t>I used these tools to support:</w:t>
      </w:r>
    </w:p>
    <w:p w14:paraId="7670494B" w14:textId="77777777" w:rsidR="00F721EF" w:rsidRPr="00A046BE" w:rsidRDefault="00F721EF" w:rsidP="00A046BE">
      <w:pPr>
        <w:numPr>
          <w:ilvl w:val="0"/>
          <w:numId w:val="9"/>
        </w:numPr>
        <w:spacing w:line="360" w:lineRule="auto"/>
        <w:rPr>
          <w:rFonts w:cs="Times New Roman"/>
          <w:szCs w:val="24"/>
        </w:rPr>
      </w:pPr>
      <w:r w:rsidRPr="00A046BE">
        <w:rPr>
          <w:rFonts w:cs="Times New Roman"/>
          <w:szCs w:val="24"/>
        </w:rPr>
        <w:t>Research and identification of relevant academic sources and theories.</w:t>
      </w:r>
    </w:p>
    <w:p w14:paraId="4CB8A9DF" w14:textId="77777777" w:rsidR="00F721EF" w:rsidRPr="00A046BE" w:rsidRDefault="00F721EF" w:rsidP="00A046BE">
      <w:pPr>
        <w:numPr>
          <w:ilvl w:val="0"/>
          <w:numId w:val="9"/>
        </w:numPr>
        <w:spacing w:line="360" w:lineRule="auto"/>
        <w:rPr>
          <w:rFonts w:cs="Times New Roman"/>
          <w:szCs w:val="24"/>
        </w:rPr>
      </w:pPr>
      <w:r w:rsidRPr="00A046BE">
        <w:rPr>
          <w:rFonts w:cs="Times New Roman"/>
          <w:szCs w:val="24"/>
        </w:rPr>
        <w:t>Structuring the assignment, including organising headings and developing a logical argument flow.</w:t>
      </w:r>
    </w:p>
    <w:p w14:paraId="6359B1F1" w14:textId="77777777" w:rsidR="00F721EF" w:rsidRPr="00A046BE" w:rsidRDefault="00F721EF" w:rsidP="00A046BE">
      <w:pPr>
        <w:numPr>
          <w:ilvl w:val="0"/>
          <w:numId w:val="9"/>
        </w:numPr>
        <w:spacing w:line="360" w:lineRule="auto"/>
        <w:rPr>
          <w:rFonts w:cs="Times New Roman"/>
          <w:szCs w:val="24"/>
        </w:rPr>
      </w:pPr>
      <w:r w:rsidRPr="00A046BE">
        <w:rPr>
          <w:rFonts w:cs="Times New Roman"/>
          <w:szCs w:val="24"/>
        </w:rPr>
        <w:t>Proofreading my own writing for grammar, syntax and clarity, using prompts such as:</w:t>
      </w:r>
      <w:r w:rsidRPr="00A046BE">
        <w:rPr>
          <w:rFonts w:cs="Times New Roman"/>
          <w:szCs w:val="24"/>
        </w:rPr>
        <w:br/>
      </w:r>
      <w:r w:rsidRPr="00A046BE">
        <w:rPr>
          <w:rFonts w:cs="Times New Roman"/>
          <w:i/>
          <w:iCs/>
          <w:szCs w:val="24"/>
        </w:rPr>
        <w:t>“Please check the following text for readability, grammar and syntax.”</w:t>
      </w:r>
    </w:p>
    <w:p w14:paraId="030C53E7" w14:textId="77777777" w:rsidR="00F721EF" w:rsidRPr="00A046BE" w:rsidRDefault="00F721EF" w:rsidP="00A046BE">
      <w:pPr>
        <w:spacing w:line="360" w:lineRule="auto"/>
        <w:rPr>
          <w:rFonts w:cs="Times New Roman"/>
          <w:szCs w:val="24"/>
        </w:rPr>
      </w:pPr>
      <w:r w:rsidRPr="00A046BE">
        <w:rPr>
          <w:rFonts w:cs="Times New Roman"/>
          <w:szCs w:val="24"/>
        </w:rPr>
        <w:t>I confirm that I have not used Generative AI to create text for direct submission. All final written content reflects my own understanding, interpretation and academic judgement.</w:t>
      </w:r>
    </w:p>
    <w:p w14:paraId="0AFB873C" w14:textId="77777777" w:rsidR="00F721EF" w:rsidRPr="00A046BE" w:rsidRDefault="00F721EF" w:rsidP="00A046BE">
      <w:pPr>
        <w:spacing w:line="360" w:lineRule="auto"/>
        <w:rPr>
          <w:rFonts w:cs="Times New Roman"/>
          <w:szCs w:val="24"/>
        </w:rPr>
      </w:pPr>
      <w:r w:rsidRPr="00A046BE">
        <w:rPr>
          <w:rFonts w:cs="Times New Roman"/>
          <w:szCs w:val="24"/>
        </w:rPr>
        <w:t>I confirm that I retain drafts, notes and source materials used before and after the use of AI tools, which can be provided if required.</w:t>
      </w:r>
    </w:p>
    <w:p w14:paraId="1024EA89" w14:textId="77777777" w:rsidR="00F24588" w:rsidRPr="00A046BE" w:rsidRDefault="00F24588" w:rsidP="00A046BE">
      <w:pPr>
        <w:spacing w:line="360" w:lineRule="auto"/>
        <w:rPr>
          <w:rFonts w:cs="Times New Roman"/>
          <w:szCs w:val="24"/>
        </w:rPr>
      </w:pPr>
    </w:p>
    <w:p w14:paraId="69ADFFCA" w14:textId="77777777" w:rsidR="00F24588" w:rsidRPr="00A046BE" w:rsidRDefault="00F24588" w:rsidP="00A046BE">
      <w:pPr>
        <w:spacing w:line="360" w:lineRule="auto"/>
        <w:rPr>
          <w:rFonts w:cs="Times New Roman"/>
          <w:szCs w:val="24"/>
        </w:rPr>
      </w:pPr>
    </w:p>
    <w:p w14:paraId="11760828" w14:textId="77777777" w:rsidR="00F24588" w:rsidRPr="00A046BE" w:rsidRDefault="00F24588" w:rsidP="00A046BE">
      <w:pPr>
        <w:spacing w:line="360" w:lineRule="auto"/>
        <w:rPr>
          <w:rFonts w:cs="Times New Roman"/>
          <w:szCs w:val="24"/>
        </w:rPr>
      </w:pPr>
    </w:p>
    <w:p w14:paraId="09D50505" w14:textId="77777777" w:rsidR="00F24588" w:rsidRPr="00A046BE" w:rsidRDefault="00F24588" w:rsidP="00A046BE">
      <w:pPr>
        <w:spacing w:line="360" w:lineRule="auto"/>
        <w:rPr>
          <w:rFonts w:cs="Times New Roman"/>
          <w:szCs w:val="24"/>
        </w:rPr>
      </w:pPr>
    </w:p>
    <w:p w14:paraId="29181F3A" w14:textId="77777777" w:rsidR="00F24588" w:rsidRPr="00A046BE" w:rsidRDefault="00F24588" w:rsidP="00A046BE">
      <w:pPr>
        <w:spacing w:line="360" w:lineRule="auto"/>
        <w:rPr>
          <w:rFonts w:cs="Times New Roman"/>
          <w:szCs w:val="24"/>
        </w:rPr>
      </w:pPr>
    </w:p>
    <w:p w14:paraId="5486A107" w14:textId="77777777" w:rsidR="00F24588" w:rsidRPr="00A046BE" w:rsidRDefault="00F24588" w:rsidP="00A046BE">
      <w:pPr>
        <w:spacing w:line="360" w:lineRule="auto"/>
        <w:rPr>
          <w:rFonts w:cs="Times New Roman"/>
          <w:szCs w:val="24"/>
        </w:rPr>
      </w:pPr>
    </w:p>
    <w:p w14:paraId="6292649D" w14:textId="77777777" w:rsidR="00F24588" w:rsidRPr="00A046BE" w:rsidRDefault="00F24588" w:rsidP="00A046BE">
      <w:pPr>
        <w:spacing w:line="360" w:lineRule="auto"/>
        <w:rPr>
          <w:rFonts w:cs="Times New Roman"/>
          <w:szCs w:val="24"/>
        </w:rPr>
      </w:pPr>
    </w:p>
    <w:p w14:paraId="76355B55" w14:textId="77777777" w:rsidR="00F24588" w:rsidRPr="00A046BE" w:rsidRDefault="00F24588" w:rsidP="00A046BE">
      <w:pPr>
        <w:spacing w:line="360" w:lineRule="auto"/>
        <w:rPr>
          <w:rFonts w:cs="Times New Roman"/>
          <w:szCs w:val="24"/>
        </w:rPr>
      </w:pPr>
    </w:p>
    <w:p w14:paraId="5CB3A895" w14:textId="77777777" w:rsidR="00F24588" w:rsidRPr="00A046BE" w:rsidRDefault="00F24588" w:rsidP="00A046BE">
      <w:pPr>
        <w:spacing w:line="360" w:lineRule="auto"/>
        <w:rPr>
          <w:rFonts w:cs="Times New Roman"/>
          <w:szCs w:val="24"/>
        </w:rPr>
      </w:pPr>
    </w:p>
    <w:p w14:paraId="78478884" w14:textId="77777777" w:rsidR="00F24588" w:rsidRDefault="00F24588" w:rsidP="00A046BE">
      <w:pPr>
        <w:spacing w:line="360" w:lineRule="auto"/>
        <w:rPr>
          <w:rFonts w:cs="Times New Roman"/>
          <w:szCs w:val="24"/>
        </w:rPr>
      </w:pPr>
    </w:p>
    <w:p w14:paraId="14EDD72F" w14:textId="77777777" w:rsidR="00A046BE" w:rsidRDefault="00A046BE" w:rsidP="00A046BE">
      <w:pPr>
        <w:spacing w:line="360" w:lineRule="auto"/>
        <w:rPr>
          <w:rFonts w:cs="Times New Roman"/>
          <w:szCs w:val="24"/>
        </w:rPr>
      </w:pPr>
    </w:p>
    <w:p w14:paraId="4DCCF579" w14:textId="77777777" w:rsidR="00A046BE" w:rsidRPr="00A046BE" w:rsidRDefault="00A046BE" w:rsidP="00A046BE">
      <w:pPr>
        <w:spacing w:line="360" w:lineRule="auto"/>
        <w:rPr>
          <w:rFonts w:cs="Times New Roman"/>
          <w:szCs w:val="24"/>
        </w:rPr>
      </w:pPr>
    </w:p>
    <w:p w14:paraId="68DA83A7" w14:textId="77777777" w:rsidR="00F721EF" w:rsidRPr="00A046BE" w:rsidRDefault="00F721EF" w:rsidP="00A046BE">
      <w:pPr>
        <w:spacing w:line="360" w:lineRule="auto"/>
        <w:rPr>
          <w:rFonts w:cs="Times New Roman"/>
          <w:b/>
          <w:bCs/>
          <w:szCs w:val="24"/>
        </w:rPr>
      </w:pPr>
    </w:p>
    <w:p w14:paraId="2DBAF0D5" w14:textId="122321F6" w:rsidR="00580B0D" w:rsidRPr="00A046BE" w:rsidRDefault="00580B0D" w:rsidP="00A046BE">
      <w:pPr>
        <w:spacing w:line="360" w:lineRule="auto"/>
        <w:rPr>
          <w:rFonts w:cs="Times New Roman"/>
          <w:b/>
          <w:bCs/>
          <w:szCs w:val="24"/>
        </w:rPr>
      </w:pPr>
      <w:r w:rsidRPr="00A046BE">
        <w:rPr>
          <w:rFonts w:cs="Times New Roman"/>
          <w:b/>
          <w:bCs/>
          <w:szCs w:val="24"/>
        </w:rPr>
        <w:lastRenderedPageBreak/>
        <w:t>EXECUTIVE SUMMARY</w:t>
      </w:r>
    </w:p>
    <w:p w14:paraId="6F1134AA" w14:textId="77777777" w:rsidR="00F721EF" w:rsidRPr="00A046BE" w:rsidRDefault="00F721EF" w:rsidP="00A046BE">
      <w:pPr>
        <w:spacing w:line="360" w:lineRule="auto"/>
        <w:rPr>
          <w:rFonts w:cs="Times New Roman"/>
          <w:szCs w:val="24"/>
        </w:rPr>
      </w:pPr>
      <w:r w:rsidRPr="00A046BE">
        <w:rPr>
          <w:rFonts w:cs="Times New Roman"/>
          <w:szCs w:val="24"/>
        </w:rPr>
        <w:t>This report looks at Hilton Worldwide Holdings Inc. and analyses its structure, recent changes and current strategy. The aim is to understand how Hilton is managed and how this supports its business performance.</w:t>
      </w:r>
    </w:p>
    <w:p w14:paraId="021E5160" w14:textId="77777777" w:rsidR="00F721EF" w:rsidRPr="00A046BE" w:rsidRDefault="00F721EF" w:rsidP="00A046BE">
      <w:pPr>
        <w:spacing w:line="360" w:lineRule="auto"/>
        <w:rPr>
          <w:rFonts w:cs="Times New Roman"/>
          <w:szCs w:val="24"/>
        </w:rPr>
      </w:pPr>
      <w:r w:rsidRPr="00A046BE">
        <w:rPr>
          <w:rFonts w:cs="Times New Roman"/>
          <w:szCs w:val="24"/>
        </w:rPr>
        <w:t>The report shows that Hilton’s asset-light model is one of its main strengths. This means Hilton grows mainly through management and franchise agreements, instead of owning most hotels. This helps the company grow faster and with less financial risk. However, it can also make it harder to keep the same service quality, culture and employee experience across all hotels.</w:t>
      </w:r>
    </w:p>
    <w:p w14:paraId="60248DD7" w14:textId="77777777" w:rsidR="00F721EF" w:rsidRPr="00A046BE" w:rsidRDefault="00F721EF" w:rsidP="00A046BE">
      <w:pPr>
        <w:spacing w:line="360" w:lineRule="auto"/>
        <w:rPr>
          <w:rFonts w:cs="Times New Roman"/>
          <w:szCs w:val="24"/>
        </w:rPr>
      </w:pPr>
      <w:r w:rsidRPr="00A046BE">
        <w:rPr>
          <w:rFonts w:cs="Times New Roman"/>
          <w:szCs w:val="24"/>
        </w:rPr>
        <w:t>The report also shows that Hilton has responded to important changes in the hospitality industry. Digital tools, such as the Hilton Honors app and Digital Key, help improve customer experience. Hilton’s Travel with Purpose programme also shows that sustainability is important for the company. However, these changes need good training and monitoring to work well in all hotels.</w:t>
      </w:r>
    </w:p>
    <w:p w14:paraId="75625343" w14:textId="77777777" w:rsidR="00F721EF" w:rsidRPr="00A046BE" w:rsidRDefault="00F721EF" w:rsidP="00A046BE">
      <w:pPr>
        <w:spacing w:line="360" w:lineRule="auto"/>
        <w:rPr>
          <w:rFonts w:cs="Times New Roman"/>
          <w:szCs w:val="24"/>
        </w:rPr>
      </w:pPr>
      <w:r w:rsidRPr="00A046BE">
        <w:rPr>
          <w:rFonts w:cs="Times New Roman"/>
          <w:szCs w:val="24"/>
        </w:rPr>
        <w:t>Hilton’s current strategy appears to be working well. Its financial results, room growth and development pipeline show that the company is in a strong position. However, Hilton still needs to manage competition, economic pressures and changing customer expectations.</w:t>
      </w:r>
    </w:p>
    <w:p w14:paraId="7DC9A50A" w14:textId="5821203C" w:rsidR="00580B0D" w:rsidRPr="00A046BE" w:rsidRDefault="00F721EF" w:rsidP="00A046BE">
      <w:pPr>
        <w:spacing w:line="360" w:lineRule="auto"/>
        <w:rPr>
          <w:rFonts w:cs="Times New Roman"/>
          <w:szCs w:val="24"/>
        </w:rPr>
      </w:pPr>
      <w:r w:rsidRPr="00A046BE">
        <w:rPr>
          <w:rFonts w:cs="Times New Roman"/>
          <w:szCs w:val="24"/>
        </w:rPr>
        <w:t>The report recommends that Hilton should improve service consistency, support employees more, and provide better training for digital and sustainability systems. These recommendations build on Hilton’s strengths while addressing the main challenges found in the report.</w:t>
      </w:r>
    </w:p>
    <w:p w14:paraId="55293F92" w14:textId="77777777" w:rsidR="00580B0D" w:rsidRPr="00A046BE" w:rsidRDefault="00580B0D" w:rsidP="00A046BE">
      <w:pPr>
        <w:spacing w:line="360" w:lineRule="auto"/>
        <w:rPr>
          <w:rFonts w:cs="Times New Roman"/>
          <w:b/>
          <w:bCs/>
          <w:szCs w:val="24"/>
        </w:rPr>
      </w:pPr>
    </w:p>
    <w:p w14:paraId="4AB069AC" w14:textId="77777777" w:rsidR="00591159" w:rsidRPr="00A046BE" w:rsidRDefault="00591159" w:rsidP="00A046BE">
      <w:pPr>
        <w:spacing w:line="360" w:lineRule="auto"/>
        <w:rPr>
          <w:rFonts w:cs="Times New Roman"/>
          <w:b/>
          <w:bCs/>
          <w:szCs w:val="24"/>
        </w:rPr>
      </w:pPr>
    </w:p>
    <w:p w14:paraId="6C02DD2B" w14:textId="77777777" w:rsidR="00591159" w:rsidRPr="00A046BE" w:rsidRDefault="00591159" w:rsidP="00A046BE">
      <w:pPr>
        <w:spacing w:line="360" w:lineRule="auto"/>
        <w:rPr>
          <w:rFonts w:cs="Times New Roman"/>
          <w:b/>
          <w:bCs/>
          <w:szCs w:val="24"/>
        </w:rPr>
      </w:pPr>
    </w:p>
    <w:p w14:paraId="20099DD2" w14:textId="77777777" w:rsidR="00591159" w:rsidRPr="00A046BE" w:rsidRDefault="00591159" w:rsidP="00A046BE">
      <w:pPr>
        <w:spacing w:line="360" w:lineRule="auto"/>
        <w:rPr>
          <w:rFonts w:cs="Times New Roman"/>
          <w:b/>
          <w:bCs/>
          <w:szCs w:val="24"/>
        </w:rPr>
      </w:pPr>
    </w:p>
    <w:p w14:paraId="6BB9B8A0" w14:textId="77777777" w:rsidR="00591159" w:rsidRPr="00A046BE" w:rsidRDefault="00591159" w:rsidP="00A046BE">
      <w:pPr>
        <w:spacing w:line="360" w:lineRule="auto"/>
        <w:rPr>
          <w:rFonts w:cs="Times New Roman"/>
          <w:b/>
          <w:bCs/>
          <w:szCs w:val="24"/>
        </w:rPr>
      </w:pPr>
    </w:p>
    <w:p w14:paraId="69264D8C" w14:textId="77777777" w:rsidR="00591159" w:rsidRDefault="00591159" w:rsidP="00A046BE">
      <w:pPr>
        <w:spacing w:line="360" w:lineRule="auto"/>
        <w:rPr>
          <w:rFonts w:cs="Times New Roman"/>
          <w:b/>
          <w:bCs/>
          <w:szCs w:val="24"/>
        </w:rPr>
      </w:pPr>
    </w:p>
    <w:p w14:paraId="622B8F3A" w14:textId="77777777" w:rsidR="00A046BE" w:rsidRDefault="00A046BE" w:rsidP="00A046BE">
      <w:pPr>
        <w:spacing w:line="360" w:lineRule="auto"/>
        <w:rPr>
          <w:rFonts w:cs="Times New Roman"/>
          <w:b/>
          <w:bCs/>
          <w:szCs w:val="24"/>
        </w:rPr>
      </w:pPr>
    </w:p>
    <w:p w14:paraId="14D1A7F6" w14:textId="77777777" w:rsidR="00A046BE" w:rsidRPr="00A046BE" w:rsidRDefault="00A046BE" w:rsidP="00A046BE">
      <w:pPr>
        <w:spacing w:line="360" w:lineRule="auto"/>
        <w:rPr>
          <w:rFonts w:cs="Times New Roman"/>
          <w:b/>
          <w:bCs/>
          <w:szCs w:val="24"/>
        </w:rPr>
      </w:pPr>
    </w:p>
    <w:sdt>
      <w:sdtPr>
        <w:rPr>
          <w:rFonts w:ascii="Times New Roman" w:eastAsiaTheme="minorHAnsi" w:hAnsi="Times New Roman" w:cs="Times New Roman"/>
          <w:color w:val="000000" w:themeColor="text1"/>
          <w:sz w:val="24"/>
          <w:szCs w:val="24"/>
          <w:lang w:val="es-ES"/>
        </w:rPr>
        <w:id w:val="13053432"/>
        <w:docPartObj>
          <w:docPartGallery w:val="Table of Contents"/>
          <w:docPartUnique/>
        </w:docPartObj>
      </w:sdtPr>
      <w:sdtEndPr>
        <w:rPr>
          <w:b/>
          <w:bCs/>
          <w:lang w:val="en-GB"/>
        </w:rPr>
      </w:sdtEndPr>
      <w:sdtContent>
        <w:p w14:paraId="3F3F9102" w14:textId="592201F9" w:rsidR="006A3A2D" w:rsidRPr="00A046BE" w:rsidRDefault="00591159" w:rsidP="00A046BE">
          <w:pPr>
            <w:pStyle w:val="TtuloTDC"/>
            <w:spacing w:line="360" w:lineRule="auto"/>
            <w:rPr>
              <w:rFonts w:ascii="Times New Roman" w:hAnsi="Times New Roman" w:cs="Times New Roman"/>
              <w:sz w:val="24"/>
              <w:szCs w:val="24"/>
              <w:lang w:val="es-ES"/>
            </w:rPr>
          </w:pPr>
          <w:r w:rsidRPr="00A046BE">
            <w:rPr>
              <w:rFonts w:ascii="Times New Roman" w:hAnsi="Times New Roman" w:cs="Times New Roman"/>
              <w:sz w:val="24"/>
              <w:szCs w:val="24"/>
              <w:lang w:val="es-ES"/>
            </w:rPr>
            <w:t xml:space="preserve">Table </w:t>
          </w:r>
          <w:proofErr w:type="spellStart"/>
          <w:r w:rsidRPr="00A046BE">
            <w:rPr>
              <w:rFonts w:ascii="Times New Roman" w:hAnsi="Times New Roman" w:cs="Times New Roman"/>
              <w:sz w:val="24"/>
              <w:szCs w:val="24"/>
              <w:lang w:val="es-ES"/>
            </w:rPr>
            <w:t>of</w:t>
          </w:r>
          <w:proofErr w:type="spellEnd"/>
          <w:r w:rsidRPr="00A046BE">
            <w:rPr>
              <w:rFonts w:ascii="Times New Roman" w:hAnsi="Times New Roman" w:cs="Times New Roman"/>
              <w:sz w:val="24"/>
              <w:szCs w:val="24"/>
              <w:lang w:val="es-ES"/>
            </w:rPr>
            <w:t xml:space="preserve"> </w:t>
          </w:r>
          <w:proofErr w:type="spellStart"/>
          <w:r w:rsidRPr="00A046BE">
            <w:rPr>
              <w:rFonts w:ascii="Times New Roman" w:hAnsi="Times New Roman" w:cs="Times New Roman"/>
              <w:sz w:val="24"/>
              <w:szCs w:val="24"/>
              <w:lang w:val="es-ES"/>
            </w:rPr>
            <w:t>c</w:t>
          </w:r>
          <w:r w:rsidR="006A3A2D" w:rsidRPr="00A046BE">
            <w:rPr>
              <w:rFonts w:ascii="Times New Roman" w:hAnsi="Times New Roman" w:cs="Times New Roman"/>
              <w:sz w:val="24"/>
              <w:szCs w:val="24"/>
              <w:lang w:val="es-ES"/>
            </w:rPr>
            <w:t>ontent</w:t>
          </w:r>
          <w:r w:rsidRPr="00A046BE">
            <w:rPr>
              <w:rFonts w:ascii="Times New Roman" w:hAnsi="Times New Roman" w:cs="Times New Roman"/>
              <w:sz w:val="24"/>
              <w:szCs w:val="24"/>
              <w:lang w:val="es-ES"/>
            </w:rPr>
            <w:t>s</w:t>
          </w:r>
          <w:proofErr w:type="spellEnd"/>
        </w:p>
        <w:p w14:paraId="79323753" w14:textId="5EC5209B" w:rsidR="009F6AF6" w:rsidRDefault="006A3A2D">
          <w:pPr>
            <w:pStyle w:val="TDC1"/>
            <w:rPr>
              <w:rFonts w:eastAsiaTheme="minorEastAsia"/>
              <w:b w:val="0"/>
              <w:bCs w:val="0"/>
              <w:lang w:val="es-ES" w:eastAsia="es-ES"/>
            </w:rPr>
          </w:pPr>
          <w:r w:rsidRPr="00A046BE">
            <w:rPr>
              <w:rFonts w:ascii="Times New Roman" w:hAnsi="Times New Roman" w:cs="Times New Roman"/>
              <w:b w:val="0"/>
              <w:bCs w:val="0"/>
            </w:rPr>
            <w:fldChar w:fldCharType="begin"/>
          </w:r>
          <w:r w:rsidRPr="00A046BE">
            <w:rPr>
              <w:rFonts w:ascii="Times New Roman" w:hAnsi="Times New Roman" w:cs="Times New Roman"/>
              <w:b w:val="0"/>
              <w:bCs w:val="0"/>
              <w:lang w:val="es-ES"/>
            </w:rPr>
            <w:instrText xml:space="preserve"> TOC \o "1-3" \h \z \u </w:instrText>
          </w:r>
          <w:r w:rsidRPr="00A046BE">
            <w:rPr>
              <w:rFonts w:ascii="Times New Roman" w:hAnsi="Times New Roman" w:cs="Times New Roman"/>
              <w:b w:val="0"/>
              <w:bCs w:val="0"/>
            </w:rPr>
            <w:fldChar w:fldCharType="separate"/>
          </w:r>
          <w:hyperlink w:anchor="_Toc229508014" w:history="1">
            <w:r w:rsidR="009F6AF6" w:rsidRPr="0056418F">
              <w:rPr>
                <w:rStyle w:val="Hipervnculo"/>
                <w:rFonts w:ascii="Times New Roman" w:hAnsi="Times New Roman" w:cs="Times New Roman"/>
              </w:rPr>
              <w:t>INTRODUCTION</w:t>
            </w:r>
            <w:r w:rsidR="009F6AF6">
              <w:rPr>
                <w:webHidden/>
              </w:rPr>
              <w:tab/>
            </w:r>
            <w:r w:rsidR="009F6AF6">
              <w:rPr>
                <w:webHidden/>
              </w:rPr>
              <w:fldChar w:fldCharType="begin"/>
            </w:r>
            <w:r w:rsidR="009F6AF6">
              <w:rPr>
                <w:webHidden/>
              </w:rPr>
              <w:instrText xml:space="preserve"> PAGEREF _Toc229508014 \h </w:instrText>
            </w:r>
            <w:r w:rsidR="009F6AF6">
              <w:rPr>
                <w:webHidden/>
              </w:rPr>
            </w:r>
            <w:r w:rsidR="009F6AF6">
              <w:rPr>
                <w:webHidden/>
              </w:rPr>
              <w:fldChar w:fldCharType="separate"/>
            </w:r>
            <w:r w:rsidR="009F6AF6">
              <w:rPr>
                <w:webHidden/>
              </w:rPr>
              <w:t>3</w:t>
            </w:r>
            <w:r w:rsidR="009F6AF6">
              <w:rPr>
                <w:webHidden/>
              </w:rPr>
              <w:fldChar w:fldCharType="end"/>
            </w:r>
          </w:hyperlink>
        </w:p>
        <w:p w14:paraId="16815853" w14:textId="27E1758F" w:rsidR="009F6AF6" w:rsidRDefault="009F6AF6">
          <w:pPr>
            <w:pStyle w:val="TDC1"/>
            <w:rPr>
              <w:rFonts w:eastAsiaTheme="minorEastAsia"/>
              <w:b w:val="0"/>
              <w:bCs w:val="0"/>
              <w:lang w:val="es-ES" w:eastAsia="es-ES"/>
            </w:rPr>
          </w:pPr>
          <w:hyperlink w:anchor="_Toc229508015" w:history="1">
            <w:r w:rsidRPr="0056418F">
              <w:rPr>
                <w:rStyle w:val="Hipervnculo"/>
                <w:rFonts w:ascii="Times New Roman" w:hAnsi="Times New Roman" w:cs="Times New Roman"/>
              </w:rPr>
              <w:t>MAIN BODY</w:t>
            </w:r>
            <w:r>
              <w:rPr>
                <w:webHidden/>
              </w:rPr>
              <w:tab/>
            </w:r>
            <w:r>
              <w:rPr>
                <w:webHidden/>
              </w:rPr>
              <w:fldChar w:fldCharType="begin"/>
            </w:r>
            <w:r>
              <w:rPr>
                <w:webHidden/>
              </w:rPr>
              <w:instrText xml:space="preserve"> PAGEREF _Toc229508015 \h </w:instrText>
            </w:r>
            <w:r>
              <w:rPr>
                <w:webHidden/>
              </w:rPr>
            </w:r>
            <w:r>
              <w:rPr>
                <w:webHidden/>
              </w:rPr>
              <w:fldChar w:fldCharType="separate"/>
            </w:r>
            <w:r>
              <w:rPr>
                <w:webHidden/>
              </w:rPr>
              <w:t>4</w:t>
            </w:r>
            <w:r>
              <w:rPr>
                <w:webHidden/>
              </w:rPr>
              <w:fldChar w:fldCharType="end"/>
            </w:r>
          </w:hyperlink>
        </w:p>
        <w:p w14:paraId="7B2634A7" w14:textId="18D15E9D" w:rsidR="009F6AF6" w:rsidRDefault="009F6AF6">
          <w:pPr>
            <w:pStyle w:val="TDC2"/>
            <w:rPr>
              <w:rFonts w:eastAsiaTheme="minorEastAsia"/>
              <w:b w:val="0"/>
              <w:bCs w:val="0"/>
              <w:lang w:eastAsia="es-ES"/>
            </w:rPr>
          </w:pPr>
          <w:hyperlink w:anchor="_Toc229508016" w:history="1">
            <w:r w:rsidRPr="0056418F">
              <w:rPr>
                <w:rStyle w:val="Hipervnculo"/>
                <w:rFonts w:ascii="Times New Roman" w:hAnsi="Times New Roman" w:cs="Times New Roman"/>
              </w:rPr>
              <w:t>Organisational Structure, Culture, and Goals</w:t>
            </w:r>
            <w:r>
              <w:rPr>
                <w:webHidden/>
              </w:rPr>
              <w:tab/>
            </w:r>
            <w:r>
              <w:rPr>
                <w:webHidden/>
              </w:rPr>
              <w:fldChar w:fldCharType="begin"/>
            </w:r>
            <w:r>
              <w:rPr>
                <w:webHidden/>
              </w:rPr>
              <w:instrText xml:space="preserve"> PAGEREF _Toc229508016 \h </w:instrText>
            </w:r>
            <w:r>
              <w:rPr>
                <w:webHidden/>
              </w:rPr>
            </w:r>
            <w:r>
              <w:rPr>
                <w:webHidden/>
              </w:rPr>
              <w:fldChar w:fldCharType="separate"/>
            </w:r>
            <w:r>
              <w:rPr>
                <w:webHidden/>
              </w:rPr>
              <w:t>4</w:t>
            </w:r>
            <w:r>
              <w:rPr>
                <w:webHidden/>
              </w:rPr>
              <w:fldChar w:fldCharType="end"/>
            </w:r>
          </w:hyperlink>
        </w:p>
        <w:p w14:paraId="03BED5F8" w14:textId="09D38613" w:rsidR="009F6AF6" w:rsidRDefault="009F6AF6">
          <w:pPr>
            <w:pStyle w:val="TDC2"/>
            <w:rPr>
              <w:rFonts w:eastAsiaTheme="minorEastAsia"/>
              <w:b w:val="0"/>
              <w:bCs w:val="0"/>
              <w:lang w:eastAsia="es-ES"/>
            </w:rPr>
          </w:pPr>
          <w:hyperlink w:anchor="_Toc229508017" w:history="1">
            <w:r w:rsidRPr="0056418F">
              <w:rPr>
                <w:rStyle w:val="Hipervnculo"/>
                <w:rFonts w:ascii="Times New Roman" w:hAnsi="Times New Roman" w:cs="Times New Roman"/>
              </w:rPr>
              <w:t>Recent Change Initiatives: Impact and Management</w:t>
            </w:r>
            <w:r>
              <w:rPr>
                <w:webHidden/>
              </w:rPr>
              <w:tab/>
            </w:r>
            <w:r>
              <w:rPr>
                <w:webHidden/>
              </w:rPr>
              <w:fldChar w:fldCharType="begin"/>
            </w:r>
            <w:r>
              <w:rPr>
                <w:webHidden/>
              </w:rPr>
              <w:instrText xml:space="preserve"> PAGEREF _Toc229508017 \h </w:instrText>
            </w:r>
            <w:r>
              <w:rPr>
                <w:webHidden/>
              </w:rPr>
            </w:r>
            <w:r>
              <w:rPr>
                <w:webHidden/>
              </w:rPr>
              <w:fldChar w:fldCharType="separate"/>
            </w:r>
            <w:r>
              <w:rPr>
                <w:webHidden/>
              </w:rPr>
              <w:t>9</w:t>
            </w:r>
            <w:r>
              <w:rPr>
                <w:webHidden/>
              </w:rPr>
              <w:fldChar w:fldCharType="end"/>
            </w:r>
          </w:hyperlink>
        </w:p>
        <w:p w14:paraId="4B2342C4" w14:textId="19B96AD8" w:rsidR="009F6AF6" w:rsidRDefault="009F6AF6">
          <w:pPr>
            <w:pStyle w:val="TDC2"/>
            <w:rPr>
              <w:rFonts w:eastAsiaTheme="minorEastAsia"/>
              <w:b w:val="0"/>
              <w:bCs w:val="0"/>
              <w:lang w:eastAsia="es-ES"/>
            </w:rPr>
          </w:pPr>
          <w:hyperlink w:anchor="_Toc229508018" w:history="1">
            <w:r w:rsidRPr="0056418F">
              <w:rPr>
                <w:rStyle w:val="Hipervnculo"/>
                <w:rFonts w:ascii="Times New Roman" w:hAnsi="Times New Roman" w:cs="Times New Roman"/>
              </w:rPr>
              <w:t>Strategic Direction and Current Business Performance</w:t>
            </w:r>
            <w:r>
              <w:rPr>
                <w:webHidden/>
              </w:rPr>
              <w:tab/>
            </w:r>
            <w:r>
              <w:rPr>
                <w:webHidden/>
              </w:rPr>
              <w:fldChar w:fldCharType="begin"/>
            </w:r>
            <w:r>
              <w:rPr>
                <w:webHidden/>
              </w:rPr>
              <w:instrText xml:space="preserve"> PAGEREF _Toc229508018 \h </w:instrText>
            </w:r>
            <w:r>
              <w:rPr>
                <w:webHidden/>
              </w:rPr>
            </w:r>
            <w:r>
              <w:rPr>
                <w:webHidden/>
              </w:rPr>
              <w:fldChar w:fldCharType="separate"/>
            </w:r>
            <w:r>
              <w:rPr>
                <w:webHidden/>
              </w:rPr>
              <w:t>13</w:t>
            </w:r>
            <w:r>
              <w:rPr>
                <w:webHidden/>
              </w:rPr>
              <w:fldChar w:fldCharType="end"/>
            </w:r>
          </w:hyperlink>
        </w:p>
        <w:p w14:paraId="22C53179" w14:textId="58792ABD" w:rsidR="009F6AF6" w:rsidRDefault="009F6AF6">
          <w:pPr>
            <w:pStyle w:val="TDC1"/>
            <w:rPr>
              <w:rFonts w:eastAsiaTheme="minorEastAsia"/>
              <w:b w:val="0"/>
              <w:bCs w:val="0"/>
              <w:lang w:val="es-ES" w:eastAsia="es-ES"/>
            </w:rPr>
          </w:pPr>
          <w:hyperlink w:anchor="_Toc229508019" w:history="1">
            <w:r w:rsidRPr="0056418F">
              <w:rPr>
                <w:rStyle w:val="Hipervnculo"/>
                <w:rFonts w:ascii="Times New Roman" w:hAnsi="Times New Roman" w:cs="Times New Roman"/>
              </w:rPr>
              <w:t>CONCLUSION</w:t>
            </w:r>
            <w:r>
              <w:rPr>
                <w:webHidden/>
              </w:rPr>
              <w:tab/>
            </w:r>
            <w:r>
              <w:rPr>
                <w:webHidden/>
              </w:rPr>
              <w:fldChar w:fldCharType="begin"/>
            </w:r>
            <w:r>
              <w:rPr>
                <w:webHidden/>
              </w:rPr>
              <w:instrText xml:space="preserve"> PAGEREF _Toc229508019 \h </w:instrText>
            </w:r>
            <w:r>
              <w:rPr>
                <w:webHidden/>
              </w:rPr>
            </w:r>
            <w:r>
              <w:rPr>
                <w:webHidden/>
              </w:rPr>
              <w:fldChar w:fldCharType="separate"/>
            </w:r>
            <w:r>
              <w:rPr>
                <w:webHidden/>
              </w:rPr>
              <w:t>15</w:t>
            </w:r>
            <w:r>
              <w:rPr>
                <w:webHidden/>
              </w:rPr>
              <w:fldChar w:fldCharType="end"/>
            </w:r>
          </w:hyperlink>
        </w:p>
        <w:p w14:paraId="0207A163" w14:textId="57B26B4F" w:rsidR="009F6AF6" w:rsidRDefault="009F6AF6">
          <w:pPr>
            <w:pStyle w:val="TDC1"/>
            <w:rPr>
              <w:rFonts w:eastAsiaTheme="minorEastAsia"/>
              <w:b w:val="0"/>
              <w:bCs w:val="0"/>
              <w:lang w:val="es-ES" w:eastAsia="es-ES"/>
            </w:rPr>
          </w:pPr>
          <w:hyperlink w:anchor="_Toc229508020" w:history="1">
            <w:r w:rsidRPr="0056418F">
              <w:rPr>
                <w:rStyle w:val="Hipervnculo"/>
                <w:rFonts w:ascii="Times New Roman" w:hAnsi="Times New Roman" w:cs="Times New Roman"/>
              </w:rPr>
              <w:t>RECOMMENDATIONS</w:t>
            </w:r>
            <w:r>
              <w:rPr>
                <w:webHidden/>
              </w:rPr>
              <w:tab/>
            </w:r>
            <w:r>
              <w:rPr>
                <w:webHidden/>
              </w:rPr>
              <w:fldChar w:fldCharType="begin"/>
            </w:r>
            <w:r>
              <w:rPr>
                <w:webHidden/>
              </w:rPr>
              <w:instrText xml:space="preserve"> PAGEREF _Toc229508020 \h </w:instrText>
            </w:r>
            <w:r>
              <w:rPr>
                <w:webHidden/>
              </w:rPr>
            </w:r>
            <w:r>
              <w:rPr>
                <w:webHidden/>
              </w:rPr>
              <w:fldChar w:fldCharType="separate"/>
            </w:r>
            <w:r>
              <w:rPr>
                <w:webHidden/>
              </w:rPr>
              <w:t>16</w:t>
            </w:r>
            <w:r>
              <w:rPr>
                <w:webHidden/>
              </w:rPr>
              <w:fldChar w:fldCharType="end"/>
            </w:r>
          </w:hyperlink>
        </w:p>
        <w:p w14:paraId="79C70FCE" w14:textId="061AB523" w:rsidR="009F6AF6" w:rsidRDefault="009F6AF6">
          <w:pPr>
            <w:pStyle w:val="TDC1"/>
            <w:rPr>
              <w:rFonts w:eastAsiaTheme="minorEastAsia"/>
              <w:b w:val="0"/>
              <w:bCs w:val="0"/>
              <w:lang w:val="es-ES" w:eastAsia="es-ES"/>
            </w:rPr>
          </w:pPr>
          <w:hyperlink w:anchor="_Toc229508021" w:history="1">
            <w:r w:rsidRPr="0056418F">
              <w:rPr>
                <w:rStyle w:val="Hipervnculo"/>
                <w:rFonts w:ascii="Times New Roman" w:hAnsi="Times New Roman" w:cs="Times New Roman"/>
              </w:rPr>
              <w:t>REFERENCE LIST</w:t>
            </w:r>
            <w:r>
              <w:rPr>
                <w:webHidden/>
              </w:rPr>
              <w:tab/>
            </w:r>
            <w:r>
              <w:rPr>
                <w:webHidden/>
              </w:rPr>
              <w:fldChar w:fldCharType="begin"/>
            </w:r>
            <w:r>
              <w:rPr>
                <w:webHidden/>
              </w:rPr>
              <w:instrText xml:space="preserve"> PAGEREF _Toc229508021 \h </w:instrText>
            </w:r>
            <w:r>
              <w:rPr>
                <w:webHidden/>
              </w:rPr>
            </w:r>
            <w:r>
              <w:rPr>
                <w:webHidden/>
              </w:rPr>
              <w:fldChar w:fldCharType="separate"/>
            </w:r>
            <w:r>
              <w:rPr>
                <w:webHidden/>
              </w:rPr>
              <w:t>18</w:t>
            </w:r>
            <w:r>
              <w:rPr>
                <w:webHidden/>
              </w:rPr>
              <w:fldChar w:fldCharType="end"/>
            </w:r>
          </w:hyperlink>
        </w:p>
        <w:p w14:paraId="730888A9" w14:textId="64B63E8F" w:rsidR="006A3A2D" w:rsidRPr="00A046BE" w:rsidRDefault="006A3A2D" w:rsidP="00A046BE">
          <w:pPr>
            <w:spacing w:line="360" w:lineRule="auto"/>
            <w:rPr>
              <w:rFonts w:cs="Times New Roman"/>
              <w:szCs w:val="24"/>
              <w:lang w:val="es-ES"/>
            </w:rPr>
          </w:pPr>
          <w:r w:rsidRPr="00A046BE">
            <w:rPr>
              <w:rFonts w:cs="Times New Roman"/>
              <w:b/>
              <w:bCs/>
              <w:noProof/>
              <w:color w:val="auto"/>
              <w:kern w:val="2"/>
              <w:szCs w:val="24"/>
              <w14:ligatures w14:val="standardContextual"/>
            </w:rPr>
            <w:fldChar w:fldCharType="end"/>
          </w:r>
        </w:p>
      </w:sdtContent>
    </w:sdt>
    <w:p w14:paraId="296FBC7F" w14:textId="77777777" w:rsidR="006A3A2D" w:rsidRPr="00A046BE" w:rsidRDefault="006A3A2D" w:rsidP="00A046BE">
      <w:pPr>
        <w:pStyle w:val="Ttulo1"/>
        <w:spacing w:line="360" w:lineRule="auto"/>
        <w:rPr>
          <w:rFonts w:ascii="Times New Roman" w:hAnsi="Times New Roman" w:cs="Times New Roman"/>
          <w:color w:val="auto"/>
          <w:sz w:val="24"/>
          <w:szCs w:val="24"/>
          <w:lang w:val="es-ES"/>
        </w:rPr>
      </w:pPr>
    </w:p>
    <w:p w14:paraId="6C7C15A6" w14:textId="77777777" w:rsidR="00EE3605" w:rsidRPr="00A046BE" w:rsidRDefault="00EE3605" w:rsidP="00A046BE">
      <w:pPr>
        <w:spacing w:line="360" w:lineRule="auto"/>
        <w:rPr>
          <w:rFonts w:cs="Times New Roman"/>
          <w:szCs w:val="24"/>
          <w:lang w:val="es-ES"/>
        </w:rPr>
      </w:pPr>
    </w:p>
    <w:p w14:paraId="0722173E" w14:textId="77777777" w:rsidR="00EE3605" w:rsidRPr="00A046BE" w:rsidRDefault="00EE3605" w:rsidP="00A046BE">
      <w:pPr>
        <w:spacing w:line="360" w:lineRule="auto"/>
        <w:rPr>
          <w:rFonts w:cs="Times New Roman"/>
          <w:szCs w:val="24"/>
          <w:lang w:val="es-ES"/>
        </w:rPr>
      </w:pPr>
    </w:p>
    <w:p w14:paraId="2229F5EF" w14:textId="77777777" w:rsidR="00EE3605" w:rsidRPr="00A046BE" w:rsidRDefault="00EE3605" w:rsidP="00A046BE">
      <w:pPr>
        <w:spacing w:line="360" w:lineRule="auto"/>
        <w:rPr>
          <w:rFonts w:cs="Times New Roman"/>
          <w:szCs w:val="24"/>
          <w:lang w:val="es-ES"/>
        </w:rPr>
      </w:pPr>
    </w:p>
    <w:p w14:paraId="6B9BDB96" w14:textId="77777777" w:rsidR="00591159" w:rsidRPr="00A046BE" w:rsidRDefault="00591159" w:rsidP="00A046BE">
      <w:pPr>
        <w:spacing w:line="360" w:lineRule="auto"/>
        <w:rPr>
          <w:rFonts w:cs="Times New Roman"/>
          <w:szCs w:val="24"/>
          <w:lang w:val="es-ES"/>
        </w:rPr>
      </w:pPr>
    </w:p>
    <w:p w14:paraId="137CC928" w14:textId="77777777" w:rsidR="00591159" w:rsidRPr="00A046BE" w:rsidRDefault="00591159" w:rsidP="00A046BE">
      <w:pPr>
        <w:spacing w:line="360" w:lineRule="auto"/>
        <w:rPr>
          <w:rFonts w:cs="Times New Roman"/>
          <w:szCs w:val="24"/>
          <w:lang w:val="es-ES"/>
        </w:rPr>
      </w:pPr>
    </w:p>
    <w:p w14:paraId="1EFB32DD" w14:textId="77777777" w:rsidR="00591159" w:rsidRPr="00A046BE" w:rsidRDefault="00591159" w:rsidP="00A046BE">
      <w:pPr>
        <w:spacing w:line="360" w:lineRule="auto"/>
        <w:rPr>
          <w:rFonts w:cs="Times New Roman"/>
          <w:szCs w:val="24"/>
          <w:lang w:val="es-ES"/>
        </w:rPr>
      </w:pPr>
    </w:p>
    <w:p w14:paraId="5CD6BB10" w14:textId="77777777" w:rsidR="00591159" w:rsidRPr="00A046BE" w:rsidRDefault="00591159" w:rsidP="00A046BE">
      <w:pPr>
        <w:spacing w:line="360" w:lineRule="auto"/>
        <w:rPr>
          <w:rFonts w:cs="Times New Roman"/>
          <w:szCs w:val="24"/>
          <w:lang w:val="es-ES"/>
        </w:rPr>
      </w:pPr>
    </w:p>
    <w:p w14:paraId="2649BBFA" w14:textId="77777777" w:rsidR="00591159" w:rsidRPr="00A046BE" w:rsidRDefault="00591159" w:rsidP="00A046BE">
      <w:pPr>
        <w:spacing w:line="360" w:lineRule="auto"/>
        <w:rPr>
          <w:rFonts w:cs="Times New Roman"/>
          <w:szCs w:val="24"/>
          <w:lang w:val="es-ES"/>
        </w:rPr>
      </w:pPr>
    </w:p>
    <w:p w14:paraId="76B919A7" w14:textId="77777777" w:rsidR="00591159" w:rsidRPr="00A046BE" w:rsidRDefault="00591159" w:rsidP="00A046BE">
      <w:pPr>
        <w:spacing w:line="360" w:lineRule="auto"/>
        <w:rPr>
          <w:rFonts w:cs="Times New Roman"/>
          <w:szCs w:val="24"/>
          <w:lang w:val="es-ES"/>
        </w:rPr>
      </w:pPr>
    </w:p>
    <w:p w14:paraId="2061A625" w14:textId="77777777" w:rsidR="00591159" w:rsidRPr="00A046BE" w:rsidRDefault="00591159" w:rsidP="00A046BE">
      <w:pPr>
        <w:spacing w:line="360" w:lineRule="auto"/>
        <w:rPr>
          <w:rFonts w:cs="Times New Roman"/>
          <w:szCs w:val="24"/>
          <w:lang w:val="es-ES"/>
        </w:rPr>
      </w:pPr>
    </w:p>
    <w:p w14:paraId="04B97F7C" w14:textId="77777777" w:rsidR="00591159" w:rsidRPr="00A046BE" w:rsidRDefault="00591159" w:rsidP="00A046BE">
      <w:pPr>
        <w:spacing w:line="360" w:lineRule="auto"/>
        <w:rPr>
          <w:rFonts w:cs="Times New Roman"/>
          <w:szCs w:val="24"/>
          <w:lang w:val="es-ES"/>
        </w:rPr>
      </w:pPr>
    </w:p>
    <w:p w14:paraId="05B50CEA" w14:textId="77777777" w:rsidR="00591159" w:rsidRPr="00A046BE" w:rsidRDefault="00591159" w:rsidP="00A046BE">
      <w:pPr>
        <w:spacing w:line="360" w:lineRule="auto"/>
        <w:rPr>
          <w:rFonts w:cs="Times New Roman"/>
          <w:szCs w:val="24"/>
          <w:lang w:val="es-ES"/>
        </w:rPr>
      </w:pPr>
    </w:p>
    <w:p w14:paraId="29C53B8B" w14:textId="77777777" w:rsidR="00591159" w:rsidRPr="00A046BE" w:rsidRDefault="00591159" w:rsidP="00A046BE">
      <w:pPr>
        <w:spacing w:line="360" w:lineRule="auto"/>
        <w:rPr>
          <w:rFonts w:cs="Times New Roman"/>
          <w:szCs w:val="24"/>
          <w:lang w:val="es-ES"/>
        </w:rPr>
      </w:pPr>
    </w:p>
    <w:p w14:paraId="5F754D60" w14:textId="77777777" w:rsidR="00591159" w:rsidRPr="00A046BE" w:rsidRDefault="00591159" w:rsidP="00A046BE">
      <w:pPr>
        <w:spacing w:line="360" w:lineRule="auto"/>
        <w:rPr>
          <w:rFonts w:cs="Times New Roman"/>
          <w:szCs w:val="24"/>
          <w:lang w:val="es-ES"/>
        </w:rPr>
      </w:pPr>
    </w:p>
    <w:p w14:paraId="014603DE" w14:textId="77777777" w:rsidR="00591159" w:rsidRPr="00A046BE" w:rsidRDefault="00591159" w:rsidP="00A046BE">
      <w:pPr>
        <w:spacing w:line="360" w:lineRule="auto"/>
        <w:rPr>
          <w:rFonts w:cs="Times New Roman"/>
          <w:szCs w:val="24"/>
          <w:lang w:val="es-ES"/>
        </w:rPr>
      </w:pPr>
    </w:p>
    <w:p w14:paraId="2D0C7960" w14:textId="4E14741B" w:rsidR="0008121D" w:rsidRPr="00A046BE" w:rsidRDefault="0008121D" w:rsidP="00A046BE">
      <w:pPr>
        <w:spacing w:line="360" w:lineRule="auto"/>
        <w:rPr>
          <w:rFonts w:cs="Times New Roman"/>
          <w:szCs w:val="24"/>
        </w:rPr>
      </w:pPr>
      <w:bookmarkStart w:id="0" w:name="_Toc229508014"/>
      <w:r w:rsidRPr="00A046BE">
        <w:rPr>
          <w:rStyle w:val="Ttulo1Car"/>
          <w:rFonts w:ascii="Times New Roman" w:hAnsi="Times New Roman" w:cs="Times New Roman"/>
          <w:sz w:val="24"/>
          <w:szCs w:val="24"/>
        </w:rPr>
        <w:lastRenderedPageBreak/>
        <w:t>INTRODUCTION</w:t>
      </w:r>
      <w:bookmarkEnd w:id="0"/>
      <w:r w:rsidRPr="00A046BE">
        <w:rPr>
          <w:rFonts w:cs="Times New Roman"/>
          <w:b/>
          <w:bCs/>
          <w:szCs w:val="24"/>
        </w:rPr>
        <w:t xml:space="preserve"> </w:t>
      </w:r>
    </w:p>
    <w:p w14:paraId="49F512BB" w14:textId="77777777" w:rsidR="006B7AAF" w:rsidRPr="00A046BE" w:rsidRDefault="006B7AAF" w:rsidP="00A046BE">
      <w:pPr>
        <w:spacing w:line="360" w:lineRule="auto"/>
        <w:rPr>
          <w:rFonts w:cs="Times New Roman"/>
          <w:szCs w:val="24"/>
        </w:rPr>
      </w:pPr>
      <w:r w:rsidRPr="00A046BE">
        <w:rPr>
          <w:rFonts w:cs="Times New Roman"/>
          <w:szCs w:val="24"/>
        </w:rPr>
        <w:t xml:space="preserve">The global hospitality industry is very important for tourism, employment and the economy. However, hotel companies today </w:t>
      </w:r>
      <w:proofErr w:type="gramStart"/>
      <w:r w:rsidRPr="00A046BE">
        <w:rPr>
          <w:rFonts w:cs="Times New Roman"/>
          <w:szCs w:val="24"/>
        </w:rPr>
        <w:t>have to</w:t>
      </w:r>
      <w:proofErr w:type="gramEnd"/>
      <w:r w:rsidRPr="00A046BE">
        <w:rPr>
          <w:rFonts w:cs="Times New Roman"/>
          <w:szCs w:val="24"/>
        </w:rPr>
        <w:t xml:space="preserve"> work in a more difficult and competitive environment. Customers expect better service, more digital options and more sustainable practices. Because of this, good management is important for hotel companies that want to stay successful in the long term (UNWTO, 2023; World Travel &amp; Tourism Council, 2024).</w:t>
      </w:r>
    </w:p>
    <w:p w14:paraId="59DC6FB1" w14:textId="77777777" w:rsidR="006B7AAF" w:rsidRPr="00A046BE" w:rsidRDefault="006B7AAF" w:rsidP="00A046BE">
      <w:pPr>
        <w:spacing w:line="360" w:lineRule="auto"/>
        <w:rPr>
          <w:rFonts w:cs="Times New Roman"/>
          <w:szCs w:val="24"/>
        </w:rPr>
      </w:pPr>
      <w:r w:rsidRPr="00A046BE">
        <w:rPr>
          <w:rFonts w:cs="Times New Roman"/>
          <w:szCs w:val="24"/>
        </w:rPr>
        <w:t>Hilton Worldwide Holdings Inc. is one of the biggest hotel companies in the world. It was founded in 1919 and now has many different brands, including luxury hotels, full-service hotels and more affordable hotel options. Hilton continues to grow internationally, mainly through management and franchise agreements rather than owning most of its hotels directly. This helps the company grow faster and use less capital, but it can also create problems. For example, it may be harder to keep the same culture, service standards and employee experience across all hotels (Hilton Worldwide Holdings Inc., 2025).</w:t>
      </w:r>
    </w:p>
    <w:p w14:paraId="78B5B862" w14:textId="6F7E84A8" w:rsidR="006B7AAF" w:rsidRPr="00A046BE" w:rsidRDefault="006B7AAF" w:rsidP="00A046BE">
      <w:pPr>
        <w:spacing w:line="360" w:lineRule="auto"/>
        <w:rPr>
          <w:rFonts w:cs="Times New Roman"/>
          <w:szCs w:val="24"/>
        </w:rPr>
      </w:pPr>
      <w:r w:rsidRPr="00A046BE">
        <w:rPr>
          <w:rFonts w:cs="Times New Roman"/>
          <w:szCs w:val="24"/>
        </w:rPr>
        <w:t>Th</w:t>
      </w:r>
      <w:r w:rsidR="008548CE">
        <w:rPr>
          <w:rFonts w:cs="Times New Roman"/>
          <w:szCs w:val="24"/>
        </w:rPr>
        <w:t>is</w:t>
      </w:r>
      <w:r w:rsidRPr="00A046BE">
        <w:rPr>
          <w:rFonts w:cs="Times New Roman"/>
          <w:szCs w:val="24"/>
        </w:rPr>
        <w:t xml:space="preserve"> report focuses on three main areas: organisational structure, culture and goals; recent change initiatives; and strategic direction and current business performance. The first section looks at Hilton’s structure and culture and compares it with Marriott. The second section discusses recent changes, especially digital transformation and sustainability. The final section analyses Hilton’s strategy and performance, using both financial and non-financial information.</w:t>
      </w:r>
    </w:p>
    <w:p w14:paraId="2F223349" w14:textId="5609865C" w:rsidR="0008121D" w:rsidRPr="00A046BE" w:rsidRDefault="0008121D" w:rsidP="00A046BE">
      <w:pPr>
        <w:pStyle w:val="Ttulo1"/>
        <w:spacing w:after="160" w:line="360" w:lineRule="auto"/>
        <w:rPr>
          <w:rFonts w:ascii="Times New Roman" w:hAnsi="Times New Roman" w:cs="Times New Roman"/>
          <w:sz w:val="24"/>
          <w:szCs w:val="24"/>
        </w:rPr>
      </w:pPr>
      <w:bookmarkStart w:id="1" w:name="_Toc229508015"/>
      <w:r w:rsidRPr="00A046BE">
        <w:rPr>
          <w:rFonts w:ascii="Times New Roman" w:hAnsi="Times New Roman" w:cs="Times New Roman"/>
          <w:sz w:val="24"/>
          <w:szCs w:val="24"/>
        </w:rPr>
        <w:t>MAIN BODY</w:t>
      </w:r>
      <w:bookmarkEnd w:id="1"/>
      <w:r w:rsidRPr="00A046BE">
        <w:rPr>
          <w:rFonts w:ascii="Times New Roman" w:hAnsi="Times New Roman" w:cs="Times New Roman"/>
          <w:sz w:val="24"/>
          <w:szCs w:val="24"/>
        </w:rPr>
        <w:t xml:space="preserve"> </w:t>
      </w:r>
    </w:p>
    <w:p w14:paraId="31EB7AF1" w14:textId="620FF7E6" w:rsidR="003B455D" w:rsidRPr="00A046BE" w:rsidRDefault="0008121D" w:rsidP="00A046BE">
      <w:pPr>
        <w:pStyle w:val="Default"/>
        <w:numPr>
          <w:ilvl w:val="1"/>
          <w:numId w:val="6"/>
        </w:numPr>
        <w:spacing w:after="160" w:line="360" w:lineRule="auto"/>
        <w:rPr>
          <w:rFonts w:ascii="Times New Roman" w:hAnsi="Times New Roman" w:cs="Times New Roman"/>
          <w:lang w:val="en-GB"/>
        </w:rPr>
      </w:pPr>
      <w:bookmarkStart w:id="2" w:name="_Toc229508016"/>
      <w:r w:rsidRPr="00A046BE">
        <w:rPr>
          <w:rStyle w:val="Ttulo2Car"/>
          <w:rFonts w:ascii="Times New Roman" w:hAnsi="Times New Roman" w:cs="Times New Roman"/>
          <w:sz w:val="24"/>
          <w:szCs w:val="24"/>
          <w:lang w:val="en-GB"/>
        </w:rPr>
        <w:t>Organisational Structure, Culture, and Goals</w:t>
      </w:r>
      <w:bookmarkEnd w:id="2"/>
      <w:r w:rsidRPr="00A046BE">
        <w:rPr>
          <w:rFonts w:ascii="Times New Roman" w:hAnsi="Times New Roman" w:cs="Times New Roman"/>
          <w:b/>
          <w:bCs/>
          <w:lang w:val="en-GB"/>
        </w:rPr>
        <w:t xml:space="preserve"> </w:t>
      </w:r>
    </w:p>
    <w:p w14:paraId="37FB3CC9" w14:textId="77777777" w:rsidR="00C866FD" w:rsidRPr="00A046BE" w:rsidRDefault="00C866FD" w:rsidP="00A046BE">
      <w:pPr>
        <w:spacing w:line="360" w:lineRule="auto"/>
        <w:rPr>
          <w:rFonts w:cs="Times New Roman"/>
          <w:szCs w:val="24"/>
        </w:rPr>
      </w:pPr>
      <w:r w:rsidRPr="00A046BE">
        <w:rPr>
          <w:rFonts w:cs="Times New Roman"/>
          <w:szCs w:val="24"/>
        </w:rPr>
        <w:t>Organisational structure is important because it helps define roles, organise work and make sure daily activities support business goals (Huczynski and Buchanan, 2023). This is especially important for Hilton because it operates on a very large global scale. Hilton operates through two main segments: management and franchise, and ownership. The management and franchise segment includes hotels managed for third-party owners, brand licensing, booking channels and related services, while the ownership segment includes Hilton’s owned and leased hotels (Hilton Worldwide Holdings Inc., 2024). This shows that Hilton’s structure is strongly based on managing brands and systems rather than owning hotel assets directly.</w:t>
      </w:r>
    </w:p>
    <w:p w14:paraId="3C57B20D" w14:textId="77777777" w:rsidR="00C866FD" w:rsidRPr="00A046BE" w:rsidRDefault="00C866FD" w:rsidP="00A046BE">
      <w:pPr>
        <w:pStyle w:val="Prrafodelista"/>
        <w:numPr>
          <w:ilvl w:val="0"/>
          <w:numId w:val="6"/>
        </w:numPr>
        <w:spacing w:line="360" w:lineRule="auto"/>
        <w:ind w:left="-227"/>
        <w:rPr>
          <w:rFonts w:cs="Times New Roman"/>
          <w:szCs w:val="24"/>
        </w:rPr>
      </w:pPr>
      <w:r w:rsidRPr="00A046BE">
        <w:rPr>
          <w:rFonts w:cs="Times New Roman"/>
          <w:noProof/>
          <w:szCs w:val="24"/>
        </w:rPr>
        <w:lastRenderedPageBreak/>
        <w:drawing>
          <wp:inline distT="0" distB="0" distL="0" distR="0" wp14:anchorId="149493B9" wp14:editId="22F3D2C9">
            <wp:extent cx="5486400" cy="3200400"/>
            <wp:effectExtent l="0" t="0" r="38100" b="0"/>
            <wp:docPr id="1098117476" name="Diagrama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0B567E0F" w14:textId="77777777" w:rsidR="00C866FD" w:rsidRPr="00A046BE" w:rsidRDefault="00C866FD" w:rsidP="00A046BE">
      <w:pPr>
        <w:spacing w:line="360" w:lineRule="auto"/>
        <w:ind w:left="340"/>
        <w:rPr>
          <w:rFonts w:cs="Times New Roman"/>
          <w:i/>
          <w:iCs/>
          <w:szCs w:val="24"/>
        </w:rPr>
      </w:pPr>
      <w:r w:rsidRPr="00A046BE">
        <w:rPr>
          <w:rFonts w:cs="Times New Roman"/>
          <w:b/>
          <w:bCs/>
          <w:szCs w:val="24"/>
        </w:rPr>
        <w:t>Figure 1: Hilton’s organisational structure by business segment</w:t>
      </w:r>
      <w:r w:rsidRPr="00A046BE">
        <w:rPr>
          <w:rFonts w:cs="Times New Roman"/>
          <w:szCs w:val="24"/>
        </w:rPr>
        <w:br/>
      </w:r>
      <w:r w:rsidRPr="00A046BE">
        <w:rPr>
          <w:rFonts w:cs="Times New Roman"/>
          <w:i/>
          <w:iCs/>
          <w:szCs w:val="24"/>
        </w:rPr>
        <w:t>Source: Adapted from Hilton Worldwide Holdings Inc. (2024).</w:t>
      </w:r>
    </w:p>
    <w:p w14:paraId="102EB70E" w14:textId="77777777" w:rsidR="00C866FD" w:rsidRPr="00A046BE" w:rsidRDefault="00C866FD" w:rsidP="00A046BE">
      <w:pPr>
        <w:spacing w:line="360" w:lineRule="auto"/>
        <w:rPr>
          <w:rFonts w:cs="Times New Roman"/>
          <w:szCs w:val="24"/>
        </w:rPr>
      </w:pPr>
      <w:r w:rsidRPr="00A046BE">
        <w:rPr>
          <w:rFonts w:cs="Times New Roman"/>
          <w:szCs w:val="24"/>
        </w:rPr>
        <w:t>Figure 1 shows Hilton’s organisational structure based on its main business segments. It highlights that the company mainly operates through management and franchise activities, while ownership represents a smaller part of the business.</w:t>
      </w:r>
    </w:p>
    <w:p w14:paraId="5DFD60B0" w14:textId="77777777" w:rsidR="00C866FD" w:rsidRPr="00A046BE" w:rsidRDefault="00C866FD" w:rsidP="00A046BE">
      <w:pPr>
        <w:spacing w:line="360" w:lineRule="auto"/>
        <w:rPr>
          <w:rFonts w:cs="Times New Roman"/>
          <w:szCs w:val="24"/>
        </w:rPr>
      </w:pPr>
      <w:r w:rsidRPr="00A046BE">
        <w:rPr>
          <w:rFonts w:cs="Times New Roman"/>
          <w:szCs w:val="24"/>
        </w:rPr>
        <w:t>Hilton’s structure is closely linked to its strategic goals. One of its main objectives is to grow internationally while keeping costs low. Its asset-light model allows the company to expand without investing heavily in property, as most hotels are funded by external owners. For example, Hilton had more than 8,400 hotels and over 1.2 million rooms worldwide in 2024 (Hilton Worldwide Holdings Inc., 2024). This suggests that its structure supports fast growth and financial efficiency. However, this model may also reduce Hilton’s direct control over some hotels, which could create differences in service quality and operations across locations.</w:t>
      </w:r>
    </w:p>
    <w:p w14:paraId="5C732B29" w14:textId="77777777" w:rsidR="00C866FD" w:rsidRPr="00A046BE" w:rsidRDefault="00C866FD" w:rsidP="00A046BE">
      <w:pPr>
        <w:pStyle w:val="Prrafodelista"/>
        <w:numPr>
          <w:ilvl w:val="0"/>
          <w:numId w:val="6"/>
        </w:numPr>
        <w:spacing w:line="360" w:lineRule="auto"/>
        <w:ind w:left="567"/>
        <w:rPr>
          <w:rFonts w:cs="Times New Roman"/>
          <w:szCs w:val="24"/>
        </w:rPr>
      </w:pPr>
      <w:r w:rsidRPr="00A046BE">
        <w:rPr>
          <w:rFonts w:cs="Times New Roman"/>
          <w:noProof/>
          <w:szCs w:val="24"/>
        </w:rPr>
        <w:lastRenderedPageBreak/>
        <w:drawing>
          <wp:inline distT="0" distB="0" distL="0" distR="0" wp14:anchorId="7EEA33CB" wp14:editId="28A858FF">
            <wp:extent cx="3938638" cy="4578350"/>
            <wp:effectExtent l="0" t="0" r="5080" b="0"/>
            <wp:docPr id="200525237"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25237" name="Imagen 200525237"/>
                    <pic:cNvPicPr/>
                  </pic:nvPicPr>
                  <pic:blipFill>
                    <a:blip r:embed="rId16">
                      <a:extLst>
                        <a:ext uri="{28A0092B-C50C-407E-A947-70E740481C1C}">
                          <a14:useLocalDpi xmlns:a14="http://schemas.microsoft.com/office/drawing/2010/main" val="0"/>
                        </a:ext>
                      </a:extLst>
                    </a:blip>
                    <a:stretch>
                      <a:fillRect/>
                    </a:stretch>
                  </pic:blipFill>
                  <pic:spPr>
                    <a:xfrm>
                      <a:off x="0" y="0"/>
                      <a:ext cx="3944604" cy="4585284"/>
                    </a:xfrm>
                    <a:prstGeom prst="rect">
                      <a:avLst/>
                    </a:prstGeom>
                  </pic:spPr>
                </pic:pic>
              </a:graphicData>
            </a:graphic>
          </wp:inline>
        </w:drawing>
      </w:r>
    </w:p>
    <w:p w14:paraId="494B9AF6" w14:textId="77777777" w:rsidR="00C866FD" w:rsidRPr="00A046BE" w:rsidRDefault="00C866FD" w:rsidP="00A046BE">
      <w:pPr>
        <w:spacing w:line="360" w:lineRule="auto"/>
        <w:ind w:left="720"/>
        <w:rPr>
          <w:rFonts w:cs="Times New Roman"/>
          <w:szCs w:val="24"/>
        </w:rPr>
      </w:pPr>
      <w:r w:rsidRPr="00A046BE">
        <w:rPr>
          <w:rFonts w:cs="Times New Roman"/>
          <w:b/>
          <w:bCs/>
          <w:szCs w:val="24"/>
        </w:rPr>
        <w:t xml:space="preserve">Figure 2: Growth in Hilton properties and rooms over time </w:t>
      </w:r>
      <w:r w:rsidRPr="00A046BE">
        <w:rPr>
          <w:rFonts w:cs="Times New Roman"/>
          <w:szCs w:val="24"/>
        </w:rPr>
        <w:t xml:space="preserve">(Hilton Worldwide Holdings Inc., 2024). </w:t>
      </w:r>
    </w:p>
    <w:p w14:paraId="7484ABC0" w14:textId="77777777" w:rsidR="00C866FD" w:rsidRPr="00A046BE" w:rsidRDefault="00C866FD" w:rsidP="00A046BE">
      <w:pPr>
        <w:spacing w:line="360" w:lineRule="auto"/>
        <w:rPr>
          <w:rFonts w:cs="Times New Roman"/>
          <w:szCs w:val="24"/>
        </w:rPr>
      </w:pPr>
      <w:r w:rsidRPr="00A046BE">
        <w:rPr>
          <w:rFonts w:cs="Times New Roman"/>
          <w:szCs w:val="24"/>
        </w:rPr>
        <w:t>As shown in Figure 2, Hilton has experienced significant growth, which supports its strategy of international expansion.</w:t>
      </w:r>
    </w:p>
    <w:p w14:paraId="20BDE388" w14:textId="1C57030F" w:rsidR="00C866FD" w:rsidRPr="00A046BE" w:rsidRDefault="00AE06DC" w:rsidP="00A046BE">
      <w:pPr>
        <w:spacing w:line="360" w:lineRule="auto"/>
        <w:rPr>
          <w:rFonts w:cs="Times New Roman"/>
          <w:szCs w:val="24"/>
        </w:rPr>
      </w:pPr>
      <w:r w:rsidRPr="00AE06DC">
        <w:rPr>
          <w:rFonts w:cs="Times New Roman"/>
          <w:szCs w:val="24"/>
        </w:rPr>
        <w:t>Organisational culture is very important in hospitality because employee behaviour directly affects customer experience. In hospitality, organisational behaviour is especially important because employee attitudes and service behaviour directly affect the guest experience (Mullins and Dosser, 2013). Robbins and Judge (2024) explain that culture is based on shared values and behaviours.</w:t>
      </w:r>
      <w:r w:rsidR="00C866FD" w:rsidRPr="00A046BE">
        <w:rPr>
          <w:rFonts w:cs="Times New Roman"/>
          <w:szCs w:val="24"/>
        </w:rPr>
        <w:t xml:space="preserve"> Schein (2010) also suggests that culture has different levels, including visible practices, values and deeper beliefs. In Hilton’s case, visible elements such as service standards and brand guidelines reflect a strong focus on customer experience and teamwork. This suggests that Hilton’s structure supports its culture by helping to create similar service practices across its hotels. However, Hilton’s scale also creates a people-management challenge. In 2024, Hilton employed or managed around 181,000 people, with a further 311,000 people working in franchised properties. This means that maintaining the same </w:t>
      </w:r>
      <w:r w:rsidR="00C866FD" w:rsidRPr="00A046BE">
        <w:rPr>
          <w:rFonts w:cs="Times New Roman"/>
          <w:szCs w:val="24"/>
        </w:rPr>
        <w:lastRenderedPageBreak/>
        <w:t>culture, communication and service standards across such a large system may be difficult (Hilton Worldwide Holdings Inc., 2024).</w:t>
      </w:r>
    </w:p>
    <w:p w14:paraId="2FCE98C5" w14:textId="77777777" w:rsidR="00C866FD" w:rsidRPr="00A046BE" w:rsidRDefault="00C866FD" w:rsidP="00A046BE">
      <w:pPr>
        <w:spacing w:line="360" w:lineRule="auto"/>
        <w:rPr>
          <w:rFonts w:cs="Times New Roman"/>
          <w:szCs w:val="24"/>
        </w:rPr>
      </w:pPr>
      <w:r w:rsidRPr="00A046BE">
        <w:rPr>
          <w:rFonts w:cs="Times New Roman"/>
          <w:szCs w:val="24"/>
        </w:rPr>
        <w:t>One of the main strengths of Hilton’s structure is its global scale and strong brand portfolio. Porter (2008) explains that companies need strong positioning to compete in global markets, and Hilton’s wide range of brands allows it to target different types of customers. In addition, its asset-light model reduces financial risk and improves efficiency. This suggests that Hilton is well positioned to compete internationally. However, large organisations can sometimes be less flexible, which may make it harder to respond quickly to changes in customer needs or market conditions.</w:t>
      </w:r>
    </w:p>
    <w:p w14:paraId="23C79888" w14:textId="77777777" w:rsidR="00C866FD" w:rsidRPr="00A046BE" w:rsidRDefault="00C866FD" w:rsidP="00A046BE">
      <w:pPr>
        <w:pStyle w:val="Prrafodelista"/>
        <w:numPr>
          <w:ilvl w:val="0"/>
          <w:numId w:val="6"/>
        </w:numPr>
        <w:spacing w:line="360" w:lineRule="auto"/>
        <w:ind w:left="-567"/>
        <w:rPr>
          <w:rFonts w:cs="Times New Roman"/>
          <w:szCs w:val="24"/>
        </w:rPr>
      </w:pPr>
      <w:r w:rsidRPr="00A046BE">
        <w:rPr>
          <w:rFonts w:cs="Times New Roman"/>
          <w:noProof/>
          <w:szCs w:val="24"/>
        </w:rPr>
        <w:lastRenderedPageBreak/>
        <w:drawing>
          <wp:inline distT="0" distB="0" distL="0" distR="0" wp14:anchorId="07FA53AA" wp14:editId="4DF6EE47">
            <wp:extent cx="6438774" cy="8601144"/>
            <wp:effectExtent l="0" t="0" r="635" b="0"/>
            <wp:docPr id="940997025" name="Imagen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997025" name="Imagen 940997025"/>
                    <pic:cNvPicPr/>
                  </pic:nvPicPr>
                  <pic:blipFill>
                    <a:blip r:embed="rId17">
                      <a:extLst>
                        <a:ext uri="{28A0092B-C50C-407E-A947-70E740481C1C}">
                          <a14:useLocalDpi xmlns:a14="http://schemas.microsoft.com/office/drawing/2010/main" val="0"/>
                        </a:ext>
                      </a:extLst>
                    </a:blip>
                    <a:stretch>
                      <a:fillRect/>
                    </a:stretch>
                  </pic:blipFill>
                  <pic:spPr>
                    <a:xfrm>
                      <a:off x="0" y="0"/>
                      <a:ext cx="6456872" cy="8625321"/>
                    </a:xfrm>
                    <a:prstGeom prst="rect">
                      <a:avLst/>
                    </a:prstGeom>
                  </pic:spPr>
                </pic:pic>
              </a:graphicData>
            </a:graphic>
          </wp:inline>
        </w:drawing>
      </w:r>
    </w:p>
    <w:p w14:paraId="3B336084" w14:textId="38DBC730" w:rsidR="00C866FD" w:rsidRPr="00A046BE" w:rsidRDefault="00C866FD" w:rsidP="00A046BE">
      <w:pPr>
        <w:pStyle w:val="Prrafodelista"/>
        <w:spacing w:line="360" w:lineRule="auto"/>
        <w:rPr>
          <w:rFonts w:cs="Times New Roman"/>
          <w:i/>
          <w:iCs/>
          <w:szCs w:val="24"/>
        </w:rPr>
      </w:pPr>
      <w:r w:rsidRPr="00A046BE">
        <w:rPr>
          <w:rFonts w:cs="Times New Roman"/>
          <w:b/>
          <w:bCs/>
          <w:szCs w:val="24"/>
        </w:rPr>
        <w:lastRenderedPageBreak/>
        <w:t xml:space="preserve">Figure </w:t>
      </w:r>
      <w:r w:rsidR="00EE3605" w:rsidRPr="00A046BE">
        <w:rPr>
          <w:rFonts w:cs="Times New Roman"/>
          <w:b/>
          <w:bCs/>
          <w:szCs w:val="24"/>
        </w:rPr>
        <w:t>3</w:t>
      </w:r>
      <w:r w:rsidRPr="00A046BE">
        <w:rPr>
          <w:rFonts w:cs="Times New Roman"/>
          <w:b/>
          <w:bCs/>
          <w:szCs w:val="24"/>
        </w:rPr>
        <w:t>: Hilton brand portfolio and market positioning (2024)</w:t>
      </w:r>
      <w:r w:rsidRPr="00A046BE">
        <w:rPr>
          <w:rFonts w:cs="Times New Roman"/>
          <w:szCs w:val="24"/>
        </w:rPr>
        <w:br/>
      </w:r>
      <w:r w:rsidRPr="00A046BE">
        <w:rPr>
          <w:rFonts w:cs="Times New Roman"/>
          <w:i/>
          <w:iCs/>
          <w:szCs w:val="24"/>
        </w:rPr>
        <w:t>Source: Hilton Worldwide Holdings Inc. (2024).</w:t>
      </w:r>
    </w:p>
    <w:p w14:paraId="0922C816" w14:textId="77777777" w:rsidR="008E090E" w:rsidRPr="008E090E" w:rsidRDefault="008E090E" w:rsidP="008E090E">
      <w:pPr>
        <w:spacing w:line="360" w:lineRule="auto"/>
        <w:rPr>
          <w:rFonts w:cs="Times New Roman"/>
          <w:szCs w:val="24"/>
        </w:rPr>
      </w:pPr>
      <w:r w:rsidRPr="008E090E">
        <w:rPr>
          <w:rFonts w:cs="Times New Roman"/>
          <w:szCs w:val="24"/>
        </w:rPr>
        <w:t>Figure 3 shows Hilton’s wide brand portfolio and competitors across different market segments. This helps Hilton target different customers, but it can also make quality and brand consistency harder to control.</w:t>
      </w:r>
    </w:p>
    <w:p w14:paraId="538D23AC" w14:textId="77777777" w:rsidR="00C866FD" w:rsidRPr="00A046BE" w:rsidRDefault="00C866FD" w:rsidP="00A046BE">
      <w:pPr>
        <w:spacing w:line="360" w:lineRule="auto"/>
        <w:rPr>
          <w:rFonts w:cs="Times New Roman"/>
          <w:szCs w:val="24"/>
        </w:rPr>
      </w:pPr>
      <w:r w:rsidRPr="00A046BE">
        <w:rPr>
          <w:rFonts w:cs="Times New Roman"/>
          <w:szCs w:val="24"/>
        </w:rPr>
        <w:t>Despite these strengths, there are also some weaknesses. Managing employees across a large global organisation can be difficult. Kilson (2025) highlights that employee retention is a major issue in hospitality. This suggests that Hilton may struggle to provide a consistent employee experience across all its properties. Differences in management, communication and support between hotels could affect employee satisfaction. This may also impact service quality, which is critical in the hospitality industry.</w:t>
      </w:r>
    </w:p>
    <w:p w14:paraId="689E6123" w14:textId="77777777" w:rsidR="00C866FD" w:rsidRPr="00A046BE" w:rsidRDefault="00C866FD" w:rsidP="00A046BE">
      <w:pPr>
        <w:spacing w:line="360" w:lineRule="auto"/>
        <w:rPr>
          <w:rFonts w:cs="Times New Roman"/>
          <w:szCs w:val="24"/>
        </w:rPr>
      </w:pPr>
      <w:r w:rsidRPr="00A046BE">
        <w:rPr>
          <w:rFonts w:cs="Times New Roman"/>
          <w:szCs w:val="24"/>
        </w:rPr>
        <w:t>Hilton can be compared with Marriott, which is one of its main competitors. Both companies use similar business models based on management and franchise agreements, with very limited ownership of hotels. For example, Marriott owns less than 1% of its properties (Marriott International, Inc., 2025). This shows that both companies focus on growth through global expansion rather than owning assets.</w:t>
      </w:r>
    </w:p>
    <w:p w14:paraId="1F016BE3" w14:textId="07DF9AF9" w:rsidR="00C866FD" w:rsidRPr="00A046BE" w:rsidRDefault="00C866FD" w:rsidP="00A046BE">
      <w:pPr>
        <w:spacing w:line="360" w:lineRule="auto"/>
        <w:rPr>
          <w:rFonts w:cs="Times New Roman"/>
          <w:szCs w:val="24"/>
        </w:rPr>
      </w:pPr>
      <w:r w:rsidRPr="00A046BE">
        <w:rPr>
          <w:rFonts w:cs="Times New Roman"/>
          <w:szCs w:val="24"/>
        </w:rPr>
        <w:t>However, they differ slightly in how they position themselves. Hilton focuses more on guest experience and service culture, while Marriott places more emphasis on scale and brand expansion</w:t>
      </w:r>
      <w:r w:rsidR="000310CA">
        <w:rPr>
          <w:rFonts w:cs="Times New Roman"/>
          <w:szCs w:val="24"/>
        </w:rPr>
        <w:t xml:space="preserve">. </w:t>
      </w:r>
      <w:r w:rsidR="000310CA" w:rsidRPr="000310CA">
        <w:rPr>
          <w:rFonts w:cs="Times New Roman"/>
          <w:szCs w:val="24"/>
        </w:rPr>
        <w:t>This comparison shows that Hilton and Marriott compete not only through size, but also through brand standards, employee culture and guest experience.</w:t>
      </w:r>
    </w:p>
    <w:p w14:paraId="3BCD51D2" w14:textId="076E1D6E" w:rsidR="00A046BE" w:rsidRDefault="00F721EF" w:rsidP="00A046BE">
      <w:pPr>
        <w:spacing w:line="360" w:lineRule="auto"/>
        <w:rPr>
          <w:rFonts w:cs="Times New Roman"/>
          <w:szCs w:val="24"/>
        </w:rPr>
      </w:pPr>
      <w:r w:rsidRPr="00A046BE">
        <w:rPr>
          <w:rFonts w:cs="Times New Roman"/>
          <w:szCs w:val="24"/>
        </w:rPr>
        <w:t>This comparison is useful because it shows that Hilton and Marriott do not compete only through size, but also through how they manage brand standards, employee culture and guest experience. For Hilton, the challenge is to keep the benefits of a flexible asset-light structure while still protecting service consistency across managed and franchised hotels.</w:t>
      </w:r>
    </w:p>
    <w:p w14:paraId="08A71B15" w14:textId="77777777" w:rsidR="00A046BE" w:rsidRPr="00A046BE" w:rsidRDefault="00A046BE" w:rsidP="00A046BE">
      <w:pPr>
        <w:spacing w:line="360" w:lineRule="auto"/>
        <w:rPr>
          <w:rFonts w:cs="Times New Roman"/>
          <w:szCs w:val="24"/>
        </w:rPr>
      </w:pPr>
    </w:p>
    <w:p w14:paraId="006E40D6" w14:textId="3F681C06" w:rsidR="00C866FD" w:rsidRPr="00A046BE" w:rsidRDefault="0008121D" w:rsidP="00A046BE">
      <w:pPr>
        <w:pStyle w:val="Default"/>
        <w:spacing w:after="160" w:line="360" w:lineRule="auto"/>
        <w:rPr>
          <w:rFonts w:ascii="Times New Roman" w:hAnsi="Times New Roman" w:cs="Times New Roman"/>
          <w:lang w:val="en-GB"/>
        </w:rPr>
      </w:pPr>
      <w:bookmarkStart w:id="3" w:name="_Toc229508017"/>
      <w:r w:rsidRPr="00A046BE">
        <w:rPr>
          <w:rStyle w:val="Ttulo2Car"/>
          <w:rFonts w:ascii="Times New Roman" w:hAnsi="Times New Roman" w:cs="Times New Roman"/>
          <w:sz w:val="24"/>
          <w:szCs w:val="24"/>
          <w:lang w:val="en-GB"/>
        </w:rPr>
        <w:t>Recent Change Initiatives: Impact and Management</w:t>
      </w:r>
      <w:bookmarkEnd w:id="3"/>
      <w:r w:rsidRPr="00A046BE">
        <w:rPr>
          <w:rFonts w:ascii="Times New Roman" w:hAnsi="Times New Roman" w:cs="Times New Roman"/>
          <w:b/>
          <w:bCs/>
          <w:lang w:val="en-GB"/>
        </w:rPr>
        <w:t xml:space="preserve"> </w:t>
      </w:r>
    </w:p>
    <w:p w14:paraId="605174A9" w14:textId="575071B7" w:rsidR="00C866FD" w:rsidRPr="00A046BE" w:rsidRDefault="00C866FD" w:rsidP="00A046BE">
      <w:pPr>
        <w:spacing w:line="360" w:lineRule="auto"/>
        <w:rPr>
          <w:rFonts w:cs="Times New Roman"/>
          <w:szCs w:val="24"/>
        </w:rPr>
      </w:pPr>
      <w:r w:rsidRPr="00A046BE">
        <w:rPr>
          <w:rFonts w:cs="Times New Roman"/>
          <w:szCs w:val="24"/>
        </w:rPr>
        <w:t xml:space="preserve">The hospitality industry is constantly changing due to technology, customer expectations and sustainability pressures. </w:t>
      </w:r>
      <w:r w:rsidR="00627772" w:rsidRPr="00627772">
        <w:rPr>
          <w:rFonts w:cs="Times New Roman"/>
          <w:szCs w:val="24"/>
        </w:rPr>
        <w:t>Sustainability is also a long-term issue for global hotel companies, as hotel groups increasingly use sustainability reporting to communicate environmental and social responsibility (Jones, Hillier and Comfort, 2014).</w:t>
      </w:r>
      <w:r w:rsidR="00627772">
        <w:rPr>
          <w:rFonts w:cs="Times New Roman"/>
          <w:szCs w:val="24"/>
        </w:rPr>
        <w:t xml:space="preserve"> </w:t>
      </w:r>
      <w:r w:rsidRPr="00A046BE">
        <w:rPr>
          <w:rFonts w:cs="Times New Roman"/>
          <w:szCs w:val="24"/>
        </w:rPr>
        <w:t xml:space="preserve">Because of this, hotel companies </w:t>
      </w:r>
      <w:r w:rsidRPr="00A046BE">
        <w:rPr>
          <w:rFonts w:cs="Times New Roman"/>
          <w:szCs w:val="24"/>
        </w:rPr>
        <w:lastRenderedPageBreak/>
        <w:t>need to adapt to remain competitive. Hilton has introduced several important change initiatives in recent years, especially in digital transformation and sustainability. These changes are not isolated actions, but part of its wider business strategy. According to Kotter (1996), successful change requires clear direction, strong leadership and the ability to embed new practices into daily operations. This framework is useful to analyse Hilton, as it helps explain how change is implemented across a large global organisation.</w:t>
      </w:r>
    </w:p>
    <w:p w14:paraId="2FF556B4" w14:textId="77777777" w:rsidR="00C866FD" w:rsidRPr="00A046BE" w:rsidRDefault="00C866FD" w:rsidP="00A046BE">
      <w:pPr>
        <w:spacing w:line="360" w:lineRule="auto"/>
        <w:rPr>
          <w:rFonts w:cs="Times New Roman"/>
          <w:szCs w:val="24"/>
        </w:rPr>
      </w:pPr>
      <w:r w:rsidRPr="00A046BE">
        <w:rPr>
          <w:rFonts w:cs="Times New Roman"/>
          <w:szCs w:val="24"/>
        </w:rPr>
        <w:t>One of the most important changes introduced by Hilton is digital transformation. The company has invested heavily in digital tools such as the Hilton Honors app and Digital Key, which allow guests to check in, choose rooms and access their rooms using their smartphones. This change was mainly introduced to improve customer experience and respond to increasing demand for convenience and personalised services. According to Hilton’s reports, a large proportion of hotels now use Digital Key, showing that the initiative has been widely implemented across the organisation. This digital change is closely linked to Hilton Honors. In 2024, Hilton Honors had 211 million members, an increase of 17% from 2023. This shows that Hilton’s digital strategy supports loyalty, repeat business and more personalised customer experiences (Hilton Worldwide Holdings Inc., 2024).</w:t>
      </w:r>
    </w:p>
    <w:p w14:paraId="720C1306" w14:textId="77777777" w:rsidR="00C866FD" w:rsidRPr="00A046BE" w:rsidRDefault="00C866FD" w:rsidP="00A046BE">
      <w:pPr>
        <w:pStyle w:val="Prrafodelista"/>
        <w:numPr>
          <w:ilvl w:val="0"/>
          <w:numId w:val="17"/>
        </w:numPr>
        <w:spacing w:line="360" w:lineRule="auto"/>
        <w:ind w:left="0"/>
        <w:rPr>
          <w:rFonts w:cs="Times New Roman"/>
          <w:szCs w:val="24"/>
        </w:rPr>
      </w:pPr>
      <w:r w:rsidRPr="00A046BE">
        <w:rPr>
          <w:rFonts w:cs="Times New Roman"/>
          <w:noProof/>
          <w:szCs w:val="24"/>
        </w:rPr>
        <w:drawing>
          <wp:inline distT="0" distB="0" distL="0" distR="0" wp14:anchorId="18E34EB0" wp14:editId="3F5C1557">
            <wp:extent cx="4620683" cy="3080284"/>
            <wp:effectExtent l="0" t="0" r="8890" b="6350"/>
            <wp:docPr id="1613257637" name="Imagen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257637" name="Imagen 1613257637"/>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638306" cy="3092032"/>
                    </a:xfrm>
                    <a:prstGeom prst="rect">
                      <a:avLst/>
                    </a:prstGeom>
                  </pic:spPr>
                </pic:pic>
              </a:graphicData>
            </a:graphic>
          </wp:inline>
        </w:drawing>
      </w:r>
    </w:p>
    <w:p w14:paraId="5442D300" w14:textId="77777777" w:rsidR="00C866FD" w:rsidRPr="00A046BE" w:rsidRDefault="00C866FD" w:rsidP="00A046BE">
      <w:pPr>
        <w:pStyle w:val="Prrafodelista"/>
        <w:numPr>
          <w:ilvl w:val="0"/>
          <w:numId w:val="17"/>
        </w:numPr>
        <w:spacing w:line="360" w:lineRule="auto"/>
        <w:rPr>
          <w:rFonts w:cs="Times New Roman"/>
          <w:b/>
          <w:bCs/>
          <w:szCs w:val="24"/>
        </w:rPr>
      </w:pPr>
      <w:r w:rsidRPr="00A046BE">
        <w:rPr>
          <w:rFonts w:cs="Times New Roman"/>
          <w:b/>
          <w:bCs/>
          <w:szCs w:val="24"/>
        </w:rPr>
        <w:t>Figure 4: Hilton Honors app and Digital Key technology</w:t>
      </w:r>
      <w:r w:rsidRPr="00A046BE">
        <w:rPr>
          <w:rFonts w:cs="Times New Roman"/>
          <w:b/>
          <w:bCs/>
          <w:szCs w:val="24"/>
        </w:rPr>
        <w:br/>
      </w:r>
      <w:r w:rsidRPr="00A046BE">
        <w:rPr>
          <w:rFonts w:cs="Times New Roman"/>
          <w:i/>
          <w:iCs/>
          <w:szCs w:val="24"/>
        </w:rPr>
        <w:t>Source: Hilton Worldwide Holdings Inc. (2024).</w:t>
      </w:r>
    </w:p>
    <w:p w14:paraId="22A590BA" w14:textId="77777777" w:rsidR="00C866FD" w:rsidRPr="00A046BE" w:rsidRDefault="00C866FD" w:rsidP="00A046BE">
      <w:pPr>
        <w:spacing w:line="360" w:lineRule="auto"/>
        <w:rPr>
          <w:rFonts w:cs="Times New Roman"/>
          <w:szCs w:val="24"/>
        </w:rPr>
      </w:pPr>
      <w:r w:rsidRPr="00A046BE">
        <w:rPr>
          <w:rFonts w:cs="Times New Roman"/>
          <w:szCs w:val="24"/>
        </w:rPr>
        <w:lastRenderedPageBreak/>
        <w:t>Figure 4 shows Hilton’s digital tools, including the Hilton Honors app and Digital Key. This supports the idea that Hilton is using technology to improve customer experience, increase convenience and encourage customer loyalty.</w:t>
      </w:r>
    </w:p>
    <w:p w14:paraId="44ADEE5C" w14:textId="77777777" w:rsidR="00C866FD" w:rsidRPr="00A046BE" w:rsidRDefault="00C866FD" w:rsidP="00A046BE">
      <w:pPr>
        <w:spacing w:line="360" w:lineRule="auto"/>
        <w:rPr>
          <w:rFonts w:cs="Times New Roman"/>
          <w:szCs w:val="24"/>
        </w:rPr>
      </w:pPr>
      <w:r w:rsidRPr="00A046BE">
        <w:rPr>
          <w:rFonts w:cs="Times New Roman"/>
          <w:szCs w:val="24"/>
        </w:rPr>
        <w:t>This suggests that digital transformation has improved efficiency and customer satisfaction. It has also helped Hilton reduce operational costs and improve service speed. However, implementing digital systems across a global network can be complex, as not all hotels may adopt technology at the same pace. This means that while the change has been successful overall, there may still be differences between locations.</w:t>
      </w:r>
    </w:p>
    <w:p w14:paraId="5F9E2180" w14:textId="77777777" w:rsidR="00C866FD" w:rsidRPr="00A046BE" w:rsidRDefault="00C866FD" w:rsidP="00A046BE">
      <w:pPr>
        <w:spacing w:line="360" w:lineRule="auto"/>
        <w:rPr>
          <w:rFonts w:cs="Times New Roman"/>
          <w:szCs w:val="24"/>
        </w:rPr>
      </w:pPr>
      <w:r w:rsidRPr="00A046BE">
        <w:rPr>
          <w:rFonts w:cs="Times New Roman"/>
          <w:szCs w:val="24"/>
        </w:rPr>
        <w:t>From a change management perspective, Hilton’s digital transformation appears to follow Kotter’s (1996) model. The company identified the need for change based on customer expectations, introduced new systems such as Digital Key, and embedded them into daily operations. This suggests that Hilton has managed this change effectively, as it has become part of normal service delivery. However, Kotter also highlights the importance of communication and employee involvement. In a large organisation like Hilton, ensuring that all employees understand and use new systems correctly can be challenging.</w:t>
      </w:r>
    </w:p>
    <w:p w14:paraId="507822C9" w14:textId="77777777" w:rsidR="00C866FD" w:rsidRPr="00A046BE" w:rsidRDefault="00C866FD" w:rsidP="00A046BE">
      <w:pPr>
        <w:spacing w:line="360" w:lineRule="auto"/>
        <w:rPr>
          <w:rFonts w:cs="Times New Roman"/>
          <w:szCs w:val="24"/>
        </w:rPr>
      </w:pPr>
      <w:r w:rsidRPr="00A046BE">
        <w:rPr>
          <w:rFonts w:cs="Times New Roman"/>
          <w:szCs w:val="24"/>
        </w:rPr>
        <w:t xml:space="preserve">Another major change initiative is Hilton’s sustainability strategy, known as Travel with Purpose. This programme focuses on reducing environmental impact and improving social responsibility. According to Hilton’s 2024 sustainability report, the company has reduced carbon emissions and water use across its global operations and has also invested in community initiatives. For example, Hilton has achieved significant reductions in emissions and </w:t>
      </w:r>
      <w:proofErr w:type="gramStart"/>
      <w:r w:rsidRPr="00A046BE">
        <w:rPr>
          <w:rFonts w:cs="Times New Roman"/>
          <w:szCs w:val="24"/>
        </w:rPr>
        <w:t>waste, and</w:t>
      </w:r>
      <w:proofErr w:type="gramEnd"/>
      <w:r w:rsidRPr="00A046BE">
        <w:rPr>
          <w:rFonts w:cs="Times New Roman"/>
          <w:szCs w:val="24"/>
        </w:rPr>
        <w:t xml:space="preserve"> has supported millions of people through social programmes. Hilton also uses </w:t>
      </w:r>
      <w:proofErr w:type="spellStart"/>
      <w:r w:rsidRPr="00A046BE">
        <w:rPr>
          <w:rFonts w:cs="Times New Roman"/>
          <w:szCs w:val="24"/>
        </w:rPr>
        <w:t>LightStay</w:t>
      </w:r>
      <w:proofErr w:type="spellEnd"/>
      <w:r w:rsidRPr="00A046BE">
        <w:rPr>
          <w:rFonts w:cs="Times New Roman"/>
          <w:szCs w:val="24"/>
        </w:rPr>
        <w:t>, its own system for measuring progress towards Travel with Purpose goals. This is important because it shows that sustainability is monitored through data, rather than being only a marketing message (Hilton Worldwide Holdings Inc., 2024).</w:t>
      </w:r>
    </w:p>
    <w:p w14:paraId="2BDB5974" w14:textId="77777777" w:rsidR="00C866FD" w:rsidRPr="00A046BE" w:rsidRDefault="00C866FD" w:rsidP="00A046BE">
      <w:pPr>
        <w:pStyle w:val="Prrafodelista"/>
        <w:numPr>
          <w:ilvl w:val="0"/>
          <w:numId w:val="17"/>
        </w:numPr>
        <w:spacing w:line="360" w:lineRule="auto"/>
        <w:rPr>
          <w:rFonts w:cs="Times New Roman"/>
          <w:szCs w:val="24"/>
        </w:rPr>
      </w:pPr>
      <w:r w:rsidRPr="00A046BE">
        <w:rPr>
          <w:rFonts w:cs="Times New Roman"/>
          <w:noProof/>
          <w:szCs w:val="24"/>
        </w:rPr>
        <w:lastRenderedPageBreak/>
        <w:drawing>
          <wp:inline distT="0" distB="0" distL="0" distR="0" wp14:anchorId="556AB3EF" wp14:editId="353A4E4A">
            <wp:extent cx="3822700" cy="3822700"/>
            <wp:effectExtent l="0" t="0" r="6350" b="6350"/>
            <wp:docPr id="903659973"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659973" name="Imagen 903659973"/>
                    <pic:cNvPicPr/>
                  </pic:nvPicPr>
                  <pic:blipFill>
                    <a:blip r:embed="rId19">
                      <a:extLst>
                        <a:ext uri="{28A0092B-C50C-407E-A947-70E740481C1C}">
                          <a14:useLocalDpi xmlns:a14="http://schemas.microsoft.com/office/drawing/2010/main" val="0"/>
                        </a:ext>
                      </a:extLst>
                    </a:blip>
                    <a:stretch>
                      <a:fillRect/>
                    </a:stretch>
                  </pic:blipFill>
                  <pic:spPr>
                    <a:xfrm>
                      <a:off x="0" y="0"/>
                      <a:ext cx="3822700" cy="3822700"/>
                    </a:xfrm>
                    <a:prstGeom prst="rect">
                      <a:avLst/>
                    </a:prstGeom>
                  </pic:spPr>
                </pic:pic>
              </a:graphicData>
            </a:graphic>
          </wp:inline>
        </w:drawing>
      </w:r>
    </w:p>
    <w:p w14:paraId="19038837" w14:textId="5B434B72" w:rsidR="00C866FD" w:rsidRPr="00A046BE" w:rsidRDefault="00C866FD" w:rsidP="00A046BE">
      <w:pPr>
        <w:pStyle w:val="Prrafodelista"/>
        <w:numPr>
          <w:ilvl w:val="0"/>
          <w:numId w:val="17"/>
        </w:numPr>
        <w:spacing w:line="360" w:lineRule="auto"/>
        <w:rPr>
          <w:rFonts w:cs="Times New Roman"/>
          <w:i/>
          <w:iCs/>
          <w:szCs w:val="24"/>
        </w:rPr>
      </w:pPr>
      <w:r w:rsidRPr="00A046BE">
        <w:rPr>
          <w:rFonts w:cs="Times New Roman"/>
          <w:b/>
          <w:bCs/>
          <w:szCs w:val="24"/>
        </w:rPr>
        <w:t xml:space="preserve">Figure </w:t>
      </w:r>
      <w:r w:rsidR="00EE3605" w:rsidRPr="00A046BE">
        <w:rPr>
          <w:rFonts w:cs="Times New Roman"/>
          <w:b/>
          <w:bCs/>
          <w:szCs w:val="24"/>
        </w:rPr>
        <w:t>5</w:t>
      </w:r>
      <w:r w:rsidRPr="00A046BE">
        <w:rPr>
          <w:rFonts w:cs="Times New Roman"/>
          <w:b/>
          <w:bCs/>
          <w:szCs w:val="24"/>
        </w:rPr>
        <w:t>: Hilton sustainability performance and environmental impact (2023)</w:t>
      </w:r>
      <w:r w:rsidRPr="00A046BE">
        <w:rPr>
          <w:rFonts w:cs="Times New Roman"/>
          <w:szCs w:val="24"/>
        </w:rPr>
        <w:br/>
      </w:r>
      <w:r w:rsidRPr="00A046BE">
        <w:rPr>
          <w:rFonts w:cs="Times New Roman"/>
          <w:i/>
          <w:iCs/>
          <w:szCs w:val="24"/>
        </w:rPr>
        <w:t>Source: Hilton Worldwide Holdings Inc. (2023).</w:t>
      </w:r>
    </w:p>
    <w:p w14:paraId="378D6DFD" w14:textId="34B601FB" w:rsidR="00C866FD" w:rsidRPr="00A046BE" w:rsidRDefault="00C866FD" w:rsidP="00A046BE">
      <w:pPr>
        <w:spacing w:line="360" w:lineRule="auto"/>
        <w:rPr>
          <w:rFonts w:cs="Times New Roman"/>
          <w:szCs w:val="24"/>
        </w:rPr>
      </w:pPr>
      <w:r w:rsidRPr="00A046BE">
        <w:rPr>
          <w:rFonts w:cs="Times New Roman"/>
          <w:szCs w:val="24"/>
        </w:rPr>
        <w:t xml:space="preserve">Figure </w:t>
      </w:r>
      <w:r w:rsidR="00EE3605" w:rsidRPr="00A046BE">
        <w:rPr>
          <w:rFonts w:cs="Times New Roman"/>
          <w:szCs w:val="24"/>
        </w:rPr>
        <w:t>5</w:t>
      </w:r>
      <w:r w:rsidRPr="00A046BE">
        <w:rPr>
          <w:rFonts w:cs="Times New Roman"/>
          <w:szCs w:val="24"/>
        </w:rPr>
        <w:t xml:space="preserve"> supports this analysis by showing key sustainability results, including reductions in carbon emissions, water use and waste. This suggests that Hilton’s sustainability strategy is producing measurable improvements, although results may not be equal across all hotels.</w:t>
      </w:r>
    </w:p>
    <w:p w14:paraId="5D8380C7" w14:textId="77777777" w:rsidR="00C866FD" w:rsidRPr="00A046BE" w:rsidRDefault="00C866FD" w:rsidP="00A046BE">
      <w:pPr>
        <w:spacing w:line="360" w:lineRule="auto"/>
        <w:rPr>
          <w:rFonts w:cs="Times New Roman"/>
          <w:szCs w:val="24"/>
        </w:rPr>
      </w:pPr>
      <w:r w:rsidRPr="00A046BE">
        <w:rPr>
          <w:rFonts w:cs="Times New Roman"/>
          <w:szCs w:val="24"/>
        </w:rPr>
        <w:t>This suggests that Hilton’s sustainability initiatives have had both operational and strategic impact. On an operational level, they help reduce costs related to energy and waste. On a strategic level, they improve the company’s reputation and align with global sustainability trends. However, implementing sustainability across a large global network can be difficult, especially when different countries have different regulations and resources. This means that results may not be fully consistent across all hotels.</w:t>
      </w:r>
    </w:p>
    <w:p w14:paraId="18F03A72" w14:textId="77777777" w:rsidR="00C866FD" w:rsidRPr="00A046BE" w:rsidRDefault="00C866FD" w:rsidP="00A046BE">
      <w:pPr>
        <w:spacing w:line="360" w:lineRule="auto"/>
        <w:rPr>
          <w:rFonts w:cs="Times New Roman"/>
          <w:szCs w:val="24"/>
        </w:rPr>
      </w:pPr>
      <w:r w:rsidRPr="00A046BE">
        <w:rPr>
          <w:rFonts w:cs="Times New Roman"/>
          <w:szCs w:val="24"/>
        </w:rPr>
        <w:t xml:space="preserve">The sustainability initiative also shows a clear link between change and long-term strategy. Hilton is not only using sustainability to improve its image, but also to reduce operational risks and respond to external pressures. For example, lower energy and water use can help reduce costs, while stronger environmental performance can improve stakeholder trust. However, this type of change is more difficult to manage than digital tools because it depends on local practices, suppliers, hotel owners and national regulations. This means that Hilton </w:t>
      </w:r>
      <w:r w:rsidRPr="00A046BE">
        <w:rPr>
          <w:rFonts w:cs="Times New Roman"/>
          <w:szCs w:val="24"/>
        </w:rPr>
        <w:lastRenderedPageBreak/>
        <w:t>needs strong monitoring systems to make sure sustainability targets are applied consistently across its global network.</w:t>
      </w:r>
    </w:p>
    <w:p w14:paraId="52FEED52" w14:textId="77777777" w:rsidR="00C866FD" w:rsidRPr="00A046BE" w:rsidRDefault="00C866FD" w:rsidP="00A046BE">
      <w:pPr>
        <w:spacing w:line="360" w:lineRule="auto"/>
        <w:rPr>
          <w:rFonts w:cs="Times New Roman"/>
          <w:szCs w:val="24"/>
        </w:rPr>
      </w:pPr>
      <w:r w:rsidRPr="00A046BE">
        <w:rPr>
          <w:rFonts w:cs="Times New Roman"/>
          <w:szCs w:val="24"/>
        </w:rPr>
        <w:t>Hilton’s change initiatives can also be compared with competitors such as Marriott. Both companies are investing in digital transformation and sustainability, which shows that these are industry-wide priorities rather than changes affecting Hilton alone. Marriott also uses mobile technology and sustainability programmes to improve guest experience and reduce environmental impact. However, Hilton appears to connect its digital and sustainability changes closely with its overall brand identity, especially through Hilton Honors, Digital Key and Travel with Purpose. This suggests that Hilton is using change not only to improve operations, but also to strengthen its competitive position. At the same time, Marriott’s larger global scale means that Hilton must continue improving these initiatives if it wants to remain competitive in the long term.</w:t>
      </w:r>
    </w:p>
    <w:p w14:paraId="4C714491" w14:textId="77777777" w:rsidR="00F75877" w:rsidRPr="00A046BE" w:rsidRDefault="00F75877" w:rsidP="00A046BE">
      <w:pPr>
        <w:pStyle w:val="Default"/>
        <w:spacing w:after="160" w:line="360" w:lineRule="auto"/>
        <w:rPr>
          <w:rFonts w:ascii="Times New Roman" w:hAnsi="Times New Roman" w:cs="Times New Roman"/>
          <w:lang w:val="en-GB"/>
        </w:rPr>
      </w:pPr>
    </w:p>
    <w:p w14:paraId="053880CC" w14:textId="02BB79A6" w:rsidR="0008121D" w:rsidRPr="00A046BE" w:rsidRDefault="0008121D" w:rsidP="00A046BE">
      <w:pPr>
        <w:pStyle w:val="Default"/>
        <w:spacing w:after="160" w:line="360" w:lineRule="auto"/>
        <w:rPr>
          <w:rFonts w:ascii="Times New Roman" w:hAnsi="Times New Roman" w:cs="Times New Roman"/>
          <w:lang w:val="en-GB"/>
        </w:rPr>
      </w:pPr>
      <w:bookmarkStart w:id="4" w:name="_Toc229508018"/>
      <w:r w:rsidRPr="00A046BE">
        <w:rPr>
          <w:rStyle w:val="Ttulo2Car"/>
          <w:rFonts w:ascii="Times New Roman" w:hAnsi="Times New Roman" w:cs="Times New Roman"/>
          <w:sz w:val="24"/>
          <w:szCs w:val="24"/>
          <w:lang w:val="en-GB"/>
        </w:rPr>
        <w:t>Strategic Direction and Current Business Performance</w:t>
      </w:r>
      <w:bookmarkEnd w:id="4"/>
    </w:p>
    <w:p w14:paraId="131D845F" w14:textId="77777777" w:rsidR="006D3C72" w:rsidRPr="006D3C72" w:rsidRDefault="006D3C72" w:rsidP="006D3C72">
      <w:pPr>
        <w:spacing w:line="360" w:lineRule="auto"/>
        <w:rPr>
          <w:rFonts w:cs="Times New Roman"/>
          <w:szCs w:val="24"/>
        </w:rPr>
      </w:pPr>
      <w:r w:rsidRPr="006D3C72">
        <w:rPr>
          <w:rFonts w:cs="Times New Roman"/>
          <w:szCs w:val="24"/>
        </w:rPr>
        <w:t>Strategic management helps organisations use resources to achieve long-term objectives. This is relevant to Hilton because the company must manage its brands, technology, people and financial resources carefully to grow internationally and remain competitive (Kenton, 2023; Tucci, 2022).</w:t>
      </w:r>
    </w:p>
    <w:p w14:paraId="7F62D7DC" w14:textId="77777777" w:rsidR="00817C48" w:rsidRPr="00817C48" w:rsidRDefault="00817C48" w:rsidP="00817C48">
      <w:pPr>
        <w:spacing w:line="360" w:lineRule="auto"/>
        <w:rPr>
          <w:rFonts w:cs="Times New Roman"/>
          <w:szCs w:val="24"/>
        </w:rPr>
      </w:pPr>
      <w:r w:rsidRPr="00817C48">
        <w:rPr>
          <w:rFonts w:cs="Times New Roman"/>
          <w:szCs w:val="24"/>
        </w:rPr>
        <w:t>Mintzberg’s (1987) view of strategy as a plan, pattern and position is useful for Hilton. Hilton’s strategy is a plan because it focuses on international growth, a pattern because it repeatedly invests in expansion, digital tools and brand development, and a position because it remains one of the leading hotel groups globally. However, rapid growth can make service consistency and operational control more difficult.</w:t>
      </w:r>
    </w:p>
    <w:p w14:paraId="4DEBEE0B" w14:textId="77777777" w:rsidR="00C866FD" w:rsidRPr="00A046BE" w:rsidRDefault="00C866FD" w:rsidP="00A046BE">
      <w:pPr>
        <w:spacing w:line="360" w:lineRule="auto"/>
        <w:rPr>
          <w:rFonts w:cs="Times New Roman"/>
          <w:szCs w:val="24"/>
        </w:rPr>
      </w:pPr>
      <w:r w:rsidRPr="00A046BE">
        <w:rPr>
          <w:rFonts w:cs="Times New Roman"/>
          <w:szCs w:val="24"/>
        </w:rPr>
        <w:t xml:space="preserve">Hilton’s current strategic direction is mainly focused on global growth, brand expansion and a capital-efficient business model. The company continues to grow through an asset-light model, which means that it mainly uses management and franchise agreements instead of owning most hotels directly. This strategy allows Hilton to expand internationally without taking on all the costs of buying, building or maintaining hotel properties. According to Hilton Worldwide Holdings Inc. (2026), the company describes its model as fee-based, capital-efficient and resilient, with strong growth potential across global markets. This </w:t>
      </w:r>
      <w:r w:rsidRPr="00A046BE">
        <w:rPr>
          <w:rFonts w:cs="Times New Roman"/>
          <w:szCs w:val="24"/>
        </w:rPr>
        <w:lastRenderedPageBreak/>
        <w:t>suggests that Hilton’s long-term objective is not only to increase the number of hotels, but also to grow in a way that protects profitability and reduces financial risk.</w:t>
      </w:r>
    </w:p>
    <w:p w14:paraId="6F17EF3D" w14:textId="77777777" w:rsidR="00C866FD" w:rsidRPr="00A046BE" w:rsidRDefault="00C866FD" w:rsidP="00A046BE">
      <w:pPr>
        <w:spacing w:line="360" w:lineRule="auto"/>
        <w:ind w:left="-1020"/>
        <w:rPr>
          <w:rFonts w:cs="Times New Roman"/>
          <w:szCs w:val="24"/>
        </w:rPr>
      </w:pPr>
      <w:r w:rsidRPr="00A046BE">
        <w:rPr>
          <w:rFonts w:cs="Times New Roman"/>
          <w:noProof/>
          <w:szCs w:val="24"/>
        </w:rPr>
        <w:drawing>
          <wp:inline distT="0" distB="0" distL="0" distR="0" wp14:anchorId="4B49D35B" wp14:editId="6A3E2864">
            <wp:extent cx="7052039" cy="3238500"/>
            <wp:effectExtent l="0" t="0" r="0" b="0"/>
            <wp:docPr id="903355413" name="Imagen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355413" name="Imagen 903355413"/>
                    <pic:cNvPicPr/>
                  </pic:nvPicPr>
                  <pic:blipFill>
                    <a:blip r:embed="rId20">
                      <a:extLst>
                        <a:ext uri="{28A0092B-C50C-407E-A947-70E740481C1C}">
                          <a14:useLocalDpi xmlns:a14="http://schemas.microsoft.com/office/drawing/2010/main" val="0"/>
                        </a:ext>
                      </a:extLst>
                    </a:blip>
                    <a:stretch>
                      <a:fillRect/>
                    </a:stretch>
                  </pic:blipFill>
                  <pic:spPr>
                    <a:xfrm>
                      <a:off x="0" y="0"/>
                      <a:ext cx="7068193" cy="3245918"/>
                    </a:xfrm>
                    <a:prstGeom prst="rect">
                      <a:avLst/>
                    </a:prstGeom>
                  </pic:spPr>
                </pic:pic>
              </a:graphicData>
            </a:graphic>
          </wp:inline>
        </w:drawing>
      </w:r>
    </w:p>
    <w:p w14:paraId="0441EFCC" w14:textId="5583DCA3" w:rsidR="00C866FD" w:rsidRPr="00A046BE" w:rsidRDefault="00C866FD" w:rsidP="00A046BE">
      <w:pPr>
        <w:spacing w:line="360" w:lineRule="auto"/>
        <w:ind w:left="340"/>
        <w:rPr>
          <w:rFonts w:cs="Times New Roman"/>
          <w:szCs w:val="24"/>
        </w:rPr>
      </w:pPr>
      <w:r w:rsidRPr="00A046BE">
        <w:rPr>
          <w:rFonts w:cs="Times New Roman"/>
          <w:b/>
          <w:bCs/>
          <w:szCs w:val="24"/>
        </w:rPr>
        <w:t xml:space="preserve">Figure </w:t>
      </w:r>
      <w:r w:rsidR="00EE3605" w:rsidRPr="00A046BE">
        <w:rPr>
          <w:rFonts w:cs="Times New Roman"/>
          <w:b/>
          <w:bCs/>
          <w:szCs w:val="24"/>
        </w:rPr>
        <w:t>6</w:t>
      </w:r>
      <w:r w:rsidRPr="00A046BE">
        <w:rPr>
          <w:rFonts w:cs="Times New Roman"/>
          <w:b/>
          <w:bCs/>
          <w:szCs w:val="24"/>
        </w:rPr>
        <w:t>: Hilton development activity and pipeline (2024)</w:t>
      </w:r>
      <w:r w:rsidRPr="00A046BE">
        <w:rPr>
          <w:rFonts w:cs="Times New Roman"/>
          <w:szCs w:val="24"/>
        </w:rPr>
        <w:br/>
      </w:r>
      <w:r w:rsidRPr="00A046BE">
        <w:rPr>
          <w:rFonts w:cs="Times New Roman"/>
          <w:i/>
          <w:iCs/>
          <w:szCs w:val="24"/>
        </w:rPr>
        <w:t>Source: Hilton Worldwide Holdings Inc. (2024).</w:t>
      </w:r>
    </w:p>
    <w:p w14:paraId="036E2E0A" w14:textId="77777777" w:rsidR="00A6532F" w:rsidRDefault="00A6532F" w:rsidP="00A046BE">
      <w:pPr>
        <w:spacing w:line="360" w:lineRule="auto"/>
        <w:rPr>
          <w:rFonts w:cs="Times New Roman"/>
          <w:szCs w:val="24"/>
        </w:rPr>
      </w:pPr>
      <w:r w:rsidRPr="00A6532F">
        <w:rPr>
          <w:rFonts w:cs="Times New Roman"/>
          <w:szCs w:val="24"/>
        </w:rPr>
        <w:t>Figure 6 shows Hilton’s expansion through hotel openings and its development pipeline, supporting its long-term growth strategy.</w:t>
      </w:r>
    </w:p>
    <w:p w14:paraId="3EE066AE" w14:textId="37319000" w:rsidR="00C866FD" w:rsidRPr="00A046BE" w:rsidRDefault="00C866FD" w:rsidP="00A046BE">
      <w:pPr>
        <w:spacing w:line="360" w:lineRule="auto"/>
        <w:rPr>
          <w:rFonts w:cs="Times New Roman"/>
          <w:szCs w:val="24"/>
        </w:rPr>
      </w:pPr>
      <w:r w:rsidRPr="00A046BE">
        <w:rPr>
          <w:rFonts w:cs="Times New Roman"/>
          <w:szCs w:val="24"/>
        </w:rPr>
        <w:t>Another important part of Hilton’s strategy is brand expansion. Hilton has a wide brand portfolio that allows it to compete in different parts of the market, including luxury, premium, focused-service and extended-stay hotels. This is important because customers have different travel needs, budgets and expectations. By offering different brands, Hilton can attract business travellers, leisure guests, families and long-stay customers. This supports Porter’s (2008) view that companies need strong positioning in competitive industries. In Hilton’s case, its positioning is based on scale, brand variety and global recognition. This gives the company a strong competitive advantage, although it also means that Hilton must maintain consistent standards across many different brands and locations.</w:t>
      </w:r>
    </w:p>
    <w:p w14:paraId="56C616F2" w14:textId="77777777" w:rsidR="00C866FD" w:rsidRPr="00A046BE" w:rsidRDefault="00C866FD" w:rsidP="00A046BE">
      <w:pPr>
        <w:spacing w:line="360" w:lineRule="auto"/>
        <w:rPr>
          <w:rFonts w:cs="Times New Roman"/>
          <w:szCs w:val="24"/>
        </w:rPr>
      </w:pPr>
      <w:r w:rsidRPr="00A046BE">
        <w:rPr>
          <w:rFonts w:cs="Times New Roman"/>
          <w:szCs w:val="24"/>
        </w:rPr>
        <w:t xml:space="preserve">Hilton’s recent business performance suggests that this strategy is working well. In its 2025 results, Hilton reported net income of $1,461 million and Adjusted EBITDA of $3,725 million (Hilton Worldwide Holdings Inc., 2026). These figures show that the company is financially strong. Management and franchise fee revenues also increased by 6.4%, which is </w:t>
      </w:r>
      <w:r w:rsidRPr="00A046BE">
        <w:rPr>
          <w:rFonts w:cs="Times New Roman"/>
          <w:szCs w:val="24"/>
        </w:rPr>
        <w:lastRenderedPageBreak/>
        <w:t>important because this is directly linked to Hilton’s asset-light strategy. This shows that Hilton’s business model is not only a strategic aim, but also a source of real financial performance. In addition, Hilton opened 97,000 rooms in 2025 and achieved net unit growth of 6.7% (Hilton Worldwide Holdings Inc., 2026). This suggests that Hilton is successfully turning its growth strategy into measurable results.</w:t>
      </w:r>
    </w:p>
    <w:p w14:paraId="086B20DA" w14:textId="77777777" w:rsidR="00C866FD" w:rsidRPr="00A046BE" w:rsidRDefault="00C866FD" w:rsidP="00A046BE">
      <w:pPr>
        <w:spacing w:line="360" w:lineRule="auto"/>
        <w:rPr>
          <w:rFonts w:cs="Times New Roman"/>
          <w:szCs w:val="24"/>
        </w:rPr>
      </w:pPr>
      <w:r w:rsidRPr="00A046BE">
        <w:rPr>
          <w:rFonts w:cs="Times New Roman"/>
          <w:szCs w:val="24"/>
        </w:rPr>
        <w:t>Non-financial performance is also important when evaluating Hilton’s current position. In hospitality, performance is not only measured through profit, but also through brand strength, customer experience, sustainability and digital engagement. Hilton’s continued investment in Hilton Honors, Digital Key and sustainability through Travel with Purpose suggests that the company is trying to create long-term value, not just short-term financial growth. This is important because modern hotel customers often expect convenience, personalisation and more responsible business practices. Booking.com (2023) shows that sustainability is becoming more important for travellers, while UNWTO (2023) also highlights the growing importance of sustainable tourism. Therefore, Hilton’s focus on digital services and sustainability supports its market positioning and helps the company respond to changing customer expectations.</w:t>
      </w:r>
    </w:p>
    <w:p w14:paraId="4A1DF4F9" w14:textId="38064D7D" w:rsidR="00C866FD" w:rsidRPr="00A046BE" w:rsidRDefault="00C866FD" w:rsidP="00A046BE">
      <w:pPr>
        <w:spacing w:line="360" w:lineRule="auto"/>
        <w:rPr>
          <w:rFonts w:cs="Times New Roman"/>
          <w:szCs w:val="24"/>
        </w:rPr>
      </w:pPr>
      <w:r w:rsidRPr="00A046BE">
        <w:rPr>
          <w:rFonts w:cs="Times New Roman"/>
          <w:szCs w:val="24"/>
        </w:rPr>
        <w:t>External influences also affect Hilton’s strategy and performance. Economic uncertainty can reduce travel demand, increase operating costs and affect hotel development decisions. At the same time, the hospitality industry is influenced by wider trends such as digitalisation, labour shortages, sustainability expectations and competition from other hotel groups. Deloitte (2024) highlights the importance of efficiency, adaptability and brand strength in the hospitality sector. Hilton appears to be responding to these pressures through its asset-light model, digital transformation and sustainability initiatives. This suggests that the company is trying to remain flexible while continuing to grow.</w:t>
      </w:r>
    </w:p>
    <w:p w14:paraId="37CC2465" w14:textId="77777777" w:rsidR="00672C85" w:rsidRPr="00A046BE" w:rsidRDefault="00672C85" w:rsidP="00A046BE">
      <w:pPr>
        <w:pStyle w:val="Default"/>
        <w:spacing w:after="160" w:line="360" w:lineRule="auto"/>
        <w:rPr>
          <w:rFonts w:ascii="Times New Roman" w:hAnsi="Times New Roman" w:cs="Times New Roman"/>
          <w:lang w:val="en-GB"/>
        </w:rPr>
      </w:pPr>
    </w:p>
    <w:p w14:paraId="351B66FE" w14:textId="17C8F4F8" w:rsidR="0008121D" w:rsidRPr="00A046BE" w:rsidRDefault="0008121D" w:rsidP="00A046BE">
      <w:pPr>
        <w:pStyle w:val="Default"/>
        <w:numPr>
          <w:ilvl w:val="1"/>
          <w:numId w:val="7"/>
        </w:numPr>
        <w:spacing w:after="160" w:line="360" w:lineRule="auto"/>
        <w:rPr>
          <w:rFonts w:ascii="Times New Roman" w:hAnsi="Times New Roman" w:cs="Times New Roman"/>
          <w:lang w:val="en-GB"/>
        </w:rPr>
      </w:pPr>
      <w:bookmarkStart w:id="5" w:name="_Toc229508019"/>
      <w:r w:rsidRPr="00A046BE">
        <w:rPr>
          <w:rStyle w:val="Ttulo1Car"/>
          <w:rFonts w:ascii="Times New Roman" w:hAnsi="Times New Roman" w:cs="Times New Roman"/>
          <w:sz w:val="24"/>
          <w:szCs w:val="24"/>
          <w:lang w:val="en-GB"/>
        </w:rPr>
        <w:t>C</w:t>
      </w:r>
      <w:r w:rsidR="00C470AC" w:rsidRPr="00A046BE">
        <w:rPr>
          <w:rStyle w:val="Ttulo1Car"/>
          <w:rFonts w:ascii="Times New Roman" w:hAnsi="Times New Roman" w:cs="Times New Roman"/>
          <w:sz w:val="24"/>
          <w:szCs w:val="24"/>
          <w:lang w:val="en-GB"/>
        </w:rPr>
        <w:t>ONCLUSION</w:t>
      </w:r>
      <w:bookmarkEnd w:id="5"/>
      <w:r w:rsidRPr="00A046BE">
        <w:rPr>
          <w:rFonts w:ascii="Times New Roman" w:hAnsi="Times New Roman" w:cs="Times New Roman"/>
          <w:b/>
          <w:bCs/>
          <w:lang w:val="en-GB"/>
        </w:rPr>
        <w:t xml:space="preserve"> </w:t>
      </w:r>
      <w:r w:rsidRPr="00A046BE">
        <w:rPr>
          <w:rFonts w:ascii="Times New Roman" w:hAnsi="Times New Roman" w:cs="Times New Roman"/>
          <w:lang w:val="en-GB"/>
        </w:rPr>
        <w:t xml:space="preserve"> </w:t>
      </w:r>
    </w:p>
    <w:p w14:paraId="6635C6C3" w14:textId="43D7D3D9" w:rsidR="00F721EF" w:rsidRPr="00A046BE" w:rsidRDefault="00F721EF" w:rsidP="00A046BE">
      <w:pPr>
        <w:pStyle w:val="Default"/>
        <w:numPr>
          <w:ilvl w:val="1"/>
          <w:numId w:val="7"/>
        </w:numPr>
        <w:spacing w:after="160" w:line="360" w:lineRule="auto"/>
        <w:rPr>
          <w:rFonts w:ascii="Times New Roman" w:hAnsi="Times New Roman" w:cs="Times New Roman"/>
          <w:lang w:val="en-GB"/>
        </w:rPr>
      </w:pPr>
      <w:r w:rsidRPr="00A046BE">
        <w:rPr>
          <w:rFonts w:ascii="Times New Roman" w:hAnsi="Times New Roman" w:cs="Times New Roman"/>
          <w:lang w:val="en-GB"/>
        </w:rPr>
        <w:t>The analysis shows that Hilton’s asset-light model is one of its main strengths. By using management and franchise agreements instead of owning most hotels, Hilton can grow internationally with less financial risk. Its large size and wide range of brands also help the company compete in different markets. However, this also creates challenges. It can be difficult for Hilton to keep the same service quality, employee experience and culture across such a large global network.</w:t>
      </w:r>
    </w:p>
    <w:p w14:paraId="697B7719" w14:textId="42201409" w:rsidR="00F721EF" w:rsidRPr="00A046BE" w:rsidRDefault="00F721EF" w:rsidP="00A046BE">
      <w:pPr>
        <w:pStyle w:val="Default"/>
        <w:numPr>
          <w:ilvl w:val="1"/>
          <w:numId w:val="7"/>
        </w:numPr>
        <w:spacing w:after="160" w:line="360" w:lineRule="auto"/>
        <w:rPr>
          <w:rFonts w:ascii="Times New Roman" w:hAnsi="Times New Roman" w:cs="Times New Roman"/>
          <w:lang w:val="en-GB"/>
        </w:rPr>
      </w:pPr>
      <w:r w:rsidRPr="00A046BE">
        <w:rPr>
          <w:rFonts w:ascii="Times New Roman" w:hAnsi="Times New Roman" w:cs="Times New Roman"/>
          <w:lang w:val="en-GB"/>
        </w:rPr>
        <w:lastRenderedPageBreak/>
        <w:t>The report also looked at Hilton’s recent changes, especially digital transformation and sustainability. Digital tools such as the Hilton Honors app and Digital Key show that Hilton is responding to new customer expectations and trying to make hotel operations more efficient. The Travel with Purpose programme also shows that sustainability is an important part of Hilton’s strategy. These changes seem to be managed quite well, but they need to be applied consistently across all hotels.</w:t>
      </w:r>
    </w:p>
    <w:p w14:paraId="2E1916C8" w14:textId="58610F42" w:rsidR="00F721EF" w:rsidRPr="00A046BE" w:rsidRDefault="00F721EF" w:rsidP="00A046BE">
      <w:pPr>
        <w:pStyle w:val="Default"/>
        <w:numPr>
          <w:ilvl w:val="1"/>
          <w:numId w:val="7"/>
        </w:numPr>
        <w:spacing w:after="160" w:line="360" w:lineRule="auto"/>
        <w:rPr>
          <w:rFonts w:ascii="Times New Roman" w:hAnsi="Times New Roman" w:cs="Times New Roman"/>
          <w:lang w:val="en-GB"/>
        </w:rPr>
      </w:pPr>
      <w:r w:rsidRPr="00A046BE">
        <w:rPr>
          <w:rFonts w:ascii="Times New Roman" w:hAnsi="Times New Roman" w:cs="Times New Roman"/>
          <w:lang w:val="en-GB"/>
        </w:rPr>
        <w:t>Finally, Hilton’s current strategy appears to be working well. Its financial results, room growth and large development pipeline support its long-term growth plans. Its focus on digital services, sustainability and brand expansion also helps Hilton stay competitive.</w:t>
      </w:r>
    </w:p>
    <w:p w14:paraId="774AFDF4" w14:textId="7D8A65EE" w:rsidR="0008121D" w:rsidRPr="00A046BE" w:rsidRDefault="00F721EF" w:rsidP="00A046BE">
      <w:pPr>
        <w:pStyle w:val="Default"/>
        <w:numPr>
          <w:ilvl w:val="1"/>
          <w:numId w:val="7"/>
        </w:numPr>
        <w:spacing w:after="160" w:line="360" w:lineRule="auto"/>
        <w:rPr>
          <w:rFonts w:ascii="Times New Roman" w:hAnsi="Times New Roman" w:cs="Times New Roman"/>
          <w:lang w:val="en-GB"/>
        </w:rPr>
      </w:pPr>
      <w:r w:rsidRPr="00A046BE">
        <w:rPr>
          <w:rFonts w:ascii="Times New Roman" w:hAnsi="Times New Roman" w:cs="Times New Roman"/>
          <w:lang w:val="en-GB"/>
        </w:rPr>
        <w:t>Hilton is in a strong strategic position. However, its future success will depend on how well it manages growth, keeps consistency and responds to external pressures.</w:t>
      </w:r>
    </w:p>
    <w:p w14:paraId="12FD781F" w14:textId="77777777" w:rsidR="0008121D" w:rsidRPr="00A046BE" w:rsidRDefault="0008121D" w:rsidP="00A046BE">
      <w:pPr>
        <w:pStyle w:val="Default"/>
        <w:spacing w:after="160" w:line="360" w:lineRule="auto"/>
        <w:rPr>
          <w:rFonts w:ascii="Times New Roman" w:hAnsi="Times New Roman" w:cs="Times New Roman"/>
          <w:lang w:val="en-GB"/>
        </w:rPr>
      </w:pPr>
    </w:p>
    <w:p w14:paraId="6BD7568D" w14:textId="4D77D11E" w:rsidR="0008121D" w:rsidRPr="00A046BE" w:rsidRDefault="0008121D" w:rsidP="00A046BE">
      <w:pPr>
        <w:pStyle w:val="Default"/>
        <w:numPr>
          <w:ilvl w:val="1"/>
          <w:numId w:val="8"/>
        </w:numPr>
        <w:spacing w:after="160" w:line="360" w:lineRule="auto"/>
        <w:rPr>
          <w:rFonts w:ascii="Times New Roman" w:hAnsi="Times New Roman" w:cs="Times New Roman"/>
          <w:lang w:val="en-GB"/>
        </w:rPr>
      </w:pPr>
      <w:bookmarkStart w:id="6" w:name="_Toc229508020"/>
      <w:r w:rsidRPr="00A046BE">
        <w:rPr>
          <w:rStyle w:val="Ttulo1Car"/>
          <w:rFonts w:ascii="Times New Roman" w:hAnsi="Times New Roman" w:cs="Times New Roman"/>
          <w:sz w:val="24"/>
          <w:szCs w:val="24"/>
          <w:lang w:val="en-GB"/>
        </w:rPr>
        <w:t>R</w:t>
      </w:r>
      <w:r w:rsidR="00A32BF7" w:rsidRPr="00A046BE">
        <w:rPr>
          <w:rStyle w:val="Ttulo1Car"/>
          <w:rFonts w:ascii="Times New Roman" w:hAnsi="Times New Roman" w:cs="Times New Roman"/>
          <w:sz w:val="24"/>
          <w:szCs w:val="24"/>
          <w:lang w:val="en-GB"/>
        </w:rPr>
        <w:t>ECOMMENDATIONS</w:t>
      </w:r>
      <w:bookmarkEnd w:id="6"/>
      <w:r w:rsidR="00A32BF7" w:rsidRPr="00A046BE">
        <w:rPr>
          <w:rFonts w:ascii="Times New Roman" w:hAnsi="Times New Roman" w:cs="Times New Roman"/>
          <w:b/>
          <w:bCs/>
          <w:lang w:val="en-GB"/>
        </w:rPr>
        <w:t xml:space="preserve"> </w:t>
      </w:r>
    </w:p>
    <w:p w14:paraId="200D40D2" w14:textId="4F4C4C31" w:rsidR="00F721EF" w:rsidRPr="00A046BE" w:rsidRDefault="00F721EF" w:rsidP="00A046BE">
      <w:pPr>
        <w:pStyle w:val="Default"/>
        <w:numPr>
          <w:ilvl w:val="1"/>
          <w:numId w:val="8"/>
        </w:numPr>
        <w:spacing w:after="160" w:line="360" w:lineRule="auto"/>
        <w:rPr>
          <w:rFonts w:ascii="Times New Roman" w:hAnsi="Times New Roman" w:cs="Times New Roman"/>
          <w:lang w:val="en-GB"/>
        </w:rPr>
      </w:pPr>
      <w:r w:rsidRPr="00A046BE">
        <w:rPr>
          <w:rFonts w:ascii="Times New Roman" w:hAnsi="Times New Roman" w:cs="Times New Roman"/>
          <w:lang w:val="en-GB"/>
        </w:rPr>
        <w:t xml:space="preserve">First, Hilton should place more attention on strengthening organisational culture across </w:t>
      </w:r>
      <w:proofErr w:type="gramStart"/>
      <w:r w:rsidRPr="00A046BE">
        <w:rPr>
          <w:rFonts w:ascii="Times New Roman" w:hAnsi="Times New Roman" w:cs="Times New Roman"/>
          <w:lang w:val="en-GB"/>
        </w:rPr>
        <w:t>all of</w:t>
      </w:r>
      <w:proofErr w:type="gramEnd"/>
      <w:r w:rsidRPr="00A046BE">
        <w:rPr>
          <w:rFonts w:ascii="Times New Roman" w:hAnsi="Times New Roman" w:cs="Times New Roman"/>
          <w:lang w:val="en-GB"/>
        </w:rPr>
        <w:t xml:space="preserve"> its properties, especially because managing such a large global network makes consistency harder to maintain. A strong culture helps employees understand shared values, expected behaviours and service standards. Schein (2010) explains that organisational culture is built around shared assumptions and values, while </w:t>
      </w:r>
      <w:proofErr w:type="spellStart"/>
      <w:r w:rsidR="00F90021" w:rsidRPr="00A046BE">
        <w:rPr>
          <w:rFonts w:ascii="Times New Roman" w:hAnsi="Times New Roman" w:cs="Times New Roman"/>
          <w:lang w:val="en-GB"/>
        </w:rPr>
        <w:t>Gençer</w:t>
      </w:r>
      <w:proofErr w:type="spellEnd"/>
      <w:r w:rsidR="00F90021" w:rsidRPr="00A046BE">
        <w:rPr>
          <w:rFonts w:ascii="Times New Roman" w:hAnsi="Times New Roman" w:cs="Times New Roman"/>
          <w:lang w:val="en-GB"/>
        </w:rPr>
        <w:t xml:space="preserve"> et al. (2021)</w:t>
      </w:r>
      <w:r w:rsidRPr="00A046BE">
        <w:rPr>
          <w:rFonts w:ascii="Times New Roman" w:hAnsi="Times New Roman" w:cs="Times New Roman"/>
          <w:lang w:val="en-GB"/>
        </w:rPr>
        <w:t xml:space="preserve"> shows that culture can directly influence job performance in hotel organisations. In Hilton’s case, this means that stronger cultural alignment across managed and franchised properties could improve service consistency and help connect everyday operations more closely with the company’s wider strategic goals.</w:t>
      </w:r>
    </w:p>
    <w:p w14:paraId="377C83BE" w14:textId="752DB0D2" w:rsidR="00F721EF" w:rsidRPr="00A046BE" w:rsidRDefault="00F721EF" w:rsidP="00A046BE">
      <w:pPr>
        <w:pStyle w:val="Default"/>
        <w:numPr>
          <w:ilvl w:val="1"/>
          <w:numId w:val="8"/>
        </w:numPr>
        <w:spacing w:after="160" w:line="360" w:lineRule="auto"/>
        <w:rPr>
          <w:rFonts w:ascii="Times New Roman" w:hAnsi="Times New Roman" w:cs="Times New Roman"/>
          <w:lang w:val="en-GB"/>
        </w:rPr>
      </w:pPr>
      <w:r w:rsidRPr="00A046BE">
        <w:rPr>
          <w:rFonts w:ascii="Times New Roman" w:hAnsi="Times New Roman" w:cs="Times New Roman"/>
          <w:lang w:val="en-GB"/>
        </w:rPr>
        <w:t>Second, Hilton should continue investing in employee engagement, wellbeing and retention. One of the main issues identified in the report was that a large international structure can make it difficult to provide the same level of support across all locations. Green (2025) highlights the link between organisational culture and employee turnover in hospitality, suggesting that a more supportive environment can improve commitment and stability.</w:t>
      </w:r>
      <w:r w:rsidR="004A45AE">
        <w:rPr>
          <w:rFonts w:ascii="Times New Roman" w:hAnsi="Times New Roman" w:cs="Times New Roman"/>
          <w:lang w:val="en-GB"/>
        </w:rPr>
        <w:t xml:space="preserve"> </w:t>
      </w:r>
      <w:r w:rsidRPr="00A046BE">
        <w:rPr>
          <w:rFonts w:ascii="Times New Roman" w:hAnsi="Times New Roman" w:cs="Times New Roman"/>
          <w:lang w:val="en-GB"/>
        </w:rPr>
        <w:t xml:space="preserve"> This matters even more in hospitality, where employee wellbeing has a direct effect on service quality and organisational resilience. Agarwal (2021) also shows that human resource practices play an important role in supporting staff during periods of pressure and uncertainty. </w:t>
      </w:r>
      <w:r w:rsidR="005D37C3" w:rsidRPr="005D37C3">
        <w:rPr>
          <w:rFonts w:ascii="Times New Roman" w:hAnsi="Times New Roman" w:cs="Times New Roman"/>
          <w:lang w:val="en-GB"/>
        </w:rPr>
        <w:t>Employee wellbeing is</w:t>
      </w:r>
      <w:r w:rsidR="005D37C3">
        <w:rPr>
          <w:rFonts w:ascii="Times New Roman" w:hAnsi="Times New Roman" w:cs="Times New Roman"/>
          <w:lang w:val="en-GB"/>
        </w:rPr>
        <w:t xml:space="preserve"> also</w:t>
      </w:r>
      <w:r w:rsidR="005D37C3" w:rsidRPr="005D37C3">
        <w:rPr>
          <w:rFonts w:ascii="Times New Roman" w:hAnsi="Times New Roman" w:cs="Times New Roman"/>
          <w:lang w:val="en-GB"/>
        </w:rPr>
        <w:t xml:space="preserve"> important in hospitality because it affects service </w:t>
      </w:r>
      <w:r w:rsidR="005D37C3" w:rsidRPr="005D37C3">
        <w:rPr>
          <w:rFonts w:ascii="Times New Roman" w:hAnsi="Times New Roman" w:cs="Times New Roman"/>
          <w:lang w:val="en-GB"/>
        </w:rPr>
        <w:lastRenderedPageBreak/>
        <w:t>quality, motivation and staff retention (Saito, Brozović and Baum, 2025).</w:t>
      </w:r>
      <w:r w:rsidR="005D37C3">
        <w:rPr>
          <w:rFonts w:ascii="Times New Roman" w:hAnsi="Times New Roman" w:cs="Times New Roman"/>
          <w:lang w:val="en-GB"/>
        </w:rPr>
        <w:t xml:space="preserve"> </w:t>
      </w:r>
      <w:r w:rsidRPr="00A046BE">
        <w:rPr>
          <w:rFonts w:ascii="Times New Roman" w:hAnsi="Times New Roman" w:cs="Times New Roman"/>
          <w:lang w:val="en-GB"/>
        </w:rPr>
        <w:t>For Hilton, this suggests that stronger wellbeing initiatives, better communication between properties and more staff development opportunities could improve both employee stability and operational performance.</w:t>
      </w:r>
    </w:p>
    <w:p w14:paraId="3ED6E67E" w14:textId="77777777" w:rsidR="00F721EF" w:rsidRPr="00A046BE" w:rsidRDefault="00F721EF" w:rsidP="00A046BE">
      <w:pPr>
        <w:pStyle w:val="Default"/>
        <w:numPr>
          <w:ilvl w:val="1"/>
          <w:numId w:val="8"/>
        </w:numPr>
        <w:spacing w:after="160" w:line="360" w:lineRule="auto"/>
        <w:rPr>
          <w:rFonts w:ascii="Times New Roman" w:hAnsi="Times New Roman" w:cs="Times New Roman"/>
          <w:lang w:val="en-GB"/>
        </w:rPr>
      </w:pPr>
      <w:r w:rsidRPr="00A046BE">
        <w:rPr>
          <w:rFonts w:ascii="Times New Roman" w:hAnsi="Times New Roman" w:cs="Times New Roman"/>
          <w:lang w:val="en-GB"/>
        </w:rPr>
        <w:t>Third, Hilton should strengthen knowledge sharing around digital tools and operational best practice. Its recent digital transformation has created clear opportunities, but the long-term value of these changes depends on how effectively employees use them in practice. Lim and Ok (2021) show that knowledge sharing in hospitality organisations can improve service delivery, problem-solving and overall efficiency. For that reason, Hilton would benefit from building stronger internal learning systems around digital tools, guest experience technologies and sustainability practices.</w:t>
      </w:r>
    </w:p>
    <w:p w14:paraId="3AA13870" w14:textId="3DDA9007" w:rsidR="009759B2" w:rsidRPr="00A046BE" w:rsidRDefault="005D140D" w:rsidP="00A046BE">
      <w:pPr>
        <w:pStyle w:val="Default"/>
        <w:numPr>
          <w:ilvl w:val="1"/>
          <w:numId w:val="8"/>
        </w:numPr>
        <w:spacing w:after="160" w:line="360" w:lineRule="auto"/>
        <w:rPr>
          <w:rFonts w:ascii="Times New Roman" w:hAnsi="Times New Roman" w:cs="Times New Roman"/>
          <w:lang w:val="en-GB"/>
        </w:rPr>
      </w:pPr>
      <w:r>
        <w:rPr>
          <w:rFonts w:ascii="Times New Roman" w:hAnsi="Times New Roman" w:cs="Times New Roman"/>
          <w:lang w:val="en-GB"/>
        </w:rPr>
        <w:t>Th</w:t>
      </w:r>
      <w:r w:rsidR="00F721EF" w:rsidRPr="00A046BE">
        <w:rPr>
          <w:rFonts w:ascii="Times New Roman" w:hAnsi="Times New Roman" w:cs="Times New Roman"/>
          <w:lang w:val="en-GB"/>
        </w:rPr>
        <w:t>ese recommendations are practical because they build on Hilton’s current strengths while also addressing some of the weaker areas highlighted in the report.</w:t>
      </w:r>
    </w:p>
    <w:p w14:paraId="2731283F" w14:textId="77777777" w:rsidR="009F6AF6" w:rsidRDefault="009F6AF6" w:rsidP="00A046BE">
      <w:pPr>
        <w:pStyle w:val="Default"/>
        <w:spacing w:after="160" w:line="360" w:lineRule="auto"/>
        <w:rPr>
          <w:rFonts w:ascii="Times New Roman" w:hAnsi="Times New Roman" w:cs="Times New Roman"/>
          <w:lang w:val="en-GB"/>
        </w:rPr>
      </w:pPr>
    </w:p>
    <w:p w14:paraId="254A8A30" w14:textId="77777777" w:rsidR="009F6AF6" w:rsidRDefault="009F6AF6" w:rsidP="00A046BE">
      <w:pPr>
        <w:pStyle w:val="Default"/>
        <w:spacing w:after="160" w:line="360" w:lineRule="auto"/>
        <w:rPr>
          <w:rFonts w:ascii="Times New Roman" w:hAnsi="Times New Roman" w:cs="Times New Roman"/>
          <w:lang w:val="en-GB"/>
        </w:rPr>
      </w:pPr>
    </w:p>
    <w:p w14:paraId="304FEFA1" w14:textId="77777777" w:rsidR="009F6AF6" w:rsidRDefault="009F6AF6" w:rsidP="00A046BE">
      <w:pPr>
        <w:pStyle w:val="Default"/>
        <w:spacing w:after="160" w:line="360" w:lineRule="auto"/>
        <w:rPr>
          <w:rFonts w:ascii="Times New Roman" w:hAnsi="Times New Roman" w:cs="Times New Roman"/>
          <w:lang w:val="en-GB"/>
        </w:rPr>
      </w:pPr>
    </w:p>
    <w:p w14:paraId="3797C42A" w14:textId="77777777" w:rsidR="009F6AF6" w:rsidRDefault="009F6AF6" w:rsidP="00A046BE">
      <w:pPr>
        <w:pStyle w:val="Default"/>
        <w:spacing w:after="160" w:line="360" w:lineRule="auto"/>
        <w:rPr>
          <w:rFonts w:ascii="Times New Roman" w:hAnsi="Times New Roman" w:cs="Times New Roman"/>
          <w:lang w:val="en-GB"/>
        </w:rPr>
      </w:pPr>
    </w:p>
    <w:p w14:paraId="3343A994" w14:textId="77777777" w:rsidR="009F6AF6" w:rsidRDefault="009F6AF6" w:rsidP="00A046BE">
      <w:pPr>
        <w:pStyle w:val="Default"/>
        <w:spacing w:after="160" w:line="360" w:lineRule="auto"/>
        <w:rPr>
          <w:rFonts w:ascii="Times New Roman" w:hAnsi="Times New Roman" w:cs="Times New Roman"/>
          <w:lang w:val="en-GB"/>
        </w:rPr>
      </w:pPr>
    </w:p>
    <w:p w14:paraId="7353B8EB" w14:textId="77777777" w:rsidR="009F6AF6" w:rsidRDefault="009F6AF6" w:rsidP="00A046BE">
      <w:pPr>
        <w:pStyle w:val="Default"/>
        <w:spacing w:after="160" w:line="360" w:lineRule="auto"/>
        <w:rPr>
          <w:rFonts w:ascii="Times New Roman" w:hAnsi="Times New Roman" w:cs="Times New Roman"/>
          <w:lang w:val="en-GB"/>
        </w:rPr>
      </w:pPr>
    </w:p>
    <w:p w14:paraId="47BD6837" w14:textId="77777777" w:rsidR="009F6AF6" w:rsidRDefault="009F6AF6" w:rsidP="00A046BE">
      <w:pPr>
        <w:pStyle w:val="Default"/>
        <w:spacing w:after="160" w:line="360" w:lineRule="auto"/>
        <w:rPr>
          <w:rFonts w:ascii="Times New Roman" w:hAnsi="Times New Roman" w:cs="Times New Roman"/>
          <w:lang w:val="en-GB"/>
        </w:rPr>
      </w:pPr>
    </w:p>
    <w:p w14:paraId="54E0CB68" w14:textId="77777777" w:rsidR="009F6AF6" w:rsidRDefault="009F6AF6" w:rsidP="00A046BE">
      <w:pPr>
        <w:pStyle w:val="Default"/>
        <w:spacing w:after="160" w:line="360" w:lineRule="auto"/>
        <w:rPr>
          <w:rFonts w:ascii="Times New Roman" w:hAnsi="Times New Roman" w:cs="Times New Roman"/>
          <w:lang w:val="en-GB"/>
        </w:rPr>
      </w:pPr>
    </w:p>
    <w:p w14:paraId="537DF4F8" w14:textId="77777777" w:rsidR="00A81F77" w:rsidRDefault="00A81F77" w:rsidP="00A046BE">
      <w:pPr>
        <w:pStyle w:val="Default"/>
        <w:spacing w:after="160" w:line="360" w:lineRule="auto"/>
        <w:rPr>
          <w:rFonts w:ascii="Times New Roman" w:hAnsi="Times New Roman" w:cs="Times New Roman"/>
          <w:lang w:val="en-GB"/>
        </w:rPr>
      </w:pPr>
    </w:p>
    <w:p w14:paraId="03150820" w14:textId="77777777" w:rsidR="00A81F77" w:rsidRDefault="00A81F77" w:rsidP="00A046BE">
      <w:pPr>
        <w:pStyle w:val="Default"/>
        <w:spacing w:after="160" w:line="360" w:lineRule="auto"/>
        <w:rPr>
          <w:rFonts w:ascii="Times New Roman" w:hAnsi="Times New Roman" w:cs="Times New Roman"/>
          <w:lang w:val="en-GB"/>
        </w:rPr>
      </w:pPr>
    </w:p>
    <w:p w14:paraId="735DC5DE" w14:textId="77777777" w:rsidR="00A81F77" w:rsidRDefault="00A81F77" w:rsidP="00A046BE">
      <w:pPr>
        <w:pStyle w:val="Default"/>
        <w:spacing w:after="160" w:line="360" w:lineRule="auto"/>
        <w:rPr>
          <w:rFonts w:ascii="Times New Roman" w:hAnsi="Times New Roman" w:cs="Times New Roman"/>
          <w:lang w:val="en-GB"/>
        </w:rPr>
      </w:pPr>
    </w:p>
    <w:p w14:paraId="216FF19A" w14:textId="77777777" w:rsidR="00A81F77" w:rsidRDefault="00A81F77" w:rsidP="00A046BE">
      <w:pPr>
        <w:pStyle w:val="Default"/>
        <w:spacing w:after="160" w:line="360" w:lineRule="auto"/>
        <w:rPr>
          <w:rFonts w:ascii="Times New Roman" w:hAnsi="Times New Roman" w:cs="Times New Roman"/>
          <w:lang w:val="en-GB"/>
        </w:rPr>
      </w:pPr>
    </w:p>
    <w:p w14:paraId="7E5763CC" w14:textId="77777777" w:rsidR="00A81F77" w:rsidRDefault="00A81F77" w:rsidP="00A046BE">
      <w:pPr>
        <w:pStyle w:val="Default"/>
        <w:spacing w:after="160" w:line="360" w:lineRule="auto"/>
        <w:rPr>
          <w:rFonts w:ascii="Times New Roman" w:hAnsi="Times New Roman" w:cs="Times New Roman"/>
          <w:lang w:val="en-GB"/>
        </w:rPr>
      </w:pPr>
    </w:p>
    <w:p w14:paraId="0F46194B" w14:textId="1821AC69" w:rsidR="00591159" w:rsidRPr="00A046BE" w:rsidRDefault="009F6AF6" w:rsidP="00A046BE">
      <w:pPr>
        <w:pStyle w:val="Default"/>
        <w:spacing w:after="160" w:line="360" w:lineRule="auto"/>
        <w:rPr>
          <w:rFonts w:ascii="Times New Roman" w:hAnsi="Times New Roman" w:cs="Times New Roman"/>
          <w:lang w:val="en-GB"/>
        </w:rPr>
      </w:pPr>
      <w:r>
        <w:rPr>
          <w:rFonts w:ascii="Times New Roman" w:hAnsi="Times New Roman" w:cs="Times New Roman"/>
          <w:lang w:val="en-GB"/>
        </w:rPr>
        <w:t xml:space="preserve">                                                            </w:t>
      </w:r>
      <w:r w:rsidR="005D140D">
        <w:rPr>
          <w:rFonts w:ascii="Times New Roman" w:hAnsi="Times New Roman" w:cs="Times New Roman"/>
          <w:lang w:val="en-GB"/>
        </w:rPr>
        <w:t>Word count: 3,</w:t>
      </w:r>
      <w:r w:rsidR="00A81F77">
        <w:rPr>
          <w:rFonts w:ascii="Times New Roman" w:hAnsi="Times New Roman" w:cs="Times New Roman"/>
          <w:lang w:val="en-GB"/>
        </w:rPr>
        <w:t>202</w:t>
      </w:r>
    </w:p>
    <w:p w14:paraId="06979186" w14:textId="66662B82" w:rsidR="00591159" w:rsidRPr="00A046BE" w:rsidRDefault="0008121D" w:rsidP="00A046BE">
      <w:pPr>
        <w:pStyle w:val="Default"/>
        <w:spacing w:after="63" w:line="360" w:lineRule="auto"/>
        <w:rPr>
          <w:rFonts w:ascii="Times New Roman" w:hAnsi="Times New Roman" w:cs="Times New Roman"/>
          <w:lang w:val="en-GB"/>
        </w:rPr>
      </w:pPr>
      <w:bookmarkStart w:id="7" w:name="_Toc229508021"/>
      <w:r w:rsidRPr="00A046BE">
        <w:rPr>
          <w:rStyle w:val="Ttulo1Car"/>
          <w:rFonts w:ascii="Times New Roman" w:hAnsi="Times New Roman" w:cs="Times New Roman"/>
          <w:sz w:val="24"/>
          <w:szCs w:val="24"/>
          <w:lang w:val="en-GB"/>
        </w:rPr>
        <w:lastRenderedPageBreak/>
        <w:t>R</w:t>
      </w:r>
      <w:r w:rsidR="00C470AC" w:rsidRPr="00A046BE">
        <w:rPr>
          <w:rStyle w:val="Ttulo1Car"/>
          <w:rFonts w:ascii="Times New Roman" w:hAnsi="Times New Roman" w:cs="Times New Roman"/>
          <w:sz w:val="24"/>
          <w:szCs w:val="24"/>
          <w:lang w:val="en-GB"/>
        </w:rPr>
        <w:t>EFERENCE LIST</w:t>
      </w:r>
      <w:bookmarkEnd w:id="7"/>
      <w:r w:rsidR="00C470AC" w:rsidRPr="00A046BE">
        <w:rPr>
          <w:rFonts w:ascii="Times New Roman" w:hAnsi="Times New Roman" w:cs="Times New Roman"/>
          <w:b/>
          <w:bCs/>
          <w:lang w:val="en-GB"/>
        </w:rPr>
        <w:t xml:space="preserve"> </w:t>
      </w:r>
    </w:p>
    <w:p w14:paraId="7FB6814A" w14:textId="77777777" w:rsidR="00591159" w:rsidRPr="007D762A" w:rsidRDefault="00591159" w:rsidP="00A046BE">
      <w:pPr>
        <w:pStyle w:val="Prrafodelista"/>
        <w:numPr>
          <w:ilvl w:val="0"/>
          <w:numId w:val="18"/>
        </w:numPr>
        <w:spacing w:line="360" w:lineRule="auto"/>
        <w:rPr>
          <w:rFonts w:cs="Times New Roman"/>
          <w:color w:val="auto"/>
          <w:szCs w:val="24"/>
        </w:rPr>
      </w:pPr>
      <w:r w:rsidRPr="007D762A">
        <w:rPr>
          <w:rFonts w:cs="Times New Roman"/>
          <w:color w:val="auto"/>
          <w:szCs w:val="24"/>
        </w:rPr>
        <w:t xml:space="preserve">Agarwal, P. (2021) ‘Shattered but smiling: Human resource management and the wellbeing of hotel employees during COVID-19’, </w:t>
      </w:r>
      <w:r w:rsidRPr="007D762A">
        <w:rPr>
          <w:rFonts w:cs="Times New Roman"/>
          <w:i/>
          <w:iCs/>
          <w:color w:val="auto"/>
          <w:szCs w:val="24"/>
        </w:rPr>
        <w:t>International Journal of Hospitality Management</w:t>
      </w:r>
      <w:r w:rsidRPr="007D762A">
        <w:rPr>
          <w:rFonts w:cs="Times New Roman"/>
          <w:color w:val="auto"/>
          <w:szCs w:val="24"/>
        </w:rPr>
        <w:t xml:space="preserve">, 93, 102765. Available at: </w:t>
      </w:r>
      <w:hyperlink r:id="rId21" w:tgtFrame="_new" w:history="1">
        <w:r w:rsidRPr="007D762A">
          <w:rPr>
            <w:rStyle w:val="Hipervnculo"/>
            <w:rFonts w:cs="Times New Roman"/>
            <w:color w:val="auto"/>
            <w:szCs w:val="24"/>
          </w:rPr>
          <w:t>https://doi.org/10.1016/j.ijhm.2020.102765</w:t>
        </w:r>
      </w:hyperlink>
      <w:r w:rsidRPr="007D762A">
        <w:rPr>
          <w:rFonts w:cs="Times New Roman"/>
          <w:color w:val="auto"/>
          <w:szCs w:val="24"/>
        </w:rPr>
        <w:t>.</w:t>
      </w:r>
    </w:p>
    <w:p w14:paraId="6687863A" w14:textId="70352F6C" w:rsidR="00591159" w:rsidRPr="00A046BE" w:rsidRDefault="00F90021" w:rsidP="00A046BE">
      <w:pPr>
        <w:pStyle w:val="Prrafodelista"/>
        <w:numPr>
          <w:ilvl w:val="0"/>
          <w:numId w:val="18"/>
        </w:numPr>
        <w:spacing w:line="360" w:lineRule="auto"/>
        <w:rPr>
          <w:rFonts w:cs="Times New Roman"/>
          <w:szCs w:val="24"/>
        </w:rPr>
      </w:pPr>
      <w:r w:rsidRPr="00A046BE">
        <w:rPr>
          <w:rFonts w:cs="Times New Roman"/>
          <w:szCs w:val="24"/>
        </w:rPr>
        <w:t xml:space="preserve">Booking.com (2023) </w:t>
      </w:r>
      <w:r w:rsidRPr="00A046BE">
        <w:rPr>
          <w:rFonts w:cs="Times New Roman"/>
          <w:i/>
          <w:iCs/>
          <w:szCs w:val="24"/>
        </w:rPr>
        <w:t>Sustainable travel report 2023</w:t>
      </w:r>
      <w:r w:rsidRPr="00A046BE">
        <w:rPr>
          <w:rFonts w:cs="Times New Roman"/>
          <w:szCs w:val="24"/>
        </w:rPr>
        <w:t xml:space="preserve">. Available at: </w:t>
      </w:r>
      <w:hyperlink r:id="rId22" w:history="1">
        <w:r w:rsidRPr="00A046BE">
          <w:rPr>
            <w:rStyle w:val="Hipervnculo"/>
            <w:rFonts w:cs="Times New Roman"/>
            <w:szCs w:val="24"/>
          </w:rPr>
          <w:t>https://globalnews.booking.com/bookingcom-reveals-key-findings-from-its-2023-sustainable-travel-report/</w:t>
        </w:r>
      </w:hyperlink>
      <w:r w:rsidRPr="00A046BE">
        <w:rPr>
          <w:rFonts w:cs="Times New Roman"/>
          <w:szCs w:val="24"/>
        </w:rPr>
        <w:t xml:space="preserve">. (Accessed: </w:t>
      </w:r>
      <w:r w:rsidR="005F3CB8" w:rsidRPr="00A046BE">
        <w:rPr>
          <w:rFonts w:cs="Times New Roman"/>
          <w:szCs w:val="24"/>
        </w:rPr>
        <w:t>27 April</w:t>
      </w:r>
      <w:r w:rsidRPr="00A046BE">
        <w:rPr>
          <w:rFonts w:cs="Times New Roman"/>
          <w:szCs w:val="24"/>
        </w:rPr>
        <w:t xml:space="preserve"> 2026).</w:t>
      </w:r>
    </w:p>
    <w:p w14:paraId="78355621" w14:textId="06F31583" w:rsidR="00591159" w:rsidRPr="00A046BE" w:rsidRDefault="00591159" w:rsidP="00A046BE">
      <w:pPr>
        <w:pStyle w:val="Prrafodelista"/>
        <w:numPr>
          <w:ilvl w:val="0"/>
          <w:numId w:val="18"/>
        </w:numPr>
        <w:spacing w:line="360" w:lineRule="auto"/>
        <w:rPr>
          <w:rFonts w:cs="Times New Roman"/>
          <w:szCs w:val="24"/>
        </w:rPr>
      </w:pPr>
      <w:r w:rsidRPr="00A046BE">
        <w:rPr>
          <w:rFonts w:cs="Times New Roman"/>
          <w:szCs w:val="24"/>
        </w:rPr>
        <w:t xml:space="preserve">Deloitte (2024) </w:t>
      </w:r>
      <w:r w:rsidRPr="00A046BE">
        <w:rPr>
          <w:rFonts w:cs="Times New Roman"/>
          <w:i/>
          <w:iCs/>
          <w:szCs w:val="24"/>
        </w:rPr>
        <w:t>Global Hospitality Industry Outlook 2024</w:t>
      </w:r>
      <w:r w:rsidRPr="00A046BE">
        <w:rPr>
          <w:rFonts w:cs="Times New Roman"/>
          <w:szCs w:val="24"/>
        </w:rPr>
        <w:t xml:space="preserve">. Available at: </w:t>
      </w:r>
      <w:hyperlink r:id="rId23" w:tgtFrame="_new" w:history="1">
        <w:r w:rsidRPr="00A046BE">
          <w:rPr>
            <w:rStyle w:val="Hipervnculo"/>
            <w:rFonts w:cs="Times New Roman"/>
            <w:szCs w:val="24"/>
          </w:rPr>
          <w:t>https://www2.deloitte.com</w:t>
        </w:r>
      </w:hyperlink>
      <w:r w:rsidRPr="00A046BE">
        <w:rPr>
          <w:rFonts w:cs="Times New Roman"/>
          <w:szCs w:val="24"/>
        </w:rPr>
        <w:t xml:space="preserve"> (Accessed: </w:t>
      </w:r>
      <w:r w:rsidR="007D4C60" w:rsidRPr="00A046BE">
        <w:rPr>
          <w:rFonts w:cs="Times New Roman"/>
          <w:szCs w:val="24"/>
        </w:rPr>
        <w:t>30 April</w:t>
      </w:r>
      <w:r w:rsidRPr="00A046BE">
        <w:rPr>
          <w:rFonts w:cs="Times New Roman"/>
          <w:szCs w:val="24"/>
        </w:rPr>
        <w:t xml:space="preserve"> 2026).</w:t>
      </w:r>
    </w:p>
    <w:p w14:paraId="132B914C" w14:textId="09CEEC5F" w:rsidR="00F90021" w:rsidRPr="00A046BE" w:rsidRDefault="00F90021" w:rsidP="00A046BE">
      <w:pPr>
        <w:pStyle w:val="Prrafodelista"/>
        <w:numPr>
          <w:ilvl w:val="0"/>
          <w:numId w:val="18"/>
        </w:numPr>
        <w:spacing w:line="360" w:lineRule="auto"/>
        <w:rPr>
          <w:rFonts w:cs="Times New Roman"/>
          <w:szCs w:val="24"/>
        </w:rPr>
      </w:pPr>
      <w:proofErr w:type="spellStart"/>
      <w:r w:rsidRPr="00A046BE">
        <w:rPr>
          <w:rFonts w:cs="Times New Roman"/>
          <w:szCs w:val="24"/>
        </w:rPr>
        <w:t>Gençer</w:t>
      </w:r>
      <w:proofErr w:type="spellEnd"/>
      <w:r w:rsidRPr="00A046BE">
        <w:rPr>
          <w:rFonts w:cs="Times New Roman"/>
          <w:szCs w:val="24"/>
        </w:rPr>
        <w:t xml:space="preserve">, G., Atay, H., </w:t>
      </w:r>
      <w:proofErr w:type="spellStart"/>
      <w:r w:rsidRPr="00A046BE">
        <w:rPr>
          <w:rFonts w:cs="Times New Roman"/>
          <w:szCs w:val="24"/>
        </w:rPr>
        <w:t>Gurdogan</w:t>
      </w:r>
      <w:proofErr w:type="spellEnd"/>
      <w:r w:rsidRPr="00A046BE">
        <w:rPr>
          <w:rFonts w:cs="Times New Roman"/>
          <w:szCs w:val="24"/>
        </w:rPr>
        <w:t xml:space="preserve">, A. and </w:t>
      </w:r>
      <w:proofErr w:type="spellStart"/>
      <w:r w:rsidRPr="00A046BE">
        <w:rPr>
          <w:rFonts w:cs="Times New Roman"/>
          <w:szCs w:val="24"/>
        </w:rPr>
        <w:t>Colakoglu</w:t>
      </w:r>
      <w:proofErr w:type="spellEnd"/>
      <w:r w:rsidRPr="00A046BE">
        <w:rPr>
          <w:rFonts w:cs="Times New Roman"/>
          <w:szCs w:val="24"/>
        </w:rPr>
        <w:t xml:space="preserve">, U. (2021) ‘The relationship between organizational culture, organizational silence and job performance in hotels: the case of </w:t>
      </w:r>
      <w:proofErr w:type="spellStart"/>
      <w:r w:rsidRPr="00A046BE">
        <w:rPr>
          <w:rFonts w:cs="Times New Roman"/>
          <w:szCs w:val="24"/>
        </w:rPr>
        <w:t>Kuşadası</w:t>
      </w:r>
      <w:proofErr w:type="spellEnd"/>
      <w:r w:rsidRPr="00A046BE">
        <w:rPr>
          <w:rFonts w:cs="Times New Roman"/>
          <w:szCs w:val="24"/>
        </w:rPr>
        <w:t xml:space="preserve">’, </w:t>
      </w:r>
      <w:r w:rsidRPr="00A046BE">
        <w:rPr>
          <w:rFonts w:cs="Times New Roman"/>
          <w:i/>
          <w:iCs/>
          <w:szCs w:val="24"/>
        </w:rPr>
        <w:t>Journal of Hospitality and Tourism Insights</w:t>
      </w:r>
      <w:r w:rsidRPr="00A046BE">
        <w:rPr>
          <w:rFonts w:cs="Times New Roman"/>
          <w:szCs w:val="24"/>
        </w:rPr>
        <w:t xml:space="preserve">, 6(1), pp. 70–89. Available at: </w:t>
      </w:r>
      <w:hyperlink r:id="rId24" w:history="1">
        <w:r w:rsidRPr="00A046BE">
          <w:rPr>
            <w:rStyle w:val="Hipervnculo"/>
            <w:rFonts w:cs="Times New Roman"/>
            <w:szCs w:val="24"/>
          </w:rPr>
          <w:t>https://doi.org/10.1108/JHTI-01-2021-0001</w:t>
        </w:r>
      </w:hyperlink>
      <w:r w:rsidRPr="00A046BE">
        <w:rPr>
          <w:rFonts w:cs="Times New Roman"/>
          <w:szCs w:val="24"/>
        </w:rPr>
        <w:t>.</w:t>
      </w:r>
    </w:p>
    <w:p w14:paraId="313621E1" w14:textId="039F5925" w:rsidR="00591159" w:rsidRPr="00A046BE" w:rsidRDefault="00591159" w:rsidP="00A046BE">
      <w:pPr>
        <w:pStyle w:val="Prrafodelista"/>
        <w:numPr>
          <w:ilvl w:val="0"/>
          <w:numId w:val="18"/>
        </w:numPr>
        <w:spacing w:line="360" w:lineRule="auto"/>
        <w:rPr>
          <w:rFonts w:cs="Times New Roman"/>
          <w:szCs w:val="24"/>
        </w:rPr>
      </w:pPr>
      <w:r w:rsidRPr="00A046BE">
        <w:rPr>
          <w:rFonts w:cs="Times New Roman"/>
          <w:szCs w:val="24"/>
        </w:rPr>
        <w:t xml:space="preserve">Green, A.J. (2025) ‘Organizational culture and employee turnover in the hospitality industry’, </w:t>
      </w:r>
      <w:r w:rsidRPr="00A046BE">
        <w:rPr>
          <w:rFonts w:cs="Times New Roman"/>
          <w:i/>
          <w:iCs/>
          <w:szCs w:val="24"/>
        </w:rPr>
        <w:t>Journal of Hospitality &amp; Tourism Research</w:t>
      </w:r>
      <w:r w:rsidRPr="00A046BE">
        <w:rPr>
          <w:rFonts w:cs="Times New Roman"/>
          <w:szCs w:val="24"/>
        </w:rPr>
        <w:t xml:space="preserve">. Available at: </w:t>
      </w:r>
      <w:hyperlink r:id="rId25" w:tgtFrame="_new" w:history="1">
        <w:r w:rsidRPr="00A046BE">
          <w:rPr>
            <w:rStyle w:val="Hipervnculo"/>
            <w:rFonts w:cs="Times New Roman"/>
            <w:szCs w:val="24"/>
          </w:rPr>
          <w:t>https://doi.org/10.1177/21649987251347003</w:t>
        </w:r>
      </w:hyperlink>
      <w:r w:rsidRPr="00A046BE">
        <w:rPr>
          <w:rFonts w:cs="Times New Roman"/>
          <w:szCs w:val="24"/>
        </w:rPr>
        <w:t>.</w:t>
      </w:r>
    </w:p>
    <w:p w14:paraId="04BE922E" w14:textId="505B9183" w:rsidR="00591159" w:rsidRPr="00A046BE" w:rsidRDefault="00591159" w:rsidP="00A046BE">
      <w:pPr>
        <w:pStyle w:val="Prrafodelista"/>
        <w:numPr>
          <w:ilvl w:val="0"/>
          <w:numId w:val="18"/>
        </w:numPr>
        <w:spacing w:line="360" w:lineRule="auto"/>
        <w:rPr>
          <w:rFonts w:cs="Times New Roman"/>
          <w:szCs w:val="24"/>
        </w:rPr>
      </w:pPr>
      <w:r w:rsidRPr="00A046BE">
        <w:rPr>
          <w:rFonts w:cs="Times New Roman"/>
          <w:szCs w:val="24"/>
        </w:rPr>
        <w:t xml:space="preserve">Hilton Worldwide Holdings Inc. (2024) </w:t>
      </w:r>
      <w:r w:rsidRPr="00A046BE">
        <w:rPr>
          <w:rFonts w:cs="Times New Roman"/>
          <w:i/>
          <w:iCs/>
          <w:szCs w:val="24"/>
        </w:rPr>
        <w:t>Annual reports</w:t>
      </w:r>
      <w:r w:rsidRPr="00A046BE">
        <w:rPr>
          <w:rFonts w:cs="Times New Roman"/>
          <w:szCs w:val="24"/>
        </w:rPr>
        <w:t xml:space="preserve">. Available at: </w:t>
      </w:r>
      <w:hyperlink r:id="rId26" w:tgtFrame="_new" w:history="1">
        <w:r w:rsidRPr="00A046BE">
          <w:rPr>
            <w:rStyle w:val="Hipervnculo"/>
            <w:rFonts w:cs="Times New Roman"/>
            <w:szCs w:val="24"/>
          </w:rPr>
          <w:t>https://ir.hilton.com/financial-reporting/annual-reports</w:t>
        </w:r>
      </w:hyperlink>
      <w:r w:rsidRPr="00A046BE">
        <w:rPr>
          <w:rFonts w:cs="Times New Roman"/>
          <w:szCs w:val="24"/>
        </w:rPr>
        <w:t xml:space="preserve"> (Accessed: 13 </w:t>
      </w:r>
      <w:r w:rsidR="005F3CB8" w:rsidRPr="00A046BE">
        <w:rPr>
          <w:rFonts w:cs="Times New Roman"/>
          <w:szCs w:val="24"/>
        </w:rPr>
        <w:t>April</w:t>
      </w:r>
      <w:r w:rsidRPr="00A046BE">
        <w:rPr>
          <w:rFonts w:cs="Times New Roman"/>
          <w:szCs w:val="24"/>
        </w:rPr>
        <w:t xml:space="preserve"> 2026).</w:t>
      </w:r>
    </w:p>
    <w:p w14:paraId="1DFA8F3B" w14:textId="5B6ADE0B" w:rsidR="00591159" w:rsidRPr="00A046BE" w:rsidRDefault="00591159" w:rsidP="00A046BE">
      <w:pPr>
        <w:pStyle w:val="Prrafodelista"/>
        <w:numPr>
          <w:ilvl w:val="0"/>
          <w:numId w:val="18"/>
        </w:numPr>
        <w:spacing w:line="360" w:lineRule="auto"/>
        <w:rPr>
          <w:rFonts w:cs="Times New Roman"/>
          <w:szCs w:val="24"/>
        </w:rPr>
      </w:pPr>
      <w:r w:rsidRPr="00A046BE">
        <w:rPr>
          <w:rFonts w:cs="Times New Roman"/>
          <w:szCs w:val="24"/>
        </w:rPr>
        <w:t xml:space="preserve">Hilton Worldwide Holdings Inc. (2024) </w:t>
      </w:r>
      <w:r w:rsidRPr="00A046BE">
        <w:rPr>
          <w:rFonts w:cs="Times New Roman"/>
          <w:i/>
          <w:iCs/>
          <w:szCs w:val="24"/>
        </w:rPr>
        <w:t>Travel with Purpose</w:t>
      </w:r>
      <w:r w:rsidRPr="00A046BE">
        <w:rPr>
          <w:rFonts w:cs="Times New Roman"/>
          <w:szCs w:val="24"/>
        </w:rPr>
        <w:t xml:space="preserve">. Available at: </w:t>
      </w:r>
      <w:hyperlink r:id="rId27" w:tgtFrame="_new" w:history="1">
        <w:r w:rsidRPr="00A046BE">
          <w:rPr>
            <w:rStyle w:val="Hipervnculo"/>
            <w:rFonts w:cs="Times New Roman"/>
            <w:szCs w:val="24"/>
          </w:rPr>
          <w:t>https://travelwithpurpose.hilton.com/</w:t>
        </w:r>
      </w:hyperlink>
      <w:r w:rsidRPr="00A046BE">
        <w:rPr>
          <w:rFonts w:cs="Times New Roman"/>
          <w:szCs w:val="24"/>
        </w:rPr>
        <w:t xml:space="preserve"> (Accessed: </w:t>
      </w:r>
      <w:r w:rsidR="007D4C60" w:rsidRPr="00A046BE">
        <w:rPr>
          <w:rFonts w:cs="Times New Roman"/>
          <w:szCs w:val="24"/>
        </w:rPr>
        <w:t>20</w:t>
      </w:r>
      <w:r w:rsidRPr="00A046BE">
        <w:rPr>
          <w:rFonts w:cs="Times New Roman"/>
          <w:szCs w:val="24"/>
        </w:rPr>
        <w:t xml:space="preserve"> March 2026).</w:t>
      </w:r>
    </w:p>
    <w:p w14:paraId="30559DD4" w14:textId="77777777" w:rsidR="00591159" w:rsidRPr="00A046BE" w:rsidRDefault="00591159" w:rsidP="00A046BE">
      <w:pPr>
        <w:pStyle w:val="Prrafodelista"/>
        <w:numPr>
          <w:ilvl w:val="0"/>
          <w:numId w:val="18"/>
        </w:numPr>
        <w:spacing w:line="360" w:lineRule="auto"/>
        <w:rPr>
          <w:rFonts w:cs="Times New Roman"/>
          <w:szCs w:val="24"/>
        </w:rPr>
      </w:pPr>
      <w:r w:rsidRPr="00A046BE">
        <w:rPr>
          <w:rFonts w:cs="Times New Roman"/>
          <w:szCs w:val="24"/>
        </w:rPr>
        <w:t xml:space="preserve">Hilton Worldwide Holdings Inc. (2025) </w:t>
      </w:r>
      <w:r w:rsidRPr="00A046BE">
        <w:rPr>
          <w:rFonts w:cs="Times New Roman"/>
          <w:i/>
          <w:iCs/>
          <w:szCs w:val="24"/>
        </w:rPr>
        <w:t>Quarterly Results 2025</w:t>
      </w:r>
      <w:r w:rsidRPr="00A046BE">
        <w:rPr>
          <w:rFonts w:cs="Times New Roman"/>
          <w:szCs w:val="24"/>
        </w:rPr>
        <w:t xml:space="preserve">. Available at: </w:t>
      </w:r>
      <w:hyperlink r:id="rId28" w:tgtFrame="_new" w:history="1">
        <w:r w:rsidRPr="00A046BE">
          <w:rPr>
            <w:rStyle w:val="Hipervnculo"/>
            <w:rFonts w:cs="Times New Roman"/>
            <w:szCs w:val="24"/>
          </w:rPr>
          <w:t>https://ir.hilton.com/financial-reporting/quarterly-results/2025</w:t>
        </w:r>
      </w:hyperlink>
      <w:r w:rsidRPr="00A046BE">
        <w:rPr>
          <w:rFonts w:cs="Times New Roman"/>
          <w:szCs w:val="24"/>
        </w:rPr>
        <w:t xml:space="preserve"> (Accessed: 13 March 2026).</w:t>
      </w:r>
    </w:p>
    <w:p w14:paraId="5F94AE39" w14:textId="77777777" w:rsidR="00591159" w:rsidRPr="00A046BE" w:rsidRDefault="00591159" w:rsidP="00A046BE">
      <w:pPr>
        <w:pStyle w:val="Prrafodelista"/>
        <w:numPr>
          <w:ilvl w:val="0"/>
          <w:numId w:val="18"/>
        </w:numPr>
        <w:spacing w:line="360" w:lineRule="auto"/>
        <w:rPr>
          <w:rFonts w:cs="Times New Roman"/>
          <w:szCs w:val="24"/>
        </w:rPr>
      </w:pPr>
      <w:r w:rsidRPr="00A046BE">
        <w:rPr>
          <w:rFonts w:cs="Times New Roman"/>
          <w:szCs w:val="24"/>
        </w:rPr>
        <w:t xml:space="preserve">Hilton Worldwide Holdings Inc. (2026) </w:t>
      </w:r>
      <w:r w:rsidRPr="00A046BE">
        <w:rPr>
          <w:rFonts w:cs="Times New Roman"/>
          <w:i/>
          <w:iCs/>
          <w:szCs w:val="24"/>
        </w:rPr>
        <w:t>Hotel and Resort Development</w:t>
      </w:r>
      <w:r w:rsidRPr="00A046BE">
        <w:rPr>
          <w:rFonts w:cs="Times New Roman"/>
          <w:szCs w:val="24"/>
        </w:rPr>
        <w:t xml:space="preserve">. Available at: </w:t>
      </w:r>
      <w:hyperlink r:id="rId29" w:tgtFrame="_new" w:history="1">
        <w:r w:rsidRPr="00A046BE">
          <w:rPr>
            <w:rStyle w:val="Hipervnculo"/>
            <w:rFonts w:cs="Times New Roman"/>
            <w:szCs w:val="24"/>
          </w:rPr>
          <w:t>https://www.hilton.com/en/corporate/development/</w:t>
        </w:r>
      </w:hyperlink>
      <w:r w:rsidRPr="00A046BE">
        <w:rPr>
          <w:rFonts w:cs="Times New Roman"/>
          <w:szCs w:val="24"/>
        </w:rPr>
        <w:t xml:space="preserve"> (Accessed: 13 March 2026).</w:t>
      </w:r>
    </w:p>
    <w:p w14:paraId="65ECA33C" w14:textId="77777777" w:rsidR="00591159" w:rsidRPr="00A046BE" w:rsidRDefault="00591159" w:rsidP="00A046BE">
      <w:pPr>
        <w:pStyle w:val="Prrafodelista"/>
        <w:numPr>
          <w:ilvl w:val="0"/>
          <w:numId w:val="18"/>
        </w:numPr>
        <w:spacing w:line="360" w:lineRule="auto"/>
        <w:rPr>
          <w:rFonts w:cs="Times New Roman"/>
          <w:szCs w:val="24"/>
        </w:rPr>
      </w:pPr>
      <w:r w:rsidRPr="00A046BE">
        <w:rPr>
          <w:rFonts w:cs="Times New Roman"/>
          <w:szCs w:val="24"/>
        </w:rPr>
        <w:t xml:space="preserve">Hilton Worldwide Holdings Inc. (2026) </w:t>
      </w:r>
      <w:r w:rsidRPr="00A046BE">
        <w:rPr>
          <w:rFonts w:cs="Times New Roman"/>
          <w:i/>
          <w:iCs/>
          <w:szCs w:val="24"/>
        </w:rPr>
        <w:t>Investor Relations</w:t>
      </w:r>
      <w:r w:rsidRPr="00A046BE">
        <w:rPr>
          <w:rFonts w:cs="Times New Roman"/>
          <w:szCs w:val="24"/>
        </w:rPr>
        <w:t xml:space="preserve">. Available at: </w:t>
      </w:r>
      <w:hyperlink r:id="rId30" w:tgtFrame="_new" w:history="1">
        <w:r w:rsidRPr="00A046BE">
          <w:rPr>
            <w:rStyle w:val="Hipervnculo"/>
            <w:rFonts w:cs="Times New Roman"/>
            <w:szCs w:val="24"/>
          </w:rPr>
          <w:t>https://ir.hilton.com</w:t>
        </w:r>
      </w:hyperlink>
      <w:r w:rsidRPr="00A046BE">
        <w:rPr>
          <w:rFonts w:cs="Times New Roman"/>
          <w:szCs w:val="24"/>
        </w:rPr>
        <w:t xml:space="preserve"> (Accessed: 13 March 2026).</w:t>
      </w:r>
    </w:p>
    <w:p w14:paraId="423F2F88" w14:textId="77777777" w:rsidR="00591159" w:rsidRPr="00A046BE" w:rsidRDefault="00591159" w:rsidP="00A046BE">
      <w:pPr>
        <w:pStyle w:val="Prrafodelista"/>
        <w:numPr>
          <w:ilvl w:val="0"/>
          <w:numId w:val="18"/>
        </w:numPr>
        <w:spacing w:line="360" w:lineRule="auto"/>
        <w:rPr>
          <w:rFonts w:cs="Times New Roman"/>
          <w:szCs w:val="24"/>
        </w:rPr>
      </w:pPr>
      <w:r w:rsidRPr="00A046BE">
        <w:rPr>
          <w:rFonts w:cs="Times New Roman"/>
          <w:szCs w:val="24"/>
        </w:rPr>
        <w:t xml:space="preserve">Hilton Worldwide Holdings Inc. (2026) </w:t>
      </w:r>
      <w:r w:rsidRPr="00A046BE">
        <w:rPr>
          <w:rFonts w:cs="Times New Roman"/>
          <w:i/>
          <w:iCs/>
          <w:szCs w:val="24"/>
        </w:rPr>
        <w:t>Our Hotel Brands</w:t>
      </w:r>
      <w:r w:rsidRPr="00A046BE">
        <w:rPr>
          <w:rFonts w:cs="Times New Roman"/>
          <w:szCs w:val="24"/>
        </w:rPr>
        <w:t xml:space="preserve">. Available at: </w:t>
      </w:r>
      <w:hyperlink r:id="rId31" w:tgtFrame="_new" w:history="1">
        <w:r w:rsidRPr="00A046BE">
          <w:rPr>
            <w:rStyle w:val="Hipervnculo"/>
            <w:rFonts w:cs="Times New Roman"/>
            <w:szCs w:val="24"/>
          </w:rPr>
          <w:t>https://www.hilton.com/en/brands/</w:t>
        </w:r>
      </w:hyperlink>
      <w:r w:rsidRPr="00A046BE">
        <w:rPr>
          <w:rFonts w:cs="Times New Roman"/>
          <w:szCs w:val="24"/>
        </w:rPr>
        <w:t xml:space="preserve"> (Accessed: 13 March 2026).</w:t>
      </w:r>
    </w:p>
    <w:p w14:paraId="0D0F3C1E" w14:textId="77777777" w:rsidR="00591159" w:rsidRPr="00A046BE" w:rsidRDefault="00591159" w:rsidP="00A046BE">
      <w:pPr>
        <w:pStyle w:val="Prrafodelista"/>
        <w:numPr>
          <w:ilvl w:val="0"/>
          <w:numId w:val="18"/>
        </w:numPr>
        <w:spacing w:line="360" w:lineRule="auto"/>
        <w:rPr>
          <w:rFonts w:cs="Times New Roman"/>
          <w:szCs w:val="24"/>
        </w:rPr>
      </w:pPr>
      <w:r w:rsidRPr="00A046BE">
        <w:rPr>
          <w:rFonts w:cs="Times New Roman"/>
          <w:szCs w:val="24"/>
        </w:rPr>
        <w:t xml:space="preserve">Huczynski, A. and Buchanan, D. (2023) </w:t>
      </w:r>
      <w:r w:rsidRPr="00A046BE">
        <w:rPr>
          <w:rFonts w:cs="Times New Roman"/>
          <w:i/>
          <w:iCs/>
          <w:szCs w:val="24"/>
        </w:rPr>
        <w:t>Organisational behaviour</w:t>
      </w:r>
      <w:r w:rsidRPr="00A046BE">
        <w:rPr>
          <w:rFonts w:cs="Times New Roman"/>
          <w:szCs w:val="24"/>
        </w:rPr>
        <w:t xml:space="preserve">. 11th </w:t>
      </w:r>
      <w:proofErr w:type="spellStart"/>
      <w:r w:rsidRPr="00A046BE">
        <w:rPr>
          <w:rFonts w:cs="Times New Roman"/>
          <w:szCs w:val="24"/>
        </w:rPr>
        <w:t>edn</w:t>
      </w:r>
      <w:proofErr w:type="spellEnd"/>
      <w:r w:rsidRPr="00A046BE">
        <w:rPr>
          <w:rFonts w:cs="Times New Roman"/>
          <w:szCs w:val="24"/>
        </w:rPr>
        <w:t>. Harlow: Pearson.</w:t>
      </w:r>
    </w:p>
    <w:p w14:paraId="1C81F7DC" w14:textId="77777777" w:rsidR="00591159" w:rsidRPr="00A046BE" w:rsidRDefault="00591159" w:rsidP="00A046BE">
      <w:pPr>
        <w:pStyle w:val="Prrafodelista"/>
        <w:numPr>
          <w:ilvl w:val="0"/>
          <w:numId w:val="18"/>
        </w:numPr>
        <w:spacing w:line="360" w:lineRule="auto"/>
        <w:rPr>
          <w:rFonts w:cs="Times New Roman"/>
          <w:szCs w:val="24"/>
        </w:rPr>
      </w:pPr>
      <w:r w:rsidRPr="00A046BE">
        <w:rPr>
          <w:rFonts w:cs="Times New Roman"/>
          <w:szCs w:val="24"/>
        </w:rPr>
        <w:lastRenderedPageBreak/>
        <w:t xml:space="preserve">Jones, P., Hillier, D. and Comfort, D. (2014) ‘Sustainability in the global hotel industry’, </w:t>
      </w:r>
      <w:r w:rsidRPr="00A046BE">
        <w:rPr>
          <w:rFonts w:cs="Times New Roman"/>
          <w:i/>
          <w:iCs/>
          <w:szCs w:val="24"/>
        </w:rPr>
        <w:t>International Journal of Contemporary Hospitality Management</w:t>
      </w:r>
      <w:r w:rsidRPr="00A046BE">
        <w:rPr>
          <w:rFonts w:cs="Times New Roman"/>
          <w:szCs w:val="24"/>
        </w:rPr>
        <w:t xml:space="preserve">, 26(1), pp. 5–17. Available at: </w:t>
      </w:r>
      <w:hyperlink r:id="rId32" w:tgtFrame="_new" w:history="1">
        <w:r w:rsidRPr="00A046BE">
          <w:rPr>
            <w:rStyle w:val="Hipervnculo"/>
            <w:rFonts w:cs="Times New Roman"/>
            <w:szCs w:val="24"/>
          </w:rPr>
          <w:t>https://doi.org/10.1108/IJCHM-10-2012-0180</w:t>
        </w:r>
      </w:hyperlink>
      <w:r w:rsidRPr="00A046BE">
        <w:rPr>
          <w:rFonts w:cs="Times New Roman"/>
          <w:szCs w:val="24"/>
        </w:rPr>
        <w:t>.</w:t>
      </w:r>
    </w:p>
    <w:p w14:paraId="14128E67" w14:textId="77777777" w:rsidR="0080763A" w:rsidRDefault="0080763A" w:rsidP="00A046BE">
      <w:pPr>
        <w:pStyle w:val="Prrafodelista"/>
        <w:numPr>
          <w:ilvl w:val="0"/>
          <w:numId w:val="18"/>
        </w:numPr>
        <w:spacing w:line="360" w:lineRule="auto"/>
        <w:rPr>
          <w:rFonts w:cs="Times New Roman"/>
          <w:szCs w:val="24"/>
        </w:rPr>
      </w:pPr>
      <w:r w:rsidRPr="0080763A">
        <w:rPr>
          <w:rFonts w:cs="Times New Roman"/>
          <w:szCs w:val="24"/>
        </w:rPr>
        <w:t xml:space="preserve">Kenton, W. (2023) </w:t>
      </w:r>
      <w:r w:rsidRPr="0080763A">
        <w:rPr>
          <w:rFonts w:cs="Times New Roman"/>
          <w:i/>
          <w:iCs/>
          <w:szCs w:val="24"/>
        </w:rPr>
        <w:t>Strategic management: Definition, purpose and example</w:t>
      </w:r>
      <w:r w:rsidRPr="0080763A">
        <w:rPr>
          <w:rFonts w:cs="Times New Roman"/>
          <w:szCs w:val="24"/>
        </w:rPr>
        <w:t xml:space="preserve">. Available at: </w:t>
      </w:r>
      <w:hyperlink r:id="rId33" w:tgtFrame="_new" w:history="1">
        <w:r w:rsidRPr="0080763A">
          <w:rPr>
            <w:rStyle w:val="Hipervnculo"/>
            <w:rFonts w:cs="Times New Roman"/>
            <w:szCs w:val="24"/>
          </w:rPr>
          <w:t>https://www.investopedia.com/terms/s/strategic-management.asp</w:t>
        </w:r>
      </w:hyperlink>
      <w:r w:rsidRPr="0080763A">
        <w:rPr>
          <w:rFonts w:cs="Times New Roman"/>
          <w:szCs w:val="24"/>
        </w:rPr>
        <w:t xml:space="preserve"> (Accessed: 13 March 2026).</w:t>
      </w:r>
    </w:p>
    <w:p w14:paraId="410E65CC" w14:textId="42716A94" w:rsidR="00591159" w:rsidRPr="00A046BE" w:rsidRDefault="00591159" w:rsidP="00A046BE">
      <w:pPr>
        <w:pStyle w:val="Prrafodelista"/>
        <w:numPr>
          <w:ilvl w:val="0"/>
          <w:numId w:val="18"/>
        </w:numPr>
        <w:spacing w:line="360" w:lineRule="auto"/>
        <w:rPr>
          <w:rFonts w:cs="Times New Roman"/>
          <w:szCs w:val="24"/>
        </w:rPr>
      </w:pPr>
      <w:r w:rsidRPr="00A046BE">
        <w:rPr>
          <w:rFonts w:cs="Times New Roman"/>
          <w:szCs w:val="24"/>
        </w:rPr>
        <w:t xml:space="preserve">Kilson, G.A. (2025) ‘Optimizing employee attraction and retention in hospitality and tourism: A systematic review of employer branding research’, </w:t>
      </w:r>
      <w:r w:rsidRPr="00A046BE">
        <w:rPr>
          <w:rFonts w:cs="Times New Roman"/>
          <w:i/>
          <w:iCs/>
          <w:szCs w:val="24"/>
        </w:rPr>
        <w:t>Administrative Sciences</w:t>
      </w:r>
      <w:r w:rsidRPr="00A046BE">
        <w:rPr>
          <w:rFonts w:cs="Times New Roman"/>
          <w:szCs w:val="24"/>
        </w:rPr>
        <w:t xml:space="preserve">, 15(5), 153. Available at: </w:t>
      </w:r>
      <w:hyperlink r:id="rId34" w:tgtFrame="_new" w:history="1">
        <w:r w:rsidRPr="00A046BE">
          <w:rPr>
            <w:rStyle w:val="Hipervnculo"/>
            <w:rFonts w:cs="Times New Roman"/>
            <w:szCs w:val="24"/>
          </w:rPr>
          <w:t>https://doi.org/10.3390/admsci15050153</w:t>
        </w:r>
      </w:hyperlink>
      <w:r w:rsidRPr="00A046BE">
        <w:rPr>
          <w:rFonts w:cs="Times New Roman"/>
          <w:szCs w:val="24"/>
        </w:rPr>
        <w:t>.</w:t>
      </w:r>
    </w:p>
    <w:p w14:paraId="606429C2" w14:textId="77777777" w:rsidR="00591159" w:rsidRPr="00A046BE" w:rsidRDefault="00591159" w:rsidP="00A046BE">
      <w:pPr>
        <w:pStyle w:val="Prrafodelista"/>
        <w:numPr>
          <w:ilvl w:val="0"/>
          <w:numId w:val="18"/>
        </w:numPr>
        <w:spacing w:line="360" w:lineRule="auto"/>
        <w:rPr>
          <w:rFonts w:cs="Times New Roman"/>
          <w:szCs w:val="24"/>
        </w:rPr>
      </w:pPr>
      <w:r w:rsidRPr="00A046BE">
        <w:rPr>
          <w:rFonts w:cs="Times New Roman"/>
          <w:szCs w:val="24"/>
        </w:rPr>
        <w:t xml:space="preserve">Kotter, J.P. (1996) </w:t>
      </w:r>
      <w:r w:rsidRPr="00A046BE">
        <w:rPr>
          <w:rFonts w:cs="Times New Roman"/>
          <w:i/>
          <w:iCs/>
          <w:szCs w:val="24"/>
        </w:rPr>
        <w:t>Leading change</w:t>
      </w:r>
      <w:r w:rsidRPr="00A046BE">
        <w:rPr>
          <w:rFonts w:cs="Times New Roman"/>
          <w:szCs w:val="24"/>
        </w:rPr>
        <w:t>. Harvard Business School Press.</w:t>
      </w:r>
    </w:p>
    <w:p w14:paraId="7DA2F1D5" w14:textId="77777777" w:rsidR="00591159" w:rsidRPr="00A046BE" w:rsidRDefault="00591159" w:rsidP="00A046BE">
      <w:pPr>
        <w:pStyle w:val="Prrafodelista"/>
        <w:numPr>
          <w:ilvl w:val="0"/>
          <w:numId w:val="18"/>
        </w:numPr>
        <w:spacing w:line="360" w:lineRule="auto"/>
        <w:rPr>
          <w:rFonts w:cs="Times New Roman"/>
          <w:szCs w:val="24"/>
        </w:rPr>
      </w:pPr>
      <w:r w:rsidRPr="00A046BE">
        <w:rPr>
          <w:rFonts w:cs="Times New Roman"/>
          <w:szCs w:val="24"/>
        </w:rPr>
        <w:t xml:space="preserve">Lim, S.G. and Ok, C. (2021) ‘Knowledge sharing in hospitality organizations: A meta-analysis’, </w:t>
      </w:r>
      <w:r w:rsidRPr="00A046BE">
        <w:rPr>
          <w:rFonts w:cs="Times New Roman"/>
          <w:i/>
          <w:iCs/>
          <w:szCs w:val="24"/>
        </w:rPr>
        <w:t>International Journal of Hospitality Management</w:t>
      </w:r>
      <w:r w:rsidRPr="00A046BE">
        <w:rPr>
          <w:rFonts w:cs="Times New Roman"/>
          <w:szCs w:val="24"/>
        </w:rPr>
        <w:t xml:space="preserve">, 95, 102940. Available at: </w:t>
      </w:r>
      <w:hyperlink r:id="rId35" w:tgtFrame="_new" w:history="1">
        <w:r w:rsidRPr="00A046BE">
          <w:rPr>
            <w:rStyle w:val="Hipervnculo"/>
            <w:rFonts w:cs="Times New Roman"/>
            <w:szCs w:val="24"/>
          </w:rPr>
          <w:t>https://doi.org/10.1016/j.ijhm.2021.102940</w:t>
        </w:r>
      </w:hyperlink>
      <w:r w:rsidRPr="00A046BE">
        <w:rPr>
          <w:rFonts w:cs="Times New Roman"/>
          <w:szCs w:val="24"/>
        </w:rPr>
        <w:t>.</w:t>
      </w:r>
    </w:p>
    <w:p w14:paraId="4E7FA0A9" w14:textId="1143454B" w:rsidR="00FE7EFC" w:rsidRDefault="00FE7EFC" w:rsidP="00A046BE">
      <w:pPr>
        <w:pStyle w:val="Prrafodelista"/>
        <w:numPr>
          <w:ilvl w:val="0"/>
          <w:numId w:val="18"/>
        </w:numPr>
        <w:spacing w:line="360" w:lineRule="auto"/>
        <w:rPr>
          <w:rFonts w:cs="Times New Roman"/>
          <w:szCs w:val="24"/>
        </w:rPr>
      </w:pPr>
      <w:r w:rsidRPr="00FE7EFC">
        <w:rPr>
          <w:rFonts w:cs="Times New Roman"/>
          <w:szCs w:val="24"/>
        </w:rPr>
        <w:t xml:space="preserve">Marriott International, Inc. (2025) </w:t>
      </w:r>
      <w:r w:rsidRPr="00FE7EFC">
        <w:rPr>
          <w:rFonts w:cs="Times New Roman"/>
          <w:i/>
          <w:iCs/>
          <w:szCs w:val="24"/>
        </w:rPr>
        <w:t>2024 Annual Report</w:t>
      </w:r>
      <w:r w:rsidRPr="00FE7EFC">
        <w:rPr>
          <w:rFonts w:cs="Times New Roman"/>
          <w:szCs w:val="24"/>
        </w:rPr>
        <w:t xml:space="preserve">. Available at: </w:t>
      </w:r>
      <w:hyperlink r:id="rId36" w:tgtFrame="_new" w:history="1">
        <w:r w:rsidRPr="00FE7EFC">
          <w:rPr>
            <w:rStyle w:val="Hipervnculo"/>
            <w:rFonts w:cs="Times New Roman"/>
            <w:szCs w:val="24"/>
          </w:rPr>
          <w:t>https://marriott.gcs-web.com/annual</w:t>
        </w:r>
      </w:hyperlink>
      <w:r w:rsidRPr="00FE7EFC">
        <w:rPr>
          <w:rFonts w:cs="Times New Roman"/>
          <w:szCs w:val="24"/>
        </w:rPr>
        <w:t xml:space="preserve"> (Accessed: 13 March 2026).</w:t>
      </w:r>
    </w:p>
    <w:p w14:paraId="1E68D995" w14:textId="6D6172D7" w:rsidR="00017D6F" w:rsidRPr="00FE7EFC" w:rsidRDefault="00017D6F" w:rsidP="00A046BE">
      <w:pPr>
        <w:pStyle w:val="Prrafodelista"/>
        <w:numPr>
          <w:ilvl w:val="0"/>
          <w:numId w:val="18"/>
        </w:numPr>
        <w:spacing w:line="360" w:lineRule="auto"/>
        <w:rPr>
          <w:rFonts w:cs="Times New Roman"/>
          <w:szCs w:val="24"/>
        </w:rPr>
      </w:pPr>
      <w:r w:rsidRPr="00FE7EFC">
        <w:rPr>
          <w:rFonts w:cs="Times New Roman"/>
          <w:szCs w:val="24"/>
        </w:rPr>
        <w:t xml:space="preserve">Mintzberg, H. (1987) ‘The strategy concept I: Five Ps for strategy’, </w:t>
      </w:r>
      <w:r w:rsidRPr="00FE7EFC">
        <w:rPr>
          <w:rFonts w:cs="Times New Roman"/>
          <w:i/>
          <w:iCs/>
          <w:szCs w:val="24"/>
        </w:rPr>
        <w:t>California Management Review</w:t>
      </w:r>
      <w:r w:rsidRPr="00FE7EFC">
        <w:rPr>
          <w:rFonts w:cs="Times New Roman"/>
          <w:szCs w:val="24"/>
        </w:rPr>
        <w:t xml:space="preserve">, 30(1), pp. 11–24. Available at: </w:t>
      </w:r>
      <w:hyperlink r:id="rId37" w:tgtFrame="_new" w:history="1">
        <w:r w:rsidRPr="00FE7EFC">
          <w:rPr>
            <w:rStyle w:val="Hipervnculo"/>
            <w:rFonts w:cs="Times New Roman"/>
            <w:szCs w:val="24"/>
          </w:rPr>
          <w:t>https://doi.org/10.2307/41165263</w:t>
        </w:r>
      </w:hyperlink>
    </w:p>
    <w:p w14:paraId="63023704" w14:textId="2FD5213C" w:rsidR="00591159" w:rsidRPr="00A046BE" w:rsidRDefault="00591159" w:rsidP="00A046BE">
      <w:pPr>
        <w:pStyle w:val="Prrafodelista"/>
        <w:numPr>
          <w:ilvl w:val="0"/>
          <w:numId w:val="18"/>
        </w:numPr>
        <w:spacing w:line="360" w:lineRule="auto"/>
        <w:rPr>
          <w:rFonts w:cs="Times New Roman"/>
          <w:szCs w:val="24"/>
        </w:rPr>
      </w:pPr>
      <w:r w:rsidRPr="00A046BE">
        <w:rPr>
          <w:rFonts w:cs="Times New Roman"/>
          <w:szCs w:val="24"/>
        </w:rPr>
        <w:t xml:space="preserve">Mullins, L. and Dosser, P. (2013) </w:t>
      </w:r>
      <w:r w:rsidRPr="00A046BE">
        <w:rPr>
          <w:rFonts w:cs="Times New Roman"/>
          <w:i/>
          <w:iCs/>
          <w:szCs w:val="24"/>
        </w:rPr>
        <w:t>Hospitality management and organisational behaviour</w:t>
      </w:r>
      <w:r w:rsidRPr="00A046BE">
        <w:rPr>
          <w:rFonts w:cs="Times New Roman"/>
          <w:szCs w:val="24"/>
        </w:rPr>
        <w:t>. Harlow: Pearson.</w:t>
      </w:r>
    </w:p>
    <w:p w14:paraId="67059241" w14:textId="77777777" w:rsidR="00591159" w:rsidRPr="00A046BE" w:rsidRDefault="00591159" w:rsidP="00A046BE">
      <w:pPr>
        <w:pStyle w:val="Prrafodelista"/>
        <w:numPr>
          <w:ilvl w:val="0"/>
          <w:numId w:val="18"/>
        </w:numPr>
        <w:spacing w:line="360" w:lineRule="auto"/>
        <w:rPr>
          <w:rFonts w:cs="Times New Roman"/>
          <w:szCs w:val="24"/>
        </w:rPr>
      </w:pPr>
      <w:r w:rsidRPr="00A046BE">
        <w:rPr>
          <w:rFonts w:cs="Times New Roman"/>
          <w:szCs w:val="24"/>
        </w:rPr>
        <w:t xml:space="preserve">Porter, M.E. (2008) ‘The five competitive forces that shape strategy’, </w:t>
      </w:r>
      <w:r w:rsidRPr="00A046BE">
        <w:rPr>
          <w:rFonts w:cs="Times New Roman"/>
          <w:i/>
          <w:iCs/>
          <w:szCs w:val="24"/>
        </w:rPr>
        <w:t>Harvard Business Review</w:t>
      </w:r>
      <w:r w:rsidRPr="00A046BE">
        <w:rPr>
          <w:rFonts w:cs="Times New Roman"/>
          <w:szCs w:val="24"/>
        </w:rPr>
        <w:t>, 86(1), pp. 78–93.</w:t>
      </w:r>
    </w:p>
    <w:p w14:paraId="5BC8C6D7" w14:textId="77777777" w:rsidR="00591159" w:rsidRPr="00A046BE" w:rsidRDefault="00591159" w:rsidP="00A046BE">
      <w:pPr>
        <w:pStyle w:val="Prrafodelista"/>
        <w:numPr>
          <w:ilvl w:val="0"/>
          <w:numId w:val="18"/>
        </w:numPr>
        <w:spacing w:line="360" w:lineRule="auto"/>
        <w:rPr>
          <w:rFonts w:cs="Times New Roman"/>
          <w:szCs w:val="24"/>
        </w:rPr>
      </w:pPr>
      <w:r w:rsidRPr="00A046BE">
        <w:rPr>
          <w:rFonts w:cs="Times New Roman"/>
          <w:szCs w:val="24"/>
        </w:rPr>
        <w:t xml:space="preserve">Robbins, S.P. and Judge, T.A. (2024) </w:t>
      </w:r>
      <w:r w:rsidRPr="00A046BE">
        <w:rPr>
          <w:rFonts w:cs="Times New Roman"/>
          <w:i/>
          <w:iCs/>
          <w:szCs w:val="24"/>
        </w:rPr>
        <w:t>Organizational behaviour</w:t>
      </w:r>
      <w:r w:rsidRPr="00A046BE">
        <w:rPr>
          <w:rFonts w:cs="Times New Roman"/>
          <w:szCs w:val="24"/>
        </w:rPr>
        <w:t xml:space="preserve">. 19th </w:t>
      </w:r>
      <w:proofErr w:type="spellStart"/>
      <w:r w:rsidRPr="00A046BE">
        <w:rPr>
          <w:rFonts w:cs="Times New Roman"/>
          <w:szCs w:val="24"/>
        </w:rPr>
        <w:t>edn</w:t>
      </w:r>
      <w:proofErr w:type="spellEnd"/>
      <w:r w:rsidRPr="00A046BE">
        <w:rPr>
          <w:rFonts w:cs="Times New Roman"/>
          <w:szCs w:val="24"/>
        </w:rPr>
        <w:t>. Harlow: Pearson Education Limited.</w:t>
      </w:r>
    </w:p>
    <w:p w14:paraId="40811047" w14:textId="77777777" w:rsidR="00591159" w:rsidRPr="00A046BE" w:rsidRDefault="00591159" w:rsidP="00A046BE">
      <w:pPr>
        <w:pStyle w:val="Prrafodelista"/>
        <w:numPr>
          <w:ilvl w:val="0"/>
          <w:numId w:val="18"/>
        </w:numPr>
        <w:spacing w:line="360" w:lineRule="auto"/>
        <w:rPr>
          <w:rFonts w:cs="Times New Roman"/>
          <w:szCs w:val="24"/>
        </w:rPr>
      </w:pPr>
      <w:r w:rsidRPr="00A046BE">
        <w:rPr>
          <w:rFonts w:cs="Times New Roman"/>
          <w:szCs w:val="24"/>
        </w:rPr>
        <w:t xml:space="preserve">Saito, H., Brozović, D. and Baum, T. (2025) ‘Well-being of hospitality employees: A systematic literature review’, </w:t>
      </w:r>
      <w:r w:rsidRPr="00A046BE">
        <w:rPr>
          <w:rFonts w:cs="Times New Roman"/>
          <w:i/>
          <w:iCs/>
          <w:szCs w:val="24"/>
        </w:rPr>
        <w:t>International Journal of Hospitality Management</w:t>
      </w:r>
      <w:r w:rsidRPr="00A046BE">
        <w:rPr>
          <w:rFonts w:cs="Times New Roman"/>
          <w:szCs w:val="24"/>
        </w:rPr>
        <w:t xml:space="preserve">. Available at: </w:t>
      </w:r>
      <w:hyperlink r:id="rId38" w:tgtFrame="_new" w:history="1">
        <w:r w:rsidRPr="00A046BE">
          <w:rPr>
            <w:rStyle w:val="Hipervnculo"/>
            <w:rFonts w:cs="Times New Roman"/>
            <w:szCs w:val="24"/>
          </w:rPr>
          <w:t>https://doi.org/10.1016/j.ijhm.2024.103955</w:t>
        </w:r>
      </w:hyperlink>
      <w:r w:rsidRPr="00A046BE">
        <w:rPr>
          <w:rFonts w:cs="Times New Roman"/>
          <w:szCs w:val="24"/>
        </w:rPr>
        <w:t>.</w:t>
      </w:r>
    </w:p>
    <w:p w14:paraId="325A5C65" w14:textId="77777777" w:rsidR="00591159" w:rsidRPr="00A046BE" w:rsidRDefault="00591159" w:rsidP="00A046BE">
      <w:pPr>
        <w:pStyle w:val="Prrafodelista"/>
        <w:numPr>
          <w:ilvl w:val="0"/>
          <w:numId w:val="18"/>
        </w:numPr>
        <w:spacing w:line="360" w:lineRule="auto"/>
        <w:rPr>
          <w:rFonts w:cs="Times New Roman"/>
          <w:szCs w:val="24"/>
        </w:rPr>
      </w:pPr>
      <w:r w:rsidRPr="00A046BE">
        <w:rPr>
          <w:rFonts w:cs="Times New Roman"/>
          <w:szCs w:val="24"/>
        </w:rPr>
        <w:t xml:space="preserve">Schein, E.H. (2010) </w:t>
      </w:r>
      <w:r w:rsidRPr="00A046BE">
        <w:rPr>
          <w:rFonts w:cs="Times New Roman"/>
          <w:i/>
          <w:iCs/>
          <w:szCs w:val="24"/>
        </w:rPr>
        <w:t>Organizational culture and leadership</w:t>
      </w:r>
      <w:r w:rsidRPr="00A046BE">
        <w:rPr>
          <w:rFonts w:cs="Times New Roman"/>
          <w:szCs w:val="24"/>
        </w:rPr>
        <w:t xml:space="preserve">. 4th </w:t>
      </w:r>
      <w:proofErr w:type="spellStart"/>
      <w:r w:rsidRPr="00A046BE">
        <w:rPr>
          <w:rFonts w:cs="Times New Roman"/>
          <w:szCs w:val="24"/>
        </w:rPr>
        <w:t>edn</w:t>
      </w:r>
      <w:proofErr w:type="spellEnd"/>
      <w:r w:rsidRPr="00A046BE">
        <w:rPr>
          <w:rFonts w:cs="Times New Roman"/>
          <w:szCs w:val="24"/>
        </w:rPr>
        <w:t>. Jossey-Bass.</w:t>
      </w:r>
    </w:p>
    <w:p w14:paraId="2C78DD1E" w14:textId="77777777" w:rsidR="00AB1932" w:rsidRDefault="00AB1932" w:rsidP="00A046BE">
      <w:pPr>
        <w:pStyle w:val="Prrafodelista"/>
        <w:numPr>
          <w:ilvl w:val="0"/>
          <w:numId w:val="18"/>
        </w:numPr>
        <w:spacing w:line="360" w:lineRule="auto"/>
        <w:rPr>
          <w:rFonts w:cs="Times New Roman"/>
          <w:szCs w:val="24"/>
        </w:rPr>
      </w:pPr>
      <w:r w:rsidRPr="00AB1932">
        <w:rPr>
          <w:rFonts w:cs="Times New Roman"/>
          <w:szCs w:val="24"/>
        </w:rPr>
        <w:t xml:space="preserve">Tucci, L. (2022) </w:t>
      </w:r>
      <w:r w:rsidRPr="00AB1932">
        <w:rPr>
          <w:rFonts w:cs="Times New Roman"/>
          <w:i/>
          <w:iCs/>
          <w:szCs w:val="24"/>
        </w:rPr>
        <w:t>Strategic management</w:t>
      </w:r>
      <w:r w:rsidRPr="00AB1932">
        <w:rPr>
          <w:rFonts w:cs="Times New Roman"/>
          <w:szCs w:val="24"/>
        </w:rPr>
        <w:t xml:space="preserve">. Available at: </w:t>
      </w:r>
      <w:hyperlink r:id="rId39" w:tgtFrame="_new" w:history="1">
        <w:r w:rsidRPr="00AB1932">
          <w:rPr>
            <w:rStyle w:val="Hipervnculo"/>
            <w:rFonts w:cs="Times New Roman"/>
            <w:szCs w:val="24"/>
          </w:rPr>
          <w:t>https://www.techtarget.com/searchcio/definition/strategic-management</w:t>
        </w:r>
      </w:hyperlink>
      <w:r w:rsidRPr="00AB1932">
        <w:rPr>
          <w:rFonts w:cs="Times New Roman"/>
          <w:szCs w:val="24"/>
        </w:rPr>
        <w:t xml:space="preserve"> (Accessed: 13 March 2026).</w:t>
      </w:r>
    </w:p>
    <w:p w14:paraId="4F97580C" w14:textId="52F56D8F" w:rsidR="00591159" w:rsidRPr="00A046BE" w:rsidRDefault="00591159" w:rsidP="00A046BE">
      <w:pPr>
        <w:pStyle w:val="Prrafodelista"/>
        <w:numPr>
          <w:ilvl w:val="0"/>
          <w:numId w:val="18"/>
        </w:numPr>
        <w:spacing w:line="360" w:lineRule="auto"/>
        <w:rPr>
          <w:rFonts w:cs="Times New Roman"/>
          <w:szCs w:val="24"/>
        </w:rPr>
      </w:pPr>
      <w:r w:rsidRPr="00A046BE">
        <w:rPr>
          <w:rFonts w:cs="Times New Roman"/>
          <w:szCs w:val="24"/>
        </w:rPr>
        <w:t xml:space="preserve">UNWTO (2023) </w:t>
      </w:r>
      <w:r w:rsidRPr="00A046BE">
        <w:rPr>
          <w:rFonts w:cs="Times New Roman"/>
          <w:i/>
          <w:iCs/>
          <w:szCs w:val="24"/>
        </w:rPr>
        <w:t>Tourism and the Sustainable Development Goals: Progress Report 2023</w:t>
      </w:r>
      <w:r w:rsidRPr="00A046BE">
        <w:rPr>
          <w:rFonts w:cs="Times New Roman"/>
          <w:szCs w:val="24"/>
        </w:rPr>
        <w:t xml:space="preserve">. Available at: </w:t>
      </w:r>
      <w:hyperlink r:id="rId40" w:tgtFrame="_new" w:history="1">
        <w:r w:rsidRPr="00A046BE">
          <w:rPr>
            <w:rStyle w:val="Hipervnculo"/>
            <w:rFonts w:cs="Times New Roman"/>
            <w:szCs w:val="24"/>
          </w:rPr>
          <w:t>https://www.unwto.org</w:t>
        </w:r>
      </w:hyperlink>
      <w:r w:rsidRPr="00A046BE">
        <w:rPr>
          <w:rFonts w:cs="Times New Roman"/>
          <w:szCs w:val="24"/>
        </w:rPr>
        <w:t xml:space="preserve"> (Accessed: 13 March 2026).</w:t>
      </w:r>
    </w:p>
    <w:p w14:paraId="7C199787" w14:textId="77777777" w:rsidR="00591159" w:rsidRPr="00A046BE" w:rsidRDefault="00591159" w:rsidP="00A046BE">
      <w:pPr>
        <w:pStyle w:val="Prrafodelista"/>
        <w:numPr>
          <w:ilvl w:val="0"/>
          <w:numId w:val="18"/>
        </w:numPr>
        <w:spacing w:line="360" w:lineRule="auto"/>
        <w:rPr>
          <w:rFonts w:cs="Times New Roman"/>
          <w:szCs w:val="24"/>
        </w:rPr>
      </w:pPr>
      <w:r w:rsidRPr="00A046BE">
        <w:rPr>
          <w:rFonts w:cs="Times New Roman"/>
          <w:szCs w:val="24"/>
        </w:rPr>
        <w:lastRenderedPageBreak/>
        <w:t xml:space="preserve">World Travel &amp; Tourism Council (2024) </w:t>
      </w:r>
      <w:r w:rsidRPr="00A046BE">
        <w:rPr>
          <w:rFonts w:cs="Times New Roman"/>
          <w:i/>
          <w:iCs/>
          <w:szCs w:val="24"/>
        </w:rPr>
        <w:t>Travel &amp; Tourism Economic Impact Research (EIR)</w:t>
      </w:r>
      <w:r w:rsidRPr="00A046BE">
        <w:rPr>
          <w:rFonts w:cs="Times New Roman"/>
          <w:szCs w:val="24"/>
        </w:rPr>
        <w:t xml:space="preserve">. Available at: </w:t>
      </w:r>
      <w:hyperlink r:id="rId41" w:tgtFrame="_new" w:history="1">
        <w:r w:rsidRPr="00A046BE">
          <w:rPr>
            <w:rStyle w:val="Hipervnculo"/>
            <w:rFonts w:cs="Times New Roman"/>
            <w:szCs w:val="24"/>
          </w:rPr>
          <w:t>https://wttc.org/research/economic-impact</w:t>
        </w:r>
      </w:hyperlink>
      <w:r w:rsidRPr="00A046BE">
        <w:rPr>
          <w:rFonts w:cs="Times New Roman"/>
          <w:szCs w:val="24"/>
        </w:rPr>
        <w:t xml:space="preserve"> (Accessed: 13 March 2026).</w:t>
      </w:r>
    </w:p>
    <w:p w14:paraId="7CD707B5" w14:textId="77777777" w:rsidR="00591159" w:rsidRPr="00A046BE" w:rsidRDefault="00591159" w:rsidP="00A046BE">
      <w:pPr>
        <w:spacing w:line="360" w:lineRule="auto"/>
        <w:rPr>
          <w:rFonts w:cs="Times New Roman"/>
          <w:szCs w:val="24"/>
        </w:rPr>
      </w:pPr>
    </w:p>
    <w:p w14:paraId="7079E01A" w14:textId="77777777" w:rsidR="00823FEA" w:rsidRPr="00A046BE" w:rsidRDefault="00823FEA" w:rsidP="00A046BE">
      <w:pPr>
        <w:pStyle w:val="Default"/>
        <w:spacing w:line="360" w:lineRule="auto"/>
        <w:rPr>
          <w:rFonts w:ascii="Times New Roman" w:hAnsi="Times New Roman" w:cs="Times New Roman"/>
          <w:lang w:val="en-GB"/>
        </w:rPr>
      </w:pPr>
    </w:p>
    <w:p w14:paraId="4F0386EE" w14:textId="77777777" w:rsidR="00823FEA" w:rsidRPr="00A046BE" w:rsidRDefault="00823FEA" w:rsidP="00A046BE">
      <w:pPr>
        <w:pStyle w:val="Default"/>
        <w:spacing w:line="360" w:lineRule="auto"/>
        <w:rPr>
          <w:rFonts w:ascii="Times New Roman" w:hAnsi="Times New Roman" w:cs="Times New Roman"/>
          <w:lang w:val="en-GB"/>
        </w:rPr>
      </w:pPr>
    </w:p>
    <w:p w14:paraId="60DFCAF3" w14:textId="77777777" w:rsidR="002D411F" w:rsidRPr="00A046BE" w:rsidRDefault="002D411F" w:rsidP="00A046BE">
      <w:pPr>
        <w:pStyle w:val="Prrafodelista"/>
        <w:spacing w:line="360" w:lineRule="auto"/>
        <w:rPr>
          <w:rFonts w:cs="Times New Roman"/>
          <w:szCs w:val="24"/>
        </w:rPr>
      </w:pPr>
    </w:p>
    <w:sectPr w:rsidR="002D411F" w:rsidRPr="00A046BE" w:rsidSect="0021788E">
      <w:headerReference w:type="default" r:id="rId42"/>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49B687" w14:textId="77777777" w:rsidR="00C144AF" w:rsidRDefault="00C144AF" w:rsidP="00E745E1">
      <w:pPr>
        <w:spacing w:after="0" w:line="240" w:lineRule="auto"/>
      </w:pPr>
      <w:r>
        <w:separator/>
      </w:r>
    </w:p>
  </w:endnote>
  <w:endnote w:type="continuationSeparator" w:id="0">
    <w:p w14:paraId="54CB17E8" w14:textId="77777777" w:rsidR="00C144AF" w:rsidRDefault="00C144AF" w:rsidP="00E745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0871691"/>
      <w:docPartObj>
        <w:docPartGallery w:val="Page Numbers (Bottom of Page)"/>
        <w:docPartUnique/>
      </w:docPartObj>
    </w:sdtPr>
    <w:sdtEndPr/>
    <w:sdtContent>
      <w:p w14:paraId="24F34D29" w14:textId="6D9B8975" w:rsidR="00E745E1" w:rsidRDefault="00E745E1">
        <w:pPr>
          <w:pStyle w:val="Piedepgina"/>
          <w:jc w:val="right"/>
        </w:pPr>
        <w:r>
          <w:fldChar w:fldCharType="begin"/>
        </w:r>
        <w:r>
          <w:instrText>PAGE   \* MERGEFORMAT</w:instrText>
        </w:r>
        <w:r>
          <w:fldChar w:fldCharType="separate"/>
        </w:r>
        <w:r>
          <w:rPr>
            <w:lang w:val="es-ES"/>
          </w:rPr>
          <w:t>2</w:t>
        </w:r>
        <w:r>
          <w:fldChar w:fldCharType="end"/>
        </w:r>
      </w:p>
    </w:sdtContent>
  </w:sdt>
  <w:p w14:paraId="3A28085B" w14:textId="77777777" w:rsidR="00E745E1" w:rsidRDefault="00E745E1">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36A3F8" w14:textId="77777777" w:rsidR="00C144AF" w:rsidRDefault="00C144AF" w:rsidP="00E745E1">
      <w:pPr>
        <w:spacing w:after="0" w:line="240" w:lineRule="auto"/>
      </w:pPr>
      <w:r>
        <w:separator/>
      </w:r>
    </w:p>
  </w:footnote>
  <w:footnote w:type="continuationSeparator" w:id="0">
    <w:p w14:paraId="6A6789E8" w14:textId="77777777" w:rsidR="00C144AF" w:rsidRDefault="00C144AF" w:rsidP="00E745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4367592"/>
      <w:docPartObj>
        <w:docPartGallery w:val="Page Numbers (Top of Page)"/>
        <w:docPartUnique/>
      </w:docPartObj>
    </w:sdtPr>
    <w:sdtEndPr/>
    <w:sdtContent>
      <w:p w14:paraId="314514E2" w14:textId="085DAA43" w:rsidR="004470F1" w:rsidRDefault="004470F1">
        <w:pPr>
          <w:pStyle w:val="Encabezado"/>
          <w:jc w:val="right"/>
        </w:pPr>
        <w:r>
          <w:fldChar w:fldCharType="begin"/>
        </w:r>
        <w:r>
          <w:instrText>PAGE   \* MERGEFORMAT</w:instrText>
        </w:r>
        <w:r>
          <w:fldChar w:fldCharType="separate"/>
        </w:r>
        <w:r>
          <w:rPr>
            <w:lang w:val="es-ES"/>
          </w:rPr>
          <w:t>2</w:t>
        </w:r>
        <w:r>
          <w:fldChar w:fldCharType="end"/>
        </w:r>
      </w:p>
    </w:sdtContent>
  </w:sdt>
  <w:p w14:paraId="4F985996" w14:textId="77777777" w:rsidR="004470F1" w:rsidRDefault="004470F1">
    <w:pPr>
      <w:pStyle w:val="Encabezad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950488C8"/>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9E631038"/>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CCE92B4D"/>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DCEE17A0"/>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E5A8B01F"/>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FDA1917E"/>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30C04B2"/>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14B47416"/>
    <w:multiLevelType w:val="hybridMultilevel"/>
    <w:tmpl w:val="6E16CF7E"/>
    <w:lvl w:ilvl="0" w:tplc="0C0A000F">
      <w:start w:val="1"/>
      <w:numFmt w:val="decimal"/>
      <w:lvlText w:val="%1."/>
      <w:lvlJc w:val="left"/>
      <w:pPr>
        <w:ind w:left="96" w:hanging="360"/>
      </w:pPr>
    </w:lvl>
    <w:lvl w:ilvl="1" w:tplc="0C0A0019" w:tentative="1">
      <w:start w:val="1"/>
      <w:numFmt w:val="lowerLetter"/>
      <w:lvlText w:val="%2."/>
      <w:lvlJc w:val="left"/>
      <w:pPr>
        <w:ind w:left="816" w:hanging="360"/>
      </w:pPr>
    </w:lvl>
    <w:lvl w:ilvl="2" w:tplc="0C0A001B" w:tentative="1">
      <w:start w:val="1"/>
      <w:numFmt w:val="lowerRoman"/>
      <w:lvlText w:val="%3."/>
      <w:lvlJc w:val="right"/>
      <w:pPr>
        <w:ind w:left="1536" w:hanging="180"/>
      </w:pPr>
    </w:lvl>
    <w:lvl w:ilvl="3" w:tplc="0C0A000F" w:tentative="1">
      <w:start w:val="1"/>
      <w:numFmt w:val="decimal"/>
      <w:lvlText w:val="%4."/>
      <w:lvlJc w:val="left"/>
      <w:pPr>
        <w:ind w:left="2256" w:hanging="360"/>
      </w:pPr>
    </w:lvl>
    <w:lvl w:ilvl="4" w:tplc="0C0A0019" w:tentative="1">
      <w:start w:val="1"/>
      <w:numFmt w:val="lowerLetter"/>
      <w:lvlText w:val="%5."/>
      <w:lvlJc w:val="left"/>
      <w:pPr>
        <w:ind w:left="2976" w:hanging="360"/>
      </w:pPr>
    </w:lvl>
    <w:lvl w:ilvl="5" w:tplc="0C0A001B" w:tentative="1">
      <w:start w:val="1"/>
      <w:numFmt w:val="lowerRoman"/>
      <w:lvlText w:val="%6."/>
      <w:lvlJc w:val="right"/>
      <w:pPr>
        <w:ind w:left="3696" w:hanging="180"/>
      </w:pPr>
    </w:lvl>
    <w:lvl w:ilvl="6" w:tplc="0C0A000F" w:tentative="1">
      <w:start w:val="1"/>
      <w:numFmt w:val="decimal"/>
      <w:lvlText w:val="%7."/>
      <w:lvlJc w:val="left"/>
      <w:pPr>
        <w:ind w:left="4416" w:hanging="360"/>
      </w:pPr>
    </w:lvl>
    <w:lvl w:ilvl="7" w:tplc="0C0A0019" w:tentative="1">
      <w:start w:val="1"/>
      <w:numFmt w:val="lowerLetter"/>
      <w:lvlText w:val="%8."/>
      <w:lvlJc w:val="left"/>
      <w:pPr>
        <w:ind w:left="5136" w:hanging="360"/>
      </w:pPr>
    </w:lvl>
    <w:lvl w:ilvl="8" w:tplc="0C0A001B" w:tentative="1">
      <w:start w:val="1"/>
      <w:numFmt w:val="lowerRoman"/>
      <w:lvlText w:val="%9."/>
      <w:lvlJc w:val="right"/>
      <w:pPr>
        <w:ind w:left="5856" w:hanging="180"/>
      </w:pPr>
    </w:lvl>
  </w:abstractNum>
  <w:abstractNum w:abstractNumId="8" w15:restartNumberingAfterBreak="0">
    <w:nsid w:val="19CF56D3"/>
    <w:multiLevelType w:val="hybridMultilevel"/>
    <w:tmpl w:val="41B4047A"/>
    <w:lvl w:ilvl="0" w:tplc="0C0A000F">
      <w:start w:val="1"/>
      <w:numFmt w:val="decimal"/>
      <w:lvlText w:val="%1."/>
      <w:lvlJc w:val="left"/>
      <w:pPr>
        <w:ind w:left="720" w:hanging="360"/>
      </w:pPr>
    </w:lvl>
    <w:lvl w:ilvl="1" w:tplc="0C0A0019">
      <w:start w:val="1"/>
      <w:numFmt w:val="lowerLetter"/>
      <w:lvlText w:val="%2."/>
      <w:lvlJc w:val="left"/>
      <w:pPr>
        <w:ind w:left="1440" w:hanging="360"/>
      </w:pPr>
    </w:lvl>
    <w:lvl w:ilvl="2" w:tplc="0C0A001B">
      <w:start w:val="1"/>
      <w:numFmt w:val="lowerRoman"/>
      <w:lvlText w:val="%3."/>
      <w:lvlJc w:val="right"/>
      <w:pPr>
        <w:ind w:left="2160" w:hanging="180"/>
      </w:pPr>
    </w:lvl>
    <w:lvl w:ilvl="3" w:tplc="0C0A000F">
      <w:start w:val="1"/>
      <w:numFmt w:val="decimal"/>
      <w:lvlText w:val="%4."/>
      <w:lvlJc w:val="left"/>
      <w:pPr>
        <w:ind w:left="2880" w:hanging="360"/>
      </w:pPr>
    </w:lvl>
    <w:lvl w:ilvl="4" w:tplc="0C0A0019">
      <w:start w:val="1"/>
      <w:numFmt w:val="lowerLetter"/>
      <w:lvlText w:val="%5."/>
      <w:lvlJc w:val="left"/>
      <w:pPr>
        <w:ind w:left="3600" w:hanging="360"/>
      </w:pPr>
    </w:lvl>
    <w:lvl w:ilvl="5" w:tplc="0C0A001B">
      <w:start w:val="1"/>
      <w:numFmt w:val="lowerRoman"/>
      <w:lvlText w:val="%6."/>
      <w:lvlJc w:val="right"/>
      <w:pPr>
        <w:ind w:left="4320" w:hanging="180"/>
      </w:pPr>
    </w:lvl>
    <w:lvl w:ilvl="6" w:tplc="0C0A000F">
      <w:start w:val="1"/>
      <w:numFmt w:val="decimal"/>
      <w:lvlText w:val="%7."/>
      <w:lvlJc w:val="left"/>
      <w:pPr>
        <w:ind w:left="5040" w:hanging="360"/>
      </w:pPr>
    </w:lvl>
    <w:lvl w:ilvl="7" w:tplc="0C0A0019">
      <w:start w:val="1"/>
      <w:numFmt w:val="lowerLetter"/>
      <w:lvlText w:val="%8."/>
      <w:lvlJc w:val="left"/>
      <w:pPr>
        <w:ind w:left="5760" w:hanging="360"/>
      </w:pPr>
    </w:lvl>
    <w:lvl w:ilvl="8" w:tplc="0C0A001B">
      <w:start w:val="1"/>
      <w:numFmt w:val="lowerRoman"/>
      <w:lvlText w:val="%9."/>
      <w:lvlJc w:val="right"/>
      <w:pPr>
        <w:ind w:left="6480" w:hanging="180"/>
      </w:pPr>
    </w:lvl>
  </w:abstractNum>
  <w:abstractNum w:abstractNumId="9" w15:restartNumberingAfterBreak="0">
    <w:nsid w:val="204F8089"/>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366B6695"/>
    <w:multiLevelType w:val="hybridMultilevel"/>
    <w:tmpl w:val="AF725474"/>
    <w:lvl w:ilvl="0" w:tplc="DA407FA8">
      <w:numFmt w:val="bullet"/>
      <w:lvlText w:val="-"/>
      <w:lvlJc w:val="left"/>
      <w:pPr>
        <w:ind w:left="720" w:hanging="360"/>
      </w:pPr>
      <w:rPr>
        <w:rFonts w:ascii="Times New Roman" w:eastAsiaTheme="minorHAnsi" w:hAnsi="Times New Roman" w:cs="Times New Roman"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1" w15:restartNumberingAfterBreak="0">
    <w:nsid w:val="3A760849"/>
    <w:multiLevelType w:val="hybridMultilevel"/>
    <w:tmpl w:val="FB26963C"/>
    <w:lvl w:ilvl="0" w:tplc="0C0A000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15:restartNumberingAfterBreak="0">
    <w:nsid w:val="4A9614CC"/>
    <w:multiLevelType w:val="hybridMultilevel"/>
    <w:tmpl w:val="1732315C"/>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3" w15:restartNumberingAfterBreak="0">
    <w:nsid w:val="59A4244B"/>
    <w:multiLevelType w:val="hybridMultilevel"/>
    <w:tmpl w:val="92EA8432"/>
    <w:lvl w:ilvl="0" w:tplc="0C0A0011">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4" w15:restartNumberingAfterBreak="0">
    <w:nsid w:val="5E482CD8"/>
    <w:multiLevelType w:val="multilevel"/>
    <w:tmpl w:val="35705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2087AB0"/>
    <w:multiLevelType w:val="hybridMultilevel"/>
    <w:tmpl w:val="00CAA8D8"/>
    <w:lvl w:ilvl="0" w:tplc="0C0A000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6" w15:restartNumberingAfterBreak="0">
    <w:nsid w:val="73B9C18A"/>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09112043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519243414">
    <w:abstractNumId w:val="5"/>
  </w:num>
  <w:num w:numId="3" w16cid:durableId="1626692012">
    <w:abstractNumId w:val="4"/>
  </w:num>
  <w:num w:numId="4" w16cid:durableId="1580599780">
    <w:abstractNumId w:val="6"/>
  </w:num>
  <w:num w:numId="5" w16cid:durableId="1373845158">
    <w:abstractNumId w:val="16"/>
  </w:num>
  <w:num w:numId="6" w16cid:durableId="890119751">
    <w:abstractNumId w:val="1"/>
  </w:num>
  <w:num w:numId="7" w16cid:durableId="533468697">
    <w:abstractNumId w:val="9"/>
  </w:num>
  <w:num w:numId="8" w16cid:durableId="1640573285">
    <w:abstractNumId w:val="3"/>
  </w:num>
  <w:num w:numId="9" w16cid:durableId="1571772738">
    <w:abstractNumId w:val="14"/>
  </w:num>
  <w:num w:numId="10" w16cid:durableId="307633419">
    <w:abstractNumId w:val="10"/>
  </w:num>
  <w:num w:numId="11" w16cid:durableId="2020614412">
    <w:abstractNumId w:val="8"/>
  </w:num>
  <w:num w:numId="12" w16cid:durableId="120344324">
    <w:abstractNumId w:val="15"/>
  </w:num>
  <w:num w:numId="13" w16cid:durableId="1866358223">
    <w:abstractNumId w:val="7"/>
  </w:num>
  <w:num w:numId="14" w16cid:durableId="130709753">
    <w:abstractNumId w:val="13"/>
  </w:num>
  <w:num w:numId="15" w16cid:durableId="2078628325">
    <w:abstractNumId w:val="11"/>
  </w:num>
  <w:num w:numId="16" w16cid:durableId="1671250190">
    <w:abstractNumId w:val="2"/>
  </w:num>
  <w:num w:numId="17" w16cid:durableId="320818710">
    <w:abstractNumId w:val="0"/>
  </w:num>
  <w:num w:numId="18" w16cid:durableId="53827499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3B3"/>
    <w:rsid w:val="00007B05"/>
    <w:rsid w:val="00017D6F"/>
    <w:rsid w:val="000310CA"/>
    <w:rsid w:val="000551BA"/>
    <w:rsid w:val="00056A50"/>
    <w:rsid w:val="00060512"/>
    <w:rsid w:val="00062D08"/>
    <w:rsid w:val="0008121D"/>
    <w:rsid w:val="00084739"/>
    <w:rsid w:val="000A084F"/>
    <w:rsid w:val="000A474D"/>
    <w:rsid w:val="000A64BE"/>
    <w:rsid w:val="000B4032"/>
    <w:rsid w:val="00126170"/>
    <w:rsid w:val="00144E59"/>
    <w:rsid w:val="001505F5"/>
    <w:rsid w:val="00160292"/>
    <w:rsid w:val="001A152B"/>
    <w:rsid w:val="001C0C30"/>
    <w:rsid w:val="00202957"/>
    <w:rsid w:val="0021788E"/>
    <w:rsid w:val="00277DC1"/>
    <w:rsid w:val="002B57BE"/>
    <w:rsid w:val="002D411F"/>
    <w:rsid w:val="002E1BD1"/>
    <w:rsid w:val="002E26C5"/>
    <w:rsid w:val="002E4FAF"/>
    <w:rsid w:val="002E60AE"/>
    <w:rsid w:val="00343898"/>
    <w:rsid w:val="00361A7D"/>
    <w:rsid w:val="00373FC6"/>
    <w:rsid w:val="003B455D"/>
    <w:rsid w:val="003C68D5"/>
    <w:rsid w:val="004054DF"/>
    <w:rsid w:val="00424661"/>
    <w:rsid w:val="00427B70"/>
    <w:rsid w:val="0043701E"/>
    <w:rsid w:val="0044516B"/>
    <w:rsid w:val="00445197"/>
    <w:rsid w:val="004470F1"/>
    <w:rsid w:val="00472991"/>
    <w:rsid w:val="0049419B"/>
    <w:rsid w:val="004A45AE"/>
    <w:rsid w:val="00500D5C"/>
    <w:rsid w:val="00551037"/>
    <w:rsid w:val="00580B0D"/>
    <w:rsid w:val="00591159"/>
    <w:rsid w:val="005D140D"/>
    <w:rsid w:val="005D37C3"/>
    <w:rsid w:val="005D3D9F"/>
    <w:rsid w:val="005F3CB8"/>
    <w:rsid w:val="00620FE3"/>
    <w:rsid w:val="00627772"/>
    <w:rsid w:val="00641AEF"/>
    <w:rsid w:val="006423B3"/>
    <w:rsid w:val="006538CA"/>
    <w:rsid w:val="006542D1"/>
    <w:rsid w:val="00663A08"/>
    <w:rsid w:val="00671571"/>
    <w:rsid w:val="00672C85"/>
    <w:rsid w:val="006A2DF1"/>
    <w:rsid w:val="006A3A2D"/>
    <w:rsid w:val="006B7AAF"/>
    <w:rsid w:val="006D22F7"/>
    <w:rsid w:val="006D3C72"/>
    <w:rsid w:val="0073724B"/>
    <w:rsid w:val="007411BD"/>
    <w:rsid w:val="007522DF"/>
    <w:rsid w:val="00754084"/>
    <w:rsid w:val="007A56CA"/>
    <w:rsid w:val="007D10CE"/>
    <w:rsid w:val="007D4C60"/>
    <w:rsid w:val="007D762A"/>
    <w:rsid w:val="007F4E82"/>
    <w:rsid w:val="0080763A"/>
    <w:rsid w:val="0081556C"/>
    <w:rsid w:val="00817C48"/>
    <w:rsid w:val="00823FEA"/>
    <w:rsid w:val="00824A3C"/>
    <w:rsid w:val="008548CE"/>
    <w:rsid w:val="00891B9A"/>
    <w:rsid w:val="008B5F6D"/>
    <w:rsid w:val="008C6B17"/>
    <w:rsid w:val="008E090E"/>
    <w:rsid w:val="00923960"/>
    <w:rsid w:val="009303B8"/>
    <w:rsid w:val="009701F0"/>
    <w:rsid w:val="009759B2"/>
    <w:rsid w:val="00981444"/>
    <w:rsid w:val="0098558B"/>
    <w:rsid w:val="0099049F"/>
    <w:rsid w:val="009977BC"/>
    <w:rsid w:val="009A052B"/>
    <w:rsid w:val="009C37F3"/>
    <w:rsid w:val="009D7622"/>
    <w:rsid w:val="009F6AF6"/>
    <w:rsid w:val="00A046BE"/>
    <w:rsid w:val="00A32BF7"/>
    <w:rsid w:val="00A456C2"/>
    <w:rsid w:val="00A47A1E"/>
    <w:rsid w:val="00A50858"/>
    <w:rsid w:val="00A50D7F"/>
    <w:rsid w:val="00A6532F"/>
    <w:rsid w:val="00A81F77"/>
    <w:rsid w:val="00A86090"/>
    <w:rsid w:val="00A920D8"/>
    <w:rsid w:val="00AB1932"/>
    <w:rsid w:val="00AC50FB"/>
    <w:rsid w:val="00AE06DC"/>
    <w:rsid w:val="00AE6D6C"/>
    <w:rsid w:val="00AE768B"/>
    <w:rsid w:val="00B2222E"/>
    <w:rsid w:val="00B51EE5"/>
    <w:rsid w:val="00B81168"/>
    <w:rsid w:val="00BA03BD"/>
    <w:rsid w:val="00BA3041"/>
    <w:rsid w:val="00BD2D01"/>
    <w:rsid w:val="00C05EA4"/>
    <w:rsid w:val="00C144AF"/>
    <w:rsid w:val="00C17AB4"/>
    <w:rsid w:val="00C35511"/>
    <w:rsid w:val="00C36CBC"/>
    <w:rsid w:val="00C470AC"/>
    <w:rsid w:val="00C85899"/>
    <w:rsid w:val="00C866FD"/>
    <w:rsid w:val="00CC208A"/>
    <w:rsid w:val="00D1162E"/>
    <w:rsid w:val="00D11A21"/>
    <w:rsid w:val="00D171BF"/>
    <w:rsid w:val="00D23ED3"/>
    <w:rsid w:val="00D31068"/>
    <w:rsid w:val="00D44717"/>
    <w:rsid w:val="00D66EBF"/>
    <w:rsid w:val="00D71DA0"/>
    <w:rsid w:val="00D86EC0"/>
    <w:rsid w:val="00DA1A3B"/>
    <w:rsid w:val="00DD41CA"/>
    <w:rsid w:val="00DF0FCC"/>
    <w:rsid w:val="00E01511"/>
    <w:rsid w:val="00E54B1E"/>
    <w:rsid w:val="00E745E1"/>
    <w:rsid w:val="00E76B03"/>
    <w:rsid w:val="00E858A6"/>
    <w:rsid w:val="00E940BB"/>
    <w:rsid w:val="00EA7E57"/>
    <w:rsid w:val="00EC554F"/>
    <w:rsid w:val="00EC7EB2"/>
    <w:rsid w:val="00EE3605"/>
    <w:rsid w:val="00EE71A1"/>
    <w:rsid w:val="00F10D07"/>
    <w:rsid w:val="00F24588"/>
    <w:rsid w:val="00F54CB4"/>
    <w:rsid w:val="00F721EF"/>
    <w:rsid w:val="00F75877"/>
    <w:rsid w:val="00F86AC8"/>
    <w:rsid w:val="00F86D39"/>
    <w:rsid w:val="00F90021"/>
    <w:rsid w:val="00FE7EF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E2C13"/>
  <w15:chartTrackingRefBased/>
  <w15:docId w15:val="{3E58C2C4-676E-4268-82FF-F72AF33DF7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s-E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3A2D"/>
    <w:pPr>
      <w:spacing w:line="259" w:lineRule="auto"/>
    </w:pPr>
    <w:rPr>
      <w:rFonts w:ascii="Times New Roman" w:hAnsi="Times New Roman"/>
      <w:color w:val="000000" w:themeColor="text1"/>
      <w:szCs w:val="22"/>
      <w:lang w:val="en-GB"/>
      <w14:ligatures w14:val="none"/>
    </w:rPr>
  </w:style>
  <w:style w:type="paragraph" w:styleId="Ttulo1">
    <w:name w:val="heading 1"/>
    <w:basedOn w:val="Normal"/>
    <w:next w:val="Normal"/>
    <w:link w:val="Ttulo1Car"/>
    <w:uiPriority w:val="9"/>
    <w:qFormat/>
    <w:rsid w:val="006423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unhideWhenUsed/>
    <w:qFormat/>
    <w:rsid w:val="006423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semiHidden/>
    <w:unhideWhenUsed/>
    <w:qFormat/>
    <w:rsid w:val="006423B3"/>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6423B3"/>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6423B3"/>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6423B3"/>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6423B3"/>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6423B3"/>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6423B3"/>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6423B3"/>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rsid w:val="006423B3"/>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6423B3"/>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6423B3"/>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6423B3"/>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6423B3"/>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6423B3"/>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6423B3"/>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6423B3"/>
    <w:rPr>
      <w:rFonts w:eastAsiaTheme="majorEastAsia" w:cstheme="majorBidi"/>
      <w:color w:val="272727" w:themeColor="text1" w:themeTint="D8"/>
    </w:rPr>
  </w:style>
  <w:style w:type="paragraph" w:styleId="Ttulo">
    <w:name w:val="Title"/>
    <w:basedOn w:val="Normal"/>
    <w:next w:val="Normal"/>
    <w:link w:val="TtuloCar"/>
    <w:uiPriority w:val="10"/>
    <w:qFormat/>
    <w:rsid w:val="006423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6423B3"/>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6423B3"/>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6423B3"/>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6423B3"/>
    <w:pPr>
      <w:spacing w:before="160"/>
      <w:jc w:val="center"/>
    </w:pPr>
    <w:rPr>
      <w:i/>
      <w:iCs/>
      <w:color w:val="404040" w:themeColor="text1" w:themeTint="BF"/>
    </w:rPr>
  </w:style>
  <w:style w:type="character" w:customStyle="1" w:styleId="CitaCar">
    <w:name w:val="Cita Car"/>
    <w:basedOn w:val="Fuentedeprrafopredeter"/>
    <w:link w:val="Cita"/>
    <w:uiPriority w:val="29"/>
    <w:rsid w:val="006423B3"/>
    <w:rPr>
      <w:i/>
      <w:iCs/>
      <w:color w:val="404040" w:themeColor="text1" w:themeTint="BF"/>
    </w:rPr>
  </w:style>
  <w:style w:type="paragraph" w:styleId="Prrafodelista">
    <w:name w:val="List Paragraph"/>
    <w:basedOn w:val="Normal"/>
    <w:uiPriority w:val="34"/>
    <w:qFormat/>
    <w:rsid w:val="006423B3"/>
    <w:pPr>
      <w:ind w:left="720"/>
      <w:contextualSpacing/>
    </w:pPr>
  </w:style>
  <w:style w:type="character" w:styleId="nfasisintenso">
    <w:name w:val="Intense Emphasis"/>
    <w:basedOn w:val="Fuentedeprrafopredeter"/>
    <w:uiPriority w:val="21"/>
    <w:qFormat/>
    <w:rsid w:val="006423B3"/>
    <w:rPr>
      <w:i/>
      <w:iCs/>
      <w:color w:val="0F4761" w:themeColor="accent1" w:themeShade="BF"/>
    </w:rPr>
  </w:style>
  <w:style w:type="paragraph" w:styleId="Citadestacada">
    <w:name w:val="Intense Quote"/>
    <w:basedOn w:val="Normal"/>
    <w:next w:val="Normal"/>
    <w:link w:val="CitadestacadaCar"/>
    <w:uiPriority w:val="30"/>
    <w:qFormat/>
    <w:rsid w:val="006423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6423B3"/>
    <w:rPr>
      <w:i/>
      <w:iCs/>
      <w:color w:val="0F4761" w:themeColor="accent1" w:themeShade="BF"/>
    </w:rPr>
  </w:style>
  <w:style w:type="character" w:styleId="Referenciaintensa">
    <w:name w:val="Intense Reference"/>
    <w:basedOn w:val="Fuentedeprrafopredeter"/>
    <w:uiPriority w:val="32"/>
    <w:qFormat/>
    <w:rsid w:val="006423B3"/>
    <w:rPr>
      <w:b/>
      <w:bCs/>
      <w:smallCaps/>
      <w:color w:val="0F4761" w:themeColor="accent1" w:themeShade="BF"/>
      <w:spacing w:val="5"/>
    </w:rPr>
  </w:style>
  <w:style w:type="paragraph" w:styleId="TDC1">
    <w:name w:val="toc 1"/>
    <w:basedOn w:val="Normal"/>
    <w:next w:val="Normal"/>
    <w:autoRedefine/>
    <w:uiPriority w:val="39"/>
    <w:unhideWhenUsed/>
    <w:rsid w:val="006A3A2D"/>
    <w:pPr>
      <w:tabs>
        <w:tab w:val="right" w:leader="dot" w:pos="9016"/>
      </w:tabs>
      <w:spacing w:after="100" w:line="278" w:lineRule="auto"/>
    </w:pPr>
    <w:rPr>
      <w:rFonts w:asciiTheme="minorHAnsi" w:hAnsiTheme="minorHAnsi"/>
      <w:b/>
      <w:bCs/>
      <w:noProof/>
      <w:color w:val="auto"/>
      <w:kern w:val="2"/>
      <w:szCs w:val="24"/>
      <w14:ligatures w14:val="standardContextual"/>
    </w:rPr>
  </w:style>
  <w:style w:type="paragraph" w:styleId="TDC2">
    <w:name w:val="toc 2"/>
    <w:basedOn w:val="Normal"/>
    <w:next w:val="Normal"/>
    <w:autoRedefine/>
    <w:uiPriority w:val="39"/>
    <w:unhideWhenUsed/>
    <w:rsid w:val="006A3A2D"/>
    <w:pPr>
      <w:tabs>
        <w:tab w:val="right" w:leader="dot" w:pos="10456"/>
      </w:tabs>
      <w:spacing w:after="100" w:line="278" w:lineRule="auto"/>
      <w:ind w:left="240"/>
    </w:pPr>
    <w:rPr>
      <w:rFonts w:asciiTheme="minorHAnsi" w:hAnsiTheme="minorHAnsi"/>
      <w:b/>
      <w:bCs/>
      <w:noProof/>
      <w:color w:val="auto"/>
      <w:kern w:val="2"/>
      <w:szCs w:val="24"/>
      <w:lang w:val="es-ES"/>
      <w14:ligatures w14:val="standardContextual"/>
    </w:rPr>
  </w:style>
  <w:style w:type="character" w:styleId="Hipervnculo">
    <w:name w:val="Hyperlink"/>
    <w:basedOn w:val="Fuentedeprrafopredeter"/>
    <w:uiPriority w:val="99"/>
    <w:unhideWhenUsed/>
    <w:rsid w:val="006A3A2D"/>
    <w:rPr>
      <w:color w:val="467886" w:themeColor="hyperlink"/>
      <w:u w:val="single"/>
    </w:rPr>
  </w:style>
  <w:style w:type="paragraph" w:styleId="TtuloTDC">
    <w:name w:val="TOC Heading"/>
    <w:basedOn w:val="Ttulo1"/>
    <w:next w:val="Normal"/>
    <w:uiPriority w:val="39"/>
    <w:unhideWhenUsed/>
    <w:qFormat/>
    <w:rsid w:val="006A3A2D"/>
    <w:pPr>
      <w:spacing w:before="240" w:after="0"/>
      <w:outlineLvl w:val="9"/>
    </w:pPr>
    <w:rPr>
      <w:sz w:val="32"/>
      <w:szCs w:val="32"/>
      <w:lang w:val="en-US"/>
    </w:rPr>
  </w:style>
  <w:style w:type="character" w:styleId="Mencinsinresolver">
    <w:name w:val="Unresolved Mention"/>
    <w:basedOn w:val="Fuentedeprrafopredeter"/>
    <w:uiPriority w:val="99"/>
    <w:semiHidden/>
    <w:unhideWhenUsed/>
    <w:rsid w:val="00F86D39"/>
    <w:rPr>
      <w:color w:val="605E5C"/>
      <w:shd w:val="clear" w:color="auto" w:fill="E1DFDD"/>
    </w:rPr>
  </w:style>
  <w:style w:type="paragraph" w:customStyle="1" w:styleId="Default">
    <w:name w:val="Default"/>
    <w:rsid w:val="0008121D"/>
    <w:pPr>
      <w:autoSpaceDE w:val="0"/>
      <w:autoSpaceDN w:val="0"/>
      <w:adjustRightInd w:val="0"/>
      <w:spacing w:after="0" w:line="240" w:lineRule="auto"/>
    </w:pPr>
    <w:rPr>
      <w:rFonts w:ascii="Calibri" w:hAnsi="Calibri" w:cs="Calibri"/>
      <w:color w:val="000000"/>
    </w:rPr>
  </w:style>
  <w:style w:type="paragraph" w:styleId="NormalWeb">
    <w:name w:val="Normal (Web)"/>
    <w:basedOn w:val="Normal"/>
    <w:uiPriority w:val="99"/>
    <w:semiHidden/>
    <w:unhideWhenUsed/>
    <w:rsid w:val="00084739"/>
    <w:pPr>
      <w:spacing w:before="100" w:beforeAutospacing="1" w:after="100" w:afterAutospacing="1" w:line="240" w:lineRule="auto"/>
    </w:pPr>
    <w:rPr>
      <w:rFonts w:eastAsia="Times New Roman" w:cs="Times New Roman"/>
      <w:color w:val="auto"/>
      <w:szCs w:val="24"/>
      <w:lang w:val="es-ES" w:eastAsia="es-ES"/>
    </w:rPr>
  </w:style>
  <w:style w:type="character" w:styleId="nfasis">
    <w:name w:val="Emphasis"/>
    <w:basedOn w:val="Fuentedeprrafopredeter"/>
    <w:uiPriority w:val="20"/>
    <w:qFormat/>
    <w:rsid w:val="00C35511"/>
    <w:rPr>
      <w:i/>
      <w:iCs/>
    </w:rPr>
  </w:style>
  <w:style w:type="character" w:styleId="Fuerte">
    <w:name w:val="Strong"/>
    <w:basedOn w:val="Fuentedeprrafopredeter"/>
    <w:uiPriority w:val="22"/>
    <w:qFormat/>
    <w:rsid w:val="00AE768B"/>
    <w:rPr>
      <w:b/>
      <w:bCs/>
    </w:rPr>
  </w:style>
  <w:style w:type="paragraph" w:styleId="Encabezado">
    <w:name w:val="header"/>
    <w:basedOn w:val="Normal"/>
    <w:link w:val="EncabezadoCar"/>
    <w:uiPriority w:val="99"/>
    <w:unhideWhenUsed/>
    <w:rsid w:val="00E745E1"/>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E745E1"/>
    <w:rPr>
      <w:rFonts w:ascii="Times New Roman" w:hAnsi="Times New Roman"/>
      <w:color w:val="000000" w:themeColor="text1"/>
      <w:szCs w:val="22"/>
      <w:lang w:val="en-GB"/>
      <w14:ligatures w14:val="none"/>
    </w:rPr>
  </w:style>
  <w:style w:type="paragraph" w:styleId="Piedepgina">
    <w:name w:val="footer"/>
    <w:basedOn w:val="Normal"/>
    <w:link w:val="PiedepginaCar"/>
    <w:uiPriority w:val="99"/>
    <w:unhideWhenUsed/>
    <w:rsid w:val="00E745E1"/>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E745E1"/>
    <w:rPr>
      <w:rFonts w:ascii="Times New Roman" w:hAnsi="Times New Roman"/>
      <w:color w:val="000000" w:themeColor="text1"/>
      <w:szCs w:val="22"/>
      <w:lang w:val="en-GB"/>
      <w14:ligatures w14:val="none"/>
    </w:rPr>
  </w:style>
  <w:style w:type="paragraph" w:styleId="Sinespaciado">
    <w:name w:val="No Spacing"/>
    <w:link w:val="SinespaciadoCar"/>
    <w:uiPriority w:val="1"/>
    <w:qFormat/>
    <w:rsid w:val="0021788E"/>
    <w:pPr>
      <w:spacing w:after="0" w:line="240" w:lineRule="auto"/>
    </w:pPr>
    <w:rPr>
      <w:rFonts w:eastAsiaTheme="minorEastAsia"/>
      <w:sz w:val="22"/>
      <w:szCs w:val="22"/>
      <w:lang w:eastAsia="es-ES"/>
      <w14:ligatures w14:val="none"/>
    </w:rPr>
  </w:style>
  <w:style w:type="character" w:customStyle="1" w:styleId="SinespaciadoCar">
    <w:name w:val="Sin espaciado Car"/>
    <w:basedOn w:val="Fuentedeprrafopredeter"/>
    <w:link w:val="Sinespaciado"/>
    <w:uiPriority w:val="1"/>
    <w:rsid w:val="0021788E"/>
    <w:rPr>
      <w:rFonts w:eastAsiaTheme="minorEastAsia"/>
      <w:sz w:val="22"/>
      <w:szCs w:val="22"/>
      <w:lang w:eastAsia="es-E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image" Target="media/image5.jpeg"/><Relationship Id="rId26" Type="http://schemas.openxmlformats.org/officeDocument/2006/relationships/hyperlink" Target="https://ir.hilton.com/financial-reporting/annual-reports?utm_source=chatgpt.com" TargetMode="External"/><Relationship Id="rId39" Type="http://schemas.openxmlformats.org/officeDocument/2006/relationships/hyperlink" Target="https://www.techtarget.com/searchcio/definition/strategic-management" TargetMode="External"/><Relationship Id="rId21" Type="http://schemas.openxmlformats.org/officeDocument/2006/relationships/hyperlink" Target="https://doi.org/10.1016/j.ijhm.2020.102765" TargetMode="External"/><Relationship Id="rId34" Type="http://schemas.openxmlformats.org/officeDocument/2006/relationships/hyperlink" Target="https://doi.org/10.3390/admsci15050153" TargetMode="External"/><Relationship Id="rId42"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hyperlink" Target="https://www.hilton.com/en/corporate/development/?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hyperlink" Target="https://doi.org/10.1108/JHTI-01-2021-0001" TargetMode="External"/><Relationship Id="rId32" Type="http://schemas.openxmlformats.org/officeDocument/2006/relationships/hyperlink" Target="https://doi.org/10.1108/IJCHM-10-2012-0180" TargetMode="External"/><Relationship Id="rId37" Type="http://schemas.openxmlformats.org/officeDocument/2006/relationships/hyperlink" Target="https://doi.org/10.2307/41165263" TargetMode="External"/><Relationship Id="rId40" Type="http://schemas.openxmlformats.org/officeDocument/2006/relationships/hyperlink" Target="https://www.unwto.org"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hyperlink" Target="https://www2.deloitte.com" TargetMode="External"/><Relationship Id="rId28" Type="http://schemas.openxmlformats.org/officeDocument/2006/relationships/hyperlink" Target="https://ir.hilton.com/financial-reporting/quarterly-results/2025?utm_source=chatgpt.com" TargetMode="External"/><Relationship Id="rId36" Type="http://schemas.openxmlformats.org/officeDocument/2006/relationships/hyperlink" Target="https://marriott.gcs-web.com/annual?utm_source=chatgpt.com" TargetMode="External"/><Relationship Id="rId10" Type="http://schemas.openxmlformats.org/officeDocument/2006/relationships/hyperlink" Target="https://www.grammarly.com/" TargetMode="External"/><Relationship Id="rId19" Type="http://schemas.openxmlformats.org/officeDocument/2006/relationships/image" Target="media/image6.jpg"/><Relationship Id="rId31" Type="http://schemas.openxmlformats.org/officeDocument/2006/relationships/hyperlink" Target="https://www.hilton.com/en/brands/?utm_source=chatgpt.com"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hyperlink" Target="https://globalnews.booking.com/bookingcom-reveals-key-findings-from-its-2023-sustainable-travel-report/" TargetMode="External"/><Relationship Id="rId27" Type="http://schemas.openxmlformats.org/officeDocument/2006/relationships/hyperlink" Target="https://travelwithpurpose.hilton.com/?utm_source=chatgpt.com" TargetMode="External"/><Relationship Id="rId30" Type="http://schemas.openxmlformats.org/officeDocument/2006/relationships/hyperlink" Target="https://ir.hilton.com?utm_source=chatgpt.com" TargetMode="External"/><Relationship Id="rId35" Type="http://schemas.openxmlformats.org/officeDocument/2006/relationships/hyperlink" Target="https://doi.org/10.1016/j.ijhm.2021.102940"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image" Target="media/image4.png"/><Relationship Id="rId25" Type="http://schemas.openxmlformats.org/officeDocument/2006/relationships/hyperlink" Target="https://doi.org/10.1177/21649987251347003" TargetMode="External"/><Relationship Id="rId33" Type="http://schemas.openxmlformats.org/officeDocument/2006/relationships/hyperlink" Target="https://www.investopedia.com/terms/s/strategic-management.asp" TargetMode="External"/><Relationship Id="rId38" Type="http://schemas.openxmlformats.org/officeDocument/2006/relationships/hyperlink" Target="https://doi.org/10.1016/j.ijhm.2024.103955" TargetMode="External"/><Relationship Id="rId20" Type="http://schemas.openxmlformats.org/officeDocument/2006/relationships/image" Target="media/image7.png"/><Relationship Id="rId41" Type="http://schemas.openxmlformats.org/officeDocument/2006/relationships/hyperlink" Target="https://wttc.org/research/economic-impact"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26107A7-752D-4B02-BEA5-502018EE20C2}"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s-ES"/>
        </a:p>
      </dgm:t>
    </dgm:pt>
    <dgm:pt modelId="{72F27F48-BAD8-4C7E-8FCB-68665339E0E1}">
      <dgm:prSet phldrT="[Texto]"/>
      <dgm:spPr/>
      <dgm:t>
        <a:bodyPr/>
        <a:lstStyle/>
        <a:p>
          <a:pPr>
            <a:buNone/>
          </a:pPr>
          <a:r>
            <a:rPr lang="es-ES" b="1"/>
            <a:t>Hilton Worldwide Holdings Inc.</a:t>
          </a:r>
          <a:endParaRPr lang="es-ES"/>
        </a:p>
      </dgm:t>
    </dgm:pt>
    <dgm:pt modelId="{770C4FBC-EE8C-4CF8-BD87-BB378B11DA5D}" type="parTrans" cxnId="{7EA47AFC-A670-4BCA-A907-041579BB4B78}">
      <dgm:prSet/>
      <dgm:spPr/>
      <dgm:t>
        <a:bodyPr/>
        <a:lstStyle/>
        <a:p>
          <a:endParaRPr lang="es-ES"/>
        </a:p>
      </dgm:t>
    </dgm:pt>
    <dgm:pt modelId="{9E05426A-F370-4C74-B050-2F05F5E24D90}" type="sibTrans" cxnId="{7EA47AFC-A670-4BCA-A907-041579BB4B78}">
      <dgm:prSet/>
      <dgm:spPr/>
      <dgm:t>
        <a:bodyPr/>
        <a:lstStyle/>
        <a:p>
          <a:endParaRPr lang="es-ES"/>
        </a:p>
      </dgm:t>
    </dgm:pt>
    <dgm:pt modelId="{A826A369-5F82-47F8-BC12-07DEF8AC9BEE}">
      <dgm:prSet phldrT="[Texto]"/>
      <dgm:spPr/>
      <dgm:t>
        <a:bodyPr/>
        <a:lstStyle/>
        <a:p>
          <a:pPr>
            <a:buNone/>
          </a:pPr>
          <a:r>
            <a:rPr lang="es-ES"/>
            <a:t>Management and Franchise Segment</a:t>
          </a:r>
        </a:p>
      </dgm:t>
    </dgm:pt>
    <dgm:pt modelId="{59DC71D9-C959-4D2A-9009-AE4C580A8F29}" type="parTrans" cxnId="{586FA5CD-A8F5-49EE-869D-D051426409C6}">
      <dgm:prSet/>
      <dgm:spPr/>
      <dgm:t>
        <a:bodyPr/>
        <a:lstStyle/>
        <a:p>
          <a:endParaRPr lang="es-ES"/>
        </a:p>
      </dgm:t>
    </dgm:pt>
    <dgm:pt modelId="{B6776D86-DA9A-492D-A135-0928496579E0}" type="sibTrans" cxnId="{586FA5CD-A8F5-49EE-869D-D051426409C6}">
      <dgm:prSet/>
      <dgm:spPr/>
      <dgm:t>
        <a:bodyPr/>
        <a:lstStyle/>
        <a:p>
          <a:endParaRPr lang="es-ES"/>
        </a:p>
      </dgm:t>
    </dgm:pt>
    <dgm:pt modelId="{0307F040-5E9B-4CD6-B9A1-EE6355A21A91}">
      <dgm:prSet phldrT="[Texto]"/>
      <dgm:spPr/>
      <dgm:t>
        <a:bodyPr/>
        <a:lstStyle/>
        <a:p>
          <a:pPr>
            <a:buNone/>
          </a:pPr>
          <a:r>
            <a:rPr lang="es-ES"/>
            <a:t>Managed hotels</a:t>
          </a:r>
        </a:p>
      </dgm:t>
    </dgm:pt>
    <dgm:pt modelId="{6AB4AE10-5138-4583-8E94-4616086774D6}" type="parTrans" cxnId="{81A29D50-00DC-4C2D-BF50-5238D5DE859D}">
      <dgm:prSet/>
      <dgm:spPr/>
      <dgm:t>
        <a:bodyPr/>
        <a:lstStyle/>
        <a:p>
          <a:endParaRPr lang="es-ES"/>
        </a:p>
      </dgm:t>
    </dgm:pt>
    <dgm:pt modelId="{5A1B7C8A-AF1E-49CD-979C-960D73911C85}" type="sibTrans" cxnId="{81A29D50-00DC-4C2D-BF50-5238D5DE859D}">
      <dgm:prSet/>
      <dgm:spPr/>
      <dgm:t>
        <a:bodyPr/>
        <a:lstStyle/>
        <a:p>
          <a:endParaRPr lang="es-ES"/>
        </a:p>
      </dgm:t>
    </dgm:pt>
    <dgm:pt modelId="{08E273E8-E921-47D4-9742-0EDF5037F45E}">
      <dgm:prSet phldrT="[Texto]"/>
      <dgm:spPr/>
      <dgm:t>
        <a:bodyPr/>
        <a:lstStyle/>
        <a:p>
          <a:pPr>
            <a:buNone/>
          </a:pPr>
          <a:r>
            <a:rPr lang="es-ES"/>
            <a:t>Franchised hotels</a:t>
          </a:r>
        </a:p>
      </dgm:t>
    </dgm:pt>
    <dgm:pt modelId="{35E44EB2-9B6A-4F08-AA62-983FB5F404FD}" type="parTrans" cxnId="{C3CB7629-9728-49CC-B78C-08271E77E8A5}">
      <dgm:prSet/>
      <dgm:spPr/>
      <dgm:t>
        <a:bodyPr/>
        <a:lstStyle/>
        <a:p>
          <a:endParaRPr lang="es-ES"/>
        </a:p>
      </dgm:t>
    </dgm:pt>
    <dgm:pt modelId="{6F147601-E86F-444B-85E2-95A4D9BD3527}" type="sibTrans" cxnId="{C3CB7629-9728-49CC-B78C-08271E77E8A5}">
      <dgm:prSet/>
      <dgm:spPr/>
      <dgm:t>
        <a:bodyPr/>
        <a:lstStyle/>
        <a:p>
          <a:endParaRPr lang="es-ES"/>
        </a:p>
      </dgm:t>
    </dgm:pt>
    <dgm:pt modelId="{F44A9606-F731-40EA-9772-CCA0B1AF76B9}">
      <dgm:prSet phldrT="[Texto]"/>
      <dgm:spPr/>
      <dgm:t>
        <a:bodyPr/>
        <a:lstStyle/>
        <a:p>
          <a:pPr>
            <a:buNone/>
          </a:pPr>
          <a:r>
            <a:rPr lang="es-ES"/>
            <a:t>Ownership Segment</a:t>
          </a:r>
        </a:p>
      </dgm:t>
    </dgm:pt>
    <dgm:pt modelId="{FD93C1DC-2268-42A0-AE98-72BE3681E8E5}" type="parTrans" cxnId="{74944857-7491-4E70-A55A-A4D2E1C9D1EC}">
      <dgm:prSet/>
      <dgm:spPr/>
      <dgm:t>
        <a:bodyPr/>
        <a:lstStyle/>
        <a:p>
          <a:endParaRPr lang="es-ES"/>
        </a:p>
      </dgm:t>
    </dgm:pt>
    <dgm:pt modelId="{1163BCE7-F6F8-4A9F-B9D9-7E073E2D1A2C}" type="sibTrans" cxnId="{74944857-7491-4E70-A55A-A4D2E1C9D1EC}">
      <dgm:prSet/>
      <dgm:spPr/>
      <dgm:t>
        <a:bodyPr/>
        <a:lstStyle/>
        <a:p>
          <a:endParaRPr lang="es-ES"/>
        </a:p>
      </dgm:t>
    </dgm:pt>
    <dgm:pt modelId="{05260A62-D085-45BD-9D33-10055E50AA59}">
      <dgm:prSet phldrT="[Texto]"/>
      <dgm:spPr/>
      <dgm:t>
        <a:bodyPr/>
        <a:lstStyle/>
        <a:p>
          <a:pPr>
            <a:buNone/>
          </a:pPr>
          <a:r>
            <a:rPr lang="es-ES"/>
            <a:t>Owned hotels</a:t>
          </a:r>
        </a:p>
      </dgm:t>
    </dgm:pt>
    <dgm:pt modelId="{37C5D7F6-A42B-4E2A-8418-40C4E4DB2CD5}" type="parTrans" cxnId="{D5792F05-475D-4562-9759-962D930B1CF0}">
      <dgm:prSet/>
      <dgm:spPr/>
      <dgm:t>
        <a:bodyPr/>
        <a:lstStyle/>
        <a:p>
          <a:endParaRPr lang="es-ES"/>
        </a:p>
      </dgm:t>
    </dgm:pt>
    <dgm:pt modelId="{7AC26CB3-A905-4B96-B7C5-8395CC007D5C}" type="sibTrans" cxnId="{D5792F05-475D-4562-9759-962D930B1CF0}">
      <dgm:prSet/>
      <dgm:spPr/>
      <dgm:t>
        <a:bodyPr/>
        <a:lstStyle/>
        <a:p>
          <a:endParaRPr lang="es-ES"/>
        </a:p>
      </dgm:t>
    </dgm:pt>
    <dgm:pt modelId="{52C29AC5-887C-4A9D-8860-D1141CDDEFB6}">
      <dgm:prSet/>
      <dgm:spPr/>
      <dgm:t>
        <a:bodyPr/>
        <a:lstStyle/>
        <a:p>
          <a:pPr>
            <a:buNone/>
          </a:pPr>
          <a:r>
            <a:rPr lang="es-ES"/>
            <a:t>Licensing / brand systems</a:t>
          </a:r>
        </a:p>
      </dgm:t>
    </dgm:pt>
    <dgm:pt modelId="{8108E551-CC05-4BCF-B633-FAD2DF45D7DF}" type="parTrans" cxnId="{611064A7-6A2F-4F28-8D93-AD2E0A031485}">
      <dgm:prSet/>
      <dgm:spPr/>
      <dgm:t>
        <a:bodyPr/>
        <a:lstStyle/>
        <a:p>
          <a:endParaRPr lang="es-ES"/>
        </a:p>
      </dgm:t>
    </dgm:pt>
    <dgm:pt modelId="{69898763-BC2A-402E-8C81-3414208F56C2}" type="sibTrans" cxnId="{611064A7-6A2F-4F28-8D93-AD2E0A031485}">
      <dgm:prSet/>
      <dgm:spPr/>
      <dgm:t>
        <a:bodyPr/>
        <a:lstStyle/>
        <a:p>
          <a:endParaRPr lang="es-ES"/>
        </a:p>
      </dgm:t>
    </dgm:pt>
    <dgm:pt modelId="{8609989F-9AAB-47E1-A4E0-45A0270DB8CA}">
      <dgm:prSet/>
      <dgm:spPr/>
      <dgm:t>
        <a:bodyPr/>
        <a:lstStyle/>
        <a:p>
          <a:r>
            <a:rPr lang="es-ES"/>
            <a:t>Leased hotels</a:t>
          </a:r>
        </a:p>
      </dgm:t>
    </dgm:pt>
    <dgm:pt modelId="{9A0A14A4-6936-4E93-95EF-02BD0EDC07C7}" type="parTrans" cxnId="{2BD87E08-CDB5-48B4-B4C4-95F77633CE74}">
      <dgm:prSet/>
      <dgm:spPr/>
      <dgm:t>
        <a:bodyPr/>
        <a:lstStyle/>
        <a:p>
          <a:endParaRPr lang="es-ES"/>
        </a:p>
      </dgm:t>
    </dgm:pt>
    <dgm:pt modelId="{476034F5-AC05-420D-8A0C-76D3F3568F64}" type="sibTrans" cxnId="{2BD87E08-CDB5-48B4-B4C4-95F77633CE74}">
      <dgm:prSet/>
      <dgm:spPr/>
      <dgm:t>
        <a:bodyPr/>
        <a:lstStyle/>
        <a:p>
          <a:endParaRPr lang="es-ES"/>
        </a:p>
      </dgm:t>
    </dgm:pt>
    <dgm:pt modelId="{465E3C30-BD7D-4ADA-A480-D3DC23B8F1D6}" type="pres">
      <dgm:prSet presAssocID="{F26107A7-752D-4B02-BEA5-502018EE20C2}" presName="hierChild1" presStyleCnt="0">
        <dgm:presLayoutVars>
          <dgm:chPref val="1"/>
          <dgm:dir/>
          <dgm:animOne val="branch"/>
          <dgm:animLvl val="lvl"/>
          <dgm:resizeHandles/>
        </dgm:presLayoutVars>
      </dgm:prSet>
      <dgm:spPr/>
    </dgm:pt>
    <dgm:pt modelId="{E6F92A58-1AB7-409F-9033-9F5D6F74E7E5}" type="pres">
      <dgm:prSet presAssocID="{72F27F48-BAD8-4C7E-8FCB-68665339E0E1}" presName="hierRoot1" presStyleCnt="0"/>
      <dgm:spPr/>
    </dgm:pt>
    <dgm:pt modelId="{13FAA59D-DFEE-47D7-8878-D52845F496DE}" type="pres">
      <dgm:prSet presAssocID="{72F27F48-BAD8-4C7E-8FCB-68665339E0E1}" presName="composite" presStyleCnt="0"/>
      <dgm:spPr/>
    </dgm:pt>
    <dgm:pt modelId="{AEF5293F-43D6-4A27-849B-1D243272D8CC}" type="pres">
      <dgm:prSet presAssocID="{72F27F48-BAD8-4C7E-8FCB-68665339E0E1}" presName="background" presStyleLbl="node0" presStyleIdx="0" presStyleCnt="1"/>
      <dgm:spPr/>
    </dgm:pt>
    <dgm:pt modelId="{9977AE79-F47D-4C8A-9D4A-C9EC498C975A}" type="pres">
      <dgm:prSet presAssocID="{72F27F48-BAD8-4C7E-8FCB-68665339E0E1}" presName="text" presStyleLbl="fgAcc0" presStyleIdx="0" presStyleCnt="1">
        <dgm:presLayoutVars>
          <dgm:chPref val="3"/>
        </dgm:presLayoutVars>
      </dgm:prSet>
      <dgm:spPr/>
    </dgm:pt>
    <dgm:pt modelId="{B92A0C83-2EA6-485D-9A75-354FC97D97F6}" type="pres">
      <dgm:prSet presAssocID="{72F27F48-BAD8-4C7E-8FCB-68665339E0E1}" presName="hierChild2" presStyleCnt="0"/>
      <dgm:spPr/>
    </dgm:pt>
    <dgm:pt modelId="{9ED0C30B-7FBC-4456-831E-ECA3FBE16C89}" type="pres">
      <dgm:prSet presAssocID="{59DC71D9-C959-4D2A-9009-AE4C580A8F29}" presName="Name10" presStyleLbl="parChTrans1D2" presStyleIdx="0" presStyleCnt="2"/>
      <dgm:spPr/>
    </dgm:pt>
    <dgm:pt modelId="{2626F1B0-4666-4D28-BB48-AB0DD69C69C3}" type="pres">
      <dgm:prSet presAssocID="{A826A369-5F82-47F8-BC12-07DEF8AC9BEE}" presName="hierRoot2" presStyleCnt="0"/>
      <dgm:spPr/>
    </dgm:pt>
    <dgm:pt modelId="{CB622B7E-40B9-4E1F-A14B-D8AD24936A66}" type="pres">
      <dgm:prSet presAssocID="{A826A369-5F82-47F8-BC12-07DEF8AC9BEE}" presName="composite2" presStyleCnt="0"/>
      <dgm:spPr/>
    </dgm:pt>
    <dgm:pt modelId="{153A6493-8815-4D92-BE93-0C32442DB1D3}" type="pres">
      <dgm:prSet presAssocID="{A826A369-5F82-47F8-BC12-07DEF8AC9BEE}" presName="background2" presStyleLbl="node2" presStyleIdx="0" presStyleCnt="2"/>
      <dgm:spPr/>
    </dgm:pt>
    <dgm:pt modelId="{9172EB77-8F75-49FA-9C6B-98003A6C768A}" type="pres">
      <dgm:prSet presAssocID="{A826A369-5F82-47F8-BC12-07DEF8AC9BEE}" presName="text2" presStyleLbl="fgAcc2" presStyleIdx="0" presStyleCnt="2">
        <dgm:presLayoutVars>
          <dgm:chPref val="3"/>
        </dgm:presLayoutVars>
      </dgm:prSet>
      <dgm:spPr/>
    </dgm:pt>
    <dgm:pt modelId="{62B68BFF-4CED-4504-AB7D-A31E73E18267}" type="pres">
      <dgm:prSet presAssocID="{A826A369-5F82-47F8-BC12-07DEF8AC9BEE}" presName="hierChild3" presStyleCnt="0"/>
      <dgm:spPr/>
    </dgm:pt>
    <dgm:pt modelId="{5612C1D5-FD44-4E21-AC4C-6530386CA00C}" type="pres">
      <dgm:prSet presAssocID="{6AB4AE10-5138-4583-8E94-4616086774D6}" presName="Name17" presStyleLbl="parChTrans1D3" presStyleIdx="0" presStyleCnt="5"/>
      <dgm:spPr/>
    </dgm:pt>
    <dgm:pt modelId="{3FC9832F-5233-4269-B610-1C01064F4E65}" type="pres">
      <dgm:prSet presAssocID="{0307F040-5E9B-4CD6-B9A1-EE6355A21A91}" presName="hierRoot3" presStyleCnt="0"/>
      <dgm:spPr/>
    </dgm:pt>
    <dgm:pt modelId="{E0835BB9-07A5-4974-BE1A-2F4671C72C2B}" type="pres">
      <dgm:prSet presAssocID="{0307F040-5E9B-4CD6-B9A1-EE6355A21A91}" presName="composite3" presStyleCnt="0"/>
      <dgm:spPr/>
    </dgm:pt>
    <dgm:pt modelId="{317AF28F-F44B-42B3-B3DD-F6A8EAE555DF}" type="pres">
      <dgm:prSet presAssocID="{0307F040-5E9B-4CD6-B9A1-EE6355A21A91}" presName="background3" presStyleLbl="node3" presStyleIdx="0" presStyleCnt="5"/>
      <dgm:spPr/>
    </dgm:pt>
    <dgm:pt modelId="{4D083C41-EE7A-4BF8-B192-A738C2E0F42F}" type="pres">
      <dgm:prSet presAssocID="{0307F040-5E9B-4CD6-B9A1-EE6355A21A91}" presName="text3" presStyleLbl="fgAcc3" presStyleIdx="0" presStyleCnt="5">
        <dgm:presLayoutVars>
          <dgm:chPref val="3"/>
        </dgm:presLayoutVars>
      </dgm:prSet>
      <dgm:spPr/>
    </dgm:pt>
    <dgm:pt modelId="{3808B4FE-CA87-4DDE-BDCB-F3A2C6C9B5D8}" type="pres">
      <dgm:prSet presAssocID="{0307F040-5E9B-4CD6-B9A1-EE6355A21A91}" presName="hierChild4" presStyleCnt="0"/>
      <dgm:spPr/>
    </dgm:pt>
    <dgm:pt modelId="{5D9F67BA-A7F6-4B69-B203-383BE99D2FC1}" type="pres">
      <dgm:prSet presAssocID="{35E44EB2-9B6A-4F08-AA62-983FB5F404FD}" presName="Name17" presStyleLbl="parChTrans1D3" presStyleIdx="1" presStyleCnt="5"/>
      <dgm:spPr/>
    </dgm:pt>
    <dgm:pt modelId="{1E7E0D2A-DA95-40D2-A0F5-852DD2C7A8C0}" type="pres">
      <dgm:prSet presAssocID="{08E273E8-E921-47D4-9742-0EDF5037F45E}" presName="hierRoot3" presStyleCnt="0"/>
      <dgm:spPr/>
    </dgm:pt>
    <dgm:pt modelId="{72BCA00B-8F4D-4DC7-AFDF-D960D111E148}" type="pres">
      <dgm:prSet presAssocID="{08E273E8-E921-47D4-9742-0EDF5037F45E}" presName="composite3" presStyleCnt="0"/>
      <dgm:spPr/>
    </dgm:pt>
    <dgm:pt modelId="{63C123C6-9721-41FB-BDAC-38DB05722F16}" type="pres">
      <dgm:prSet presAssocID="{08E273E8-E921-47D4-9742-0EDF5037F45E}" presName="background3" presStyleLbl="node3" presStyleIdx="1" presStyleCnt="5"/>
      <dgm:spPr/>
    </dgm:pt>
    <dgm:pt modelId="{DB5FC756-5377-4BF3-806C-0415CF7E6512}" type="pres">
      <dgm:prSet presAssocID="{08E273E8-E921-47D4-9742-0EDF5037F45E}" presName="text3" presStyleLbl="fgAcc3" presStyleIdx="1" presStyleCnt="5">
        <dgm:presLayoutVars>
          <dgm:chPref val="3"/>
        </dgm:presLayoutVars>
      </dgm:prSet>
      <dgm:spPr/>
    </dgm:pt>
    <dgm:pt modelId="{FCE2E751-27F8-415F-AE13-3E46D39E9B28}" type="pres">
      <dgm:prSet presAssocID="{08E273E8-E921-47D4-9742-0EDF5037F45E}" presName="hierChild4" presStyleCnt="0"/>
      <dgm:spPr/>
    </dgm:pt>
    <dgm:pt modelId="{D5FBFD86-2F5C-493E-8103-7E952AF77D74}" type="pres">
      <dgm:prSet presAssocID="{8108E551-CC05-4BCF-B633-FAD2DF45D7DF}" presName="Name17" presStyleLbl="parChTrans1D3" presStyleIdx="2" presStyleCnt="5"/>
      <dgm:spPr/>
    </dgm:pt>
    <dgm:pt modelId="{790F0BB3-CC54-46D9-B46F-8DE4C47D0938}" type="pres">
      <dgm:prSet presAssocID="{52C29AC5-887C-4A9D-8860-D1141CDDEFB6}" presName="hierRoot3" presStyleCnt="0"/>
      <dgm:spPr/>
    </dgm:pt>
    <dgm:pt modelId="{6B2D6F00-6795-4F4F-8A89-DC215EB7BE0A}" type="pres">
      <dgm:prSet presAssocID="{52C29AC5-887C-4A9D-8860-D1141CDDEFB6}" presName="composite3" presStyleCnt="0"/>
      <dgm:spPr/>
    </dgm:pt>
    <dgm:pt modelId="{0B328C25-5DEB-4560-826D-1D1A7412A6AF}" type="pres">
      <dgm:prSet presAssocID="{52C29AC5-887C-4A9D-8860-D1141CDDEFB6}" presName="background3" presStyleLbl="node3" presStyleIdx="2" presStyleCnt="5"/>
      <dgm:spPr/>
    </dgm:pt>
    <dgm:pt modelId="{0DC5526F-0754-4D88-911B-DDABEB8C3E1C}" type="pres">
      <dgm:prSet presAssocID="{52C29AC5-887C-4A9D-8860-D1141CDDEFB6}" presName="text3" presStyleLbl="fgAcc3" presStyleIdx="2" presStyleCnt="5">
        <dgm:presLayoutVars>
          <dgm:chPref val="3"/>
        </dgm:presLayoutVars>
      </dgm:prSet>
      <dgm:spPr/>
    </dgm:pt>
    <dgm:pt modelId="{AB8004B3-6141-4A89-A063-EACEC0418972}" type="pres">
      <dgm:prSet presAssocID="{52C29AC5-887C-4A9D-8860-D1141CDDEFB6}" presName="hierChild4" presStyleCnt="0"/>
      <dgm:spPr/>
    </dgm:pt>
    <dgm:pt modelId="{520CDCA1-0E3B-403F-8303-BDFD641EBECF}" type="pres">
      <dgm:prSet presAssocID="{FD93C1DC-2268-42A0-AE98-72BE3681E8E5}" presName="Name10" presStyleLbl="parChTrans1D2" presStyleIdx="1" presStyleCnt="2"/>
      <dgm:spPr/>
    </dgm:pt>
    <dgm:pt modelId="{91506613-7D0E-4E9B-83E1-A610C3C6D131}" type="pres">
      <dgm:prSet presAssocID="{F44A9606-F731-40EA-9772-CCA0B1AF76B9}" presName="hierRoot2" presStyleCnt="0"/>
      <dgm:spPr/>
    </dgm:pt>
    <dgm:pt modelId="{1BC04A6E-E4EC-4F9A-8E48-7015C4A2CDDD}" type="pres">
      <dgm:prSet presAssocID="{F44A9606-F731-40EA-9772-CCA0B1AF76B9}" presName="composite2" presStyleCnt="0"/>
      <dgm:spPr/>
    </dgm:pt>
    <dgm:pt modelId="{DAB08AD5-2B01-48AA-842C-2583E2633EBF}" type="pres">
      <dgm:prSet presAssocID="{F44A9606-F731-40EA-9772-CCA0B1AF76B9}" presName="background2" presStyleLbl="node2" presStyleIdx="1" presStyleCnt="2"/>
      <dgm:spPr/>
    </dgm:pt>
    <dgm:pt modelId="{B50078C9-5C8C-4885-8D9F-DDACBA6D35D2}" type="pres">
      <dgm:prSet presAssocID="{F44A9606-F731-40EA-9772-CCA0B1AF76B9}" presName="text2" presStyleLbl="fgAcc2" presStyleIdx="1" presStyleCnt="2">
        <dgm:presLayoutVars>
          <dgm:chPref val="3"/>
        </dgm:presLayoutVars>
      </dgm:prSet>
      <dgm:spPr/>
    </dgm:pt>
    <dgm:pt modelId="{A854FD07-0DB0-4FF3-AF97-00CDF48B36E6}" type="pres">
      <dgm:prSet presAssocID="{F44A9606-F731-40EA-9772-CCA0B1AF76B9}" presName="hierChild3" presStyleCnt="0"/>
      <dgm:spPr/>
    </dgm:pt>
    <dgm:pt modelId="{89AB87FC-D6B4-4E7E-81A5-1C801A98FAD4}" type="pres">
      <dgm:prSet presAssocID="{37C5D7F6-A42B-4E2A-8418-40C4E4DB2CD5}" presName="Name17" presStyleLbl="parChTrans1D3" presStyleIdx="3" presStyleCnt="5"/>
      <dgm:spPr/>
    </dgm:pt>
    <dgm:pt modelId="{08ECDF17-B511-4F68-BA40-E26878D3C2B5}" type="pres">
      <dgm:prSet presAssocID="{05260A62-D085-45BD-9D33-10055E50AA59}" presName="hierRoot3" presStyleCnt="0"/>
      <dgm:spPr/>
    </dgm:pt>
    <dgm:pt modelId="{2057182B-337E-49D5-83FE-EFCA93A5CF68}" type="pres">
      <dgm:prSet presAssocID="{05260A62-D085-45BD-9D33-10055E50AA59}" presName="composite3" presStyleCnt="0"/>
      <dgm:spPr/>
    </dgm:pt>
    <dgm:pt modelId="{76B02F80-AC6C-47D9-AEDD-C7E5014A902F}" type="pres">
      <dgm:prSet presAssocID="{05260A62-D085-45BD-9D33-10055E50AA59}" presName="background3" presStyleLbl="node3" presStyleIdx="3" presStyleCnt="5"/>
      <dgm:spPr/>
    </dgm:pt>
    <dgm:pt modelId="{74B1D6F9-10BD-4851-9AC0-D757092FF7B2}" type="pres">
      <dgm:prSet presAssocID="{05260A62-D085-45BD-9D33-10055E50AA59}" presName="text3" presStyleLbl="fgAcc3" presStyleIdx="3" presStyleCnt="5">
        <dgm:presLayoutVars>
          <dgm:chPref val="3"/>
        </dgm:presLayoutVars>
      </dgm:prSet>
      <dgm:spPr/>
    </dgm:pt>
    <dgm:pt modelId="{770856F5-E818-49C1-8276-4F686B43F751}" type="pres">
      <dgm:prSet presAssocID="{05260A62-D085-45BD-9D33-10055E50AA59}" presName="hierChild4" presStyleCnt="0"/>
      <dgm:spPr/>
    </dgm:pt>
    <dgm:pt modelId="{5A3B54FE-0F7E-4F57-ACBD-EF24D41431B4}" type="pres">
      <dgm:prSet presAssocID="{9A0A14A4-6936-4E93-95EF-02BD0EDC07C7}" presName="Name17" presStyleLbl="parChTrans1D3" presStyleIdx="4" presStyleCnt="5"/>
      <dgm:spPr/>
    </dgm:pt>
    <dgm:pt modelId="{2C008F13-0E78-43B3-AFD2-5527749D333C}" type="pres">
      <dgm:prSet presAssocID="{8609989F-9AAB-47E1-A4E0-45A0270DB8CA}" presName="hierRoot3" presStyleCnt="0"/>
      <dgm:spPr/>
    </dgm:pt>
    <dgm:pt modelId="{982B355B-EB20-40E3-AC49-CA24FDA648AB}" type="pres">
      <dgm:prSet presAssocID="{8609989F-9AAB-47E1-A4E0-45A0270DB8CA}" presName="composite3" presStyleCnt="0"/>
      <dgm:spPr/>
    </dgm:pt>
    <dgm:pt modelId="{CC2326CC-A5FE-4251-9331-AD4FC14B431C}" type="pres">
      <dgm:prSet presAssocID="{8609989F-9AAB-47E1-A4E0-45A0270DB8CA}" presName="background3" presStyleLbl="node3" presStyleIdx="4" presStyleCnt="5"/>
      <dgm:spPr/>
    </dgm:pt>
    <dgm:pt modelId="{479D1807-2E82-4C13-A7AF-076185B881C5}" type="pres">
      <dgm:prSet presAssocID="{8609989F-9AAB-47E1-A4E0-45A0270DB8CA}" presName="text3" presStyleLbl="fgAcc3" presStyleIdx="4" presStyleCnt="5">
        <dgm:presLayoutVars>
          <dgm:chPref val="3"/>
        </dgm:presLayoutVars>
      </dgm:prSet>
      <dgm:spPr/>
    </dgm:pt>
    <dgm:pt modelId="{884996A0-F4A9-4193-A76F-4DA8D7C46E9B}" type="pres">
      <dgm:prSet presAssocID="{8609989F-9AAB-47E1-A4E0-45A0270DB8CA}" presName="hierChild4" presStyleCnt="0"/>
      <dgm:spPr/>
    </dgm:pt>
  </dgm:ptLst>
  <dgm:cxnLst>
    <dgm:cxn modelId="{D5792F05-475D-4562-9759-962D930B1CF0}" srcId="{F44A9606-F731-40EA-9772-CCA0B1AF76B9}" destId="{05260A62-D085-45BD-9D33-10055E50AA59}" srcOrd="0" destOrd="0" parTransId="{37C5D7F6-A42B-4E2A-8418-40C4E4DB2CD5}" sibTransId="{7AC26CB3-A905-4B96-B7C5-8395CC007D5C}"/>
    <dgm:cxn modelId="{2BD87E08-CDB5-48B4-B4C4-95F77633CE74}" srcId="{F44A9606-F731-40EA-9772-CCA0B1AF76B9}" destId="{8609989F-9AAB-47E1-A4E0-45A0270DB8CA}" srcOrd="1" destOrd="0" parTransId="{9A0A14A4-6936-4E93-95EF-02BD0EDC07C7}" sibTransId="{476034F5-AC05-420D-8A0C-76D3F3568F64}"/>
    <dgm:cxn modelId="{33247C1F-3234-41F7-9597-49EE7F91CA81}" type="presOf" srcId="{59DC71D9-C959-4D2A-9009-AE4C580A8F29}" destId="{9ED0C30B-7FBC-4456-831E-ECA3FBE16C89}" srcOrd="0" destOrd="0" presId="urn:microsoft.com/office/officeart/2005/8/layout/hierarchy1"/>
    <dgm:cxn modelId="{C3CB7629-9728-49CC-B78C-08271E77E8A5}" srcId="{A826A369-5F82-47F8-BC12-07DEF8AC9BEE}" destId="{08E273E8-E921-47D4-9742-0EDF5037F45E}" srcOrd="1" destOrd="0" parTransId="{35E44EB2-9B6A-4F08-AA62-983FB5F404FD}" sibTransId="{6F147601-E86F-444B-85E2-95A4D9BD3527}"/>
    <dgm:cxn modelId="{E706ED5F-05A3-4A68-A96E-B9FC1AAAD454}" type="presOf" srcId="{F44A9606-F731-40EA-9772-CCA0B1AF76B9}" destId="{B50078C9-5C8C-4885-8D9F-DDACBA6D35D2}" srcOrd="0" destOrd="0" presId="urn:microsoft.com/office/officeart/2005/8/layout/hierarchy1"/>
    <dgm:cxn modelId="{404B7D62-C54F-465C-8E74-F3B0D95E1F6C}" type="presOf" srcId="{0307F040-5E9B-4CD6-B9A1-EE6355A21A91}" destId="{4D083C41-EE7A-4BF8-B192-A738C2E0F42F}" srcOrd="0" destOrd="0" presId="urn:microsoft.com/office/officeart/2005/8/layout/hierarchy1"/>
    <dgm:cxn modelId="{43109545-6113-498A-B1B7-5F35D3627F91}" type="presOf" srcId="{52C29AC5-887C-4A9D-8860-D1141CDDEFB6}" destId="{0DC5526F-0754-4D88-911B-DDABEB8C3E1C}" srcOrd="0" destOrd="0" presId="urn:microsoft.com/office/officeart/2005/8/layout/hierarchy1"/>
    <dgm:cxn modelId="{9A5D0749-FB32-4733-8BFB-F97AE0F74ECA}" type="presOf" srcId="{9A0A14A4-6936-4E93-95EF-02BD0EDC07C7}" destId="{5A3B54FE-0F7E-4F57-ACBD-EF24D41431B4}" srcOrd="0" destOrd="0" presId="urn:microsoft.com/office/officeart/2005/8/layout/hierarchy1"/>
    <dgm:cxn modelId="{3A44B06A-7EC3-40A2-A64D-76E0C04D68D8}" type="presOf" srcId="{08E273E8-E921-47D4-9742-0EDF5037F45E}" destId="{DB5FC756-5377-4BF3-806C-0415CF7E6512}" srcOrd="0" destOrd="0" presId="urn:microsoft.com/office/officeart/2005/8/layout/hierarchy1"/>
    <dgm:cxn modelId="{B9F0444B-AE0C-4464-A62E-FC51E557077F}" type="presOf" srcId="{FD93C1DC-2268-42A0-AE98-72BE3681E8E5}" destId="{520CDCA1-0E3B-403F-8303-BDFD641EBECF}" srcOrd="0" destOrd="0" presId="urn:microsoft.com/office/officeart/2005/8/layout/hierarchy1"/>
    <dgm:cxn modelId="{81A29D50-00DC-4C2D-BF50-5238D5DE859D}" srcId="{A826A369-5F82-47F8-BC12-07DEF8AC9BEE}" destId="{0307F040-5E9B-4CD6-B9A1-EE6355A21A91}" srcOrd="0" destOrd="0" parTransId="{6AB4AE10-5138-4583-8E94-4616086774D6}" sibTransId="{5A1B7C8A-AF1E-49CD-979C-960D73911C85}"/>
    <dgm:cxn modelId="{B595D656-BD8E-41C5-8CF1-96B9800D767C}" type="presOf" srcId="{35E44EB2-9B6A-4F08-AA62-983FB5F404FD}" destId="{5D9F67BA-A7F6-4B69-B203-383BE99D2FC1}" srcOrd="0" destOrd="0" presId="urn:microsoft.com/office/officeart/2005/8/layout/hierarchy1"/>
    <dgm:cxn modelId="{74944857-7491-4E70-A55A-A4D2E1C9D1EC}" srcId="{72F27F48-BAD8-4C7E-8FCB-68665339E0E1}" destId="{F44A9606-F731-40EA-9772-CCA0B1AF76B9}" srcOrd="1" destOrd="0" parTransId="{FD93C1DC-2268-42A0-AE98-72BE3681E8E5}" sibTransId="{1163BCE7-F6F8-4A9F-B9D9-7E073E2D1A2C}"/>
    <dgm:cxn modelId="{C0D1E291-D6DC-4DA8-B28B-BC9DC98A4E40}" type="presOf" srcId="{05260A62-D085-45BD-9D33-10055E50AA59}" destId="{74B1D6F9-10BD-4851-9AC0-D757092FF7B2}" srcOrd="0" destOrd="0" presId="urn:microsoft.com/office/officeart/2005/8/layout/hierarchy1"/>
    <dgm:cxn modelId="{611064A7-6A2F-4F28-8D93-AD2E0A031485}" srcId="{A826A369-5F82-47F8-BC12-07DEF8AC9BEE}" destId="{52C29AC5-887C-4A9D-8860-D1141CDDEFB6}" srcOrd="2" destOrd="0" parTransId="{8108E551-CC05-4BCF-B633-FAD2DF45D7DF}" sibTransId="{69898763-BC2A-402E-8C81-3414208F56C2}"/>
    <dgm:cxn modelId="{60ED7FAA-24C2-49C3-974F-675BCDCC4461}" type="presOf" srcId="{6AB4AE10-5138-4583-8E94-4616086774D6}" destId="{5612C1D5-FD44-4E21-AC4C-6530386CA00C}" srcOrd="0" destOrd="0" presId="urn:microsoft.com/office/officeart/2005/8/layout/hierarchy1"/>
    <dgm:cxn modelId="{586FA5CD-A8F5-49EE-869D-D051426409C6}" srcId="{72F27F48-BAD8-4C7E-8FCB-68665339E0E1}" destId="{A826A369-5F82-47F8-BC12-07DEF8AC9BEE}" srcOrd="0" destOrd="0" parTransId="{59DC71D9-C959-4D2A-9009-AE4C580A8F29}" sibTransId="{B6776D86-DA9A-492D-A135-0928496579E0}"/>
    <dgm:cxn modelId="{42EDD4D7-A803-4C09-909B-1DACD1B45621}" type="presOf" srcId="{37C5D7F6-A42B-4E2A-8418-40C4E4DB2CD5}" destId="{89AB87FC-D6B4-4E7E-81A5-1C801A98FAD4}" srcOrd="0" destOrd="0" presId="urn:microsoft.com/office/officeart/2005/8/layout/hierarchy1"/>
    <dgm:cxn modelId="{E828EBE2-E7E4-49EE-A428-52C54D1B3669}" type="presOf" srcId="{8609989F-9AAB-47E1-A4E0-45A0270DB8CA}" destId="{479D1807-2E82-4C13-A7AF-076185B881C5}" srcOrd="0" destOrd="0" presId="urn:microsoft.com/office/officeart/2005/8/layout/hierarchy1"/>
    <dgm:cxn modelId="{E7E67CE5-EC29-4A3E-8307-BA2450233200}" type="presOf" srcId="{8108E551-CC05-4BCF-B633-FAD2DF45D7DF}" destId="{D5FBFD86-2F5C-493E-8103-7E952AF77D74}" srcOrd="0" destOrd="0" presId="urn:microsoft.com/office/officeart/2005/8/layout/hierarchy1"/>
    <dgm:cxn modelId="{C443FFE5-B317-44E7-98F7-169EFE6D9634}" type="presOf" srcId="{A826A369-5F82-47F8-BC12-07DEF8AC9BEE}" destId="{9172EB77-8F75-49FA-9C6B-98003A6C768A}" srcOrd="0" destOrd="0" presId="urn:microsoft.com/office/officeart/2005/8/layout/hierarchy1"/>
    <dgm:cxn modelId="{E7A7FDEE-43B6-4D96-9DB8-C019835DA4D0}" type="presOf" srcId="{F26107A7-752D-4B02-BEA5-502018EE20C2}" destId="{465E3C30-BD7D-4ADA-A480-D3DC23B8F1D6}" srcOrd="0" destOrd="0" presId="urn:microsoft.com/office/officeart/2005/8/layout/hierarchy1"/>
    <dgm:cxn modelId="{C3D51AEF-E588-49BF-863A-20BBAD29E72F}" type="presOf" srcId="{72F27F48-BAD8-4C7E-8FCB-68665339E0E1}" destId="{9977AE79-F47D-4C8A-9D4A-C9EC498C975A}" srcOrd="0" destOrd="0" presId="urn:microsoft.com/office/officeart/2005/8/layout/hierarchy1"/>
    <dgm:cxn modelId="{7EA47AFC-A670-4BCA-A907-041579BB4B78}" srcId="{F26107A7-752D-4B02-BEA5-502018EE20C2}" destId="{72F27F48-BAD8-4C7E-8FCB-68665339E0E1}" srcOrd="0" destOrd="0" parTransId="{770C4FBC-EE8C-4CF8-BD87-BB378B11DA5D}" sibTransId="{9E05426A-F370-4C74-B050-2F05F5E24D90}"/>
    <dgm:cxn modelId="{8BC44C12-92AF-4497-A011-1975237DC972}" type="presParOf" srcId="{465E3C30-BD7D-4ADA-A480-D3DC23B8F1D6}" destId="{E6F92A58-1AB7-409F-9033-9F5D6F74E7E5}" srcOrd="0" destOrd="0" presId="urn:microsoft.com/office/officeart/2005/8/layout/hierarchy1"/>
    <dgm:cxn modelId="{F8F594B3-1FD9-4663-AFC0-AF1A91ECF6DE}" type="presParOf" srcId="{E6F92A58-1AB7-409F-9033-9F5D6F74E7E5}" destId="{13FAA59D-DFEE-47D7-8878-D52845F496DE}" srcOrd="0" destOrd="0" presId="urn:microsoft.com/office/officeart/2005/8/layout/hierarchy1"/>
    <dgm:cxn modelId="{C9023D7C-5831-4C6F-A53F-40A41E0E444B}" type="presParOf" srcId="{13FAA59D-DFEE-47D7-8878-D52845F496DE}" destId="{AEF5293F-43D6-4A27-849B-1D243272D8CC}" srcOrd="0" destOrd="0" presId="urn:microsoft.com/office/officeart/2005/8/layout/hierarchy1"/>
    <dgm:cxn modelId="{AB006080-D200-435A-96C9-19A52BFA8FDD}" type="presParOf" srcId="{13FAA59D-DFEE-47D7-8878-D52845F496DE}" destId="{9977AE79-F47D-4C8A-9D4A-C9EC498C975A}" srcOrd="1" destOrd="0" presId="urn:microsoft.com/office/officeart/2005/8/layout/hierarchy1"/>
    <dgm:cxn modelId="{691A641F-E9AB-4226-8FB8-4101A24D011F}" type="presParOf" srcId="{E6F92A58-1AB7-409F-9033-9F5D6F74E7E5}" destId="{B92A0C83-2EA6-485D-9A75-354FC97D97F6}" srcOrd="1" destOrd="0" presId="urn:microsoft.com/office/officeart/2005/8/layout/hierarchy1"/>
    <dgm:cxn modelId="{0F2957D7-9AC0-4004-B5FD-8C65882DE4A3}" type="presParOf" srcId="{B92A0C83-2EA6-485D-9A75-354FC97D97F6}" destId="{9ED0C30B-7FBC-4456-831E-ECA3FBE16C89}" srcOrd="0" destOrd="0" presId="urn:microsoft.com/office/officeart/2005/8/layout/hierarchy1"/>
    <dgm:cxn modelId="{3ECE0882-3148-4908-B426-1BC356BDBE2E}" type="presParOf" srcId="{B92A0C83-2EA6-485D-9A75-354FC97D97F6}" destId="{2626F1B0-4666-4D28-BB48-AB0DD69C69C3}" srcOrd="1" destOrd="0" presId="urn:microsoft.com/office/officeart/2005/8/layout/hierarchy1"/>
    <dgm:cxn modelId="{4FA279E9-81EB-47C1-8DA9-A8EC4F3F88BF}" type="presParOf" srcId="{2626F1B0-4666-4D28-BB48-AB0DD69C69C3}" destId="{CB622B7E-40B9-4E1F-A14B-D8AD24936A66}" srcOrd="0" destOrd="0" presId="urn:microsoft.com/office/officeart/2005/8/layout/hierarchy1"/>
    <dgm:cxn modelId="{7F642F8B-AE74-4CE2-AAD4-4482DAD0DF03}" type="presParOf" srcId="{CB622B7E-40B9-4E1F-A14B-D8AD24936A66}" destId="{153A6493-8815-4D92-BE93-0C32442DB1D3}" srcOrd="0" destOrd="0" presId="urn:microsoft.com/office/officeart/2005/8/layout/hierarchy1"/>
    <dgm:cxn modelId="{248CEE4E-5E40-46B2-8AB7-AE898FBC7932}" type="presParOf" srcId="{CB622B7E-40B9-4E1F-A14B-D8AD24936A66}" destId="{9172EB77-8F75-49FA-9C6B-98003A6C768A}" srcOrd="1" destOrd="0" presId="urn:microsoft.com/office/officeart/2005/8/layout/hierarchy1"/>
    <dgm:cxn modelId="{03887A9A-00A5-436B-BCEA-83D9E4C1F70C}" type="presParOf" srcId="{2626F1B0-4666-4D28-BB48-AB0DD69C69C3}" destId="{62B68BFF-4CED-4504-AB7D-A31E73E18267}" srcOrd="1" destOrd="0" presId="urn:microsoft.com/office/officeart/2005/8/layout/hierarchy1"/>
    <dgm:cxn modelId="{EC06AEC8-8E72-4FE3-852F-44CE40052C27}" type="presParOf" srcId="{62B68BFF-4CED-4504-AB7D-A31E73E18267}" destId="{5612C1D5-FD44-4E21-AC4C-6530386CA00C}" srcOrd="0" destOrd="0" presId="urn:microsoft.com/office/officeart/2005/8/layout/hierarchy1"/>
    <dgm:cxn modelId="{D2178EE7-8ED0-4CA3-8D08-A6E9409C8472}" type="presParOf" srcId="{62B68BFF-4CED-4504-AB7D-A31E73E18267}" destId="{3FC9832F-5233-4269-B610-1C01064F4E65}" srcOrd="1" destOrd="0" presId="urn:microsoft.com/office/officeart/2005/8/layout/hierarchy1"/>
    <dgm:cxn modelId="{38043B40-16FB-4099-936F-FFBA3D355DFA}" type="presParOf" srcId="{3FC9832F-5233-4269-B610-1C01064F4E65}" destId="{E0835BB9-07A5-4974-BE1A-2F4671C72C2B}" srcOrd="0" destOrd="0" presId="urn:microsoft.com/office/officeart/2005/8/layout/hierarchy1"/>
    <dgm:cxn modelId="{BE96F6A4-9931-4B3D-9B96-3FF91B97EB25}" type="presParOf" srcId="{E0835BB9-07A5-4974-BE1A-2F4671C72C2B}" destId="{317AF28F-F44B-42B3-B3DD-F6A8EAE555DF}" srcOrd="0" destOrd="0" presId="urn:microsoft.com/office/officeart/2005/8/layout/hierarchy1"/>
    <dgm:cxn modelId="{1447C4B2-EB52-4B03-8464-83A889E25487}" type="presParOf" srcId="{E0835BB9-07A5-4974-BE1A-2F4671C72C2B}" destId="{4D083C41-EE7A-4BF8-B192-A738C2E0F42F}" srcOrd="1" destOrd="0" presId="urn:microsoft.com/office/officeart/2005/8/layout/hierarchy1"/>
    <dgm:cxn modelId="{E46E253B-26A0-419B-83A0-81BE6307AAD3}" type="presParOf" srcId="{3FC9832F-5233-4269-B610-1C01064F4E65}" destId="{3808B4FE-CA87-4DDE-BDCB-F3A2C6C9B5D8}" srcOrd="1" destOrd="0" presId="urn:microsoft.com/office/officeart/2005/8/layout/hierarchy1"/>
    <dgm:cxn modelId="{2C5F6F98-C155-499D-B371-4987F4FCB154}" type="presParOf" srcId="{62B68BFF-4CED-4504-AB7D-A31E73E18267}" destId="{5D9F67BA-A7F6-4B69-B203-383BE99D2FC1}" srcOrd="2" destOrd="0" presId="urn:microsoft.com/office/officeart/2005/8/layout/hierarchy1"/>
    <dgm:cxn modelId="{E99160E0-FDEE-444A-AFBF-87E6BAABFA6F}" type="presParOf" srcId="{62B68BFF-4CED-4504-AB7D-A31E73E18267}" destId="{1E7E0D2A-DA95-40D2-A0F5-852DD2C7A8C0}" srcOrd="3" destOrd="0" presId="urn:microsoft.com/office/officeart/2005/8/layout/hierarchy1"/>
    <dgm:cxn modelId="{7584082A-0B4B-4003-900F-4DCD87CB4F4C}" type="presParOf" srcId="{1E7E0D2A-DA95-40D2-A0F5-852DD2C7A8C0}" destId="{72BCA00B-8F4D-4DC7-AFDF-D960D111E148}" srcOrd="0" destOrd="0" presId="urn:microsoft.com/office/officeart/2005/8/layout/hierarchy1"/>
    <dgm:cxn modelId="{4383E67E-8C24-49A5-B1BE-DCA56D10047E}" type="presParOf" srcId="{72BCA00B-8F4D-4DC7-AFDF-D960D111E148}" destId="{63C123C6-9721-41FB-BDAC-38DB05722F16}" srcOrd="0" destOrd="0" presId="urn:microsoft.com/office/officeart/2005/8/layout/hierarchy1"/>
    <dgm:cxn modelId="{7C5725F9-1A25-4382-8488-B00504577CE3}" type="presParOf" srcId="{72BCA00B-8F4D-4DC7-AFDF-D960D111E148}" destId="{DB5FC756-5377-4BF3-806C-0415CF7E6512}" srcOrd="1" destOrd="0" presId="urn:microsoft.com/office/officeart/2005/8/layout/hierarchy1"/>
    <dgm:cxn modelId="{694DF432-5075-413E-BE7D-11059553B646}" type="presParOf" srcId="{1E7E0D2A-DA95-40D2-A0F5-852DD2C7A8C0}" destId="{FCE2E751-27F8-415F-AE13-3E46D39E9B28}" srcOrd="1" destOrd="0" presId="urn:microsoft.com/office/officeart/2005/8/layout/hierarchy1"/>
    <dgm:cxn modelId="{339AFCB2-11FD-4FBD-9F56-FE5C79257296}" type="presParOf" srcId="{62B68BFF-4CED-4504-AB7D-A31E73E18267}" destId="{D5FBFD86-2F5C-493E-8103-7E952AF77D74}" srcOrd="4" destOrd="0" presId="urn:microsoft.com/office/officeart/2005/8/layout/hierarchy1"/>
    <dgm:cxn modelId="{A5CC3CAF-66C6-4CAC-BEB6-911E2D1B82AF}" type="presParOf" srcId="{62B68BFF-4CED-4504-AB7D-A31E73E18267}" destId="{790F0BB3-CC54-46D9-B46F-8DE4C47D0938}" srcOrd="5" destOrd="0" presId="urn:microsoft.com/office/officeart/2005/8/layout/hierarchy1"/>
    <dgm:cxn modelId="{978801F5-BAEF-480A-8BD3-18F74F361D98}" type="presParOf" srcId="{790F0BB3-CC54-46D9-B46F-8DE4C47D0938}" destId="{6B2D6F00-6795-4F4F-8A89-DC215EB7BE0A}" srcOrd="0" destOrd="0" presId="urn:microsoft.com/office/officeart/2005/8/layout/hierarchy1"/>
    <dgm:cxn modelId="{1A91BC37-A22F-48D7-B903-AD5542630F2A}" type="presParOf" srcId="{6B2D6F00-6795-4F4F-8A89-DC215EB7BE0A}" destId="{0B328C25-5DEB-4560-826D-1D1A7412A6AF}" srcOrd="0" destOrd="0" presId="urn:microsoft.com/office/officeart/2005/8/layout/hierarchy1"/>
    <dgm:cxn modelId="{3E7AEE74-F7AC-48FE-99F9-71595B7E19EC}" type="presParOf" srcId="{6B2D6F00-6795-4F4F-8A89-DC215EB7BE0A}" destId="{0DC5526F-0754-4D88-911B-DDABEB8C3E1C}" srcOrd="1" destOrd="0" presId="urn:microsoft.com/office/officeart/2005/8/layout/hierarchy1"/>
    <dgm:cxn modelId="{245D7E62-8950-4374-9EAC-C82B6EB2095C}" type="presParOf" srcId="{790F0BB3-CC54-46D9-B46F-8DE4C47D0938}" destId="{AB8004B3-6141-4A89-A063-EACEC0418972}" srcOrd="1" destOrd="0" presId="urn:microsoft.com/office/officeart/2005/8/layout/hierarchy1"/>
    <dgm:cxn modelId="{1B509116-B1D5-45D7-BFB2-DC996DF5B798}" type="presParOf" srcId="{B92A0C83-2EA6-485D-9A75-354FC97D97F6}" destId="{520CDCA1-0E3B-403F-8303-BDFD641EBECF}" srcOrd="2" destOrd="0" presId="urn:microsoft.com/office/officeart/2005/8/layout/hierarchy1"/>
    <dgm:cxn modelId="{3E339451-E3CD-4CEE-B216-98CA354ECA54}" type="presParOf" srcId="{B92A0C83-2EA6-485D-9A75-354FC97D97F6}" destId="{91506613-7D0E-4E9B-83E1-A610C3C6D131}" srcOrd="3" destOrd="0" presId="urn:microsoft.com/office/officeart/2005/8/layout/hierarchy1"/>
    <dgm:cxn modelId="{1FBD4736-A52C-4766-9642-18E558E322A4}" type="presParOf" srcId="{91506613-7D0E-4E9B-83E1-A610C3C6D131}" destId="{1BC04A6E-E4EC-4F9A-8E48-7015C4A2CDDD}" srcOrd="0" destOrd="0" presId="urn:microsoft.com/office/officeart/2005/8/layout/hierarchy1"/>
    <dgm:cxn modelId="{F9681E45-A61B-4D41-A83E-0883F377F74E}" type="presParOf" srcId="{1BC04A6E-E4EC-4F9A-8E48-7015C4A2CDDD}" destId="{DAB08AD5-2B01-48AA-842C-2583E2633EBF}" srcOrd="0" destOrd="0" presId="urn:microsoft.com/office/officeart/2005/8/layout/hierarchy1"/>
    <dgm:cxn modelId="{DD0F49A4-96B2-49FF-A943-A6A5CC6EC0D0}" type="presParOf" srcId="{1BC04A6E-E4EC-4F9A-8E48-7015C4A2CDDD}" destId="{B50078C9-5C8C-4885-8D9F-DDACBA6D35D2}" srcOrd="1" destOrd="0" presId="urn:microsoft.com/office/officeart/2005/8/layout/hierarchy1"/>
    <dgm:cxn modelId="{204E93FC-0DE5-4E5B-AE33-0E8DFF2AC700}" type="presParOf" srcId="{91506613-7D0E-4E9B-83E1-A610C3C6D131}" destId="{A854FD07-0DB0-4FF3-AF97-00CDF48B36E6}" srcOrd="1" destOrd="0" presId="urn:microsoft.com/office/officeart/2005/8/layout/hierarchy1"/>
    <dgm:cxn modelId="{CC5D322F-7811-44BB-A87F-7E464E9E6FB1}" type="presParOf" srcId="{A854FD07-0DB0-4FF3-AF97-00CDF48B36E6}" destId="{89AB87FC-D6B4-4E7E-81A5-1C801A98FAD4}" srcOrd="0" destOrd="0" presId="urn:microsoft.com/office/officeart/2005/8/layout/hierarchy1"/>
    <dgm:cxn modelId="{ADDE26FF-143B-4BEC-BC0F-925DD018065B}" type="presParOf" srcId="{A854FD07-0DB0-4FF3-AF97-00CDF48B36E6}" destId="{08ECDF17-B511-4F68-BA40-E26878D3C2B5}" srcOrd="1" destOrd="0" presId="urn:microsoft.com/office/officeart/2005/8/layout/hierarchy1"/>
    <dgm:cxn modelId="{BF2BCE7C-308E-4672-9FBC-A43E5C5ED420}" type="presParOf" srcId="{08ECDF17-B511-4F68-BA40-E26878D3C2B5}" destId="{2057182B-337E-49D5-83FE-EFCA93A5CF68}" srcOrd="0" destOrd="0" presId="urn:microsoft.com/office/officeart/2005/8/layout/hierarchy1"/>
    <dgm:cxn modelId="{ADE97AA0-9022-49DE-BB1F-78E62B92DEBF}" type="presParOf" srcId="{2057182B-337E-49D5-83FE-EFCA93A5CF68}" destId="{76B02F80-AC6C-47D9-AEDD-C7E5014A902F}" srcOrd="0" destOrd="0" presId="urn:microsoft.com/office/officeart/2005/8/layout/hierarchy1"/>
    <dgm:cxn modelId="{A8051399-D002-4508-8155-4ED0A96A9FB3}" type="presParOf" srcId="{2057182B-337E-49D5-83FE-EFCA93A5CF68}" destId="{74B1D6F9-10BD-4851-9AC0-D757092FF7B2}" srcOrd="1" destOrd="0" presId="urn:microsoft.com/office/officeart/2005/8/layout/hierarchy1"/>
    <dgm:cxn modelId="{95B63D2B-269A-44D9-8659-06E424A5E934}" type="presParOf" srcId="{08ECDF17-B511-4F68-BA40-E26878D3C2B5}" destId="{770856F5-E818-49C1-8276-4F686B43F751}" srcOrd="1" destOrd="0" presId="urn:microsoft.com/office/officeart/2005/8/layout/hierarchy1"/>
    <dgm:cxn modelId="{743734F3-68A6-4384-93FE-AA3693C8CD91}" type="presParOf" srcId="{A854FD07-0DB0-4FF3-AF97-00CDF48B36E6}" destId="{5A3B54FE-0F7E-4F57-ACBD-EF24D41431B4}" srcOrd="2" destOrd="0" presId="urn:microsoft.com/office/officeart/2005/8/layout/hierarchy1"/>
    <dgm:cxn modelId="{DF41CC61-E3C5-4809-AA5F-946C15DDAAC9}" type="presParOf" srcId="{A854FD07-0DB0-4FF3-AF97-00CDF48B36E6}" destId="{2C008F13-0E78-43B3-AFD2-5527749D333C}" srcOrd="3" destOrd="0" presId="urn:microsoft.com/office/officeart/2005/8/layout/hierarchy1"/>
    <dgm:cxn modelId="{D320DB79-F00C-4FEB-A762-74929AAF89D7}" type="presParOf" srcId="{2C008F13-0E78-43B3-AFD2-5527749D333C}" destId="{982B355B-EB20-40E3-AC49-CA24FDA648AB}" srcOrd="0" destOrd="0" presId="urn:microsoft.com/office/officeart/2005/8/layout/hierarchy1"/>
    <dgm:cxn modelId="{D58B9AF4-7838-4EF8-95EC-22196EE17418}" type="presParOf" srcId="{982B355B-EB20-40E3-AC49-CA24FDA648AB}" destId="{CC2326CC-A5FE-4251-9331-AD4FC14B431C}" srcOrd="0" destOrd="0" presId="urn:microsoft.com/office/officeart/2005/8/layout/hierarchy1"/>
    <dgm:cxn modelId="{10942715-FE15-4F6C-A0A7-867AFB06AA84}" type="presParOf" srcId="{982B355B-EB20-40E3-AC49-CA24FDA648AB}" destId="{479D1807-2E82-4C13-A7AF-076185B881C5}" srcOrd="1" destOrd="0" presId="urn:microsoft.com/office/officeart/2005/8/layout/hierarchy1"/>
    <dgm:cxn modelId="{CE5B2751-53DE-4976-9511-E28254FA8197}" type="presParOf" srcId="{2C008F13-0E78-43B3-AFD2-5527749D333C}" destId="{884996A0-F4A9-4193-A76F-4DA8D7C46E9B}" srcOrd="1" destOrd="0" presId="urn:microsoft.com/office/officeart/2005/8/layout/hierarchy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3B54FE-0F7E-4F57-ACBD-EF24D41431B4}">
      <dsp:nvSpPr>
        <dsp:cNvPr id="0" name=""/>
        <dsp:cNvSpPr/>
      </dsp:nvSpPr>
      <dsp:spPr>
        <a:xfrm>
          <a:off x="4367688" y="1842096"/>
          <a:ext cx="558418" cy="265756"/>
        </a:xfrm>
        <a:custGeom>
          <a:avLst/>
          <a:gdLst/>
          <a:ahLst/>
          <a:cxnLst/>
          <a:rect l="0" t="0" r="0" b="0"/>
          <a:pathLst>
            <a:path>
              <a:moveTo>
                <a:pt x="0" y="0"/>
              </a:moveTo>
              <a:lnTo>
                <a:pt x="0" y="181105"/>
              </a:lnTo>
              <a:lnTo>
                <a:pt x="558418" y="181105"/>
              </a:lnTo>
              <a:lnTo>
                <a:pt x="558418" y="26575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9AB87FC-D6B4-4E7E-81A5-1C801A98FAD4}">
      <dsp:nvSpPr>
        <dsp:cNvPr id="0" name=""/>
        <dsp:cNvSpPr/>
      </dsp:nvSpPr>
      <dsp:spPr>
        <a:xfrm>
          <a:off x="3809270" y="1842096"/>
          <a:ext cx="558418" cy="265756"/>
        </a:xfrm>
        <a:custGeom>
          <a:avLst/>
          <a:gdLst/>
          <a:ahLst/>
          <a:cxnLst/>
          <a:rect l="0" t="0" r="0" b="0"/>
          <a:pathLst>
            <a:path>
              <a:moveTo>
                <a:pt x="558418" y="0"/>
              </a:moveTo>
              <a:lnTo>
                <a:pt x="558418" y="181105"/>
              </a:lnTo>
              <a:lnTo>
                <a:pt x="0" y="181105"/>
              </a:lnTo>
              <a:lnTo>
                <a:pt x="0" y="26575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20CDCA1-0E3B-403F-8303-BDFD641EBECF}">
      <dsp:nvSpPr>
        <dsp:cNvPr id="0" name=""/>
        <dsp:cNvSpPr/>
      </dsp:nvSpPr>
      <dsp:spPr>
        <a:xfrm>
          <a:off x="2971643" y="996093"/>
          <a:ext cx="1396045" cy="265756"/>
        </a:xfrm>
        <a:custGeom>
          <a:avLst/>
          <a:gdLst/>
          <a:ahLst/>
          <a:cxnLst/>
          <a:rect l="0" t="0" r="0" b="0"/>
          <a:pathLst>
            <a:path>
              <a:moveTo>
                <a:pt x="0" y="0"/>
              </a:moveTo>
              <a:lnTo>
                <a:pt x="0" y="181105"/>
              </a:lnTo>
              <a:lnTo>
                <a:pt x="1396045" y="181105"/>
              </a:lnTo>
              <a:lnTo>
                <a:pt x="1396045" y="26575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5FBFD86-2F5C-493E-8103-7E952AF77D74}">
      <dsp:nvSpPr>
        <dsp:cNvPr id="0" name=""/>
        <dsp:cNvSpPr/>
      </dsp:nvSpPr>
      <dsp:spPr>
        <a:xfrm>
          <a:off x="1575598" y="1842096"/>
          <a:ext cx="1116836" cy="265756"/>
        </a:xfrm>
        <a:custGeom>
          <a:avLst/>
          <a:gdLst/>
          <a:ahLst/>
          <a:cxnLst/>
          <a:rect l="0" t="0" r="0" b="0"/>
          <a:pathLst>
            <a:path>
              <a:moveTo>
                <a:pt x="0" y="0"/>
              </a:moveTo>
              <a:lnTo>
                <a:pt x="0" y="181105"/>
              </a:lnTo>
              <a:lnTo>
                <a:pt x="1116836" y="181105"/>
              </a:lnTo>
              <a:lnTo>
                <a:pt x="1116836" y="26575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D9F67BA-A7F6-4B69-B203-383BE99D2FC1}">
      <dsp:nvSpPr>
        <dsp:cNvPr id="0" name=""/>
        <dsp:cNvSpPr/>
      </dsp:nvSpPr>
      <dsp:spPr>
        <a:xfrm>
          <a:off x="1529878" y="1842096"/>
          <a:ext cx="91440" cy="265756"/>
        </a:xfrm>
        <a:custGeom>
          <a:avLst/>
          <a:gdLst/>
          <a:ahLst/>
          <a:cxnLst/>
          <a:rect l="0" t="0" r="0" b="0"/>
          <a:pathLst>
            <a:path>
              <a:moveTo>
                <a:pt x="45720" y="0"/>
              </a:moveTo>
              <a:lnTo>
                <a:pt x="45720" y="26575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612C1D5-FD44-4E21-AC4C-6530386CA00C}">
      <dsp:nvSpPr>
        <dsp:cNvPr id="0" name=""/>
        <dsp:cNvSpPr/>
      </dsp:nvSpPr>
      <dsp:spPr>
        <a:xfrm>
          <a:off x="458762" y="1842096"/>
          <a:ext cx="1116836" cy="265756"/>
        </a:xfrm>
        <a:custGeom>
          <a:avLst/>
          <a:gdLst/>
          <a:ahLst/>
          <a:cxnLst/>
          <a:rect l="0" t="0" r="0" b="0"/>
          <a:pathLst>
            <a:path>
              <a:moveTo>
                <a:pt x="1116836" y="0"/>
              </a:moveTo>
              <a:lnTo>
                <a:pt x="1116836" y="181105"/>
              </a:lnTo>
              <a:lnTo>
                <a:pt x="0" y="181105"/>
              </a:lnTo>
              <a:lnTo>
                <a:pt x="0" y="26575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ED0C30B-7FBC-4456-831E-ECA3FBE16C89}">
      <dsp:nvSpPr>
        <dsp:cNvPr id="0" name=""/>
        <dsp:cNvSpPr/>
      </dsp:nvSpPr>
      <dsp:spPr>
        <a:xfrm>
          <a:off x="1575598" y="996093"/>
          <a:ext cx="1396045" cy="265756"/>
        </a:xfrm>
        <a:custGeom>
          <a:avLst/>
          <a:gdLst/>
          <a:ahLst/>
          <a:cxnLst/>
          <a:rect l="0" t="0" r="0" b="0"/>
          <a:pathLst>
            <a:path>
              <a:moveTo>
                <a:pt x="1396045" y="0"/>
              </a:moveTo>
              <a:lnTo>
                <a:pt x="1396045" y="181105"/>
              </a:lnTo>
              <a:lnTo>
                <a:pt x="0" y="181105"/>
              </a:lnTo>
              <a:lnTo>
                <a:pt x="0" y="26575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EF5293F-43D6-4A27-849B-1D243272D8CC}">
      <dsp:nvSpPr>
        <dsp:cNvPr id="0" name=""/>
        <dsp:cNvSpPr/>
      </dsp:nvSpPr>
      <dsp:spPr>
        <a:xfrm>
          <a:off x="2514756" y="415846"/>
          <a:ext cx="913774" cy="58024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977AE79-F47D-4C8A-9D4A-C9EC498C975A}">
      <dsp:nvSpPr>
        <dsp:cNvPr id="0" name=""/>
        <dsp:cNvSpPr/>
      </dsp:nvSpPr>
      <dsp:spPr>
        <a:xfrm>
          <a:off x="2616286" y="512300"/>
          <a:ext cx="913774" cy="58024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s-ES" sz="1000" b="1" kern="1200"/>
            <a:t>Hilton Worldwide Holdings Inc.</a:t>
          </a:r>
          <a:endParaRPr lang="es-ES" sz="1000" kern="1200"/>
        </a:p>
      </dsp:txBody>
      <dsp:txXfrm>
        <a:off x="2633281" y="529295"/>
        <a:ext cx="879784" cy="546257"/>
      </dsp:txXfrm>
    </dsp:sp>
    <dsp:sp modelId="{153A6493-8815-4D92-BE93-0C32442DB1D3}">
      <dsp:nvSpPr>
        <dsp:cNvPr id="0" name=""/>
        <dsp:cNvSpPr/>
      </dsp:nvSpPr>
      <dsp:spPr>
        <a:xfrm>
          <a:off x="1118711" y="1261849"/>
          <a:ext cx="913774" cy="58024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172EB77-8F75-49FA-9C6B-98003A6C768A}">
      <dsp:nvSpPr>
        <dsp:cNvPr id="0" name=""/>
        <dsp:cNvSpPr/>
      </dsp:nvSpPr>
      <dsp:spPr>
        <a:xfrm>
          <a:off x="1220241" y="1358303"/>
          <a:ext cx="913774" cy="58024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s-ES" sz="1000" kern="1200"/>
            <a:t>Management and Franchise Segment</a:t>
          </a:r>
        </a:p>
      </dsp:txBody>
      <dsp:txXfrm>
        <a:off x="1237236" y="1375298"/>
        <a:ext cx="879784" cy="546257"/>
      </dsp:txXfrm>
    </dsp:sp>
    <dsp:sp modelId="{317AF28F-F44B-42B3-B3DD-F6A8EAE555DF}">
      <dsp:nvSpPr>
        <dsp:cNvPr id="0" name=""/>
        <dsp:cNvSpPr/>
      </dsp:nvSpPr>
      <dsp:spPr>
        <a:xfrm>
          <a:off x="1875" y="2107852"/>
          <a:ext cx="913774" cy="58024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D083C41-EE7A-4BF8-B192-A738C2E0F42F}">
      <dsp:nvSpPr>
        <dsp:cNvPr id="0" name=""/>
        <dsp:cNvSpPr/>
      </dsp:nvSpPr>
      <dsp:spPr>
        <a:xfrm>
          <a:off x="103405" y="2204306"/>
          <a:ext cx="913774" cy="58024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s-ES" sz="1000" kern="1200"/>
            <a:t>Managed hotels</a:t>
          </a:r>
        </a:p>
      </dsp:txBody>
      <dsp:txXfrm>
        <a:off x="120400" y="2221301"/>
        <a:ext cx="879784" cy="546257"/>
      </dsp:txXfrm>
    </dsp:sp>
    <dsp:sp modelId="{63C123C6-9721-41FB-BDAC-38DB05722F16}">
      <dsp:nvSpPr>
        <dsp:cNvPr id="0" name=""/>
        <dsp:cNvSpPr/>
      </dsp:nvSpPr>
      <dsp:spPr>
        <a:xfrm>
          <a:off x="1118711" y="2107852"/>
          <a:ext cx="913774" cy="58024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B5FC756-5377-4BF3-806C-0415CF7E6512}">
      <dsp:nvSpPr>
        <dsp:cNvPr id="0" name=""/>
        <dsp:cNvSpPr/>
      </dsp:nvSpPr>
      <dsp:spPr>
        <a:xfrm>
          <a:off x="1220241" y="2204306"/>
          <a:ext cx="913774" cy="58024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s-ES" sz="1000" kern="1200"/>
            <a:t>Franchised hotels</a:t>
          </a:r>
        </a:p>
      </dsp:txBody>
      <dsp:txXfrm>
        <a:off x="1237236" y="2221301"/>
        <a:ext cx="879784" cy="546257"/>
      </dsp:txXfrm>
    </dsp:sp>
    <dsp:sp modelId="{0B328C25-5DEB-4560-826D-1D1A7412A6AF}">
      <dsp:nvSpPr>
        <dsp:cNvPr id="0" name=""/>
        <dsp:cNvSpPr/>
      </dsp:nvSpPr>
      <dsp:spPr>
        <a:xfrm>
          <a:off x="2235547" y="2107852"/>
          <a:ext cx="913774" cy="58024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DC5526F-0754-4D88-911B-DDABEB8C3E1C}">
      <dsp:nvSpPr>
        <dsp:cNvPr id="0" name=""/>
        <dsp:cNvSpPr/>
      </dsp:nvSpPr>
      <dsp:spPr>
        <a:xfrm>
          <a:off x="2337077" y="2204306"/>
          <a:ext cx="913774" cy="58024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s-ES" sz="1000" kern="1200"/>
            <a:t>Licensing / brand systems</a:t>
          </a:r>
        </a:p>
      </dsp:txBody>
      <dsp:txXfrm>
        <a:off x="2354072" y="2221301"/>
        <a:ext cx="879784" cy="546257"/>
      </dsp:txXfrm>
    </dsp:sp>
    <dsp:sp modelId="{DAB08AD5-2B01-48AA-842C-2583E2633EBF}">
      <dsp:nvSpPr>
        <dsp:cNvPr id="0" name=""/>
        <dsp:cNvSpPr/>
      </dsp:nvSpPr>
      <dsp:spPr>
        <a:xfrm>
          <a:off x="3910801" y="1261849"/>
          <a:ext cx="913774" cy="58024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50078C9-5C8C-4885-8D9F-DDACBA6D35D2}">
      <dsp:nvSpPr>
        <dsp:cNvPr id="0" name=""/>
        <dsp:cNvSpPr/>
      </dsp:nvSpPr>
      <dsp:spPr>
        <a:xfrm>
          <a:off x="4012331" y="1358303"/>
          <a:ext cx="913774" cy="58024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s-ES" sz="1000" kern="1200"/>
            <a:t>Ownership Segment</a:t>
          </a:r>
        </a:p>
      </dsp:txBody>
      <dsp:txXfrm>
        <a:off x="4029326" y="1375298"/>
        <a:ext cx="879784" cy="546257"/>
      </dsp:txXfrm>
    </dsp:sp>
    <dsp:sp modelId="{76B02F80-AC6C-47D9-AEDD-C7E5014A902F}">
      <dsp:nvSpPr>
        <dsp:cNvPr id="0" name=""/>
        <dsp:cNvSpPr/>
      </dsp:nvSpPr>
      <dsp:spPr>
        <a:xfrm>
          <a:off x="3352383" y="2107852"/>
          <a:ext cx="913774" cy="58024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4B1D6F9-10BD-4851-9AC0-D757092FF7B2}">
      <dsp:nvSpPr>
        <dsp:cNvPr id="0" name=""/>
        <dsp:cNvSpPr/>
      </dsp:nvSpPr>
      <dsp:spPr>
        <a:xfrm>
          <a:off x="3453913" y="2204306"/>
          <a:ext cx="913774" cy="58024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s-ES" sz="1000" kern="1200"/>
            <a:t>Owned hotels</a:t>
          </a:r>
        </a:p>
      </dsp:txBody>
      <dsp:txXfrm>
        <a:off x="3470908" y="2221301"/>
        <a:ext cx="879784" cy="546257"/>
      </dsp:txXfrm>
    </dsp:sp>
    <dsp:sp modelId="{CC2326CC-A5FE-4251-9331-AD4FC14B431C}">
      <dsp:nvSpPr>
        <dsp:cNvPr id="0" name=""/>
        <dsp:cNvSpPr/>
      </dsp:nvSpPr>
      <dsp:spPr>
        <a:xfrm>
          <a:off x="4469219" y="2107852"/>
          <a:ext cx="913774" cy="58024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79D1807-2E82-4C13-A7AF-076185B881C5}">
      <dsp:nvSpPr>
        <dsp:cNvPr id="0" name=""/>
        <dsp:cNvSpPr/>
      </dsp:nvSpPr>
      <dsp:spPr>
        <a:xfrm>
          <a:off x="4570749" y="2204306"/>
          <a:ext cx="913774" cy="58024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s-ES" sz="1000" kern="1200"/>
            <a:t>Leased hotels</a:t>
          </a:r>
        </a:p>
      </dsp:txBody>
      <dsp:txXfrm>
        <a:off x="4587744" y="2221301"/>
        <a:ext cx="879784" cy="546257"/>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2DE687-5ED0-4B9D-B311-166CBF54A5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3492</TotalTime>
  <Pages>21</Pages>
  <Words>4922</Words>
  <Characters>27073</Characters>
  <Application>Microsoft Office Word</Application>
  <DocSecurity>0</DocSecurity>
  <Lines>225</Lines>
  <Paragraphs>63</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31932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Medina</dc:creator>
  <cp:keywords/>
  <dc:description/>
  <cp:lastModifiedBy>Lara Medina Barcenilla (2334177)</cp:lastModifiedBy>
  <cp:revision>129</cp:revision>
  <dcterms:created xsi:type="dcterms:W3CDTF">2026-01-27T11:35:00Z</dcterms:created>
  <dcterms:modified xsi:type="dcterms:W3CDTF">2026-05-12T19:07:00Z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4adac48b-622e-446c-8ef5-c0219604b853</vt:lpwstr>
  </property>
</Properties>
</file>