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8D950" w14:textId="191DBF0E" w:rsidR="00A63ECC" w:rsidRPr="008E7A71" w:rsidRDefault="008E7A71">
      <w:pPr>
        <w:rPr>
          <w:rFonts w:ascii="Arial" w:hAnsi="Arial" w:cs="Arial"/>
          <w:sz w:val="28"/>
          <w:szCs w:val="28"/>
        </w:rPr>
      </w:pPr>
      <w:r>
        <w:t xml:space="preserve">                                                                                                                            </w:t>
      </w:r>
      <w:r w:rsidRPr="008E7A71">
        <w:rPr>
          <w:rFonts w:ascii="Arial" w:hAnsi="Arial" w:cs="Arial"/>
          <w:sz w:val="28"/>
          <w:szCs w:val="28"/>
        </w:rPr>
        <w:t>Rebecca Williams:2209625</w:t>
      </w:r>
    </w:p>
    <w:p w14:paraId="5176157E" w14:textId="409E12B3" w:rsidR="008E7A71" w:rsidRDefault="008E7A71">
      <w:pPr>
        <w:rPr>
          <w:rFonts w:ascii="Arial" w:hAnsi="Arial" w:cs="Arial"/>
          <w:color w:val="000000"/>
          <w:sz w:val="28"/>
          <w:szCs w:val="28"/>
          <w:shd w:val="clear" w:color="auto" w:fill="FFFFFF"/>
        </w:rPr>
      </w:pPr>
      <w:r w:rsidRPr="008E7A71">
        <w:rPr>
          <w:rFonts w:ascii="Arial" w:hAnsi="Arial" w:cs="Arial"/>
          <w:sz w:val="28"/>
          <w:szCs w:val="28"/>
        </w:rPr>
        <w:t xml:space="preserve">                                                             Evidence based policing: Module </w:t>
      </w:r>
      <w:r w:rsidRPr="008E7A71">
        <w:rPr>
          <w:rFonts w:ascii="Arial" w:hAnsi="Arial" w:cs="Arial"/>
          <w:color w:val="000000"/>
          <w:sz w:val="28"/>
          <w:szCs w:val="28"/>
          <w:shd w:val="clear" w:color="auto" w:fill="FFFFFF"/>
        </w:rPr>
        <w:t>BMPL4001</w:t>
      </w:r>
    </w:p>
    <w:p w14:paraId="369A55F2" w14:textId="77777777" w:rsidR="008E7A71" w:rsidRDefault="008E7A71">
      <w:pPr>
        <w:rPr>
          <w:rFonts w:ascii="Arial" w:hAnsi="Arial" w:cs="Arial"/>
          <w:color w:val="000000"/>
          <w:sz w:val="28"/>
          <w:szCs w:val="28"/>
          <w:shd w:val="clear" w:color="auto" w:fill="FFFFFF"/>
        </w:rPr>
      </w:pPr>
    </w:p>
    <w:p w14:paraId="00C44939" w14:textId="77777777" w:rsidR="008E7A71" w:rsidRDefault="008E7A71">
      <w:pPr>
        <w:rPr>
          <w:rFonts w:ascii="Arial" w:hAnsi="Arial" w:cs="Arial"/>
          <w:color w:val="000000"/>
          <w:sz w:val="28"/>
          <w:szCs w:val="28"/>
          <w:shd w:val="clear" w:color="auto" w:fill="FFFFFF"/>
        </w:rPr>
      </w:pPr>
    </w:p>
    <w:p w14:paraId="28829DA3" w14:textId="77777777" w:rsidR="00E02ACD" w:rsidRPr="00EC0C15" w:rsidRDefault="00E02ACD" w:rsidP="00E02ACD">
      <w:pPr>
        <w:rPr>
          <w:rFonts w:ascii="Arial" w:hAnsi="Arial" w:cs="Arial"/>
          <w:sz w:val="24"/>
          <w:szCs w:val="24"/>
        </w:rPr>
      </w:pPr>
      <w:r w:rsidRPr="00E02ACD">
        <w:rPr>
          <w:rFonts w:ascii="Arial" w:hAnsi="Arial" w:cs="Arial"/>
          <w:sz w:val="24"/>
          <w:szCs w:val="24"/>
        </w:rPr>
        <w:t>Introduction</w:t>
      </w:r>
      <w:r w:rsidRPr="00EC0C15">
        <w:rPr>
          <w:rFonts w:ascii="Arial" w:hAnsi="Arial" w:cs="Arial"/>
          <w:sz w:val="24"/>
          <w:szCs w:val="24"/>
        </w:rPr>
        <w:t>:</w:t>
      </w:r>
    </w:p>
    <w:p w14:paraId="0036B6BC" w14:textId="1FD97F14" w:rsidR="00E02ACD" w:rsidRPr="00E02ACD" w:rsidRDefault="00E02ACD" w:rsidP="00E02ACD">
      <w:pPr>
        <w:rPr>
          <w:rFonts w:ascii="Arial" w:hAnsi="Arial" w:cs="Arial"/>
          <w:sz w:val="24"/>
          <w:szCs w:val="24"/>
        </w:rPr>
      </w:pPr>
      <w:r w:rsidRPr="00E02ACD">
        <w:rPr>
          <w:rFonts w:ascii="Arial" w:hAnsi="Arial" w:cs="Arial"/>
          <w:sz w:val="24"/>
          <w:szCs w:val="24"/>
        </w:rPr>
        <w:t xml:space="preserve">Crime is a social phenomenon that has existed throughout human history. Understanding crime and the causes of criminal </w:t>
      </w:r>
      <w:r w:rsidRPr="00EC0C15">
        <w:rPr>
          <w:rFonts w:ascii="Arial" w:hAnsi="Arial" w:cs="Arial"/>
          <w:sz w:val="24"/>
          <w:szCs w:val="24"/>
        </w:rPr>
        <w:t>behaviour</w:t>
      </w:r>
      <w:r w:rsidRPr="00E02ACD">
        <w:rPr>
          <w:rFonts w:ascii="Arial" w:hAnsi="Arial" w:cs="Arial"/>
          <w:sz w:val="24"/>
          <w:szCs w:val="24"/>
        </w:rPr>
        <w:t xml:space="preserve"> has been the focus of criminology, a discipline that seeks to explain why individuals commit crime and how society can prevent it. Classical criminology is one of the most influential theories of criminology, developed by Cesare Beccaria and Jeremy Bentham in the 18th century (Siegel, 2020). This essay will outline the key ideas and theories associated with classical criminology and explore how this theory informs evidence-based policing. The essay will also describe some models of evidence-based policing, such as problem-oriented policing (POP), the Scanning, Analysis, Response, and Assessment (SARA) model, and </w:t>
      </w:r>
      <w:r w:rsidRPr="00EC0C15">
        <w:rPr>
          <w:rFonts w:ascii="Arial" w:hAnsi="Arial" w:cs="Arial"/>
          <w:sz w:val="24"/>
          <w:szCs w:val="24"/>
        </w:rPr>
        <w:t>Hotspot</w:t>
      </w:r>
      <w:r w:rsidRPr="00E02ACD">
        <w:rPr>
          <w:rFonts w:ascii="Arial" w:hAnsi="Arial" w:cs="Arial"/>
          <w:sz w:val="24"/>
          <w:szCs w:val="24"/>
        </w:rPr>
        <w:t xml:space="preserve"> policing. Finally, the essay will apply the ideas of evidence-based policing and classical criminology to drug crime, evaluate the strengths and weaknesses of classical criminology, and discuss the limitations of evidence-based policing.</w:t>
      </w:r>
    </w:p>
    <w:p w14:paraId="4E0D0544" w14:textId="04D0EE01" w:rsidR="00E02ACD" w:rsidRPr="00E02ACD" w:rsidRDefault="00E02ACD" w:rsidP="00E02ACD">
      <w:pPr>
        <w:rPr>
          <w:rFonts w:ascii="Arial" w:hAnsi="Arial" w:cs="Arial"/>
          <w:sz w:val="24"/>
          <w:szCs w:val="24"/>
        </w:rPr>
      </w:pPr>
      <w:r w:rsidRPr="00E02ACD">
        <w:rPr>
          <w:rFonts w:ascii="Arial" w:hAnsi="Arial" w:cs="Arial"/>
          <w:sz w:val="24"/>
          <w:szCs w:val="24"/>
        </w:rPr>
        <w:t xml:space="preserve">Classical Criminology Classical criminology is a theory that emphasizes the rationality of criminal </w:t>
      </w:r>
      <w:r w:rsidRPr="00EC0C15">
        <w:rPr>
          <w:rFonts w:ascii="Arial" w:hAnsi="Arial" w:cs="Arial"/>
          <w:sz w:val="24"/>
          <w:szCs w:val="24"/>
        </w:rPr>
        <w:t>behaviour</w:t>
      </w:r>
      <w:r w:rsidRPr="00E02ACD">
        <w:rPr>
          <w:rFonts w:ascii="Arial" w:hAnsi="Arial" w:cs="Arial"/>
          <w:sz w:val="24"/>
          <w:szCs w:val="24"/>
        </w:rPr>
        <w:t xml:space="preserve"> and suggests that individuals are motivated by pleasure and pain. According to this theory, individuals will engage in criminal </w:t>
      </w:r>
      <w:r w:rsidRPr="00EC0C15">
        <w:rPr>
          <w:rFonts w:ascii="Arial" w:hAnsi="Arial" w:cs="Arial"/>
          <w:sz w:val="24"/>
          <w:szCs w:val="24"/>
        </w:rPr>
        <w:t>behaviour</w:t>
      </w:r>
      <w:r w:rsidRPr="00E02ACD">
        <w:rPr>
          <w:rFonts w:ascii="Arial" w:hAnsi="Arial" w:cs="Arial"/>
          <w:sz w:val="24"/>
          <w:szCs w:val="24"/>
        </w:rPr>
        <w:t xml:space="preserve"> if the potential rewards outweigh the potential costs. Cesare Beccaria, an Italian philosopher, and Jeremy Bentham, an English philosopher, were the founding fathers of classical criminology. They argued that crime is a choice, and that individuals weigh the costs and benefits of committing a crime before engaging in criminal </w:t>
      </w:r>
      <w:r w:rsidRPr="00EC0C15">
        <w:rPr>
          <w:rFonts w:ascii="Arial" w:hAnsi="Arial" w:cs="Arial"/>
          <w:sz w:val="24"/>
          <w:szCs w:val="24"/>
        </w:rPr>
        <w:t>behaviour</w:t>
      </w:r>
      <w:r w:rsidRPr="00E02ACD">
        <w:rPr>
          <w:rFonts w:ascii="Arial" w:hAnsi="Arial" w:cs="Arial"/>
          <w:sz w:val="24"/>
          <w:szCs w:val="24"/>
        </w:rPr>
        <w:t xml:space="preserve">. Beccaria and Bentham believed that punishment should be swift, certain, and proportionate to the crime committed. They argued that this would deter individuals from engaging in criminal </w:t>
      </w:r>
      <w:r w:rsidRPr="00EC0C15">
        <w:rPr>
          <w:rFonts w:ascii="Arial" w:hAnsi="Arial" w:cs="Arial"/>
          <w:sz w:val="24"/>
          <w:szCs w:val="24"/>
        </w:rPr>
        <w:t>behaviour</w:t>
      </w:r>
      <w:r w:rsidRPr="00E02ACD">
        <w:rPr>
          <w:rFonts w:ascii="Arial" w:hAnsi="Arial" w:cs="Arial"/>
          <w:sz w:val="24"/>
          <w:szCs w:val="24"/>
        </w:rPr>
        <w:t xml:space="preserve"> (Schmalleger, 2017).</w:t>
      </w:r>
    </w:p>
    <w:p w14:paraId="648FD9AB" w14:textId="77777777" w:rsidR="00E02ACD" w:rsidRPr="00E02ACD" w:rsidRDefault="00E02ACD" w:rsidP="00E02ACD">
      <w:pPr>
        <w:rPr>
          <w:rFonts w:ascii="Arial" w:hAnsi="Arial" w:cs="Arial"/>
          <w:sz w:val="24"/>
          <w:szCs w:val="24"/>
        </w:rPr>
      </w:pPr>
      <w:r w:rsidRPr="00E02ACD">
        <w:rPr>
          <w:rFonts w:ascii="Arial" w:hAnsi="Arial" w:cs="Arial"/>
          <w:sz w:val="24"/>
          <w:szCs w:val="24"/>
        </w:rPr>
        <w:t>Classical criminology also emphasizes the importance of the social contract between individuals and society. Beccaria argued that individuals have a right to be protected from harm and that society has a duty to punish those who harm others. This social contract creates a balance between individual freedom and societal protection. According to classical criminology, the role of the criminal justice system is to punish offenders and deter others from committing crimes (Schmalleger, 2017).</w:t>
      </w:r>
    </w:p>
    <w:p w14:paraId="7D9E66C9" w14:textId="1A2F743D" w:rsidR="00E02ACD" w:rsidRPr="00E02ACD" w:rsidRDefault="00E02ACD" w:rsidP="00E02ACD">
      <w:pPr>
        <w:rPr>
          <w:rFonts w:ascii="Arial" w:hAnsi="Arial" w:cs="Arial"/>
          <w:sz w:val="24"/>
          <w:szCs w:val="24"/>
        </w:rPr>
      </w:pPr>
      <w:r w:rsidRPr="00E02ACD">
        <w:rPr>
          <w:rFonts w:ascii="Arial" w:hAnsi="Arial" w:cs="Arial"/>
          <w:sz w:val="24"/>
          <w:szCs w:val="24"/>
        </w:rPr>
        <w:t>Evidence-Based Policing is a framework that uses scientific research to guide police practices and policies. The goal of evidence-based policing is to improve the effectiveness and efficiency of police operations by using data-driven approaches to solve problems. Evidence-based policing involves the use of research and evaluation to identify effective policing strategies, to evaluate the impact of police practices, and to make informed decisions about resource allocation. Evidence-based policing also emphasizes the importance of collaboration between police agencies, researchers, and the community (Cochrane &amp; Wortley, 2019).</w:t>
      </w:r>
    </w:p>
    <w:p w14:paraId="40DA1BEA" w14:textId="77777777" w:rsidR="00E02ACD" w:rsidRPr="00E02ACD" w:rsidRDefault="00E02ACD" w:rsidP="00E02ACD">
      <w:pPr>
        <w:rPr>
          <w:rFonts w:ascii="Arial" w:hAnsi="Arial" w:cs="Arial"/>
          <w:sz w:val="24"/>
          <w:szCs w:val="24"/>
        </w:rPr>
      </w:pPr>
      <w:r w:rsidRPr="00E02ACD">
        <w:rPr>
          <w:rFonts w:ascii="Arial" w:hAnsi="Arial" w:cs="Arial"/>
          <w:sz w:val="24"/>
          <w:szCs w:val="24"/>
        </w:rPr>
        <w:t>Problem-Oriented Policing (POP) Problem-oriented policing is a model of policing that focuses on identifying and addressing the root causes of crime and disorder. The POP model involves a systematic process of problem-solving that includes four steps: scanning, analysis, response, and assessment. The scanning phase involves identifying and defining a problem. The analysis phase involves identifying the underlying causes of the problem. The response phase involves developing and implementing a solution to address the problem. The assessment phase involves evaluating the effectiveness of the solution and making adjustments as necessary (Eck &amp; Spelman, 1987).</w:t>
      </w:r>
    </w:p>
    <w:p w14:paraId="2B8E75ED" w14:textId="77777777" w:rsidR="00E02ACD" w:rsidRPr="00EC0C15" w:rsidRDefault="00E02ACD" w:rsidP="00E02ACD">
      <w:pPr>
        <w:rPr>
          <w:rFonts w:ascii="Arial" w:hAnsi="Arial" w:cs="Arial"/>
          <w:sz w:val="24"/>
          <w:szCs w:val="24"/>
        </w:rPr>
      </w:pPr>
      <w:r w:rsidRPr="00E02ACD">
        <w:rPr>
          <w:rFonts w:ascii="Arial" w:hAnsi="Arial" w:cs="Arial"/>
          <w:sz w:val="24"/>
          <w:szCs w:val="24"/>
        </w:rPr>
        <w:lastRenderedPageBreak/>
        <w:t>Scanning, Analysis, Response, and Assessment (SARA) Model The SARA model is a problem-solving model that is based on the POP model. The SARA model involves four stages: scanning, analysis, response, and assessment. The scanning phase involves identifying the problem. The analysis phase involves identifying the causes of the problem. The response phase involves developing and implementing a solution to address the problem. The assessment phase</w:t>
      </w:r>
      <w:r w:rsidRPr="00EC0C15">
        <w:rPr>
          <w:rFonts w:ascii="Arial" w:hAnsi="Arial" w:cs="Arial"/>
          <w:sz w:val="24"/>
          <w:szCs w:val="24"/>
        </w:rPr>
        <w:t xml:space="preserve"> </w:t>
      </w:r>
      <w:r w:rsidRPr="00EC0C15">
        <w:rPr>
          <w:rFonts w:ascii="Arial" w:hAnsi="Arial" w:cs="Arial"/>
          <w:sz w:val="24"/>
          <w:szCs w:val="24"/>
        </w:rPr>
        <w:t>involves evaluating the effectiveness of the solution and making adjustments as necessary. The SARA model is used by police agencies to address specific problems in their communities, such as drug dealing, gang activity, and disorderly conduct (Eck &amp; Spelman, 1987).</w:t>
      </w:r>
    </w:p>
    <w:p w14:paraId="134ED6C6" w14:textId="4D4FB35D" w:rsidR="00E02ACD" w:rsidRPr="00E02ACD" w:rsidRDefault="00427A8B" w:rsidP="00E02ACD">
      <w:pPr>
        <w:rPr>
          <w:rFonts w:ascii="Arial" w:hAnsi="Arial" w:cs="Arial"/>
          <w:sz w:val="24"/>
          <w:szCs w:val="24"/>
        </w:rPr>
      </w:pPr>
      <w:r w:rsidRPr="00EC0C15">
        <w:rPr>
          <w:rFonts w:ascii="Arial" w:hAnsi="Arial" w:cs="Arial"/>
          <w:sz w:val="24"/>
          <w:szCs w:val="24"/>
        </w:rPr>
        <w:t>Hotspot</w:t>
      </w:r>
      <w:r w:rsidR="00E02ACD" w:rsidRPr="00E02ACD">
        <w:rPr>
          <w:rFonts w:ascii="Arial" w:hAnsi="Arial" w:cs="Arial"/>
          <w:sz w:val="24"/>
          <w:szCs w:val="24"/>
        </w:rPr>
        <w:t xml:space="preserve"> Policing is a model of policing that focuses on targeting high-crime areas. The idea behind </w:t>
      </w:r>
      <w:r w:rsidRPr="00EC0C15">
        <w:rPr>
          <w:rFonts w:ascii="Arial" w:hAnsi="Arial" w:cs="Arial"/>
          <w:sz w:val="24"/>
          <w:szCs w:val="24"/>
        </w:rPr>
        <w:t>Hotspot</w:t>
      </w:r>
      <w:r w:rsidR="00E02ACD" w:rsidRPr="00E02ACD">
        <w:rPr>
          <w:rFonts w:ascii="Arial" w:hAnsi="Arial" w:cs="Arial"/>
          <w:sz w:val="24"/>
          <w:szCs w:val="24"/>
        </w:rPr>
        <w:t xml:space="preserve"> policing is that crime is not distributed evenly across a community, but rather is concentrated in specific locations. </w:t>
      </w:r>
      <w:r w:rsidRPr="00EC0C15">
        <w:rPr>
          <w:rFonts w:ascii="Arial" w:hAnsi="Arial" w:cs="Arial"/>
          <w:sz w:val="24"/>
          <w:szCs w:val="24"/>
        </w:rPr>
        <w:t>Hotspot</w:t>
      </w:r>
      <w:r w:rsidR="00E02ACD" w:rsidRPr="00E02ACD">
        <w:rPr>
          <w:rFonts w:ascii="Arial" w:hAnsi="Arial" w:cs="Arial"/>
          <w:sz w:val="24"/>
          <w:szCs w:val="24"/>
        </w:rPr>
        <w:t xml:space="preserve"> policing involves identifying these high-crime areas and deploying police resources to these areas to prevent and deter criminal activity. </w:t>
      </w:r>
      <w:r w:rsidRPr="00EC0C15">
        <w:rPr>
          <w:rFonts w:ascii="Arial" w:hAnsi="Arial" w:cs="Arial"/>
          <w:sz w:val="24"/>
          <w:szCs w:val="24"/>
        </w:rPr>
        <w:t>Hotspot</w:t>
      </w:r>
      <w:r w:rsidR="00E02ACD" w:rsidRPr="00E02ACD">
        <w:rPr>
          <w:rFonts w:ascii="Arial" w:hAnsi="Arial" w:cs="Arial"/>
          <w:sz w:val="24"/>
          <w:szCs w:val="24"/>
        </w:rPr>
        <w:t xml:space="preserve"> policing can be effective in reducing crime, particularly in areas where criminal activity is concentrated (Braga, </w:t>
      </w:r>
      <w:proofErr w:type="spellStart"/>
      <w:r w:rsidR="00E02ACD" w:rsidRPr="00E02ACD">
        <w:rPr>
          <w:rFonts w:ascii="Arial" w:hAnsi="Arial" w:cs="Arial"/>
          <w:sz w:val="24"/>
          <w:szCs w:val="24"/>
        </w:rPr>
        <w:t>Papachristos</w:t>
      </w:r>
      <w:proofErr w:type="spellEnd"/>
      <w:r w:rsidR="00E02ACD" w:rsidRPr="00E02ACD">
        <w:rPr>
          <w:rFonts w:ascii="Arial" w:hAnsi="Arial" w:cs="Arial"/>
          <w:sz w:val="24"/>
          <w:szCs w:val="24"/>
        </w:rPr>
        <w:t>, &amp; Hureau, 2014).</w:t>
      </w:r>
    </w:p>
    <w:p w14:paraId="52922875" w14:textId="4F28331D" w:rsidR="00E02ACD" w:rsidRPr="00E02ACD" w:rsidRDefault="00E02ACD" w:rsidP="00E02ACD">
      <w:pPr>
        <w:rPr>
          <w:rFonts w:ascii="Arial" w:hAnsi="Arial" w:cs="Arial"/>
          <w:sz w:val="24"/>
          <w:szCs w:val="24"/>
        </w:rPr>
      </w:pPr>
      <w:r w:rsidRPr="00E02ACD">
        <w:rPr>
          <w:rFonts w:ascii="Arial" w:hAnsi="Arial" w:cs="Arial"/>
          <w:sz w:val="24"/>
          <w:szCs w:val="24"/>
        </w:rPr>
        <w:t xml:space="preserve">Drug Crime and Classical Criminology Drug crime is a significant problem in many communities, and understanding the causes of drug crime is essential for developing effective strategies to address this issue. Classical criminology can inform evidence-based policing approaches to drug crime by providing insights into the factors that influence criminal </w:t>
      </w:r>
      <w:r w:rsidR="00427A8B" w:rsidRPr="00EC0C15">
        <w:rPr>
          <w:rFonts w:ascii="Arial" w:hAnsi="Arial" w:cs="Arial"/>
          <w:sz w:val="24"/>
          <w:szCs w:val="24"/>
        </w:rPr>
        <w:t>behaviour</w:t>
      </w:r>
      <w:r w:rsidRPr="00E02ACD">
        <w:rPr>
          <w:rFonts w:ascii="Arial" w:hAnsi="Arial" w:cs="Arial"/>
          <w:sz w:val="24"/>
          <w:szCs w:val="24"/>
        </w:rPr>
        <w:t xml:space="preserve">. Classical criminology suggests that individuals engage in criminal </w:t>
      </w:r>
      <w:r w:rsidR="00427A8B" w:rsidRPr="00EC0C15">
        <w:rPr>
          <w:rFonts w:ascii="Arial" w:hAnsi="Arial" w:cs="Arial"/>
          <w:sz w:val="24"/>
          <w:szCs w:val="24"/>
        </w:rPr>
        <w:t>behaviour</w:t>
      </w:r>
      <w:r w:rsidRPr="00E02ACD">
        <w:rPr>
          <w:rFonts w:ascii="Arial" w:hAnsi="Arial" w:cs="Arial"/>
          <w:sz w:val="24"/>
          <w:szCs w:val="24"/>
        </w:rPr>
        <w:t xml:space="preserve"> when the potential rewards outweigh the potential costs. For drug offenders, the potential rewards may include the financial benefits of drug sales, the pleasure of drug use, or the relief of emotional distress (Schmalleger, 2017).</w:t>
      </w:r>
    </w:p>
    <w:p w14:paraId="4C26ED61" w14:textId="77777777" w:rsidR="00E02ACD" w:rsidRPr="00E02ACD" w:rsidRDefault="00E02ACD" w:rsidP="00E02ACD">
      <w:pPr>
        <w:rPr>
          <w:rFonts w:ascii="Arial" w:hAnsi="Arial" w:cs="Arial"/>
          <w:sz w:val="24"/>
          <w:szCs w:val="24"/>
        </w:rPr>
      </w:pPr>
      <w:r w:rsidRPr="00E02ACD">
        <w:rPr>
          <w:rFonts w:ascii="Arial" w:hAnsi="Arial" w:cs="Arial"/>
          <w:sz w:val="24"/>
          <w:szCs w:val="24"/>
        </w:rPr>
        <w:t>Classical criminology also suggests that punishment should be swift, certain, and proportionate to the crime committed. This principle can inform police approaches to drug crime by focusing on the swift and certain punishment of drug offenders. This approach can involve the use of undercover operations to identify drug dealers, the use of drug courts to provide swift and certain punishment for drug offenses, and the use of asset forfeiture laws to seize the proceeds of drug trafficking (Kilmer, 2016).</w:t>
      </w:r>
    </w:p>
    <w:p w14:paraId="0C6D6E5E" w14:textId="7B726A07" w:rsidR="00E02ACD" w:rsidRPr="00E02ACD" w:rsidRDefault="00E02ACD" w:rsidP="00E02ACD">
      <w:pPr>
        <w:rPr>
          <w:rFonts w:ascii="Arial" w:hAnsi="Arial" w:cs="Arial"/>
          <w:sz w:val="24"/>
          <w:szCs w:val="24"/>
        </w:rPr>
      </w:pPr>
      <w:r w:rsidRPr="00E02ACD">
        <w:rPr>
          <w:rFonts w:ascii="Arial" w:hAnsi="Arial" w:cs="Arial"/>
          <w:sz w:val="24"/>
          <w:szCs w:val="24"/>
        </w:rPr>
        <w:t xml:space="preserve">Evidence-Based Policing Approaches to Drug Crime Evidence-based policing approaches to drug crime include problem-oriented policing, the SARA model, and </w:t>
      </w:r>
      <w:r w:rsidR="00427A8B" w:rsidRPr="00EC0C15">
        <w:rPr>
          <w:rFonts w:ascii="Arial" w:hAnsi="Arial" w:cs="Arial"/>
          <w:sz w:val="24"/>
          <w:szCs w:val="24"/>
        </w:rPr>
        <w:t>Hotspot</w:t>
      </w:r>
      <w:r w:rsidRPr="00E02ACD">
        <w:rPr>
          <w:rFonts w:ascii="Arial" w:hAnsi="Arial" w:cs="Arial"/>
          <w:sz w:val="24"/>
          <w:szCs w:val="24"/>
        </w:rPr>
        <w:t xml:space="preserve"> policing. Problem-oriented policing can be used to address the root causes of drug crime by identifying the factors that contribute to drug use and drug trafficking. This approach can involve partnerships between police agencies and community organizations to address social and economic issues that contribute to drug crime. The SARA model can be used to develop targeted interventions to address specific drug-related problems, such as drug use in a particular </w:t>
      </w:r>
      <w:proofErr w:type="spellStart"/>
      <w:r w:rsidR="00427A8B" w:rsidRPr="00EC0C15">
        <w:rPr>
          <w:rFonts w:ascii="Arial" w:hAnsi="Arial" w:cs="Arial"/>
          <w:sz w:val="24"/>
          <w:szCs w:val="24"/>
        </w:rPr>
        <w:t>neighbour hood</w:t>
      </w:r>
      <w:proofErr w:type="spellEnd"/>
      <w:r w:rsidRPr="00E02ACD">
        <w:rPr>
          <w:rFonts w:ascii="Arial" w:hAnsi="Arial" w:cs="Arial"/>
          <w:sz w:val="24"/>
          <w:szCs w:val="24"/>
        </w:rPr>
        <w:t xml:space="preserve"> or drug trafficking on a specific street corner. </w:t>
      </w:r>
      <w:proofErr w:type="spellStart"/>
      <w:r w:rsidRPr="00E02ACD">
        <w:rPr>
          <w:rFonts w:ascii="Arial" w:hAnsi="Arial" w:cs="Arial"/>
          <w:sz w:val="24"/>
          <w:szCs w:val="24"/>
        </w:rPr>
        <w:t>HotSpot</w:t>
      </w:r>
      <w:proofErr w:type="spellEnd"/>
      <w:r w:rsidRPr="00E02ACD">
        <w:rPr>
          <w:rFonts w:ascii="Arial" w:hAnsi="Arial" w:cs="Arial"/>
          <w:sz w:val="24"/>
          <w:szCs w:val="24"/>
        </w:rPr>
        <w:t xml:space="preserve"> policing can be used to target high-crime drug areas and prevent drug-related offenses from occurring in these locations (Eck &amp; Spelman, 1987).</w:t>
      </w:r>
    </w:p>
    <w:p w14:paraId="5D2FD49A" w14:textId="5C5545D0" w:rsidR="00E02ACD" w:rsidRPr="00E02ACD" w:rsidRDefault="00E02ACD" w:rsidP="00E02ACD">
      <w:pPr>
        <w:rPr>
          <w:rFonts w:ascii="Arial" w:hAnsi="Arial" w:cs="Arial"/>
          <w:sz w:val="24"/>
          <w:szCs w:val="24"/>
        </w:rPr>
      </w:pPr>
      <w:r w:rsidRPr="00E02ACD">
        <w:rPr>
          <w:rFonts w:ascii="Arial" w:hAnsi="Arial" w:cs="Arial"/>
          <w:sz w:val="24"/>
          <w:szCs w:val="24"/>
        </w:rPr>
        <w:t xml:space="preserve">Strengths and Weaknesses of Classical Criminology and Evidence-Based Policing Classical criminology provides valuable insights into the factors that influence criminal </w:t>
      </w:r>
      <w:r w:rsidR="00427A8B" w:rsidRPr="00EC0C15">
        <w:rPr>
          <w:rFonts w:ascii="Arial" w:hAnsi="Arial" w:cs="Arial"/>
          <w:sz w:val="24"/>
          <w:szCs w:val="24"/>
        </w:rPr>
        <w:t>behaviour</w:t>
      </w:r>
      <w:r w:rsidRPr="00E02ACD">
        <w:rPr>
          <w:rFonts w:ascii="Arial" w:hAnsi="Arial" w:cs="Arial"/>
          <w:sz w:val="24"/>
          <w:szCs w:val="24"/>
        </w:rPr>
        <w:t xml:space="preserve"> and the principles of punishment. However, classical criminology has been criticized for its focus on individual choice and its failure to consider the role of social and environmental factors in criminal </w:t>
      </w:r>
      <w:r w:rsidR="00427A8B" w:rsidRPr="00EC0C15">
        <w:rPr>
          <w:rFonts w:ascii="Arial" w:hAnsi="Arial" w:cs="Arial"/>
          <w:sz w:val="24"/>
          <w:szCs w:val="24"/>
        </w:rPr>
        <w:t>behaviour</w:t>
      </w:r>
      <w:r w:rsidRPr="00E02ACD">
        <w:rPr>
          <w:rFonts w:ascii="Arial" w:hAnsi="Arial" w:cs="Arial"/>
          <w:sz w:val="24"/>
          <w:szCs w:val="24"/>
        </w:rPr>
        <w:t xml:space="preserve">. Critics argue that classical criminology ignores the structural inequalities that contribute to criminal </w:t>
      </w:r>
      <w:r w:rsidRPr="00EC0C15">
        <w:rPr>
          <w:rFonts w:ascii="Arial" w:hAnsi="Arial" w:cs="Arial"/>
          <w:sz w:val="24"/>
          <w:szCs w:val="24"/>
        </w:rPr>
        <w:t>behaviour</w:t>
      </w:r>
      <w:r w:rsidRPr="00E02ACD">
        <w:rPr>
          <w:rFonts w:ascii="Arial" w:hAnsi="Arial" w:cs="Arial"/>
          <w:sz w:val="24"/>
          <w:szCs w:val="24"/>
        </w:rPr>
        <w:t>, such as poverty, unemployment, and social disorganization (Schmalleger, 2017).</w:t>
      </w:r>
    </w:p>
    <w:p w14:paraId="0EFC0A97" w14:textId="69CFAEB9" w:rsidR="00E02ACD" w:rsidRDefault="00E02ACD" w:rsidP="00E02ACD">
      <w:pPr>
        <w:rPr>
          <w:rFonts w:ascii="Arial" w:hAnsi="Arial" w:cs="Arial"/>
          <w:sz w:val="24"/>
          <w:szCs w:val="24"/>
        </w:rPr>
      </w:pPr>
      <w:r w:rsidRPr="00E02ACD">
        <w:rPr>
          <w:rFonts w:ascii="Arial" w:hAnsi="Arial" w:cs="Arial"/>
          <w:sz w:val="24"/>
          <w:szCs w:val="24"/>
        </w:rPr>
        <w:t xml:space="preserve">Evidence-based policing has the potential to improve the effectiveness and efficiency of police practices by using data-driven approaches to solve problems. Evidence-based policing emphasizes collaboration between police agencies, researchers, and the community, which can lead to more effective and sustainable solutions to crime problems. However, evidence-based policing also has limitations, such as the availability and quality of data, the potential for bias in </w:t>
      </w:r>
      <w:r w:rsidRPr="00E02ACD">
        <w:rPr>
          <w:rFonts w:ascii="Arial" w:hAnsi="Arial" w:cs="Arial"/>
          <w:sz w:val="24"/>
          <w:szCs w:val="24"/>
        </w:rPr>
        <w:lastRenderedPageBreak/>
        <w:t>research, and the challenges of implementing research findings in practice (Cochrane &amp; Wortley, 2019).</w:t>
      </w:r>
    </w:p>
    <w:p w14:paraId="3A5CC96D" w14:textId="1E819B61" w:rsidR="006074BC" w:rsidRPr="00EC0C15" w:rsidRDefault="009043D0" w:rsidP="00E02ACD">
      <w:pPr>
        <w:rPr>
          <w:rFonts w:ascii="Arial" w:hAnsi="Arial" w:cs="Arial"/>
          <w:sz w:val="24"/>
          <w:szCs w:val="24"/>
        </w:rPr>
      </w:pPr>
      <w:r w:rsidRPr="009043D0">
        <w:rPr>
          <w:rFonts w:ascii="Arial" w:hAnsi="Arial" w:cs="Arial"/>
          <w:sz w:val="24"/>
          <w:szCs w:val="24"/>
        </w:rPr>
        <w:t>In summary, the National Decision Making Model (NDM) and the National Intelligence Model (NIM) are two key frameworks used in policing practice in the UK. The NDM provides a structured approach to decision making based on a set of guiding principles, while the NIM provides a structured approach to intelligence gathering and analysis. Together, these frameworks help police officers to make more informed and effective decisions, which can help to reduce crime and enhance public safety. By understanding the rationale behind and the application of these frameworks, police officers can enhance their policing practice and contribute to a more effective and efficient police service.</w:t>
      </w:r>
    </w:p>
    <w:p w14:paraId="7CEF18D9" w14:textId="77777777" w:rsidR="007278E4" w:rsidRPr="00EC0C15" w:rsidRDefault="007278E4" w:rsidP="00E02ACD">
      <w:pPr>
        <w:rPr>
          <w:rFonts w:ascii="Arial" w:hAnsi="Arial" w:cs="Arial"/>
          <w:sz w:val="24"/>
          <w:szCs w:val="24"/>
        </w:rPr>
      </w:pPr>
    </w:p>
    <w:p w14:paraId="4003DCD0" w14:textId="77777777" w:rsidR="007278E4" w:rsidRPr="00E02ACD" w:rsidRDefault="007278E4" w:rsidP="00E02ACD">
      <w:pPr>
        <w:rPr>
          <w:rFonts w:ascii="Arial" w:hAnsi="Arial" w:cs="Arial"/>
          <w:sz w:val="24"/>
          <w:szCs w:val="24"/>
        </w:rPr>
      </w:pPr>
    </w:p>
    <w:p w14:paraId="404970C0" w14:textId="77777777" w:rsidR="007278E4" w:rsidRPr="00EC0C15" w:rsidRDefault="00E02ACD" w:rsidP="0059432E">
      <w:pPr>
        <w:rPr>
          <w:rFonts w:ascii="Arial" w:hAnsi="Arial" w:cs="Arial"/>
          <w:sz w:val="24"/>
          <w:szCs w:val="24"/>
        </w:rPr>
      </w:pPr>
      <w:r w:rsidRPr="00E02ACD">
        <w:rPr>
          <w:rFonts w:ascii="Arial" w:hAnsi="Arial" w:cs="Arial"/>
          <w:sz w:val="24"/>
          <w:szCs w:val="24"/>
        </w:rPr>
        <w:t>Conclusion</w:t>
      </w:r>
      <w:r w:rsidRPr="00EC0C15">
        <w:rPr>
          <w:rFonts w:ascii="Arial" w:hAnsi="Arial" w:cs="Arial"/>
          <w:sz w:val="24"/>
          <w:szCs w:val="24"/>
        </w:rPr>
        <w:t>:</w:t>
      </w:r>
    </w:p>
    <w:p w14:paraId="57A3C48B" w14:textId="5C774732" w:rsidR="0059432E" w:rsidRPr="00EC0C15" w:rsidRDefault="0059432E" w:rsidP="0059432E">
      <w:pPr>
        <w:rPr>
          <w:rFonts w:ascii="Arial" w:hAnsi="Arial" w:cs="Arial"/>
          <w:sz w:val="24"/>
          <w:szCs w:val="24"/>
        </w:rPr>
      </w:pPr>
      <w:r w:rsidRPr="00EC0C15">
        <w:rPr>
          <w:rFonts w:ascii="Arial" w:hAnsi="Arial" w:cs="Arial"/>
          <w:sz w:val="24"/>
          <w:szCs w:val="24"/>
        </w:rPr>
        <w:t xml:space="preserve">In conclusion, classical criminology and evidence-based policing are two approaches that can be used to understand and address crime. Classical criminology provides a theoretical framework that emphasizes individual choice, rationality, and deterrence. This approach has been influential in shaping criminal justice policies and practices, such as the development of the modern prison system and the use of harsh punishments to deter crime. However, classical criminology has been criticized for its narrow focus on individual factors and its failure to consider social and environmental influences on criminal </w:t>
      </w:r>
      <w:proofErr w:type="spellStart"/>
      <w:r w:rsidRPr="00EC0C15">
        <w:rPr>
          <w:rFonts w:ascii="Arial" w:hAnsi="Arial" w:cs="Arial"/>
          <w:sz w:val="24"/>
          <w:szCs w:val="24"/>
        </w:rPr>
        <w:t>behavior</w:t>
      </w:r>
      <w:proofErr w:type="spellEnd"/>
      <w:r w:rsidRPr="00EC0C15">
        <w:rPr>
          <w:rFonts w:ascii="Arial" w:hAnsi="Arial" w:cs="Arial"/>
          <w:sz w:val="24"/>
          <w:szCs w:val="24"/>
        </w:rPr>
        <w:t>.</w:t>
      </w:r>
    </w:p>
    <w:p w14:paraId="40B7F870" w14:textId="4BCFB458" w:rsidR="0059432E" w:rsidRPr="0059432E" w:rsidRDefault="0059432E" w:rsidP="0059432E">
      <w:pPr>
        <w:rPr>
          <w:rFonts w:ascii="Arial" w:hAnsi="Arial" w:cs="Arial"/>
          <w:sz w:val="24"/>
          <w:szCs w:val="24"/>
        </w:rPr>
      </w:pPr>
      <w:r w:rsidRPr="0059432E">
        <w:rPr>
          <w:rFonts w:ascii="Arial" w:hAnsi="Arial" w:cs="Arial"/>
          <w:sz w:val="24"/>
          <w:szCs w:val="24"/>
        </w:rPr>
        <w:t xml:space="preserve">Evidence-based policing, on the other hand, is a data-driven approach that uses research to inform police practices and policies. This approach emphasizes the importance of using scientific methods to evaluate the effectiveness of interventions and strategies. Evidence-based policing has been shown to be effective in reducing crime in specific contexts, such as in hot spot policing and problem-oriented policing. However, this approach also has limitations, including the challenges of collecting and </w:t>
      </w:r>
      <w:r w:rsidR="007278E4" w:rsidRPr="00EC0C15">
        <w:rPr>
          <w:rFonts w:ascii="Arial" w:hAnsi="Arial" w:cs="Arial"/>
          <w:sz w:val="24"/>
          <w:szCs w:val="24"/>
        </w:rPr>
        <w:t>analysing</w:t>
      </w:r>
      <w:r w:rsidRPr="0059432E">
        <w:rPr>
          <w:rFonts w:ascii="Arial" w:hAnsi="Arial" w:cs="Arial"/>
          <w:sz w:val="24"/>
          <w:szCs w:val="24"/>
        </w:rPr>
        <w:t xml:space="preserve"> data, the potential for bias in research, and the difficulties of implementing research findings in practice.</w:t>
      </w:r>
    </w:p>
    <w:p w14:paraId="6CC2C8C3" w14:textId="4FC74A84" w:rsidR="0059432E" w:rsidRPr="0059432E" w:rsidRDefault="0059432E" w:rsidP="0059432E">
      <w:pPr>
        <w:rPr>
          <w:rFonts w:ascii="Arial" w:hAnsi="Arial" w:cs="Arial"/>
          <w:sz w:val="24"/>
          <w:szCs w:val="24"/>
        </w:rPr>
      </w:pPr>
      <w:r w:rsidRPr="0059432E">
        <w:rPr>
          <w:rFonts w:ascii="Arial" w:hAnsi="Arial" w:cs="Arial"/>
          <w:sz w:val="24"/>
          <w:szCs w:val="24"/>
        </w:rPr>
        <w:t xml:space="preserve">When applied to drug crime, classical criminology and evidence-based policing can provide complementary insights and interventions. For example, classical criminology can help to identify the factors that influence drug-related criminal </w:t>
      </w:r>
      <w:r w:rsidR="007278E4" w:rsidRPr="00EC0C15">
        <w:rPr>
          <w:rFonts w:ascii="Arial" w:hAnsi="Arial" w:cs="Arial"/>
          <w:sz w:val="24"/>
          <w:szCs w:val="24"/>
        </w:rPr>
        <w:t>behaviour</w:t>
      </w:r>
      <w:r w:rsidRPr="0059432E">
        <w:rPr>
          <w:rFonts w:ascii="Arial" w:hAnsi="Arial" w:cs="Arial"/>
          <w:sz w:val="24"/>
          <w:szCs w:val="24"/>
        </w:rPr>
        <w:t xml:space="preserve">, such as economic marginalization, social disorganization, and addiction. Evidence-based policing can provide targeted interventions to address specific drug-related problems, such as the use of problem-oriented policing to target drug markets or hot spot policing to reduce drug-related crime in specific </w:t>
      </w:r>
      <w:r w:rsidR="007278E4" w:rsidRPr="00EC0C15">
        <w:rPr>
          <w:rFonts w:ascii="Arial" w:hAnsi="Arial" w:cs="Arial"/>
          <w:sz w:val="24"/>
          <w:szCs w:val="24"/>
        </w:rPr>
        <w:t>neighbourhoods</w:t>
      </w:r>
      <w:r w:rsidRPr="0059432E">
        <w:rPr>
          <w:rFonts w:ascii="Arial" w:hAnsi="Arial" w:cs="Arial"/>
          <w:sz w:val="24"/>
          <w:szCs w:val="24"/>
        </w:rPr>
        <w:t>.</w:t>
      </w:r>
    </w:p>
    <w:p w14:paraId="079CC626" w14:textId="77777777" w:rsidR="0059432E" w:rsidRPr="0059432E" w:rsidRDefault="0059432E" w:rsidP="0059432E">
      <w:pPr>
        <w:rPr>
          <w:rFonts w:ascii="Arial" w:hAnsi="Arial" w:cs="Arial"/>
          <w:sz w:val="24"/>
          <w:szCs w:val="24"/>
        </w:rPr>
      </w:pPr>
      <w:r w:rsidRPr="0059432E">
        <w:rPr>
          <w:rFonts w:ascii="Arial" w:hAnsi="Arial" w:cs="Arial"/>
          <w:sz w:val="24"/>
          <w:szCs w:val="24"/>
        </w:rPr>
        <w:t>Despite their limitations, classical criminology and evidence-based policing are important tools for understanding and addressing crime. By combining these approaches, it is possible to develop more effective and comprehensive strategies for reducing crime and promoting public safety. However, it is essential to recognize the limitations of these approaches and to use a holistic approach that considers both individual and social factors to effectively address crime.</w:t>
      </w:r>
    </w:p>
    <w:p w14:paraId="246A4319" w14:textId="77777777" w:rsidR="0059432E" w:rsidRPr="0059432E" w:rsidRDefault="0059432E" w:rsidP="0059432E">
      <w:pPr>
        <w:rPr>
          <w:rFonts w:ascii="Arial" w:hAnsi="Arial" w:cs="Arial"/>
          <w:sz w:val="24"/>
          <w:szCs w:val="24"/>
        </w:rPr>
      </w:pPr>
      <w:r w:rsidRPr="0059432E">
        <w:rPr>
          <w:rFonts w:ascii="Arial" w:hAnsi="Arial" w:cs="Arial"/>
          <w:sz w:val="24"/>
          <w:szCs w:val="24"/>
        </w:rPr>
        <w:t>In summary, classical criminology and evidence-based policing are two complementary approaches that can be used to understand and address crime. While classical criminology emphasizes individual choice and deterrence, evidence-based policing emphasizes the importance of data-driven approaches to solve problems. By combining these approaches, it is possible to develop more effective and comprehensive strategies for reducing crime and promoting public safety. However, it is essential to recognize the limitations of these approaches and to use a holistic approach that considers both individual and social factors to effectively address crime.</w:t>
      </w:r>
    </w:p>
    <w:p w14:paraId="39E224FC" w14:textId="1B9CDEC4" w:rsidR="00E02ACD" w:rsidRPr="00EC0C15" w:rsidRDefault="00E02ACD" w:rsidP="00E02ACD">
      <w:pPr>
        <w:rPr>
          <w:rFonts w:ascii="Arial" w:hAnsi="Arial" w:cs="Arial"/>
          <w:sz w:val="24"/>
          <w:szCs w:val="24"/>
        </w:rPr>
      </w:pPr>
    </w:p>
    <w:p w14:paraId="7CC1A78A" w14:textId="77777777" w:rsidR="0059432E" w:rsidRPr="00EC0C15" w:rsidRDefault="0059432E" w:rsidP="00E02ACD">
      <w:pPr>
        <w:rPr>
          <w:rFonts w:ascii="Arial" w:hAnsi="Arial" w:cs="Arial"/>
          <w:sz w:val="24"/>
          <w:szCs w:val="24"/>
        </w:rPr>
      </w:pPr>
    </w:p>
    <w:p w14:paraId="71F870DC" w14:textId="77777777" w:rsidR="00427A8B" w:rsidRPr="00E02ACD" w:rsidRDefault="00427A8B" w:rsidP="00E02ACD">
      <w:pPr>
        <w:rPr>
          <w:rFonts w:ascii="Arial" w:hAnsi="Arial" w:cs="Arial"/>
          <w:sz w:val="24"/>
          <w:szCs w:val="24"/>
        </w:rPr>
      </w:pPr>
    </w:p>
    <w:p w14:paraId="0EBF80FD" w14:textId="77777777" w:rsidR="00E02ACD" w:rsidRPr="00EC0C15" w:rsidRDefault="00E02ACD" w:rsidP="00E02ACD">
      <w:pPr>
        <w:rPr>
          <w:rFonts w:ascii="Arial" w:hAnsi="Arial" w:cs="Arial"/>
          <w:sz w:val="24"/>
          <w:szCs w:val="24"/>
        </w:rPr>
      </w:pPr>
      <w:r w:rsidRPr="00E02ACD">
        <w:rPr>
          <w:rFonts w:ascii="Arial" w:hAnsi="Arial" w:cs="Arial"/>
          <w:sz w:val="24"/>
          <w:szCs w:val="24"/>
        </w:rPr>
        <w:t>References:</w:t>
      </w:r>
    </w:p>
    <w:p w14:paraId="620CF445" w14:textId="77777777" w:rsidR="00E02ACD" w:rsidRPr="00E02ACD" w:rsidRDefault="00E02ACD" w:rsidP="00E02ACD">
      <w:pPr>
        <w:rPr>
          <w:rFonts w:ascii="Arial" w:hAnsi="Arial" w:cs="Arial"/>
          <w:sz w:val="24"/>
          <w:szCs w:val="24"/>
        </w:rPr>
      </w:pPr>
    </w:p>
    <w:p w14:paraId="63C40FE6" w14:textId="77777777" w:rsidR="00E02ACD" w:rsidRPr="00E02ACD" w:rsidRDefault="00E02ACD" w:rsidP="00E02ACD">
      <w:pPr>
        <w:rPr>
          <w:rFonts w:ascii="Arial" w:hAnsi="Arial" w:cs="Arial"/>
          <w:sz w:val="24"/>
          <w:szCs w:val="24"/>
        </w:rPr>
      </w:pPr>
      <w:r w:rsidRPr="00E02ACD">
        <w:rPr>
          <w:rFonts w:ascii="Arial" w:hAnsi="Arial" w:cs="Arial"/>
          <w:sz w:val="24"/>
          <w:szCs w:val="24"/>
        </w:rPr>
        <w:t xml:space="preserve">Braga, A. A., </w:t>
      </w:r>
      <w:proofErr w:type="spellStart"/>
      <w:r w:rsidRPr="00E02ACD">
        <w:rPr>
          <w:rFonts w:ascii="Arial" w:hAnsi="Arial" w:cs="Arial"/>
          <w:sz w:val="24"/>
          <w:szCs w:val="24"/>
        </w:rPr>
        <w:t>Papachristos</w:t>
      </w:r>
      <w:proofErr w:type="spellEnd"/>
      <w:r w:rsidRPr="00E02ACD">
        <w:rPr>
          <w:rFonts w:ascii="Arial" w:hAnsi="Arial" w:cs="Arial"/>
          <w:sz w:val="24"/>
          <w:szCs w:val="24"/>
        </w:rPr>
        <w:t xml:space="preserve">, A. V., &amp; Hureau, D. M. (2014). The effects of hot spots policing on crime: An updated systematic review and meta-analysis. Justice Quarterly, 31(4), 633-663. </w:t>
      </w:r>
      <w:proofErr w:type="spellStart"/>
      <w:r w:rsidRPr="00E02ACD">
        <w:rPr>
          <w:rFonts w:ascii="Arial" w:hAnsi="Arial" w:cs="Arial"/>
          <w:sz w:val="24"/>
          <w:szCs w:val="24"/>
        </w:rPr>
        <w:t>doi</w:t>
      </w:r>
      <w:proofErr w:type="spellEnd"/>
      <w:r w:rsidRPr="00E02ACD">
        <w:rPr>
          <w:rFonts w:ascii="Arial" w:hAnsi="Arial" w:cs="Arial"/>
          <w:sz w:val="24"/>
          <w:szCs w:val="24"/>
        </w:rPr>
        <w:t>: 10.1080/07418825.2012.673632</w:t>
      </w:r>
    </w:p>
    <w:p w14:paraId="73A2C7EA" w14:textId="77777777" w:rsidR="00E02ACD" w:rsidRPr="00E02ACD" w:rsidRDefault="00E02ACD" w:rsidP="00E02ACD">
      <w:pPr>
        <w:rPr>
          <w:rFonts w:ascii="Arial" w:hAnsi="Arial" w:cs="Arial"/>
          <w:sz w:val="24"/>
          <w:szCs w:val="24"/>
        </w:rPr>
      </w:pPr>
      <w:r w:rsidRPr="00E02ACD">
        <w:rPr>
          <w:rFonts w:ascii="Arial" w:hAnsi="Arial" w:cs="Arial"/>
          <w:sz w:val="24"/>
          <w:szCs w:val="24"/>
        </w:rPr>
        <w:t xml:space="preserve">Cochrane, J., &amp; Wortley, R. (2019). Evidence-based policing. In D. Weisburd, E. G. </w:t>
      </w:r>
      <w:proofErr w:type="spellStart"/>
      <w:r w:rsidRPr="00E02ACD">
        <w:rPr>
          <w:rFonts w:ascii="Arial" w:hAnsi="Arial" w:cs="Arial"/>
          <w:sz w:val="24"/>
          <w:szCs w:val="24"/>
        </w:rPr>
        <w:t>Mastrofski</w:t>
      </w:r>
      <w:proofErr w:type="spellEnd"/>
      <w:r w:rsidRPr="00E02ACD">
        <w:rPr>
          <w:rFonts w:ascii="Arial" w:hAnsi="Arial" w:cs="Arial"/>
          <w:sz w:val="24"/>
          <w:szCs w:val="24"/>
        </w:rPr>
        <w:t xml:space="preserve">, &amp; T. H. </w:t>
      </w:r>
      <w:proofErr w:type="spellStart"/>
      <w:r w:rsidRPr="00E02ACD">
        <w:rPr>
          <w:rFonts w:ascii="Arial" w:hAnsi="Arial" w:cs="Arial"/>
          <w:sz w:val="24"/>
          <w:szCs w:val="24"/>
        </w:rPr>
        <w:t>Petrosino</w:t>
      </w:r>
      <w:proofErr w:type="spellEnd"/>
      <w:r w:rsidRPr="00E02ACD">
        <w:rPr>
          <w:rFonts w:ascii="Arial" w:hAnsi="Arial" w:cs="Arial"/>
          <w:sz w:val="24"/>
          <w:szCs w:val="24"/>
        </w:rPr>
        <w:t xml:space="preserve"> (Eds.), The Oxford Handbook of Police and Policing (pp. 531-557). Oxford University Press. </w:t>
      </w:r>
      <w:proofErr w:type="spellStart"/>
      <w:r w:rsidRPr="00E02ACD">
        <w:rPr>
          <w:rFonts w:ascii="Arial" w:hAnsi="Arial" w:cs="Arial"/>
          <w:sz w:val="24"/>
          <w:szCs w:val="24"/>
        </w:rPr>
        <w:t>doi</w:t>
      </w:r>
      <w:proofErr w:type="spellEnd"/>
      <w:r w:rsidRPr="00E02ACD">
        <w:rPr>
          <w:rFonts w:ascii="Arial" w:hAnsi="Arial" w:cs="Arial"/>
          <w:sz w:val="24"/>
          <w:szCs w:val="24"/>
        </w:rPr>
        <w:t>: 10.1093/</w:t>
      </w:r>
      <w:proofErr w:type="spellStart"/>
      <w:r w:rsidRPr="00E02ACD">
        <w:rPr>
          <w:rFonts w:ascii="Arial" w:hAnsi="Arial" w:cs="Arial"/>
          <w:sz w:val="24"/>
          <w:szCs w:val="24"/>
        </w:rPr>
        <w:t>oxfordhb</w:t>
      </w:r>
      <w:proofErr w:type="spellEnd"/>
      <w:r w:rsidRPr="00E02ACD">
        <w:rPr>
          <w:rFonts w:ascii="Arial" w:hAnsi="Arial" w:cs="Arial"/>
          <w:sz w:val="24"/>
          <w:szCs w:val="24"/>
        </w:rPr>
        <w:t>/9780199843886.013.32</w:t>
      </w:r>
    </w:p>
    <w:p w14:paraId="46DC4249" w14:textId="77777777" w:rsidR="00E02ACD" w:rsidRPr="00E02ACD" w:rsidRDefault="00E02ACD" w:rsidP="00E02ACD">
      <w:pPr>
        <w:rPr>
          <w:rFonts w:ascii="Arial" w:hAnsi="Arial" w:cs="Arial"/>
          <w:sz w:val="24"/>
          <w:szCs w:val="24"/>
        </w:rPr>
      </w:pPr>
      <w:r w:rsidRPr="00E02ACD">
        <w:rPr>
          <w:rFonts w:ascii="Arial" w:hAnsi="Arial" w:cs="Arial"/>
          <w:sz w:val="24"/>
          <w:szCs w:val="24"/>
          <w:lang w:val="nl-NL"/>
        </w:rPr>
        <w:t xml:space="preserve">Eck, J. E., &amp; </w:t>
      </w:r>
      <w:proofErr w:type="spellStart"/>
      <w:r w:rsidRPr="00E02ACD">
        <w:rPr>
          <w:rFonts w:ascii="Arial" w:hAnsi="Arial" w:cs="Arial"/>
          <w:sz w:val="24"/>
          <w:szCs w:val="24"/>
          <w:lang w:val="nl-NL"/>
        </w:rPr>
        <w:t>Spelman</w:t>
      </w:r>
      <w:proofErr w:type="spellEnd"/>
      <w:r w:rsidRPr="00E02ACD">
        <w:rPr>
          <w:rFonts w:ascii="Arial" w:hAnsi="Arial" w:cs="Arial"/>
          <w:sz w:val="24"/>
          <w:szCs w:val="24"/>
          <w:lang w:val="nl-NL"/>
        </w:rPr>
        <w:t xml:space="preserve">, W. (1987). </w:t>
      </w:r>
      <w:r w:rsidRPr="00E02ACD">
        <w:rPr>
          <w:rFonts w:ascii="Arial" w:hAnsi="Arial" w:cs="Arial"/>
          <w:sz w:val="24"/>
          <w:szCs w:val="24"/>
        </w:rPr>
        <w:t>Problem-solving: Problem-oriented policing in Newport News. Washington, DC: Police Executive Research Forum.</w:t>
      </w:r>
    </w:p>
    <w:p w14:paraId="0AE7C21D" w14:textId="77777777" w:rsidR="00E02ACD" w:rsidRPr="00E02ACD" w:rsidRDefault="00E02ACD" w:rsidP="00E02ACD">
      <w:pPr>
        <w:rPr>
          <w:rFonts w:ascii="Arial" w:hAnsi="Arial" w:cs="Arial"/>
          <w:sz w:val="24"/>
          <w:szCs w:val="24"/>
        </w:rPr>
      </w:pPr>
      <w:r w:rsidRPr="00E02ACD">
        <w:rPr>
          <w:rFonts w:ascii="Arial" w:hAnsi="Arial" w:cs="Arial"/>
          <w:sz w:val="24"/>
          <w:szCs w:val="24"/>
        </w:rPr>
        <w:t xml:space="preserve">Kilmer, B. (2016). Understanding drug markets and how they are policed. Journal of Drug Policy Analysis, 9(4), 345-349. </w:t>
      </w:r>
      <w:proofErr w:type="spellStart"/>
      <w:r w:rsidRPr="00E02ACD">
        <w:rPr>
          <w:rFonts w:ascii="Arial" w:hAnsi="Arial" w:cs="Arial"/>
          <w:sz w:val="24"/>
          <w:szCs w:val="24"/>
        </w:rPr>
        <w:t>doi</w:t>
      </w:r>
      <w:proofErr w:type="spellEnd"/>
      <w:r w:rsidRPr="00E02ACD">
        <w:rPr>
          <w:rFonts w:ascii="Arial" w:hAnsi="Arial" w:cs="Arial"/>
          <w:sz w:val="24"/>
          <w:szCs w:val="24"/>
        </w:rPr>
        <w:t>: 10.1515/jdpa-2016-0016</w:t>
      </w:r>
    </w:p>
    <w:p w14:paraId="2D1802E8" w14:textId="77777777" w:rsidR="006074BC" w:rsidRDefault="00E02ACD" w:rsidP="00B64F31">
      <w:pPr>
        <w:rPr>
          <w:rFonts w:ascii="Arial" w:hAnsi="Arial" w:cs="Arial"/>
        </w:rPr>
      </w:pPr>
      <w:r w:rsidRPr="00E02ACD">
        <w:rPr>
          <w:rFonts w:ascii="Arial" w:hAnsi="Arial" w:cs="Arial"/>
          <w:sz w:val="24"/>
          <w:szCs w:val="24"/>
        </w:rPr>
        <w:t>Schmalleger, F. (2017). Criminology today: An integrative introduction (8th ed.). Pearson.</w:t>
      </w:r>
      <w:r w:rsidR="00B64F31" w:rsidRPr="00B64F31">
        <w:rPr>
          <w:rFonts w:ascii="Segoe UI" w:eastAsia="Times New Roman" w:hAnsi="Segoe UI" w:cs="Segoe UI"/>
          <w:color w:val="374151"/>
          <w:kern w:val="0"/>
          <w:lang w:eastAsia="en-GB"/>
          <w14:ligatures w14:val="none"/>
        </w:rPr>
        <w:t xml:space="preserve"> </w:t>
      </w:r>
      <w:r w:rsidR="00B64F31" w:rsidRPr="00B64F31">
        <w:rPr>
          <w:rFonts w:ascii="Arial" w:hAnsi="Arial" w:cs="Arial"/>
        </w:rPr>
        <w:t>College of Policing. (2016).</w:t>
      </w:r>
    </w:p>
    <w:p w14:paraId="08519E17" w14:textId="0D343B47" w:rsidR="00B64F31" w:rsidRPr="00B64F31" w:rsidRDefault="00B64F31" w:rsidP="00B64F31">
      <w:pPr>
        <w:rPr>
          <w:rFonts w:ascii="Arial" w:hAnsi="Arial" w:cs="Arial"/>
        </w:rPr>
      </w:pPr>
      <w:r w:rsidRPr="00B64F31">
        <w:rPr>
          <w:rFonts w:ascii="Arial" w:hAnsi="Arial" w:cs="Arial"/>
        </w:rPr>
        <w:t xml:space="preserve">National Decision Model. </w:t>
      </w:r>
      <w:hyperlink r:id="rId5" w:tgtFrame="_new" w:history="1">
        <w:r w:rsidRPr="00B64F31">
          <w:rPr>
            <w:rStyle w:val="Hyperlink"/>
            <w:rFonts w:ascii="Arial" w:hAnsi="Arial" w:cs="Arial"/>
          </w:rPr>
          <w:t>https://www.app.college.police.uk/app-content/operations/national-decision-model/</w:t>
        </w:r>
      </w:hyperlink>
    </w:p>
    <w:p w14:paraId="3E2A9559" w14:textId="77777777" w:rsidR="00B64F31" w:rsidRPr="00B64F31" w:rsidRDefault="00B64F31" w:rsidP="00B64F31">
      <w:pPr>
        <w:rPr>
          <w:rFonts w:ascii="Arial" w:hAnsi="Arial" w:cs="Arial"/>
          <w:sz w:val="24"/>
          <w:szCs w:val="24"/>
        </w:rPr>
      </w:pPr>
      <w:r w:rsidRPr="00B64F31">
        <w:rPr>
          <w:rFonts w:ascii="Arial" w:hAnsi="Arial" w:cs="Arial"/>
          <w:sz w:val="24"/>
          <w:szCs w:val="24"/>
        </w:rPr>
        <w:t xml:space="preserve">College of Policing. (2020). National Intelligence Model. </w:t>
      </w:r>
      <w:hyperlink r:id="rId6" w:tgtFrame="_new" w:history="1">
        <w:r w:rsidRPr="00B64F31">
          <w:rPr>
            <w:rStyle w:val="Hyperlink"/>
            <w:rFonts w:ascii="Arial" w:hAnsi="Arial" w:cs="Arial"/>
            <w:sz w:val="24"/>
            <w:szCs w:val="24"/>
          </w:rPr>
          <w:t>https://www.app.college.police.uk/app-content/information-management/information-management-systems/national-intelligence-model/</w:t>
        </w:r>
      </w:hyperlink>
    </w:p>
    <w:p w14:paraId="02B04BA1" w14:textId="77777777" w:rsidR="00B64F31" w:rsidRPr="00B64F31" w:rsidRDefault="00B64F31" w:rsidP="00B64F31">
      <w:pPr>
        <w:rPr>
          <w:rFonts w:ascii="Arial" w:hAnsi="Arial" w:cs="Arial"/>
          <w:sz w:val="24"/>
          <w:szCs w:val="24"/>
        </w:rPr>
      </w:pPr>
      <w:r w:rsidRPr="00B64F31">
        <w:rPr>
          <w:rFonts w:ascii="Arial" w:hAnsi="Arial" w:cs="Arial"/>
          <w:sz w:val="24"/>
          <w:szCs w:val="24"/>
        </w:rPr>
        <w:t>Newburn, T. (2017). Criminology (3rd ed.). Routledge.</w:t>
      </w:r>
    </w:p>
    <w:p w14:paraId="4052203A" w14:textId="77777777" w:rsidR="00B64F31" w:rsidRPr="00B64F31" w:rsidRDefault="00B64F31" w:rsidP="00B64F31">
      <w:pPr>
        <w:rPr>
          <w:rFonts w:ascii="Arial" w:hAnsi="Arial" w:cs="Arial"/>
          <w:sz w:val="24"/>
          <w:szCs w:val="24"/>
        </w:rPr>
      </w:pPr>
      <w:r w:rsidRPr="00B64F31">
        <w:rPr>
          <w:rFonts w:ascii="Arial" w:hAnsi="Arial" w:cs="Arial"/>
          <w:sz w:val="24"/>
          <w:szCs w:val="24"/>
          <w:lang w:val="de-DE"/>
        </w:rPr>
        <w:t xml:space="preserve">Reiner, R., </w:t>
      </w:r>
      <w:proofErr w:type="spellStart"/>
      <w:r w:rsidRPr="00B64F31">
        <w:rPr>
          <w:rFonts w:ascii="Arial" w:hAnsi="Arial" w:cs="Arial"/>
          <w:sz w:val="24"/>
          <w:szCs w:val="24"/>
          <w:lang w:val="de-DE"/>
        </w:rPr>
        <w:t>Newburn</w:t>
      </w:r>
      <w:proofErr w:type="spellEnd"/>
      <w:r w:rsidRPr="00B64F31">
        <w:rPr>
          <w:rFonts w:ascii="Arial" w:hAnsi="Arial" w:cs="Arial"/>
          <w:sz w:val="24"/>
          <w:szCs w:val="24"/>
          <w:lang w:val="de-DE"/>
        </w:rPr>
        <w:t xml:space="preserve">, T., &amp; </w:t>
      </w:r>
      <w:proofErr w:type="spellStart"/>
      <w:r w:rsidRPr="00B64F31">
        <w:rPr>
          <w:rFonts w:ascii="Arial" w:hAnsi="Arial" w:cs="Arial"/>
          <w:sz w:val="24"/>
          <w:szCs w:val="24"/>
          <w:lang w:val="de-DE"/>
        </w:rPr>
        <w:t>Hoyle</w:t>
      </w:r>
      <w:proofErr w:type="spellEnd"/>
      <w:r w:rsidRPr="00B64F31">
        <w:rPr>
          <w:rFonts w:ascii="Arial" w:hAnsi="Arial" w:cs="Arial"/>
          <w:sz w:val="24"/>
          <w:szCs w:val="24"/>
          <w:lang w:val="de-DE"/>
        </w:rPr>
        <w:t xml:space="preserve">, C. (2019). </w:t>
      </w:r>
      <w:r w:rsidRPr="00B64F31">
        <w:rPr>
          <w:rFonts w:ascii="Arial" w:hAnsi="Arial" w:cs="Arial"/>
          <w:sz w:val="24"/>
          <w:szCs w:val="24"/>
        </w:rPr>
        <w:t>The Handbook of Policing (2nd ed.). Routledge.</w:t>
      </w:r>
    </w:p>
    <w:p w14:paraId="29AB2884" w14:textId="77777777" w:rsidR="00B64F31" w:rsidRPr="00B64F31" w:rsidRDefault="00B64F31" w:rsidP="00B64F31">
      <w:pPr>
        <w:rPr>
          <w:rFonts w:ascii="Arial" w:hAnsi="Arial" w:cs="Arial"/>
          <w:sz w:val="24"/>
          <w:szCs w:val="24"/>
        </w:rPr>
      </w:pPr>
      <w:r w:rsidRPr="00B64F31">
        <w:rPr>
          <w:rFonts w:ascii="Arial" w:hAnsi="Arial" w:cs="Arial"/>
          <w:sz w:val="24"/>
          <w:szCs w:val="24"/>
        </w:rPr>
        <w:t xml:space="preserve">Home Office. (2014). Guidance on the use of the Anti-social Behaviour, Crime and Policing Act 2014. </w:t>
      </w:r>
      <w:hyperlink r:id="rId7" w:tgtFrame="_new" w:history="1">
        <w:r w:rsidRPr="00B64F31">
          <w:rPr>
            <w:rStyle w:val="Hyperlink"/>
            <w:rFonts w:ascii="Arial" w:hAnsi="Arial" w:cs="Arial"/>
            <w:sz w:val="24"/>
            <w:szCs w:val="24"/>
          </w:rPr>
          <w:t>https://www.gov.uk/government/publications/anti-social-behaviour-crime-and-policing-act-2014-statutory-guidance/anti-social-behaviour-crime-and-policing-act-2014-guidance</w:t>
        </w:r>
      </w:hyperlink>
    </w:p>
    <w:p w14:paraId="780E92F8" w14:textId="263E1976" w:rsidR="00E02ACD" w:rsidRDefault="00E02ACD" w:rsidP="00E02ACD">
      <w:pPr>
        <w:rPr>
          <w:rFonts w:ascii="Arial" w:hAnsi="Arial" w:cs="Arial"/>
          <w:sz w:val="24"/>
          <w:szCs w:val="24"/>
        </w:rPr>
      </w:pPr>
    </w:p>
    <w:p w14:paraId="7600A2D2" w14:textId="77777777" w:rsidR="00B64F31" w:rsidRPr="00E02ACD" w:rsidRDefault="00B64F31" w:rsidP="00E02ACD">
      <w:pPr>
        <w:rPr>
          <w:rFonts w:ascii="Arial" w:hAnsi="Arial" w:cs="Arial"/>
          <w:sz w:val="24"/>
          <w:szCs w:val="24"/>
        </w:rPr>
      </w:pPr>
    </w:p>
    <w:p w14:paraId="762EF2E2" w14:textId="62293C63" w:rsidR="00E02ACD" w:rsidRPr="00E02ACD" w:rsidRDefault="00E02ACD" w:rsidP="00E02ACD">
      <w:pPr>
        <w:rPr>
          <w:rFonts w:ascii="Arial" w:hAnsi="Arial" w:cs="Arial"/>
          <w:sz w:val="24"/>
          <w:szCs w:val="24"/>
        </w:rPr>
      </w:pPr>
    </w:p>
    <w:p w14:paraId="0A6DB342" w14:textId="0228B281" w:rsidR="00E02ACD" w:rsidRPr="00E02ACD" w:rsidRDefault="00E02ACD" w:rsidP="00E02ACD">
      <w:pPr>
        <w:rPr>
          <w:rFonts w:ascii="Arial" w:hAnsi="Arial" w:cs="Arial"/>
          <w:sz w:val="28"/>
          <w:szCs w:val="28"/>
        </w:rPr>
      </w:pPr>
    </w:p>
    <w:p w14:paraId="1121D4DC" w14:textId="77777777" w:rsidR="008E7A71" w:rsidRPr="008E7A71" w:rsidRDefault="008E7A71">
      <w:pPr>
        <w:rPr>
          <w:rFonts w:ascii="Arial" w:hAnsi="Arial" w:cs="Arial"/>
          <w:sz w:val="28"/>
          <w:szCs w:val="28"/>
        </w:rPr>
      </w:pPr>
    </w:p>
    <w:sectPr w:rsidR="008E7A71" w:rsidRPr="008E7A71" w:rsidSect="008E7A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D05EDE"/>
    <w:multiLevelType w:val="multilevel"/>
    <w:tmpl w:val="5EB6E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23643B"/>
    <w:multiLevelType w:val="multilevel"/>
    <w:tmpl w:val="096E1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6914909">
    <w:abstractNumId w:val="0"/>
  </w:num>
  <w:num w:numId="2" w16cid:durableId="2053188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A71"/>
    <w:rsid w:val="00155CCF"/>
    <w:rsid w:val="00301F42"/>
    <w:rsid w:val="00427A8B"/>
    <w:rsid w:val="0059432E"/>
    <w:rsid w:val="006074BC"/>
    <w:rsid w:val="007278E4"/>
    <w:rsid w:val="008E7A71"/>
    <w:rsid w:val="009043D0"/>
    <w:rsid w:val="00A63ECC"/>
    <w:rsid w:val="00B64F31"/>
    <w:rsid w:val="00E02ACD"/>
    <w:rsid w:val="00E460B2"/>
    <w:rsid w:val="00EC0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2A02"/>
  <w15:chartTrackingRefBased/>
  <w15:docId w15:val="{68A0ECA8-465C-4177-8261-BF5BB2E84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2ACD"/>
    <w:rPr>
      <w:rFonts w:ascii="Times New Roman" w:hAnsi="Times New Roman" w:cs="Times New Roman"/>
      <w:sz w:val="24"/>
      <w:szCs w:val="24"/>
    </w:rPr>
  </w:style>
  <w:style w:type="character" w:styleId="Hyperlink">
    <w:name w:val="Hyperlink"/>
    <w:basedOn w:val="DefaultParagraphFont"/>
    <w:uiPriority w:val="99"/>
    <w:unhideWhenUsed/>
    <w:rsid w:val="00B64F31"/>
    <w:rPr>
      <w:color w:val="0563C1" w:themeColor="hyperlink"/>
      <w:u w:val="single"/>
    </w:rPr>
  </w:style>
  <w:style w:type="character" w:styleId="UnresolvedMention">
    <w:name w:val="Unresolved Mention"/>
    <w:basedOn w:val="DefaultParagraphFont"/>
    <w:uiPriority w:val="99"/>
    <w:semiHidden/>
    <w:unhideWhenUsed/>
    <w:rsid w:val="00B64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94466">
      <w:bodyDiv w:val="1"/>
      <w:marLeft w:val="0"/>
      <w:marRight w:val="0"/>
      <w:marTop w:val="0"/>
      <w:marBottom w:val="0"/>
      <w:divBdr>
        <w:top w:val="none" w:sz="0" w:space="0" w:color="auto"/>
        <w:left w:val="none" w:sz="0" w:space="0" w:color="auto"/>
        <w:bottom w:val="none" w:sz="0" w:space="0" w:color="auto"/>
        <w:right w:val="none" w:sz="0" w:space="0" w:color="auto"/>
      </w:divBdr>
    </w:div>
    <w:div w:id="606424424">
      <w:bodyDiv w:val="1"/>
      <w:marLeft w:val="0"/>
      <w:marRight w:val="0"/>
      <w:marTop w:val="0"/>
      <w:marBottom w:val="0"/>
      <w:divBdr>
        <w:top w:val="none" w:sz="0" w:space="0" w:color="auto"/>
        <w:left w:val="none" w:sz="0" w:space="0" w:color="auto"/>
        <w:bottom w:val="none" w:sz="0" w:space="0" w:color="auto"/>
        <w:right w:val="none" w:sz="0" w:space="0" w:color="auto"/>
      </w:divBdr>
    </w:div>
    <w:div w:id="1036810081">
      <w:bodyDiv w:val="1"/>
      <w:marLeft w:val="0"/>
      <w:marRight w:val="0"/>
      <w:marTop w:val="0"/>
      <w:marBottom w:val="0"/>
      <w:divBdr>
        <w:top w:val="none" w:sz="0" w:space="0" w:color="auto"/>
        <w:left w:val="none" w:sz="0" w:space="0" w:color="auto"/>
        <w:bottom w:val="none" w:sz="0" w:space="0" w:color="auto"/>
        <w:right w:val="none" w:sz="0" w:space="0" w:color="auto"/>
      </w:divBdr>
    </w:div>
    <w:div w:id="1406221481">
      <w:bodyDiv w:val="1"/>
      <w:marLeft w:val="0"/>
      <w:marRight w:val="0"/>
      <w:marTop w:val="0"/>
      <w:marBottom w:val="0"/>
      <w:divBdr>
        <w:top w:val="none" w:sz="0" w:space="0" w:color="auto"/>
        <w:left w:val="none" w:sz="0" w:space="0" w:color="auto"/>
        <w:bottom w:val="none" w:sz="0" w:space="0" w:color="auto"/>
        <w:right w:val="none" w:sz="0" w:space="0" w:color="auto"/>
      </w:divBdr>
    </w:div>
    <w:div w:id="1522891151">
      <w:bodyDiv w:val="1"/>
      <w:marLeft w:val="0"/>
      <w:marRight w:val="0"/>
      <w:marTop w:val="0"/>
      <w:marBottom w:val="0"/>
      <w:divBdr>
        <w:top w:val="none" w:sz="0" w:space="0" w:color="auto"/>
        <w:left w:val="none" w:sz="0" w:space="0" w:color="auto"/>
        <w:bottom w:val="none" w:sz="0" w:space="0" w:color="auto"/>
        <w:right w:val="none" w:sz="0" w:space="0" w:color="auto"/>
      </w:divBdr>
    </w:div>
    <w:div w:id="1533612007">
      <w:bodyDiv w:val="1"/>
      <w:marLeft w:val="0"/>
      <w:marRight w:val="0"/>
      <w:marTop w:val="0"/>
      <w:marBottom w:val="0"/>
      <w:divBdr>
        <w:top w:val="none" w:sz="0" w:space="0" w:color="auto"/>
        <w:left w:val="none" w:sz="0" w:space="0" w:color="auto"/>
        <w:bottom w:val="none" w:sz="0" w:space="0" w:color="auto"/>
        <w:right w:val="none" w:sz="0" w:space="0" w:color="auto"/>
      </w:divBdr>
    </w:div>
    <w:div w:id="188058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anti-social-behaviour-crime-and-policing-act-2014-statutory-guidance/anti-social-behaviour-crime-and-policing-act-2014-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p.college.police.uk/app-content/information-management/information-management-systems/national-intelligence-model/" TargetMode="External"/><Relationship Id="rId5" Type="http://schemas.openxmlformats.org/officeDocument/2006/relationships/hyperlink" Target="https://www.app.college.police.uk/app-content/operations/national-decision-mode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2086</Words>
  <Characters>11895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Williams</dc:creator>
  <cp:keywords/>
  <dc:description/>
  <cp:lastModifiedBy>Rebecca Williams</cp:lastModifiedBy>
  <cp:revision>9</cp:revision>
  <dcterms:created xsi:type="dcterms:W3CDTF">2023-04-23T14:48:00Z</dcterms:created>
  <dcterms:modified xsi:type="dcterms:W3CDTF">2023-04-23T15:00:00Z</dcterms:modified>
</cp:coreProperties>
</file>