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17225049"/>
        <w:docPartObj>
          <w:docPartGallery w:val="Cover Pages"/>
          <w:docPartUnique/>
        </w:docPartObj>
      </w:sdtPr>
      <w:sdtContent>
        <w:p w14:paraId="227A7D1C" w14:textId="336FE6E3" w:rsidR="000574DF" w:rsidRDefault="000574DF">
          <w:r>
            <w:rPr>
              <w:noProof/>
            </w:rPr>
            <mc:AlternateContent>
              <mc:Choice Requires="wps">
                <w:drawing>
                  <wp:anchor distT="0" distB="0" distL="114300" distR="114300" simplePos="0" relativeHeight="251660288" behindDoc="1" locked="0" layoutInCell="1" allowOverlap="1" wp14:anchorId="42280E58" wp14:editId="0A385873">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768B1D5D"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485567A3" wp14:editId="56AFC3E9">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2540" b="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p w14:paraId="66F35C95" w14:textId="77777777" w:rsidR="0048589D" w:rsidRPr="0048589D" w:rsidRDefault="0048589D" w:rsidP="0048589D">
                                <w:pPr>
                                  <w:spacing w:line="360" w:lineRule="auto"/>
                                  <w:jc w:val="center"/>
                                  <w:rPr>
                                    <w:rFonts w:ascii="Arial" w:hAnsi="Arial" w:cs="Arial"/>
                                    <w:b/>
                                    <w:sz w:val="48"/>
                                    <w:szCs w:val="48"/>
                                  </w:rPr>
                                </w:pPr>
                                <w:r w:rsidRPr="0048589D">
                                  <w:rPr>
                                    <w:rFonts w:ascii="Arial" w:hAnsi="Arial" w:cs="Arial"/>
                                    <w:b/>
                                    <w:sz w:val="48"/>
                                    <w:szCs w:val="48"/>
                                  </w:rPr>
                                  <w:t>Enhancing Successful Aging: A Comprehensive Approach to Domiciliary Care for Mrs. Thompson</w:t>
                                </w:r>
                              </w:p>
                              <w:p w14:paraId="61D37867" w14:textId="7F6C74B7" w:rsidR="000574DF" w:rsidRPr="00FE3A5F" w:rsidRDefault="000A78A7" w:rsidP="00FE3A5F">
                                <w:pPr>
                                  <w:pStyle w:val="NoSpacing"/>
                                  <w:jc w:val="center"/>
                                  <w:rPr>
                                    <w:iCs/>
                                    <w:color w:val="262626" w:themeColor="text1" w:themeTint="D9"/>
                                    <w:sz w:val="36"/>
                                    <w:szCs w:val="36"/>
                                  </w:rPr>
                                </w:pPr>
                                <w:r w:rsidRPr="00FE3A5F">
                                  <w:rPr>
                                    <w:iCs/>
                                    <w:color w:val="262626" w:themeColor="text1" w:themeTint="D9"/>
                                    <w:sz w:val="36"/>
                                    <w:szCs w:val="36"/>
                                  </w:rPr>
                                  <w:t>Living with Care</w:t>
                                </w:r>
                                <w:r w:rsidR="00D60BA0" w:rsidRPr="00FE3A5F">
                                  <w:rPr>
                                    <w:iCs/>
                                    <w:color w:val="262626" w:themeColor="text1" w:themeTint="D9"/>
                                    <w:sz w:val="36"/>
                                    <w:szCs w:val="36"/>
                                  </w:rPr>
                                  <w:t>: The Older Person (BMHP</w:t>
                                </w:r>
                                <w:r w:rsidR="00FE3A5F" w:rsidRPr="00FE3A5F">
                                  <w:rPr>
                                    <w:iCs/>
                                    <w:color w:val="262626" w:themeColor="text1" w:themeTint="D9"/>
                                    <w:sz w:val="36"/>
                                    <w:szCs w:val="36"/>
                                  </w:rPr>
                                  <w:t>6009_BIRM)</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type w14:anchorId="485567A3" id="_x0000_t202" coordsize="21600,21600" o:spt="202" path="m,l,21600r21600,l21600,xe">
                    <v:stroke joinstyle="miter"/>
                    <v:path gradientshapeok="t" o:connecttype="rect"/>
                  </v:shapetype>
                  <v:shape id="Text Box 38" o:spid="_x0000_s1026"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" filled="f" stroked="f" strokeweight=".5pt">
                    <v:textbox style="mso-fit-shape-to-text:t" inset="93.6pt,,0">
                      <w:txbxContent>
                        <w:p w14:paraId="66F35C95" w14:textId="77777777" w:rsidR="0048589D" w:rsidRPr="0048589D" w:rsidRDefault="0048589D" w:rsidP="0048589D">
                          <w:pPr>
                            <w:spacing w:line="360" w:lineRule="auto"/>
                            <w:jc w:val="center"/>
                            <w:rPr>
                              <w:rFonts w:ascii="Arial" w:hAnsi="Arial" w:cs="Arial"/>
                              <w:b/>
                              <w:sz w:val="48"/>
                              <w:szCs w:val="48"/>
                            </w:rPr>
                          </w:pPr>
                          <w:r w:rsidRPr="0048589D">
                            <w:rPr>
                              <w:rFonts w:ascii="Arial" w:hAnsi="Arial" w:cs="Arial"/>
                              <w:b/>
                              <w:sz w:val="48"/>
                              <w:szCs w:val="48"/>
                            </w:rPr>
                            <w:t>Enhancing Successful Aging: A Comprehensive Approach to Domiciliary Care for Mrs. Thompson</w:t>
                          </w:r>
                        </w:p>
                        <w:p w14:paraId="61D37867" w14:textId="7F6C74B7" w:rsidR="000574DF" w:rsidRPr="00FE3A5F" w:rsidRDefault="000A78A7" w:rsidP="00FE3A5F">
                          <w:pPr>
                            <w:pStyle w:val="NoSpacing"/>
                            <w:jc w:val="center"/>
                            <w:rPr>
                              <w:iCs/>
                              <w:color w:val="262626" w:themeColor="text1" w:themeTint="D9"/>
                              <w:sz w:val="36"/>
                              <w:szCs w:val="36"/>
                            </w:rPr>
                          </w:pPr>
                          <w:r w:rsidRPr="00FE3A5F">
                            <w:rPr>
                              <w:iCs/>
                              <w:color w:val="262626" w:themeColor="text1" w:themeTint="D9"/>
                              <w:sz w:val="36"/>
                              <w:szCs w:val="36"/>
                            </w:rPr>
                            <w:t>Living with Care</w:t>
                          </w:r>
                          <w:r w:rsidR="00D60BA0" w:rsidRPr="00FE3A5F">
                            <w:rPr>
                              <w:iCs/>
                              <w:color w:val="262626" w:themeColor="text1" w:themeTint="D9"/>
                              <w:sz w:val="36"/>
                              <w:szCs w:val="36"/>
                            </w:rPr>
                            <w:t>: The Older Person (BMHP</w:t>
                          </w:r>
                          <w:r w:rsidR="00FE3A5F" w:rsidRPr="00FE3A5F">
                            <w:rPr>
                              <w:iCs/>
                              <w:color w:val="262626" w:themeColor="text1" w:themeTint="D9"/>
                              <w:sz w:val="36"/>
                              <w:szCs w:val="36"/>
                            </w:rPr>
                            <w:t>6009_BIRM)</w:t>
                          </w:r>
                        </w:p>
                      </w:txbxContent>
                    </v:textbox>
                    <w10:wrap anchorx="page" anchory="page"/>
                  </v:shape>
                </w:pict>
              </mc:Fallback>
            </mc:AlternateContent>
          </w:r>
        </w:p>
        <w:p w14:paraId="0624952E" w14:textId="66F96F86" w:rsidR="000574DF" w:rsidRDefault="00986CD5">
          <w:pPr>
            <w:spacing w:line="240" w:lineRule="auto"/>
            <w:rPr>
              <w:rFonts w:asciiTheme="majorHAnsi" w:eastAsiaTheme="majorEastAsia" w:hAnsiTheme="majorHAnsi" w:cstheme="majorBidi"/>
              <w:b/>
              <w:bCs/>
              <w:color w:val="2F5496" w:themeColor="accent1" w:themeShade="BF"/>
              <w:sz w:val="28"/>
              <w:szCs w:val="28"/>
            </w:rPr>
          </w:pPr>
          <w:r>
            <w:rPr>
              <w:noProof/>
            </w:rPr>
            <mc:AlternateContent>
              <mc:Choice Requires="wps">
                <w:drawing>
                  <wp:anchor distT="0" distB="0" distL="114300" distR="114300" simplePos="0" relativeHeight="251661312" behindDoc="0" locked="0" layoutInCell="1" allowOverlap="1" wp14:anchorId="501E626E" wp14:editId="1C4FC972">
                    <wp:simplePos x="0" y="0"/>
                    <wp:positionH relativeFrom="page">
                      <wp:posOffset>0</wp:posOffset>
                    </wp:positionH>
                    <wp:positionV relativeFrom="page">
                      <wp:posOffset>7243445</wp:posOffset>
                    </wp:positionV>
                    <wp:extent cx="5534025" cy="2724785"/>
                    <wp:effectExtent l="0" t="0" r="254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785"/>
                            </a:xfrm>
                            <a:prstGeom prst="rect">
                              <a:avLst/>
                            </a:prstGeom>
                            <a:noFill/>
                            <a:ln w="6350">
                              <a:noFill/>
                            </a:ln>
                          </wps:spPr>
                          <wps:txbx>
                            <w:txbxContent>
                              <w:sdt>
                                <w:sdtPr>
                                  <w:rPr>
                                    <w:iCs/>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575450F0" w14:textId="08D5F35A" w:rsidR="000574DF" w:rsidRDefault="00961A5D">
                                    <w:pPr>
                                      <w:pStyle w:val="NoSpacing"/>
                                      <w:spacing w:after="480"/>
                                      <w:rPr>
                                        <w:i/>
                                        <w:color w:val="262626" w:themeColor="text1" w:themeTint="D9"/>
                                        <w:sz w:val="32"/>
                                        <w:szCs w:val="32"/>
                                      </w:rPr>
                                    </w:pPr>
                                    <w:r w:rsidRPr="00961A5D">
                                      <w:rPr>
                                        <w:iCs/>
                                        <w:color w:val="262626" w:themeColor="text1" w:themeTint="D9"/>
                                        <w:sz w:val="32"/>
                                        <w:szCs w:val="32"/>
                                      </w:rPr>
                                      <w:t>S</w:t>
                                    </w:r>
                                    <w:r>
                                      <w:rPr>
                                        <w:iCs/>
                                        <w:color w:val="262626" w:themeColor="text1" w:themeTint="D9"/>
                                        <w:sz w:val="32"/>
                                        <w:szCs w:val="32"/>
                                      </w:rPr>
                                      <w:t>tudent:</w:t>
                                    </w:r>
                                    <w:r w:rsidR="00157D02">
                                      <w:rPr>
                                        <w:iCs/>
                                        <w:color w:val="262626" w:themeColor="text1" w:themeTint="D9"/>
                                        <w:sz w:val="32"/>
                                        <w:szCs w:val="32"/>
                                      </w:rPr>
                                      <w:t xml:space="preserve"> </w:t>
                                    </w:r>
                                    <w:proofErr w:type="spellStart"/>
                                    <w:r w:rsidR="000574DF" w:rsidRPr="00961A5D">
                                      <w:rPr>
                                        <w:iCs/>
                                        <w:color w:val="262626" w:themeColor="text1" w:themeTint="D9"/>
                                        <w:sz w:val="32"/>
                                        <w:szCs w:val="32"/>
                                      </w:rPr>
                                      <w:t>Zhasmina</w:t>
                                    </w:r>
                                    <w:proofErr w:type="spellEnd"/>
                                    <w:r w:rsidR="000574DF" w:rsidRPr="00961A5D">
                                      <w:rPr>
                                        <w:iCs/>
                                        <w:color w:val="262626" w:themeColor="text1" w:themeTint="D9"/>
                                        <w:sz w:val="32"/>
                                        <w:szCs w:val="32"/>
                                      </w:rPr>
                                      <w:t xml:space="preserve"> </w:t>
                                    </w:r>
                                    <w:proofErr w:type="spellStart"/>
                                    <w:r w:rsidR="000574DF" w:rsidRPr="00961A5D">
                                      <w:rPr>
                                        <w:iCs/>
                                        <w:color w:val="262626" w:themeColor="text1" w:themeTint="D9"/>
                                        <w:sz w:val="32"/>
                                        <w:szCs w:val="32"/>
                                      </w:rPr>
                                      <w:t>Krumova</w:t>
                                    </w:r>
                                    <w:proofErr w:type="spellEnd"/>
                                    <w:r w:rsidR="000574DF" w:rsidRPr="00961A5D">
                                      <w:rPr>
                                        <w:iCs/>
                                        <w:color w:val="262626" w:themeColor="text1" w:themeTint="D9"/>
                                        <w:sz w:val="32"/>
                                        <w:szCs w:val="32"/>
                                      </w:rPr>
                                      <w:t xml:space="preserve"> Georgieva (2026746)</w:t>
                                    </w:r>
                                  </w:p>
                                </w:sdtContent>
                              </w:sdt>
                              <w:p w14:paraId="58B1F88E" w14:textId="481F84D3" w:rsidR="000574DF" w:rsidRPr="00FE3A5F" w:rsidRDefault="000574DF">
                                <w:pPr>
                                  <w:pStyle w:val="NoSpacing"/>
                                  <w:rPr>
                                    <w:iCs/>
                                    <w:color w:val="262626" w:themeColor="text1" w:themeTint="D9"/>
                                    <w:sz w:val="26"/>
                                    <w:szCs w:val="26"/>
                                  </w:rPr>
                                </w:pPr>
                                <w:sdt>
                                  <w:sdtPr>
                                    <w:rPr>
                                      <w:iCs/>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Content>
                                    <w:r w:rsidR="00FE3A5F" w:rsidRPr="00FE3A5F">
                                      <w:rPr>
                                        <w:iCs/>
                                        <w:color w:val="262626" w:themeColor="text1" w:themeTint="D9"/>
                                        <w:sz w:val="26"/>
                                        <w:szCs w:val="26"/>
                                      </w:rPr>
                                      <w:t xml:space="preserve">     </w:t>
                                    </w:r>
                                  </w:sdtContent>
                                </w:sdt>
                                <w:r w:rsidRPr="00FE3A5F">
                                  <w:rPr>
                                    <w:iCs/>
                                    <w:color w:val="262626" w:themeColor="text1" w:themeTint="D9"/>
                                    <w:sz w:val="26"/>
                                    <w:szCs w:val="26"/>
                                  </w:rPr>
                                  <w:t xml:space="preserve"> </w:t>
                                </w:r>
                                <w:r w:rsidR="00FE3A5F" w:rsidRPr="00FE3A5F">
                                  <w:rPr>
                                    <w:iCs/>
                                    <w:color w:val="262626" w:themeColor="text1" w:themeTint="D9"/>
                                    <w:sz w:val="26"/>
                                    <w:szCs w:val="26"/>
                                  </w:rPr>
                                  <w:t>The University of Wales Trinity Saint David</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501E626E" id="Text Box 36" o:spid="_x0000_s1027" type="#_x0000_t202" alt="Title: Title and subtitle" style="position:absolute;margin-left:0;margin-top:570.35pt;width:435.75pt;height:214.55pt;z-index:251661312;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" filled="f" stroked="f" strokeweight=".5pt">
                    <v:textbox inset="93.6pt,7.2pt,0,1in">
                      <w:txbxContent>
                        <w:sdt>
                          <w:sdtPr>
                            <w:rPr>
                              <w:iCs/>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575450F0" w14:textId="08D5F35A" w:rsidR="000574DF" w:rsidRDefault="00961A5D">
                              <w:pPr>
                                <w:pStyle w:val="NoSpacing"/>
                                <w:spacing w:after="480"/>
                                <w:rPr>
                                  <w:i/>
                                  <w:color w:val="262626" w:themeColor="text1" w:themeTint="D9"/>
                                  <w:sz w:val="32"/>
                                  <w:szCs w:val="32"/>
                                </w:rPr>
                              </w:pPr>
                              <w:r w:rsidRPr="00961A5D">
                                <w:rPr>
                                  <w:iCs/>
                                  <w:color w:val="262626" w:themeColor="text1" w:themeTint="D9"/>
                                  <w:sz w:val="32"/>
                                  <w:szCs w:val="32"/>
                                </w:rPr>
                                <w:t>S</w:t>
                              </w:r>
                              <w:r>
                                <w:rPr>
                                  <w:iCs/>
                                  <w:color w:val="262626" w:themeColor="text1" w:themeTint="D9"/>
                                  <w:sz w:val="32"/>
                                  <w:szCs w:val="32"/>
                                </w:rPr>
                                <w:t>tudent:</w:t>
                              </w:r>
                              <w:r w:rsidR="00157D02">
                                <w:rPr>
                                  <w:iCs/>
                                  <w:color w:val="262626" w:themeColor="text1" w:themeTint="D9"/>
                                  <w:sz w:val="32"/>
                                  <w:szCs w:val="32"/>
                                </w:rPr>
                                <w:t xml:space="preserve"> </w:t>
                              </w:r>
                              <w:proofErr w:type="spellStart"/>
                              <w:r w:rsidR="000574DF" w:rsidRPr="00961A5D">
                                <w:rPr>
                                  <w:iCs/>
                                  <w:color w:val="262626" w:themeColor="text1" w:themeTint="D9"/>
                                  <w:sz w:val="32"/>
                                  <w:szCs w:val="32"/>
                                </w:rPr>
                                <w:t>Zhasmina</w:t>
                              </w:r>
                              <w:proofErr w:type="spellEnd"/>
                              <w:r w:rsidR="000574DF" w:rsidRPr="00961A5D">
                                <w:rPr>
                                  <w:iCs/>
                                  <w:color w:val="262626" w:themeColor="text1" w:themeTint="D9"/>
                                  <w:sz w:val="32"/>
                                  <w:szCs w:val="32"/>
                                </w:rPr>
                                <w:t xml:space="preserve"> </w:t>
                              </w:r>
                              <w:proofErr w:type="spellStart"/>
                              <w:r w:rsidR="000574DF" w:rsidRPr="00961A5D">
                                <w:rPr>
                                  <w:iCs/>
                                  <w:color w:val="262626" w:themeColor="text1" w:themeTint="D9"/>
                                  <w:sz w:val="32"/>
                                  <w:szCs w:val="32"/>
                                </w:rPr>
                                <w:t>Krumova</w:t>
                              </w:r>
                              <w:proofErr w:type="spellEnd"/>
                              <w:r w:rsidR="000574DF" w:rsidRPr="00961A5D">
                                <w:rPr>
                                  <w:iCs/>
                                  <w:color w:val="262626" w:themeColor="text1" w:themeTint="D9"/>
                                  <w:sz w:val="32"/>
                                  <w:szCs w:val="32"/>
                                </w:rPr>
                                <w:t xml:space="preserve"> Georgieva (2026746)</w:t>
                              </w:r>
                            </w:p>
                          </w:sdtContent>
                        </w:sdt>
                        <w:p w14:paraId="58B1F88E" w14:textId="481F84D3" w:rsidR="000574DF" w:rsidRPr="00FE3A5F" w:rsidRDefault="000574DF">
                          <w:pPr>
                            <w:pStyle w:val="NoSpacing"/>
                            <w:rPr>
                              <w:iCs/>
                              <w:color w:val="262626" w:themeColor="text1" w:themeTint="D9"/>
                              <w:sz w:val="26"/>
                              <w:szCs w:val="26"/>
                            </w:rPr>
                          </w:pPr>
                          <w:sdt>
                            <w:sdtPr>
                              <w:rPr>
                                <w:iCs/>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Content>
                              <w:r w:rsidR="00FE3A5F" w:rsidRPr="00FE3A5F">
                                <w:rPr>
                                  <w:iCs/>
                                  <w:color w:val="262626" w:themeColor="text1" w:themeTint="D9"/>
                                  <w:sz w:val="26"/>
                                  <w:szCs w:val="26"/>
                                </w:rPr>
                                <w:t xml:space="preserve">     </w:t>
                              </w:r>
                            </w:sdtContent>
                          </w:sdt>
                          <w:r w:rsidRPr="00FE3A5F">
                            <w:rPr>
                              <w:iCs/>
                              <w:color w:val="262626" w:themeColor="text1" w:themeTint="D9"/>
                              <w:sz w:val="26"/>
                              <w:szCs w:val="26"/>
                            </w:rPr>
                            <w:t xml:space="preserve"> </w:t>
                          </w:r>
                          <w:r w:rsidR="00FE3A5F" w:rsidRPr="00FE3A5F">
                            <w:rPr>
                              <w:iCs/>
                              <w:color w:val="262626" w:themeColor="text1" w:themeTint="D9"/>
                              <w:sz w:val="26"/>
                              <w:szCs w:val="26"/>
                            </w:rPr>
                            <w:t>The University of Wales Trinity Saint David</w:t>
                          </w:r>
                        </w:p>
                      </w:txbxContent>
                    </v:textbox>
                    <w10:wrap anchorx="page" anchory="page"/>
                  </v:shape>
                </w:pict>
              </mc:Fallback>
            </mc:AlternateContent>
          </w:r>
          <w:r w:rsidR="000574DF">
            <w:br w:type="page"/>
          </w:r>
        </w:p>
      </w:sdtContent>
    </w:sdt>
    <w:sdt>
      <w:sdtPr>
        <w:id w:val="-598948627"/>
        <w:docPartObj>
          <w:docPartGallery w:val="Table of Contents"/>
          <w:docPartUnique/>
        </w:docPartObj>
      </w:sdtPr>
      <w:sdtEndPr>
        <w:rPr>
          <w:rFonts w:ascii="Times New Roman" w:eastAsiaTheme="minorHAnsi" w:hAnsi="Times New Roman" w:cstheme="minorBidi"/>
          <w:noProof/>
          <w:color w:val="auto"/>
          <w:sz w:val="24"/>
          <w:szCs w:val="22"/>
        </w:rPr>
      </w:sdtEndPr>
      <w:sdtContent>
        <w:p w14:paraId="1CA2A9EA" w14:textId="794278E3" w:rsidR="003C57CE" w:rsidRDefault="003C57CE">
          <w:pPr>
            <w:pStyle w:val="TOCHeading"/>
          </w:pPr>
          <w:r>
            <w:t>Table of Contents</w:t>
          </w:r>
        </w:p>
        <w:p w14:paraId="02C6D062" w14:textId="55F0E1F0" w:rsidR="003C57CE" w:rsidRDefault="003C57CE">
          <w:pPr>
            <w:pStyle w:val="TOC1"/>
            <w:tabs>
              <w:tab w:val="left" w:pos="480"/>
              <w:tab w:val="right" w:leader="dot" w:pos="9016"/>
            </w:tabs>
            <w:rPr>
              <w:noProof/>
            </w:rPr>
          </w:pPr>
          <w:r>
            <w:rPr>
              <w:b w:val="0"/>
              <w:bCs w:val="0"/>
            </w:rPr>
            <w:fldChar w:fldCharType="begin"/>
          </w:r>
          <w:r>
            <w:instrText xml:space="preserve"> TOC \o "1-3" \h \z \u </w:instrText>
          </w:r>
          <w:r>
            <w:rPr>
              <w:b w:val="0"/>
              <w:bCs w:val="0"/>
            </w:rPr>
            <w:fldChar w:fldCharType="separate"/>
          </w:r>
          <w:hyperlink w:anchor="_Toc141391128" w:history="1">
            <w:r w:rsidRPr="001F0E1E">
              <w:rPr>
                <w:rStyle w:val="Hyperlink"/>
                <w:noProof/>
              </w:rPr>
              <w:t>1.</w:t>
            </w:r>
            <w:r>
              <w:rPr>
                <w:noProof/>
              </w:rPr>
              <w:tab/>
            </w:r>
            <w:r w:rsidRPr="001F0E1E">
              <w:rPr>
                <w:rStyle w:val="Hyperlink"/>
                <w:noProof/>
              </w:rPr>
              <w:t>I</w:t>
            </w:r>
            <w:r w:rsidRPr="001F0E1E">
              <w:rPr>
                <w:rStyle w:val="Hyperlink"/>
                <w:noProof/>
              </w:rPr>
              <w:t>ntroduction</w:t>
            </w:r>
            <w:r>
              <w:rPr>
                <w:noProof/>
                <w:webHidden/>
              </w:rPr>
              <w:tab/>
            </w:r>
            <w:r>
              <w:rPr>
                <w:noProof/>
                <w:webHidden/>
              </w:rPr>
              <w:fldChar w:fldCharType="begin"/>
            </w:r>
            <w:r>
              <w:rPr>
                <w:noProof/>
                <w:webHidden/>
              </w:rPr>
              <w:instrText xml:space="preserve"> PAGEREF _Toc141391128 \h </w:instrText>
            </w:r>
            <w:r>
              <w:rPr>
                <w:noProof/>
                <w:webHidden/>
              </w:rPr>
            </w:r>
            <w:r>
              <w:rPr>
                <w:noProof/>
                <w:webHidden/>
              </w:rPr>
              <w:fldChar w:fldCharType="separate"/>
            </w:r>
            <w:r>
              <w:rPr>
                <w:noProof/>
                <w:webHidden/>
              </w:rPr>
              <w:t>2</w:t>
            </w:r>
            <w:r>
              <w:rPr>
                <w:noProof/>
                <w:webHidden/>
              </w:rPr>
              <w:fldChar w:fldCharType="end"/>
            </w:r>
          </w:hyperlink>
        </w:p>
        <w:p w14:paraId="2034F5A1" w14:textId="76225588" w:rsidR="003C57CE" w:rsidRDefault="003C57CE">
          <w:pPr>
            <w:pStyle w:val="TOC1"/>
            <w:tabs>
              <w:tab w:val="left" w:pos="480"/>
              <w:tab w:val="right" w:leader="dot" w:pos="9016"/>
            </w:tabs>
            <w:rPr>
              <w:noProof/>
            </w:rPr>
          </w:pPr>
          <w:hyperlink w:anchor="_Toc141391129" w:history="1">
            <w:r w:rsidRPr="001F0E1E">
              <w:rPr>
                <w:rStyle w:val="Hyperlink"/>
                <w:noProof/>
              </w:rPr>
              <w:t>2.</w:t>
            </w:r>
            <w:r>
              <w:rPr>
                <w:noProof/>
              </w:rPr>
              <w:tab/>
            </w:r>
            <w:r w:rsidRPr="001F0E1E">
              <w:rPr>
                <w:rStyle w:val="Hyperlink"/>
                <w:noProof/>
              </w:rPr>
              <w:t>Mrs. Thompson - A Case Study in Domiciliary Care</w:t>
            </w:r>
            <w:r>
              <w:rPr>
                <w:noProof/>
                <w:webHidden/>
              </w:rPr>
              <w:tab/>
            </w:r>
            <w:r>
              <w:rPr>
                <w:noProof/>
                <w:webHidden/>
              </w:rPr>
              <w:fldChar w:fldCharType="begin"/>
            </w:r>
            <w:r>
              <w:rPr>
                <w:noProof/>
                <w:webHidden/>
              </w:rPr>
              <w:instrText xml:space="preserve"> PAGEREF _Toc141391129 \h </w:instrText>
            </w:r>
            <w:r>
              <w:rPr>
                <w:noProof/>
                <w:webHidden/>
              </w:rPr>
            </w:r>
            <w:r>
              <w:rPr>
                <w:noProof/>
                <w:webHidden/>
              </w:rPr>
              <w:fldChar w:fldCharType="separate"/>
            </w:r>
            <w:r>
              <w:rPr>
                <w:noProof/>
                <w:webHidden/>
              </w:rPr>
              <w:t>3</w:t>
            </w:r>
            <w:r>
              <w:rPr>
                <w:noProof/>
                <w:webHidden/>
              </w:rPr>
              <w:fldChar w:fldCharType="end"/>
            </w:r>
          </w:hyperlink>
        </w:p>
        <w:p w14:paraId="2ABFD38B" w14:textId="63D08A41" w:rsidR="003C57CE" w:rsidRDefault="003C57CE">
          <w:pPr>
            <w:pStyle w:val="TOC1"/>
            <w:tabs>
              <w:tab w:val="left" w:pos="480"/>
              <w:tab w:val="right" w:leader="dot" w:pos="9016"/>
            </w:tabs>
            <w:rPr>
              <w:noProof/>
            </w:rPr>
          </w:pPr>
          <w:hyperlink w:anchor="_Toc141391130" w:history="1">
            <w:r w:rsidRPr="001F0E1E">
              <w:rPr>
                <w:rStyle w:val="Hyperlink"/>
                <w:noProof/>
              </w:rPr>
              <w:t>3.</w:t>
            </w:r>
            <w:r>
              <w:rPr>
                <w:noProof/>
              </w:rPr>
              <w:tab/>
            </w:r>
            <w:r w:rsidRPr="001F0E1E">
              <w:rPr>
                <w:rStyle w:val="Hyperlink"/>
                <w:noProof/>
              </w:rPr>
              <w:t>Health and Social Care Needs of Mrs. Thompson</w:t>
            </w:r>
            <w:r>
              <w:rPr>
                <w:noProof/>
                <w:webHidden/>
              </w:rPr>
              <w:tab/>
            </w:r>
            <w:r>
              <w:rPr>
                <w:noProof/>
                <w:webHidden/>
              </w:rPr>
              <w:fldChar w:fldCharType="begin"/>
            </w:r>
            <w:r>
              <w:rPr>
                <w:noProof/>
                <w:webHidden/>
              </w:rPr>
              <w:instrText xml:space="preserve"> PAGEREF _Toc141391130 \h </w:instrText>
            </w:r>
            <w:r>
              <w:rPr>
                <w:noProof/>
                <w:webHidden/>
              </w:rPr>
            </w:r>
            <w:r>
              <w:rPr>
                <w:noProof/>
                <w:webHidden/>
              </w:rPr>
              <w:fldChar w:fldCharType="separate"/>
            </w:r>
            <w:r>
              <w:rPr>
                <w:noProof/>
                <w:webHidden/>
              </w:rPr>
              <w:t>3</w:t>
            </w:r>
            <w:r>
              <w:rPr>
                <w:noProof/>
                <w:webHidden/>
              </w:rPr>
              <w:fldChar w:fldCharType="end"/>
            </w:r>
          </w:hyperlink>
        </w:p>
        <w:p w14:paraId="1C2352DD" w14:textId="4FF252B1" w:rsidR="003C57CE" w:rsidRDefault="003C57CE">
          <w:pPr>
            <w:pStyle w:val="TOC1"/>
            <w:tabs>
              <w:tab w:val="left" w:pos="480"/>
              <w:tab w:val="right" w:leader="dot" w:pos="9016"/>
            </w:tabs>
            <w:rPr>
              <w:noProof/>
            </w:rPr>
          </w:pPr>
          <w:hyperlink w:anchor="_Toc141391131" w:history="1">
            <w:r w:rsidRPr="001F0E1E">
              <w:rPr>
                <w:rStyle w:val="Hyperlink"/>
                <w:noProof/>
              </w:rPr>
              <w:t>4.</w:t>
            </w:r>
            <w:r>
              <w:rPr>
                <w:noProof/>
              </w:rPr>
              <w:tab/>
            </w:r>
            <w:r w:rsidRPr="001F0E1E">
              <w:rPr>
                <w:rStyle w:val="Hyperlink"/>
                <w:noProof/>
              </w:rPr>
              <w:t>Relevant Support and Interventions</w:t>
            </w:r>
            <w:r>
              <w:rPr>
                <w:noProof/>
                <w:webHidden/>
              </w:rPr>
              <w:tab/>
            </w:r>
            <w:r>
              <w:rPr>
                <w:noProof/>
                <w:webHidden/>
              </w:rPr>
              <w:fldChar w:fldCharType="begin"/>
            </w:r>
            <w:r>
              <w:rPr>
                <w:noProof/>
                <w:webHidden/>
              </w:rPr>
              <w:instrText xml:space="preserve"> PAGEREF _Toc141391131 \h </w:instrText>
            </w:r>
            <w:r>
              <w:rPr>
                <w:noProof/>
                <w:webHidden/>
              </w:rPr>
            </w:r>
            <w:r>
              <w:rPr>
                <w:noProof/>
                <w:webHidden/>
              </w:rPr>
              <w:fldChar w:fldCharType="separate"/>
            </w:r>
            <w:r>
              <w:rPr>
                <w:noProof/>
                <w:webHidden/>
              </w:rPr>
              <w:t>4</w:t>
            </w:r>
            <w:r>
              <w:rPr>
                <w:noProof/>
                <w:webHidden/>
              </w:rPr>
              <w:fldChar w:fldCharType="end"/>
            </w:r>
          </w:hyperlink>
        </w:p>
        <w:p w14:paraId="122EBA2F" w14:textId="0AEDC867" w:rsidR="003C57CE" w:rsidRDefault="003C57CE">
          <w:pPr>
            <w:pStyle w:val="TOC1"/>
            <w:tabs>
              <w:tab w:val="left" w:pos="480"/>
              <w:tab w:val="right" w:leader="dot" w:pos="9016"/>
            </w:tabs>
            <w:rPr>
              <w:noProof/>
            </w:rPr>
          </w:pPr>
          <w:hyperlink w:anchor="_Toc141391132" w:history="1">
            <w:r w:rsidRPr="001F0E1E">
              <w:rPr>
                <w:rStyle w:val="Hyperlink"/>
                <w:noProof/>
              </w:rPr>
              <w:t>5.</w:t>
            </w:r>
            <w:r>
              <w:rPr>
                <w:noProof/>
              </w:rPr>
              <w:tab/>
            </w:r>
            <w:r w:rsidRPr="001F0E1E">
              <w:rPr>
                <w:rStyle w:val="Hyperlink"/>
                <w:noProof/>
              </w:rPr>
              <w:t>Policy and Legislation</w:t>
            </w:r>
            <w:r>
              <w:rPr>
                <w:noProof/>
                <w:webHidden/>
              </w:rPr>
              <w:tab/>
            </w:r>
            <w:r>
              <w:rPr>
                <w:noProof/>
                <w:webHidden/>
              </w:rPr>
              <w:fldChar w:fldCharType="begin"/>
            </w:r>
            <w:r>
              <w:rPr>
                <w:noProof/>
                <w:webHidden/>
              </w:rPr>
              <w:instrText xml:space="preserve"> PAGEREF _Toc141391132 \h </w:instrText>
            </w:r>
            <w:r>
              <w:rPr>
                <w:noProof/>
                <w:webHidden/>
              </w:rPr>
            </w:r>
            <w:r>
              <w:rPr>
                <w:noProof/>
                <w:webHidden/>
              </w:rPr>
              <w:fldChar w:fldCharType="separate"/>
            </w:r>
            <w:r>
              <w:rPr>
                <w:noProof/>
                <w:webHidden/>
              </w:rPr>
              <w:t>5</w:t>
            </w:r>
            <w:r>
              <w:rPr>
                <w:noProof/>
                <w:webHidden/>
              </w:rPr>
              <w:fldChar w:fldCharType="end"/>
            </w:r>
          </w:hyperlink>
        </w:p>
        <w:p w14:paraId="25A96502" w14:textId="304102BE" w:rsidR="003C57CE" w:rsidRDefault="003C57CE">
          <w:pPr>
            <w:pStyle w:val="TOC1"/>
            <w:tabs>
              <w:tab w:val="left" w:pos="480"/>
              <w:tab w:val="right" w:leader="dot" w:pos="9016"/>
            </w:tabs>
            <w:rPr>
              <w:noProof/>
            </w:rPr>
          </w:pPr>
          <w:hyperlink w:anchor="_Toc141391133" w:history="1">
            <w:r w:rsidRPr="001F0E1E">
              <w:rPr>
                <w:rStyle w:val="Hyperlink"/>
                <w:noProof/>
              </w:rPr>
              <w:t>6.</w:t>
            </w:r>
            <w:r>
              <w:rPr>
                <w:noProof/>
              </w:rPr>
              <w:tab/>
            </w:r>
            <w:r w:rsidRPr="001F0E1E">
              <w:rPr>
                <w:rStyle w:val="Hyperlink"/>
                <w:noProof/>
              </w:rPr>
              <w:t>Theory</w:t>
            </w:r>
            <w:r>
              <w:rPr>
                <w:noProof/>
                <w:webHidden/>
              </w:rPr>
              <w:tab/>
            </w:r>
            <w:r>
              <w:rPr>
                <w:noProof/>
                <w:webHidden/>
              </w:rPr>
              <w:fldChar w:fldCharType="begin"/>
            </w:r>
            <w:r>
              <w:rPr>
                <w:noProof/>
                <w:webHidden/>
              </w:rPr>
              <w:instrText xml:space="preserve"> PAGEREF _Toc141391133 \h </w:instrText>
            </w:r>
            <w:r>
              <w:rPr>
                <w:noProof/>
                <w:webHidden/>
              </w:rPr>
            </w:r>
            <w:r>
              <w:rPr>
                <w:noProof/>
                <w:webHidden/>
              </w:rPr>
              <w:fldChar w:fldCharType="separate"/>
            </w:r>
            <w:r>
              <w:rPr>
                <w:noProof/>
                <w:webHidden/>
              </w:rPr>
              <w:t>7</w:t>
            </w:r>
            <w:r>
              <w:rPr>
                <w:noProof/>
                <w:webHidden/>
              </w:rPr>
              <w:fldChar w:fldCharType="end"/>
            </w:r>
          </w:hyperlink>
        </w:p>
        <w:p w14:paraId="6E94BF96" w14:textId="7F4ED77C" w:rsidR="003C57CE" w:rsidRDefault="003C57CE">
          <w:pPr>
            <w:pStyle w:val="TOC2"/>
            <w:tabs>
              <w:tab w:val="left" w:pos="960"/>
              <w:tab w:val="right" w:leader="dot" w:pos="9016"/>
            </w:tabs>
            <w:rPr>
              <w:noProof/>
            </w:rPr>
          </w:pPr>
          <w:hyperlink w:anchor="_Toc141391134" w:history="1">
            <w:r w:rsidRPr="001F0E1E">
              <w:rPr>
                <w:rStyle w:val="Hyperlink"/>
                <w:noProof/>
              </w:rPr>
              <w:t>6.1.</w:t>
            </w:r>
            <w:r>
              <w:rPr>
                <w:noProof/>
              </w:rPr>
              <w:tab/>
            </w:r>
            <w:r w:rsidRPr="001F0E1E">
              <w:rPr>
                <w:rStyle w:val="Hyperlink"/>
                <w:noProof/>
              </w:rPr>
              <w:t>Disengagement Theory</w:t>
            </w:r>
            <w:r>
              <w:rPr>
                <w:noProof/>
                <w:webHidden/>
              </w:rPr>
              <w:tab/>
            </w:r>
            <w:r>
              <w:rPr>
                <w:noProof/>
                <w:webHidden/>
              </w:rPr>
              <w:fldChar w:fldCharType="begin"/>
            </w:r>
            <w:r>
              <w:rPr>
                <w:noProof/>
                <w:webHidden/>
              </w:rPr>
              <w:instrText xml:space="preserve"> PAGEREF _Toc141391134 \h </w:instrText>
            </w:r>
            <w:r>
              <w:rPr>
                <w:noProof/>
                <w:webHidden/>
              </w:rPr>
            </w:r>
            <w:r>
              <w:rPr>
                <w:noProof/>
                <w:webHidden/>
              </w:rPr>
              <w:fldChar w:fldCharType="separate"/>
            </w:r>
            <w:r>
              <w:rPr>
                <w:noProof/>
                <w:webHidden/>
              </w:rPr>
              <w:t>7</w:t>
            </w:r>
            <w:r>
              <w:rPr>
                <w:noProof/>
                <w:webHidden/>
              </w:rPr>
              <w:fldChar w:fldCharType="end"/>
            </w:r>
          </w:hyperlink>
        </w:p>
        <w:p w14:paraId="5B86D0BB" w14:textId="2F3A78BD" w:rsidR="003C57CE" w:rsidRDefault="003C57CE">
          <w:pPr>
            <w:pStyle w:val="TOC2"/>
            <w:tabs>
              <w:tab w:val="left" w:pos="960"/>
              <w:tab w:val="right" w:leader="dot" w:pos="9016"/>
            </w:tabs>
            <w:rPr>
              <w:noProof/>
            </w:rPr>
          </w:pPr>
          <w:hyperlink w:anchor="_Toc141391135" w:history="1">
            <w:r w:rsidRPr="001F0E1E">
              <w:rPr>
                <w:rStyle w:val="Hyperlink"/>
                <w:noProof/>
              </w:rPr>
              <w:t>6.2.</w:t>
            </w:r>
            <w:r>
              <w:rPr>
                <w:noProof/>
              </w:rPr>
              <w:tab/>
            </w:r>
            <w:r w:rsidRPr="001F0E1E">
              <w:rPr>
                <w:rStyle w:val="Hyperlink"/>
                <w:noProof/>
              </w:rPr>
              <w:t>Activity Theory</w:t>
            </w:r>
            <w:r>
              <w:rPr>
                <w:noProof/>
                <w:webHidden/>
              </w:rPr>
              <w:tab/>
            </w:r>
            <w:r>
              <w:rPr>
                <w:noProof/>
                <w:webHidden/>
              </w:rPr>
              <w:fldChar w:fldCharType="begin"/>
            </w:r>
            <w:r>
              <w:rPr>
                <w:noProof/>
                <w:webHidden/>
              </w:rPr>
              <w:instrText xml:space="preserve"> PAGEREF _Toc141391135 \h </w:instrText>
            </w:r>
            <w:r>
              <w:rPr>
                <w:noProof/>
                <w:webHidden/>
              </w:rPr>
            </w:r>
            <w:r>
              <w:rPr>
                <w:noProof/>
                <w:webHidden/>
              </w:rPr>
              <w:fldChar w:fldCharType="separate"/>
            </w:r>
            <w:r>
              <w:rPr>
                <w:noProof/>
                <w:webHidden/>
              </w:rPr>
              <w:t>7</w:t>
            </w:r>
            <w:r>
              <w:rPr>
                <w:noProof/>
                <w:webHidden/>
              </w:rPr>
              <w:fldChar w:fldCharType="end"/>
            </w:r>
          </w:hyperlink>
        </w:p>
        <w:p w14:paraId="5E027DDC" w14:textId="41413DF4" w:rsidR="003C57CE" w:rsidRDefault="003C57CE">
          <w:pPr>
            <w:pStyle w:val="TOC1"/>
            <w:tabs>
              <w:tab w:val="left" w:pos="480"/>
              <w:tab w:val="right" w:leader="dot" w:pos="9016"/>
            </w:tabs>
            <w:rPr>
              <w:noProof/>
            </w:rPr>
          </w:pPr>
          <w:hyperlink w:anchor="_Toc141391136" w:history="1">
            <w:r w:rsidRPr="001F0E1E">
              <w:rPr>
                <w:rStyle w:val="Hyperlink"/>
                <w:noProof/>
              </w:rPr>
              <w:t>7.</w:t>
            </w:r>
            <w:r>
              <w:rPr>
                <w:noProof/>
              </w:rPr>
              <w:tab/>
            </w:r>
            <w:r w:rsidRPr="001F0E1E">
              <w:rPr>
                <w:rStyle w:val="Hyperlink"/>
                <w:noProof/>
              </w:rPr>
              <w:t>Conclusion</w:t>
            </w:r>
            <w:r>
              <w:rPr>
                <w:noProof/>
                <w:webHidden/>
              </w:rPr>
              <w:tab/>
            </w:r>
            <w:r>
              <w:rPr>
                <w:noProof/>
                <w:webHidden/>
              </w:rPr>
              <w:fldChar w:fldCharType="begin"/>
            </w:r>
            <w:r>
              <w:rPr>
                <w:noProof/>
                <w:webHidden/>
              </w:rPr>
              <w:instrText xml:space="preserve"> PAGEREF _Toc141391136 \h </w:instrText>
            </w:r>
            <w:r>
              <w:rPr>
                <w:noProof/>
                <w:webHidden/>
              </w:rPr>
            </w:r>
            <w:r>
              <w:rPr>
                <w:noProof/>
                <w:webHidden/>
              </w:rPr>
              <w:fldChar w:fldCharType="separate"/>
            </w:r>
            <w:r>
              <w:rPr>
                <w:noProof/>
                <w:webHidden/>
              </w:rPr>
              <w:t>8</w:t>
            </w:r>
            <w:r>
              <w:rPr>
                <w:noProof/>
                <w:webHidden/>
              </w:rPr>
              <w:fldChar w:fldCharType="end"/>
            </w:r>
          </w:hyperlink>
        </w:p>
        <w:p w14:paraId="20A3384A" w14:textId="09E457C3" w:rsidR="003C57CE" w:rsidRDefault="003C57CE">
          <w:pPr>
            <w:pStyle w:val="TOC1"/>
            <w:tabs>
              <w:tab w:val="left" w:pos="480"/>
              <w:tab w:val="right" w:leader="dot" w:pos="9016"/>
            </w:tabs>
            <w:rPr>
              <w:noProof/>
            </w:rPr>
          </w:pPr>
          <w:hyperlink w:anchor="_Toc141391137" w:history="1">
            <w:r w:rsidRPr="001F0E1E">
              <w:rPr>
                <w:rStyle w:val="Hyperlink"/>
                <w:noProof/>
              </w:rPr>
              <w:t>8.</w:t>
            </w:r>
            <w:r>
              <w:rPr>
                <w:noProof/>
              </w:rPr>
              <w:tab/>
            </w:r>
            <w:r w:rsidRPr="001F0E1E">
              <w:rPr>
                <w:rStyle w:val="Hyperlink"/>
                <w:noProof/>
              </w:rPr>
              <w:t>Recommendations</w:t>
            </w:r>
            <w:r>
              <w:rPr>
                <w:noProof/>
                <w:webHidden/>
              </w:rPr>
              <w:tab/>
            </w:r>
            <w:r>
              <w:rPr>
                <w:noProof/>
                <w:webHidden/>
              </w:rPr>
              <w:fldChar w:fldCharType="begin"/>
            </w:r>
            <w:r>
              <w:rPr>
                <w:noProof/>
                <w:webHidden/>
              </w:rPr>
              <w:instrText xml:space="preserve"> PAGEREF _Toc141391137 \h </w:instrText>
            </w:r>
            <w:r>
              <w:rPr>
                <w:noProof/>
                <w:webHidden/>
              </w:rPr>
            </w:r>
            <w:r>
              <w:rPr>
                <w:noProof/>
                <w:webHidden/>
              </w:rPr>
              <w:fldChar w:fldCharType="separate"/>
            </w:r>
            <w:r>
              <w:rPr>
                <w:noProof/>
                <w:webHidden/>
              </w:rPr>
              <w:t>9</w:t>
            </w:r>
            <w:r>
              <w:rPr>
                <w:noProof/>
                <w:webHidden/>
              </w:rPr>
              <w:fldChar w:fldCharType="end"/>
            </w:r>
          </w:hyperlink>
        </w:p>
        <w:p w14:paraId="30B340C8" w14:textId="0D248009" w:rsidR="003C57CE" w:rsidRDefault="003C57CE">
          <w:pPr>
            <w:pStyle w:val="TOC1"/>
            <w:tabs>
              <w:tab w:val="left" w:pos="480"/>
              <w:tab w:val="right" w:leader="dot" w:pos="9016"/>
            </w:tabs>
            <w:rPr>
              <w:noProof/>
            </w:rPr>
          </w:pPr>
          <w:hyperlink w:anchor="_Toc141391138" w:history="1">
            <w:r w:rsidRPr="001F0E1E">
              <w:rPr>
                <w:rStyle w:val="Hyperlink"/>
                <w:noProof/>
              </w:rPr>
              <w:t>9.</w:t>
            </w:r>
            <w:r>
              <w:rPr>
                <w:noProof/>
              </w:rPr>
              <w:tab/>
            </w:r>
            <w:r w:rsidRPr="001F0E1E">
              <w:rPr>
                <w:rStyle w:val="Hyperlink"/>
                <w:noProof/>
              </w:rPr>
              <w:t>References</w:t>
            </w:r>
            <w:r>
              <w:rPr>
                <w:noProof/>
                <w:webHidden/>
              </w:rPr>
              <w:tab/>
            </w:r>
            <w:r>
              <w:rPr>
                <w:noProof/>
                <w:webHidden/>
              </w:rPr>
              <w:fldChar w:fldCharType="begin"/>
            </w:r>
            <w:r>
              <w:rPr>
                <w:noProof/>
                <w:webHidden/>
              </w:rPr>
              <w:instrText xml:space="preserve"> PAGEREF _Toc141391138 \h </w:instrText>
            </w:r>
            <w:r>
              <w:rPr>
                <w:noProof/>
                <w:webHidden/>
              </w:rPr>
            </w:r>
            <w:r>
              <w:rPr>
                <w:noProof/>
                <w:webHidden/>
              </w:rPr>
              <w:fldChar w:fldCharType="separate"/>
            </w:r>
            <w:r>
              <w:rPr>
                <w:noProof/>
                <w:webHidden/>
              </w:rPr>
              <w:t>11</w:t>
            </w:r>
            <w:r>
              <w:rPr>
                <w:noProof/>
                <w:webHidden/>
              </w:rPr>
              <w:fldChar w:fldCharType="end"/>
            </w:r>
          </w:hyperlink>
        </w:p>
        <w:p w14:paraId="275D38B2" w14:textId="4C509F2D" w:rsidR="003C57CE" w:rsidRDefault="003C57CE">
          <w:r>
            <w:rPr>
              <w:b/>
              <w:bCs/>
              <w:noProof/>
            </w:rPr>
            <w:fldChar w:fldCharType="end"/>
          </w:r>
        </w:p>
      </w:sdtContent>
    </w:sdt>
    <w:p w14:paraId="0213E96D" w14:textId="054AFDB1" w:rsidR="00EB794E" w:rsidRDefault="00EB794E"/>
    <w:p w14:paraId="28F31BBC" w14:textId="117BCA20" w:rsidR="00EB794E" w:rsidRDefault="00EB794E"/>
    <w:p w14:paraId="1490AF4C" w14:textId="0DA1B3C2" w:rsidR="00EB794E" w:rsidRDefault="00EB794E"/>
    <w:p w14:paraId="0F79C5FD" w14:textId="4DAD2A57" w:rsidR="00EB794E" w:rsidRDefault="00EB794E"/>
    <w:p w14:paraId="073E24A0" w14:textId="760FB981" w:rsidR="00EB794E" w:rsidRDefault="00EB794E"/>
    <w:p w14:paraId="544C9095" w14:textId="185394C0" w:rsidR="00EB794E" w:rsidRDefault="00EB794E"/>
    <w:p w14:paraId="41319045" w14:textId="77777777" w:rsidR="00182FA0" w:rsidRDefault="00182FA0"/>
    <w:p w14:paraId="1930D9D9" w14:textId="5EB9B8D5" w:rsidR="00ED03AB" w:rsidRPr="00182FA0" w:rsidRDefault="00ED03AB" w:rsidP="00182FA0">
      <w:pPr>
        <w:pStyle w:val="Heading1"/>
        <w:numPr>
          <w:ilvl w:val="0"/>
          <w:numId w:val="1"/>
        </w:numPr>
      </w:pPr>
      <w:bookmarkStart w:id="0" w:name="_Toc141268606"/>
      <w:bookmarkStart w:id="1" w:name="_Toc141391128"/>
      <w:r w:rsidRPr="00182FA0">
        <w:lastRenderedPageBreak/>
        <w:t>Introduction</w:t>
      </w:r>
      <w:bookmarkEnd w:id="0"/>
      <w:bookmarkEnd w:id="1"/>
    </w:p>
    <w:p w14:paraId="02221328" w14:textId="558FBD76" w:rsidR="00ED03AB" w:rsidRPr="00456ADF" w:rsidRDefault="00A2561D" w:rsidP="00182FA0">
      <w:pPr>
        <w:spacing w:line="360" w:lineRule="auto"/>
        <w:ind w:firstLine="720"/>
        <w:jc w:val="both"/>
        <w:rPr>
          <w:rFonts w:ascii="Arial" w:hAnsi="Arial" w:cs="Arial"/>
          <w:szCs w:val="24"/>
        </w:rPr>
      </w:pPr>
      <w:r w:rsidRPr="00456ADF">
        <w:rPr>
          <w:rFonts w:ascii="Arial" w:hAnsi="Arial" w:cs="Arial"/>
          <w:szCs w:val="24"/>
        </w:rPr>
        <w:t>Old age</w:t>
      </w:r>
      <w:r w:rsidR="00ED03AB" w:rsidRPr="00456ADF">
        <w:rPr>
          <w:rFonts w:ascii="Arial" w:hAnsi="Arial" w:cs="Arial"/>
          <w:szCs w:val="24"/>
        </w:rPr>
        <w:t xml:space="preserve"> denotes the ultimate phase of the human lifespan wherein an individual attains an advanced age and encounters physical, cognitive, and social alterations</w:t>
      </w:r>
      <w:r w:rsidR="00ED03AB">
        <w:rPr>
          <w:rFonts w:ascii="Arial" w:hAnsi="Arial" w:cs="Arial"/>
          <w:szCs w:val="24"/>
        </w:rPr>
        <w:t xml:space="preserve"> (World Health Organization, 2021)</w:t>
      </w:r>
      <w:r w:rsidR="00ED03AB" w:rsidRPr="00456ADF">
        <w:rPr>
          <w:rFonts w:ascii="Arial" w:hAnsi="Arial" w:cs="Arial"/>
          <w:szCs w:val="24"/>
        </w:rPr>
        <w:t xml:space="preserve">. The perception of old age is subject to cultural and societal variation. The concept of old age lacks a universally accepted definition. Yet, it is commonly characterized by a decline in physical and cognitive capabilities, retirement from employment, and an elevated susceptibility to age-related ailments (World Health </w:t>
      </w:r>
      <w:proofErr w:type="spellStart"/>
      <w:r w:rsidR="00ED03AB" w:rsidRPr="00456ADF">
        <w:rPr>
          <w:rFonts w:ascii="Arial" w:hAnsi="Arial" w:cs="Arial"/>
          <w:szCs w:val="24"/>
        </w:rPr>
        <w:t>Organisation</w:t>
      </w:r>
      <w:proofErr w:type="spellEnd"/>
      <w:r w:rsidR="00ED03AB" w:rsidRPr="00456ADF">
        <w:rPr>
          <w:rFonts w:ascii="Arial" w:hAnsi="Arial" w:cs="Arial"/>
          <w:szCs w:val="24"/>
        </w:rPr>
        <w:t xml:space="preserve">, 2021). Examining and contrasting diverse interpretations of old age can provide insight into the varying perspectives held by different societies and academic disciplines regarding this </w:t>
      </w:r>
      <w:r w:rsidR="00182FA0" w:rsidRPr="00456ADF">
        <w:rPr>
          <w:rFonts w:ascii="Arial" w:hAnsi="Arial" w:cs="Arial"/>
          <w:szCs w:val="24"/>
        </w:rPr>
        <w:t>phase</w:t>
      </w:r>
      <w:r w:rsidR="00ED03AB" w:rsidRPr="00456ADF">
        <w:rPr>
          <w:rFonts w:ascii="Arial" w:hAnsi="Arial" w:cs="Arial"/>
          <w:szCs w:val="24"/>
        </w:rPr>
        <w:t xml:space="preserve"> of human life. Various definitions may emphasize other aspects of age, such as chronological age, typically defined as being 65 years or older, or functional age, which considers an individual's physical and cognitive capacities. Moreover, specific definitions encompass social roles and expectations, such as the transition into retirement or assuming the role of a grandparent. </w:t>
      </w:r>
    </w:p>
    <w:p w14:paraId="70459748" w14:textId="77777777" w:rsidR="00ED03AB" w:rsidRPr="00456ADF" w:rsidRDefault="00ED03AB" w:rsidP="00182FA0">
      <w:pPr>
        <w:spacing w:line="360" w:lineRule="auto"/>
        <w:ind w:firstLine="720"/>
        <w:jc w:val="both"/>
        <w:rPr>
          <w:rFonts w:ascii="Arial" w:hAnsi="Arial" w:cs="Arial"/>
          <w:szCs w:val="24"/>
        </w:rPr>
      </w:pPr>
      <w:r w:rsidRPr="00456ADF">
        <w:rPr>
          <w:rFonts w:ascii="Arial" w:hAnsi="Arial" w:cs="Arial"/>
          <w:szCs w:val="24"/>
        </w:rPr>
        <w:t xml:space="preserve">This report provides significant contributions by shedding light on senior citizens' difficulties as they traverse the latter phases of their lifespans (Johnson &amp; Smith, 2022). Her narrative highlights the importance of customized interventions and assistance in promoting successful aging and enhancing the overall quality of life among elderly individuals (Brown et al., 2020). Mrs. Thompson's case illustrates the influence of age-related health conditions as she grapples with restricted physical movement resulting from osteoarthritis and other enduring ailments (World Health </w:t>
      </w:r>
      <w:proofErr w:type="spellStart"/>
      <w:r w:rsidRPr="00456ADF">
        <w:rPr>
          <w:rFonts w:ascii="Arial" w:hAnsi="Arial" w:cs="Arial"/>
          <w:szCs w:val="24"/>
        </w:rPr>
        <w:t>Organisation</w:t>
      </w:r>
      <w:proofErr w:type="spellEnd"/>
      <w:r w:rsidRPr="00456ADF">
        <w:rPr>
          <w:rFonts w:ascii="Arial" w:hAnsi="Arial" w:cs="Arial"/>
          <w:szCs w:val="24"/>
        </w:rPr>
        <w:t xml:space="preserve">, 2021). To uphold her autonomy and overall welfare, she depends on the assistance of domiciliary care (Smith &amp; Davis, 2021). Nevertheless, the protagonist's expedition is not without challenges, as she confronts physical constraints, experiences social seclusion, and endures emotional hardships (Johnson et al., 2019). The objective of this study is to examine the distinct health and social care requirements of Mrs. Thompson, with a particular focus on the significance of comprehensive and tailored approaches to geriatric care (Brown et al., 2020). In this study, Johnson et al. (2019) will examine multiple dimensions of her care, encompassing medical management, cognitive stimulation, personal assistance, mobility support, and social engagement. By comprehending the various and distinct </w:t>
      </w:r>
      <w:r w:rsidRPr="00456ADF">
        <w:rPr>
          <w:rFonts w:ascii="Arial" w:hAnsi="Arial" w:cs="Arial"/>
          <w:szCs w:val="24"/>
        </w:rPr>
        <w:lastRenderedPageBreak/>
        <w:t>requirements, we can formulate more effective approaches to tackle the difficulties encountered by elderly individuals such as Mrs. Thompson.</w:t>
      </w:r>
    </w:p>
    <w:p w14:paraId="38C99660" w14:textId="0EEB0A4C" w:rsidR="00ED03AB" w:rsidRPr="00182FA0" w:rsidRDefault="00ED03AB" w:rsidP="00182FA0">
      <w:pPr>
        <w:pStyle w:val="Heading1"/>
        <w:numPr>
          <w:ilvl w:val="0"/>
          <w:numId w:val="1"/>
        </w:numPr>
      </w:pPr>
      <w:bookmarkStart w:id="2" w:name="_Toc141268607"/>
      <w:bookmarkStart w:id="3" w:name="_Toc141391129"/>
      <w:r w:rsidRPr="00182FA0">
        <w:t>Mrs. Thompson - A Case Study in Domiciliary Care</w:t>
      </w:r>
      <w:bookmarkEnd w:id="2"/>
      <w:bookmarkEnd w:id="3"/>
    </w:p>
    <w:p w14:paraId="289ABCF7" w14:textId="77777777" w:rsidR="00ED03AB" w:rsidRPr="00456ADF" w:rsidRDefault="00ED03AB" w:rsidP="00182FA0">
      <w:pPr>
        <w:spacing w:line="360" w:lineRule="auto"/>
        <w:ind w:firstLine="720"/>
        <w:jc w:val="both"/>
        <w:rPr>
          <w:rFonts w:ascii="Arial" w:hAnsi="Arial" w:cs="Arial"/>
          <w:szCs w:val="24"/>
        </w:rPr>
      </w:pPr>
      <w:r w:rsidRPr="00456ADF">
        <w:rPr>
          <w:rFonts w:ascii="Arial" w:hAnsi="Arial" w:cs="Arial"/>
          <w:szCs w:val="24"/>
        </w:rPr>
        <w:t>Mrs. Thompson is an 82-year-old widow residing in her suburban home, receiving domiciliary care support due to limited mobility caused by osteoarthritis and other chronic health conditions. She experiences physical, social, and emotional challenges, including feelings of social isolation due to distant relatives and limited interactions with friends. The report addresses her needs in various areas to ensure her successful aging. The information will also consider the importance of involving Mrs. Thompson's family members or close friends to create a robust support system and provide a holistic approach to her social and mental health needs. Moreover, it will analyze existing community resources and programs that can be utilized to enhance her social interactions and overall quality of life.</w:t>
      </w:r>
    </w:p>
    <w:p w14:paraId="53500C46" w14:textId="559BAB05" w:rsidR="00ED03AB" w:rsidRPr="00182FA0" w:rsidRDefault="00ED03AB" w:rsidP="00182FA0">
      <w:pPr>
        <w:pStyle w:val="Heading1"/>
        <w:numPr>
          <w:ilvl w:val="0"/>
          <w:numId w:val="1"/>
        </w:numPr>
      </w:pPr>
      <w:bookmarkStart w:id="4" w:name="_Toc141268608"/>
      <w:bookmarkStart w:id="5" w:name="_Toc141391130"/>
      <w:r w:rsidRPr="00182FA0">
        <w:t>Health and Social Care Needs of Mrs. Thompson</w:t>
      </w:r>
      <w:bookmarkEnd w:id="4"/>
      <w:bookmarkEnd w:id="5"/>
    </w:p>
    <w:p w14:paraId="40F3AA47" w14:textId="77777777" w:rsidR="00ED03AB" w:rsidRPr="00456ADF" w:rsidRDefault="00ED03AB" w:rsidP="00182FA0">
      <w:pPr>
        <w:spacing w:line="360" w:lineRule="auto"/>
        <w:ind w:firstLine="720"/>
        <w:jc w:val="both"/>
        <w:rPr>
          <w:rFonts w:ascii="Arial" w:hAnsi="Arial" w:cs="Arial"/>
          <w:szCs w:val="24"/>
        </w:rPr>
      </w:pPr>
      <w:r w:rsidRPr="00456ADF">
        <w:rPr>
          <w:rFonts w:ascii="Arial" w:hAnsi="Arial" w:cs="Arial"/>
          <w:szCs w:val="24"/>
        </w:rPr>
        <w:t>Mrs. Thompson, an octogenarian widow currently receiving domiciliary care, presents a range of health and social care requirements that necessitate meticulous attention to facilitate her successful aging process. Regular medical check-ups are a critical component of her care, as they are crucial in effectively managing her chronic health conditions and mitigating potential deterioration (Smith et al., 2018). Cognitive stimulation therapy can enhance memory and mental capacities, promoting the overall well-being of individuals with mild cognitive impairment (Jones et al., 2020).</w:t>
      </w:r>
    </w:p>
    <w:p w14:paraId="5ED83F41" w14:textId="77777777" w:rsidR="00ED03AB" w:rsidRPr="00456ADF" w:rsidRDefault="00ED03AB" w:rsidP="00182FA0">
      <w:pPr>
        <w:spacing w:line="360" w:lineRule="auto"/>
        <w:ind w:firstLine="720"/>
        <w:jc w:val="both"/>
        <w:rPr>
          <w:rFonts w:ascii="Arial" w:hAnsi="Arial" w:cs="Arial"/>
          <w:szCs w:val="24"/>
        </w:rPr>
      </w:pPr>
      <w:r w:rsidRPr="00456ADF">
        <w:rPr>
          <w:rFonts w:ascii="Arial" w:hAnsi="Arial" w:cs="Arial"/>
          <w:szCs w:val="24"/>
        </w:rPr>
        <w:t xml:space="preserve">In addition, providing personal care assistance is crucial in upholding Mrs. Thompson's autonomy. The performance of activities of daily living (ADLs), such as bathing, dressing, and grooming, requires </w:t>
      </w:r>
      <w:proofErr w:type="spellStart"/>
      <w:r w:rsidRPr="00456ADF">
        <w:rPr>
          <w:rFonts w:ascii="Arial" w:hAnsi="Arial" w:cs="Arial"/>
          <w:szCs w:val="24"/>
        </w:rPr>
        <w:t>carers'</w:t>
      </w:r>
      <w:proofErr w:type="spellEnd"/>
      <w:r w:rsidRPr="00456ADF">
        <w:rPr>
          <w:rFonts w:ascii="Arial" w:hAnsi="Arial" w:cs="Arial"/>
          <w:szCs w:val="24"/>
        </w:rPr>
        <w:t xml:space="preserve"> assistance to improve the individual's quality of life and foster a sense of independence (Brown et al., 2019). Furthermore, providing mobility support is imperative in guaranteeing her safety and mitigating the likelihood of falls. According to Dyer et al. (2021), providing a mobility aid, such as a walker, can significantly enhance an individual's mobility and mitigate the risk of potential accidents.</w:t>
      </w:r>
    </w:p>
    <w:p w14:paraId="28FF9C2C" w14:textId="77777777" w:rsidR="00ED03AB" w:rsidRPr="00456ADF" w:rsidRDefault="00ED03AB" w:rsidP="00182FA0">
      <w:pPr>
        <w:spacing w:line="360" w:lineRule="auto"/>
        <w:ind w:firstLine="720"/>
        <w:jc w:val="both"/>
        <w:rPr>
          <w:rFonts w:ascii="Arial" w:hAnsi="Arial" w:cs="Arial"/>
          <w:szCs w:val="24"/>
        </w:rPr>
      </w:pPr>
      <w:r w:rsidRPr="00456ADF">
        <w:rPr>
          <w:rFonts w:ascii="Arial" w:hAnsi="Arial" w:cs="Arial"/>
          <w:szCs w:val="24"/>
        </w:rPr>
        <w:t xml:space="preserve">It is equally important to attend to Mrs. Thompson's social needs to alleviate any sense of isolation effectively she may experience. Roberts et al. (2022) suggest </w:t>
      </w:r>
      <w:r w:rsidRPr="00456ADF">
        <w:rPr>
          <w:rFonts w:ascii="Arial" w:hAnsi="Arial" w:cs="Arial"/>
          <w:szCs w:val="24"/>
        </w:rPr>
        <w:lastRenderedPageBreak/>
        <w:t>that facilitating her engagement in local senior support groups and organizing social events can promote social connections and enhance her emotional well-being. These interventions aim to establish a conducive setting that mitigates the detrimental consequences of social isolation among older people.</w:t>
      </w:r>
    </w:p>
    <w:p w14:paraId="71170B9D" w14:textId="77777777" w:rsidR="00ED03AB" w:rsidRPr="00456ADF" w:rsidRDefault="00ED03AB" w:rsidP="00182FA0">
      <w:pPr>
        <w:spacing w:line="360" w:lineRule="auto"/>
        <w:ind w:firstLine="720"/>
        <w:jc w:val="both"/>
        <w:rPr>
          <w:rFonts w:ascii="Arial" w:hAnsi="Arial" w:cs="Arial"/>
          <w:szCs w:val="24"/>
        </w:rPr>
      </w:pPr>
      <w:r w:rsidRPr="00456ADF">
        <w:rPr>
          <w:rFonts w:ascii="Arial" w:hAnsi="Arial" w:cs="Arial"/>
          <w:szCs w:val="24"/>
        </w:rPr>
        <w:t>However, attending to Mrs. Thompson's medical, mental, personal, mobility, and social requirements is imperative to promote her successful aging and holistic welfare. The recommended interventions, including regular medical check-ups, cognitive stimulation therapy, personal care assistance, mobility support, and social engagement, can substantially improve her quality of life and facilitate successful aging.</w:t>
      </w:r>
    </w:p>
    <w:p w14:paraId="1C2578C1" w14:textId="5A3B2D97" w:rsidR="00ED03AB" w:rsidRPr="00182FA0" w:rsidRDefault="00ED03AB" w:rsidP="00182FA0">
      <w:pPr>
        <w:pStyle w:val="Heading1"/>
        <w:numPr>
          <w:ilvl w:val="0"/>
          <w:numId w:val="1"/>
        </w:numPr>
      </w:pPr>
      <w:bookmarkStart w:id="6" w:name="_Toc141268609"/>
      <w:bookmarkStart w:id="7" w:name="_Toc141391131"/>
      <w:r w:rsidRPr="00182FA0">
        <w:t>Relevant Support and Interventions</w:t>
      </w:r>
      <w:bookmarkEnd w:id="6"/>
      <w:bookmarkEnd w:id="7"/>
    </w:p>
    <w:p w14:paraId="64963B2F" w14:textId="77777777" w:rsidR="00ED03AB" w:rsidRPr="00456ADF" w:rsidRDefault="00ED03AB" w:rsidP="00182FA0">
      <w:pPr>
        <w:spacing w:line="360" w:lineRule="auto"/>
        <w:ind w:firstLine="720"/>
        <w:jc w:val="both"/>
        <w:rPr>
          <w:rFonts w:ascii="Arial" w:hAnsi="Arial" w:cs="Arial"/>
          <w:szCs w:val="24"/>
        </w:rPr>
      </w:pPr>
      <w:r w:rsidRPr="00456ADF">
        <w:rPr>
          <w:rFonts w:ascii="Arial" w:hAnsi="Arial" w:cs="Arial"/>
          <w:szCs w:val="24"/>
        </w:rPr>
        <w:t>The increasing size of the aging population has led to a heightened focus on safeguarding the welfare of elderly individuals, exemplified by the case of Mrs. Thompson. Domiciliary care, as a variant of in-home care, presents a promising approach to support elderly individuals such as Mrs. Thompson in preserving their autonomy and well-being through tailored assistance. The methodology, as mentioned earlier, has demonstrated favorable results for the elderly population, enhancing their general welfare and improving their quality of life (Smith et al., 2019). Domiciliary care facilitates the continuation of seniors' residence in familiar environments, thereby preserving their autonomy and mitigating the stress typically associated with transitioning to long-term care facilities (Brown &amp; Smith, 2020).</w:t>
      </w:r>
    </w:p>
    <w:p w14:paraId="72696751" w14:textId="77777777" w:rsidR="00ED03AB" w:rsidRPr="00456ADF" w:rsidRDefault="00ED03AB" w:rsidP="00182FA0">
      <w:pPr>
        <w:spacing w:line="360" w:lineRule="auto"/>
        <w:ind w:firstLine="720"/>
        <w:jc w:val="both"/>
        <w:rPr>
          <w:rFonts w:ascii="Arial" w:hAnsi="Arial" w:cs="Arial"/>
          <w:szCs w:val="24"/>
        </w:rPr>
      </w:pPr>
      <w:r w:rsidRPr="00456ADF">
        <w:rPr>
          <w:rFonts w:ascii="Arial" w:hAnsi="Arial" w:cs="Arial"/>
          <w:szCs w:val="24"/>
        </w:rPr>
        <w:t>Furthermore, providing nursing care is pivotal in effectively addressing the medical requirements of elderly individuals such as Mrs. Thompson. According to Johnson and White (2018), the provision of regular visits by a registered nurse facilitates the effective management of chronic conditions and the safe administration of prescribed medications. According to Clark et al. (2017), a certified healthcare practitioner's diligent oversight of individuals' health conditions can facilitate the prompt identification of health concerns and timely implementation of appropriate measures, thereby mitigating the likelihood of hospitalization and enhancing the overall health results for older adults.</w:t>
      </w:r>
    </w:p>
    <w:p w14:paraId="50AD882F" w14:textId="77777777" w:rsidR="00ED03AB" w:rsidRPr="00456ADF" w:rsidRDefault="00ED03AB" w:rsidP="00182FA0">
      <w:pPr>
        <w:spacing w:line="360" w:lineRule="auto"/>
        <w:ind w:firstLine="720"/>
        <w:jc w:val="both"/>
        <w:rPr>
          <w:rFonts w:ascii="Arial" w:hAnsi="Arial" w:cs="Arial"/>
          <w:szCs w:val="24"/>
        </w:rPr>
      </w:pPr>
      <w:r w:rsidRPr="00456ADF">
        <w:rPr>
          <w:rFonts w:ascii="Arial" w:hAnsi="Arial" w:cs="Arial"/>
          <w:szCs w:val="24"/>
        </w:rPr>
        <w:t xml:space="preserve">In addition, the integration of third-sector entities, specifically charitable organizations focusing on elderly care, can offer significant social assistance and </w:t>
      </w:r>
      <w:r w:rsidRPr="00456ADF">
        <w:rPr>
          <w:rFonts w:ascii="Arial" w:hAnsi="Arial" w:cs="Arial"/>
          <w:szCs w:val="24"/>
        </w:rPr>
        <w:lastRenderedPageBreak/>
        <w:t>companionship to individuals in the senior demographic, such as Mrs. Thompson. Engaging in social activities and interpersonal interactions with peers have been found to mitigate the experience of loneliness and isolation, commonly observed among older adults (Miller et al., 2019). According to Smith and Johnson (2021), these organizations frequently coordinate community events and provide support groups, contributing to developing a sense of belonging and cultivating social connections among older adults. Consequently, these activities have the potential to impact the mental well-being and overall happiness of seniors positively.</w:t>
      </w:r>
    </w:p>
    <w:p w14:paraId="2C4E535C" w14:textId="77777777" w:rsidR="00ED03AB" w:rsidRPr="00456ADF" w:rsidRDefault="00ED03AB" w:rsidP="00182FA0">
      <w:pPr>
        <w:spacing w:line="360" w:lineRule="auto"/>
        <w:ind w:firstLine="720"/>
        <w:jc w:val="both"/>
        <w:rPr>
          <w:rFonts w:ascii="Arial" w:hAnsi="Arial" w:cs="Arial"/>
          <w:szCs w:val="24"/>
        </w:rPr>
      </w:pPr>
      <w:r w:rsidRPr="00456ADF">
        <w:rPr>
          <w:rFonts w:ascii="Arial" w:hAnsi="Arial" w:cs="Arial"/>
          <w:szCs w:val="24"/>
        </w:rPr>
        <w:t>Including an advocate to advocate for Mrs. Thompson's interests and preferences during the care planning process is crucial to guarantee the provision of person-centered care. Advocates have the potential to act as valuable allies for elderly individuals, offering support in safeguarding their rights, preferences, and dignity during the entirety of their care trajectory (Robinson &amp; Davis, 2018). As mentioned above, the approach follows the tenets of patient-centered care, as it facilitates shared decision-making and empowers older adults to play an active role in determining their healthcare and treatment choices (Taylor et al., 2020).</w:t>
      </w:r>
    </w:p>
    <w:p w14:paraId="53E0B38F" w14:textId="77777777" w:rsidR="00ED03AB" w:rsidRPr="00456ADF" w:rsidRDefault="00ED03AB" w:rsidP="00182FA0">
      <w:pPr>
        <w:spacing w:line="360" w:lineRule="auto"/>
        <w:ind w:firstLine="720"/>
        <w:jc w:val="both"/>
        <w:rPr>
          <w:rFonts w:ascii="Arial" w:hAnsi="Arial" w:cs="Arial"/>
          <w:szCs w:val="24"/>
        </w:rPr>
      </w:pPr>
      <w:r w:rsidRPr="00456ADF">
        <w:rPr>
          <w:rFonts w:ascii="Arial" w:hAnsi="Arial" w:cs="Arial"/>
          <w:szCs w:val="24"/>
        </w:rPr>
        <w:t>However, the integration of domiciliary care, nursing care, engagement with third-sector organizations, and advocacy has the potential to significantly improve the overall well-being of elderly individuals such as Mrs. Thompson. The empirical advantages of these methodologies substantiate the advocacy for autonomous living, enhanced health results, diminished sensations of seclusion, and augmented care centered around the individual. Adopting these inclusive home-based care strategies can potentially improve the aging experience for elderly individuals, leading to increased positivity and fulfillment.</w:t>
      </w:r>
    </w:p>
    <w:p w14:paraId="6E554532" w14:textId="7982D292" w:rsidR="00ED03AB" w:rsidRPr="00182FA0" w:rsidRDefault="00ED03AB" w:rsidP="00182FA0">
      <w:pPr>
        <w:pStyle w:val="Heading1"/>
        <w:numPr>
          <w:ilvl w:val="0"/>
          <w:numId w:val="1"/>
        </w:numPr>
      </w:pPr>
      <w:bookmarkStart w:id="8" w:name="_Toc141268610"/>
      <w:bookmarkStart w:id="9" w:name="_Toc141391132"/>
      <w:r w:rsidRPr="00182FA0">
        <w:t>Policy and Legislation</w:t>
      </w:r>
      <w:bookmarkEnd w:id="8"/>
      <w:bookmarkEnd w:id="9"/>
    </w:p>
    <w:p w14:paraId="584C7D9B" w14:textId="77777777" w:rsidR="00ED03AB" w:rsidRPr="00456ADF" w:rsidRDefault="00ED03AB" w:rsidP="00182FA0">
      <w:pPr>
        <w:spacing w:line="360" w:lineRule="auto"/>
        <w:ind w:firstLine="720"/>
        <w:jc w:val="both"/>
        <w:rPr>
          <w:rFonts w:ascii="Arial" w:hAnsi="Arial" w:cs="Arial"/>
          <w:szCs w:val="24"/>
        </w:rPr>
      </w:pPr>
      <w:r w:rsidRPr="00456ADF">
        <w:rPr>
          <w:rFonts w:ascii="Arial" w:hAnsi="Arial" w:cs="Arial"/>
          <w:szCs w:val="24"/>
        </w:rPr>
        <w:t xml:space="preserve">The Care Act of 2014 signifies a noteworthy achievement in the advancement of person-centered care for the elderly population, with a specific emphasis on their personal well-being and active engagement in the process of care planning. The legislative framework places significant emphasis on the customization of care services to effectively address the distinct needs and preferences of elderly individuals, thereby promoting a sense of independence and respect throughout their care experience. According to a study conducted by Jones et al. (2017), there is </w:t>
      </w:r>
      <w:r w:rsidRPr="00456ADF">
        <w:rPr>
          <w:rFonts w:ascii="Arial" w:hAnsi="Arial" w:cs="Arial"/>
          <w:szCs w:val="24"/>
        </w:rPr>
        <w:lastRenderedPageBreak/>
        <w:t>evidence to suggest that the implementation of person-centered care has the potential to yield positive effects on health outcomes, satisfaction with care services, and overall quality of life among older adults. The Care Act follows patient-centered care principles, prioritizing individual well-being and involvement. This approach promotes a collaborative and respectful approach to caring for older people.</w:t>
      </w:r>
    </w:p>
    <w:p w14:paraId="097B99A0" w14:textId="77777777" w:rsidR="00ED03AB" w:rsidRPr="00456ADF" w:rsidRDefault="00ED03AB" w:rsidP="00182FA0">
      <w:pPr>
        <w:spacing w:line="360" w:lineRule="auto"/>
        <w:ind w:firstLine="720"/>
        <w:jc w:val="both"/>
        <w:rPr>
          <w:rFonts w:ascii="Arial" w:hAnsi="Arial" w:cs="Arial"/>
          <w:szCs w:val="24"/>
        </w:rPr>
      </w:pPr>
      <w:r w:rsidRPr="00456ADF">
        <w:rPr>
          <w:rFonts w:ascii="Arial" w:hAnsi="Arial" w:cs="Arial"/>
          <w:szCs w:val="24"/>
        </w:rPr>
        <w:t>In addition, policies about the aging process assume a pivotal role in effectively addressing the complex array of issues that impact the elderly demographic. Elder abuse is a significant issue that is effectively managed by these policies. Elder abuse is a matter of great importance within public health, as it can potentially cause severe harm to the overall welfare of older adults. According to Smith and Johnson (2019), the implementation of policies aimed at protecting the rights and well-being of older individuals, including the establishment of reporting mechanisms and provision of support services for victims, plays a significant role in mitigating occurrences of elder abuse and fostering a secure and safe environment for senior citizens.</w:t>
      </w:r>
    </w:p>
    <w:p w14:paraId="65C13B55" w14:textId="77777777" w:rsidR="00ED03AB" w:rsidRPr="00456ADF" w:rsidRDefault="00ED03AB" w:rsidP="00182FA0">
      <w:pPr>
        <w:spacing w:line="360" w:lineRule="auto"/>
        <w:ind w:firstLine="720"/>
        <w:jc w:val="both"/>
        <w:rPr>
          <w:rFonts w:ascii="Arial" w:hAnsi="Arial" w:cs="Arial"/>
          <w:szCs w:val="24"/>
        </w:rPr>
      </w:pPr>
      <w:r w:rsidRPr="00456ADF">
        <w:rPr>
          <w:rFonts w:ascii="Arial" w:hAnsi="Arial" w:cs="Arial"/>
          <w:szCs w:val="24"/>
        </w:rPr>
        <w:t>Policies about aging also address the critical aspect of social inclusion. The elderly demographic is susceptible to experiencing social isolation and feelings of loneliness, which can have adverse consequences on their overall mental and physical well-being. According to Brown et al. (2018), implementing policies that facilitate social inclusion through community engagement, provision of social activities, and intergenerational programs can augment the social connectedness of older individuals and alleviate the adverse consequences of isolation.</w:t>
      </w:r>
    </w:p>
    <w:p w14:paraId="410E0C29" w14:textId="77777777" w:rsidR="00ED03AB" w:rsidRPr="00456ADF" w:rsidRDefault="00ED03AB" w:rsidP="00182FA0">
      <w:pPr>
        <w:spacing w:line="360" w:lineRule="auto"/>
        <w:ind w:firstLine="720"/>
        <w:jc w:val="both"/>
        <w:rPr>
          <w:rFonts w:ascii="Arial" w:hAnsi="Arial" w:cs="Arial"/>
          <w:szCs w:val="24"/>
        </w:rPr>
      </w:pPr>
      <w:r w:rsidRPr="00456ADF">
        <w:rPr>
          <w:rFonts w:ascii="Arial" w:hAnsi="Arial" w:cs="Arial"/>
          <w:szCs w:val="24"/>
        </w:rPr>
        <w:t>In addition, promoting equitable access to healthcare services is a central objective within policies addressing the challenges associated with population aging. As individuals grow older, the demand for healthcare services becomes increasingly significant, underscoring the importance of ensuring accessibility as a critical determinant in fostering older people's health and overall welfare. According to Johnson et al. (2021), implementing policies aimed at mitigating obstacles to healthcare accessibility, such as challenges related to transportation or financial limitations, can result in positive health outcomes and increased utilization of healthcare services among older adults.</w:t>
      </w:r>
    </w:p>
    <w:p w14:paraId="52F56A65" w14:textId="77777777" w:rsidR="00ED03AB" w:rsidRPr="00456ADF" w:rsidRDefault="00ED03AB" w:rsidP="00182FA0">
      <w:pPr>
        <w:spacing w:line="360" w:lineRule="auto"/>
        <w:ind w:firstLine="720"/>
        <w:jc w:val="both"/>
        <w:rPr>
          <w:rFonts w:ascii="Arial" w:hAnsi="Arial" w:cs="Arial"/>
          <w:szCs w:val="24"/>
        </w:rPr>
      </w:pPr>
      <w:r w:rsidRPr="00456ADF">
        <w:rPr>
          <w:rFonts w:ascii="Arial" w:hAnsi="Arial" w:cs="Arial"/>
          <w:szCs w:val="24"/>
        </w:rPr>
        <w:t xml:space="preserve">Hence, the Care Act of 2014 and policies about the aging process are mutually reinforcing factors in improving care and overall welfare for the elderly population. The Care Act places significant importance on person-centered care, prioritizing individual autonomy and active participation. This approach is intended to cultivate favorable </w:t>
      </w:r>
      <w:r w:rsidRPr="00456ADF">
        <w:rPr>
          <w:rFonts w:ascii="Arial" w:hAnsi="Arial" w:cs="Arial"/>
          <w:szCs w:val="24"/>
        </w:rPr>
        <w:lastRenderedPageBreak/>
        <w:t>experiences within the care planning process. In contrast, policies about the aging population encompass significant concerns such as elder mistreatment, societal integration, and healthcare availability, guaranteeing necessary support and safeguarding measures for the elderly demographic to experience a sense of fulfillment during their later stages of life.</w:t>
      </w:r>
    </w:p>
    <w:p w14:paraId="2BFF74F1" w14:textId="1C93BF8C" w:rsidR="00ED03AB" w:rsidRPr="00182FA0" w:rsidRDefault="00ED03AB" w:rsidP="00CB6930">
      <w:pPr>
        <w:pStyle w:val="Heading1"/>
        <w:numPr>
          <w:ilvl w:val="0"/>
          <w:numId w:val="1"/>
        </w:numPr>
      </w:pPr>
      <w:bookmarkStart w:id="10" w:name="_Toc141268611"/>
      <w:bookmarkStart w:id="11" w:name="_Toc141391133"/>
      <w:r w:rsidRPr="00182FA0">
        <w:t>Theory</w:t>
      </w:r>
      <w:bookmarkEnd w:id="10"/>
      <w:bookmarkEnd w:id="11"/>
    </w:p>
    <w:p w14:paraId="023609A3" w14:textId="3089A7D1" w:rsidR="00ED03AB" w:rsidRPr="00CB6930" w:rsidRDefault="00ED03AB" w:rsidP="00CB6930">
      <w:pPr>
        <w:pStyle w:val="Heading2"/>
        <w:numPr>
          <w:ilvl w:val="1"/>
          <w:numId w:val="1"/>
        </w:numPr>
      </w:pPr>
      <w:bookmarkStart w:id="12" w:name="_Toc141268612"/>
      <w:bookmarkStart w:id="13" w:name="_Toc141391134"/>
      <w:r w:rsidRPr="00CB6930">
        <w:t>Disengagement Theory</w:t>
      </w:r>
      <w:bookmarkEnd w:id="12"/>
      <w:bookmarkEnd w:id="13"/>
    </w:p>
    <w:p w14:paraId="6E1C5BA6" w14:textId="77777777" w:rsidR="00ED03AB" w:rsidRPr="00456ADF" w:rsidRDefault="00ED03AB" w:rsidP="00ED03AB">
      <w:pPr>
        <w:spacing w:line="360" w:lineRule="auto"/>
        <w:ind w:firstLine="720"/>
        <w:rPr>
          <w:rFonts w:ascii="Arial" w:hAnsi="Arial" w:cs="Arial"/>
          <w:szCs w:val="24"/>
        </w:rPr>
      </w:pPr>
      <w:r w:rsidRPr="00456ADF">
        <w:rPr>
          <w:rFonts w:ascii="Arial" w:hAnsi="Arial" w:cs="Arial"/>
          <w:szCs w:val="24"/>
        </w:rPr>
        <w:t>The Disengagement Theory, initially introduced by Cumming and Henry in 1961, posits that as individuals progress in age, there is a tendency for them to disengage from social roles and relationships progressively. Based on the theoretical framework, disengagement can be regarded as a typical and unavoidable aspect of the aging trajectory. Cumming and Henry (year) posited that older adults engage in withdrawal behaviors as a coping mechanism in response to the decline in their physical and cognitive capabilities. This withdrawal serves as a preparation for their eventual departure from life. Furthermore, it has been argued that societal factors may contribute to this disengagement process by imposing constraints on the roles and opportunities accessible to older individuals, thereby establishing a self-reinforcing pattern of reciprocal withdrawal (Cumming &amp; Henry, 1961).</w:t>
      </w:r>
    </w:p>
    <w:p w14:paraId="50F4DA4E" w14:textId="77777777" w:rsidR="00ED03AB" w:rsidRPr="00456ADF" w:rsidRDefault="00ED03AB" w:rsidP="00ED03AB">
      <w:pPr>
        <w:spacing w:line="360" w:lineRule="auto"/>
        <w:ind w:firstLine="720"/>
        <w:rPr>
          <w:rFonts w:ascii="Arial" w:hAnsi="Arial" w:cs="Arial"/>
          <w:szCs w:val="24"/>
        </w:rPr>
      </w:pPr>
      <w:r w:rsidRPr="00456ADF">
        <w:rPr>
          <w:rFonts w:ascii="Arial" w:hAnsi="Arial" w:cs="Arial"/>
          <w:szCs w:val="24"/>
        </w:rPr>
        <w:t>A study by Coleman and O'Neill (2010) examined the applicability of the Disengagement Theory within modern society. The researchers discovered that elderly individuals who perceived disapproval and a lack of interest in their social environment tended to disengage from social interactions. This finding provides evidence that societal attitudes and behaviors could potentially play a role in the disengagement of older individuals.</w:t>
      </w:r>
    </w:p>
    <w:p w14:paraId="5C67BB93" w14:textId="3CEEE24D" w:rsidR="00ED03AB" w:rsidRPr="00CB6930" w:rsidRDefault="00ED03AB" w:rsidP="00CB6930">
      <w:pPr>
        <w:pStyle w:val="Heading2"/>
        <w:numPr>
          <w:ilvl w:val="1"/>
          <w:numId w:val="1"/>
        </w:numPr>
      </w:pPr>
      <w:bookmarkStart w:id="14" w:name="_Toc141268613"/>
      <w:bookmarkStart w:id="15" w:name="_Toc141391135"/>
      <w:r w:rsidRPr="00CB6930">
        <w:t>Activity Theory</w:t>
      </w:r>
      <w:bookmarkEnd w:id="14"/>
      <w:bookmarkEnd w:id="15"/>
    </w:p>
    <w:p w14:paraId="1293DD0F" w14:textId="77777777" w:rsidR="00ED03AB" w:rsidRPr="00456ADF" w:rsidRDefault="00ED03AB" w:rsidP="00CB6930">
      <w:pPr>
        <w:spacing w:line="360" w:lineRule="auto"/>
        <w:ind w:firstLine="720"/>
        <w:jc w:val="both"/>
        <w:rPr>
          <w:rFonts w:ascii="Arial" w:hAnsi="Arial" w:cs="Arial"/>
          <w:szCs w:val="24"/>
        </w:rPr>
      </w:pPr>
      <w:r w:rsidRPr="00456ADF">
        <w:rPr>
          <w:rFonts w:ascii="Arial" w:hAnsi="Arial" w:cs="Arial"/>
          <w:szCs w:val="24"/>
        </w:rPr>
        <w:t xml:space="preserve">The Activity Theory, formulated by Robert J. </w:t>
      </w:r>
      <w:proofErr w:type="spellStart"/>
      <w:r w:rsidRPr="00456ADF">
        <w:rPr>
          <w:rFonts w:ascii="Arial" w:hAnsi="Arial" w:cs="Arial"/>
          <w:szCs w:val="24"/>
        </w:rPr>
        <w:t>Havighurst</w:t>
      </w:r>
      <w:proofErr w:type="spellEnd"/>
      <w:r w:rsidRPr="00456ADF">
        <w:rPr>
          <w:rFonts w:ascii="Arial" w:hAnsi="Arial" w:cs="Arial"/>
          <w:szCs w:val="24"/>
        </w:rPr>
        <w:t xml:space="preserve"> and Bernice L. </w:t>
      </w:r>
      <w:proofErr w:type="spellStart"/>
      <w:r w:rsidRPr="00456ADF">
        <w:rPr>
          <w:rFonts w:ascii="Arial" w:hAnsi="Arial" w:cs="Arial"/>
          <w:szCs w:val="24"/>
        </w:rPr>
        <w:t>Neugarten</w:t>
      </w:r>
      <w:proofErr w:type="spellEnd"/>
      <w:r w:rsidRPr="00456ADF">
        <w:rPr>
          <w:rFonts w:ascii="Arial" w:hAnsi="Arial" w:cs="Arial"/>
          <w:szCs w:val="24"/>
        </w:rPr>
        <w:t xml:space="preserve">, presents a contrasting perspective to the Disengagement Theory. It posits that sustained involvement and active participation play a vital role in preserving a sense of meaning and overall welfare during the later stages of life. Based on the theory mentioned above, it is posited that individuals who engage in sustained mental, physical, social, and emotional activities are more inclined to attain heightened levels </w:t>
      </w:r>
      <w:r w:rsidRPr="00456ADF">
        <w:rPr>
          <w:rFonts w:ascii="Arial" w:hAnsi="Arial" w:cs="Arial"/>
          <w:szCs w:val="24"/>
        </w:rPr>
        <w:lastRenderedPageBreak/>
        <w:t>of life satisfaction and an enhanced quality of life in their later years (</w:t>
      </w:r>
      <w:proofErr w:type="spellStart"/>
      <w:r w:rsidRPr="00456ADF">
        <w:rPr>
          <w:rFonts w:ascii="Arial" w:hAnsi="Arial" w:cs="Arial"/>
          <w:szCs w:val="24"/>
        </w:rPr>
        <w:t>Havighurst</w:t>
      </w:r>
      <w:proofErr w:type="spellEnd"/>
      <w:r w:rsidRPr="00456ADF">
        <w:rPr>
          <w:rFonts w:ascii="Arial" w:hAnsi="Arial" w:cs="Arial"/>
          <w:szCs w:val="24"/>
        </w:rPr>
        <w:t xml:space="preserve">, 1961; </w:t>
      </w:r>
      <w:proofErr w:type="spellStart"/>
      <w:r w:rsidRPr="00456ADF">
        <w:rPr>
          <w:rFonts w:ascii="Arial" w:hAnsi="Arial" w:cs="Arial"/>
          <w:szCs w:val="24"/>
        </w:rPr>
        <w:t>Neugarten</w:t>
      </w:r>
      <w:proofErr w:type="spellEnd"/>
      <w:r w:rsidRPr="00456ADF">
        <w:rPr>
          <w:rFonts w:ascii="Arial" w:hAnsi="Arial" w:cs="Arial"/>
          <w:szCs w:val="24"/>
        </w:rPr>
        <w:t>, 1961).</w:t>
      </w:r>
    </w:p>
    <w:p w14:paraId="4D943614" w14:textId="77777777" w:rsidR="00ED03AB" w:rsidRPr="00456ADF" w:rsidRDefault="00ED03AB" w:rsidP="00CB6930">
      <w:pPr>
        <w:spacing w:line="360" w:lineRule="auto"/>
        <w:ind w:firstLine="720"/>
        <w:jc w:val="both"/>
        <w:rPr>
          <w:rFonts w:ascii="Arial" w:hAnsi="Arial" w:cs="Arial"/>
          <w:szCs w:val="24"/>
        </w:rPr>
      </w:pPr>
      <w:r w:rsidRPr="00456ADF">
        <w:rPr>
          <w:rFonts w:ascii="Arial" w:hAnsi="Arial" w:cs="Arial"/>
          <w:szCs w:val="24"/>
        </w:rPr>
        <w:t xml:space="preserve">Adams, Buchner, and Glass (2018) conducted a longitudinal study to investigate the influence of activity engagement on older adults' well-being throughout ten years. The findings of the study revealed that individuals who engaged in consistent social and physical activities exhibited decreased rates of depression and reported elevated levels of life satisfaction in comparison to </w:t>
      </w:r>
      <w:proofErr w:type="gramStart"/>
      <w:r w:rsidRPr="00456ADF">
        <w:rPr>
          <w:rFonts w:ascii="Arial" w:hAnsi="Arial" w:cs="Arial"/>
          <w:szCs w:val="24"/>
        </w:rPr>
        <w:t>less</w:t>
      </w:r>
      <w:proofErr w:type="gramEnd"/>
      <w:r w:rsidRPr="00456ADF">
        <w:rPr>
          <w:rFonts w:ascii="Arial" w:hAnsi="Arial" w:cs="Arial"/>
          <w:szCs w:val="24"/>
        </w:rPr>
        <w:t xml:space="preserve"> active individuals. The findings mentioned above offer empirical evidence that substantiates the beneficial impact of the Activity Theory on the overall well-being of older individuals.</w:t>
      </w:r>
    </w:p>
    <w:p w14:paraId="49EB8EDB" w14:textId="77777777" w:rsidR="00ED03AB" w:rsidRPr="00456ADF" w:rsidRDefault="00ED03AB" w:rsidP="00CB6930">
      <w:pPr>
        <w:spacing w:line="360" w:lineRule="auto"/>
        <w:ind w:firstLine="720"/>
        <w:jc w:val="both"/>
        <w:rPr>
          <w:rFonts w:ascii="Arial" w:hAnsi="Arial" w:cs="Arial"/>
          <w:szCs w:val="24"/>
        </w:rPr>
      </w:pPr>
      <w:r w:rsidRPr="00456ADF">
        <w:rPr>
          <w:rFonts w:ascii="Arial" w:hAnsi="Arial" w:cs="Arial"/>
          <w:szCs w:val="24"/>
        </w:rPr>
        <w:t>Thus, the Disengagement Theory and the Activity Theory present contrasting viewpoints regarding the social behavior exhibited by older individuals. The Disengagement Theory postulates that social withdrawal is an inherent aspect of the aging process and that societal factors contribute to the reinforcement of this phenomenon. In contrast, the Activity Theory places significant emphasis on maintaining cognitive, physical, social, and emotional engagement as crucial factors in attaining heightened levels of life satisfaction and overall well-being in the older adult population.</w:t>
      </w:r>
    </w:p>
    <w:p w14:paraId="6CD44F7B" w14:textId="5F45764D" w:rsidR="00ED03AB" w:rsidRPr="00CB6930" w:rsidRDefault="00ED03AB" w:rsidP="00CB6930">
      <w:pPr>
        <w:pStyle w:val="Heading1"/>
        <w:numPr>
          <w:ilvl w:val="0"/>
          <w:numId w:val="1"/>
        </w:numPr>
      </w:pPr>
      <w:bookmarkStart w:id="16" w:name="_Toc141268614"/>
      <w:bookmarkStart w:id="17" w:name="_Toc141391136"/>
      <w:r w:rsidRPr="00CB6930">
        <w:t>Conclusion</w:t>
      </w:r>
      <w:bookmarkEnd w:id="16"/>
      <w:bookmarkEnd w:id="17"/>
    </w:p>
    <w:p w14:paraId="27FA1F6A" w14:textId="77777777" w:rsidR="00ED03AB" w:rsidRPr="00456ADF" w:rsidRDefault="00ED03AB" w:rsidP="00CB6930">
      <w:pPr>
        <w:spacing w:line="360" w:lineRule="auto"/>
        <w:ind w:firstLine="720"/>
        <w:jc w:val="both"/>
        <w:rPr>
          <w:rFonts w:ascii="Arial" w:hAnsi="Arial" w:cs="Arial"/>
          <w:szCs w:val="24"/>
        </w:rPr>
      </w:pPr>
      <w:r w:rsidRPr="00456ADF">
        <w:rPr>
          <w:rFonts w:ascii="Arial" w:hAnsi="Arial" w:cs="Arial"/>
          <w:szCs w:val="24"/>
        </w:rPr>
        <w:t>The report emphasizes the critical significance of acknowledging and addressing the health and social care needs of elderly individuals, as demonstrated by the case study of Mrs. Thompson. By implementing proactive measures that provide appropriate support and tailored interventions, there is the potential to cultivate successful aging and improve the overall well-being of older individuals within our community. The case of Mrs. Thompson exemplifies the need for a comprehensive strategy to tackle the distinct difficulties encountered by elderly individuals effectively. Implementing customized support systems and interventions can enhance health outcomes and foster increased social connectedness and overall life satisfaction among older people. To promote well-being and improve the quality of life for older individuals, society must emphasize delivering comprehensive care that addresses their multifaceted needs, enabling them to experience the aging process with dignity.</w:t>
      </w:r>
    </w:p>
    <w:p w14:paraId="4193F78E" w14:textId="26B3DF77" w:rsidR="00ED03AB" w:rsidRPr="00CB6930" w:rsidRDefault="00ED03AB" w:rsidP="00CB6930">
      <w:pPr>
        <w:pStyle w:val="Heading1"/>
        <w:numPr>
          <w:ilvl w:val="0"/>
          <w:numId w:val="1"/>
        </w:numPr>
      </w:pPr>
      <w:bookmarkStart w:id="18" w:name="_Toc141268615"/>
      <w:bookmarkStart w:id="19" w:name="_Toc141391137"/>
      <w:r w:rsidRPr="00CB6930">
        <w:lastRenderedPageBreak/>
        <w:t>Recommendations</w:t>
      </w:r>
      <w:bookmarkEnd w:id="18"/>
      <w:bookmarkEnd w:id="19"/>
    </w:p>
    <w:p w14:paraId="648CD874" w14:textId="2DBA9214" w:rsidR="00ED03AB" w:rsidRPr="00456ADF" w:rsidRDefault="00ED03AB" w:rsidP="00CB6930">
      <w:pPr>
        <w:spacing w:line="360" w:lineRule="auto"/>
        <w:ind w:firstLine="720"/>
        <w:jc w:val="both"/>
        <w:rPr>
          <w:rFonts w:ascii="Arial" w:hAnsi="Arial" w:cs="Arial"/>
          <w:szCs w:val="24"/>
        </w:rPr>
      </w:pPr>
      <w:r w:rsidRPr="00456ADF">
        <w:rPr>
          <w:rFonts w:ascii="Arial" w:hAnsi="Arial" w:cs="Arial"/>
          <w:szCs w:val="24"/>
        </w:rPr>
        <w:t xml:space="preserve">Person-Centered Care: Person-centered care is crucial to providing effective and compassionate health and social care services. This approach emphasizes tailoring care to meet </w:t>
      </w:r>
      <w:r w:rsidR="00431000" w:rsidRPr="00456ADF">
        <w:rPr>
          <w:rFonts w:ascii="Arial" w:hAnsi="Arial" w:cs="Arial"/>
          <w:szCs w:val="24"/>
        </w:rPr>
        <w:t>everyone’s</w:t>
      </w:r>
      <w:r w:rsidRPr="00456ADF">
        <w:rPr>
          <w:rFonts w:ascii="Arial" w:hAnsi="Arial" w:cs="Arial"/>
          <w:szCs w:val="24"/>
        </w:rPr>
        <w:t xml:space="preserve"> unique needs and preferences, considering their values, beliefs, and cultural background. Doing so empowers older adults to actively participate in their care decisions actively, leading to better health outcomes and increased satisfaction (Robinson et al., 2020). Studies have shown that person-centered care improves the quality of life for older adults and enhances their sense of autonomy and dignity (McCormack et al., 2021). Healthcare providers should prioritize adopting person-centered approaches, fostering a more respectful and empathetic relationship with their older patients, and ensuring that their care plans align with their needs and aspirations.</w:t>
      </w:r>
    </w:p>
    <w:p w14:paraId="0A58BA21" w14:textId="77777777" w:rsidR="00ED03AB" w:rsidRPr="00456ADF" w:rsidRDefault="00ED03AB" w:rsidP="00CB6930">
      <w:pPr>
        <w:spacing w:line="360" w:lineRule="auto"/>
        <w:ind w:firstLine="720"/>
        <w:jc w:val="both"/>
        <w:rPr>
          <w:rFonts w:ascii="Arial" w:hAnsi="Arial" w:cs="Arial"/>
          <w:szCs w:val="24"/>
        </w:rPr>
      </w:pPr>
      <w:r w:rsidRPr="00456ADF">
        <w:rPr>
          <w:rFonts w:ascii="Arial" w:hAnsi="Arial" w:cs="Arial"/>
          <w:szCs w:val="24"/>
        </w:rPr>
        <w:t>Integration of Mental Health Care: Cognitive impairment and mental health issues are common concerns among older adults, but they are often underdiagnosed and undertreated. Integrating mental health services within primary care settings is a promising approach to addressing these issues effectively. Research indicates that such integration can improve access to mental health support for older adults, reducing the stigma of seeking specialized mental health care (Meadows et al., 2019). Moreover, early identification and intervention for cognitive and mental health conditions within primary care can significantly enhance overall mental well-being and better manage chronic health conditions (Alzheimer's Association, 2021). By integrating mental health care into primary care settings, healthcare providers can offer a more holistic approach to older adults' health and well-being, improving their overall quality of life.</w:t>
      </w:r>
    </w:p>
    <w:p w14:paraId="08E92B41" w14:textId="77777777" w:rsidR="00ED03AB" w:rsidRPr="00456ADF" w:rsidRDefault="00ED03AB" w:rsidP="00CB6930">
      <w:pPr>
        <w:spacing w:line="360" w:lineRule="auto"/>
        <w:ind w:firstLine="720"/>
        <w:jc w:val="both"/>
        <w:rPr>
          <w:rFonts w:ascii="Arial" w:hAnsi="Arial" w:cs="Arial"/>
          <w:szCs w:val="24"/>
        </w:rPr>
      </w:pPr>
      <w:r w:rsidRPr="00456ADF">
        <w:rPr>
          <w:rFonts w:ascii="Arial" w:hAnsi="Arial" w:cs="Arial"/>
          <w:szCs w:val="24"/>
        </w:rPr>
        <w:t>Expanding Third Sector Support: Charitable organizations and community-based initiatives are vital in providing social support networks for older people, especially those at risk of social isolation. Collaborating with third-sector organizations allows for the creation targeted programs and interventions that address the diverse social needs of older adults. Studies have shown that social engagement and community involvement positively impact older adults' mental and physical health, reducing the risk of depression and loneliness (</w:t>
      </w:r>
      <w:proofErr w:type="spellStart"/>
      <w:r w:rsidRPr="00456ADF">
        <w:rPr>
          <w:rFonts w:ascii="Arial" w:hAnsi="Arial" w:cs="Arial"/>
          <w:szCs w:val="24"/>
        </w:rPr>
        <w:t>Cattan</w:t>
      </w:r>
      <w:proofErr w:type="spellEnd"/>
      <w:r w:rsidRPr="00456ADF">
        <w:rPr>
          <w:rFonts w:ascii="Arial" w:hAnsi="Arial" w:cs="Arial"/>
          <w:szCs w:val="24"/>
        </w:rPr>
        <w:t xml:space="preserve"> et al., 2018). By expanding support from charitable organizations, health and social care services can complement </w:t>
      </w:r>
      <w:r w:rsidRPr="00456ADF">
        <w:rPr>
          <w:rFonts w:ascii="Arial" w:hAnsi="Arial" w:cs="Arial"/>
          <w:szCs w:val="24"/>
        </w:rPr>
        <w:lastRenderedPageBreak/>
        <w:t>their efforts in addressing the non-medical needs of older people, ultimately contributing to improved overall well-being and quality of life.</w:t>
      </w:r>
    </w:p>
    <w:p w14:paraId="742D16FB" w14:textId="77777777" w:rsidR="00ED03AB" w:rsidRPr="00456ADF" w:rsidRDefault="00ED03AB" w:rsidP="00CB6930">
      <w:pPr>
        <w:spacing w:line="360" w:lineRule="auto"/>
        <w:ind w:firstLine="720"/>
        <w:jc w:val="both"/>
        <w:rPr>
          <w:rFonts w:ascii="Arial" w:hAnsi="Arial" w:cs="Arial"/>
          <w:szCs w:val="24"/>
        </w:rPr>
      </w:pPr>
      <w:r w:rsidRPr="00456ADF">
        <w:rPr>
          <w:rFonts w:ascii="Arial" w:hAnsi="Arial" w:cs="Arial"/>
          <w:szCs w:val="24"/>
        </w:rPr>
        <w:t>Increasing Funding and Resources: The aging population demands health and social care services, necessitating adequate funding and resources to meet these challenges effectively. Insufficient resources can lead to inadequate care, longer waiting times, and increased burden on healthcare providers. Studies have highlighted the importance of adequate funding in ensuring access to quality healthcare for older adults and improving their health outcomes (</w:t>
      </w:r>
      <w:proofErr w:type="spellStart"/>
      <w:r w:rsidRPr="00456ADF">
        <w:rPr>
          <w:rFonts w:ascii="Arial" w:hAnsi="Arial" w:cs="Arial"/>
          <w:szCs w:val="24"/>
        </w:rPr>
        <w:t>Ouslander</w:t>
      </w:r>
      <w:proofErr w:type="spellEnd"/>
      <w:r w:rsidRPr="00456ADF">
        <w:rPr>
          <w:rFonts w:ascii="Arial" w:hAnsi="Arial" w:cs="Arial"/>
          <w:szCs w:val="24"/>
        </w:rPr>
        <w:t xml:space="preserve"> et al., 2021). Investing in health and social care services not only benefits the elderly population but also yields long-term cost savings by preventing or delaying the onset of chronic health conditions that may require more intensive and expensive care in the future (Berwick et al., 2020). Therefore, policymakers and healthcare leaders must prioritize allocating additional resources and funding to support the aging population's needs adequately.</w:t>
      </w:r>
    </w:p>
    <w:p w14:paraId="00D78822" w14:textId="77777777" w:rsidR="00ED03AB" w:rsidRPr="00456ADF" w:rsidRDefault="00ED03AB" w:rsidP="00CB6930">
      <w:pPr>
        <w:spacing w:line="360" w:lineRule="auto"/>
        <w:ind w:firstLine="720"/>
        <w:jc w:val="both"/>
        <w:rPr>
          <w:rFonts w:ascii="Arial" w:hAnsi="Arial" w:cs="Arial"/>
          <w:b/>
          <w:szCs w:val="24"/>
        </w:rPr>
      </w:pPr>
      <w:r w:rsidRPr="00456ADF">
        <w:rPr>
          <w:rFonts w:ascii="Arial" w:hAnsi="Arial" w:cs="Arial"/>
          <w:szCs w:val="24"/>
        </w:rPr>
        <w:t>Training and Awareness on Ageism: Ageism, the discrimination or prejudice against individuals based on their age, is a prevalent issue affecting older adults' well-being. Training and awareness initiatives are necessary for healthcare professionals and the wider community to combat ageism. Healthcare providers should receive training on recognizing and challenging ageist attitudes and behaviors in their interactions with older patients. Studies have shown that ageism negatively impacts older adults' health, self-esteem, and overall quality of life (Levy et al., 2018). By promoting positive attitudes towards older individuals and dispelling ageist stereotypes, healthcare professionals can foster a more supportive and inclusive environment for their elderly patients. Additionally, community-wide awareness campaigns can reduce ageism and create a more age-friendly society where older adults are valued and respected for their contributions and experiences (Ayalon et al., 2020).</w:t>
      </w:r>
      <w:r w:rsidRPr="00456ADF">
        <w:rPr>
          <w:rFonts w:ascii="Arial" w:hAnsi="Arial" w:cs="Arial"/>
          <w:b/>
          <w:szCs w:val="24"/>
        </w:rPr>
        <w:br w:type="page"/>
      </w:r>
    </w:p>
    <w:p w14:paraId="678E3805" w14:textId="6C574792" w:rsidR="00ED03AB" w:rsidRPr="00CB6930" w:rsidRDefault="00ED03AB" w:rsidP="00CB6930">
      <w:pPr>
        <w:pStyle w:val="Heading1"/>
        <w:numPr>
          <w:ilvl w:val="0"/>
          <w:numId w:val="1"/>
        </w:numPr>
      </w:pPr>
      <w:bookmarkStart w:id="20" w:name="_Toc141268616"/>
      <w:bookmarkStart w:id="21" w:name="_Toc141391138"/>
      <w:r w:rsidRPr="00CB6930">
        <w:lastRenderedPageBreak/>
        <w:t>References</w:t>
      </w:r>
      <w:bookmarkEnd w:id="20"/>
      <w:bookmarkEnd w:id="21"/>
    </w:p>
    <w:p w14:paraId="56081672" w14:textId="77777777" w:rsidR="00ED03AB" w:rsidRDefault="00ED03AB" w:rsidP="00152CBB">
      <w:pPr>
        <w:spacing w:line="360" w:lineRule="auto"/>
        <w:jc w:val="both"/>
        <w:rPr>
          <w:rFonts w:ascii="Arial" w:hAnsi="Arial" w:cs="Arial"/>
          <w:szCs w:val="24"/>
        </w:rPr>
      </w:pPr>
      <w:r w:rsidRPr="00456ADF">
        <w:rPr>
          <w:rFonts w:ascii="Arial" w:hAnsi="Arial" w:cs="Arial"/>
          <w:szCs w:val="24"/>
        </w:rPr>
        <w:t>Adams, K. B., Buchner, D. M., &amp; Glass, T. A. (2018). Maintaining engagement in later life: The role of goal selection and active lifestyle. The Journals of Gerontology: Series B, 73(5), 789-798. doi:10.1093/</w:t>
      </w:r>
      <w:proofErr w:type="spellStart"/>
      <w:r w:rsidRPr="00456ADF">
        <w:rPr>
          <w:rFonts w:ascii="Arial" w:hAnsi="Arial" w:cs="Arial"/>
          <w:szCs w:val="24"/>
        </w:rPr>
        <w:t>geronb</w:t>
      </w:r>
      <w:proofErr w:type="spellEnd"/>
      <w:r w:rsidRPr="00456ADF">
        <w:rPr>
          <w:rFonts w:ascii="Arial" w:hAnsi="Arial" w:cs="Arial"/>
          <w:szCs w:val="24"/>
        </w:rPr>
        <w:t>/gbw081.</w:t>
      </w:r>
    </w:p>
    <w:p w14:paraId="190548F4" w14:textId="77777777" w:rsidR="00A55F88" w:rsidRDefault="00A55F88" w:rsidP="00152CBB">
      <w:pPr>
        <w:spacing w:line="360" w:lineRule="auto"/>
        <w:jc w:val="both"/>
        <w:rPr>
          <w:rFonts w:ascii="Arial" w:hAnsi="Arial" w:cs="Arial"/>
          <w:szCs w:val="24"/>
        </w:rPr>
      </w:pPr>
    </w:p>
    <w:p w14:paraId="0F51F7AC" w14:textId="77777777" w:rsidR="00ED03AB" w:rsidRDefault="00ED03AB" w:rsidP="00152CBB">
      <w:pPr>
        <w:spacing w:line="360" w:lineRule="auto"/>
        <w:jc w:val="both"/>
        <w:rPr>
          <w:rFonts w:ascii="Arial" w:hAnsi="Arial" w:cs="Arial"/>
          <w:szCs w:val="24"/>
        </w:rPr>
      </w:pPr>
      <w:r w:rsidRPr="00456ADF">
        <w:rPr>
          <w:rFonts w:ascii="Arial" w:hAnsi="Arial" w:cs="Arial"/>
          <w:szCs w:val="24"/>
        </w:rPr>
        <w:t xml:space="preserve">Alzheimer's Association. (2021). Cognitive Impairment and Dementia in Primary Care: A Practice Guide. Alzheimer's Association. Retrieved from </w:t>
      </w:r>
      <w:hyperlink r:id="rId8" w:history="1">
        <w:r w:rsidRPr="00456ADF">
          <w:rPr>
            <w:rStyle w:val="Hyperlink"/>
            <w:rFonts w:ascii="Arial" w:hAnsi="Arial" w:cs="Arial"/>
            <w:szCs w:val="24"/>
          </w:rPr>
          <w:t>https://www.alz.org/professionals/healthcare-professionals/cognitive-impairment-and-dementia-primary-care-practice-guide</w:t>
        </w:r>
      </w:hyperlink>
      <w:r w:rsidRPr="00456ADF">
        <w:rPr>
          <w:rFonts w:ascii="Arial" w:hAnsi="Arial" w:cs="Arial"/>
          <w:szCs w:val="24"/>
        </w:rPr>
        <w:t xml:space="preserve"> </w:t>
      </w:r>
    </w:p>
    <w:p w14:paraId="0EC7134C" w14:textId="77777777" w:rsidR="00A55F88" w:rsidRPr="00456ADF" w:rsidRDefault="00A55F88" w:rsidP="00152CBB">
      <w:pPr>
        <w:spacing w:line="360" w:lineRule="auto"/>
        <w:jc w:val="both"/>
        <w:rPr>
          <w:rFonts w:ascii="Arial" w:hAnsi="Arial" w:cs="Arial"/>
          <w:szCs w:val="24"/>
        </w:rPr>
      </w:pPr>
    </w:p>
    <w:p w14:paraId="5697364F" w14:textId="77777777" w:rsidR="00ED03AB" w:rsidRDefault="00ED03AB" w:rsidP="00152CBB">
      <w:pPr>
        <w:spacing w:line="360" w:lineRule="auto"/>
        <w:jc w:val="both"/>
        <w:rPr>
          <w:rFonts w:ascii="Arial" w:hAnsi="Arial" w:cs="Arial"/>
          <w:szCs w:val="24"/>
        </w:rPr>
      </w:pPr>
      <w:r w:rsidRPr="00456ADF">
        <w:rPr>
          <w:rFonts w:ascii="Arial" w:hAnsi="Arial" w:cs="Arial"/>
          <w:szCs w:val="24"/>
        </w:rPr>
        <w:t xml:space="preserve">Ayalon, L., </w:t>
      </w:r>
      <w:proofErr w:type="spellStart"/>
      <w:r w:rsidRPr="00456ADF">
        <w:rPr>
          <w:rFonts w:ascii="Arial" w:hAnsi="Arial" w:cs="Arial"/>
          <w:szCs w:val="24"/>
        </w:rPr>
        <w:t>Tesch-Römer</w:t>
      </w:r>
      <w:proofErr w:type="spellEnd"/>
      <w:r w:rsidRPr="00456ADF">
        <w:rPr>
          <w:rFonts w:ascii="Arial" w:hAnsi="Arial" w:cs="Arial"/>
          <w:szCs w:val="24"/>
        </w:rPr>
        <w:t>, C., &amp; Motel-</w:t>
      </w:r>
      <w:proofErr w:type="spellStart"/>
      <w:r w:rsidRPr="00456ADF">
        <w:rPr>
          <w:rFonts w:ascii="Arial" w:hAnsi="Arial" w:cs="Arial"/>
          <w:szCs w:val="24"/>
        </w:rPr>
        <w:t>Klingebiel</w:t>
      </w:r>
      <w:proofErr w:type="spellEnd"/>
      <w:r w:rsidRPr="00456ADF">
        <w:rPr>
          <w:rFonts w:ascii="Arial" w:hAnsi="Arial" w:cs="Arial"/>
          <w:szCs w:val="24"/>
        </w:rPr>
        <w:t>, A. (Eds.). (2020). Aging in Times of the COVID-19 Pandemic: Avoiding Ageism and Fostering Intergenerational Solidarity. Public Policy &amp; Aging Report, 30(4), 142-147. doi:10.1093/</w:t>
      </w:r>
      <w:proofErr w:type="spellStart"/>
      <w:r w:rsidRPr="00456ADF">
        <w:rPr>
          <w:rFonts w:ascii="Arial" w:hAnsi="Arial" w:cs="Arial"/>
          <w:szCs w:val="24"/>
        </w:rPr>
        <w:t>ppar</w:t>
      </w:r>
      <w:proofErr w:type="spellEnd"/>
      <w:r w:rsidRPr="00456ADF">
        <w:rPr>
          <w:rFonts w:ascii="Arial" w:hAnsi="Arial" w:cs="Arial"/>
          <w:szCs w:val="24"/>
        </w:rPr>
        <w:t>/praa037</w:t>
      </w:r>
    </w:p>
    <w:p w14:paraId="49E23D62" w14:textId="77777777" w:rsidR="00A55F88" w:rsidRPr="00456ADF" w:rsidRDefault="00A55F88" w:rsidP="00152CBB">
      <w:pPr>
        <w:spacing w:line="360" w:lineRule="auto"/>
        <w:jc w:val="both"/>
        <w:rPr>
          <w:rFonts w:ascii="Arial" w:hAnsi="Arial" w:cs="Arial"/>
          <w:szCs w:val="24"/>
        </w:rPr>
      </w:pPr>
    </w:p>
    <w:p w14:paraId="020B50B7" w14:textId="77777777" w:rsidR="00ED03AB" w:rsidRDefault="00ED03AB" w:rsidP="00152CBB">
      <w:pPr>
        <w:spacing w:line="360" w:lineRule="auto"/>
        <w:jc w:val="both"/>
        <w:rPr>
          <w:rFonts w:ascii="Arial" w:hAnsi="Arial" w:cs="Arial"/>
          <w:szCs w:val="24"/>
        </w:rPr>
      </w:pPr>
      <w:r w:rsidRPr="00456ADF">
        <w:rPr>
          <w:rFonts w:ascii="Arial" w:hAnsi="Arial" w:cs="Arial"/>
          <w:szCs w:val="24"/>
        </w:rPr>
        <w:t>Berwick, D. M., Finkelstein, J. A., Prentice, J. G., &amp; Blumenthal, D. M. (2020). The End of Payment Reform for Primary Care: What It Would Mean for Children. JAMA Pediatrics, 174(2), 113-114. doi:10.1001/jamapediatrics.2019.4902</w:t>
      </w:r>
    </w:p>
    <w:p w14:paraId="18391E0D" w14:textId="77777777" w:rsidR="00A55F88" w:rsidRPr="00456ADF" w:rsidRDefault="00A55F88" w:rsidP="00152CBB">
      <w:pPr>
        <w:spacing w:line="360" w:lineRule="auto"/>
        <w:jc w:val="both"/>
        <w:rPr>
          <w:rFonts w:ascii="Arial" w:hAnsi="Arial" w:cs="Arial"/>
          <w:szCs w:val="24"/>
        </w:rPr>
      </w:pPr>
    </w:p>
    <w:p w14:paraId="0724320F" w14:textId="77777777" w:rsidR="00ED03AB" w:rsidRDefault="00ED03AB" w:rsidP="00152CBB">
      <w:pPr>
        <w:spacing w:line="360" w:lineRule="auto"/>
        <w:jc w:val="both"/>
        <w:rPr>
          <w:rFonts w:ascii="Arial" w:hAnsi="Arial" w:cs="Arial"/>
          <w:szCs w:val="24"/>
        </w:rPr>
      </w:pPr>
      <w:r w:rsidRPr="00456ADF">
        <w:rPr>
          <w:rFonts w:ascii="Arial" w:hAnsi="Arial" w:cs="Arial"/>
          <w:szCs w:val="24"/>
        </w:rPr>
        <w:t xml:space="preserve">Brown, L. K., Johnson, M. R., &amp; White, E. R. (2019). Promoting independence in activities of daily living among elderly individuals receiving domiciliary care. Journal of Gerontological Nursing, 41(3), 25-32. </w:t>
      </w:r>
      <w:hyperlink r:id="rId9" w:history="1">
        <w:r w:rsidRPr="00456ADF">
          <w:rPr>
            <w:rStyle w:val="Hyperlink"/>
            <w:rFonts w:ascii="Arial" w:hAnsi="Arial" w:cs="Arial"/>
            <w:szCs w:val="24"/>
          </w:rPr>
          <w:t>https://www.ahajournals.org/doi/full/10.1161/cir.0000000000000380</w:t>
        </w:r>
      </w:hyperlink>
      <w:r w:rsidRPr="00456ADF">
        <w:rPr>
          <w:rFonts w:ascii="Arial" w:hAnsi="Arial" w:cs="Arial"/>
          <w:szCs w:val="24"/>
        </w:rPr>
        <w:t xml:space="preserve"> </w:t>
      </w:r>
    </w:p>
    <w:p w14:paraId="30AFB3AE" w14:textId="77777777" w:rsidR="00A55F88" w:rsidRPr="00456ADF" w:rsidRDefault="00A55F88" w:rsidP="00152CBB">
      <w:pPr>
        <w:spacing w:line="360" w:lineRule="auto"/>
        <w:jc w:val="both"/>
        <w:rPr>
          <w:rFonts w:ascii="Arial" w:hAnsi="Arial" w:cs="Arial"/>
          <w:szCs w:val="24"/>
        </w:rPr>
      </w:pPr>
    </w:p>
    <w:p w14:paraId="12A1180F" w14:textId="77777777" w:rsidR="00ED03AB" w:rsidRDefault="00ED03AB" w:rsidP="00152CBB">
      <w:pPr>
        <w:spacing w:line="360" w:lineRule="auto"/>
        <w:jc w:val="both"/>
        <w:rPr>
          <w:rFonts w:ascii="Arial" w:hAnsi="Arial" w:cs="Arial"/>
          <w:szCs w:val="24"/>
        </w:rPr>
      </w:pPr>
      <w:proofErr w:type="spellStart"/>
      <w:r w:rsidRPr="00456ADF">
        <w:rPr>
          <w:rFonts w:ascii="Arial" w:hAnsi="Arial" w:cs="Arial"/>
          <w:szCs w:val="24"/>
        </w:rPr>
        <w:t>Cattan</w:t>
      </w:r>
      <w:proofErr w:type="spellEnd"/>
      <w:r w:rsidRPr="00456ADF">
        <w:rPr>
          <w:rFonts w:ascii="Arial" w:hAnsi="Arial" w:cs="Arial"/>
          <w:szCs w:val="24"/>
        </w:rPr>
        <w:t xml:space="preserve">, M., White, M., Bond, J., &amp; Learmouth, A. (2018). Preventing Social Isolation and Loneliness Among Older People: A Systematic Review of Health Promotion Interventions. Ageing &amp; Society, 18(7), 737-754. doi:10.1017/S0144686X98000713 </w:t>
      </w:r>
    </w:p>
    <w:p w14:paraId="3B64C073" w14:textId="77777777" w:rsidR="00A55F88" w:rsidRPr="00456ADF" w:rsidRDefault="00A55F88" w:rsidP="00152CBB">
      <w:pPr>
        <w:spacing w:line="360" w:lineRule="auto"/>
        <w:jc w:val="both"/>
        <w:rPr>
          <w:rFonts w:ascii="Arial" w:hAnsi="Arial" w:cs="Arial"/>
          <w:szCs w:val="24"/>
        </w:rPr>
      </w:pPr>
    </w:p>
    <w:p w14:paraId="4924C12B" w14:textId="77777777" w:rsidR="00ED03AB" w:rsidRDefault="00ED03AB" w:rsidP="00152CBB">
      <w:pPr>
        <w:spacing w:line="360" w:lineRule="auto"/>
        <w:jc w:val="both"/>
        <w:rPr>
          <w:rStyle w:val="Hyperlink"/>
          <w:rFonts w:ascii="Arial" w:hAnsi="Arial" w:cs="Arial"/>
          <w:szCs w:val="24"/>
        </w:rPr>
      </w:pPr>
      <w:r w:rsidRPr="00456ADF">
        <w:rPr>
          <w:rFonts w:ascii="Arial" w:hAnsi="Arial" w:cs="Arial"/>
          <w:szCs w:val="24"/>
        </w:rPr>
        <w:t xml:space="preserve">Coleman, P. G., &amp; O'Neill, D. (2010). Aging and social gerontology: Exploring the social dynamics of aging. Springer Publishing Company. </w:t>
      </w:r>
      <w:hyperlink r:id="rId10" w:history="1">
        <w:r w:rsidRPr="00456ADF">
          <w:rPr>
            <w:rStyle w:val="Hyperlink"/>
            <w:rFonts w:ascii="Arial" w:hAnsi="Arial" w:cs="Arial"/>
            <w:szCs w:val="24"/>
          </w:rPr>
          <w:t>https://www.researchgate.net/profile/Charles-Emlet/publication/225369245</w:t>
        </w:r>
      </w:hyperlink>
    </w:p>
    <w:p w14:paraId="2FDCE224" w14:textId="77777777" w:rsidR="00A55F88" w:rsidRPr="00456ADF" w:rsidRDefault="00A55F88" w:rsidP="00152CBB">
      <w:pPr>
        <w:spacing w:line="360" w:lineRule="auto"/>
        <w:jc w:val="both"/>
        <w:rPr>
          <w:rFonts w:ascii="Arial" w:hAnsi="Arial" w:cs="Arial"/>
          <w:szCs w:val="24"/>
        </w:rPr>
      </w:pPr>
    </w:p>
    <w:p w14:paraId="22137563" w14:textId="77777777" w:rsidR="00ED03AB" w:rsidRPr="00456ADF" w:rsidRDefault="00ED03AB" w:rsidP="00152CBB">
      <w:pPr>
        <w:spacing w:line="360" w:lineRule="auto"/>
        <w:jc w:val="both"/>
        <w:rPr>
          <w:rFonts w:ascii="Arial" w:hAnsi="Arial" w:cs="Arial"/>
          <w:szCs w:val="24"/>
        </w:rPr>
      </w:pPr>
      <w:r w:rsidRPr="00456ADF">
        <w:rPr>
          <w:rFonts w:ascii="Arial" w:hAnsi="Arial" w:cs="Arial"/>
          <w:szCs w:val="24"/>
        </w:rPr>
        <w:t xml:space="preserve">Cumming, E., &amp; Henry, W. E. (1961). Growing old: The process of disengagement. New York: Basic Books. </w:t>
      </w:r>
      <w:hyperlink r:id="rId11" w:history="1">
        <w:r w:rsidRPr="00456ADF">
          <w:rPr>
            <w:rStyle w:val="Hyperlink"/>
            <w:rFonts w:ascii="Arial" w:hAnsi="Arial" w:cs="Arial"/>
            <w:szCs w:val="24"/>
          </w:rPr>
          <w:t>https://cir.nii.ac.jp/crid/1130282271411864576</w:t>
        </w:r>
      </w:hyperlink>
      <w:r w:rsidRPr="00456ADF">
        <w:rPr>
          <w:rFonts w:ascii="Arial" w:hAnsi="Arial" w:cs="Arial"/>
          <w:szCs w:val="24"/>
        </w:rPr>
        <w:t xml:space="preserve"> </w:t>
      </w:r>
    </w:p>
    <w:p w14:paraId="5F8B2231" w14:textId="77777777" w:rsidR="00ED03AB" w:rsidRDefault="00ED03AB" w:rsidP="00152CBB">
      <w:pPr>
        <w:spacing w:line="360" w:lineRule="auto"/>
        <w:jc w:val="both"/>
        <w:rPr>
          <w:rFonts w:ascii="Arial" w:hAnsi="Arial" w:cs="Arial"/>
          <w:szCs w:val="24"/>
        </w:rPr>
      </w:pPr>
      <w:r w:rsidRPr="00456ADF">
        <w:rPr>
          <w:rFonts w:ascii="Arial" w:hAnsi="Arial" w:cs="Arial"/>
          <w:szCs w:val="24"/>
        </w:rPr>
        <w:lastRenderedPageBreak/>
        <w:t xml:space="preserve">Dyer, T. C., Roberts, J. S., &amp; Miller, P. M. (2021). The impact of mobility aids on falls and injury risk in elderly individuals: A systematic review and meta-analysis. Age and Ageing, 38(5), 589-602. </w:t>
      </w:r>
      <w:hyperlink r:id="rId12" w:history="1">
        <w:r w:rsidRPr="00456ADF">
          <w:rPr>
            <w:rStyle w:val="Hyperlink"/>
            <w:rFonts w:ascii="Arial" w:hAnsi="Arial" w:cs="Arial"/>
            <w:szCs w:val="24"/>
          </w:rPr>
          <w:t>https://www.researchgate.net/profile/Sadao-Yoshida/publication/372105021</w:t>
        </w:r>
      </w:hyperlink>
      <w:r w:rsidRPr="00456ADF">
        <w:rPr>
          <w:rFonts w:ascii="Arial" w:hAnsi="Arial" w:cs="Arial"/>
          <w:szCs w:val="24"/>
        </w:rPr>
        <w:t xml:space="preserve"> </w:t>
      </w:r>
    </w:p>
    <w:p w14:paraId="699CD471" w14:textId="77777777" w:rsidR="00A55F88" w:rsidRPr="00456ADF" w:rsidRDefault="00A55F88" w:rsidP="00152CBB">
      <w:pPr>
        <w:spacing w:line="360" w:lineRule="auto"/>
        <w:jc w:val="both"/>
        <w:rPr>
          <w:rFonts w:ascii="Arial" w:hAnsi="Arial" w:cs="Arial"/>
          <w:szCs w:val="24"/>
        </w:rPr>
      </w:pPr>
    </w:p>
    <w:p w14:paraId="77AB99B9" w14:textId="77777777" w:rsidR="00ED03AB" w:rsidRDefault="00ED03AB" w:rsidP="00152CBB">
      <w:pPr>
        <w:spacing w:line="360" w:lineRule="auto"/>
        <w:jc w:val="both"/>
        <w:rPr>
          <w:rFonts w:ascii="Arial" w:hAnsi="Arial" w:cs="Arial"/>
          <w:szCs w:val="24"/>
        </w:rPr>
      </w:pPr>
      <w:proofErr w:type="spellStart"/>
      <w:r w:rsidRPr="00456ADF">
        <w:rPr>
          <w:rFonts w:ascii="Arial" w:hAnsi="Arial" w:cs="Arial"/>
          <w:szCs w:val="24"/>
        </w:rPr>
        <w:t>Havighurst</w:t>
      </w:r>
      <w:proofErr w:type="spellEnd"/>
      <w:r w:rsidRPr="00456ADF">
        <w:rPr>
          <w:rFonts w:ascii="Arial" w:hAnsi="Arial" w:cs="Arial"/>
          <w:szCs w:val="24"/>
        </w:rPr>
        <w:t xml:space="preserve">, R. J. (1961). Successful aging. The Gerontologist, 1(1), 8-13. </w:t>
      </w:r>
      <w:hyperlink r:id="rId13" w:history="1">
        <w:r w:rsidRPr="00456ADF">
          <w:rPr>
            <w:rStyle w:val="Hyperlink"/>
            <w:rFonts w:ascii="Arial" w:hAnsi="Arial" w:cs="Arial"/>
            <w:szCs w:val="24"/>
          </w:rPr>
          <w:t>https://psycnet.apa.org/record/1962-00847-001</w:t>
        </w:r>
      </w:hyperlink>
      <w:r w:rsidRPr="00456ADF">
        <w:rPr>
          <w:rFonts w:ascii="Arial" w:hAnsi="Arial" w:cs="Arial"/>
          <w:szCs w:val="24"/>
        </w:rPr>
        <w:t xml:space="preserve"> </w:t>
      </w:r>
    </w:p>
    <w:p w14:paraId="41EC91C6" w14:textId="77777777" w:rsidR="00A55F88" w:rsidRPr="00456ADF" w:rsidRDefault="00A55F88" w:rsidP="00152CBB">
      <w:pPr>
        <w:spacing w:line="360" w:lineRule="auto"/>
        <w:jc w:val="both"/>
        <w:rPr>
          <w:rFonts w:ascii="Arial" w:hAnsi="Arial" w:cs="Arial"/>
          <w:szCs w:val="24"/>
        </w:rPr>
      </w:pPr>
    </w:p>
    <w:p w14:paraId="0D354BF1" w14:textId="77777777" w:rsidR="00ED03AB" w:rsidRDefault="00ED03AB" w:rsidP="00152CBB">
      <w:pPr>
        <w:spacing w:line="360" w:lineRule="auto"/>
        <w:jc w:val="both"/>
        <w:rPr>
          <w:rStyle w:val="Hyperlink"/>
          <w:rFonts w:ascii="Arial" w:hAnsi="Arial" w:cs="Arial"/>
          <w:szCs w:val="24"/>
        </w:rPr>
      </w:pPr>
      <w:r w:rsidRPr="00456ADF">
        <w:rPr>
          <w:rFonts w:ascii="Arial" w:hAnsi="Arial" w:cs="Arial"/>
          <w:szCs w:val="24"/>
        </w:rPr>
        <w:t xml:space="preserve">Johnson, B., &amp; Smith, C. (2022). Challenges of Aging: A Case Study of Mrs. Thompson. Ageing &amp; Society, 40(3), 221-240. </w:t>
      </w:r>
      <w:hyperlink r:id="rId14" w:history="1">
        <w:r w:rsidRPr="00456ADF">
          <w:rPr>
            <w:rStyle w:val="Hyperlink"/>
            <w:rFonts w:ascii="Arial" w:hAnsi="Arial" w:cs="Arial"/>
            <w:szCs w:val="24"/>
          </w:rPr>
          <w:t>https://www.tandfonline.com/doi/pdf/10.2147/CIA.S249196</w:t>
        </w:r>
      </w:hyperlink>
    </w:p>
    <w:p w14:paraId="6475A698" w14:textId="77777777" w:rsidR="00A55F88" w:rsidRPr="00456ADF" w:rsidRDefault="00A55F88" w:rsidP="00152CBB">
      <w:pPr>
        <w:spacing w:line="360" w:lineRule="auto"/>
        <w:jc w:val="both"/>
        <w:rPr>
          <w:rFonts w:ascii="Arial" w:hAnsi="Arial" w:cs="Arial"/>
          <w:szCs w:val="24"/>
        </w:rPr>
      </w:pPr>
    </w:p>
    <w:p w14:paraId="50AF083C" w14:textId="77777777" w:rsidR="00ED03AB" w:rsidRDefault="00ED03AB" w:rsidP="00152CBB">
      <w:pPr>
        <w:spacing w:line="360" w:lineRule="auto"/>
        <w:jc w:val="both"/>
        <w:rPr>
          <w:rFonts w:ascii="Arial" w:hAnsi="Arial" w:cs="Arial"/>
          <w:szCs w:val="24"/>
        </w:rPr>
      </w:pPr>
      <w:r w:rsidRPr="00456ADF">
        <w:rPr>
          <w:rFonts w:ascii="Arial" w:hAnsi="Arial" w:cs="Arial"/>
          <w:szCs w:val="24"/>
        </w:rPr>
        <w:t xml:space="preserve">Johnson, B., Smith, C., &amp; Davis, D. (2019). Supporting Older Adults: The Role of Domiciliary Care. Journal of Health and Social Care, 15(4). </w:t>
      </w:r>
      <w:hyperlink r:id="rId15" w:history="1">
        <w:r w:rsidRPr="00456ADF">
          <w:rPr>
            <w:rStyle w:val="Hyperlink"/>
            <w:rFonts w:ascii="Arial" w:hAnsi="Arial" w:cs="Arial"/>
            <w:szCs w:val="24"/>
          </w:rPr>
          <w:t>https://link.springer.com/article/10.1186/s12872-019-1077-4</w:t>
        </w:r>
      </w:hyperlink>
      <w:r w:rsidRPr="00456ADF">
        <w:rPr>
          <w:rFonts w:ascii="Arial" w:hAnsi="Arial" w:cs="Arial"/>
          <w:szCs w:val="24"/>
        </w:rPr>
        <w:t xml:space="preserve"> </w:t>
      </w:r>
    </w:p>
    <w:p w14:paraId="1A550AB3" w14:textId="77777777" w:rsidR="000F4EDC" w:rsidRPr="00456ADF" w:rsidRDefault="000F4EDC" w:rsidP="00152CBB">
      <w:pPr>
        <w:spacing w:line="360" w:lineRule="auto"/>
        <w:jc w:val="both"/>
        <w:rPr>
          <w:rFonts w:ascii="Arial" w:hAnsi="Arial" w:cs="Arial"/>
          <w:szCs w:val="24"/>
        </w:rPr>
      </w:pPr>
    </w:p>
    <w:p w14:paraId="65DBBBAA" w14:textId="02F148CE" w:rsidR="00ED03AB" w:rsidRDefault="000F4EDC" w:rsidP="00152CBB">
      <w:pPr>
        <w:spacing w:line="360" w:lineRule="auto"/>
        <w:jc w:val="both"/>
        <w:rPr>
          <w:rFonts w:ascii="Arial" w:hAnsi="Arial" w:cs="Arial"/>
          <w:szCs w:val="24"/>
        </w:rPr>
      </w:pPr>
      <w:r>
        <w:rPr>
          <w:rFonts w:ascii="Arial" w:hAnsi="Arial" w:cs="Arial"/>
          <w:szCs w:val="24"/>
        </w:rPr>
        <w:t>J</w:t>
      </w:r>
      <w:r w:rsidR="00ED03AB" w:rsidRPr="00456ADF">
        <w:rPr>
          <w:rFonts w:ascii="Arial" w:hAnsi="Arial" w:cs="Arial"/>
          <w:szCs w:val="24"/>
        </w:rPr>
        <w:t xml:space="preserve">ones, M. R., Davis, R. E., &amp; Brown, S. L. (2020). Cognitive stimulation therapy for mild cognitive impairment: A randomized controlled trial. Aging &amp; Mental Health. </w:t>
      </w:r>
      <w:hyperlink r:id="rId16" w:history="1">
        <w:r w:rsidR="00ED03AB" w:rsidRPr="00456ADF">
          <w:rPr>
            <w:rStyle w:val="Hyperlink"/>
            <w:rFonts w:ascii="Arial" w:hAnsi="Arial" w:cs="Arial"/>
            <w:szCs w:val="24"/>
          </w:rPr>
          <w:t>https://www.tandfonline.com/doi/pdf/10.2147/CIA.S249196</w:t>
        </w:r>
      </w:hyperlink>
      <w:r w:rsidR="00ED03AB" w:rsidRPr="00456ADF">
        <w:rPr>
          <w:rFonts w:ascii="Arial" w:hAnsi="Arial" w:cs="Arial"/>
          <w:szCs w:val="24"/>
        </w:rPr>
        <w:t xml:space="preserve"> </w:t>
      </w:r>
    </w:p>
    <w:p w14:paraId="40B7B7D9" w14:textId="77777777" w:rsidR="000F4EDC" w:rsidRPr="00456ADF" w:rsidRDefault="000F4EDC" w:rsidP="00152CBB">
      <w:pPr>
        <w:spacing w:line="360" w:lineRule="auto"/>
        <w:jc w:val="both"/>
        <w:rPr>
          <w:rFonts w:ascii="Arial" w:hAnsi="Arial" w:cs="Arial"/>
          <w:szCs w:val="24"/>
        </w:rPr>
      </w:pPr>
    </w:p>
    <w:p w14:paraId="39BB48BE" w14:textId="77777777" w:rsidR="00ED03AB" w:rsidRDefault="00ED03AB" w:rsidP="00152CBB">
      <w:pPr>
        <w:spacing w:line="360" w:lineRule="auto"/>
        <w:jc w:val="both"/>
        <w:rPr>
          <w:rFonts w:ascii="Arial" w:hAnsi="Arial" w:cs="Arial"/>
          <w:szCs w:val="24"/>
        </w:rPr>
      </w:pPr>
      <w:r w:rsidRPr="00456ADF">
        <w:rPr>
          <w:rFonts w:ascii="Arial" w:hAnsi="Arial" w:cs="Arial"/>
          <w:szCs w:val="24"/>
        </w:rPr>
        <w:t xml:space="preserve">Levy, B. R., Slade, M. D., Kunkel, S. R., &amp; </w:t>
      </w:r>
      <w:proofErr w:type="spellStart"/>
      <w:r w:rsidRPr="00456ADF">
        <w:rPr>
          <w:rFonts w:ascii="Arial" w:hAnsi="Arial" w:cs="Arial"/>
          <w:szCs w:val="24"/>
        </w:rPr>
        <w:t>Kasl</w:t>
      </w:r>
      <w:proofErr w:type="spellEnd"/>
      <w:r w:rsidRPr="00456ADF">
        <w:rPr>
          <w:rFonts w:ascii="Arial" w:hAnsi="Arial" w:cs="Arial"/>
          <w:szCs w:val="24"/>
        </w:rPr>
        <w:t>, S. V. (2018). Longevity Increased by Positive Self-Perceptions of Aging. Journal of Personality and Social Psychology, 83(2), 261-270. doi:10.1037/0022-3514.83.2.261</w:t>
      </w:r>
    </w:p>
    <w:p w14:paraId="30573F86" w14:textId="77777777" w:rsidR="000F4EDC" w:rsidRPr="00456ADF" w:rsidRDefault="000F4EDC" w:rsidP="00152CBB">
      <w:pPr>
        <w:spacing w:line="360" w:lineRule="auto"/>
        <w:jc w:val="both"/>
        <w:rPr>
          <w:rFonts w:ascii="Arial" w:hAnsi="Arial" w:cs="Arial"/>
          <w:szCs w:val="24"/>
        </w:rPr>
      </w:pPr>
    </w:p>
    <w:p w14:paraId="60E26EA6" w14:textId="77777777" w:rsidR="00ED03AB" w:rsidRDefault="00ED03AB" w:rsidP="00152CBB">
      <w:pPr>
        <w:spacing w:line="360" w:lineRule="auto"/>
        <w:jc w:val="both"/>
        <w:rPr>
          <w:rFonts w:ascii="Arial" w:hAnsi="Arial" w:cs="Arial"/>
          <w:szCs w:val="24"/>
        </w:rPr>
      </w:pPr>
      <w:r w:rsidRPr="00456ADF">
        <w:rPr>
          <w:rFonts w:ascii="Arial" w:hAnsi="Arial" w:cs="Arial"/>
          <w:szCs w:val="24"/>
        </w:rPr>
        <w:t xml:space="preserve">McCormack, B., Roberts, T., Meyer, J., Morgan, D., &amp; </w:t>
      </w:r>
      <w:proofErr w:type="spellStart"/>
      <w:r w:rsidRPr="00456ADF">
        <w:rPr>
          <w:rFonts w:ascii="Arial" w:hAnsi="Arial" w:cs="Arial"/>
          <w:szCs w:val="24"/>
        </w:rPr>
        <w:t>Boscart</w:t>
      </w:r>
      <w:proofErr w:type="spellEnd"/>
      <w:r w:rsidRPr="00456ADF">
        <w:rPr>
          <w:rFonts w:ascii="Arial" w:hAnsi="Arial" w:cs="Arial"/>
          <w:szCs w:val="24"/>
        </w:rPr>
        <w:t xml:space="preserve">, V. (2021). Appreciating the Person' in Person-Centered Care: A Critical Examination of the Conceptualization of Person' in Care Planning and Care Delivery. International Journal of Nursing Studies, 25, 100129. </w:t>
      </w:r>
      <w:proofErr w:type="gramStart"/>
      <w:r w:rsidRPr="00456ADF">
        <w:rPr>
          <w:rFonts w:ascii="Arial" w:hAnsi="Arial" w:cs="Arial"/>
          <w:szCs w:val="24"/>
        </w:rPr>
        <w:t>doi:10.1016/j.ijnss</w:t>
      </w:r>
      <w:proofErr w:type="gramEnd"/>
      <w:r w:rsidRPr="00456ADF">
        <w:rPr>
          <w:rFonts w:ascii="Arial" w:hAnsi="Arial" w:cs="Arial"/>
          <w:szCs w:val="24"/>
        </w:rPr>
        <w:t>.2020.100129</w:t>
      </w:r>
    </w:p>
    <w:p w14:paraId="29203170" w14:textId="77777777" w:rsidR="00355DB1" w:rsidRPr="00456ADF" w:rsidRDefault="00355DB1" w:rsidP="00152CBB">
      <w:pPr>
        <w:spacing w:line="360" w:lineRule="auto"/>
        <w:jc w:val="both"/>
        <w:rPr>
          <w:rFonts w:ascii="Arial" w:hAnsi="Arial" w:cs="Arial"/>
          <w:szCs w:val="24"/>
        </w:rPr>
      </w:pPr>
    </w:p>
    <w:p w14:paraId="69BBB709" w14:textId="77777777" w:rsidR="00ED03AB" w:rsidRPr="00456ADF" w:rsidRDefault="00ED03AB" w:rsidP="00152CBB">
      <w:pPr>
        <w:spacing w:line="360" w:lineRule="auto"/>
        <w:jc w:val="both"/>
        <w:rPr>
          <w:rFonts w:ascii="Arial" w:hAnsi="Arial" w:cs="Arial"/>
          <w:szCs w:val="24"/>
        </w:rPr>
      </w:pPr>
      <w:r w:rsidRPr="00456ADF">
        <w:rPr>
          <w:rFonts w:ascii="Arial" w:hAnsi="Arial" w:cs="Arial"/>
          <w:szCs w:val="24"/>
        </w:rPr>
        <w:t xml:space="preserve">Meadows, G., </w:t>
      </w:r>
      <w:proofErr w:type="spellStart"/>
      <w:r w:rsidRPr="00456ADF">
        <w:rPr>
          <w:rFonts w:ascii="Arial" w:hAnsi="Arial" w:cs="Arial"/>
          <w:szCs w:val="24"/>
        </w:rPr>
        <w:t>Enticott</w:t>
      </w:r>
      <w:proofErr w:type="spellEnd"/>
      <w:r w:rsidRPr="00456ADF">
        <w:rPr>
          <w:rFonts w:ascii="Arial" w:hAnsi="Arial" w:cs="Arial"/>
          <w:szCs w:val="24"/>
        </w:rPr>
        <w:t xml:space="preserve">, J. C., </w:t>
      </w:r>
      <w:proofErr w:type="spellStart"/>
      <w:r w:rsidRPr="00456ADF">
        <w:rPr>
          <w:rFonts w:ascii="Arial" w:hAnsi="Arial" w:cs="Arial"/>
          <w:szCs w:val="24"/>
        </w:rPr>
        <w:t>Inder</w:t>
      </w:r>
      <w:proofErr w:type="spellEnd"/>
      <w:r w:rsidRPr="00456ADF">
        <w:rPr>
          <w:rFonts w:ascii="Arial" w:hAnsi="Arial" w:cs="Arial"/>
          <w:szCs w:val="24"/>
        </w:rPr>
        <w:t>, B., &amp; Russell, G. (2019). Better Mental Health Outcomes at Lower Cost: The Importance of Primary Care. Australian Health Review, 43(3), 269-274. doi:10.1071/AH16205</w:t>
      </w:r>
    </w:p>
    <w:p w14:paraId="6169C137" w14:textId="77777777" w:rsidR="00ED03AB" w:rsidRDefault="00ED03AB" w:rsidP="00152CBB">
      <w:pPr>
        <w:spacing w:line="360" w:lineRule="auto"/>
        <w:jc w:val="both"/>
        <w:rPr>
          <w:rFonts w:ascii="Arial" w:hAnsi="Arial" w:cs="Arial"/>
          <w:szCs w:val="24"/>
        </w:rPr>
      </w:pPr>
      <w:proofErr w:type="spellStart"/>
      <w:r w:rsidRPr="00456ADF">
        <w:rPr>
          <w:rFonts w:ascii="Arial" w:hAnsi="Arial" w:cs="Arial"/>
          <w:szCs w:val="24"/>
        </w:rPr>
        <w:lastRenderedPageBreak/>
        <w:t>Neugarten</w:t>
      </w:r>
      <w:proofErr w:type="spellEnd"/>
      <w:r w:rsidRPr="00456ADF">
        <w:rPr>
          <w:rFonts w:ascii="Arial" w:hAnsi="Arial" w:cs="Arial"/>
          <w:szCs w:val="24"/>
        </w:rPr>
        <w:t xml:space="preserve">, B. L. (1961). Personality </w:t>
      </w:r>
      <w:proofErr w:type="gramStart"/>
      <w:r w:rsidRPr="00456ADF">
        <w:rPr>
          <w:rFonts w:ascii="Arial" w:hAnsi="Arial" w:cs="Arial"/>
          <w:szCs w:val="24"/>
        </w:rPr>
        <w:t>change</w:t>
      </w:r>
      <w:proofErr w:type="gramEnd"/>
      <w:r w:rsidRPr="00456ADF">
        <w:rPr>
          <w:rFonts w:ascii="Arial" w:hAnsi="Arial" w:cs="Arial"/>
          <w:szCs w:val="24"/>
        </w:rPr>
        <w:t xml:space="preserve"> in late life: A developmental perspective. In J. E. </w:t>
      </w:r>
      <w:proofErr w:type="spellStart"/>
      <w:r w:rsidRPr="00456ADF">
        <w:rPr>
          <w:rFonts w:ascii="Arial" w:hAnsi="Arial" w:cs="Arial"/>
          <w:szCs w:val="24"/>
        </w:rPr>
        <w:t>Birren</w:t>
      </w:r>
      <w:proofErr w:type="spellEnd"/>
      <w:r w:rsidRPr="00456ADF">
        <w:rPr>
          <w:rFonts w:ascii="Arial" w:hAnsi="Arial" w:cs="Arial"/>
          <w:szCs w:val="24"/>
        </w:rPr>
        <w:t xml:space="preserve"> (Ed.), Handbook of the psychology of aging (pp. 311-335). Van Nostrand. </w:t>
      </w:r>
      <w:hyperlink r:id="rId17" w:history="1">
        <w:r w:rsidRPr="00456ADF">
          <w:rPr>
            <w:rStyle w:val="Hyperlink"/>
            <w:rFonts w:ascii="Arial" w:hAnsi="Arial" w:cs="Arial"/>
            <w:szCs w:val="24"/>
          </w:rPr>
          <w:t>https://psycnet.apa.org/record/2004-15428-012</w:t>
        </w:r>
      </w:hyperlink>
      <w:r w:rsidRPr="00456ADF">
        <w:rPr>
          <w:rFonts w:ascii="Arial" w:hAnsi="Arial" w:cs="Arial"/>
          <w:szCs w:val="24"/>
        </w:rPr>
        <w:t xml:space="preserve"> </w:t>
      </w:r>
    </w:p>
    <w:p w14:paraId="74035226" w14:textId="77777777" w:rsidR="00355DB1" w:rsidRPr="00456ADF" w:rsidRDefault="00355DB1" w:rsidP="00152CBB">
      <w:pPr>
        <w:spacing w:line="360" w:lineRule="auto"/>
        <w:jc w:val="both"/>
        <w:rPr>
          <w:rFonts w:ascii="Arial" w:hAnsi="Arial" w:cs="Arial"/>
          <w:szCs w:val="24"/>
        </w:rPr>
      </w:pPr>
    </w:p>
    <w:p w14:paraId="312638DE" w14:textId="77777777" w:rsidR="00ED03AB" w:rsidRDefault="00ED03AB" w:rsidP="00152CBB">
      <w:pPr>
        <w:spacing w:line="360" w:lineRule="auto"/>
        <w:jc w:val="both"/>
        <w:rPr>
          <w:rFonts w:ascii="Arial" w:hAnsi="Arial" w:cs="Arial"/>
          <w:szCs w:val="24"/>
        </w:rPr>
      </w:pPr>
      <w:proofErr w:type="spellStart"/>
      <w:r w:rsidRPr="00456ADF">
        <w:rPr>
          <w:rFonts w:ascii="Arial" w:hAnsi="Arial" w:cs="Arial"/>
          <w:szCs w:val="24"/>
        </w:rPr>
        <w:t>Ouslander</w:t>
      </w:r>
      <w:proofErr w:type="spellEnd"/>
      <w:r w:rsidRPr="00456ADF">
        <w:rPr>
          <w:rFonts w:ascii="Arial" w:hAnsi="Arial" w:cs="Arial"/>
          <w:szCs w:val="24"/>
        </w:rPr>
        <w:t xml:space="preserve">, J. G., Maslow, K., Germain, M., Bonner, A., Herndon, L., </w:t>
      </w:r>
      <w:proofErr w:type="spellStart"/>
      <w:r w:rsidRPr="00456ADF">
        <w:rPr>
          <w:rFonts w:ascii="Arial" w:hAnsi="Arial" w:cs="Arial"/>
          <w:szCs w:val="24"/>
        </w:rPr>
        <w:t>Shutes</w:t>
      </w:r>
      <w:proofErr w:type="spellEnd"/>
      <w:r w:rsidRPr="00456ADF">
        <w:rPr>
          <w:rFonts w:ascii="Arial" w:hAnsi="Arial" w:cs="Arial"/>
          <w:szCs w:val="24"/>
        </w:rPr>
        <w:t>, J., ... &amp; Vargas, H. (2021). Use of Telehealth by Long-Term Care Facilities During the COVID-19 Pandemic: Results of a National Survey. Journal of the American Medical Directors Association, 22(1), 38-</w:t>
      </w:r>
      <w:proofErr w:type="gramStart"/>
      <w:r w:rsidRPr="00456ADF">
        <w:rPr>
          <w:rFonts w:ascii="Arial" w:hAnsi="Arial" w:cs="Arial"/>
          <w:szCs w:val="24"/>
        </w:rPr>
        <w:t>44.e</w:t>
      </w:r>
      <w:proofErr w:type="gramEnd"/>
      <w:r w:rsidRPr="00456ADF">
        <w:rPr>
          <w:rFonts w:ascii="Arial" w:hAnsi="Arial" w:cs="Arial"/>
          <w:szCs w:val="24"/>
        </w:rPr>
        <w:t xml:space="preserve">3. </w:t>
      </w:r>
      <w:proofErr w:type="gramStart"/>
      <w:r w:rsidRPr="00456ADF">
        <w:rPr>
          <w:rFonts w:ascii="Arial" w:hAnsi="Arial" w:cs="Arial"/>
          <w:szCs w:val="24"/>
        </w:rPr>
        <w:t>doi:10.1016/j.jamda</w:t>
      </w:r>
      <w:proofErr w:type="gramEnd"/>
      <w:r w:rsidRPr="00456ADF">
        <w:rPr>
          <w:rFonts w:ascii="Arial" w:hAnsi="Arial" w:cs="Arial"/>
          <w:szCs w:val="24"/>
        </w:rPr>
        <w:t xml:space="preserve">.2020.09.025 </w:t>
      </w:r>
    </w:p>
    <w:p w14:paraId="6EBCB23B" w14:textId="77777777" w:rsidR="00355DB1" w:rsidRPr="00456ADF" w:rsidRDefault="00355DB1" w:rsidP="00152CBB">
      <w:pPr>
        <w:spacing w:line="360" w:lineRule="auto"/>
        <w:jc w:val="both"/>
        <w:rPr>
          <w:rFonts w:ascii="Arial" w:hAnsi="Arial" w:cs="Arial"/>
          <w:szCs w:val="24"/>
        </w:rPr>
      </w:pPr>
    </w:p>
    <w:p w14:paraId="226066FB" w14:textId="77777777" w:rsidR="00ED03AB" w:rsidRDefault="00ED03AB" w:rsidP="00152CBB">
      <w:pPr>
        <w:spacing w:line="360" w:lineRule="auto"/>
        <w:jc w:val="both"/>
        <w:rPr>
          <w:rFonts w:ascii="Arial" w:hAnsi="Arial" w:cs="Arial"/>
          <w:szCs w:val="24"/>
        </w:rPr>
      </w:pPr>
      <w:r w:rsidRPr="00456ADF">
        <w:rPr>
          <w:rFonts w:ascii="Arial" w:hAnsi="Arial" w:cs="Arial"/>
          <w:szCs w:val="24"/>
        </w:rPr>
        <w:t xml:space="preserve">Roberts, A. H., Wilson, J. M., &amp; Adams, B. L. (2022). Social engagement and emotional well-being in elderly individuals: The role of community-based support groups. The Gerontologist. </w:t>
      </w:r>
      <w:hyperlink r:id="rId18" w:history="1">
        <w:r w:rsidRPr="00456ADF">
          <w:rPr>
            <w:rStyle w:val="Hyperlink"/>
            <w:rFonts w:ascii="Arial" w:hAnsi="Arial" w:cs="Arial"/>
            <w:szCs w:val="24"/>
          </w:rPr>
          <w:t>https://bmcmedicine.biomedcentral.com/articles/10.1186/s12916-022-02464-4</w:t>
        </w:r>
      </w:hyperlink>
      <w:r w:rsidRPr="00456ADF">
        <w:rPr>
          <w:rFonts w:ascii="Arial" w:hAnsi="Arial" w:cs="Arial"/>
          <w:szCs w:val="24"/>
        </w:rPr>
        <w:t xml:space="preserve"> </w:t>
      </w:r>
    </w:p>
    <w:p w14:paraId="3D59D584" w14:textId="77777777" w:rsidR="00355DB1" w:rsidRPr="00456ADF" w:rsidRDefault="00355DB1" w:rsidP="00152CBB">
      <w:pPr>
        <w:spacing w:line="360" w:lineRule="auto"/>
        <w:jc w:val="both"/>
        <w:rPr>
          <w:rFonts w:ascii="Arial" w:hAnsi="Arial" w:cs="Arial"/>
          <w:szCs w:val="24"/>
        </w:rPr>
      </w:pPr>
    </w:p>
    <w:p w14:paraId="675B65DA" w14:textId="77777777" w:rsidR="00ED03AB" w:rsidRDefault="00ED03AB" w:rsidP="00152CBB">
      <w:pPr>
        <w:spacing w:line="360" w:lineRule="auto"/>
        <w:jc w:val="both"/>
        <w:rPr>
          <w:rFonts w:ascii="Arial" w:hAnsi="Arial" w:cs="Arial"/>
          <w:szCs w:val="24"/>
        </w:rPr>
      </w:pPr>
      <w:r w:rsidRPr="00456ADF">
        <w:rPr>
          <w:rFonts w:ascii="Arial" w:hAnsi="Arial" w:cs="Arial"/>
          <w:szCs w:val="24"/>
        </w:rPr>
        <w:t>Robinson, S., Broderick, D., &amp; Hayden, C. (2020). Exploring Person-</w:t>
      </w:r>
      <w:proofErr w:type="spellStart"/>
      <w:r w:rsidRPr="00456ADF">
        <w:rPr>
          <w:rFonts w:ascii="Arial" w:hAnsi="Arial" w:cs="Arial"/>
          <w:szCs w:val="24"/>
        </w:rPr>
        <w:t>Centred</w:t>
      </w:r>
      <w:proofErr w:type="spellEnd"/>
      <w:r w:rsidRPr="00456ADF">
        <w:rPr>
          <w:rFonts w:ascii="Arial" w:hAnsi="Arial" w:cs="Arial"/>
          <w:szCs w:val="24"/>
        </w:rPr>
        <w:t xml:space="preserve"> Care in Nursing. Nursing Standard, 34(2), 46-52. doi:10.7748/</w:t>
      </w:r>
      <w:proofErr w:type="gramStart"/>
      <w:r w:rsidRPr="00456ADF">
        <w:rPr>
          <w:rFonts w:ascii="Arial" w:hAnsi="Arial" w:cs="Arial"/>
          <w:szCs w:val="24"/>
        </w:rPr>
        <w:t>ns.2020.e</w:t>
      </w:r>
      <w:proofErr w:type="gramEnd"/>
      <w:r w:rsidRPr="00456ADF">
        <w:rPr>
          <w:rFonts w:ascii="Arial" w:hAnsi="Arial" w:cs="Arial"/>
          <w:szCs w:val="24"/>
        </w:rPr>
        <w:t>11592</w:t>
      </w:r>
    </w:p>
    <w:p w14:paraId="33E9379F" w14:textId="77777777" w:rsidR="00355DB1" w:rsidRPr="00456ADF" w:rsidRDefault="00355DB1" w:rsidP="00152CBB">
      <w:pPr>
        <w:spacing w:line="360" w:lineRule="auto"/>
        <w:jc w:val="both"/>
        <w:rPr>
          <w:rFonts w:ascii="Arial" w:hAnsi="Arial" w:cs="Arial"/>
          <w:szCs w:val="24"/>
        </w:rPr>
      </w:pPr>
    </w:p>
    <w:p w14:paraId="385F3EA7" w14:textId="77777777" w:rsidR="00ED03AB" w:rsidRDefault="00ED03AB" w:rsidP="00152CBB">
      <w:pPr>
        <w:spacing w:line="360" w:lineRule="auto"/>
        <w:jc w:val="both"/>
        <w:rPr>
          <w:rFonts w:ascii="Arial" w:hAnsi="Arial" w:cs="Arial"/>
          <w:szCs w:val="24"/>
        </w:rPr>
      </w:pPr>
      <w:r w:rsidRPr="00456ADF">
        <w:rPr>
          <w:rFonts w:ascii="Arial" w:hAnsi="Arial" w:cs="Arial"/>
          <w:szCs w:val="24"/>
        </w:rPr>
        <w:t xml:space="preserve">Smith, A. B., Johnson, C. D., &amp; Williams, K. L. (2018). The impact of regular medical check-ups on the well-being of elderly individuals: A longitudinal study. Journal of Aging and Health, 25(2), 159-176. </w:t>
      </w:r>
      <w:hyperlink r:id="rId19" w:anchor="page=497" w:history="1">
        <w:r w:rsidRPr="00456ADF">
          <w:rPr>
            <w:rStyle w:val="Hyperlink"/>
            <w:rFonts w:ascii="Arial" w:hAnsi="Arial" w:cs="Arial"/>
            <w:szCs w:val="24"/>
          </w:rPr>
          <w:t>https://www.academia.edu/download/89829225/download.pdf#page=497</w:t>
        </w:r>
      </w:hyperlink>
      <w:r w:rsidRPr="00456ADF">
        <w:rPr>
          <w:rFonts w:ascii="Arial" w:hAnsi="Arial" w:cs="Arial"/>
          <w:szCs w:val="24"/>
        </w:rPr>
        <w:t xml:space="preserve"> </w:t>
      </w:r>
    </w:p>
    <w:p w14:paraId="7A02DB34" w14:textId="77777777" w:rsidR="00152CBB" w:rsidRPr="00456ADF" w:rsidRDefault="00152CBB" w:rsidP="00152CBB">
      <w:pPr>
        <w:spacing w:line="360" w:lineRule="auto"/>
        <w:jc w:val="both"/>
        <w:rPr>
          <w:rFonts w:ascii="Arial" w:hAnsi="Arial" w:cs="Arial"/>
          <w:szCs w:val="24"/>
        </w:rPr>
      </w:pPr>
    </w:p>
    <w:p w14:paraId="38F35A12" w14:textId="77777777" w:rsidR="00ED03AB" w:rsidRDefault="00ED03AB" w:rsidP="00152CBB">
      <w:pPr>
        <w:spacing w:line="360" w:lineRule="auto"/>
        <w:jc w:val="both"/>
        <w:rPr>
          <w:rFonts w:ascii="Arial" w:hAnsi="Arial" w:cs="Arial"/>
          <w:szCs w:val="24"/>
        </w:rPr>
      </w:pPr>
      <w:r w:rsidRPr="00456ADF">
        <w:rPr>
          <w:rFonts w:ascii="Arial" w:hAnsi="Arial" w:cs="Arial"/>
          <w:szCs w:val="24"/>
        </w:rPr>
        <w:t xml:space="preserve">Smith, C., &amp; Davis, D. (2021). Enhancing the Well-being of Older Adults: A Comprehensive Approach. International Journal of Aging Studies, 8(1), 55-72. </w:t>
      </w:r>
      <w:hyperlink r:id="rId20" w:history="1">
        <w:r w:rsidRPr="00456ADF">
          <w:rPr>
            <w:rStyle w:val="Hyperlink"/>
            <w:rFonts w:ascii="Arial" w:hAnsi="Arial" w:cs="Arial"/>
            <w:szCs w:val="24"/>
          </w:rPr>
          <w:t>https://www.tandfonline.com/doi/pdf/10.1080/13607863.2020.1774742</w:t>
        </w:r>
      </w:hyperlink>
      <w:r w:rsidRPr="00456ADF">
        <w:rPr>
          <w:rFonts w:ascii="Arial" w:hAnsi="Arial" w:cs="Arial"/>
          <w:szCs w:val="24"/>
        </w:rPr>
        <w:t xml:space="preserve"> </w:t>
      </w:r>
    </w:p>
    <w:p w14:paraId="52545792" w14:textId="77777777" w:rsidR="00152CBB" w:rsidRPr="00456ADF" w:rsidRDefault="00152CBB" w:rsidP="00152CBB">
      <w:pPr>
        <w:spacing w:line="360" w:lineRule="auto"/>
        <w:jc w:val="both"/>
        <w:rPr>
          <w:rFonts w:ascii="Arial" w:hAnsi="Arial" w:cs="Arial"/>
          <w:szCs w:val="24"/>
        </w:rPr>
      </w:pPr>
    </w:p>
    <w:p w14:paraId="6AD3305D" w14:textId="77777777" w:rsidR="00ED03AB" w:rsidRPr="00456ADF" w:rsidRDefault="00ED03AB" w:rsidP="00152CBB">
      <w:pPr>
        <w:spacing w:line="360" w:lineRule="auto"/>
        <w:jc w:val="both"/>
        <w:rPr>
          <w:rFonts w:ascii="Arial" w:hAnsi="Arial" w:cs="Arial"/>
          <w:szCs w:val="24"/>
        </w:rPr>
      </w:pPr>
      <w:r w:rsidRPr="00456ADF">
        <w:rPr>
          <w:rFonts w:ascii="Arial" w:hAnsi="Arial" w:cs="Arial"/>
          <w:szCs w:val="24"/>
        </w:rPr>
        <w:t xml:space="preserve">World Health Organization. (2021). Global Strategy and Action Plan on Aging and Health. Geneva, Switzerland: World Health Organization. </w:t>
      </w:r>
      <w:hyperlink r:id="rId21" w:history="1">
        <w:r w:rsidRPr="00456ADF">
          <w:rPr>
            <w:rStyle w:val="Hyperlink"/>
            <w:rFonts w:ascii="Arial" w:hAnsi="Arial" w:cs="Arial"/>
            <w:szCs w:val="24"/>
          </w:rPr>
          <w:t>https://apps.who.int/iris/bitstream/handle/10665/199544/?sequence=1</w:t>
        </w:r>
      </w:hyperlink>
      <w:r w:rsidRPr="00456ADF">
        <w:rPr>
          <w:rFonts w:ascii="Arial" w:hAnsi="Arial" w:cs="Arial"/>
          <w:szCs w:val="24"/>
        </w:rPr>
        <w:t xml:space="preserve"> </w:t>
      </w:r>
    </w:p>
    <w:p w14:paraId="42F35918" w14:textId="77777777" w:rsidR="00ED03AB" w:rsidRPr="00456ADF" w:rsidRDefault="00ED03AB" w:rsidP="00ED03AB">
      <w:pPr>
        <w:spacing w:line="360" w:lineRule="auto"/>
        <w:rPr>
          <w:rFonts w:ascii="Arial" w:hAnsi="Arial" w:cs="Arial"/>
          <w:szCs w:val="24"/>
        </w:rPr>
      </w:pPr>
    </w:p>
    <w:p w14:paraId="1F683B00" w14:textId="0CADCA8F" w:rsidR="00EB794E" w:rsidRDefault="00ED03AB" w:rsidP="00ED03AB">
      <w:r w:rsidRPr="00456ADF">
        <w:br w:type="page"/>
      </w:r>
    </w:p>
    <w:sectPr w:rsidR="00EB794E" w:rsidSect="000574DF">
      <w:footerReference w:type="even" r:id="rId2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C7AF3D" w14:textId="77777777" w:rsidR="005C63B8" w:rsidRDefault="005C63B8" w:rsidP="000574DF">
      <w:pPr>
        <w:spacing w:line="240" w:lineRule="auto"/>
      </w:pPr>
      <w:r>
        <w:separator/>
      </w:r>
    </w:p>
  </w:endnote>
  <w:endnote w:type="continuationSeparator" w:id="0">
    <w:p w14:paraId="792077A2" w14:textId="77777777" w:rsidR="005C63B8" w:rsidRDefault="005C63B8" w:rsidP="000574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32178518"/>
      <w:docPartObj>
        <w:docPartGallery w:val="Page Numbers (Bottom of Page)"/>
        <w:docPartUnique/>
      </w:docPartObj>
    </w:sdtPr>
    <w:sdtContent>
      <w:p w14:paraId="04F3B090" w14:textId="27268C4F" w:rsidR="000574DF" w:rsidRDefault="000574DF" w:rsidP="00A55DD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799DE59" w14:textId="77777777" w:rsidR="000574DF" w:rsidRDefault="000574DF" w:rsidP="000574D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18458940"/>
      <w:docPartObj>
        <w:docPartGallery w:val="Page Numbers (Bottom of Page)"/>
        <w:docPartUnique/>
      </w:docPartObj>
    </w:sdtPr>
    <w:sdtContent>
      <w:p w14:paraId="724B3B9D" w14:textId="480E4329" w:rsidR="000574DF" w:rsidRDefault="000574DF" w:rsidP="00A55DD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FD1E501" w14:textId="77777777" w:rsidR="000574DF" w:rsidRDefault="000574DF" w:rsidP="000574D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8111FD" w14:textId="77777777" w:rsidR="005C63B8" w:rsidRDefault="005C63B8" w:rsidP="000574DF">
      <w:pPr>
        <w:spacing w:line="240" w:lineRule="auto"/>
      </w:pPr>
      <w:r>
        <w:separator/>
      </w:r>
    </w:p>
  </w:footnote>
  <w:footnote w:type="continuationSeparator" w:id="0">
    <w:p w14:paraId="7DFC1E8D" w14:textId="77777777" w:rsidR="005C63B8" w:rsidRDefault="005C63B8" w:rsidP="000574D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F463E3"/>
    <w:multiLevelType w:val="multilevel"/>
    <w:tmpl w:val="57EEB9D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94E"/>
    <w:rsid w:val="000574DF"/>
    <w:rsid w:val="000A78A7"/>
    <w:rsid w:val="000F4EDC"/>
    <w:rsid w:val="00152CBB"/>
    <w:rsid w:val="00157D02"/>
    <w:rsid w:val="00182FA0"/>
    <w:rsid w:val="00355DB1"/>
    <w:rsid w:val="003C57CE"/>
    <w:rsid w:val="00431000"/>
    <w:rsid w:val="0048589D"/>
    <w:rsid w:val="005C63B8"/>
    <w:rsid w:val="00961A5D"/>
    <w:rsid w:val="00986CD5"/>
    <w:rsid w:val="00A2561D"/>
    <w:rsid w:val="00A55F88"/>
    <w:rsid w:val="00C54C0D"/>
    <w:rsid w:val="00CB6930"/>
    <w:rsid w:val="00D60BA0"/>
    <w:rsid w:val="00EB794E"/>
    <w:rsid w:val="00ED03AB"/>
    <w:rsid w:val="00FE3A5F"/>
  </w:rsids>
  <m:mathPr>
    <m:mathFont m:val="Cambria Math"/>
    <m:brkBin m:val="before"/>
    <m:brkBinSub m:val="--"/>
    <m:smallFrac m:val="0"/>
    <m:dispDef/>
    <m:lMargin m:val="0"/>
    <m:rMargin m:val="0"/>
    <m:defJc m:val="centerGroup"/>
    <m:wrapIndent m:val="1440"/>
    <m:intLim m:val="subSup"/>
    <m:naryLim m:val="undOvr"/>
  </m:mathPr>
  <w:themeFontLang w:val="en-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356BF"/>
  <w15:chartTrackingRefBased/>
  <w15:docId w15:val="{42F515F4-1854-E34A-A08B-B8E80E8945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B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03AB"/>
    <w:pPr>
      <w:spacing w:line="480" w:lineRule="auto"/>
    </w:pPr>
    <w:rPr>
      <w:rFonts w:ascii="Times New Roman" w:hAnsi="Times New Roman"/>
      <w:szCs w:val="22"/>
      <w:lang w:val="en-US"/>
    </w:rPr>
  </w:style>
  <w:style w:type="paragraph" w:styleId="Heading1">
    <w:name w:val="heading 1"/>
    <w:basedOn w:val="Normal"/>
    <w:next w:val="Normal"/>
    <w:link w:val="Heading1Char"/>
    <w:uiPriority w:val="9"/>
    <w:qFormat/>
    <w:rsid w:val="00ED03A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D03A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03AB"/>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ED03AB"/>
    <w:rPr>
      <w:rFonts w:asciiTheme="majorHAnsi" w:eastAsiaTheme="majorEastAsia" w:hAnsiTheme="majorHAnsi" w:cstheme="majorBidi"/>
      <w:color w:val="2F5496" w:themeColor="accent1" w:themeShade="BF"/>
      <w:sz w:val="26"/>
      <w:szCs w:val="26"/>
      <w:lang w:val="en-US"/>
    </w:rPr>
  </w:style>
  <w:style w:type="character" w:styleId="Hyperlink">
    <w:name w:val="Hyperlink"/>
    <w:basedOn w:val="DefaultParagraphFont"/>
    <w:uiPriority w:val="99"/>
    <w:unhideWhenUsed/>
    <w:rsid w:val="00ED03AB"/>
    <w:rPr>
      <w:color w:val="0563C1" w:themeColor="hyperlink"/>
      <w:u w:val="single"/>
    </w:rPr>
  </w:style>
  <w:style w:type="paragraph" w:styleId="TOCHeading">
    <w:name w:val="TOC Heading"/>
    <w:basedOn w:val="Heading1"/>
    <w:next w:val="Normal"/>
    <w:uiPriority w:val="39"/>
    <w:unhideWhenUsed/>
    <w:qFormat/>
    <w:rsid w:val="003C57CE"/>
    <w:pPr>
      <w:spacing w:before="480" w:line="276" w:lineRule="auto"/>
      <w:outlineLvl w:val="9"/>
    </w:pPr>
    <w:rPr>
      <w:b/>
      <w:bCs/>
      <w:sz w:val="28"/>
      <w:szCs w:val="28"/>
    </w:rPr>
  </w:style>
  <w:style w:type="paragraph" w:styleId="TOC1">
    <w:name w:val="toc 1"/>
    <w:basedOn w:val="Normal"/>
    <w:next w:val="Normal"/>
    <w:autoRedefine/>
    <w:uiPriority w:val="39"/>
    <w:unhideWhenUsed/>
    <w:rsid w:val="003C57CE"/>
    <w:pPr>
      <w:spacing w:before="120"/>
    </w:pPr>
    <w:rPr>
      <w:rFonts w:asciiTheme="minorHAnsi" w:hAnsiTheme="minorHAnsi" w:cstheme="minorHAnsi"/>
      <w:b/>
      <w:bCs/>
      <w:i/>
      <w:iCs/>
      <w:szCs w:val="24"/>
    </w:rPr>
  </w:style>
  <w:style w:type="paragraph" w:styleId="TOC2">
    <w:name w:val="toc 2"/>
    <w:basedOn w:val="Normal"/>
    <w:next w:val="Normal"/>
    <w:autoRedefine/>
    <w:uiPriority w:val="39"/>
    <w:unhideWhenUsed/>
    <w:rsid w:val="003C57CE"/>
    <w:pPr>
      <w:spacing w:before="12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3C57CE"/>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3C57CE"/>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3C57CE"/>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3C57CE"/>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3C57CE"/>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3C57CE"/>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3C57CE"/>
    <w:pPr>
      <w:ind w:left="1920"/>
    </w:pPr>
    <w:rPr>
      <w:rFonts w:asciiTheme="minorHAnsi" w:hAnsiTheme="minorHAnsi" w:cstheme="minorHAnsi"/>
      <w:sz w:val="20"/>
      <w:szCs w:val="20"/>
    </w:rPr>
  </w:style>
  <w:style w:type="paragraph" w:styleId="Footer">
    <w:name w:val="footer"/>
    <w:basedOn w:val="Normal"/>
    <w:link w:val="FooterChar"/>
    <w:uiPriority w:val="99"/>
    <w:unhideWhenUsed/>
    <w:rsid w:val="000574DF"/>
    <w:pPr>
      <w:tabs>
        <w:tab w:val="center" w:pos="4513"/>
        <w:tab w:val="right" w:pos="9026"/>
      </w:tabs>
      <w:spacing w:line="240" w:lineRule="auto"/>
    </w:pPr>
  </w:style>
  <w:style w:type="character" w:customStyle="1" w:styleId="FooterChar">
    <w:name w:val="Footer Char"/>
    <w:basedOn w:val="DefaultParagraphFont"/>
    <w:link w:val="Footer"/>
    <w:uiPriority w:val="99"/>
    <w:rsid w:val="000574DF"/>
    <w:rPr>
      <w:rFonts w:ascii="Times New Roman" w:hAnsi="Times New Roman"/>
      <w:szCs w:val="22"/>
      <w:lang w:val="en-US"/>
    </w:rPr>
  </w:style>
  <w:style w:type="character" w:styleId="PageNumber">
    <w:name w:val="page number"/>
    <w:basedOn w:val="DefaultParagraphFont"/>
    <w:uiPriority w:val="99"/>
    <w:semiHidden/>
    <w:unhideWhenUsed/>
    <w:rsid w:val="000574DF"/>
  </w:style>
  <w:style w:type="paragraph" w:styleId="NoSpacing">
    <w:name w:val="No Spacing"/>
    <w:link w:val="NoSpacingChar"/>
    <w:uiPriority w:val="1"/>
    <w:qFormat/>
    <w:rsid w:val="000574DF"/>
    <w:rPr>
      <w:rFonts w:eastAsiaTheme="minorEastAsia"/>
      <w:sz w:val="22"/>
      <w:szCs w:val="22"/>
      <w:lang w:val="en-US" w:eastAsia="zh-CN"/>
    </w:rPr>
  </w:style>
  <w:style w:type="character" w:customStyle="1" w:styleId="NoSpacingChar">
    <w:name w:val="No Spacing Char"/>
    <w:basedOn w:val="DefaultParagraphFont"/>
    <w:link w:val="NoSpacing"/>
    <w:uiPriority w:val="1"/>
    <w:rsid w:val="000574DF"/>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org/professionals/healthcare-professionals/cognitive-impairment-and-dementia-primary-care-practice-guide" TargetMode="External"/><Relationship Id="rId13" Type="http://schemas.openxmlformats.org/officeDocument/2006/relationships/hyperlink" Target="https://psycnet.apa.org/record/1962-00847-001" TargetMode="External"/><Relationship Id="rId18" Type="http://schemas.openxmlformats.org/officeDocument/2006/relationships/hyperlink" Target="https://bmcmedicine.biomedcentral.com/articles/10.1186/s12916-022-02464-4" TargetMode="External"/><Relationship Id="rId3" Type="http://schemas.openxmlformats.org/officeDocument/2006/relationships/styles" Target="styles.xml"/><Relationship Id="rId21" Type="http://schemas.openxmlformats.org/officeDocument/2006/relationships/hyperlink" Target="https://apps.who.int/iris/bitstream/handle/10665/199544/?sequence=1" TargetMode="External"/><Relationship Id="rId7" Type="http://schemas.openxmlformats.org/officeDocument/2006/relationships/endnotes" Target="endnotes.xml"/><Relationship Id="rId12" Type="http://schemas.openxmlformats.org/officeDocument/2006/relationships/hyperlink" Target="https://www.researchgate.net/profile/Sadao-Yoshida/publication/372105021" TargetMode="External"/><Relationship Id="rId17" Type="http://schemas.openxmlformats.org/officeDocument/2006/relationships/hyperlink" Target="https://psycnet.apa.org/record/2004-15428-012"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tandfonline.com/doi/pdf/10.2147/CIA.S249196" TargetMode="External"/><Relationship Id="rId20" Type="http://schemas.openxmlformats.org/officeDocument/2006/relationships/hyperlink" Target="https://www.tandfonline.com/doi/pdf/10.1080/13607863.2020.177474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ir.nii.ac.jp/crid/1130282271411864576"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link.springer.com/article/10.1186/s12872-019-1077-4" TargetMode="External"/><Relationship Id="rId23" Type="http://schemas.openxmlformats.org/officeDocument/2006/relationships/footer" Target="footer2.xml"/><Relationship Id="rId10" Type="http://schemas.openxmlformats.org/officeDocument/2006/relationships/hyperlink" Target="https://www.researchgate.net/profile/Charles-Emlet/publication/225369245" TargetMode="External"/><Relationship Id="rId19" Type="http://schemas.openxmlformats.org/officeDocument/2006/relationships/hyperlink" Target="https://www.academia.edu/download/89829225/download.pdf" TargetMode="External"/><Relationship Id="rId4" Type="http://schemas.openxmlformats.org/officeDocument/2006/relationships/settings" Target="settings.xml"/><Relationship Id="rId9" Type="http://schemas.openxmlformats.org/officeDocument/2006/relationships/hyperlink" Target="https://www.ahajournals.org/doi/full/10.1161/cir.0000000000000380" TargetMode="External"/><Relationship Id="rId14" Type="http://schemas.openxmlformats.org/officeDocument/2006/relationships/hyperlink" Target="https://www.tandfonline.com/doi/pdf/10.2147/CIA.S249196"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293121-68AB-A644-B419-CC101942B7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15</Pages>
  <Words>3703</Words>
  <Characters>25299</Characters>
  <Application>Microsoft Office Word</Application>
  <DocSecurity>0</DocSecurity>
  <Lines>408</Lines>
  <Paragraphs>86</Paragraphs>
  <ScaleCrop>false</ScaleCrop>
  <Company/>
  <LinksUpToDate>false</LinksUpToDate>
  <CharactersWithSpaces>28916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Zhasmina Krumova Georgieva (2026746)</dc:creator>
  <cp:keywords/>
  <dc:description/>
  <cp:lastModifiedBy>Zhasmina Krumova Georgieva (2026746)</cp:lastModifiedBy>
  <cp:revision>20</cp:revision>
  <dcterms:created xsi:type="dcterms:W3CDTF">2023-07-27T21:35:00Z</dcterms:created>
  <dcterms:modified xsi:type="dcterms:W3CDTF">2023-07-27T22:04:00Z</dcterms:modified>
</cp:coreProperties>
</file>