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182367" w14:textId="685B02F7" w:rsidR="000237A7" w:rsidRDefault="006F7F53" w:rsidP="00DC4348">
      <w:pPr>
        <w:ind w:left="720"/>
      </w:pPr>
      <w:bookmarkStart w:id="0" w:name="_GoBack"/>
      <w:bookmarkEnd w:id="0"/>
      <w:r>
        <w:rPr>
          <w:noProof/>
          <w:lang w:eastAsia="en-GB"/>
        </w:rPr>
        <w:drawing>
          <wp:inline distT="0" distB="0" distL="0" distR="0" wp14:anchorId="195F8594" wp14:editId="0094341E">
            <wp:extent cx="4752975" cy="1895475"/>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a:ln>
                      <a:noFill/>
                    </a:ln>
                  </pic:spPr>
                </pic:pic>
              </a:graphicData>
            </a:graphic>
          </wp:inline>
        </w:drawing>
      </w:r>
      <w:r w:rsidR="00DC4348">
        <w:tab/>
      </w:r>
    </w:p>
    <w:p w14:paraId="28171A82" w14:textId="3F3B9024" w:rsidR="00A32D55" w:rsidRDefault="008E32FC" w:rsidP="00BB27A7">
      <w:pPr>
        <w:ind w:left="2160" w:firstLine="720"/>
        <w:rPr>
          <w:rFonts w:ascii="Arial" w:hAnsi="Arial" w:cs="Arial"/>
          <w:b/>
          <w:bCs/>
        </w:rPr>
      </w:pPr>
      <w:r>
        <w:rPr>
          <w:rFonts w:ascii="Arial" w:hAnsi="Arial" w:cs="Arial"/>
          <w:b/>
          <w:bCs/>
        </w:rPr>
        <w:t xml:space="preserve">Title: </w:t>
      </w:r>
      <w:r w:rsidR="00A32D55" w:rsidRPr="00A32D55">
        <w:rPr>
          <w:rFonts w:ascii="Arial" w:hAnsi="Arial" w:cs="Arial"/>
          <w:b/>
          <w:bCs/>
        </w:rPr>
        <w:t>Financial</w:t>
      </w:r>
      <w:r>
        <w:rPr>
          <w:rFonts w:ascii="Arial" w:hAnsi="Arial" w:cs="Arial"/>
          <w:b/>
          <w:bCs/>
        </w:rPr>
        <w:t xml:space="preserve"> Management</w:t>
      </w:r>
    </w:p>
    <w:p w14:paraId="0996E9C8" w14:textId="7D934D75" w:rsidR="008E32FC" w:rsidRDefault="008E32FC">
      <w:pPr>
        <w:rPr>
          <w:rFonts w:ascii="Arial" w:hAnsi="Arial" w:cs="Arial"/>
          <w:b/>
          <w:bCs/>
        </w:rPr>
      </w:pPr>
    </w:p>
    <w:p w14:paraId="170F7D5D" w14:textId="48491600" w:rsidR="008E32FC" w:rsidRDefault="008E32FC">
      <w:pPr>
        <w:rPr>
          <w:rFonts w:ascii="Arial" w:hAnsi="Arial" w:cs="Arial"/>
          <w:b/>
          <w:bCs/>
        </w:rPr>
      </w:pPr>
    </w:p>
    <w:p w14:paraId="36DDE733" w14:textId="79FB6A43" w:rsidR="008E32FC" w:rsidRDefault="008E32FC">
      <w:pPr>
        <w:rPr>
          <w:rFonts w:ascii="Arial" w:hAnsi="Arial" w:cs="Arial"/>
          <w:b/>
          <w:bCs/>
        </w:rPr>
      </w:pPr>
    </w:p>
    <w:p w14:paraId="3D288B45" w14:textId="5773A484" w:rsidR="008E32FC" w:rsidRDefault="008E32FC">
      <w:pPr>
        <w:rPr>
          <w:rFonts w:ascii="Arial" w:hAnsi="Arial" w:cs="Arial"/>
          <w:b/>
          <w:bCs/>
        </w:rPr>
      </w:pPr>
    </w:p>
    <w:p w14:paraId="0A7B3C9D" w14:textId="34D112A6" w:rsidR="008E32FC" w:rsidRDefault="008E32FC">
      <w:pPr>
        <w:rPr>
          <w:rFonts w:ascii="Arial" w:hAnsi="Arial" w:cs="Arial"/>
          <w:b/>
          <w:bCs/>
        </w:rPr>
      </w:pPr>
    </w:p>
    <w:p w14:paraId="53C54C4F" w14:textId="530D6304" w:rsidR="008E32FC" w:rsidRDefault="008E32FC">
      <w:pPr>
        <w:rPr>
          <w:rFonts w:ascii="Arial" w:hAnsi="Arial" w:cs="Arial"/>
          <w:b/>
          <w:bCs/>
        </w:rPr>
      </w:pPr>
    </w:p>
    <w:p w14:paraId="439C7502" w14:textId="64419E6C" w:rsidR="008E32FC" w:rsidRDefault="008E32FC">
      <w:pPr>
        <w:rPr>
          <w:rFonts w:ascii="Arial" w:hAnsi="Arial" w:cs="Arial"/>
          <w:b/>
          <w:bCs/>
        </w:rPr>
      </w:pPr>
    </w:p>
    <w:p w14:paraId="44678720" w14:textId="52B7B40F" w:rsidR="008E32FC" w:rsidRDefault="008E32FC" w:rsidP="00BB27A7">
      <w:pPr>
        <w:ind w:left="2160"/>
        <w:rPr>
          <w:rFonts w:ascii="Arial" w:hAnsi="Arial" w:cs="Arial"/>
          <w:b/>
          <w:bCs/>
        </w:rPr>
      </w:pPr>
    </w:p>
    <w:p w14:paraId="6C8390B1" w14:textId="07814BB8" w:rsidR="008E32FC" w:rsidRDefault="008E32FC" w:rsidP="00BB27A7">
      <w:pPr>
        <w:ind w:left="2160"/>
        <w:rPr>
          <w:rFonts w:ascii="Arial" w:hAnsi="Arial" w:cs="Arial"/>
          <w:b/>
          <w:bCs/>
        </w:rPr>
      </w:pPr>
      <w:r>
        <w:rPr>
          <w:rFonts w:ascii="Arial" w:hAnsi="Arial" w:cs="Arial"/>
          <w:b/>
          <w:bCs/>
        </w:rPr>
        <w:t>Course Name: Master of Business Administration</w:t>
      </w:r>
    </w:p>
    <w:p w14:paraId="5C245552" w14:textId="7452B31D" w:rsidR="008E32FC" w:rsidRDefault="008E32FC" w:rsidP="00BB27A7">
      <w:pPr>
        <w:ind w:left="2160"/>
        <w:rPr>
          <w:rFonts w:ascii="Arial" w:hAnsi="Arial" w:cs="Arial"/>
          <w:b/>
          <w:bCs/>
        </w:rPr>
      </w:pPr>
      <w:r>
        <w:rPr>
          <w:rFonts w:ascii="Arial" w:hAnsi="Arial" w:cs="Arial"/>
          <w:b/>
          <w:bCs/>
        </w:rPr>
        <w:t>Course Code: LCMB7002</w:t>
      </w:r>
    </w:p>
    <w:p w14:paraId="378E61BD" w14:textId="6D234AA9" w:rsidR="008E32FC" w:rsidRDefault="008E32FC" w:rsidP="00BB27A7">
      <w:pPr>
        <w:ind w:left="2160"/>
        <w:rPr>
          <w:rFonts w:ascii="Arial" w:hAnsi="Arial" w:cs="Arial"/>
          <w:b/>
          <w:bCs/>
        </w:rPr>
      </w:pPr>
      <w:r>
        <w:rPr>
          <w:rFonts w:ascii="Arial" w:hAnsi="Arial" w:cs="Arial"/>
          <w:b/>
          <w:bCs/>
        </w:rPr>
        <w:t>Student: Errol Malcolm</w:t>
      </w:r>
    </w:p>
    <w:p w14:paraId="1D270153" w14:textId="725CB950" w:rsidR="008E32FC" w:rsidRDefault="008E32FC" w:rsidP="00BB27A7">
      <w:pPr>
        <w:ind w:left="2160"/>
        <w:rPr>
          <w:rFonts w:ascii="Arial" w:hAnsi="Arial" w:cs="Arial"/>
          <w:b/>
          <w:bCs/>
        </w:rPr>
      </w:pPr>
      <w:r>
        <w:rPr>
          <w:rFonts w:ascii="Arial" w:hAnsi="Arial" w:cs="Arial"/>
          <w:b/>
          <w:bCs/>
        </w:rPr>
        <w:t>Student Number: 1709503</w:t>
      </w:r>
    </w:p>
    <w:p w14:paraId="2C795B6E" w14:textId="4D03129C" w:rsidR="008E32FC" w:rsidRDefault="008E32FC" w:rsidP="00BB27A7">
      <w:pPr>
        <w:ind w:left="2160"/>
        <w:rPr>
          <w:rFonts w:ascii="Arial" w:hAnsi="Arial" w:cs="Arial"/>
          <w:b/>
          <w:bCs/>
        </w:rPr>
      </w:pPr>
      <w:r>
        <w:rPr>
          <w:rFonts w:ascii="Arial" w:hAnsi="Arial" w:cs="Arial"/>
          <w:b/>
          <w:bCs/>
        </w:rPr>
        <w:t xml:space="preserve">Lecturer: </w:t>
      </w:r>
      <w:r w:rsidR="007A7A22">
        <w:rPr>
          <w:rFonts w:ascii="Arial" w:hAnsi="Arial" w:cs="Arial"/>
          <w:b/>
          <w:bCs/>
        </w:rPr>
        <w:t xml:space="preserve">Dr </w:t>
      </w:r>
      <w:r>
        <w:rPr>
          <w:rFonts w:ascii="Arial" w:hAnsi="Arial" w:cs="Arial"/>
          <w:b/>
          <w:bCs/>
        </w:rPr>
        <w:t>Jia Miao</w:t>
      </w:r>
    </w:p>
    <w:p w14:paraId="09EDBC0C" w14:textId="0053D5E1" w:rsidR="007E67E6" w:rsidRDefault="007E67E6">
      <w:pPr>
        <w:rPr>
          <w:rFonts w:ascii="Arial" w:hAnsi="Arial" w:cs="Arial"/>
          <w:b/>
          <w:bCs/>
        </w:rPr>
      </w:pPr>
    </w:p>
    <w:p w14:paraId="2B40D116" w14:textId="70A2033F" w:rsidR="007E67E6" w:rsidRDefault="007E67E6">
      <w:pPr>
        <w:rPr>
          <w:rFonts w:ascii="Arial" w:hAnsi="Arial" w:cs="Arial"/>
          <w:b/>
          <w:bCs/>
        </w:rPr>
      </w:pPr>
    </w:p>
    <w:p w14:paraId="12637057" w14:textId="0BD9752D" w:rsidR="007E67E6" w:rsidRDefault="007E67E6">
      <w:pPr>
        <w:rPr>
          <w:rFonts w:ascii="Arial" w:hAnsi="Arial" w:cs="Arial"/>
          <w:b/>
          <w:bCs/>
        </w:rPr>
      </w:pPr>
    </w:p>
    <w:p w14:paraId="717AB349" w14:textId="77777777" w:rsidR="00BB27A7" w:rsidRDefault="00BB27A7">
      <w:pPr>
        <w:rPr>
          <w:rFonts w:ascii="Arial" w:hAnsi="Arial" w:cs="Arial"/>
          <w:b/>
          <w:bCs/>
          <w:u w:val="single"/>
        </w:rPr>
      </w:pPr>
    </w:p>
    <w:p w14:paraId="3A7FE268" w14:textId="77777777" w:rsidR="00BB27A7" w:rsidRDefault="00BB27A7">
      <w:pPr>
        <w:rPr>
          <w:rFonts w:ascii="Arial" w:hAnsi="Arial" w:cs="Arial"/>
          <w:b/>
          <w:bCs/>
          <w:u w:val="single"/>
        </w:rPr>
      </w:pPr>
    </w:p>
    <w:p w14:paraId="2213177F" w14:textId="77777777" w:rsidR="00BB27A7" w:rsidRDefault="00BB27A7">
      <w:pPr>
        <w:rPr>
          <w:rFonts w:ascii="Arial" w:hAnsi="Arial" w:cs="Arial"/>
          <w:b/>
          <w:bCs/>
          <w:u w:val="single"/>
        </w:rPr>
      </w:pPr>
    </w:p>
    <w:p w14:paraId="32367F3A" w14:textId="77777777" w:rsidR="00BB27A7" w:rsidRDefault="00BB27A7">
      <w:pPr>
        <w:rPr>
          <w:rFonts w:ascii="Arial" w:hAnsi="Arial" w:cs="Arial"/>
          <w:b/>
          <w:bCs/>
          <w:u w:val="single"/>
        </w:rPr>
      </w:pPr>
    </w:p>
    <w:p w14:paraId="0D7EBBA8" w14:textId="77777777" w:rsidR="00BB27A7" w:rsidRDefault="00BB27A7">
      <w:pPr>
        <w:rPr>
          <w:rFonts w:ascii="Arial" w:hAnsi="Arial" w:cs="Arial"/>
          <w:b/>
          <w:bCs/>
          <w:u w:val="single"/>
        </w:rPr>
      </w:pPr>
    </w:p>
    <w:p w14:paraId="46282F16" w14:textId="77777777" w:rsidR="00BB27A7" w:rsidRDefault="00BB27A7">
      <w:pPr>
        <w:rPr>
          <w:rFonts w:ascii="Arial" w:hAnsi="Arial" w:cs="Arial"/>
          <w:b/>
          <w:bCs/>
          <w:u w:val="single"/>
        </w:rPr>
      </w:pPr>
    </w:p>
    <w:p w14:paraId="26EA9380" w14:textId="77777777" w:rsidR="00BB27A7" w:rsidRDefault="00BB27A7">
      <w:pPr>
        <w:rPr>
          <w:rFonts w:ascii="Arial" w:hAnsi="Arial" w:cs="Arial"/>
          <w:b/>
          <w:bCs/>
          <w:u w:val="single"/>
        </w:rPr>
      </w:pPr>
    </w:p>
    <w:p w14:paraId="62556D03" w14:textId="000A47F6" w:rsidR="001D25CD" w:rsidRDefault="001D25CD">
      <w:pPr>
        <w:rPr>
          <w:rFonts w:ascii="Arial" w:hAnsi="Arial" w:cs="Arial"/>
          <w:b/>
          <w:bCs/>
          <w:u w:val="single"/>
        </w:rPr>
      </w:pPr>
    </w:p>
    <w:sdt>
      <w:sdtPr>
        <w:rPr>
          <w:rFonts w:asciiTheme="minorHAnsi" w:eastAsiaTheme="minorHAnsi" w:hAnsiTheme="minorHAnsi" w:cstheme="minorBidi"/>
          <w:color w:val="auto"/>
          <w:sz w:val="22"/>
          <w:szCs w:val="22"/>
          <w:lang w:val="en-GB"/>
        </w:rPr>
        <w:id w:val="-2115046694"/>
        <w:docPartObj>
          <w:docPartGallery w:val="Table of Contents"/>
          <w:docPartUnique/>
        </w:docPartObj>
      </w:sdtPr>
      <w:sdtEndPr>
        <w:rPr>
          <w:b/>
          <w:bCs/>
          <w:noProof/>
        </w:rPr>
      </w:sdtEndPr>
      <w:sdtContent>
        <w:p w14:paraId="7DF23737" w14:textId="685C88C4" w:rsidR="0010096F" w:rsidRDefault="0010096F">
          <w:pPr>
            <w:pStyle w:val="TOCHeading"/>
          </w:pPr>
          <w:r>
            <w:t>Contents</w:t>
          </w:r>
        </w:p>
        <w:p w14:paraId="07F05E10" w14:textId="0D71DC17" w:rsidR="00C83A31" w:rsidRDefault="0010096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176077" w:history="1">
            <w:r w:rsidR="00C83A31" w:rsidRPr="00147DE3">
              <w:rPr>
                <w:rStyle w:val="Hyperlink"/>
                <w:noProof/>
              </w:rPr>
              <w:t>Executive Summary:</w:t>
            </w:r>
            <w:r w:rsidR="00C83A31">
              <w:rPr>
                <w:noProof/>
                <w:webHidden/>
              </w:rPr>
              <w:tab/>
            </w:r>
            <w:r w:rsidR="00C83A31">
              <w:rPr>
                <w:noProof/>
                <w:webHidden/>
              </w:rPr>
              <w:fldChar w:fldCharType="begin"/>
            </w:r>
            <w:r w:rsidR="00C83A31">
              <w:rPr>
                <w:noProof/>
                <w:webHidden/>
              </w:rPr>
              <w:instrText xml:space="preserve"> PAGEREF _Toc72176077 \h </w:instrText>
            </w:r>
            <w:r w:rsidR="00C83A31">
              <w:rPr>
                <w:noProof/>
                <w:webHidden/>
              </w:rPr>
            </w:r>
            <w:r w:rsidR="00C83A31">
              <w:rPr>
                <w:noProof/>
                <w:webHidden/>
              </w:rPr>
              <w:fldChar w:fldCharType="separate"/>
            </w:r>
            <w:r w:rsidR="00C83A31">
              <w:rPr>
                <w:noProof/>
                <w:webHidden/>
              </w:rPr>
              <w:t>3</w:t>
            </w:r>
            <w:r w:rsidR="00C83A31">
              <w:rPr>
                <w:noProof/>
                <w:webHidden/>
              </w:rPr>
              <w:fldChar w:fldCharType="end"/>
            </w:r>
          </w:hyperlink>
        </w:p>
        <w:p w14:paraId="2B553DDE" w14:textId="20ACDE5C" w:rsidR="00C83A31" w:rsidRDefault="00004D40">
          <w:pPr>
            <w:pStyle w:val="TOC1"/>
            <w:tabs>
              <w:tab w:val="right" w:leader="dot" w:pos="9016"/>
            </w:tabs>
            <w:rPr>
              <w:rFonts w:eastAsiaTheme="minorEastAsia"/>
              <w:noProof/>
              <w:lang w:eastAsia="en-GB"/>
            </w:rPr>
          </w:pPr>
          <w:hyperlink w:anchor="_Toc72176078" w:history="1">
            <w:r w:rsidR="00C83A31" w:rsidRPr="00147DE3">
              <w:rPr>
                <w:rStyle w:val="Hyperlink"/>
                <w:noProof/>
              </w:rPr>
              <w:t>Part  A:</w:t>
            </w:r>
            <w:r w:rsidR="00C83A31">
              <w:rPr>
                <w:noProof/>
                <w:webHidden/>
              </w:rPr>
              <w:tab/>
            </w:r>
            <w:r w:rsidR="00C83A31">
              <w:rPr>
                <w:noProof/>
                <w:webHidden/>
              </w:rPr>
              <w:fldChar w:fldCharType="begin"/>
            </w:r>
            <w:r w:rsidR="00C83A31">
              <w:rPr>
                <w:noProof/>
                <w:webHidden/>
              </w:rPr>
              <w:instrText xml:space="preserve"> PAGEREF _Toc72176078 \h </w:instrText>
            </w:r>
            <w:r w:rsidR="00C83A31">
              <w:rPr>
                <w:noProof/>
                <w:webHidden/>
              </w:rPr>
            </w:r>
            <w:r w:rsidR="00C83A31">
              <w:rPr>
                <w:noProof/>
                <w:webHidden/>
              </w:rPr>
              <w:fldChar w:fldCharType="separate"/>
            </w:r>
            <w:r w:rsidR="00C83A31">
              <w:rPr>
                <w:noProof/>
                <w:webHidden/>
              </w:rPr>
              <w:t>4</w:t>
            </w:r>
            <w:r w:rsidR="00C83A31">
              <w:rPr>
                <w:noProof/>
                <w:webHidden/>
              </w:rPr>
              <w:fldChar w:fldCharType="end"/>
            </w:r>
          </w:hyperlink>
        </w:p>
        <w:p w14:paraId="00332E04" w14:textId="27ACB9AA" w:rsidR="00C83A31" w:rsidRDefault="00004D40">
          <w:pPr>
            <w:pStyle w:val="TOC1"/>
            <w:tabs>
              <w:tab w:val="right" w:leader="dot" w:pos="9016"/>
            </w:tabs>
            <w:rPr>
              <w:rFonts w:eastAsiaTheme="minorEastAsia"/>
              <w:noProof/>
              <w:lang w:eastAsia="en-GB"/>
            </w:rPr>
          </w:pPr>
          <w:hyperlink w:anchor="_Toc72176079" w:history="1">
            <w:r w:rsidR="00C83A31" w:rsidRPr="00147DE3">
              <w:rPr>
                <w:rStyle w:val="Hyperlink"/>
                <w:noProof/>
              </w:rPr>
              <w:t>The History and business model of GlaxoSmithKline:</w:t>
            </w:r>
            <w:r w:rsidR="00C83A31">
              <w:rPr>
                <w:noProof/>
                <w:webHidden/>
              </w:rPr>
              <w:tab/>
            </w:r>
            <w:r w:rsidR="00C83A31">
              <w:rPr>
                <w:noProof/>
                <w:webHidden/>
              </w:rPr>
              <w:fldChar w:fldCharType="begin"/>
            </w:r>
            <w:r w:rsidR="00C83A31">
              <w:rPr>
                <w:noProof/>
                <w:webHidden/>
              </w:rPr>
              <w:instrText xml:space="preserve"> PAGEREF _Toc72176079 \h </w:instrText>
            </w:r>
            <w:r w:rsidR="00C83A31">
              <w:rPr>
                <w:noProof/>
                <w:webHidden/>
              </w:rPr>
            </w:r>
            <w:r w:rsidR="00C83A31">
              <w:rPr>
                <w:noProof/>
                <w:webHidden/>
              </w:rPr>
              <w:fldChar w:fldCharType="separate"/>
            </w:r>
            <w:r w:rsidR="00C83A31">
              <w:rPr>
                <w:noProof/>
                <w:webHidden/>
              </w:rPr>
              <w:t>4</w:t>
            </w:r>
            <w:r w:rsidR="00C83A31">
              <w:rPr>
                <w:noProof/>
                <w:webHidden/>
              </w:rPr>
              <w:fldChar w:fldCharType="end"/>
            </w:r>
          </w:hyperlink>
        </w:p>
        <w:p w14:paraId="4679040D" w14:textId="5DFB3181" w:rsidR="00C83A31" w:rsidRDefault="00004D40">
          <w:pPr>
            <w:pStyle w:val="TOC1"/>
            <w:tabs>
              <w:tab w:val="right" w:leader="dot" w:pos="9016"/>
            </w:tabs>
            <w:rPr>
              <w:rFonts w:eastAsiaTheme="minorEastAsia"/>
              <w:noProof/>
              <w:lang w:eastAsia="en-GB"/>
            </w:rPr>
          </w:pPr>
          <w:hyperlink w:anchor="_Toc72176080" w:history="1">
            <w:r w:rsidR="00C83A31" w:rsidRPr="00147DE3">
              <w:rPr>
                <w:rStyle w:val="Hyperlink"/>
                <w:noProof/>
              </w:rPr>
              <w:t>Part B.</w:t>
            </w:r>
            <w:r w:rsidR="00C83A31">
              <w:rPr>
                <w:noProof/>
                <w:webHidden/>
              </w:rPr>
              <w:tab/>
            </w:r>
            <w:r w:rsidR="00C83A31">
              <w:rPr>
                <w:noProof/>
                <w:webHidden/>
              </w:rPr>
              <w:fldChar w:fldCharType="begin"/>
            </w:r>
            <w:r w:rsidR="00C83A31">
              <w:rPr>
                <w:noProof/>
                <w:webHidden/>
              </w:rPr>
              <w:instrText xml:space="preserve"> PAGEREF _Toc72176080 \h </w:instrText>
            </w:r>
            <w:r w:rsidR="00C83A31">
              <w:rPr>
                <w:noProof/>
                <w:webHidden/>
              </w:rPr>
            </w:r>
            <w:r w:rsidR="00C83A31">
              <w:rPr>
                <w:noProof/>
                <w:webHidden/>
              </w:rPr>
              <w:fldChar w:fldCharType="separate"/>
            </w:r>
            <w:r w:rsidR="00C83A31">
              <w:rPr>
                <w:noProof/>
                <w:webHidden/>
              </w:rPr>
              <w:t>4</w:t>
            </w:r>
            <w:r w:rsidR="00C83A31">
              <w:rPr>
                <w:noProof/>
                <w:webHidden/>
              </w:rPr>
              <w:fldChar w:fldCharType="end"/>
            </w:r>
          </w:hyperlink>
        </w:p>
        <w:p w14:paraId="2B9D5432" w14:textId="6E8B6205" w:rsidR="00C83A31" w:rsidRDefault="00004D40">
          <w:pPr>
            <w:pStyle w:val="TOC1"/>
            <w:tabs>
              <w:tab w:val="right" w:leader="dot" w:pos="9016"/>
            </w:tabs>
            <w:rPr>
              <w:rFonts w:eastAsiaTheme="minorEastAsia"/>
              <w:noProof/>
              <w:lang w:eastAsia="en-GB"/>
            </w:rPr>
          </w:pPr>
          <w:hyperlink w:anchor="_Toc72176081" w:history="1">
            <w:r w:rsidR="00C83A31" w:rsidRPr="00147DE3">
              <w:rPr>
                <w:rStyle w:val="Hyperlink"/>
                <w:noProof/>
              </w:rPr>
              <w:t>Financial Statements as a means of Communication:</w:t>
            </w:r>
            <w:r w:rsidR="00C83A31">
              <w:rPr>
                <w:noProof/>
                <w:webHidden/>
              </w:rPr>
              <w:tab/>
            </w:r>
            <w:r w:rsidR="00C83A31">
              <w:rPr>
                <w:noProof/>
                <w:webHidden/>
              </w:rPr>
              <w:fldChar w:fldCharType="begin"/>
            </w:r>
            <w:r w:rsidR="00C83A31">
              <w:rPr>
                <w:noProof/>
                <w:webHidden/>
              </w:rPr>
              <w:instrText xml:space="preserve"> PAGEREF _Toc72176081 \h </w:instrText>
            </w:r>
            <w:r w:rsidR="00C83A31">
              <w:rPr>
                <w:noProof/>
                <w:webHidden/>
              </w:rPr>
            </w:r>
            <w:r w:rsidR="00C83A31">
              <w:rPr>
                <w:noProof/>
                <w:webHidden/>
              </w:rPr>
              <w:fldChar w:fldCharType="separate"/>
            </w:r>
            <w:r w:rsidR="00C83A31">
              <w:rPr>
                <w:noProof/>
                <w:webHidden/>
              </w:rPr>
              <w:t>4</w:t>
            </w:r>
            <w:r w:rsidR="00C83A31">
              <w:rPr>
                <w:noProof/>
                <w:webHidden/>
              </w:rPr>
              <w:fldChar w:fldCharType="end"/>
            </w:r>
          </w:hyperlink>
        </w:p>
        <w:p w14:paraId="4DB3D27D" w14:textId="031F4F3E" w:rsidR="00C83A31" w:rsidRDefault="00004D40">
          <w:pPr>
            <w:pStyle w:val="TOC1"/>
            <w:tabs>
              <w:tab w:val="right" w:leader="dot" w:pos="9016"/>
            </w:tabs>
            <w:rPr>
              <w:rFonts w:eastAsiaTheme="minorEastAsia"/>
              <w:noProof/>
              <w:lang w:eastAsia="en-GB"/>
            </w:rPr>
          </w:pPr>
          <w:hyperlink w:anchor="_Toc72176082" w:history="1">
            <w:r w:rsidR="00C83A31" w:rsidRPr="00147DE3">
              <w:rPr>
                <w:rStyle w:val="Hyperlink"/>
                <w:noProof/>
              </w:rPr>
              <w:t>GlaxoSmithKline’s Financial Performance of the last five years:</w:t>
            </w:r>
            <w:r w:rsidR="00C83A31">
              <w:rPr>
                <w:noProof/>
                <w:webHidden/>
              </w:rPr>
              <w:tab/>
            </w:r>
            <w:r w:rsidR="00C83A31">
              <w:rPr>
                <w:noProof/>
                <w:webHidden/>
              </w:rPr>
              <w:fldChar w:fldCharType="begin"/>
            </w:r>
            <w:r w:rsidR="00C83A31">
              <w:rPr>
                <w:noProof/>
                <w:webHidden/>
              </w:rPr>
              <w:instrText xml:space="preserve"> PAGEREF _Toc72176082 \h </w:instrText>
            </w:r>
            <w:r w:rsidR="00C83A31">
              <w:rPr>
                <w:noProof/>
                <w:webHidden/>
              </w:rPr>
            </w:r>
            <w:r w:rsidR="00C83A31">
              <w:rPr>
                <w:noProof/>
                <w:webHidden/>
              </w:rPr>
              <w:fldChar w:fldCharType="separate"/>
            </w:r>
            <w:r w:rsidR="00C83A31">
              <w:rPr>
                <w:noProof/>
                <w:webHidden/>
              </w:rPr>
              <w:t>5</w:t>
            </w:r>
            <w:r w:rsidR="00C83A31">
              <w:rPr>
                <w:noProof/>
                <w:webHidden/>
              </w:rPr>
              <w:fldChar w:fldCharType="end"/>
            </w:r>
          </w:hyperlink>
        </w:p>
        <w:p w14:paraId="069ED477" w14:textId="42B187D3" w:rsidR="00C83A31" w:rsidRDefault="00004D40">
          <w:pPr>
            <w:pStyle w:val="TOC2"/>
            <w:tabs>
              <w:tab w:val="right" w:leader="dot" w:pos="9016"/>
            </w:tabs>
            <w:rPr>
              <w:rFonts w:eastAsiaTheme="minorEastAsia"/>
              <w:noProof/>
              <w:lang w:eastAsia="en-GB"/>
            </w:rPr>
          </w:pPr>
          <w:hyperlink w:anchor="_Toc72176083" w:history="1">
            <w:r w:rsidR="00C83A31" w:rsidRPr="00147DE3">
              <w:rPr>
                <w:rStyle w:val="Hyperlink"/>
                <w:noProof/>
              </w:rPr>
              <w:t>2020</w:t>
            </w:r>
            <w:r w:rsidR="00C83A31">
              <w:rPr>
                <w:noProof/>
                <w:webHidden/>
              </w:rPr>
              <w:tab/>
            </w:r>
            <w:r w:rsidR="00C83A31">
              <w:rPr>
                <w:noProof/>
                <w:webHidden/>
              </w:rPr>
              <w:fldChar w:fldCharType="begin"/>
            </w:r>
            <w:r w:rsidR="00C83A31">
              <w:rPr>
                <w:noProof/>
                <w:webHidden/>
              </w:rPr>
              <w:instrText xml:space="preserve"> PAGEREF _Toc72176083 \h </w:instrText>
            </w:r>
            <w:r w:rsidR="00C83A31">
              <w:rPr>
                <w:noProof/>
                <w:webHidden/>
              </w:rPr>
            </w:r>
            <w:r w:rsidR="00C83A31">
              <w:rPr>
                <w:noProof/>
                <w:webHidden/>
              </w:rPr>
              <w:fldChar w:fldCharType="separate"/>
            </w:r>
            <w:r w:rsidR="00C83A31">
              <w:rPr>
                <w:noProof/>
                <w:webHidden/>
              </w:rPr>
              <w:t>5</w:t>
            </w:r>
            <w:r w:rsidR="00C83A31">
              <w:rPr>
                <w:noProof/>
                <w:webHidden/>
              </w:rPr>
              <w:fldChar w:fldCharType="end"/>
            </w:r>
          </w:hyperlink>
        </w:p>
        <w:p w14:paraId="16497E8C" w14:textId="6B115217" w:rsidR="00C83A31" w:rsidRDefault="00004D40">
          <w:pPr>
            <w:pStyle w:val="TOC2"/>
            <w:tabs>
              <w:tab w:val="right" w:leader="dot" w:pos="9016"/>
            </w:tabs>
            <w:rPr>
              <w:rFonts w:eastAsiaTheme="minorEastAsia"/>
              <w:noProof/>
              <w:lang w:eastAsia="en-GB"/>
            </w:rPr>
          </w:pPr>
          <w:hyperlink w:anchor="_Toc72176084" w:history="1">
            <w:r w:rsidR="00C83A31" w:rsidRPr="00147DE3">
              <w:rPr>
                <w:rStyle w:val="Hyperlink"/>
                <w:noProof/>
              </w:rPr>
              <w:t>Johnson and Johnson</w:t>
            </w:r>
            <w:r w:rsidR="00C83A31">
              <w:rPr>
                <w:noProof/>
                <w:webHidden/>
              </w:rPr>
              <w:tab/>
            </w:r>
            <w:r w:rsidR="00C83A31">
              <w:rPr>
                <w:noProof/>
                <w:webHidden/>
              </w:rPr>
              <w:fldChar w:fldCharType="begin"/>
            </w:r>
            <w:r w:rsidR="00C83A31">
              <w:rPr>
                <w:noProof/>
                <w:webHidden/>
              </w:rPr>
              <w:instrText xml:space="preserve"> PAGEREF _Toc72176084 \h </w:instrText>
            </w:r>
            <w:r w:rsidR="00C83A31">
              <w:rPr>
                <w:noProof/>
                <w:webHidden/>
              </w:rPr>
            </w:r>
            <w:r w:rsidR="00C83A31">
              <w:rPr>
                <w:noProof/>
                <w:webHidden/>
              </w:rPr>
              <w:fldChar w:fldCharType="separate"/>
            </w:r>
            <w:r w:rsidR="00C83A31">
              <w:rPr>
                <w:noProof/>
                <w:webHidden/>
              </w:rPr>
              <w:t>5</w:t>
            </w:r>
            <w:r w:rsidR="00C83A31">
              <w:rPr>
                <w:noProof/>
                <w:webHidden/>
              </w:rPr>
              <w:fldChar w:fldCharType="end"/>
            </w:r>
          </w:hyperlink>
        </w:p>
        <w:p w14:paraId="1C8885DF" w14:textId="309E36F0" w:rsidR="00C83A31" w:rsidRDefault="00004D40">
          <w:pPr>
            <w:pStyle w:val="TOC2"/>
            <w:tabs>
              <w:tab w:val="right" w:leader="dot" w:pos="9016"/>
            </w:tabs>
            <w:rPr>
              <w:rFonts w:eastAsiaTheme="minorEastAsia"/>
              <w:noProof/>
              <w:lang w:eastAsia="en-GB"/>
            </w:rPr>
          </w:pPr>
          <w:hyperlink w:anchor="_Toc72176085" w:history="1">
            <w:r w:rsidR="00C83A31" w:rsidRPr="00147DE3">
              <w:rPr>
                <w:rStyle w:val="Hyperlink"/>
                <w:noProof/>
              </w:rPr>
              <w:t>2020</w:t>
            </w:r>
            <w:r w:rsidR="00C83A31">
              <w:rPr>
                <w:noProof/>
                <w:webHidden/>
              </w:rPr>
              <w:tab/>
            </w:r>
            <w:r w:rsidR="00C83A31">
              <w:rPr>
                <w:noProof/>
                <w:webHidden/>
              </w:rPr>
              <w:fldChar w:fldCharType="begin"/>
            </w:r>
            <w:r w:rsidR="00C83A31">
              <w:rPr>
                <w:noProof/>
                <w:webHidden/>
              </w:rPr>
              <w:instrText xml:space="preserve"> PAGEREF _Toc72176085 \h </w:instrText>
            </w:r>
            <w:r w:rsidR="00C83A31">
              <w:rPr>
                <w:noProof/>
                <w:webHidden/>
              </w:rPr>
            </w:r>
            <w:r w:rsidR="00C83A31">
              <w:rPr>
                <w:noProof/>
                <w:webHidden/>
              </w:rPr>
              <w:fldChar w:fldCharType="separate"/>
            </w:r>
            <w:r w:rsidR="00C83A31">
              <w:rPr>
                <w:noProof/>
                <w:webHidden/>
              </w:rPr>
              <w:t>6</w:t>
            </w:r>
            <w:r w:rsidR="00C83A31">
              <w:rPr>
                <w:noProof/>
                <w:webHidden/>
              </w:rPr>
              <w:fldChar w:fldCharType="end"/>
            </w:r>
          </w:hyperlink>
        </w:p>
        <w:p w14:paraId="3C847AA7" w14:textId="41AA3D59" w:rsidR="00C83A31" w:rsidRDefault="00004D40">
          <w:pPr>
            <w:pStyle w:val="TOC2"/>
            <w:tabs>
              <w:tab w:val="right" w:leader="dot" w:pos="9016"/>
            </w:tabs>
            <w:rPr>
              <w:rFonts w:eastAsiaTheme="minorEastAsia"/>
              <w:noProof/>
              <w:lang w:eastAsia="en-GB"/>
            </w:rPr>
          </w:pPr>
          <w:hyperlink w:anchor="_Toc72176086" w:history="1">
            <w:r w:rsidR="00C83A31" w:rsidRPr="00147DE3">
              <w:rPr>
                <w:rStyle w:val="Hyperlink"/>
                <w:noProof/>
              </w:rPr>
              <w:t>Roche</w:t>
            </w:r>
            <w:r w:rsidR="00C83A31">
              <w:rPr>
                <w:noProof/>
                <w:webHidden/>
              </w:rPr>
              <w:tab/>
            </w:r>
            <w:r w:rsidR="00C83A31">
              <w:rPr>
                <w:noProof/>
                <w:webHidden/>
              </w:rPr>
              <w:fldChar w:fldCharType="begin"/>
            </w:r>
            <w:r w:rsidR="00C83A31">
              <w:rPr>
                <w:noProof/>
                <w:webHidden/>
              </w:rPr>
              <w:instrText xml:space="preserve"> PAGEREF _Toc72176086 \h </w:instrText>
            </w:r>
            <w:r w:rsidR="00C83A31">
              <w:rPr>
                <w:noProof/>
                <w:webHidden/>
              </w:rPr>
            </w:r>
            <w:r w:rsidR="00C83A31">
              <w:rPr>
                <w:noProof/>
                <w:webHidden/>
              </w:rPr>
              <w:fldChar w:fldCharType="separate"/>
            </w:r>
            <w:r w:rsidR="00C83A31">
              <w:rPr>
                <w:noProof/>
                <w:webHidden/>
              </w:rPr>
              <w:t>6</w:t>
            </w:r>
            <w:r w:rsidR="00C83A31">
              <w:rPr>
                <w:noProof/>
                <w:webHidden/>
              </w:rPr>
              <w:fldChar w:fldCharType="end"/>
            </w:r>
          </w:hyperlink>
        </w:p>
        <w:p w14:paraId="41622CD0" w14:textId="3A7DAFB5" w:rsidR="00C83A31" w:rsidRDefault="00004D40">
          <w:pPr>
            <w:pStyle w:val="TOC2"/>
            <w:tabs>
              <w:tab w:val="right" w:leader="dot" w:pos="9016"/>
            </w:tabs>
            <w:rPr>
              <w:rFonts w:eastAsiaTheme="minorEastAsia"/>
              <w:noProof/>
              <w:lang w:eastAsia="en-GB"/>
            </w:rPr>
          </w:pPr>
          <w:hyperlink w:anchor="_Toc72176087" w:history="1">
            <w:r w:rsidR="00C83A31" w:rsidRPr="00147DE3">
              <w:rPr>
                <w:rStyle w:val="Hyperlink"/>
                <w:noProof/>
              </w:rPr>
              <w:t>2020</w:t>
            </w:r>
            <w:r w:rsidR="00C83A31">
              <w:rPr>
                <w:noProof/>
                <w:webHidden/>
              </w:rPr>
              <w:tab/>
            </w:r>
            <w:r w:rsidR="00C83A31">
              <w:rPr>
                <w:noProof/>
                <w:webHidden/>
              </w:rPr>
              <w:fldChar w:fldCharType="begin"/>
            </w:r>
            <w:r w:rsidR="00C83A31">
              <w:rPr>
                <w:noProof/>
                <w:webHidden/>
              </w:rPr>
              <w:instrText xml:space="preserve"> PAGEREF _Toc72176087 \h </w:instrText>
            </w:r>
            <w:r w:rsidR="00C83A31">
              <w:rPr>
                <w:noProof/>
                <w:webHidden/>
              </w:rPr>
            </w:r>
            <w:r w:rsidR="00C83A31">
              <w:rPr>
                <w:noProof/>
                <w:webHidden/>
              </w:rPr>
              <w:fldChar w:fldCharType="separate"/>
            </w:r>
            <w:r w:rsidR="00C83A31">
              <w:rPr>
                <w:noProof/>
                <w:webHidden/>
              </w:rPr>
              <w:t>6</w:t>
            </w:r>
            <w:r w:rsidR="00C83A31">
              <w:rPr>
                <w:noProof/>
                <w:webHidden/>
              </w:rPr>
              <w:fldChar w:fldCharType="end"/>
            </w:r>
          </w:hyperlink>
        </w:p>
        <w:p w14:paraId="6E5E00BA" w14:textId="0213DFE0" w:rsidR="00C83A31" w:rsidRDefault="00004D40">
          <w:pPr>
            <w:pStyle w:val="TOC2"/>
            <w:tabs>
              <w:tab w:val="right" w:leader="dot" w:pos="9016"/>
            </w:tabs>
            <w:rPr>
              <w:rFonts w:eastAsiaTheme="minorEastAsia"/>
              <w:noProof/>
              <w:lang w:eastAsia="en-GB"/>
            </w:rPr>
          </w:pPr>
          <w:hyperlink w:anchor="_Toc72176088" w:history="1">
            <w:r w:rsidR="00C83A31" w:rsidRPr="00147DE3">
              <w:rPr>
                <w:rStyle w:val="Hyperlink"/>
                <w:noProof/>
              </w:rPr>
              <w:t>Astra Zeneca</w:t>
            </w:r>
            <w:r w:rsidR="00C83A31">
              <w:rPr>
                <w:noProof/>
                <w:webHidden/>
              </w:rPr>
              <w:tab/>
            </w:r>
            <w:r w:rsidR="00C83A31">
              <w:rPr>
                <w:noProof/>
                <w:webHidden/>
              </w:rPr>
              <w:fldChar w:fldCharType="begin"/>
            </w:r>
            <w:r w:rsidR="00C83A31">
              <w:rPr>
                <w:noProof/>
                <w:webHidden/>
              </w:rPr>
              <w:instrText xml:space="preserve"> PAGEREF _Toc72176088 \h </w:instrText>
            </w:r>
            <w:r w:rsidR="00C83A31">
              <w:rPr>
                <w:noProof/>
                <w:webHidden/>
              </w:rPr>
            </w:r>
            <w:r w:rsidR="00C83A31">
              <w:rPr>
                <w:noProof/>
                <w:webHidden/>
              </w:rPr>
              <w:fldChar w:fldCharType="separate"/>
            </w:r>
            <w:r w:rsidR="00C83A31">
              <w:rPr>
                <w:noProof/>
                <w:webHidden/>
              </w:rPr>
              <w:t>6</w:t>
            </w:r>
            <w:r w:rsidR="00C83A31">
              <w:rPr>
                <w:noProof/>
                <w:webHidden/>
              </w:rPr>
              <w:fldChar w:fldCharType="end"/>
            </w:r>
          </w:hyperlink>
        </w:p>
        <w:p w14:paraId="274EBF41" w14:textId="684B6015" w:rsidR="00C83A31" w:rsidRDefault="00004D40">
          <w:pPr>
            <w:pStyle w:val="TOC1"/>
            <w:tabs>
              <w:tab w:val="right" w:leader="dot" w:pos="9016"/>
            </w:tabs>
            <w:rPr>
              <w:rFonts w:eastAsiaTheme="minorEastAsia"/>
              <w:noProof/>
              <w:lang w:eastAsia="en-GB"/>
            </w:rPr>
          </w:pPr>
          <w:hyperlink w:anchor="_Toc72176089" w:history="1">
            <w:r w:rsidR="00C83A31" w:rsidRPr="00147DE3">
              <w:rPr>
                <w:rStyle w:val="Hyperlink"/>
                <w:noProof/>
              </w:rPr>
              <w:t>Calculation of Key Financial Ratios</w:t>
            </w:r>
            <w:r w:rsidR="00C83A31">
              <w:rPr>
                <w:noProof/>
                <w:webHidden/>
              </w:rPr>
              <w:tab/>
            </w:r>
            <w:r w:rsidR="00C83A31">
              <w:rPr>
                <w:noProof/>
                <w:webHidden/>
              </w:rPr>
              <w:fldChar w:fldCharType="begin"/>
            </w:r>
            <w:r w:rsidR="00C83A31">
              <w:rPr>
                <w:noProof/>
                <w:webHidden/>
              </w:rPr>
              <w:instrText xml:space="preserve"> PAGEREF _Toc72176089 \h </w:instrText>
            </w:r>
            <w:r w:rsidR="00C83A31">
              <w:rPr>
                <w:noProof/>
                <w:webHidden/>
              </w:rPr>
            </w:r>
            <w:r w:rsidR="00C83A31">
              <w:rPr>
                <w:noProof/>
                <w:webHidden/>
              </w:rPr>
              <w:fldChar w:fldCharType="separate"/>
            </w:r>
            <w:r w:rsidR="00C83A31">
              <w:rPr>
                <w:noProof/>
                <w:webHidden/>
              </w:rPr>
              <w:t>7</w:t>
            </w:r>
            <w:r w:rsidR="00C83A31">
              <w:rPr>
                <w:noProof/>
                <w:webHidden/>
              </w:rPr>
              <w:fldChar w:fldCharType="end"/>
            </w:r>
          </w:hyperlink>
        </w:p>
        <w:p w14:paraId="130BF8CF" w14:textId="2DEC424A" w:rsidR="00C83A31" w:rsidRDefault="00004D40">
          <w:pPr>
            <w:pStyle w:val="TOC2"/>
            <w:tabs>
              <w:tab w:val="right" w:leader="dot" w:pos="9016"/>
            </w:tabs>
            <w:rPr>
              <w:rFonts w:eastAsiaTheme="minorEastAsia"/>
              <w:noProof/>
              <w:lang w:eastAsia="en-GB"/>
            </w:rPr>
          </w:pPr>
          <w:hyperlink w:anchor="_Toc72176090" w:history="1">
            <w:r w:rsidR="00C83A31" w:rsidRPr="00147DE3">
              <w:rPr>
                <w:rStyle w:val="Hyperlink"/>
                <w:noProof/>
              </w:rPr>
              <w:t>Profitability Ratios:</w:t>
            </w:r>
            <w:r w:rsidR="00C83A31">
              <w:rPr>
                <w:noProof/>
                <w:webHidden/>
              </w:rPr>
              <w:tab/>
            </w:r>
            <w:r w:rsidR="00C83A31">
              <w:rPr>
                <w:noProof/>
                <w:webHidden/>
              </w:rPr>
              <w:fldChar w:fldCharType="begin"/>
            </w:r>
            <w:r w:rsidR="00C83A31">
              <w:rPr>
                <w:noProof/>
                <w:webHidden/>
              </w:rPr>
              <w:instrText xml:space="preserve"> PAGEREF _Toc72176090 \h </w:instrText>
            </w:r>
            <w:r w:rsidR="00C83A31">
              <w:rPr>
                <w:noProof/>
                <w:webHidden/>
              </w:rPr>
            </w:r>
            <w:r w:rsidR="00C83A31">
              <w:rPr>
                <w:noProof/>
                <w:webHidden/>
              </w:rPr>
              <w:fldChar w:fldCharType="separate"/>
            </w:r>
            <w:r w:rsidR="00C83A31">
              <w:rPr>
                <w:noProof/>
                <w:webHidden/>
              </w:rPr>
              <w:t>7</w:t>
            </w:r>
            <w:r w:rsidR="00C83A31">
              <w:rPr>
                <w:noProof/>
                <w:webHidden/>
              </w:rPr>
              <w:fldChar w:fldCharType="end"/>
            </w:r>
          </w:hyperlink>
        </w:p>
        <w:p w14:paraId="4D54C8A8" w14:textId="5AC314F4" w:rsidR="00C83A31" w:rsidRDefault="00004D40">
          <w:pPr>
            <w:pStyle w:val="TOC2"/>
            <w:tabs>
              <w:tab w:val="right" w:leader="dot" w:pos="9016"/>
            </w:tabs>
            <w:rPr>
              <w:rFonts w:eastAsiaTheme="minorEastAsia"/>
              <w:noProof/>
              <w:lang w:eastAsia="en-GB"/>
            </w:rPr>
          </w:pPr>
          <w:hyperlink w:anchor="_Toc72176091" w:history="1">
            <w:r w:rsidR="00C83A31" w:rsidRPr="00147DE3">
              <w:rPr>
                <w:rStyle w:val="Hyperlink"/>
                <w:noProof/>
              </w:rPr>
              <w:t>Dividends:</w:t>
            </w:r>
            <w:r w:rsidR="00C83A31">
              <w:rPr>
                <w:noProof/>
                <w:webHidden/>
              </w:rPr>
              <w:tab/>
            </w:r>
            <w:r w:rsidR="00C83A31">
              <w:rPr>
                <w:noProof/>
                <w:webHidden/>
              </w:rPr>
              <w:fldChar w:fldCharType="begin"/>
            </w:r>
            <w:r w:rsidR="00C83A31">
              <w:rPr>
                <w:noProof/>
                <w:webHidden/>
              </w:rPr>
              <w:instrText xml:space="preserve"> PAGEREF _Toc72176091 \h </w:instrText>
            </w:r>
            <w:r w:rsidR="00C83A31">
              <w:rPr>
                <w:noProof/>
                <w:webHidden/>
              </w:rPr>
            </w:r>
            <w:r w:rsidR="00C83A31">
              <w:rPr>
                <w:noProof/>
                <w:webHidden/>
              </w:rPr>
              <w:fldChar w:fldCharType="separate"/>
            </w:r>
            <w:r w:rsidR="00C83A31">
              <w:rPr>
                <w:noProof/>
                <w:webHidden/>
              </w:rPr>
              <w:t>7</w:t>
            </w:r>
            <w:r w:rsidR="00C83A31">
              <w:rPr>
                <w:noProof/>
                <w:webHidden/>
              </w:rPr>
              <w:fldChar w:fldCharType="end"/>
            </w:r>
          </w:hyperlink>
        </w:p>
        <w:p w14:paraId="48A2BC5B" w14:textId="4AE563FE" w:rsidR="00C83A31" w:rsidRDefault="00004D40">
          <w:pPr>
            <w:pStyle w:val="TOC2"/>
            <w:tabs>
              <w:tab w:val="right" w:leader="dot" w:pos="9016"/>
            </w:tabs>
            <w:rPr>
              <w:rFonts w:eastAsiaTheme="minorEastAsia"/>
              <w:noProof/>
              <w:lang w:eastAsia="en-GB"/>
            </w:rPr>
          </w:pPr>
          <w:hyperlink w:anchor="_Toc72176092" w:history="1">
            <w:r w:rsidR="00C83A31" w:rsidRPr="00147DE3">
              <w:rPr>
                <w:rStyle w:val="Hyperlink"/>
                <w:noProof/>
              </w:rPr>
              <w:t>Profitability Ratios and Dividend Policy:</w:t>
            </w:r>
            <w:r w:rsidR="00C83A31">
              <w:rPr>
                <w:noProof/>
                <w:webHidden/>
              </w:rPr>
              <w:tab/>
            </w:r>
            <w:r w:rsidR="00C83A31">
              <w:rPr>
                <w:noProof/>
                <w:webHidden/>
              </w:rPr>
              <w:fldChar w:fldCharType="begin"/>
            </w:r>
            <w:r w:rsidR="00C83A31">
              <w:rPr>
                <w:noProof/>
                <w:webHidden/>
              </w:rPr>
              <w:instrText xml:space="preserve"> PAGEREF _Toc72176092 \h </w:instrText>
            </w:r>
            <w:r w:rsidR="00C83A31">
              <w:rPr>
                <w:noProof/>
                <w:webHidden/>
              </w:rPr>
            </w:r>
            <w:r w:rsidR="00C83A31">
              <w:rPr>
                <w:noProof/>
                <w:webHidden/>
              </w:rPr>
              <w:fldChar w:fldCharType="separate"/>
            </w:r>
            <w:r w:rsidR="00C83A31">
              <w:rPr>
                <w:noProof/>
                <w:webHidden/>
              </w:rPr>
              <w:t>8</w:t>
            </w:r>
            <w:r w:rsidR="00C83A31">
              <w:rPr>
                <w:noProof/>
                <w:webHidden/>
              </w:rPr>
              <w:fldChar w:fldCharType="end"/>
            </w:r>
          </w:hyperlink>
        </w:p>
        <w:p w14:paraId="2620DB68" w14:textId="09E9890D" w:rsidR="00C83A31" w:rsidRDefault="00004D40">
          <w:pPr>
            <w:pStyle w:val="TOC2"/>
            <w:tabs>
              <w:tab w:val="right" w:leader="dot" w:pos="9016"/>
            </w:tabs>
            <w:rPr>
              <w:rFonts w:eastAsiaTheme="minorEastAsia"/>
              <w:noProof/>
              <w:lang w:eastAsia="en-GB"/>
            </w:rPr>
          </w:pPr>
          <w:hyperlink w:anchor="_Toc72176093" w:history="1">
            <w:r w:rsidR="00C83A31" w:rsidRPr="00147DE3">
              <w:rPr>
                <w:rStyle w:val="Hyperlink"/>
                <w:noProof/>
              </w:rPr>
              <w:t>Profitability Ratio of GSK and their rivals below:</w:t>
            </w:r>
            <w:r w:rsidR="00C83A31">
              <w:rPr>
                <w:noProof/>
                <w:webHidden/>
              </w:rPr>
              <w:tab/>
            </w:r>
            <w:r w:rsidR="00C83A31">
              <w:rPr>
                <w:noProof/>
                <w:webHidden/>
              </w:rPr>
              <w:fldChar w:fldCharType="begin"/>
            </w:r>
            <w:r w:rsidR="00C83A31">
              <w:rPr>
                <w:noProof/>
                <w:webHidden/>
              </w:rPr>
              <w:instrText xml:space="preserve"> PAGEREF _Toc72176093 \h </w:instrText>
            </w:r>
            <w:r w:rsidR="00C83A31">
              <w:rPr>
                <w:noProof/>
                <w:webHidden/>
              </w:rPr>
            </w:r>
            <w:r w:rsidR="00C83A31">
              <w:rPr>
                <w:noProof/>
                <w:webHidden/>
              </w:rPr>
              <w:fldChar w:fldCharType="separate"/>
            </w:r>
            <w:r w:rsidR="00C83A31">
              <w:rPr>
                <w:noProof/>
                <w:webHidden/>
              </w:rPr>
              <w:t>8</w:t>
            </w:r>
            <w:r w:rsidR="00C83A31">
              <w:rPr>
                <w:noProof/>
                <w:webHidden/>
              </w:rPr>
              <w:fldChar w:fldCharType="end"/>
            </w:r>
          </w:hyperlink>
        </w:p>
        <w:p w14:paraId="558DF148" w14:textId="57E00297" w:rsidR="00C83A31" w:rsidRDefault="00004D40">
          <w:pPr>
            <w:pStyle w:val="TOC1"/>
            <w:tabs>
              <w:tab w:val="right" w:leader="dot" w:pos="9016"/>
            </w:tabs>
            <w:rPr>
              <w:rFonts w:eastAsiaTheme="minorEastAsia"/>
              <w:noProof/>
              <w:lang w:eastAsia="en-GB"/>
            </w:rPr>
          </w:pPr>
          <w:hyperlink w:anchor="_Toc72176094" w:history="1">
            <w:r w:rsidR="00C83A31" w:rsidRPr="00147DE3">
              <w:rPr>
                <w:rStyle w:val="Hyperlink"/>
                <w:noProof/>
                <w:shd w:val="clear" w:color="auto" w:fill="FFFFFF"/>
              </w:rPr>
              <w:t>Liquidity:</w:t>
            </w:r>
            <w:r w:rsidR="00C83A31">
              <w:rPr>
                <w:noProof/>
                <w:webHidden/>
              </w:rPr>
              <w:tab/>
            </w:r>
            <w:r w:rsidR="00C83A31">
              <w:rPr>
                <w:noProof/>
                <w:webHidden/>
              </w:rPr>
              <w:fldChar w:fldCharType="begin"/>
            </w:r>
            <w:r w:rsidR="00C83A31">
              <w:rPr>
                <w:noProof/>
                <w:webHidden/>
              </w:rPr>
              <w:instrText xml:space="preserve"> PAGEREF _Toc72176094 \h </w:instrText>
            </w:r>
            <w:r w:rsidR="00C83A31">
              <w:rPr>
                <w:noProof/>
                <w:webHidden/>
              </w:rPr>
            </w:r>
            <w:r w:rsidR="00C83A31">
              <w:rPr>
                <w:noProof/>
                <w:webHidden/>
              </w:rPr>
              <w:fldChar w:fldCharType="separate"/>
            </w:r>
            <w:r w:rsidR="00C83A31">
              <w:rPr>
                <w:noProof/>
                <w:webHidden/>
              </w:rPr>
              <w:t>9</w:t>
            </w:r>
            <w:r w:rsidR="00C83A31">
              <w:rPr>
                <w:noProof/>
                <w:webHidden/>
              </w:rPr>
              <w:fldChar w:fldCharType="end"/>
            </w:r>
          </w:hyperlink>
        </w:p>
        <w:p w14:paraId="416E4274" w14:textId="119644FD" w:rsidR="00C83A31" w:rsidRDefault="00004D40">
          <w:pPr>
            <w:pStyle w:val="TOC1"/>
            <w:tabs>
              <w:tab w:val="right" w:leader="dot" w:pos="9016"/>
            </w:tabs>
            <w:rPr>
              <w:rFonts w:eastAsiaTheme="minorEastAsia"/>
              <w:noProof/>
              <w:lang w:eastAsia="en-GB"/>
            </w:rPr>
          </w:pPr>
          <w:hyperlink w:anchor="_Toc72176095" w:history="1">
            <w:r w:rsidR="00C83A31" w:rsidRPr="00147DE3">
              <w:rPr>
                <w:rStyle w:val="Hyperlink"/>
                <w:noProof/>
              </w:rPr>
              <w:t>GSK’s Liquidity Ratios in Comparison to Rivals :</w:t>
            </w:r>
            <w:r w:rsidR="00C83A31">
              <w:rPr>
                <w:noProof/>
                <w:webHidden/>
              </w:rPr>
              <w:tab/>
            </w:r>
            <w:r w:rsidR="00C83A31">
              <w:rPr>
                <w:noProof/>
                <w:webHidden/>
              </w:rPr>
              <w:fldChar w:fldCharType="begin"/>
            </w:r>
            <w:r w:rsidR="00C83A31">
              <w:rPr>
                <w:noProof/>
                <w:webHidden/>
              </w:rPr>
              <w:instrText xml:space="preserve"> PAGEREF _Toc72176095 \h </w:instrText>
            </w:r>
            <w:r w:rsidR="00C83A31">
              <w:rPr>
                <w:noProof/>
                <w:webHidden/>
              </w:rPr>
            </w:r>
            <w:r w:rsidR="00C83A31">
              <w:rPr>
                <w:noProof/>
                <w:webHidden/>
              </w:rPr>
              <w:fldChar w:fldCharType="separate"/>
            </w:r>
            <w:r w:rsidR="00C83A31">
              <w:rPr>
                <w:noProof/>
                <w:webHidden/>
              </w:rPr>
              <w:t>10</w:t>
            </w:r>
            <w:r w:rsidR="00C83A31">
              <w:rPr>
                <w:noProof/>
                <w:webHidden/>
              </w:rPr>
              <w:fldChar w:fldCharType="end"/>
            </w:r>
          </w:hyperlink>
        </w:p>
        <w:p w14:paraId="3DF83A2D" w14:textId="4E7FB6BA" w:rsidR="00C83A31" w:rsidRDefault="00004D40">
          <w:pPr>
            <w:pStyle w:val="TOC1"/>
            <w:tabs>
              <w:tab w:val="right" w:leader="dot" w:pos="9016"/>
            </w:tabs>
            <w:rPr>
              <w:rFonts w:eastAsiaTheme="minorEastAsia"/>
              <w:noProof/>
              <w:lang w:eastAsia="en-GB"/>
            </w:rPr>
          </w:pPr>
          <w:hyperlink w:anchor="_Toc72176096" w:history="1">
            <w:r w:rsidR="00C83A31" w:rsidRPr="00147DE3">
              <w:rPr>
                <w:rStyle w:val="Hyperlink"/>
                <w:noProof/>
              </w:rPr>
              <w:t>Gearing Efficiency Ratios:</w:t>
            </w:r>
            <w:r w:rsidR="00C83A31">
              <w:rPr>
                <w:noProof/>
                <w:webHidden/>
              </w:rPr>
              <w:tab/>
            </w:r>
            <w:r w:rsidR="00C83A31">
              <w:rPr>
                <w:noProof/>
                <w:webHidden/>
              </w:rPr>
              <w:fldChar w:fldCharType="begin"/>
            </w:r>
            <w:r w:rsidR="00C83A31">
              <w:rPr>
                <w:noProof/>
                <w:webHidden/>
              </w:rPr>
              <w:instrText xml:space="preserve"> PAGEREF _Toc72176096 \h </w:instrText>
            </w:r>
            <w:r w:rsidR="00C83A31">
              <w:rPr>
                <w:noProof/>
                <w:webHidden/>
              </w:rPr>
            </w:r>
            <w:r w:rsidR="00C83A31">
              <w:rPr>
                <w:noProof/>
                <w:webHidden/>
              </w:rPr>
              <w:fldChar w:fldCharType="separate"/>
            </w:r>
            <w:r w:rsidR="00C83A31">
              <w:rPr>
                <w:noProof/>
                <w:webHidden/>
              </w:rPr>
              <w:t>10</w:t>
            </w:r>
            <w:r w:rsidR="00C83A31">
              <w:rPr>
                <w:noProof/>
                <w:webHidden/>
              </w:rPr>
              <w:fldChar w:fldCharType="end"/>
            </w:r>
          </w:hyperlink>
        </w:p>
        <w:p w14:paraId="76DCA89C" w14:textId="713F5F31" w:rsidR="00C83A31" w:rsidRDefault="00004D40">
          <w:pPr>
            <w:pStyle w:val="TOC1"/>
            <w:tabs>
              <w:tab w:val="right" w:leader="dot" w:pos="9016"/>
            </w:tabs>
            <w:rPr>
              <w:rFonts w:eastAsiaTheme="minorEastAsia"/>
              <w:noProof/>
              <w:lang w:eastAsia="en-GB"/>
            </w:rPr>
          </w:pPr>
          <w:hyperlink w:anchor="_Toc72176097" w:history="1">
            <w:r w:rsidR="00C83A31" w:rsidRPr="00147DE3">
              <w:rPr>
                <w:rStyle w:val="Hyperlink"/>
                <w:noProof/>
              </w:rPr>
              <w:t>Part C:</w:t>
            </w:r>
            <w:r w:rsidR="00C83A31">
              <w:rPr>
                <w:noProof/>
                <w:webHidden/>
              </w:rPr>
              <w:tab/>
            </w:r>
            <w:r w:rsidR="00C83A31">
              <w:rPr>
                <w:noProof/>
                <w:webHidden/>
              </w:rPr>
              <w:fldChar w:fldCharType="begin"/>
            </w:r>
            <w:r w:rsidR="00C83A31">
              <w:rPr>
                <w:noProof/>
                <w:webHidden/>
              </w:rPr>
              <w:instrText xml:space="preserve"> PAGEREF _Toc72176097 \h </w:instrText>
            </w:r>
            <w:r w:rsidR="00C83A31">
              <w:rPr>
                <w:noProof/>
                <w:webHidden/>
              </w:rPr>
            </w:r>
            <w:r w:rsidR="00C83A31">
              <w:rPr>
                <w:noProof/>
                <w:webHidden/>
              </w:rPr>
              <w:fldChar w:fldCharType="separate"/>
            </w:r>
            <w:r w:rsidR="00C83A31">
              <w:rPr>
                <w:noProof/>
                <w:webHidden/>
              </w:rPr>
              <w:t>12</w:t>
            </w:r>
            <w:r w:rsidR="00C83A31">
              <w:rPr>
                <w:noProof/>
                <w:webHidden/>
              </w:rPr>
              <w:fldChar w:fldCharType="end"/>
            </w:r>
          </w:hyperlink>
        </w:p>
        <w:p w14:paraId="0A3D67D4" w14:textId="77B457E5" w:rsidR="00C83A31" w:rsidRDefault="00004D40">
          <w:pPr>
            <w:pStyle w:val="TOC1"/>
            <w:tabs>
              <w:tab w:val="right" w:leader="dot" w:pos="9016"/>
            </w:tabs>
            <w:rPr>
              <w:rFonts w:eastAsiaTheme="minorEastAsia"/>
              <w:noProof/>
              <w:lang w:eastAsia="en-GB"/>
            </w:rPr>
          </w:pPr>
          <w:hyperlink w:anchor="_Toc72176098" w:history="1">
            <w:r w:rsidR="00C83A31" w:rsidRPr="00147DE3">
              <w:rPr>
                <w:rStyle w:val="Hyperlink"/>
                <w:noProof/>
              </w:rPr>
              <w:t>Investment Appraisal Techniques:</w:t>
            </w:r>
            <w:r w:rsidR="00C83A31">
              <w:rPr>
                <w:noProof/>
                <w:webHidden/>
              </w:rPr>
              <w:tab/>
            </w:r>
            <w:r w:rsidR="00C83A31">
              <w:rPr>
                <w:noProof/>
                <w:webHidden/>
              </w:rPr>
              <w:fldChar w:fldCharType="begin"/>
            </w:r>
            <w:r w:rsidR="00C83A31">
              <w:rPr>
                <w:noProof/>
                <w:webHidden/>
              </w:rPr>
              <w:instrText xml:space="preserve"> PAGEREF _Toc72176098 \h </w:instrText>
            </w:r>
            <w:r w:rsidR="00C83A31">
              <w:rPr>
                <w:noProof/>
                <w:webHidden/>
              </w:rPr>
            </w:r>
            <w:r w:rsidR="00C83A31">
              <w:rPr>
                <w:noProof/>
                <w:webHidden/>
              </w:rPr>
              <w:fldChar w:fldCharType="separate"/>
            </w:r>
            <w:r w:rsidR="00C83A31">
              <w:rPr>
                <w:noProof/>
                <w:webHidden/>
              </w:rPr>
              <w:t>12</w:t>
            </w:r>
            <w:r w:rsidR="00C83A31">
              <w:rPr>
                <w:noProof/>
                <w:webHidden/>
              </w:rPr>
              <w:fldChar w:fldCharType="end"/>
            </w:r>
          </w:hyperlink>
        </w:p>
        <w:p w14:paraId="70C4ECEE" w14:textId="5A0EB10A" w:rsidR="00C83A31" w:rsidRDefault="00004D40">
          <w:pPr>
            <w:pStyle w:val="TOC1"/>
            <w:tabs>
              <w:tab w:val="right" w:leader="dot" w:pos="9016"/>
            </w:tabs>
            <w:rPr>
              <w:rFonts w:eastAsiaTheme="minorEastAsia"/>
              <w:noProof/>
              <w:lang w:eastAsia="en-GB"/>
            </w:rPr>
          </w:pPr>
          <w:hyperlink w:anchor="_Toc72176099" w:history="1">
            <w:r w:rsidR="00C83A31" w:rsidRPr="00147DE3">
              <w:rPr>
                <w:rStyle w:val="Hyperlink"/>
                <w:noProof/>
              </w:rPr>
              <w:t>The Pay Back Period Technique:</w:t>
            </w:r>
            <w:r w:rsidR="00C83A31">
              <w:rPr>
                <w:noProof/>
                <w:webHidden/>
              </w:rPr>
              <w:tab/>
            </w:r>
            <w:r w:rsidR="00C83A31">
              <w:rPr>
                <w:noProof/>
                <w:webHidden/>
              </w:rPr>
              <w:fldChar w:fldCharType="begin"/>
            </w:r>
            <w:r w:rsidR="00C83A31">
              <w:rPr>
                <w:noProof/>
                <w:webHidden/>
              </w:rPr>
              <w:instrText xml:space="preserve"> PAGEREF _Toc72176099 \h </w:instrText>
            </w:r>
            <w:r w:rsidR="00C83A31">
              <w:rPr>
                <w:noProof/>
                <w:webHidden/>
              </w:rPr>
            </w:r>
            <w:r w:rsidR="00C83A31">
              <w:rPr>
                <w:noProof/>
                <w:webHidden/>
              </w:rPr>
              <w:fldChar w:fldCharType="separate"/>
            </w:r>
            <w:r w:rsidR="00C83A31">
              <w:rPr>
                <w:noProof/>
                <w:webHidden/>
              </w:rPr>
              <w:t>12</w:t>
            </w:r>
            <w:r w:rsidR="00C83A31">
              <w:rPr>
                <w:noProof/>
                <w:webHidden/>
              </w:rPr>
              <w:fldChar w:fldCharType="end"/>
            </w:r>
          </w:hyperlink>
        </w:p>
        <w:p w14:paraId="4DC25A26" w14:textId="65DF36D2" w:rsidR="00C83A31" w:rsidRDefault="00004D40">
          <w:pPr>
            <w:pStyle w:val="TOC1"/>
            <w:tabs>
              <w:tab w:val="right" w:leader="dot" w:pos="9016"/>
            </w:tabs>
            <w:rPr>
              <w:rFonts w:eastAsiaTheme="minorEastAsia"/>
              <w:noProof/>
              <w:lang w:eastAsia="en-GB"/>
            </w:rPr>
          </w:pPr>
          <w:hyperlink w:anchor="_Toc72176100" w:history="1">
            <w:r w:rsidR="00C83A31" w:rsidRPr="00147DE3">
              <w:rPr>
                <w:rStyle w:val="Hyperlink"/>
                <w:noProof/>
              </w:rPr>
              <w:t>Accounting Rate of Return (ARR):</w:t>
            </w:r>
            <w:r w:rsidR="00C83A31">
              <w:rPr>
                <w:noProof/>
                <w:webHidden/>
              </w:rPr>
              <w:tab/>
            </w:r>
            <w:r w:rsidR="00C83A31">
              <w:rPr>
                <w:noProof/>
                <w:webHidden/>
              </w:rPr>
              <w:fldChar w:fldCharType="begin"/>
            </w:r>
            <w:r w:rsidR="00C83A31">
              <w:rPr>
                <w:noProof/>
                <w:webHidden/>
              </w:rPr>
              <w:instrText xml:space="preserve"> PAGEREF _Toc72176100 \h </w:instrText>
            </w:r>
            <w:r w:rsidR="00C83A31">
              <w:rPr>
                <w:noProof/>
                <w:webHidden/>
              </w:rPr>
            </w:r>
            <w:r w:rsidR="00C83A31">
              <w:rPr>
                <w:noProof/>
                <w:webHidden/>
              </w:rPr>
              <w:fldChar w:fldCharType="separate"/>
            </w:r>
            <w:r w:rsidR="00C83A31">
              <w:rPr>
                <w:noProof/>
                <w:webHidden/>
              </w:rPr>
              <w:t>13</w:t>
            </w:r>
            <w:r w:rsidR="00C83A31">
              <w:rPr>
                <w:noProof/>
                <w:webHidden/>
              </w:rPr>
              <w:fldChar w:fldCharType="end"/>
            </w:r>
          </w:hyperlink>
        </w:p>
        <w:p w14:paraId="34094F07" w14:textId="570DF627" w:rsidR="00C83A31" w:rsidRDefault="00004D40">
          <w:pPr>
            <w:pStyle w:val="TOC2"/>
            <w:tabs>
              <w:tab w:val="right" w:leader="dot" w:pos="9016"/>
            </w:tabs>
            <w:rPr>
              <w:rFonts w:eastAsiaTheme="minorEastAsia"/>
              <w:noProof/>
              <w:lang w:eastAsia="en-GB"/>
            </w:rPr>
          </w:pPr>
          <w:hyperlink w:anchor="_Toc72176101" w:history="1">
            <w:r w:rsidR="00C83A31" w:rsidRPr="00147DE3">
              <w:rPr>
                <w:rStyle w:val="Hyperlink"/>
                <w:noProof/>
              </w:rPr>
              <w:t>Accounting Rate of Return:</w:t>
            </w:r>
            <w:r w:rsidR="00C83A31">
              <w:rPr>
                <w:noProof/>
                <w:webHidden/>
              </w:rPr>
              <w:tab/>
            </w:r>
            <w:r w:rsidR="00C83A31">
              <w:rPr>
                <w:noProof/>
                <w:webHidden/>
              </w:rPr>
              <w:fldChar w:fldCharType="begin"/>
            </w:r>
            <w:r w:rsidR="00C83A31">
              <w:rPr>
                <w:noProof/>
                <w:webHidden/>
              </w:rPr>
              <w:instrText xml:space="preserve"> PAGEREF _Toc72176101 \h </w:instrText>
            </w:r>
            <w:r w:rsidR="00C83A31">
              <w:rPr>
                <w:noProof/>
                <w:webHidden/>
              </w:rPr>
            </w:r>
            <w:r w:rsidR="00C83A31">
              <w:rPr>
                <w:noProof/>
                <w:webHidden/>
              </w:rPr>
              <w:fldChar w:fldCharType="separate"/>
            </w:r>
            <w:r w:rsidR="00C83A31">
              <w:rPr>
                <w:noProof/>
                <w:webHidden/>
              </w:rPr>
              <w:t>14</w:t>
            </w:r>
            <w:r w:rsidR="00C83A31">
              <w:rPr>
                <w:noProof/>
                <w:webHidden/>
              </w:rPr>
              <w:fldChar w:fldCharType="end"/>
            </w:r>
          </w:hyperlink>
        </w:p>
        <w:p w14:paraId="6429969C" w14:textId="2EB97BAE" w:rsidR="00C83A31" w:rsidRDefault="00004D40">
          <w:pPr>
            <w:pStyle w:val="TOC1"/>
            <w:tabs>
              <w:tab w:val="right" w:leader="dot" w:pos="9016"/>
            </w:tabs>
            <w:rPr>
              <w:rFonts w:eastAsiaTheme="minorEastAsia"/>
              <w:noProof/>
              <w:lang w:eastAsia="en-GB"/>
            </w:rPr>
          </w:pPr>
          <w:hyperlink w:anchor="_Toc72176102" w:history="1">
            <w:r w:rsidR="00C83A31" w:rsidRPr="00147DE3">
              <w:rPr>
                <w:rStyle w:val="Hyperlink"/>
                <w:noProof/>
              </w:rPr>
              <w:t>The Net present Value (NVP) Technique:</w:t>
            </w:r>
            <w:r w:rsidR="00C83A31">
              <w:rPr>
                <w:noProof/>
                <w:webHidden/>
              </w:rPr>
              <w:tab/>
            </w:r>
            <w:r w:rsidR="00C83A31">
              <w:rPr>
                <w:noProof/>
                <w:webHidden/>
              </w:rPr>
              <w:fldChar w:fldCharType="begin"/>
            </w:r>
            <w:r w:rsidR="00C83A31">
              <w:rPr>
                <w:noProof/>
                <w:webHidden/>
              </w:rPr>
              <w:instrText xml:space="preserve"> PAGEREF _Toc72176102 \h </w:instrText>
            </w:r>
            <w:r w:rsidR="00C83A31">
              <w:rPr>
                <w:noProof/>
                <w:webHidden/>
              </w:rPr>
            </w:r>
            <w:r w:rsidR="00C83A31">
              <w:rPr>
                <w:noProof/>
                <w:webHidden/>
              </w:rPr>
              <w:fldChar w:fldCharType="separate"/>
            </w:r>
            <w:r w:rsidR="00C83A31">
              <w:rPr>
                <w:noProof/>
                <w:webHidden/>
              </w:rPr>
              <w:t>14</w:t>
            </w:r>
            <w:r w:rsidR="00C83A31">
              <w:rPr>
                <w:noProof/>
                <w:webHidden/>
              </w:rPr>
              <w:fldChar w:fldCharType="end"/>
            </w:r>
          </w:hyperlink>
        </w:p>
        <w:p w14:paraId="2A83BB0F" w14:textId="4F620402" w:rsidR="00C83A31" w:rsidRDefault="00004D40">
          <w:pPr>
            <w:pStyle w:val="TOC2"/>
            <w:tabs>
              <w:tab w:val="right" w:leader="dot" w:pos="9016"/>
            </w:tabs>
            <w:rPr>
              <w:rFonts w:eastAsiaTheme="minorEastAsia"/>
              <w:noProof/>
              <w:lang w:eastAsia="en-GB"/>
            </w:rPr>
          </w:pPr>
          <w:hyperlink w:anchor="_Toc72176103" w:history="1">
            <w:r w:rsidR="00C83A31" w:rsidRPr="00147DE3">
              <w:rPr>
                <w:rStyle w:val="Hyperlink"/>
                <w:noProof/>
              </w:rPr>
              <w:t>Net Present Value:</w:t>
            </w:r>
            <w:r w:rsidR="00C83A31">
              <w:rPr>
                <w:noProof/>
                <w:webHidden/>
              </w:rPr>
              <w:tab/>
            </w:r>
            <w:r w:rsidR="00C83A31">
              <w:rPr>
                <w:noProof/>
                <w:webHidden/>
              </w:rPr>
              <w:fldChar w:fldCharType="begin"/>
            </w:r>
            <w:r w:rsidR="00C83A31">
              <w:rPr>
                <w:noProof/>
                <w:webHidden/>
              </w:rPr>
              <w:instrText xml:space="preserve"> PAGEREF _Toc72176103 \h </w:instrText>
            </w:r>
            <w:r w:rsidR="00C83A31">
              <w:rPr>
                <w:noProof/>
                <w:webHidden/>
              </w:rPr>
            </w:r>
            <w:r w:rsidR="00C83A31">
              <w:rPr>
                <w:noProof/>
                <w:webHidden/>
              </w:rPr>
              <w:fldChar w:fldCharType="separate"/>
            </w:r>
            <w:r w:rsidR="00C83A31">
              <w:rPr>
                <w:noProof/>
                <w:webHidden/>
              </w:rPr>
              <w:t>15</w:t>
            </w:r>
            <w:r w:rsidR="00C83A31">
              <w:rPr>
                <w:noProof/>
                <w:webHidden/>
              </w:rPr>
              <w:fldChar w:fldCharType="end"/>
            </w:r>
          </w:hyperlink>
        </w:p>
        <w:p w14:paraId="1AAC06DE" w14:textId="79A175CC" w:rsidR="00C83A31" w:rsidRDefault="00004D40">
          <w:pPr>
            <w:pStyle w:val="TOC1"/>
            <w:tabs>
              <w:tab w:val="right" w:leader="dot" w:pos="9016"/>
            </w:tabs>
            <w:rPr>
              <w:rFonts w:eastAsiaTheme="minorEastAsia"/>
              <w:noProof/>
              <w:lang w:eastAsia="en-GB"/>
            </w:rPr>
          </w:pPr>
          <w:hyperlink w:anchor="_Toc72176104" w:history="1">
            <w:r w:rsidR="00C83A31" w:rsidRPr="00147DE3">
              <w:rPr>
                <w:rStyle w:val="Hyperlink"/>
                <w:noProof/>
              </w:rPr>
              <w:t>Conclusion:</w:t>
            </w:r>
            <w:r w:rsidR="00C83A31">
              <w:rPr>
                <w:noProof/>
                <w:webHidden/>
              </w:rPr>
              <w:tab/>
            </w:r>
            <w:r w:rsidR="00C83A31">
              <w:rPr>
                <w:noProof/>
                <w:webHidden/>
              </w:rPr>
              <w:fldChar w:fldCharType="begin"/>
            </w:r>
            <w:r w:rsidR="00C83A31">
              <w:rPr>
                <w:noProof/>
                <w:webHidden/>
              </w:rPr>
              <w:instrText xml:space="preserve"> PAGEREF _Toc72176104 \h </w:instrText>
            </w:r>
            <w:r w:rsidR="00C83A31">
              <w:rPr>
                <w:noProof/>
                <w:webHidden/>
              </w:rPr>
            </w:r>
            <w:r w:rsidR="00C83A31">
              <w:rPr>
                <w:noProof/>
                <w:webHidden/>
              </w:rPr>
              <w:fldChar w:fldCharType="separate"/>
            </w:r>
            <w:r w:rsidR="00C83A31">
              <w:rPr>
                <w:noProof/>
                <w:webHidden/>
              </w:rPr>
              <w:t>15</w:t>
            </w:r>
            <w:r w:rsidR="00C83A31">
              <w:rPr>
                <w:noProof/>
                <w:webHidden/>
              </w:rPr>
              <w:fldChar w:fldCharType="end"/>
            </w:r>
          </w:hyperlink>
        </w:p>
        <w:p w14:paraId="54903303" w14:textId="54289852" w:rsidR="00C83A31" w:rsidRDefault="00004D40">
          <w:pPr>
            <w:pStyle w:val="TOC1"/>
            <w:tabs>
              <w:tab w:val="right" w:leader="dot" w:pos="9016"/>
            </w:tabs>
            <w:rPr>
              <w:rFonts w:eastAsiaTheme="minorEastAsia"/>
              <w:noProof/>
              <w:lang w:eastAsia="en-GB"/>
            </w:rPr>
          </w:pPr>
          <w:hyperlink w:anchor="_Toc72176105" w:history="1">
            <w:r w:rsidR="00C83A31" w:rsidRPr="00147DE3">
              <w:rPr>
                <w:rStyle w:val="Hyperlink"/>
                <w:noProof/>
              </w:rPr>
              <w:t>References:</w:t>
            </w:r>
            <w:r w:rsidR="00C83A31">
              <w:rPr>
                <w:noProof/>
                <w:webHidden/>
              </w:rPr>
              <w:tab/>
            </w:r>
            <w:r w:rsidR="00C83A31">
              <w:rPr>
                <w:noProof/>
                <w:webHidden/>
              </w:rPr>
              <w:fldChar w:fldCharType="begin"/>
            </w:r>
            <w:r w:rsidR="00C83A31">
              <w:rPr>
                <w:noProof/>
                <w:webHidden/>
              </w:rPr>
              <w:instrText xml:space="preserve"> PAGEREF _Toc72176105 \h </w:instrText>
            </w:r>
            <w:r w:rsidR="00C83A31">
              <w:rPr>
                <w:noProof/>
                <w:webHidden/>
              </w:rPr>
            </w:r>
            <w:r w:rsidR="00C83A31">
              <w:rPr>
                <w:noProof/>
                <w:webHidden/>
              </w:rPr>
              <w:fldChar w:fldCharType="separate"/>
            </w:r>
            <w:r w:rsidR="00C83A31">
              <w:rPr>
                <w:noProof/>
                <w:webHidden/>
              </w:rPr>
              <w:t>17</w:t>
            </w:r>
            <w:r w:rsidR="00C83A31">
              <w:rPr>
                <w:noProof/>
                <w:webHidden/>
              </w:rPr>
              <w:fldChar w:fldCharType="end"/>
            </w:r>
          </w:hyperlink>
        </w:p>
        <w:p w14:paraId="503D3091" w14:textId="3B01D50E" w:rsidR="0010096F" w:rsidRDefault="0010096F">
          <w:r>
            <w:rPr>
              <w:b/>
              <w:bCs/>
              <w:noProof/>
            </w:rPr>
            <w:fldChar w:fldCharType="end"/>
          </w:r>
        </w:p>
      </w:sdtContent>
    </w:sdt>
    <w:p w14:paraId="03375D5C" w14:textId="77777777" w:rsidR="001D25CD" w:rsidRDefault="001D25CD">
      <w:pPr>
        <w:rPr>
          <w:rFonts w:ascii="Arial" w:hAnsi="Arial" w:cs="Arial"/>
          <w:b/>
          <w:bCs/>
          <w:u w:val="single"/>
        </w:rPr>
      </w:pPr>
    </w:p>
    <w:p w14:paraId="2AAAF8FC" w14:textId="77777777" w:rsidR="001D25CD" w:rsidRDefault="001D25CD">
      <w:pPr>
        <w:rPr>
          <w:rFonts w:ascii="Arial" w:hAnsi="Arial" w:cs="Arial"/>
          <w:b/>
          <w:bCs/>
          <w:u w:val="single"/>
        </w:rPr>
      </w:pPr>
    </w:p>
    <w:p w14:paraId="412168A3" w14:textId="77777777" w:rsidR="001D25CD" w:rsidRDefault="001D25CD">
      <w:pPr>
        <w:rPr>
          <w:rFonts w:ascii="Arial" w:hAnsi="Arial" w:cs="Arial"/>
          <w:b/>
          <w:bCs/>
          <w:u w:val="single"/>
        </w:rPr>
      </w:pPr>
    </w:p>
    <w:p w14:paraId="47467966" w14:textId="77777777" w:rsidR="00571CC6" w:rsidRDefault="00571CC6">
      <w:pPr>
        <w:rPr>
          <w:rFonts w:ascii="Arial" w:hAnsi="Arial" w:cs="Arial"/>
          <w:b/>
          <w:bCs/>
          <w:u w:val="single"/>
        </w:rPr>
      </w:pPr>
    </w:p>
    <w:p w14:paraId="7D8C8ED2" w14:textId="2CEE2677" w:rsidR="007E67E6" w:rsidRDefault="007361C1" w:rsidP="000744F8">
      <w:pPr>
        <w:pStyle w:val="Heading1"/>
      </w:pPr>
      <w:bookmarkStart w:id="1" w:name="_Toc72176077"/>
      <w:r w:rsidRPr="007361C1">
        <w:lastRenderedPageBreak/>
        <w:t>Executive Summary</w:t>
      </w:r>
      <w:r w:rsidR="00DD195C">
        <w:t>:</w:t>
      </w:r>
      <w:bookmarkEnd w:id="1"/>
    </w:p>
    <w:p w14:paraId="20C18210" w14:textId="7F62DC54" w:rsidR="00DD195C" w:rsidRPr="00DD195C" w:rsidRDefault="00DD195C" w:rsidP="006127A0">
      <w:pPr>
        <w:jc w:val="both"/>
        <w:rPr>
          <w:rFonts w:ascii="Arial" w:hAnsi="Arial" w:cs="Arial"/>
        </w:rPr>
      </w:pPr>
      <w:r>
        <w:rPr>
          <w:rFonts w:ascii="Arial" w:hAnsi="Arial" w:cs="Arial"/>
        </w:rPr>
        <w:t xml:space="preserve">This report </w:t>
      </w:r>
      <w:r w:rsidR="00E3439E">
        <w:rPr>
          <w:rFonts w:ascii="Arial" w:hAnsi="Arial" w:cs="Arial"/>
        </w:rPr>
        <w:t xml:space="preserve">will focus on </w:t>
      </w:r>
      <w:r w:rsidR="00AD211F">
        <w:rPr>
          <w:rFonts w:ascii="Arial" w:hAnsi="Arial" w:cs="Arial"/>
        </w:rPr>
        <w:t xml:space="preserve">a </w:t>
      </w:r>
      <w:r w:rsidR="00BC2A99">
        <w:rPr>
          <w:rFonts w:ascii="Arial" w:hAnsi="Arial" w:cs="Arial"/>
        </w:rPr>
        <w:t>public company</w:t>
      </w:r>
      <w:r w:rsidR="00CE39C9">
        <w:rPr>
          <w:rFonts w:ascii="Arial" w:hAnsi="Arial" w:cs="Arial"/>
        </w:rPr>
        <w:t xml:space="preserve"> listed on the London </w:t>
      </w:r>
      <w:r w:rsidR="00D1159A">
        <w:rPr>
          <w:rFonts w:ascii="Arial" w:hAnsi="Arial" w:cs="Arial"/>
        </w:rPr>
        <w:t>stock exchange</w:t>
      </w:r>
      <w:r w:rsidR="00DC4F04">
        <w:rPr>
          <w:rFonts w:ascii="Arial" w:hAnsi="Arial" w:cs="Arial"/>
        </w:rPr>
        <w:t xml:space="preserve">, </w:t>
      </w:r>
      <w:r w:rsidR="00E3439E">
        <w:rPr>
          <w:rFonts w:ascii="Arial" w:hAnsi="Arial" w:cs="Arial"/>
        </w:rPr>
        <w:t xml:space="preserve">the </w:t>
      </w:r>
      <w:r w:rsidR="00DD0326">
        <w:rPr>
          <w:rFonts w:ascii="Arial" w:hAnsi="Arial" w:cs="Arial"/>
        </w:rPr>
        <w:t>company</w:t>
      </w:r>
      <w:r w:rsidR="00AF7039">
        <w:rPr>
          <w:rFonts w:ascii="Arial" w:hAnsi="Arial" w:cs="Arial"/>
        </w:rPr>
        <w:t xml:space="preserve"> I have selected</w:t>
      </w:r>
      <w:r w:rsidR="00FB01A7">
        <w:rPr>
          <w:rFonts w:ascii="Arial" w:hAnsi="Arial" w:cs="Arial"/>
        </w:rPr>
        <w:t xml:space="preserve"> is </w:t>
      </w:r>
      <w:r w:rsidR="006C52F9">
        <w:rPr>
          <w:rFonts w:ascii="Arial" w:hAnsi="Arial" w:cs="Arial"/>
        </w:rPr>
        <w:t>GlaxoSmithKline</w:t>
      </w:r>
      <w:r w:rsidR="00164F79">
        <w:rPr>
          <w:rFonts w:ascii="Arial" w:hAnsi="Arial" w:cs="Arial"/>
        </w:rPr>
        <w:t xml:space="preserve"> Plc</w:t>
      </w:r>
      <w:r w:rsidR="00F0110D">
        <w:rPr>
          <w:rFonts w:ascii="Arial" w:hAnsi="Arial" w:cs="Arial"/>
        </w:rPr>
        <w:t>,</w:t>
      </w:r>
      <w:r w:rsidR="00164F79">
        <w:rPr>
          <w:rFonts w:ascii="Arial" w:hAnsi="Arial" w:cs="Arial"/>
        </w:rPr>
        <w:t xml:space="preserve"> </w:t>
      </w:r>
      <w:r w:rsidR="00A316A0">
        <w:rPr>
          <w:rFonts w:ascii="Arial" w:hAnsi="Arial" w:cs="Arial"/>
        </w:rPr>
        <w:t>a UK</w:t>
      </w:r>
      <w:r w:rsidR="003357DC">
        <w:rPr>
          <w:rFonts w:ascii="Arial" w:hAnsi="Arial" w:cs="Arial"/>
        </w:rPr>
        <w:t xml:space="preserve"> multinational</w:t>
      </w:r>
      <w:r w:rsidR="00FB01A7">
        <w:rPr>
          <w:rFonts w:ascii="Arial" w:hAnsi="Arial" w:cs="Arial"/>
        </w:rPr>
        <w:t xml:space="preserve"> pharmaceutical</w:t>
      </w:r>
      <w:r w:rsidR="00644C0D">
        <w:rPr>
          <w:rFonts w:ascii="Arial" w:hAnsi="Arial" w:cs="Arial"/>
        </w:rPr>
        <w:t xml:space="preserve"> company</w:t>
      </w:r>
      <w:r w:rsidR="00285C7C">
        <w:rPr>
          <w:rFonts w:ascii="Arial" w:hAnsi="Arial" w:cs="Arial"/>
        </w:rPr>
        <w:t>.</w:t>
      </w:r>
      <w:r w:rsidR="00FF72AB">
        <w:rPr>
          <w:rFonts w:ascii="Arial" w:hAnsi="Arial" w:cs="Arial"/>
        </w:rPr>
        <w:t xml:space="preserve"> </w:t>
      </w:r>
      <w:r w:rsidR="0041454F">
        <w:rPr>
          <w:rFonts w:ascii="Arial" w:hAnsi="Arial" w:cs="Arial"/>
        </w:rPr>
        <w:t xml:space="preserve">The purpose of the report is </w:t>
      </w:r>
      <w:r w:rsidR="006127A0">
        <w:rPr>
          <w:rFonts w:ascii="Arial" w:hAnsi="Arial" w:cs="Arial"/>
        </w:rPr>
        <w:t xml:space="preserve">to </w:t>
      </w:r>
      <w:r w:rsidR="002C4976">
        <w:rPr>
          <w:rFonts w:ascii="Arial" w:hAnsi="Arial" w:cs="Arial"/>
        </w:rPr>
        <w:t>view the p</w:t>
      </w:r>
      <w:r w:rsidR="00F0792E">
        <w:rPr>
          <w:rFonts w:ascii="Arial" w:hAnsi="Arial" w:cs="Arial"/>
        </w:rPr>
        <w:t>revious</w:t>
      </w:r>
      <w:r w:rsidR="002C4976">
        <w:rPr>
          <w:rFonts w:ascii="Arial" w:hAnsi="Arial" w:cs="Arial"/>
        </w:rPr>
        <w:t xml:space="preserve"> </w:t>
      </w:r>
      <w:r w:rsidR="00663E05">
        <w:rPr>
          <w:rFonts w:ascii="Arial" w:hAnsi="Arial" w:cs="Arial"/>
        </w:rPr>
        <w:t>five</w:t>
      </w:r>
      <w:r w:rsidR="002E0746">
        <w:rPr>
          <w:rFonts w:ascii="Arial" w:hAnsi="Arial" w:cs="Arial"/>
        </w:rPr>
        <w:t>-</w:t>
      </w:r>
      <w:r w:rsidR="00F23BC8">
        <w:rPr>
          <w:rFonts w:ascii="Arial" w:hAnsi="Arial" w:cs="Arial"/>
        </w:rPr>
        <w:t xml:space="preserve">year </w:t>
      </w:r>
      <w:r w:rsidR="007D054D">
        <w:rPr>
          <w:rFonts w:ascii="Arial" w:hAnsi="Arial" w:cs="Arial"/>
        </w:rPr>
        <w:t>outline o</w:t>
      </w:r>
      <w:r w:rsidR="00D13F0D">
        <w:rPr>
          <w:rFonts w:ascii="Arial" w:hAnsi="Arial" w:cs="Arial"/>
        </w:rPr>
        <w:t>f</w:t>
      </w:r>
      <w:r w:rsidR="007D054D">
        <w:rPr>
          <w:rFonts w:ascii="Arial" w:hAnsi="Arial" w:cs="Arial"/>
        </w:rPr>
        <w:t xml:space="preserve"> the </w:t>
      </w:r>
      <w:r w:rsidR="00573A6E">
        <w:rPr>
          <w:rFonts w:ascii="Arial" w:hAnsi="Arial" w:cs="Arial"/>
        </w:rPr>
        <w:t>company’s</w:t>
      </w:r>
      <w:r w:rsidR="007D054D">
        <w:rPr>
          <w:rFonts w:ascii="Arial" w:hAnsi="Arial" w:cs="Arial"/>
        </w:rPr>
        <w:t xml:space="preserve"> </w:t>
      </w:r>
      <w:r w:rsidR="009D4E85">
        <w:rPr>
          <w:rFonts w:ascii="Arial" w:hAnsi="Arial" w:cs="Arial"/>
        </w:rPr>
        <w:t xml:space="preserve">financial </w:t>
      </w:r>
      <w:r w:rsidR="00573A6E">
        <w:rPr>
          <w:rFonts w:ascii="Arial" w:hAnsi="Arial" w:cs="Arial"/>
        </w:rPr>
        <w:t>history</w:t>
      </w:r>
      <w:r w:rsidR="009E47C6">
        <w:rPr>
          <w:rFonts w:ascii="Arial" w:hAnsi="Arial" w:cs="Arial"/>
        </w:rPr>
        <w:t>, which will also include</w:t>
      </w:r>
      <w:r w:rsidR="000D3E08">
        <w:rPr>
          <w:rFonts w:ascii="Arial" w:hAnsi="Arial" w:cs="Arial"/>
        </w:rPr>
        <w:t xml:space="preserve">, any </w:t>
      </w:r>
      <w:r w:rsidR="00FE4750">
        <w:rPr>
          <w:rFonts w:ascii="Arial" w:hAnsi="Arial" w:cs="Arial"/>
        </w:rPr>
        <w:t>significant events,</w:t>
      </w:r>
      <w:r w:rsidR="009E47C6">
        <w:rPr>
          <w:rFonts w:ascii="Arial" w:hAnsi="Arial" w:cs="Arial"/>
        </w:rPr>
        <w:t xml:space="preserve"> the company’s business model</w:t>
      </w:r>
      <w:r w:rsidR="00214E1E">
        <w:rPr>
          <w:rFonts w:ascii="Arial" w:hAnsi="Arial" w:cs="Arial"/>
        </w:rPr>
        <w:t>,</w:t>
      </w:r>
      <w:r w:rsidR="00EB6BB7">
        <w:rPr>
          <w:rFonts w:ascii="Arial" w:hAnsi="Arial" w:cs="Arial"/>
        </w:rPr>
        <w:t xml:space="preserve"> the</w:t>
      </w:r>
      <w:r w:rsidR="00214E1E">
        <w:rPr>
          <w:rFonts w:ascii="Arial" w:hAnsi="Arial" w:cs="Arial"/>
        </w:rPr>
        <w:t xml:space="preserve"> market</w:t>
      </w:r>
      <w:r w:rsidR="00087B92">
        <w:rPr>
          <w:rFonts w:ascii="Arial" w:hAnsi="Arial" w:cs="Arial"/>
        </w:rPr>
        <w:t>-</w:t>
      </w:r>
      <w:r w:rsidR="00214E1E">
        <w:rPr>
          <w:rFonts w:ascii="Arial" w:hAnsi="Arial" w:cs="Arial"/>
        </w:rPr>
        <w:t>place,</w:t>
      </w:r>
      <w:r w:rsidR="008D427A">
        <w:rPr>
          <w:rFonts w:ascii="Arial" w:hAnsi="Arial" w:cs="Arial"/>
        </w:rPr>
        <w:t xml:space="preserve"> a</w:t>
      </w:r>
      <w:r w:rsidR="00CD494A">
        <w:rPr>
          <w:rFonts w:ascii="Arial" w:hAnsi="Arial" w:cs="Arial"/>
        </w:rPr>
        <w:t xml:space="preserve">nd other significant </w:t>
      </w:r>
      <w:r w:rsidR="0010601B">
        <w:rPr>
          <w:rFonts w:ascii="Arial" w:hAnsi="Arial" w:cs="Arial"/>
        </w:rPr>
        <w:t>organizations</w:t>
      </w:r>
      <w:r w:rsidR="00C91C9D">
        <w:rPr>
          <w:rFonts w:ascii="Arial" w:hAnsi="Arial" w:cs="Arial"/>
        </w:rPr>
        <w:t xml:space="preserve"> in the sector</w:t>
      </w:r>
      <w:r w:rsidR="00CD494A">
        <w:rPr>
          <w:rFonts w:ascii="Arial" w:hAnsi="Arial" w:cs="Arial"/>
        </w:rPr>
        <w:t xml:space="preserve"> that are</w:t>
      </w:r>
      <w:r w:rsidR="00182064">
        <w:rPr>
          <w:rFonts w:ascii="Arial" w:hAnsi="Arial" w:cs="Arial"/>
        </w:rPr>
        <w:t xml:space="preserve"> </w:t>
      </w:r>
      <w:r w:rsidR="003256E7">
        <w:rPr>
          <w:rFonts w:ascii="Arial" w:hAnsi="Arial" w:cs="Arial"/>
        </w:rPr>
        <w:t>competitors</w:t>
      </w:r>
      <w:r w:rsidR="009D74CB">
        <w:rPr>
          <w:rFonts w:ascii="Arial" w:hAnsi="Arial" w:cs="Arial"/>
        </w:rPr>
        <w:t>,</w:t>
      </w:r>
      <w:r w:rsidR="00574A9B">
        <w:rPr>
          <w:rFonts w:ascii="Arial" w:hAnsi="Arial" w:cs="Arial"/>
        </w:rPr>
        <w:t xml:space="preserve"> </w:t>
      </w:r>
      <w:r w:rsidR="006A11CE">
        <w:rPr>
          <w:rFonts w:ascii="Arial" w:hAnsi="Arial" w:cs="Arial"/>
        </w:rPr>
        <w:t xml:space="preserve">I will also </w:t>
      </w:r>
      <w:r w:rsidR="00EC7E03">
        <w:rPr>
          <w:rFonts w:ascii="Arial" w:hAnsi="Arial" w:cs="Arial"/>
        </w:rPr>
        <w:t>critically analyse my findings</w:t>
      </w:r>
      <w:r w:rsidR="00B93836">
        <w:rPr>
          <w:rFonts w:ascii="Arial" w:hAnsi="Arial" w:cs="Arial"/>
        </w:rPr>
        <w:t xml:space="preserve"> and</w:t>
      </w:r>
      <w:r w:rsidR="006E29BC">
        <w:rPr>
          <w:rFonts w:ascii="Arial" w:hAnsi="Arial" w:cs="Arial"/>
        </w:rPr>
        <w:t xml:space="preserve"> make known my</w:t>
      </w:r>
      <w:r w:rsidR="00B93836">
        <w:rPr>
          <w:rFonts w:ascii="Arial" w:hAnsi="Arial" w:cs="Arial"/>
        </w:rPr>
        <w:t xml:space="preserve"> </w:t>
      </w:r>
      <w:r w:rsidR="00E77A83">
        <w:rPr>
          <w:rFonts w:ascii="Arial" w:hAnsi="Arial" w:cs="Arial"/>
        </w:rPr>
        <w:t>recommendations at the end of th</w:t>
      </w:r>
      <w:r w:rsidR="003444E9">
        <w:rPr>
          <w:rFonts w:ascii="Arial" w:hAnsi="Arial" w:cs="Arial"/>
        </w:rPr>
        <w:t xml:space="preserve">e </w:t>
      </w:r>
      <w:r w:rsidR="00E77A83">
        <w:rPr>
          <w:rFonts w:ascii="Arial" w:hAnsi="Arial" w:cs="Arial"/>
        </w:rPr>
        <w:t>report</w:t>
      </w:r>
      <w:r w:rsidR="00CC00B3">
        <w:rPr>
          <w:rFonts w:ascii="Arial" w:hAnsi="Arial" w:cs="Arial"/>
        </w:rPr>
        <w:t>.</w:t>
      </w:r>
      <w:r w:rsidR="00EE79E1">
        <w:rPr>
          <w:rFonts w:ascii="Arial" w:hAnsi="Arial" w:cs="Arial"/>
        </w:rPr>
        <w:t xml:space="preserve"> </w:t>
      </w:r>
      <w:r w:rsidR="00182064">
        <w:rPr>
          <w:rFonts w:ascii="Arial" w:hAnsi="Arial" w:cs="Arial"/>
        </w:rPr>
        <w:t xml:space="preserve"> </w:t>
      </w:r>
      <w:r w:rsidR="00CD494A">
        <w:rPr>
          <w:rFonts w:ascii="Arial" w:hAnsi="Arial" w:cs="Arial"/>
        </w:rPr>
        <w:t xml:space="preserve"> </w:t>
      </w:r>
      <w:r w:rsidR="003707E7">
        <w:rPr>
          <w:rFonts w:ascii="Arial" w:hAnsi="Arial" w:cs="Arial"/>
        </w:rPr>
        <w:t xml:space="preserve"> </w:t>
      </w:r>
      <w:r w:rsidR="00393214">
        <w:rPr>
          <w:rFonts w:ascii="Arial" w:hAnsi="Arial" w:cs="Arial"/>
        </w:rPr>
        <w:t xml:space="preserve"> </w:t>
      </w:r>
      <w:r w:rsidR="006127A0">
        <w:rPr>
          <w:rFonts w:ascii="Arial" w:hAnsi="Arial" w:cs="Arial"/>
        </w:rPr>
        <w:t xml:space="preserve"> </w:t>
      </w:r>
      <w:r w:rsidR="00644C0D">
        <w:rPr>
          <w:rFonts w:ascii="Arial" w:hAnsi="Arial" w:cs="Arial"/>
        </w:rPr>
        <w:t xml:space="preserve"> </w:t>
      </w:r>
      <w:r w:rsidR="00FB01A7">
        <w:rPr>
          <w:rFonts w:ascii="Arial" w:hAnsi="Arial" w:cs="Arial"/>
        </w:rPr>
        <w:t xml:space="preserve"> </w:t>
      </w:r>
      <w:r w:rsidR="00750A2D">
        <w:rPr>
          <w:rFonts w:ascii="Arial" w:hAnsi="Arial" w:cs="Arial"/>
        </w:rPr>
        <w:t xml:space="preserve"> </w:t>
      </w:r>
      <w:r w:rsidR="00DD0326">
        <w:rPr>
          <w:rFonts w:ascii="Arial" w:hAnsi="Arial" w:cs="Arial"/>
        </w:rPr>
        <w:t xml:space="preserve"> </w:t>
      </w:r>
    </w:p>
    <w:p w14:paraId="4A410979" w14:textId="3C15352F" w:rsidR="007361C1" w:rsidRDefault="007361C1">
      <w:pPr>
        <w:rPr>
          <w:rFonts w:ascii="Arial" w:hAnsi="Arial" w:cs="Arial"/>
          <w:b/>
          <w:bCs/>
          <w:u w:val="single"/>
        </w:rPr>
      </w:pPr>
    </w:p>
    <w:p w14:paraId="14A617D4" w14:textId="77777777" w:rsidR="007361C1" w:rsidRPr="007361C1" w:rsidRDefault="007361C1">
      <w:pPr>
        <w:rPr>
          <w:rFonts w:ascii="Arial" w:hAnsi="Arial" w:cs="Arial"/>
        </w:rPr>
      </w:pPr>
    </w:p>
    <w:p w14:paraId="5D6E5359" w14:textId="6C8063FB" w:rsidR="007E67E6" w:rsidRDefault="007E67E6">
      <w:pPr>
        <w:rPr>
          <w:rFonts w:ascii="Arial" w:hAnsi="Arial" w:cs="Arial"/>
          <w:b/>
          <w:bCs/>
        </w:rPr>
      </w:pPr>
    </w:p>
    <w:p w14:paraId="5609C201" w14:textId="23C82770" w:rsidR="007E67E6" w:rsidRDefault="00370522">
      <w:pPr>
        <w:rPr>
          <w:rFonts w:ascii="Arial" w:hAnsi="Arial" w:cs="Arial"/>
          <w:b/>
          <w:bCs/>
        </w:rPr>
      </w:pPr>
      <w:r>
        <w:br/>
      </w:r>
    </w:p>
    <w:p w14:paraId="5BB3F9F1" w14:textId="22887D53" w:rsidR="007E67E6" w:rsidRDefault="007E67E6">
      <w:pPr>
        <w:rPr>
          <w:rFonts w:ascii="Arial" w:hAnsi="Arial" w:cs="Arial"/>
          <w:b/>
          <w:bCs/>
        </w:rPr>
      </w:pPr>
    </w:p>
    <w:p w14:paraId="693CACC5" w14:textId="57BCF6AE" w:rsidR="007E67E6" w:rsidRDefault="007E67E6">
      <w:pPr>
        <w:rPr>
          <w:rFonts w:ascii="Arial" w:hAnsi="Arial" w:cs="Arial"/>
          <w:b/>
          <w:bCs/>
        </w:rPr>
      </w:pPr>
    </w:p>
    <w:p w14:paraId="07504762" w14:textId="2DCF29BC" w:rsidR="007E67E6" w:rsidRDefault="007E67E6">
      <w:pPr>
        <w:rPr>
          <w:rFonts w:ascii="Arial" w:hAnsi="Arial" w:cs="Arial"/>
          <w:b/>
          <w:bCs/>
        </w:rPr>
      </w:pPr>
    </w:p>
    <w:p w14:paraId="7F80CE6F" w14:textId="0B7C80EC" w:rsidR="007E67E6" w:rsidRDefault="007E67E6">
      <w:pPr>
        <w:rPr>
          <w:rFonts w:ascii="Arial" w:hAnsi="Arial" w:cs="Arial"/>
          <w:b/>
          <w:bCs/>
        </w:rPr>
      </w:pPr>
    </w:p>
    <w:p w14:paraId="426A964E" w14:textId="0E150D80" w:rsidR="007E67E6" w:rsidRDefault="007E67E6">
      <w:pPr>
        <w:rPr>
          <w:rFonts w:ascii="Arial" w:hAnsi="Arial" w:cs="Arial"/>
          <w:b/>
          <w:bCs/>
        </w:rPr>
      </w:pPr>
    </w:p>
    <w:p w14:paraId="58B38ED6" w14:textId="7B7B8F71" w:rsidR="007E67E6" w:rsidRDefault="007E67E6">
      <w:pPr>
        <w:rPr>
          <w:rFonts w:ascii="Arial" w:hAnsi="Arial" w:cs="Arial"/>
          <w:b/>
          <w:bCs/>
        </w:rPr>
      </w:pPr>
    </w:p>
    <w:p w14:paraId="4E3ACAE0" w14:textId="4085D1B6" w:rsidR="007E67E6" w:rsidRDefault="007E67E6">
      <w:pPr>
        <w:rPr>
          <w:rFonts w:ascii="Arial" w:hAnsi="Arial" w:cs="Arial"/>
          <w:b/>
          <w:bCs/>
        </w:rPr>
      </w:pPr>
    </w:p>
    <w:p w14:paraId="68CB00E4" w14:textId="4EEE197F" w:rsidR="007E67E6" w:rsidRDefault="007E67E6">
      <w:pPr>
        <w:rPr>
          <w:rFonts w:ascii="Arial" w:hAnsi="Arial" w:cs="Arial"/>
          <w:b/>
          <w:bCs/>
        </w:rPr>
      </w:pPr>
    </w:p>
    <w:p w14:paraId="1F5501D8" w14:textId="1B3473BE" w:rsidR="007E67E6" w:rsidRDefault="007E67E6">
      <w:pPr>
        <w:rPr>
          <w:rFonts w:ascii="Arial" w:hAnsi="Arial" w:cs="Arial"/>
          <w:b/>
          <w:bCs/>
        </w:rPr>
      </w:pPr>
    </w:p>
    <w:p w14:paraId="4649034F" w14:textId="7A10CBE2" w:rsidR="007E67E6" w:rsidRDefault="007E67E6">
      <w:pPr>
        <w:rPr>
          <w:rFonts w:ascii="Arial" w:hAnsi="Arial" w:cs="Arial"/>
          <w:b/>
          <w:bCs/>
        </w:rPr>
      </w:pPr>
    </w:p>
    <w:p w14:paraId="716A834D" w14:textId="1E3C17E3" w:rsidR="007E67E6" w:rsidRDefault="007E67E6">
      <w:pPr>
        <w:rPr>
          <w:rFonts w:ascii="Arial" w:hAnsi="Arial" w:cs="Arial"/>
          <w:b/>
          <w:bCs/>
        </w:rPr>
      </w:pPr>
    </w:p>
    <w:p w14:paraId="026D1D23" w14:textId="2F0367A3" w:rsidR="007E67E6" w:rsidRDefault="007E67E6">
      <w:pPr>
        <w:rPr>
          <w:rFonts w:ascii="Arial" w:hAnsi="Arial" w:cs="Arial"/>
          <w:b/>
          <w:bCs/>
        </w:rPr>
      </w:pPr>
    </w:p>
    <w:p w14:paraId="30AB9A3B" w14:textId="424894E3" w:rsidR="007E67E6" w:rsidRDefault="007E67E6">
      <w:pPr>
        <w:rPr>
          <w:rFonts w:ascii="Arial" w:hAnsi="Arial" w:cs="Arial"/>
          <w:b/>
          <w:bCs/>
        </w:rPr>
      </w:pPr>
    </w:p>
    <w:p w14:paraId="75849EEE" w14:textId="7BD201D3" w:rsidR="007E67E6" w:rsidRDefault="007E67E6">
      <w:pPr>
        <w:rPr>
          <w:rFonts w:ascii="Arial" w:hAnsi="Arial" w:cs="Arial"/>
          <w:b/>
          <w:bCs/>
        </w:rPr>
      </w:pPr>
    </w:p>
    <w:p w14:paraId="429CF51C" w14:textId="1A741DF3" w:rsidR="007E67E6" w:rsidRDefault="007E67E6">
      <w:pPr>
        <w:rPr>
          <w:rFonts w:ascii="Arial" w:hAnsi="Arial" w:cs="Arial"/>
          <w:b/>
          <w:bCs/>
        </w:rPr>
      </w:pPr>
    </w:p>
    <w:p w14:paraId="73ADA088" w14:textId="66F47684" w:rsidR="007E67E6" w:rsidRDefault="007E67E6">
      <w:pPr>
        <w:rPr>
          <w:rFonts w:ascii="Arial" w:hAnsi="Arial" w:cs="Arial"/>
          <w:b/>
          <w:bCs/>
        </w:rPr>
      </w:pPr>
    </w:p>
    <w:p w14:paraId="4B73A28F" w14:textId="2E30246A" w:rsidR="007E67E6" w:rsidRDefault="007E67E6">
      <w:pPr>
        <w:rPr>
          <w:rFonts w:ascii="Arial" w:hAnsi="Arial" w:cs="Arial"/>
          <w:b/>
          <w:bCs/>
        </w:rPr>
      </w:pPr>
    </w:p>
    <w:p w14:paraId="07F1AF88" w14:textId="5DE7B0A6" w:rsidR="007E67E6" w:rsidRDefault="007E67E6">
      <w:pPr>
        <w:rPr>
          <w:rFonts w:ascii="Arial" w:hAnsi="Arial" w:cs="Arial"/>
          <w:b/>
          <w:bCs/>
        </w:rPr>
      </w:pPr>
    </w:p>
    <w:p w14:paraId="2002BABD" w14:textId="21DBE9EA" w:rsidR="007E67E6" w:rsidRDefault="007E67E6">
      <w:pPr>
        <w:rPr>
          <w:rFonts w:ascii="Arial" w:hAnsi="Arial" w:cs="Arial"/>
          <w:b/>
          <w:bCs/>
        </w:rPr>
      </w:pPr>
    </w:p>
    <w:p w14:paraId="0CA98CB4" w14:textId="5F878EEF" w:rsidR="00C8426B" w:rsidRDefault="00C8426B">
      <w:pPr>
        <w:rPr>
          <w:rFonts w:ascii="Arial" w:hAnsi="Arial" w:cs="Arial"/>
          <w:b/>
          <w:bCs/>
        </w:rPr>
      </w:pPr>
    </w:p>
    <w:p w14:paraId="6E8353D8" w14:textId="3F346A53" w:rsidR="00C8426B" w:rsidRDefault="00C8426B">
      <w:pPr>
        <w:rPr>
          <w:rFonts w:ascii="Arial" w:hAnsi="Arial" w:cs="Arial"/>
          <w:b/>
          <w:bCs/>
        </w:rPr>
      </w:pPr>
    </w:p>
    <w:p w14:paraId="45C0D072" w14:textId="77777777" w:rsidR="003E0283" w:rsidRDefault="003E0283" w:rsidP="0034030A">
      <w:pPr>
        <w:jc w:val="both"/>
        <w:rPr>
          <w:rFonts w:ascii="Arial" w:hAnsi="Arial" w:cs="Arial"/>
          <w:b/>
          <w:bCs/>
          <w:u w:val="single"/>
        </w:rPr>
      </w:pPr>
    </w:p>
    <w:p w14:paraId="4B62B6CB" w14:textId="48102FB6" w:rsidR="0048664E" w:rsidRPr="0073332C" w:rsidRDefault="0048664E" w:rsidP="000744F8">
      <w:pPr>
        <w:pStyle w:val="Heading1"/>
      </w:pPr>
      <w:bookmarkStart w:id="2" w:name="_Toc72176078"/>
      <w:proofErr w:type="gramStart"/>
      <w:r w:rsidRPr="0073332C">
        <w:lastRenderedPageBreak/>
        <w:t xml:space="preserve">Part </w:t>
      </w:r>
      <w:r w:rsidR="006C5489">
        <w:t xml:space="preserve"> </w:t>
      </w:r>
      <w:r w:rsidR="0073332C" w:rsidRPr="0073332C">
        <w:t>A</w:t>
      </w:r>
      <w:proofErr w:type="gramEnd"/>
      <w:r w:rsidR="0073332C">
        <w:t>:</w:t>
      </w:r>
      <w:bookmarkEnd w:id="2"/>
    </w:p>
    <w:p w14:paraId="104D1869" w14:textId="6B220AAB" w:rsidR="00FD61BE" w:rsidRPr="009D4621" w:rsidRDefault="00FD61BE" w:rsidP="000744F8">
      <w:pPr>
        <w:pStyle w:val="Heading1"/>
      </w:pPr>
      <w:bookmarkStart w:id="3" w:name="_Toc72176079"/>
      <w:r w:rsidRPr="009D4621">
        <w:t xml:space="preserve">The History and business model of </w:t>
      </w:r>
      <w:r w:rsidR="009D4621" w:rsidRPr="009D4621">
        <w:t>GlaxoSmithKline</w:t>
      </w:r>
      <w:r w:rsidR="009D4621">
        <w:t>:</w:t>
      </w:r>
      <w:bookmarkEnd w:id="3"/>
    </w:p>
    <w:p w14:paraId="24DB3AD8" w14:textId="415B236A" w:rsidR="002C6D47" w:rsidRDefault="00D304E0" w:rsidP="0034030A">
      <w:pPr>
        <w:jc w:val="both"/>
        <w:rPr>
          <w:rFonts w:ascii="Arial" w:hAnsi="Arial" w:cs="Arial"/>
        </w:rPr>
      </w:pPr>
      <w:r>
        <w:rPr>
          <w:rFonts w:ascii="Arial" w:hAnsi="Arial" w:cs="Arial"/>
        </w:rPr>
        <w:t>GlaxoSmithKline</w:t>
      </w:r>
      <w:r w:rsidR="00A26F2D">
        <w:rPr>
          <w:rFonts w:ascii="Arial" w:hAnsi="Arial" w:cs="Arial"/>
        </w:rPr>
        <w:t xml:space="preserve"> </w:t>
      </w:r>
      <w:r w:rsidR="00B903B2">
        <w:rPr>
          <w:rFonts w:ascii="Arial" w:hAnsi="Arial" w:cs="Arial"/>
        </w:rPr>
        <w:t>(GSK)</w:t>
      </w:r>
      <w:r w:rsidR="009933E7">
        <w:rPr>
          <w:rFonts w:ascii="Arial" w:hAnsi="Arial" w:cs="Arial"/>
        </w:rPr>
        <w:t xml:space="preserve"> started back in </w:t>
      </w:r>
      <w:r w:rsidR="00A9758A">
        <w:rPr>
          <w:rFonts w:ascii="Arial" w:hAnsi="Arial" w:cs="Arial"/>
        </w:rPr>
        <w:t xml:space="preserve">1715, opening </w:t>
      </w:r>
      <w:r w:rsidR="00AB088F">
        <w:rPr>
          <w:rFonts w:ascii="Arial" w:hAnsi="Arial" w:cs="Arial"/>
        </w:rPr>
        <w:t>their</w:t>
      </w:r>
      <w:r w:rsidR="00A9758A">
        <w:rPr>
          <w:rFonts w:ascii="Arial" w:hAnsi="Arial" w:cs="Arial"/>
        </w:rPr>
        <w:t xml:space="preserve"> </w:t>
      </w:r>
      <w:proofErr w:type="gramStart"/>
      <w:r w:rsidR="00A9758A">
        <w:rPr>
          <w:rFonts w:ascii="Arial" w:hAnsi="Arial" w:cs="Arial"/>
        </w:rPr>
        <w:t>first  shop</w:t>
      </w:r>
      <w:proofErr w:type="gramEnd"/>
      <w:r w:rsidR="00A9758A">
        <w:rPr>
          <w:rFonts w:ascii="Arial" w:hAnsi="Arial" w:cs="Arial"/>
        </w:rPr>
        <w:t xml:space="preserve"> </w:t>
      </w:r>
      <w:r w:rsidR="00A72A76">
        <w:rPr>
          <w:rFonts w:ascii="Arial" w:hAnsi="Arial" w:cs="Arial"/>
        </w:rPr>
        <w:t>in London</w:t>
      </w:r>
      <w:r w:rsidR="002D13BB">
        <w:rPr>
          <w:rFonts w:ascii="Arial" w:hAnsi="Arial" w:cs="Arial"/>
        </w:rPr>
        <w:t xml:space="preserve">, </w:t>
      </w:r>
      <w:r w:rsidR="00444DFB">
        <w:rPr>
          <w:rFonts w:ascii="Arial" w:hAnsi="Arial" w:cs="Arial"/>
        </w:rPr>
        <w:t xml:space="preserve">a </w:t>
      </w:r>
      <w:r w:rsidR="00244E35">
        <w:rPr>
          <w:rFonts w:ascii="Arial" w:hAnsi="Arial" w:cs="Arial"/>
        </w:rPr>
        <w:t>chemist</w:t>
      </w:r>
      <w:r w:rsidR="00063F1C">
        <w:rPr>
          <w:rFonts w:ascii="Arial" w:hAnsi="Arial" w:cs="Arial"/>
        </w:rPr>
        <w:t xml:space="preserve">, </w:t>
      </w:r>
      <w:r w:rsidR="00B53228">
        <w:rPr>
          <w:rFonts w:ascii="Arial" w:hAnsi="Arial" w:cs="Arial"/>
        </w:rPr>
        <w:t>their main e</w:t>
      </w:r>
      <w:r w:rsidR="00995E5D">
        <w:rPr>
          <w:rFonts w:ascii="Arial" w:hAnsi="Arial" w:cs="Arial"/>
        </w:rPr>
        <w:t>m</w:t>
      </w:r>
      <w:r w:rsidR="00B53228">
        <w:rPr>
          <w:rFonts w:ascii="Arial" w:hAnsi="Arial" w:cs="Arial"/>
        </w:rPr>
        <w:t>phasis</w:t>
      </w:r>
      <w:r w:rsidR="00995E5D">
        <w:rPr>
          <w:rFonts w:ascii="Arial" w:hAnsi="Arial" w:cs="Arial"/>
        </w:rPr>
        <w:t xml:space="preserve"> at the time was </w:t>
      </w:r>
      <w:r w:rsidR="001D0197">
        <w:rPr>
          <w:rFonts w:ascii="Arial" w:hAnsi="Arial" w:cs="Arial"/>
        </w:rPr>
        <w:t>all stemmed around</w:t>
      </w:r>
      <w:r w:rsidR="008073E1">
        <w:rPr>
          <w:rFonts w:ascii="Arial" w:hAnsi="Arial" w:cs="Arial"/>
        </w:rPr>
        <w:t xml:space="preserve"> </w:t>
      </w:r>
      <w:r w:rsidR="003C7EEC">
        <w:rPr>
          <w:rFonts w:ascii="Arial" w:hAnsi="Arial" w:cs="Arial"/>
        </w:rPr>
        <w:t>science-based</w:t>
      </w:r>
      <w:r w:rsidR="00C1660B">
        <w:rPr>
          <w:rFonts w:ascii="Arial" w:hAnsi="Arial" w:cs="Arial"/>
        </w:rPr>
        <w:t xml:space="preserve"> </w:t>
      </w:r>
      <w:r w:rsidR="009E70E6">
        <w:rPr>
          <w:rFonts w:ascii="Arial" w:hAnsi="Arial" w:cs="Arial"/>
        </w:rPr>
        <w:t>healthcare, research</w:t>
      </w:r>
      <w:r w:rsidR="007A7402">
        <w:rPr>
          <w:rFonts w:ascii="Arial" w:hAnsi="Arial" w:cs="Arial"/>
        </w:rPr>
        <w:t>,</w:t>
      </w:r>
      <w:r w:rsidR="009E70E6">
        <w:rPr>
          <w:rFonts w:ascii="Arial" w:hAnsi="Arial" w:cs="Arial"/>
        </w:rPr>
        <w:t xml:space="preserve"> and development</w:t>
      </w:r>
      <w:r w:rsidR="00CC127D">
        <w:rPr>
          <w:rFonts w:ascii="Arial" w:hAnsi="Arial" w:cs="Arial"/>
        </w:rPr>
        <w:t xml:space="preserve">. </w:t>
      </w:r>
      <w:r w:rsidR="00BF0677">
        <w:rPr>
          <w:rFonts w:ascii="Arial" w:hAnsi="Arial" w:cs="Arial"/>
        </w:rPr>
        <w:t xml:space="preserve">Additionally, </w:t>
      </w:r>
      <w:r w:rsidR="007A7402">
        <w:rPr>
          <w:rFonts w:ascii="Arial" w:hAnsi="Arial" w:cs="Arial"/>
        </w:rPr>
        <w:t xml:space="preserve">innovation led the company to </w:t>
      </w:r>
      <w:r w:rsidR="00B606A3">
        <w:rPr>
          <w:rFonts w:ascii="Arial" w:hAnsi="Arial" w:cs="Arial"/>
        </w:rPr>
        <w:t>develop</w:t>
      </w:r>
      <w:r w:rsidR="00263893">
        <w:rPr>
          <w:rFonts w:ascii="Arial" w:hAnsi="Arial" w:cs="Arial"/>
        </w:rPr>
        <w:t xml:space="preserve"> consumer</w:t>
      </w:r>
      <w:r w:rsidR="00B606A3">
        <w:rPr>
          <w:rFonts w:ascii="Arial" w:hAnsi="Arial" w:cs="Arial"/>
        </w:rPr>
        <w:t xml:space="preserve"> healthcare</w:t>
      </w:r>
      <w:r w:rsidR="00BF4966">
        <w:rPr>
          <w:rFonts w:ascii="Arial" w:hAnsi="Arial" w:cs="Arial"/>
        </w:rPr>
        <w:t xml:space="preserve"> in </w:t>
      </w:r>
      <w:r w:rsidR="0019237B">
        <w:rPr>
          <w:rFonts w:ascii="Arial" w:hAnsi="Arial" w:cs="Arial"/>
        </w:rPr>
        <w:t>pharmaceuticals</w:t>
      </w:r>
      <w:r w:rsidR="00BF4966">
        <w:rPr>
          <w:rFonts w:ascii="Arial" w:hAnsi="Arial" w:cs="Arial"/>
        </w:rPr>
        <w:t xml:space="preserve"> </w:t>
      </w:r>
      <w:r w:rsidR="0019237B">
        <w:rPr>
          <w:rFonts w:ascii="Arial" w:hAnsi="Arial" w:cs="Arial"/>
        </w:rPr>
        <w:t xml:space="preserve">and </w:t>
      </w:r>
      <w:proofErr w:type="gramStart"/>
      <w:r w:rsidR="0019237B">
        <w:rPr>
          <w:rFonts w:ascii="Arial" w:hAnsi="Arial" w:cs="Arial"/>
        </w:rPr>
        <w:t>va</w:t>
      </w:r>
      <w:r w:rsidR="007D04BE">
        <w:rPr>
          <w:rFonts w:ascii="Arial" w:hAnsi="Arial" w:cs="Arial"/>
        </w:rPr>
        <w:t>c</w:t>
      </w:r>
      <w:r w:rsidR="0019237B">
        <w:rPr>
          <w:rFonts w:ascii="Arial" w:hAnsi="Arial" w:cs="Arial"/>
        </w:rPr>
        <w:t>cines</w:t>
      </w:r>
      <w:r w:rsidR="00DD497D">
        <w:rPr>
          <w:rFonts w:ascii="Arial" w:hAnsi="Arial" w:cs="Arial"/>
        </w:rPr>
        <w:t xml:space="preserve"> which</w:t>
      </w:r>
      <w:proofErr w:type="gramEnd"/>
      <w:r w:rsidR="00DD497D">
        <w:rPr>
          <w:rFonts w:ascii="Arial" w:hAnsi="Arial" w:cs="Arial"/>
        </w:rPr>
        <w:t xml:space="preserve"> are now </w:t>
      </w:r>
      <w:r w:rsidR="00D43769">
        <w:rPr>
          <w:rFonts w:ascii="Arial" w:hAnsi="Arial" w:cs="Arial"/>
        </w:rPr>
        <w:t xml:space="preserve">in </w:t>
      </w:r>
      <w:r w:rsidR="00473B75">
        <w:rPr>
          <w:rFonts w:ascii="Arial" w:hAnsi="Arial" w:cs="Arial"/>
        </w:rPr>
        <w:t xml:space="preserve">150 </w:t>
      </w:r>
      <w:r w:rsidR="00063F1C">
        <w:rPr>
          <w:rFonts w:ascii="Arial" w:hAnsi="Arial" w:cs="Arial"/>
        </w:rPr>
        <w:t xml:space="preserve">countries </w:t>
      </w:r>
      <w:r w:rsidR="000A2C2A">
        <w:rPr>
          <w:rFonts w:ascii="Arial" w:hAnsi="Arial" w:cs="Arial"/>
        </w:rPr>
        <w:t>around the globe</w:t>
      </w:r>
      <w:r w:rsidR="00E1314C">
        <w:rPr>
          <w:rFonts w:ascii="Arial" w:hAnsi="Arial" w:cs="Arial"/>
        </w:rPr>
        <w:t>.</w:t>
      </w:r>
      <w:r w:rsidR="00D911DA">
        <w:rPr>
          <w:rFonts w:ascii="Arial" w:hAnsi="Arial" w:cs="Arial"/>
        </w:rPr>
        <w:t xml:space="preserve"> </w:t>
      </w:r>
      <w:r w:rsidR="00D81B4A">
        <w:rPr>
          <w:rFonts w:ascii="Arial" w:hAnsi="Arial" w:cs="Arial"/>
        </w:rPr>
        <w:t xml:space="preserve">GSK have over </w:t>
      </w:r>
      <w:r w:rsidR="00021D73">
        <w:rPr>
          <w:rFonts w:ascii="Arial" w:hAnsi="Arial" w:cs="Arial"/>
        </w:rPr>
        <w:t>106</w:t>
      </w:r>
      <w:r w:rsidR="00162D6F">
        <w:rPr>
          <w:rFonts w:ascii="Arial" w:hAnsi="Arial" w:cs="Arial"/>
        </w:rPr>
        <w:t>,</w:t>
      </w:r>
      <w:r w:rsidR="00182FC9">
        <w:rPr>
          <w:rFonts w:ascii="Arial" w:hAnsi="Arial" w:cs="Arial"/>
        </w:rPr>
        <w:t>000</w:t>
      </w:r>
      <w:r w:rsidR="00164BE7">
        <w:rPr>
          <w:rFonts w:ascii="Arial" w:hAnsi="Arial" w:cs="Arial"/>
        </w:rPr>
        <w:t xml:space="preserve"> </w:t>
      </w:r>
      <w:r w:rsidR="00021D73">
        <w:rPr>
          <w:rFonts w:ascii="Arial" w:hAnsi="Arial" w:cs="Arial"/>
        </w:rPr>
        <w:t>workforce,</w:t>
      </w:r>
      <w:r w:rsidR="00164BE7">
        <w:rPr>
          <w:rFonts w:ascii="Arial" w:hAnsi="Arial" w:cs="Arial"/>
        </w:rPr>
        <w:t xml:space="preserve"> and </w:t>
      </w:r>
      <w:r w:rsidR="00E60428">
        <w:rPr>
          <w:rFonts w:ascii="Arial" w:hAnsi="Arial" w:cs="Arial"/>
        </w:rPr>
        <w:t>more than</w:t>
      </w:r>
      <w:r w:rsidR="00021D73">
        <w:rPr>
          <w:rFonts w:ascii="Arial" w:hAnsi="Arial" w:cs="Arial"/>
        </w:rPr>
        <w:t xml:space="preserve"> 12,000 of which </w:t>
      </w:r>
      <w:proofErr w:type="gramStart"/>
      <w:r w:rsidR="00021D73">
        <w:rPr>
          <w:rFonts w:ascii="Arial" w:hAnsi="Arial" w:cs="Arial"/>
        </w:rPr>
        <w:t>are based</w:t>
      </w:r>
      <w:proofErr w:type="gramEnd"/>
      <w:r w:rsidR="00021D73">
        <w:rPr>
          <w:rFonts w:ascii="Arial" w:hAnsi="Arial" w:cs="Arial"/>
        </w:rPr>
        <w:t xml:space="preserve"> in </w:t>
      </w:r>
      <w:r w:rsidR="00104FE8">
        <w:rPr>
          <w:rFonts w:ascii="Arial" w:hAnsi="Arial" w:cs="Arial"/>
        </w:rPr>
        <w:t>research and development</w:t>
      </w:r>
      <w:r w:rsidR="005910C0">
        <w:rPr>
          <w:rFonts w:ascii="Arial" w:hAnsi="Arial" w:cs="Arial"/>
        </w:rPr>
        <w:t>.</w:t>
      </w:r>
      <w:r w:rsidR="00517A00">
        <w:rPr>
          <w:rFonts w:ascii="Arial" w:hAnsi="Arial" w:cs="Arial"/>
        </w:rPr>
        <w:t xml:space="preserve"> </w:t>
      </w:r>
      <w:r w:rsidR="00AB088F">
        <w:rPr>
          <w:rFonts w:ascii="Arial" w:hAnsi="Arial" w:cs="Arial"/>
        </w:rPr>
        <w:t>Their</w:t>
      </w:r>
      <w:r w:rsidR="00517A00">
        <w:rPr>
          <w:rFonts w:ascii="Arial" w:hAnsi="Arial" w:cs="Arial"/>
        </w:rPr>
        <w:t xml:space="preserve"> mission is to </w:t>
      </w:r>
      <w:r w:rsidR="00F66540">
        <w:rPr>
          <w:rFonts w:ascii="Arial" w:hAnsi="Arial" w:cs="Arial"/>
        </w:rPr>
        <w:t xml:space="preserve">enhance </w:t>
      </w:r>
      <w:r w:rsidR="007D4DEE">
        <w:rPr>
          <w:rFonts w:ascii="Arial" w:hAnsi="Arial" w:cs="Arial"/>
        </w:rPr>
        <w:t>a</w:t>
      </w:r>
      <w:r w:rsidR="00F66540">
        <w:rPr>
          <w:rFonts w:ascii="Arial" w:hAnsi="Arial" w:cs="Arial"/>
        </w:rPr>
        <w:t xml:space="preserve"> </w:t>
      </w:r>
      <w:r w:rsidR="00E27929">
        <w:rPr>
          <w:rFonts w:ascii="Arial" w:hAnsi="Arial" w:cs="Arial"/>
        </w:rPr>
        <w:t>degree of excellence</w:t>
      </w:r>
      <w:r w:rsidR="007D4DEE">
        <w:rPr>
          <w:rFonts w:ascii="Arial" w:hAnsi="Arial" w:cs="Arial"/>
        </w:rPr>
        <w:t xml:space="preserve"> to </w:t>
      </w:r>
      <w:proofErr w:type="gramStart"/>
      <w:r w:rsidR="008F664A">
        <w:rPr>
          <w:rFonts w:ascii="Arial" w:hAnsi="Arial" w:cs="Arial"/>
        </w:rPr>
        <w:t>humanity which</w:t>
      </w:r>
      <w:proofErr w:type="gramEnd"/>
      <w:r w:rsidR="008F664A">
        <w:rPr>
          <w:rFonts w:ascii="Arial" w:hAnsi="Arial" w:cs="Arial"/>
        </w:rPr>
        <w:t xml:space="preserve"> will enable</w:t>
      </w:r>
      <w:r w:rsidR="008073E1">
        <w:rPr>
          <w:rFonts w:ascii="Arial" w:hAnsi="Arial" w:cs="Arial"/>
        </w:rPr>
        <w:t xml:space="preserve"> </w:t>
      </w:r>
      <w:r w:rsidR="001A7B90">
        <w:rPr>
          <w:rFonts w:ascii="Arial" w:hAnsi="Arial" w:cs="Arial"/>
        </w:rPr>
        <w:t>and invigorate</w:t>
      </w:r>
      <w:r w:rsidR="008F664A">
        <w:rPr>
          <w:rFonts w:ascii="Arial" w:hAnsi="Arial" w:cs="Arial"/>
        </w:rPr>
        <w:t xml:space="preserve"> individuals </w:t>
      </w:r>
      <w:r w:rsidR="00FE0B1C">
        <w:rPr>
          <w:rFonts w:ascii="Arial" w:hAnsi="Arial" w:cs="Arial"/>
        </w:rPr>
        <w:t xml:space="preserve">to </w:t>
      </w:r>
      <w:r w:rsidR="00823A13">
        <w:rPr>
          <w:rFonts w:ascii="Arial" w:hAnsi="Arial" w:cs="Arial"/>
        </w:rPr>
        <w:t>live a much longer life.</w:t>
      </w:r>
      <w:r w:rsidR="00020F04">
        <w:rPr>
          <w:rFonts w:ascii="Arial" w:hAnsi="Arial" w:cs="Arial"/>
        </w:rPr>
        <w:t xml:space="preserve"> The </w:t>
      </w:r>
      <w:r w:rsidR="00AB088F">
        <w:rPr>
          <w:rFonts w:ascii="Arial" w:hAnsi="Arial" w:cs="Arial"/>
        </w:rPr>
        <w:t>company’s</w:t>
      </w:r>
      <w:r w:rsidR="00020F04">
        <w:rPr>
          <w:rFonts w:ascii="Arial" w:hAnsi="Arial" w:cs="Arial"/>
        </w:rPr>
        <w:t xml:space="preserve"> business model is to </w:t>
      </w:r>
      <w:r w:rsidR="00B4347F">
        <w:rPr>
          <w:rFonts w:ascii="Arial" w:hAnsi="Arial" w:cs="Arial"/>
        </w:rPr>
        <w:t xml:space="preserve">research </w:t>
      </w:r>
      <w:proofErr w:type="gramStart"/>
      <w:r w:rsidR="00B4347F">
        <w:rPr>
          <w:rFonts w:ascii="Arial" w:hAnsi="Arial" w:cs="Arial"/>
        </w:rPr>
        <w:t xml:space="preserve">strategies </w:t>
      </w:r>
      <w:r w:rsidR="00A42945">
        <w:rPr>
          <w:rFonts w:ascii="Arial" w:hAnsi="Arial" w:cs="Arial"/>
        </w:rPr>
        <w:t>which</w:t>
      </w:r>
      <w:proofErr w:type="gramEnd"/>
      <w:r w:rsidR="00A42945">
        <w:rPr>
          <w:rFonts w:ascii="Arial" w:hAnsi="Arial" w:cs="Arial"/>
        </w:rPr>
        <w:t xml:space="preserve"> brings about </w:t>
      </w:r>
      <w:r w:rsidR="00273D32">
        <w:rPr>
          <w:rFonts w:ascii="Arial" w:hAnsi="Arial" w:cs="Arial"/>
        </w:rPr>
        <w:t xml:space="preserve">a sustainable performance through innovation </w:t>
      </w:r>
      <w:r w:rsidR="001319AF">
        <w:rPr>
          <w:rFonts w:ascii="Arial" w:hAnsi="Arial" w:cs="Arial"/>
        </w:rPr>
        <w:t>steered by the companies values.</w:t>
      </w:r>
      <w:r w:rsidR="006A0940">
        <w:rPr>
          <w:rFonts w:ascii="Arial" w:hAnsi="Arial" w:cs="Arial"/>
        </w:rPr>
        <w:t xml:space="preserve"> </w:t>
      </w:r>
    </w:p>
    <w:p w14:paraId="0088E7D3" w14:textId="559145D3" w:rsidR="00C23A7F" w:rsidRDefault="007F2316" w:rsidP="0034030A">
      <w:pPr>
        <w:jc w:val="both"/>
        <w:rPr>
          <w:rFonts w:ascii="Arial" w:hAnsi="Arial" w:cs="Arial"/>
        </w:rPr>
      </w:pPr>
      <w:r>
        <w:rPr>
          <w:rFonts w:ascii="Arial" w:hAnsi="Arial" w:cs="Arial"/>
        </w:rPr>
        <w:t>GKS</w:t>
      </w:r>
      <w:r w:rsidR="00E9721F">
        <w:rPr>
          <w:rFonts w:ascii="Arial" w:hAnsi="Arial" w:cs="Arial"/>
        </w:rPr>
        <w:t xml:space="preserve">’s, </w:t>
      </w:r>
      <w:r>
        <w:rPr>
          <w:rFonts w:ascii="Arial" w:hAnsi="Arial" w:cs="Arial"/>
        </w:rPr>
        <w:t>m</w:t>
      </w:r>
      <w:r w:rsidR="00E6764B">
        <w:rPr>
          <w:rFonts w:ascii="Arial" w:hAnsi="Arial" w:cs="Arial"/>
        </w:rPr>
        <w:t xml:space="preserve">ajor competitors </w:t>
      </w:r>
      <w:r w:rsidR="0091061F">
        <w:rPr>
          <w:rFonts w:ascii="Arial" w:hAnsi="Arial" w:cs="Arial"/>
        </w:rPr>
        <w:t xml:space="preserve">are </w:t>
      </w:r>
      <w:r w:rsidR="0091061F" w:rsidRPr="00F548D2">
        <w:rPr>
          <w:rFonts w:ascii="Arial" w:hAnsi="Arial" w:cs="Arial"/>
          <w:i/>
          <w:iCs/>
        </w:rPr>
        <w:t xml:space="preserve">Johnson and </w:t>
      </w:r>
      <w:r w:rsidR="00730A99" w:rsidRPr="00F548D2">
        <w:rPr>
          <w:rFonts w:ascii="Arial" w:hAnsi="Arial" w:cs="Arial"/>
          <w:i/>
          <w:iCs/>
        </w:rPr>
        <w:t>Johnson, Roche, Astr</w:t>
      </w:r>
      <w:r w:rsidR="00A8158B" w:rsidRPr="00F548D2">
        <w:rPr>
          <w:rFonts w:ascii="Arial" w:hAnsi="Arial" w:cs="Arial"/>
          <w:i/>
          <w:iCs/>
        </w:rPr>
        <w:t>a</w:t>
      </w:r>
      <w:r w:rsidR="00730A99" w:rsidRPr="00F548D2">
        <w:rPr>
          <w:rFonts w:ascii="Arial" w:hAnsi="Arial" w:cs="Arial"/>
          <w:i/>
          <w:iCs/>
        </w:rPr>
        <w:t xml:space="preserve"> Zen</w:t>
      </w:r>
      <w:r w:rsidR="00A8158B" w:rsidRPr="00F548D2">
        <w:rPr>
          <w:rFonts w:ascii="Arial" w:hAnsi="Arial" w:cs="Arial"/>
          <w:i/>
          <w:iCs/>
        </w:rPr>
        <w:t>eca</w:t>
      </w:r>
      <w:r w:rsidR="00A8158B" w:rsidRPr="00DE6813">
        <w:rPr>
          <w:rFonts w:ascii="Arial" w:hAnsi="Arial" w:cs="Arial"/>
          <w:i/>
          <w:iCs/>
        </w:rPr>
        <w:t>,</w:t>
      </w:r>
      <w:r w:rsidR="00325C38">
        <w:rPr>
          <w:rFonts w:ascii="Arial" w:hAnsi="Arial" w:cs="Arial"/>
        </w:rPr>
        <w:t xml:space="preserve"> Takeda Pharma</w:t>
      </w:r>
      <w:r w:rsidR="009974D6">
        <w:rPr>
          <w:rFonts w:ascii="Arial" w:hAnsi="Arial" w:cs="Arial"/>
        </w:rPr>
        <w:t>ceuticals, Bayer</w:t>
      </w:r>
      <w:r w:rsidR="00DF595E">
        <w:rPr>
          <w:rFonts w:ascii="Arial" w:hAnsi="Arial" w:cs="Arial"/>
        </w:rPr>
        <w:t>, and Eli Lilly.</w:t>
      </w:r>
      <w:r w:rsidR="00E27929">
        <w:rPr>
          <w:rFonts w:ascii="Arial" w:hAnsi="Arial" w:cs="Arial"/>
        </w:rPr>
        <w:t xml:space="preserve"> </w:t>
      </w:r>
      <w:r w:rsidR="001E15A2">
        <w:rPr>
          <w:rFonts w:ascii="Arial" w:hAnsi="Arial" w:cs="Arial"/>
        </w:rPr>
        <w:t>(</w:t>
      </w:r>
      <w:r w:rsidR="00007D9F">
        <w:rPr>
          <w:rFonts w:ascii="Arial" w:hAnsi="Arial" w:cs="Arial"/>
        </w:rPr>
        <w:t xml:space="preserve">GSK, </w:t>
      </w:r>
      <w:r w:rsidR="00537E3E">
        <w:rPr>
          <w:rFonts w:ascii="Arial" w:hAnsi="Arial" w:cs="Arial"/>
        </w:rPr>
        <w:t xml:space="preserve">2021). </w:t>
      </w:r>
      <w:r w:rsidR="0019237B">
        <w:rPr>
          <w:rFonts w:ascii="Arial" w:hAnsi="Arial" w:cs="Arial"/>
        </w:rPr>
        <w:t xml:space="preserve"> </w:t>
      </w:r>
      <w:r w:rsidR="00BA2C96">
        <w:rPr>
          <w:rFonts w:ascii="Arial" w:hAnsi="Arial" w:cs="Arial"/>
        </w:rPr>
        <w:t xml:space="preserve">According to Cooper, (2015) </w:t>
      </w:r>
      <w:r w:rsidR="006D5B46">
        <w:rPr>
          <w:rFonts w:ascii="Arial" w:hAnsi="Arial" w:cs="Arial"/>
        </w:rPr>
        <w:t>repo</w:t>
      </w:r>
      <w:r w:rsidR="007A280A">
        <w:rPr>
          <w:rFonts w:ascii="Arial" w:hAnsi="Arial" w:cs="Arial"/>
        </w:rPr>
        <w:t>r</w:t>
      </w:r>
      <w:r w:rsidR="006D5B46">
        <w:rPr>
          <w:rFonts w:ascii="Arial" w:hAnsi="Arial" w:cs="Arial"/>
        </w:rPr>
        <w:t>ts</w:t>
      </w:r>
      <w:r w:rsidR="007A280A">
        <w:rPr>
          <w:rFonts w:ascii="Arial" w:hAnsi="Arial" w:cs="Arial"/>
        </w:rPr>
        <w:t xml:space="preserve"> on the companies change of direction away from high priced drugs </w:t>
      </w:r>
      <w:r w:rsidR="00950BB6">
        <w:rPr>
          <w:rFonts w:ascii="Arial" w:hAnsi="Arial" w:cs="Arial"/>
        </w:rPr>
        <w:t xml:space="preserve">made available for the </w:t>
      </w:r>
      <w:r w:rsidR="00B00737">
        <w:rPr>
          <w:rFonts w:ascii="Arial" w:hAnsi="Arial" w:cs="Arial"/>
        </w:rPr>
        <w:t xml:space="preserve">USA, and European </w:t>
      </w:r>
      <w:r w:rsidR="00962A1F">
        <w:rPr>
          <w:rFonts w:ascii="Arial" w:hAnsi="Arial" w:cs="Arial"/>
        </w:rPr>
        <w:t>markets, to a</w:t>
      </w:r>
      <w:r w:rsidR="000D4A72" w:rsidRPr="000D4A72">
        <w:rPr>
          <w:rFonts w:ascii="Arial" w:hAnsi="Arial" w:cs="Arial"/>
        </w:rPr>
        <w:t xml:space="preserve"> </w:t>
      </w:r>
      <w:r w:rsidR="000D4A72">
        <w:rPr>
          <w:rFonts w:ascii="Arial" w:hAnsi="Arial" w:cs="Arial"/>
        </w:rPr>
        <w:t>more</w:t>
      </w:r>
      <w:r w:rsidR="00F102B2">
        <w:rPr>
          <w:rFonts w:ascii="Arial" w:hAnsi="Arial" w:cs="Arial"/>
        </w:rPr>
        <w:t xml:space="preserve"> increased volume of drugs focussed more on the </w:t>
      </w:r>
      <w:r w:rsidR="00FC574E">
        <w:rPr>
          <w:rFonts w:ascii="Arial" w:hAnsi="Arial" w:cs="Arial"/>
        </w:rPr>
        <w:t>emerging markets</w:t>
      </w:r>
      <w:r w:rsidR="00EE7A46">
        <w:rPr>
          <w:rFonts w:ascii="Arial" w:hAnsi="Arial" w:cs="Arial"/>
        </w:rPr>
        <w:t xml:space="preserve">, which Chief executive </w:t>
      </w:r>
      <w:r w:rsidR="00821A1D">
        <w:rPr>
          <w:rFonts w:ascii="Arial" w:hAnsi="Arial" w:cs="Arial"/>
        </w:rPr>
        <w:t xml:space="preserve">Sir Andrew Witty </w:t>
      </w:r>
      <w:r w:rsidR="00EE7A46">
        <w:rPr>
          <w:rFonts w:ascii="Arial" w:hAnsi="Arial" w:cs="Arial"/>
        </w:rPr>
        <w:t xml:space="preserve">claims to be </w:t>
      </w:r>
      <w:r w:rsidR="002B12BB">
        <w:rPr>
          <w:rFonts w:ascii="Arial" w:hAnsi="Arial" w:cs="Arial"/>
        </w:rPr>
        <w:t>“A very fundamental shift</w:t>
      </w:r>
      <w:r w:rsidR="001870DE">
        <w:rPr>
          <w:rFonts w:ascii="Arial" w:hAnsi="Arial" w:cs="Arial"/>
        </w:rPr>
        <w:t xml:space="preserve"> </w:t>
      </w:r>
      <w:r w:rsidR="00687F7C">
        <w:rPr>
          <w:rFonts w:ascii="Arial" w:hAnsi="Arial" w:cs="Arial"/>
        </w:rPr>
        <w:t>(Cooper, 2015</w:t>
      </w:r>
      <w:r w:rsidR="00035A1F">
        <w:rPr>
          <w:rFonts w:ascii="Arial" w:hAnsi="Arial" w:cs="Arial"/>
        </w:rPr>
        <w:t>).</w:t>
      </w:r>
      <w:r w:rsidR="00A565ED">
        <w:rPr>
          <w:rFonts w:ascii="Arial" w:hAnsi="Arial" w:cs="Arial"/>
        </w:rPr>
        <w:t xml:space="preserve"> </w:t>
      </w:r>
      <w:r w:rsidR="00EF57FB">
        <w:rPr>
          <w:rFonts w:ascii="Arial" w:hAnsi="Arial" w:cs="Arial"/>
        </w:rPr>
        <w:t xml:space="preserve">Furthermore, according to </w:t>
      </w:r>
      <w:bookmarkStart w:id="4" w:name="_Hlk66441189"/>
      <w:r w:rsidR="00EF57FB">
        <w:rPr>
          <w:rFonts w:ascii="Arial" w:hAnsi="Arial" w:cs="Arial"/>
        </w:rPr>
        <w:t xml:space="preserve">GSK </w:t>
      </w:r>
      <w:proofErr w:type="gramStart"/>
      <w:r w:rsidR="00EF57FB">
        <w:rPr>
          <w:rFonts w:ascii="Arial" w:hAnsi="Arial" w:cs="Arial"/>
        </w:rPr>
        <w:t>today</w:t>
      </w:r>
      <w:r w:rsidR="004F43B6">
        <w:rPr>
          <w:rFonts w:ascii="Arial" w:hAnsi="Arial" w:cs="Arial"/>
        </w:rPr>
        <w:t>-</w:t>
      </w:r>
      <w:r w:rsidR="00EF57FB">
        <w:rPr>
          <w:rFonts w:ascii="Arial" w:hAnsi="Arial" w:cs="Arial"/>
        </w:rPr>
        <w:t>2000</w:t>
      </w:r>
      <w:r w:rsidR="004F43B6">
        <w:rPr>
          <w:rFonts w:ascii="Arial" w:hAnsi="Arial" w:cs="Arial"/>
        </w:rPr>
        <w:t>-present</w:t>
      </w:r>
      <w:proofErr w:type="gramEnd"/>
      <w:r w:rsidR="006B2DF0">
        <w:rPr>
          <w:rFonts w:ascii="Arial" w:hAnsi="Arial" w:cs="Arial"/>
        </w:rPr>
        <w:t xml:space="preserve"> (20</w:t>
      </w:r>
      <w:r w:rsidR="005449BD">
        <w:rPr>
          <w:rFonts w:ascii="Arial" w:hAnsi="Arial" w:cs="Arial"/>
        </w:rPr>
        <w:t>21)</w:t>
      </w:r>
      <w:r w:rsidR="009B3417">
        <w:rPr>
          <w:rFonts w:ascii="Arial" w:hAnsi="Arial" w:cs="Arial"/>
        </w:rPr>
        <w:t>,</w:t>
      </w:r>
      <w:r w:rsidR="005449BD">
        <w:rPr>
          <w:rFonts w:ascii="Arial" w:hAnsi="Arial" w:cs="Arial"/>
        </w:rPr>
        <w:t xml:space="preserve"> </w:t>
      </w:r>
      <w:bookmarkEnd w:id="4"/>
      <w:r w:rsidR="009B3417">
        <w:rPr>
          <w:rFonts w:ascii="Arial" w:hAnsi="Arial" w:cs="Arial"/>
        </w:rPr>
        <w:t>In March 2015</w:t>
      </w:r>
      <w:r w:rsidR="00571527">
        <w:rPr>
          <w:rFonts w:ascii="Arial" w:hAnsi="Arial" w:cs="Arial"/>
        </w:rPr>
        <w:t xml:space="preserve">, GSK </w:t>
      </w:r>
      <w:r w:rsidR="006F293B">
        <w:rPr>
          <w:rFonts w:ascii="Arial" w:hAnsi="Arial" w:cs="Arial"/>
        </w:rPr>
        <w:t>bought</w:t>
      </w:r>
      <w:r w:rsidR="001B612A">
        <w:rPr>
          <w:rFonts w:ascii="Arial" w:hAnsi="Arial" w:cs="Arial"/>
        </w:rPr>
        <w:t xml:space="preserve"> into</w:t>
      </w:r>
      <w:r w:rsidR="006F293B">
        <w:rPr>
          <w:rFonts w:ascii="Arial" w:hAnsi="Arial" w:cs="Arial"/>
        </w:rPr>
        <w:t xml:space="preserve"> Novartis</w:t>
      </w:r>
      <w:r w:rsidR="00F95388">
        <w:rPr>
          <w:rFonts w:ascii="Arial" w:hAnsi="Arial" w:cs="Arial"/>
        </w:rPr>
        <w:t xml:space="preserve"> in which to attain</w:t>
      </w:r>
      <w:r w:rsidR="003A396C">
        <w:rPr>
          <w:rFonts w:ascii="Arial" w:hAnsi="Arial" w:cs="Arial"/>
        </w:rPr>
        <w:t xml:space="preserve"> part of</w:t>
      </w:r>
      <w:r w:rsidR="00F95388">
        <w:rPr>
          <w:rFonts w:ascii="Arial" w:hAnsi="Arial" w:cs="Arial"/>
        </w:rPr>
        <w:t xml:space="preserve"> the</w:t>
      </w:r>
      <w:r w:rsidR="003B72F9">
        <w:rPr>
          <w:rFonts w:ascii="Arial" w:hAnsi="Arial" w:cs="Arial"/>
        </w:rPr>
        <w:t>i</w:t>
      </w:r>
      <w:r w:rsidR="00F95388">
        <w:rPr>
          <w:rFonts w:ascii="Arial" w:hAnsi="Arial" w:cs="Arial"/>
        </w:rPr>
        <w:t>r vaccine business</w:t>
      </w:r>
      <w:r w:rsidR="0042382F">
        <w:rPr>
          <w:rFonts w:ascii="Arial" w:hAnsi="Arial" w:cs="Arial"/>
        </w:rPr>
        <w:t>,</w:t>
      </w:r>
      <w:r w:rsidR="00F95388">
        <w:rPr>
          <w:rFonts w:ascii="Arial" w:hAnsi="Arial" w:cs="Arial"/>
        </w:rPr>
        <w:t xml:space="preserve"> </w:t>
      </w:r>
      <w:r w:rsidR="00DE0957">
        <w:rPr>
          <w:rFonts w:ascii="Arial" w:hAnsi="Arial" w:cs="Arial"/>
        </w:rPr>
        <w:t xml:space="preserve">to strengthen </w:t>
      </w:r>
      <w:r w:rsidR="003B72F9">
        <w:rPr>
          <w:rFonts w:ascii="Arial" w:hAnsi="Arial" w:cs="Arial"/>
        </w:rPr>
        <w:t xml:space="preserve">their stance </w:t>
      </w:r>
      <w:r w:rsidR="0032280F">
        <w:rPr>
          <w:rFonts w:ascii="Arial" w:hAnsi="Arial" w:cs="Arial"/>
        </w:rPr>
        <w:t>on being global leaders in the</w:t>
      </w:r>
      <w:r w:rsidR="009F58CE">
        <w:rPr>
          <w:rFonts w:ascii="Arial" w:hAnsi="Arial" w:cs="Arial"/>
        </w:rPr>
        <w:t xml:space="preserve"> production </w:t>
      </w:r>
      <w:r w:rsidR="00ED75C6">
        <w:rPr>
          <w:rFonts w:ascii="Arial" w:hAnsi="Arial" w:cs="Arial"/>
        </w:rPr>
        <w:t>of</w:t>
      </w:r>
      <w:r w:rsidR="0032280F">
        <w:rPr>
          <w:rFonts w:ascii="Arial" w:hAnsi="Arial" w:cs="Arial"/>
        </w:rPr>
        <w:t xml:space="preserve"> vaccine</w:t>
      </w:r>
      <w:r w:rsidR="00ED75C6">
        <w:rPr>
          <w:rFonts w:ascii="Arial" w:hAnsi="Arial" w:cs="Arial"/>
        </w:rPr>
        <w:t xml:space="preserve">s, </w:t>
      </w:r>
      <w:r w:rsidR="001B612A">
        <w:rPr>
          <w:rFonts w:ascii="Arial" w:hAnsi="Arial" w:cs="Arial"/>
        </w:rPr>
        <w:t>and jointly</w:t>
      </w:r>
      <w:r w:rsidR="003A396C">
        <w:rPr>
          <w:rFonts w:ascii="Arial" w:hAnsi="Arial" w:cs="Arial"/>
        </w:rPr>
        <w:t>, joined forces</w:t>
      </w:r>
      <w:r w:rsidR="003F6156">
        <w:rPr>
          <w:rFonts w:ascii="Arial" w:hAnsi="Arial" w:cs="Arial"/>
        </w:rPr>
        <w:t xml:space="preserve"> with No</w:t>
      </w:r>
      <w:r w:rsidR="000F0129">
        <w:rPr>
          <w:rFonts w:ascii="Arial" w:hAnsi="Arial" w:cs="Arial"/>
        </w:rPr>
        <w:t>vartis</w:t>
      </w:r>
      <w:r w:rsidR="003A396C">
        <w:rPr>
          <w:rFonts w:ascii="Arial" w:hAnsi="Arial" w:cs="Arial"/>
        </w:rPr>
        <w:t xml:space="preserve"> </w:t>
      </w:r>
      <w:r w:rsidR="00BE4996">
        <w:rPr>
          <w:rFonts w:ascii="Arial" w:hAnsi="Arial" w:cs="Arial"/>
        </w:rPr>
        <w:t>in which to create</w:t>
      </w:r>
      <w:r w:rsidR="000F0129">
        <w:rPr>
          <w:rFonts w:ascii="Arial" w:hAnsi="Arial" w:cs="Arial"/>
        </w:rPr>
        <w:t xml:space="preserve"> </w:t>
      </w:r>
      <w:r w:rsidR="00BF7F32">
        <w:rPr>
          <w:rFonts w:ascii="Arial" w:hAnsi="Arial" w:cs="Arial"/>
        </w:rPr>
        <w:t>a consumer healthcare business</w:t>
      </w:r>
      <w:r w:rsidR="00CF4156">
        <w:rPr>
          <w:rFonts w:ascii="Arial" w:hAnsi="Arial" w:cs="Arial"/>
        </w:rPr>
        <w:t xml:space="preserve">, and in return sold off </w:t>
      </w:r>
      <w:r w:rsidR="003B50C0">
        <w:rPr>
          <w:rFonts w:ascii="Arial" w:hAnsi="Arial" w:cs="Arial"/>
        </w:rPr>
        <w:t>oncology portfolio to Novartis</w:t>
      </w:r>
      <w:r w:rsidR="00FC7408">
        <w:rPr>
          <w:rFonts w:ascii="Arial" w:hAnsi="Arial" w:cs="Arial"/>
        </w:rPr>
        <w:t>. The asset swap has afforde</w:t>
      </w:r>
      <w:r w:rsidR="00B717A4">
        <w:rPr>
          <w:rFonts w:ascii="Arial" w:hAnsi="Arial" w:cs="Arial"/>
        </w:rPr>
        <w:t>d</w:t>
      </w:r>
      <w:r w:rsidR="00FC7408">
        <w:rPr>
          <w:rFonts w:ascii="Arial" w:hAnsi="Arial" w:cs="Arial"/>
        </w:rPr>
        <w:t xml:space="preserve"> both compani</w:t>
      </w:r>
      <w:r w:rsidR="00B717A4">
        <w:rPr>
          <w:rFonts w:ascii="Arial" w:hAnsi="Arial" w:cs="Arial"/>
        </w:rPr>
        <w:t xml:space="preserve">es </w:t>
      </w:r>
      <w:r w:rsidR="00A0031D">
        <w:rPr>
          <w:rFonts w:ascii="Arial" w:hAnsi="Arial" w:cs="Arial"/>
        </w:rPr>
        <w:t>to build their current strengths</w:t>
      </w:r>
      <w:r w:rsidR="00261D01">
        <w:rPr>
          <w:rFonts w:ascii="Arial" w:hAnsi="Arial" w:cs="Arial"/>
        </w:rPr>
        <w:t xml:space="preserve"> into creating an </w:t>
      </w:r>
      <w:proofErr w:type="gramStart"/>
      <w:r w:rsidR="00261D01">
        <w:rPr>
          <w:rFonts w:ascii="Arial" w:hAnsi="Arial" w:cs="Arial"/>
        </w:rPr>
        <w:t>asset valued</w:t>
      </w:r>
      <w:proofErr w:type="gramEnd"/>
      <w:r w:rsidR="00261D01">
        <w:rPr>
          <w:rFonts w:ascii="Arial" w:hAnsi="Arial" w:cs="Arial"/>
        </w:rPr>
        <w:t xml:space="preserve"> partnership</w:t>
      </w:r>
      <w:r w:rsidR="00C05688">
        <w:rPr>
          <w:rFonts w:ascii="Arial" w:hAnsi="Arial" w:cs="Arial"/>
        </w:rPr>
        <w:t xml:space="preserve"> </w:t>
      </w:r>
      <w:bookmarkStart w:id="5" w:name="_Hlk66442878"/>
      <w:r w:rsidR="00C05688">
        <w:rPr>
          <w:rFonts w:ascii="Arial" w:hAnsi="Arial" w:cs="Arial"/>
        </w:rPr>
        <w:t>(GSK today-2000-present 2021),</w:t>
      </w:r>
    </w:p>
    <w:bookmarkEnd w:id="5"/>
    <w:p w14:paraId="59E6C18A" w14:textId="6EFF1172" w:rsidR="0075774E" w:rsidRDefault="00350EDF" w:rsidP="00F16685">
      <w:pPr>
        <w:jc w:val="both"/>
        <w:rPr>
          <w:rFonts w:ascii="Arial" w:hAnsi="Arial" w:cs="Arial"/>
        </w:rPr>
      </w:pPr>
      <w:r>
        <w:rPr>
          <w:rFonts w:ascii="Arial" w:hAnsi="Arial" w:cs="Arial"/>
        </w:rPr>
        <w:t>Additionally, according to</w:t>
      </w:r>
      <w:r w:rsidR="00AF2995" w:rsidRPr="00AF2995">
        <w:rPr>
          <w:rFonts w:ascii="Arial" w:hAnsi="Arial" w:cs="Arial"/>
        </w:rPr>
        <w:t xml:space="preserve"> </w:t>
      </w:r>
      <w:r w:rsidR="00AF2995">
        <w:rPr>
          <w:rFonts w:ascii="Arial" w:hAnsi="Arial" w:cs="Arial"/>
        </w:rPr>
        <w:t xml:space="preserve">GSK </w:t>
      </w:r>
      <w:proofErr w:type="gramStart"/>
      <w:r w:rsidR="00AF2995">
        <w:rPr>
          <w:rFonts w:ascii="Arial" w:hAnsi="Arial" w:cs="Arial"/>
        </w:rPr>
        <w:t>today-2000-present</w:t>
      </w:r>
      <w:proofErr w:type="gramEnd"/>
      <w:r w:rsidR="00AF2995">
        <w:rPr>
          <w:rFonts w:ascii="Arial" w:hAnsi="Arial" w:cs="Arial"/>
        </w:rPr>
        <w:t xml:space="preserve"> (2021), </w:t>
      </w:r>
      <w:r w:rsidR="00C44616">
        <w:rPr>
          <w:rFonts w:ascii="Arial" w:hAnsi="Arial" w:cs="Arial"/>
        </w:rPr>
        <w:t>Emma Walmsley</w:t>
      </w:r>
      <w:r w:rsidR="003D0432">
        <w:rPr>
          <w:rFonts w:ascii="Arial" w:hAnsi="Arial" w:cs="Arial"/>
        </w:rPr>
        <w:t xml:space="preserve">, </w:t>
      </w:r>
      <w:r w:rsidR="00904C4B">
        <w:rPr>
          <w:rFonts w:ascii="Arial" w:hAnsi="Arial" w:cs="Arial"/>
        </w:rPr>
        <w:t xml:space="preserve">who was at the time CEO of </w:t>
      </w:r>
      <w:r w:rsidR="00B030FE">
        <w:rPr>
          <w:rFonts w:ascii="Arial" w:hAnsi="Arial" w:cs="Arial"/>
        </w:rPr>
        <w:t xml:space="preserve">Consumer </w:t>
      </w:r>
      <w:r w:rsidR="00904C4B">
        <w:rPr>
          <w:rFonts w:ascii="Arial" w:hAnsi="Arial" w:cs="Arial"/>
        </w:rPr>
        <w:t>Healthcare</w:t>
      </w:r>
      <w:r w:rsidR="00B030FE">
        <w:rPr>
          <w:rFonts w:ascii="Arial" w:hAnsi="Arial" w:cs="Arial"/>
        </w:rPr>
        <w:t xml:space="preserve"> at GSK,</w:t>
      </w:r>
      <w:r w:rsidR="009B2B57">
        <w:rPr>
          <w:rFonts w:ascii="Arial" w:hAnsi="Arial" w:cs="Arial"/>
        </w:rPr>
        <w:t xml:space="preserve"> in April</w:t>
      </w:r>
      <w:r w:rsidR="001F2221">
        <w:rPr>
          <w:rFonts w:ascii="Arial" w:hAnsi="Arial" w:cs="Arial"/>
        </w:rPr>
        <w:t xml:space="preserve"> 2017, became CEO </w:t>
      </w:r>
      <w:r w:rsidR="00746A2D">
        <w:rPr>
          <w:rFonts w:ascii="Arial" w:hAnsi="Arial" w:cs="Arial"/>
        </w:rPr>
        <w:t>of</w:t>
      </w:r>
      <w:r w:rsidR="00FB37ED">
        <w:rPr>
          <w:rFonts w:ascii="Arial" w:hAnsi="Arial" w:cs="Arial"/>
        </w:rPr>
        <w:t xml:space="preserve"> the company,</w:t>
      </w:r>
      <w:r w:rsidR="00F16685">
        <w:rPr>
          <w:rFonts w:ascii="Arial" w:hAnsi="Arial" w:cs="Arial"/>
        </w:rPr>
        <w:t xml:space="preserve"> (GSK today-2000-present 2021). </w:t>
      </w:r>
      <w:r w:rsidR="002860DC">
        <w:rPr>
          <w:rFonts w:ascii="Arial" w:hAnsi="Arial" w:cs="Arial"/>
        </w:rPr>
        <w:t xml:space="preserve">In October 2018 according to </w:t>
      </w:r>
      <w:r w:rsidR="00473D52">
        <w:rPr>
          <w:rFonts w:ascii="Arial" w:hAnsi="Arial" w:cs="Arial"/>
        </w:rPr>
        <w:t>AOL</w:t>
      </w:r>
      <w:r w:rsidR="002A4CBA">
        <w:rPr>
          <w:rFonts w:ascii="Arial" w:hAnsi="Arial" w:cs="Arial"/>
        </w:rPr>
        <w:t xml:space="preserve"> (2018) </w:t>
      </w:r>
      <w:r w:rsidR="00FF41B2">
        <w:rPr>
          <w:rFonts w:ascii="Arial" w:hAnsi="Arial" w:cs="Arial"/>
        </w:rPr>
        <w:t>In late Oc</w:t>
      </w:r>
      <w:r w:rsidR="0054774D">
        <w:rPr>
          <w:rFonts w:ascii="Arial" w:hAnsi="Arial" w:cs="Arial"/>
        </w:rPr>
        <w:t>tober, Vii</w:t>
      </w:r>
      <w:r w:rsidR="00127793">
        <w:rPr>
          <w:rFonts w:ascii="Arial" w:hAnsi="Arial" w:cs="Arial"/>
        </w:rPr>
        <w:t xml:space="preserve">V Healthcare </w:t>
      </w:r>
      <w:r w:rsidR="00AC4029">
        <w:rPr>
          <w:rFonts w:ascii="Arial" w:hAnsi="Arial" w:cs="Arial"/>
        </w:rPr>
        <w:t xml:space="preserve">the combined </w:t>
      </w:r>
      <w:r w:rsidR="007F5A7F">
        <w:rPr>
          <w:rFonts w:ascii="Arial" w:hAnsi="Arial" w:cs="Arial"/>
        </w:rPr>
        <w:t xml:space="preserve">undertaking </w:t>
      </w:r>
      <w:r w:rsidR="00594D06">
        <w:rPr>
          <w:rFonts w:ascii="Arial" w:hAnsi="Arial" w:cs="Arial"/>
        </w:rPr>
        <w:t xml:space="preserve">between </w:t>
      </w:r>
      <w:r w:rsidR="0080537B">
        <w:rPr>
          <w:rFonts w:ascii="Arial" w:hAnsi="Arial" w:cs="Arial"/>
        </w:rPr>
        <w:t>Glaxo</w:t>
      </w:r>
      <w:r w:rsidR="000A06B9">
        <w:rPr>
          <w:rFonts w:ascii="Arial" w:hAnsi="Arial" w:cs="Arial"/>
        </w:rPr>
        <w:t xml:space="preserve">SmithKline </w:t>
      </w:r>
      <w:r w:rsidR="00143875">
        <w:rPr>
          <w:rFonts w:ascii="Arial" w:hAnsi="Arial" w:cs="Arial"/>
        </w:rPr>
        <w:t xml:space="preserve">and </w:t>
      </w:r>
      <w:r w:rsidR="001315CE">
        <w:rPr>
          <w:rFonts w:ascii="Arial" w:hAnsi="Arial" w:cs="Arial"/>
        </w:rPr>
        <w:t xml:space="preserve">Pfizer, </w:t>
      </w:r>
      <w:r w:rsidR="00435639">
        <w:rPr>
          <w:rFonts w:ascii="Arial" w:hAnsi="Arial" w:cs="Arial"/>
        </w:rPr>
        <w:t xml:space="preserve">reported the results </w:t>
      </w:r>
      <w:r w:rsidR="0045341B">
        <w:rPr>
          <w:rFonts w:ascii="Arial" w:hAnsi="Arial" w:cs="Arial"/>
        </w:rPr>
        <w:t xml:space="preserve">of a </w:t>
      </w:r>
      <w:r w:rsidR="00D321FE">
        <w:rPr>
          <w:rFonts w:ascii="Arial" w:hAnsi="Arial" w:cs="Arial"/>
        </w:rPr>
        <w:t>ground</w:t>
      </w:r>
      <w:r w:rsidR="00B55F15">
        <w:rPr>
          <w:rFonts w:ascii="Arial" w:hAnsi="Arial" w:cs="Arial"/>
        </w:rPr>
        <w:t>-</w:t>
      </w:r>
      <w:r w:rsidR="007A3512">
        <w:rPr>
          <w:rFonts w:ascii="Arial" w:hAnsi="Arial" w:cs="Arial"/>
        </w:rPr>
        <w:t xml:space="preserve">breaking trial treatment made to </w:t>
      </w:r>
      <w:r w:rsidR="00721AC4">
        <w:rPr>
          <w:rFonts w:ascii="Arial" w:hAnsi="Arial" w:cs="Arial"/>
        </w:rPr>
        <w:t xml:space="preserve">enhance the </w:t>
      </w:r>
      <w:r w:rsidR="006312ED">
        <w:rPr>
          <w:rFonts w:ascii="Arial" w:hAnsi="Arial" w:cs="Arial"/>
        </w:rPr>
        <w:t xml:space="preserve">lives of individuals </w:t>
      </w:r>
      <w:r w:rsidR="00C114B4">
        <w:rPr>
          <w:rFonts w:ascii="Arial" w:hAnsi="Arial" w:cs="Arial"/>
        </w:rPr>
        <w:t>coping with HIV</w:t>
      </w:r>
      <w:r w:rsidR="00DE5866">
        <w:rPr>
          <w:rFonts w:ascii="Arial" w:hAnsi="Arial" w:cs="Arial"/>
        </w:rPr>
        <w:t xml:space="preserve"> (AOL, 20</w:t>
      </w:r>
      <w:r w:rsidR="00657727">
        <w:rPr>
          <w:rFonts w:ascii="Arial" w:hAnsi="Arial" w:cs="Arial"/>
        </w:rPr>
        <w:t>18).</w:t>
      </w:r>
      <w:r w:rsidR="001E27E6">
        <w:rPr>
          <w:rFonts w:ascii="Arial" w:hAnsi="Arial" w:cs="Arial"/>
        </w:rPr>
        <w:t xml:space="preserve"> </w:t>
      </w:r>
      <w:proofErr w:type="gramStart"/>
      <w:r w:rsidR="001E27E6">
        <w:rPr>
          <w:rFonts w:ascii="Arial" w:hAnsi="Arial" w:cs="Arial"/>
        </w:rPr>
        <w:t>Further</w:t>
      </w:r>
      <w:r w:rsidR="00B96FFB">
        <w:rPr>
          <w:rFonts w:ascii="Arial" w:hAnsi="Arial" w:cs="Arial"/>
        </w:rPr>
        <w:t>more,</w:t>
      </w:r>
      <w:r w:rsidR="00657727">
        <w:rPr>
          <w:rFonts w:ascii="Arial" w:hAnsi="Arial" w:cs="Arial"/>
        </w:rPr>
        <w:t xml:space="preserve"> </w:t>
      </w:r>
      <w:r w:rsidR="00B96FFB">
        <w:rPr>
          <w:rFonts w:ascii="Arial" w:hAnsi="Arial" w:cs="Arial"/>
        </w:rPr>
        <w:t>a</w:t>
      </w:r>
      <w:r w:rsidR="00204237">
        <w:rPr>
          <w:rFonts w:ascii="Arial" w:hAnsi="Arial" w:cs="Arial"/>
        </w:rPr>
        <w:t>ccording to</w:t>
      </w:r>
      <w:bookmarkStart w:id="6" w:name="_Hlk66447030"/>
      <w:r w:rsidR="00204237">
        <w:rPr>
          <w:rFonts w:ascii="Arial" w:hAnsi="Arial" w:cs="Arial"/>
        </w:rPr>
        <w:t xml:space="preserve"> London South East New</w:t>
      </w:r>
      <w:r w:rsidR="007C3559">
        <w:rPr>
          <w:rFonts w:ascii="Arial" w:hAnsi="Arial" w:cs="Arial"/>
        </w:rPr>
        <w:t>s</w:t>
      </w:r>
      <w:r w:rsidR="00204237">
        <w:rPr>
          <w:rFonts w:ascii="Arial" w:hAnsi="Arial" w:cs="Arial"/>
        </w:rPr>
        <w:t xml:space="preserve">, </w:t>
      </w:r>
      <w:r w:rsidR="008929EF">
        <w:rPr>
          <w:rFonts w:ascii="Arial" w:hAnsi="Arial" w:cs="Arial"/>
        </w:rPr>
        <w:t xml:space="preserve">(2019) </w:t>
      </w:r>
      <w:bookmarkEnd w:id="6"/>
      <w:r w:rsidR="008929EF">
        <w:rPr>
          <w:rFonts w:ascii="Arial" w:hAnsi="Arial" w:cs="Arial"/>
        </w:rPr>
        <w:t>Glax</w:t>
      </w:r>
      <w:r w:rsidR="00B87491">
        <w:rPr>
          <w:rFonts w:ascii="Arial" w:hAnsi="Arial" w:cs="Arial"/>
        </w:rPr>
        <w:t>o</w:t>
      </w:r>
      <w:r w:rsidR="008929EF">
        <w:rPr>
          <w:rFonts w:ascii="Arial" w:hAnsi="Arial" w:cs="Arial"/>
        </w:rPr>
        <w:t>SmithKline,</w:t>
      </w:r>
      <w:r w:rsidR="00B87491">
        <w:rPr>
          <w:rFonts w:ascii="Arial" w:hAnsi="Arial" w:cs="Arial"/>
        </w:rPr>
        <w:t xml:space="preserve"> and Pfizer </w:t>
      </w:r>
      <w:r w:rsidR="007F7E6F">
        <w:rPr>
          <w:rFonts w:ascii="Arial" w:hAnsi="Arial" w:cs="Arial"/>
        </w:rPr>
        <w:t>announce</w:t>
      </w:r>
      <w:r w:rsidR="00B87491">
        <w:rPr>
          <w:rFonts w:ascii="Arial" w:hAnsi="Arial" w:cs="Arial"/>
        </w:rPr>
        <w:t xml:space="preserve"> </w:t>
      </w:r>
      <w:r w:rsidR="00B73FA5">
        <w:rPr>
          <w:rFonts w:ascii="Arial" w:hAnsi="Arial" w:cs="Arial"/>
        </w:rPr>
        <w:t>high</w:t>
      </w:r>
      <w:r w:rsidR="00A1628E">
        <w:rPr>
          <w:rFonts w:ascii="Arial" w:hAnsi="Arial" w:cs="Arial"/>
        </w:rPr>
        <w:t xml:space="preserve"> opera</w:t>
      </w:r>
      <w:r w:rsidR="00543864">
        <w:rPr>
          <w:rFonts w:ascii="Arial" w:hAnsi="Arial" w:cs="Arial"/>
        </w:rPr>
        <w:t>ting</w:t>
      </w:r>
      <w:r w:rsidR="00B73FA5">
        <w:rPr>
          <w:rFonts w:ascii="Arial" w:hAnsi="Arial" w:cs="Arial"/>
        </w:rPr>
        <w:t xml:space="preserve"> profits for the thi</w:t>
      </w:r>
      <w:r w:rsidR="002C2405">
        <w:rPr>
          <w:rFonts w:ascii="Arial" w:hAnsi="Arial" w:cs="Arial"/>
        </w:rPr>
        <w:t xml:space="preserve">rd quarter </w:t>
      </w:r>
      <w:r w:rsidR="00F34C28">
        <w:rPr>
          <w:rFonts w:ascii="Arial" w:hAnsi="Arial" w:cs="Arial"/>
        </w:rPr>
        <w:t>of that year</w:t>
      </w:r>
      <w:r w:rsidR="00E65F4B">
        <w:rPr>
          <w:rFonts w:ascii="Arial" w:hAnsi="Arial" w:cs="Arial"/>
        </w:rPr>
        <w:t xml:space="preserve">, all </w:t>
      </w:r>
      <w:r w:rsidR="00B03751">
        <w:rPr>
          <w:rFonts w:ascii="Arial" w:hAnsi="Arial" w:cs="Arial"/>
        </w:rPr>
        <w:t>due</w:t>
      </w:r>
      <w:r w:rsidR="00E65F4B">
        <w:rPr>
          <w:rFonts w:ascii="Arial" w:hAnsi="Arial" w:cs="Arial"/>
        </w:rPr>
        <w:t xml:space="preserve"> </w:t>
      </w:r>
      <w:r w:rsidR="00B03751">
        <w:rPr>
          <w:rFonts w:ascii="Arial" w:hAnsi="Arial" w:cs="Arial"/>
        </w:rPr>
        <w:t>t</w:t>
      </w:r>
      <w:r w:rsidR="00E65F4B">
        <w:rPr>
          <w:rFonts w:ascii="Arial" w:hAnsi="Arial" w:cs="Arial"/>
        </w:rPr>
        <w:t>o</w:t>
      </w:r>
      <w:r w:rsidR="00B03751">
        <w:rPr>
          <w:rFonts w:ascii="Arial" w:hAnsi="Arial" w:cs="Arial"/>
        </w:rPr>
        <w:t xml:space="preserve"> </w:t>
      </w:r>
      <w:r w:rsidR="00104540">
        <w:rPr>
          <w:rFonts w:ascii="Arial" w:hAnsi="Arial" w:cs="Arial"/>
        </w:rPr>
        <w:t xml:space="preserve">the </w:t>
      </w:r>
      <w:r w:rsidR="009E5392">
        <w:rPr>
          <w:rFonts w:ascii="Arial" w:hAnsi="Arial" w:cs="Arial"/>
        </w:rPr>
        <w:t>upward curve</w:t>
      </w:r>
      <w:r w:rsidR="00104540">
        <w:rPr>
          <w:rFonts w:ascii="Arial" w:hAnsi="Arial" w:cs="Arial"/>
        </w:rPr>
        <w:t xml:space="preserve"> in vaccine</w:t>
      </w:r>
      <w:r w:rsidR="009E5392">
        <w:rPr>
          <w:rFonts w:ascii="Arial" w:hAnsi="Arial" w:cs="Arial"/>
        </w:rPr>
        <w:t xml:space="preserve"> </w:t>
      </w:r>
      <w:r w:rsidR="00842774">
        <w:rPr>
          <w:rFonts w:ascii="Arial" w:hAnsi="Arial" w:cs="Arial"/>
        </w:rPr>
        <w:t>earnings</w:t>
      </w:r>
      <w:r w:rsidR="00E06645">
        <w:rPr>
          <w:rFonts w:ascii="Arial" w:hAnsi="Arial" w:cs="Arial"/>
        </w:rPr>
        <w:t xml:space="preserve">, a rise of </w:t>
      </w:r>
      <w:r w:rsidR="00D86DC6">
        <w:rPr>
          <w:rFonts w:ascii="Arial" w:hAnsi="Arial" w:cs="Arial"/>
        </w:rPr>
        <w:t>16% to GBP9.39</w:t>
      </w:r>
      <w:r w:rsidR="001C7B6B">
        <w:rPr>
          <w:rFonts w:ascii="Arial" w:hAnsi="Arial" w:cs="Arial"/>
        </w:rPr>
        <w:t xml:space="preserve"> billion from </w:t>
      </w:r>
      <w:r w:rsidR="003163D1">
        <w:rPr>
          <w:rFonts w:ascii="Arial" w:hAnsi="Arial" w:cs="Arial"/>
        </w:rPr>
        <w:t>GBP8.09 billion</w:t>
      </w:r>
      <w:r w:rsidR="009922C6">
        <w:rPr>
          <w:rFonts w:ascii="Arial" w:hAnsi="Arial" w:cs="Arial"/>
        </w:rPr>
        <w:t xml:space="preserve">, with </w:t>
      </w:r>
      <w:r w:rsidR="00E16198">
        <w:rPr>
          <w:rFonts w:ascii="Arial" w:hAnsi="Arial" w:cs="Arial"/>
        </w:rPr>
        <w:t xml:space="preserve">a </w:t>
      </w:r>
      <w:r w:rsidR="009922C6">
        <w:rPr>
          <w:rFonts w:ascii="Arial" w:hAnsi="Arial" w:cs="Arial"/>
        </w:rPr>
        <w:t>20% increase</w:t>
      </w:r>
      <w:r w:rsidR="000B211E">
        <w:rPr>
          <w:rFonts w:ascii="Arial" w:hAnsi="Arial" w:cs="Arial"/>
        </w:rPr>
        <w:t xml:space="preserve"> from </w:t>
      </w:r>
      <w:r w:rsidR="00346968">
        <w:rPr>
          <w:rFonts w:ascii="Arial" w:hAnsi="Arial" w:cs="Arial"/>
        </w:rPr>
        <w:t>V</w:t>
      </w:r>
      <w:r w:rsidR="000B211E">
        <w:rPr>
          <w:rFonts w:ascii="Arial" w:hAnsi="Arial" w:cs="Arial"/>
        </w:rPr>
        <w:t>accines</w:t>
      </w:r>
      <w:r w:rsidR="005859A7">
        <w:rPr>
          <w:rFonts w:ascii="Arial" w:hAnsi="Arial" w:cs="Arial"/>
        </w:rPr>
        <w:t xml:space="preserve"> and</w:t>
      </w:r>
      <w:r w:rsidR="00E16198">
        <w:rPr>
          <w:rFonts w:ascii="Arial" w:hAnsi="Arial" w:cs="Arial"/>
        </w:rPr>
        <w:t xml:space="preserve"> a</w:t>
      </w:r>
      <w:r w:rsidR="005859A7">
        <w:rPr>
          <w:rFonts w:ascii="Arial" w:hAnsi="Arial" w:cs="Arial"/>
        </w:rPr>
        <w:t xml:space="preserve"> 30% increase from </w:t>
      </w:r>
      <w:r w:rsidR="00346968">
        <w:rPr>
          <w:rFonts w:ascii="Arial" w:hAnsi="Arial" w:cs="Arial"/>
        </w:rPr>
        <w:t>C</w:t>
      </w:r>
      <w:r w:rsidR="005859A7">
        <w:rPr>
          <w:rFonts w:ascii="Arial" w:hAnsi="Arial" w:cs="Arial"/>
        </w:rPr>
        <w:t xml:space="preserve">onsumer </w:t>
      </w:r>
      <w:r w:rsidR="00346968">
        <w:rPr>
          <w:rFonts w:ascii="Arial" w:hAnsi="Arial" w:cs="Arial"/>
        </w:rPr>
        <w:t>H</w:t>
      </w:r>
      <w:r w:rsidR="005859A7">
        <w:rPr>
          <w:rFonts w:ascii="Arial" w:hAnsi="Arial" w:cs="Arial"/>
        </w:rPr>
        <w:t>ealthcare</w:t>
      </w:r>
      <w:r w:rsidR="00CB6DC2">
        <w:rPr>
          <w:rFonts w:ascii="Arial" w:hAnsi="Arial" w:cs="Arial"/>
        </w:rPr>
        <w:t xml:space="preserve"> – to GBP2.31billion and </w:t>
      </w:r>
      <w:r w:rsidR="009610F8">
        <w:rPr>
          <w:rFonts w:ascii="Arial" w:hAnsi="Arial" w:cs="Arial"/>
        </w:rPr>
        <w:t>GBP2.53 billion</w:t>
      </w:r>
      <w:r w:rsidR="006D058C">
        <w:rPr>
          <w:rFonts w:ascii="Arial" w:hAnsi="Arial" w:cs="Arial"/>
        </w:rPr>
        <w:t>,</w:t>
      </w:r>
      <w:r w:rsidR="009C4DB8">
        <w:rPr>
          <w:rFonts w:ascii="Arial" w:hAnsi="Arial" w:cs="Arial"/>
        </w:rPr>
        <w:t xml:space="preserve"> (London South East New</w:t>
      </w:r>
      <w:r w:rsidR="0036082F">
        <w:rPr>
          <w:rFonts w:ascii="Arial" w:hAnsi="Arial" w:cs="Arial"/>
        </w:rPr>
        <w:t>s</w:t>
      </w:r>
      <w:r w:rsidR="009C4DB8">
        <w:rPr>
          <w:rFonts w:ascii="Arial" w:hAnsi="Arial" w:cs="Arial"/>
        </w:rPr>
        <w:t>, 2019)</w:t>
      </w:r>
      <w:r w:rsidR="00CD3281">
        <w:rPr>
          <w:rFonts w:ascii="Arial" w:hAnsi="Arial" w:cs="Arial"/>
        </w:rPr>
        <w:t>.</w:t>
      </w:r>
      <w:proofErr w:type="gramEnd"/>
      <w:r w:rsidR="00CD3281">
        <w:rPr>
          <w:rFonts w:ascii="Arial" w:hAnsi="Arial" w:cs="Arial"/>
        </w:rPr>
        <w:t xml:space="preserve"> </w:t>
      </w:r>
      <w:r w:rsidR="00785892">
        <w:rPr>
          <w:rFonts w:ascii="Arial" w:hAnsi="Arial" w:cs="Arial"/>
        </w:rPr>
        <w:t xml:space="preserve">According to </w:t>
      </w:r>
      <w:bookmarkStart w:id="7" w:name="_Hlk66448623"/>
      <w:r w:rsidR="00027E01">
        <w:rPr>
          <w:rFonts w:ascii="Arial" w:hAnsi="Arial" w:cs="Arial"/>
        </w:rPr>
        <w:t>Humphreys</w:t>
      </w:r>
      <w:r w:rsidR="00785892">
        <w:rPr>
          <w:rFonts w:ascii="Arial" w:hAnsi="Arial" w:cs="Arial"/>
        </w:rPr>
        <w:t xml:space="preserve">, </w:t>
      </w:r>
      <w:r w:rsidR="00FF19EB">
        <w:rPr>
          <w:rFonts w:ascii="Arial" w:hAnsi="Arial" w:cs="Arial"/>
        </w:rPr>
        <w:t xml:space="preserve">(2020) </w:t>
      </w:r>
      <w:bookmarkEnd w:id="7"/>
      <w:r w:rsidR="00146023">
        <w:rPr>
          <w:rFonts w:ascii="Arial" w:hAnsi="Arial" w:cs="Arial"/>
        </w:rPr>
        <w:t xml:space="preserve">GSK, </w:t>
      </w:r>
      <w:r w:rsidR="008E7B38">
        <w:rPr>
          <w:rFonts w:ascii="Arial" w:hAnsi="Arial" w:cs="Arial"/>
        </w:rPr>
        <w:t>are looking ahead, and readying themselves for the future</w:t>
      </w:r>
      <w:r w:rsidR="00F6156E">
        <w:rPr>
          <w:rFonts w:ascii="Arial" w:hAnsi="Arial" w:cs="Arial"/>
        </w:rPr>
        <w:t xml:space="preserve">, </w:t>
      </w:r>
      <w:r w:rsidR="000C7EFE">
        <w:rPr>
          <w:rFonts w:ascii="Arial" w:hAnsi="Arial" w:cs="Arial"/>
        </w:rPr>
        <w:t>with a two</w:t>
      </w:r>
      <w:r w:rsidR="002914E9">
        <w:rPr>
          <w:rFonts w:ascii="Arial" w:hAnsi="Arial" w:cs="Arial"/>
        </w:rPr>
        <w:t>-</w:t>
      </w:r>
      <w:r w:rsidR="000C7EFE">
        <w:rPr>
          <w:rFonts w:ascii="Arial" w:hAnsi="Arial" w:cs="Arial"/>
        </w:rPr>
        <w:t xml:space="preserve">year </w:t>
      </w:r>
      <w:r w:rsidR="004E25AF">
        <w:rPr>
          <w:rFonts w:ascii="Arial" w:hAnsi="Arial" w:cs="Arial"/>
        </w:rPr>
        <w:t xml:space="preserve">plan of action to divide </w:t>
      </w:r>
      <w:r w:rsidR="00CE4CDF">
        <w:rPr>
          <w:rFonts w:ascii="Arial" w:hAnsi="Arial" w:cs="Arial"/>
        </w:rPr>
        <w:t xml:space="preserve">into two separate </w:t>
      </w:r>
      <w:r w:rsidR="002914E9">
        <w:rPr>
          <w:rFonts w:ascii="Arial" w:hAnsi="Arial" w:cs="Arial"/>
        </w:rPr>
        <w:t>entities</w:t>
      </w:r>
      <w:r w:rsidR="00B0776A">
        <w:rPr>
          <w:rFonts w:ascii="Arial" w:hAnsi="Arial" w:cs="Arial"/>
        </w:rPr>
        <w:t xml:space="preserve">, biopharma, and </w:t>
      </w:r>
      <w:r w:rsidR="00BA2499">
        <w:rPr>
          <w:rFonts w:ascii="Arial" w:hAnsi="Arial" w:cs="Arial"/>
        </w:rPr>
        <w:t>healthcare</w:t>
      </w:r>
      <w:r w:rsidR="00D95207">
        <w:rPr>
          <w:rFonts w:ascii="Arial" w:hAnsi="Arial" w:cs="Arial"/>
        </w:rPr>
        <w:t xml:space="preserve"> </w:t>
      </w:r>
      <w:r w:rsidR="00E173FA">
        <w:rPr>
          <w:rFonts w:ascii="Arial" w:hAnsi="Arial" w:cs="Arial"/>
        </w:rPr>
        <w:t>(</w:t>
      </w:r>
      <w:r w:rsidR="007E2E93">
        <w:rPr>
          <w:rFonts w:ascii="Arial" w:hAnsi="Arial" w:cs="Arial"/>
        </w:rPr>
        <w:t>Humphreys, 2020).</w:t>
      </w:r>
      <w:r w:rsidR="00B96FFB">
        <w:rPr>
          <w:rFonts w:ascii="Arial" w:hAnsi="Arial" w:cs="Arial"/>
        </w:rPr>
        <w:t xml:space="preserve"> In addition,</w:t>
      </w:r>
      <w:r w:rsidR="00F648AE">
        <w:rPr>
          <w:rFonts w:ascii="Arial" w:hAnsi="Arial" w:cs="Arial"/>
        </w:rPr>
        <w:t xml:space="preserve"> </w:t>
      </w:r>
      <w:r w:rsidR="00B96FFB">
        <w:rPr>
          <w:rFonts w:ascii="Arial" w:hAnsi="Arial" w:cs="Arial"/>
        </w:rPr>
        <w:t>a</w:t>
      </w:r>
      <w:r w:rsidR="00765DB1">
        <w:rPr>
          <w:rFonts w:ascii="Arial" w:hAnsi="Arial" w:cs="Arial"/>
        </w:rPr>
        <w:t>ccording to G</w:t>
      </w:r>
      <w:r w:rsidR="00D87161">
        <w:rPr>
          <w:rFonts w:ascii="Arial" w:hAnsi="Arial" w:cs="Arial"/>
        </w:rPr>
        <w:t xml:space="preserve">SK, (2021) </w:t>
      </w:r>
      <w:r w:rsidR="00D372DF">
        <w:rPr>
          <w:rFonts w:ascii="Arial" w:hAnsi="Arial" w:cs="Arial"/>
        </w:rPr>
        <w:t>GSK a</w:t>
      </w:r>
      <w:r w:rsidR="00AE67D7">
        <w:rPr>
          <w:rFonts w:ascii="Arial" w:hAnsi="Arial" w:cs="Arial"/>
        </w:rPr>
        <w:t>n</w:t>
      </w:r>
      <w:r w:rsidR="00D372DF">
        <w:rPr>
          <w:rFonts w:ascii="Arial" w:hAnsi="Arial" w:cs="Arial"/>
        </w:rPr>
        <w:t>d</w:t>
      </w:r>
      <w:r w:rsidR="00AE67D7">
        <w:rPr>
          <w:rFonts w:ascii="Arial" w:hAnsi="Arial" w:cs="Arial"/>
        </w:rPr>
        <w:t xml:space="preserve"> CureVac, </w:t>
      </w:r>
      <w:r w:rsidR="00AD2290">
        <w:rPr>
          <w:rFonts w:ascii="Arial" w:hAnsi="Arial" w:cs="Arial"/>
        </w:rPr>
        <w:t>are in development to invent the up</w:t>
      </w:r>
      <w:r w:rsidR="0061508D">
        <w:rPr>
          <w:rFonts w:ascii="Arial" w:hAnsi="Arial" w:cs="Arial"/>
        </w:rPr>
        <w:t>-</w:t>
      </w:r>
      <w:r w:rsidR="00AD2290">
        <w:rPr>
          <w:rFonts w:ascii="Arial" w:hAnsi="Arial" w:cs="Arial"/>
        </w:rPr>
        <w:t>and</w:t>
      </w:r>
      <w:r w:rsidR="00710976">
        <w:rPr>
          <w:rFonts w:ascii="Arial" w:hAnsi="Arial" w:cs="Arial"/>
        </w:rPr>
        <w:t>-</w:t>
      </w:r>
      <w:r w:rsidR="00AD2290">
        <w:rPr>
          <w:rFonts w:ascii="Arial" w:hAnsi="Arial" w:cs="Arial"/>
        </w:rPr>
        <w:t xml:space="preserve">coming </w:t>
      </w:r>
      <w:r w:rsidR="000D63E5">
        <w:rPr>
          <w:rFonts w:ascii="Arial" w:hAnsi="Arial" w:cs="Arial"/>
        </w:rPr>
        <w:t>m</w:t>
      </w:r>
      <w:r w:rsidR="00157282">
        <w:rPr>
          <w:rFonts w:ascii="Arial" w:hAnsi="Arial" w:cs="Arial"/>
        </w:rPr>
        <w:t>R</w:t>
      </w:r>
      <w:r w:rsidR="000D63E5">
        <w:rPr>
          <w:rFonts w:ascii="Arial" w:hAnsi="Arial" w:cs="Arial"/>
        </w:rPr>
        <w:t>NA COVID-19 vaccine</w:t>
      </w:r>
      <w:r w:rsidR="0061508D">
        <w:rPr>
          <w:rFonts w:ascii="Arial" w:hAnsi="Arial" w:cs="Arial"/>
        </w:rPr>
        <w:t>s</w:t>
      </w:r>
      <w:r w:rsidR="000C500B">
        <w:rPr>
          <w:rFonts w:ascii="Arial" w:hAnsi="Arial" w:cs="Arial"/>
        </w:rPr>
        <w:t xml:space="preserve">, which have the potential to tackle </w:t>
      </w:r>
      <w:r w:rsidR="00AA6BFD">
        <w:rPr>
          <w:rFonts w:ascii="Arial" w:hAnsi="Arial" w:cs="Arial"/>
        </w:rPr>
        <w:t>emer</w:t>
      </w:r>
      <w:r w:rsidR="00FE152D">
        <w:rPr>
          <w:rFonts w:ascii="Arial" w:hAnsi="Arial" w:cs="Arial"/>
        </w:rPr>
        <w:t xml:space="preserve">ging variations </w:t>
      </w:r>
      <w:r w:rsidR="00321FCC">
        <w:rPr>
          <w:rFonts w:ascii="Arial" w:hAnsi="Arial" w:cs="Arial"/>
        </w:rPr>
        <w:t>in a single vaccine</w:t>
      </w:r>
      <w:r w:rsidR="00D105B3">
        <w:rPr>
          <w:rFonts w:ascii="Arial" w:hAnsi="Arial" w:cs="Arial"/>
        </w:rPr>
        <w:t xml:space="preserve"> (GSK</w:t>
      </w:r>
      <w:proofErr w:type="gramStart"/>
      <w:r w:rsidR="00D105B3">
        <w:rPr>
          <w:rFonts w:ascii="Arial" w:hAnsi="Arial" w:cs="Arial"/>
        </w:rPr>
        <w:t xml:space="preserve">, </w:t>
      </w:r>
      <w:r w:rsidR="001356F3">
        <w:rPr>
          <w:rFonts w:ascii="Arial" w:hAnsi="Arial" w:cs="Arial"/>
        </w:rPr>
        <w:t xml:space="preserve"> </w:t>
      </w:r>
      <w:r w:rsidR="00D105B3">
        <w:rPr>
          <w:rFonts w:ascii="Arial" w:hAnsi="Arial" w:cs="Arial"/>
        </w:rPr>
        <w:t>2021</w:t>
      </w:r>
      <w:proofErr w:type="gramEnd"/>
      <w:r w:rsidR="00966268">
        <w:rPr>
          <w:rFonts w:ascii="Arial" w:hAnsi="Arial" w:cs="Arial"/>
        </w:rPr>
        <w:t>; Hooley</w:t>
      </w:r>
      <w:r w:rsidR="007B79DF">
        <w:rPr>
          <w:rFonts w:ascii="Arial" w:hAnsi="Arial" w:cs="Arial"/>
        </w:rPr>
        <w:t>, (2021).</w:t>
      </w:r>
    </w:p>
    <w:p w14:paraId="2073856F" w14:textId="77777777" w:rsidR="00C83C5E" w:rsidRDefault="00C83C5E" w:rsidP="00C83C5E">
      <w:pPr>
        <w:jc w:val="both"/>
        <w:rPr>
          <w:rFonts w:ascii="Arial" w:hAnsi="Arial" w:cs="Arial"/>
          <w:b/>
          <w:bCs/>
        </w:rPr>
      </w:pPr>
    </w:p>
    <w:p w14:paraId="4B23002A" w14:textId="52725983" w:rsidR="00C83C5E" w:rsidRDefault="00C83C5E" w:rsidP="00DE71DE">
      <w:pPr>
        <w:pStyle w:val="Heading1"/>
      </w:pPr>
      <w:bookmarkStart w:id="8" w:name="_Toc72176080"/>
      <w:r>
        <w:t xml:space="preserve">Part </w:t>
      </w:r>
      <w:r w:rsidRPr="00C83C5E">
        <w:t>B</w:t>
      </w:r>
      <w:r>
        <w:t>.</w:t>
      </w:r>
      <w:bookmarkEnd w:id="8"/>
      <w:r>
        <w:t xml:space="preserve"> </w:t>
      </w:r>
    </w:p>
    <w:p w14:paraId="724197B5" w14:textId="05C62E18" w:rsidR="003D24F7" w:rsidRPr="00C83C5E" w:rsidRDefault="003D24F7" w:rsidP="00DE71DE">
      <w:pPr>
        <w:pStyle w:val="Heading1"/>
      </w:pPr>
      <w:bookmarkStart w:id="9" w:name="_Toc72176081"/>
      <w:r w:rsidRPr="008D6C6A">
        <w:rPr>
          <w:u w:val="single"/>
        </w:rPr>
        <w:t xml:space="preserve">Financial </w:t>
      </w:r>
      <w:r w:rsidR="007F3733">
        <w:rPr>
          <w:u w:val="single"/>
        </w:rPr>
        <w:t>S</w:t>
      </w:r>
      <w:r w:rsidRPr="008D6C6A">
        <w:rPr>
          <w:u w:val="single"/>
        </w:rPr>
        <w:t>tatements a</w:t>
      </w:r>
      <w:r>
        <w:rPr>
          <w:u w:val="single"/>
        </w:rPr>
        <w:t>s a</w:t>
      </w:r>
      <w:r w:rsidRPr="008D6C6A">
        <w:rPr>
          <w:u w:val="single"/>
        </w:rPr>
        <w:t xml:space="preserve"> means</w:t>
      </w:r>
      <w:r>
        <w:rPr>
          <w:u w:val="single"/>
        </w:rPr>
        <w:t xml:space="preserve"> of</w:t>
      </w:r>
      <w:r w:rsidRPr="008D6C6A">
        <w:rPr>
          <w:u w:val="single"/>
        </w:rPr>
        <w:t xml:space="preserve"> </w:t>
      </w:r>
      <w:r w:rsidR="007F3733">
        <w:rPr>
          <w:u w:val="single"/>
        </w:rPr>
        <w:t>C</w:t>
      </w:r>
      <w:r w:rsidRPr="008D6C6A">
        <w:rPr>
          <w:u w:val="single"/>
        </w:rPr>
        <w:t>ommunication</w:t>
      </w:r>
      <w:r>
        <w:rPr>
          <w:u w:val="single"/>
        </w:rPr>
        <w:t>:</w:t>
      </w:r>
      <w:bookmarkEnd w:id="9"/>
    </w:p>
    <w:p w14:paraId="5965F3C3" w14:textId="77777777" w:rsidR="003D24F7" w:rsidRDefault="003D24F7" w:rsidP="003D24F7">
      <w:pPr>
        <w:rPr>
          <w:rFonts w:ascii="Arial" w:hAnsi="Arial" w:cs="Arial"/>
        </w:rPr>
      </w:pPr>
      <w:r>
        <w:rPr>
          <w:rFonts w:ascii="Arial" w:hAnsi="Arial" w:cs="Arial"/>
        </w:rPr>
        <w:t>What is t</w:t>
      </w:r>
      <w:r w:rsidRPr="001718E2">
        <w:rPr>
          <w:rFonts w:ascii="Arial" w:hAnsi="Arial" w:cs="Arial"/>
        </w:rPr>
        <w:t xml:space="preserve">he </w:t>
      </w:r>
      <w:r>
        <w:rPr>
          <w:rFonts w:ascii="Arial" w:hAnsi="Arial" w:cs="Arial"/>
        </w:rPr>
        <w:t>significance of financial statement accounting?</w:t>
      </w:r>
    </w:p>
    <w:p w14:paraId="7579E9E2" w14:textId="77777777" w:rsidR="00F96D1A" w:rsidRDefault="003D24F7" w:rsidP="00F16685">
      <w:pPr>
        <w:jc w:val="both"/>
        <w:rPr>
          <w:rFonts w:ascii="Arial" w:hAnsi="Arial" w:cs="Arial"/>
        </w:rPr>
      </w:pPr>
      <w:r>
        <w:rPr>
          <w:rFonts w:ascii="Arial" w:hAnsi="Arial" w:cs="Arial"/>
        </w:rPr>
        <w:t xml:space="preserve">According to </w:t>
      </w:r>
      <w:bookmarkStart w:id="10" w:name="_Hlk64963714"/>
      <w:r>
        <w:rPr>
          <w:rFonts w:ascii="Arial" w:hAnsi="Arial" w:cs="Arial"/>
        </w:rPr>
        <w:t xml:space="preserve">Basheer and Hassan, (2016) </w:t>
      </w:r>
      <w:bookmarkEnd w:id="10"/>
      <w:r>
        <w:rPr>
          <w:rFonts w:ascii="Arial" w:hAnsi="Arial" w:cs="Arial"/>
        </w:rPr>
        <w:t xml:space="preserve">who say financial statements for the investor and others, are of critical importance, because this is where the financial information about all companies are stored, and for individuals that seek to invest in a company and check whether </w:t>
      </w:r>
      <w:r>
        <w:rPr>
          <w:rFonts w:ascii="Arial" w:hAnsi="Arial" w:cs="Arial"/>
        </w:rPr>
        <w:lastRenderedPageBreak/>
        <w:t>the investment in</w:t>
      </w:r>
      <w:r w:rsidR="00B96FFB">
        <w:rPr>
          <w:rFonts w:ascii="Arial" w:hAnsi="Arial" w:cs="Arial"/>
        </w:rPr>
        <w:t xml:space="preserve"> these</w:t>
      </w:r>
      <w:r>
        <w:rPr>
          <w:rFonts w:ascii="Arial" w:hAnsi="Arial" w:cs="Arial"/>
        </w:rPr>
        <w:t xml:space="preserve"> compan</w:t>
      </w:r>
      <w:r w:rsidR="00471CF1">
        <w:rPr>
          <w:rFonts w:ascii="Arial" w:hAnsi="Arial" w:cs="Arial"/>
        </w:rPr>
        <w:t>ies</w:t>
      </w:r>
      <w:r>
        <w:rPr>
          <w:rFonts w:ascii="Arial" w:hAnsi="Arial" w:cs="Arial"/>
        </w:rPr>
        <w:t xml:space="preserve"> is a worthy choice or not. However, there are many individuals, and investors too, that are unable to attain all the information required about an organizations financial health set out in financial statements, this is mainly caused by the deficiency of a financial educational understanding (Basheer and Hassan, 2016).</w:t>
      </w:r>
      <w:r w:rsidR="007356D0">
        <w:rPr>
          <w:rFonts w:ascii="Arial" w:hAnsi="Arial" w:cs="Arial"/>
        </w:rPr>
        <w:t xml:space="preserve"> </w:t>
      </w:r>
    </w:p>
    <w:p w14:paraId="478303C9" w14:textId="4237E5DB" w:rsidR="003D24F7" w:rsidRDefault="00134A7C" w:rsidP="00F16685">
      <w:pPr>
        <w:jc w:val="both"/>
        <w:rPr>
          <w:rFonts w:ascii="Arial" w:hAnsi="Arial" w:cs="Arial"/>
          <w:b/>
          <w:bCs/>
          <w:i/>
          <w:iCs/>
        </w:rPr>
      </w:pPr>
      <w:r w:rsidRPr="00EE79BD">
        <w:rPr>
          <w:rFonts w:ascii="Arial" w:hAnsi="Arial" w:cs="Arial"/>
          <w:b/>
          <w:bCs/>
          <w:i/>
          <w:iCs/>
        </w:rPr>
        <w:t xml:space="preserve">See below for GSK </w:t>
      </w:r>
      <w:r w:rsidR="00901092" w:rsidRPr="00EE79BD">
        <w:rPr>
          <w:rFonts w:ascii="Arial" w:hAnsi="Arial" w:cs="Arial"/>
          <w:b/>
          <w:bCs/>
          <w:i/>
          <w:iCs/>
        </w:rPr>
        <w:t>financial performance</w:t>
      </w:r>
      <w:r w:rsidR="00E33CA2" w:rsidRPr="00EE79BD">
        <w:rPr>
          <w:rFonts w:ascii="Arial" w:hAnsi="Arial" w:cs="Arial"/>
          <w:b/>
          <w:bCs/>
          <w:i/>
          <w:iCs/>
        </w:rPr>
        <w:t xml:space="preserve"> in comparison to their rivals </w:t>
      </w:r>
      <w:r w:rsidR="007C4468" w:rsidRPr="00EE79BD">
        <w:rPr>
          <w:rFonts w:ascii="Arial" w:hAnsi="Arial" w:cs="Arial"/>
          <w:b/>
          <w:bCs/>
          <w:i/>
          <w:iCs/>
        </w:rPr>
        <w:t>Johnson and Johnson,</w:t>
      </w:r>
      <w:r w:rsidR="00696141" w:rsidRPr="00EE79BD">
        <w:rPr>
          <w:rFonts w:ascii="Arial" w:hAnsi="Arial" w:cs="Arial"/>
          <w:b/>
          <w:bCs/>
          <w:i/>
          <w:iCs/>
        </w:rPr>
        <w:t xml:space="preserve"> Roche, and </w:t>
      </w:r>
      <w:r w:rsidR="008A2484" w:rsidRPr="00EE79BD">
        <w:rPr>
          <w:rFonts w:ascii="Arial" w:hAnsi="Arial" w:cs="Arial"/>
          <w:b/>
          <w:bCs/>
          <w:i/>
          <w:iCs/>
        </w:rPr>
        <w:t>Astra Zeneca.</w:t>
      </w:r>
    </w:p>
    <w:p w14:paraId="33246AEB" w14:textId="77777777" w:rsidR="006E241E" w:rsidRPr="00EE79BD" w:rsidRDefault="006E241E" w:rsidP="00F16685">
      <w:pPr>
        <w:jc w:val="both"/>
        <w:rPr>
          <w:rFonts w:ascii="Arial" w:hAnsi="Arial" w:cs="Arial"/>
          <w:b/>
          <w:bCs/>
          <w:i/>
          <w:iCs/>
        </w:rPr>
      </w:pPr>
    </w:p>
    <w:p w14:paraId="36428501" w14:textId="4E231ADE" w:rsidR="00F357F9" w:rsidRDefault="0064298D" w:rsidP="00DE71DE">
      <w:pPr>
        <w:pStyle w:val="Heading1"/>
      </w:pPr>
      <w:r w:rsidRPr="005D486C">
        <w:t xml:space="preserve"> </w:t>
      </w:r>
      <w:bookmarkStart w:id="11" w:name="_Toc72176082"/>
      <w:r>
        <w:t>GlaxoSmithKline’s</w:t>
      </w:r>
      <w:r w:rsidR="0090133E">
        <w:t xml:space="preserve"> Financial</w:t>
      </w:r>
      <w:r>
        <w:t xml:space="preserve"> </w:t>
      </w:r>
      <w:r w:rsidR="00AB7F90">
        <w:t>P</w:t>
      </w:r>
      <w:r>
        <w:t>erformance of the last five years:</w:t>
      </w:r>
      <w:bookmarkEnd w:id="11"/>
    </w:p>
    <w:p w14:paraId="203F96B9" w14:textId="77777777" w:rsidR="00356BF4" w:rsidRDefault="00356BF4" w:rsidP="002B7992">
      <w:pPr>
        <w:jc w:val="both"/>
        <w:rPr>
          <w:rFonts w:ascii="Arial" w:hAnsi="Arial" w:cs="Arial"/>
          <w:b/>
          <w:bCs/>
          <w:u w:val="single"/>
        </w:rPr>
      </w:pPr>
    </w:p>
    <w:tbl>
      <w:tblPr>
        <w:tblW w:w="6954" w:type="dxa"/>
        <w:tblLook w:val="04A0" w:firstRow="1" w:lastRow="0" w:firstColumn="1" w:lastColumn="0" w:noHBand="0" w:noVBand="1"/>
      </w:tblPr>
      <w:tblGrid>
        <w:gridCol w:w="1077"/>
        <w:gridCol w:w="1077"/>
        <w:gridCol w:w="1053"/>
        <w:gridCol w:w="1053"/>
        <w:gridCol w:w="1053"/>
        <w:gridCol w:w="1053"/>
        <w:gridCol w:w="1053"/>
      </w:tblGrid>
      <w:tr w:rsidR="00E12780" w:rsidRPr="00E12780" w14:paraId="72D90987" w14:textId="77777777" w:rsidTr="00E12780">
        <w:trPr>
          <w:trHeight w:val="300"/>
        </w:trPr>
        <w:tc>
          <w:tcPr>
            <w:tcW w:w="1077" w:type="dxa"/>
            <w:tcBorders>
              <w:top w:val="nil"/>
              <w:left w:val="nil"/>
              <w:bottom w:val="nil"/>
              <w:right w:val="nil"/>
            </w:tcBorders>
            <w:shd w:val="clear" w:color="auto" w:fill="auto"/>
            <w:noWrap/>
            <w:vAlign w:val="bottom"/>
            <w:hideMark/>
          </w:tcPr>
          <w:p w14:paraId="2E7D596A" w14:textId="77777777" w:rsidR="00E12780" w:rsidRPr="00E12780" w:rsidRDefault="00E12780" w:rsidP="00E12780">
            <w:pPr>
              <w:spacing w:after="0" w:line="240" w:lineRule="auto"/>
              <w:rPr>
                <w:rFonts w:ascii="Times New Roman" w:eastAsia="Times New Roman" w:hAnsi="Times New Roman" w:cs="Times New Roman"/>
                <w:sz w:val="24"/>
                <w:szCs w:val="24"/>
                <w:lang w:eastAsia="en-GB"/>
              </w:rPr>
            </w:pPr>
          </w:p>
        </w:tc>
        <w:tc>
          <w:tcPr>
            <w:tcW w:w="1077" w:type="dxa"/>
            <w:tcBorders>
              <w:top w:val="nil"/>
              <w:left w:val="nil"/>
              <w:bottom w:val="nil"/>
              <w:right w:val="nil"/>
            </w:tcBorders>
            <w:shd w:val="clear" w:color="auto" w:fill="auto"/>
            <w:noWrap/>
            <w:vAlign w:val="bottom"/>
            <w:hideMark/>
          </w:tcPr>
          <w:p w14:paraId="19DBF21B" w14:textId="77777777" w:rsidR="00E12780" w:rsidRPr="00E12780" w:rsidRDefault="00E12780" w:rsidP="00E12780">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center"/>
            <w:hideMark/>
          </w:tcPr>
          <w:p w14:paraId="25E3AAEF" w14:textId="77777777" w:rsidR="00E12780" w:rsidRPr="00E12780" w:rsidRDefault="00E12780" w:rsidP="00E12780">
            <w:pPr>
              <w:spacing w:after="0" w:line="240" w:lineRule="auto"/>
              <w:jc w:val="right"/>
              <w:rPr>
                <w:rFonts w:ascii="Calibri" w:eastAsia="Times New Roman" w:hAnsi="Calibri" w:cs="Calibri"/>
                <w:b/>
                <w:bCs/>
                <w:color w:val="000000"/>
                <w:lang w:eastAsia="en-GB"/>
              </w:rPr>
            </w:pPr>
            <w:r w:rsidRPr="00E12780">
              <w:rPr>
                <w:rFonts w:ascii="Calibri" w:eastAsia="Times New Roman" w:hAnsi="Calibri" w:cs="Calibri"/>
                <w:b/>
                <w:bCs/>
                <w:color w:val="000000"/>
                <w:lang w:eastAsia="en-GB"/>
              </w:rPr>
              <w:t>2016</w:t>
            </w:r>
          </w:p>
        </w:tc>
        <w:tc>
          <w:tcPr>
            <w:tcW w:w="960" w:type="dxa"/>
            <w:tcBorders>
              <w:top w:val="nil"/>
              <w:left w:val="nil"/>
              <w:bottom w:val="nil"/>
              <w:right w:val="nil"/>
            </w:tcBorders>
            <w:shd w:val="clear" w:color="auto" w:fill="auto"/>
            <w:noWrap/>
            <w:vAlign w:val="center"/>
            <w:hideMark/>
          </w:tcPr>
          <w:p w14:paraId="2A216459" w14:textId="77777777" w:rsidR="00E12780" w:rsidRPr="00E12780" w:rsidRDefault="00E12780" w:rsidP="00E12780">
            <w:pPr>
              <w:spacing w:after="0" w:line="240" w:lineRule="auto"/>
              <w:jc w:val="right"/>
              <w:rPr>
                <w:rFonts w:ascii="Calibri" w:eastAsia="Times New Roman" w:hAnsi="Calibri" w:cs="Calibri"/>
                <w:b/>
                <w:bCs/>
                <w:color w:val="000000"/>
                <w:lang w:eastAsia="en-GB"/>
              </w:rPr>
            </w:pPr>
            <w:r w:rsidRPr="00E12780">
              <w:rPr>
                <w:rFonts w:ascii="Calibri" w:eastAsia="Times New Roman" w:hAnsi="Calibri" w:cs="Calibri"/>
                <w:b/>
                <w:bCs/>
                <w:color w:val="000000"/>
                <w:lang w:eastAsia="en-GB"/>
              </w:rPr>
              <w:t>2017</w:t>
            </w:r>
          </w:p>
        </w:tc>
        <w:tc>
          <w:tcPr>
            <w:tcW w:w="960" w:type="dxa"/>
            <w:tcBorders>
              <w:top w:val="nil"/>
              <w:left w:val="nil"/>
              <w:bottom w:val="nil"/>
              <w:right w:val="nil"/>
            </w:tcBorders>
            <w:shd w:val="clear" w:color="auto" w:fill="auto"/>
            <w:noWrap/>
            <w:vAlign w:val="center"/>
            <w:hideMark/>
          </w:tcPr>
          <w:p w14:paraId="5E1375C9" w14:textId="77777777" w:rsidR="00E12780" w:rsidRPr="00E12780" w:rsidRDefault="00E12780" w:rsidP="00E12780">
            <w:pPr>
              <w:spacing w:after="0" w:line="240" w:lineRule="auto"/>
              <w:jc w:val="right"/>
              <w:rPr>
                <w:rFonts w:ascii="Calibri" w:eastAsia="Times New Roman" w:hAnsi="Calibri" w:cs="Calibri"/>
                <w:b/>
                <w:bCs/>
                <w:color w:val="000000"/>
                <w:lang w:eastAsia="en-GB"/>
              </w:rPr>
            </w:pPr>
            <w:r w:rsidRPr="00E12780">
              <w:rPr>
                <w:rFonts w:ascii="Calibri" w:eastAsia="Times New Roman" w:hAnsi="Calibri" w:cs="Calibri"/>
                <w:b/>
                <w:bCs/>
                <w:color w:val="000000"/>
                <w:lang w:eastAsia="en-GB"/>
              </w:rPr>
              <w:t>2018</w:t>
            </w:r>
          </w:p>
        </w:tc>
        <w:tc>
          <w:tcPr>
            <w:tcW w:w="960" w:type="dxa"/>
            <w:tcBorders>
              <w:top w:val="nil"/>
              <w:left w:val="nil"/>
              <w:bottom w:val="nil"/>
              <w:right w:val="nil"/>
            </w:tcBorders>
            <w:shd w:val="clear" w:color="auto" w:fill="auto"/>
            <w:noWrap/>
            <w:vAlign w:val="center"/>
            <w:hideMark/>
          </w:tcPr>
          <w:p w14:paraId="2B9A767D" w14:textId="77777777" w:rsidR="00E12780" w:rsidRPr="00E12780" w:rsidRDefault="00E12780" w:rsidP="00E12780">
            <w:pPr>
              <w:spacing w:after="0" w:line="240" w:lineRule="auto"/>
              <w:jc w:val="right"/>
              <w:rPr>
                <w:rFonts w:ascii="Calibri" w:eastAsia="Times New Roman" w:hAnsi="Calibri" w:cs="Calibri"/>
                <w:b/>
                <w:bCs/>
                <w:color w:val="000000"/>
                <w:lang w:eastAsia="en-GB"/>
              </w:rPr>
            </w:pPr>
            <w:r w:rsidRPr="00E12780">
              <w:rPr>
                <w:rFonts w:ascii="Calibri" w:eastAsia="Times New Roman" w:hAnsi="Calibri" w:cs="Calibri"/>
                <w:b/>
                <w:bCs/>
                <w:color w:val="000000"/>
                <w:lang w:eastAsia="en-GB"/>
              </w:rPr>
              <w:t>2019</w:t>
            </w:r>
          </w:p>
        </w:tc>
        <w:tc>
          <w:tcPr>
            <w:tcW w:w="960" w:type="dxa"/>
            <w:tcBorders>
              <w:top w:val="nil"/>
              <w:left w:val="nil"/>
              <w:bottom w:val="nil"/>
              <w:right w:val="nil"/>
            </w:tcBorders>
            <w:shd w:val="clear" w:color="auto" w:fill="auto"/>
            <w:noWrap/>
            <w:vAlign w:val="center"/>
            <w:hideMark/>
          </w:tcPr>
          <w:p w14:paraId="5FC06469" w14:textId="77777777" w:rsidR="00E12780" w:rsidRPr="00E12780" w:rsidRDefault="00E12780" w:rsidP="00E12780">
            <w:pPr>
              <w:spacing w:after="0" w:line="240" w:lineRule="auto"/>
              <w:jc w:val="right"/>
              <w:rPr>
                <w:rFonts w:ascii="Calibri" w:eastAsia="Times New Roman" w:hAnsi="Calibri" w:cs="Calibri"/>
                <w:b/>
                <w:bCs/>
                <w:color w:val="000000"/>
                <w:lang w:eastAsia="en-GB"/>
              </w:rPr>
            </w:pPr>
            <w:r w:rsidRPr="00E12780">
              <w:rPr>
                <w:rFonts w:ascii="Calibri" w:eastAsia="Times New Roman" w:hAnsi="Calibri" w:cs="Calibri"/>
                <w:b/>
                <w:bCs/>
                <w:color w:val="000000"/>
                <w:lang w:eastAsia="en-GB"/>
              </w:rPr>
              <w:t>2020</w:t>
            </w:r>
          </w:p>
        </w:tc>
      </w:tr>
      <w:tr w:rsidR="00E12780" w:rsidRPr="00E12780" w14:paraId="4FB66704" w14:textId="77777777" w:rsidTr="00E12780">
        <w:trPr>
          <w:trHeight w:val="300"/>
        </w:trPr>
        <w:tc>
          <w:tcPr>
            <w:tcW w:w="2154" w:type="dxa"/>
            <w:gridSpan w:val="2"/>
            <w:tcBorders>
              <w:top w:val="nil"/>
              <w:left w:val="nil"/>
              <w:bottom w:val="nil"/>
              <w:right w:val="nil"/>
            </w:tcBorders>
            <w:shd w:val="clear" w:color="auto" w:fill="auto"/>
            <w:noWrap/>
            <w:vAlign w:val="center"/>
            <w:hideMark/>
          </w:tcPr>
          <w:p w14:paraId="0B4F63C7" w14:textId="77777777" w:rsidR="00E12780" w:rsidRPr="00E12780" w:rsidRDefault="00E12780" w:rsidP="00E12780">
            <w:pPr>
              <w:spacing w:after="0" w:line="240" w:lineRule="auto"/>
              <w:rPr>
                <w:rFonts w:ascii="Calibri" w:eastAsia="Times New Roman" w:hAnsi="Calibri" w:cs="Calibri"/>
                <w:color w:val="000000"/>
                <w:lang w:eastAsia="en-GB"/>
              </w:rPr>
            </w:pPr>
            <w:r w:rsidRPr="00E12780">
              <w:rPr>
                <w:rFonts w:ascii="Calibri" w:eastAsia="Times New Roman" w:hAnsi="Calibri" w:cs="Calibri"/>
                <w:color w:val="000000"/>
                <w:lang w:eastAsia="en-GB"/>
              </w:rPr>
              <w:t>Gross profit margin</w:t>
            </w:r>
          </w:p>
        </w:tc>
        <w:tc>
          <w:tcPr>
            <w:tcW w:w="960" w:type="dxa"/>
            <w:tcBorders>
              <w:top w:val="nil"/>
              <w:left w:val="nil"/>
              <w:bottom w:val="nil"/>
              <w:right w:val="nil"/>
            </w:tcBorders>
            <w:shd w:val="clear" w:color="auto" w:fill="auto"/>
            <w:vAlign w:val="center"/>
            <w:hideMark/>
          </w:tcPr>
          <w:p w14:paraId="7FB373C6"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0.666894</w:t>
            </w:r>
          </w:p>
        </w:tc>
        <w:tc>
          <w:tcPr>
            <w:tcW w:w="960" w:type="dxa"/>
            <w:tcBorders>
              <w:top w:val="nil"/>
              <w:left w:val="nil"/>
              <w:bottom w:val="nil"/>
              <w:right w:val="nil"/>
            </w:tcBorders>
            <w:shd w:val="clear" w:color="auto" w:fill="auto"/>
            <w:vAlign w:val="center"/>
            <w:hideMark/>
          </w:tcPr>
          <w:p w14:paraId="226D72C2"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0.658716</w:t>
            </w:r>
          </w:p>
        </w:tc>
        <w:tc>
          <w:tcPr>
            <w:tcW w:w="960" w:type="dxa"/>
            <w:tcBorders>
              <w:top w:val="nil"/>
              <w:left w:val="nil"/>
              <w:bottom w:val="nil"/>
              <w:right w:val="nil"/>
            </w:tcBorders>
            <w:shd w:val="clear" w:color="auto" w:fill="auto"/>
            <w:vAlign w:val="center"/>
            <w:hideMark/>
          </w:tcPr>
          <w:p w14:paraId="5BD851D2"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0.667727</w:t>
            </w:r>
          </w:p>
        </w:tc>
        <w:tc>
          <w:tcPr>
            <w:tcW w:w="960" w:type="dxa"/>
            <w:tcBorders>
              <w:top w:val="nil"/>
              <w:left w:val="nil"/>
              <w:bottom w:val="nil"/>
              <w:right w:val="nil"/>
            </w:tcBorders>
            <w:shd w:val="clear" w:color="auto" w:fill="auto"/>
            <w:vAlign w:val="center"/>
            <w:hideMark/>
          </w:tcPr>
          <w:p w14:paraId="14C7BADC"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0.648545</w:t>
            </w:r>
          </w:p>
        </w:tc>
        <w:tc>
          <w:tcPr>
            <w:tcW w:w="960" w:type="dxa"/>
            <w:tcBorders>
              <w:top w:val="nil"/>
              <w:left w:val="nil"/>
              <w:bottom w:val="nil"/>
              <w:right w:val="nil"/>
            </w:tcBorders>
            <w:shd w:val="clear" w:color="000000" w:fill="FFFF00"/>
            <w:noWrap/>
            <w:vAlign w:val="center"/>
            <w:hideMark/>
          </w:tcPr>
          <w:p w14:paraId="4D584E08"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0.656764</w:t>
            </w:r>
          </w:p>
        </w:tc>
      </w:tr>
      <w:tr w:rsidR="00E12780" w:rsidRPr="00E12780" w14:paraId="595CB8B1" w14:textId="77777777" w:rsidTr="00E12780">
        <w:trPr>
          <w:trHeight w:val="300"/>
        </w:trPr>
        <w:tc>
          <w:tcPr>
            <w:tcW w:w="2154" w:type="dxa"/>
            <w:gridSpan w:val="2"/>
            <w:tcBorders>
              <w:top w:val="nil"/>
              <w:left w:val="nil"/>
              <w:bottom w:val="nil"/>
              <w:right w:val="nil"/>
            </w:tcBorders>
            <w:shd w:val="clear" w:color="auto" w:fill="auto"/>
            <w:noWrap/>
            <w:vAlign w:val="center"/>
            <w:hideMark/>
          </w:tcPr>
          <w:p w14:paraId="239AE3B0" w14:textId="77777777" w:rsidR="00E12780" w:rsidRPr="00E12780" w:rsidRDefault="00E12780" w:rsidP="00E12780">
            <w:pPr>
              <w:spacing w:after="0" w:line="240" w:lineRule="auto"/>
              <w:rPr>
                <w:rFonts w:ascii="Calibri" w:eastAsia="Times New Roman" w:hAnsi="Calibri" w:cs="Calibri"/>
                <w:color w:val="000000"/>
                <w:lang w:eastAsia="en-GB"/>
              </w:rPr>
            </w:pPr>
            <w:r w:rsidRPr="00E12780">
              <w:rPr>
                <w:rFonts w:ascii="Calibri" w:eastAsia="Times New Roman" w:hAnsi="Calibri" w:cs="Calibri"/>
                <w:color w:val="000000"/>
                <w:lang w:eastAsia="en-GB"/>
              </w:rPr>
              <w:t>Operating profit margin</w:t>
            </w:r>
          </w:p>
        </w:tc>
        <w:tc>
          <w:tcPr>
            <w:tcW w:w="960" w:type="dxa"/>
            <w:tcBorders>
              <w:top w:val="nil"/>
              <w:left w:val="nil"/>
              <w:bottom w:val="nil"/>
              <w:right w:val="nil"/>
            </w:tcBorders>
            <w:shd w:val="clear" w:color="auto" w:fill="auto"/>
            <w:vAlign w:val="center"/>
            <w:hideMark/>
          </w:tcPr>
          <w:p w14:paraId="081DAB9C"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0.093155</w:t>
            </w:r>
          </w:p>
        </w:tc>
        <w:tc>
          <w:tcPr>
            <w:tcW w:w="960" w:type="dxa"/>
            <w:tcBorders>
              <w:top w:val="nil"/>
              <w:left w:val="nil"/>
              <w:bottom w:val="nil"/>
              <w:right w:val="nil"/>
            </w:tcBorders>
            <w:shd w:val="clear" w:color="auto" w:fill="auto"/>
            <w:vAlign w:val="center"/>
            <w:hideMark/>
          </w:tcPr>
          <w:p w14:paraId="754D3CE3"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0.135394</w:t>
            </w:r>
          </w:p>
        </w:tc>
        <w:tc>
          <w:tcPr>
            <w:tcW w:w="960" w:type="dxa"/>
            <w:tcBorders>
              <w:top w:val="nil"/>
              <w:left w:val="nil"/>
              <w:bottom w:val="nil"/>
              <w:right w:val="nil"/>
            </w:tcBorders>
            <w:shd w:val="clear" w:color="auto" w:fill="auto"/>
            <w:vAlign w:val="center"/>
            <w:hideMark/>
          </w:tcPr>
          <w:p w14:paraId="2F25B9AA"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0.177898</w:t>
            </w:r>
          </w:p>
        </w:tc>
        <w:tc>
          <w:tcPr>
            <w:tcW w:w="960" w:type="dxa"/>
            <w:tcBorders>
              <w:top w:val="nil"/>
              <w:left w:val="nil"/>
              <w:bottom w:val="nil"/>
              <w:right w:val="nil"/>
            </w:tcBorders>
            <w:shd w:val="clear" w:color="auto" w:fill="auto"/>
            <w:vAlign w:val="center"/>
            <w:hideMark/>
          </w:tcPr>
          <w:p w14:paraId="5550897F"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0.206227</w:t>
            </w:r>
          </w:p>
        </w:tc>
        <w:tc>
          <w:tcPr>
            <w:tcW w:w="960" w:type="dxa"/>
            <w:tcBorders>
              <w:top w:val="nil"/>
              <w:left w:val="nil"/>
              <w:bottom w:val="nil"/>
              <w:right w:val="nil"/>
            </w:tcBorders>
            <w:shd w:val="clear" w:color="000000" w:fill="FFFF00"/>
            <w:noWrap/>
            <w:vAlign w:val="center"/>
            <w:hideMark/>
          </w:tcPr>
          <w:p w14:paraId="0DB7A5B5"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0.228247</w:t>
            </w:r>
          </w:p>
        </w:tc>
      </w:tr>
      <w:tr w:rsidR="00E12780" w:rsidRPr="00E12780" w14:paraId="382C7517" w14:textId="77777777" w:rsidTr="00E12780">
        <w:trPr>
          <w:trHeight w:val="300"/>
        </w:trPr>
        <w:tc>
          <w:tcPr>
            <w:tcW w:w="2154" w:type="dxa"/>
            <w:gridSpan w:val="2"/>
            <w:tcBorders>
              <w:top w:val="nil"/>
              <w:left w:val="nil"/>
              <w:bottom w:val="nil"/>
              <w:right w:val="nil"/>
            </w:tcBorders>
            <w:shd w:val="clear" w:color="auto" w:fill="auto"/>
            <w:noWrap/>
            <w:vAlign w:val="center"/>
            <w:hideMark/>
          </w:tcPr>
          <w:p w14:paraId="55263105" w14:textId="77777777" w:rsidR="00E12780" w:rsidRPr="00E12780" w:rsidRDefault="00E12780" w:rsidP="00E12780">
            <w:pPr>
              <w:spacing w:after="0" w:line="240" w:lineRule="auto"/>
              <w:rPr>
                <w:rFonts w:ascii="Calibri" w:eastAsia="Times New Roman" w:hAnsi="Calibri" w:cs="Calibri"/>
                <w:color w:val="000000"/>
                <w:lang w:eastAsia="en-GB"/>
              </w:rPr>
            </w:pPr>
            <w:r w:rsidRPr="00E12780">
              <w:rPr>
                <w:rFonts w:ascii="Calibri" w:eastAsia="Times New Roman" w:hAnsi="Calibri" w:cs="Calibri"/>
                <w:color w:val="000000"/>
                <w:lang w:eastAsia="en-GB"/>
              </w:rPr>
              <w:t>Net profit margin</w:t>
            </w:r>
          </w:p>
        </w:tc>
        <w:tc>
          <w:tcPr>
            <w:tcW w:w="960" w:type="dxa"/>
            <w:tcBorders>
              <w:top w:val="nil"/>
              <w:left w:val="nil"/>
              <w:bottom w:val="nil"/>
              <w:right w:val="nil"/>
            </w:tcBorders>
            <w:shd w:val="clear" w:color="auto" w:fill="auto"/>
            <w:vAlign w:val="center"/>
            <w:hideMark/>
          </w:tcPr>
          <w:p w14:paraId="35337B09"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0.03808</w:t>
            </w:r>
          </w:p>
        </w:tc>
        <w:tc>
          <w:tcPr>
            <w:tcW w:w="960" w:type="dxa"/>
            <w:tcBorders>
              <w:top w:val="nil"/>
              <w:left w:val="nil"/>
              <w:bottom w:val="nil"/>
              <w:right w:val="nil"/>
            </w:tcBorders>
            <w:shd w:val="clear" w:color="auto" w:fill="auto"/>
            <w:vAlign w:val="center"/>
            <w:hideMark/>
          </w:tcPr>
          <w:p w14:paraId="1303E988"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0.071855</w:t>
            </w:r>
          </w:p>
        </w:tc>
        <w:tc>
          <w:tcPr>
            <w:tcW w:w="960" w:type="dxa"/>
            <w:tcBorders>
              <w:top w:val="nil"/>
              <w:left w:val="nil"/>
              <w:bottom w:val="nil"/>
              <w:right w:val="nil"/>
            </w:tcBorders>
            <w:shd w:val="clear" w:color="auto" w:fill="auto"/>
            <w:vAlign w:val="center"/>
            <w:hideMark/>
          </w:tcPr>
          <w:p w14:paraId="1822B10B"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0.131274</w:t>
            </w:r>
          </w:p>
        </w:tc>
        <w:tc>
          <w:tcPr>
            <w:tcW w:w="960" w:type="dxa"/>
            <w:tcBorders>
              <w:top w:val="nil"/>
              <w:left w:val="nil"/>
              <w:bottom w:val="nil"/>
              <w:right w:val="nil"/>
            </w:tcBorders>
            <w:shd w:val="clear" w:color="auto" w:fill="auto"/>
            <w:vAlign w:val="center"/>
            <w:hideMark/>
          </w:tcPr>
          <w:p w14:paraId="05EEB40A"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0.15607</w:t>
            </w:r>
          </w:p>
        </w:tc>
        <w:tc>
          <w:tcPr>
            <w:tcW w:w="960" w:type="dxa"/>
            <w:tcBorders>
              <w:top w:val="nil"/>
              <w:left w:val="nil"/>
              <w:bottom w:val="nil"/>
              <w:right w:val="nil"/>
            </w:tcBorders>
            <w:shd w:val="clear" w:color="000000" w:fill="FFFF00"/>
            <w:noWrap/>
            <w:vAlign w:val="center"/>
            <w:hideMark/>
          </w:tcPr>
          <w:p w14:paraId="317D8A39"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0.187337</w:t>
            </w:r>
          </w:p>
        </w:tc>
      </w:tr>
      <w:tr w:rsidR="00E12780" w:rsidRPr="00E12780" w14:paraId="13D807CF" w14:textId="77777777" w:rsidTr="00E12780">
        <w:trPr>
          <w:trHeight w:val="300"/>
        </w:trPr>
        <w:tc>
          <w:tcPr>
            <w:tcW w:w="2154" w:type="dxa"/>
            <w:gridSpan w:val="2"/>
            <w:tcBorders>
              <w:top w:val="nil"/>
              <w:left w:val="nil"/>
              <w:bottom w:val="nil"/>
              <w:right w:val="nil"/>
            </w:tcBorders>
            <w:shd w:val="clear" w:color="auto" w:fill="auto"/>
            <w:noWrap/>
            <w:vAlign w:val="center"/>
            <w:hideMark/>
          </w:tcPr>
          <w:p w14:paraId="1C94B8AB" w14:textId="77777777" w:rsidR="00E12780" w:rsidRPr="00E12780" w:rsidRDefault="00E12780" w:rsidP="00E12780">
            <w:pPr>
              <w:spacing w:after="0" w:line="240" w:lineRule="auto"/>
              <w:rPr>
                <w:rFonts w:ascii="Calibri" w:eastAsia="Times New Roman" w:hAnsi="Calibri" w:cs="Calibri"/>
                <w:color w:val="000000"/>
                <w:lang w:eastAsia="en-GB"/>
              </w:rPr>
            </w:pPr>
            <w:r w:rsidRPr="00E12780">
              <w:rPr>
                <w:rFonts w:ascii="Calibri" w:eastAsia="Times New Roman" w:hAnsi="Calibri" w:cs="Calibri"/>
                <w:color w:val="000000"/>
                <w:lang w:eastAsia="en-GB"/>
              </w:rPr>
              <w:t>Fixed asset turnover</w:t>
            </w:r>
          </w:p>
        </w:tc>
        <w:tc>
          <w:tcPr>
            <w:tcW w:w="960" w:type="dxa"/>
            <w:tcBorders>
              <w:top w:val="nil"/>
              <w:left w:val="nil"/>
              <w:bottom w:val="nil"/>
              <w:right w:val="nil"/>
            </w:tcBorders>
            <w:shd w:val="clear" w:color="auto" w:fill="auto"/>
            <w:vAlign w:val="center"/>
            <w:hideMark/>
          </w:tcPr>
          <w:p w14:paraId="107D2C46"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2.580403</w:t>
            </w:r>
          </w:p>
        </w:tc>
        <w:tc>
          <w:tcPr>
            <w:tcW w:w="960" w:type="dxa"/>
            <w:tcBorders>
              <w:top w:val="nil"/>
              <w:left w:val="nil"/>
              <w:bottom w:val="nil"/>
              <w:right w:val="nil"/>
            </w:tcBorders>
            <w:shd w:val="clear" w:color="auto" w:fill="auto"/>
            <w:vAlign w:val="center"/>
            <w:hideMark/>
          </w:tcPr>
          <w:p w14:paraId="2D183D17"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2.779558</w:t>
            </w:r>
          </w:p>
        </w:tc>
        <w:tc>
          <w:tcPr>
            <w:tcW w:w="960" w:type="dxa"/>
            <w:tcBorders>
              <w:top w:val="nil"/>
              <w:left w:val="nil"/>
              <w:bottom w:val="nil"/>
              <w:right w:val="nil"/>
            </w:tcBorders>
            <w:shd w:val="clear" w:color="auto" w:fill="auto"/>
            <w:vAlign w:val="center"/>
            <w:hideMark/>
          </w:tcPr>
          <w:p w14:paraId="15EC7606"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2.838029</w:t>
            </w:r>
          </w:p>
        </w:tc>
        <w:tc>
          <w:tcPr>
            <w:tcW w:w="960" w:type="dxa"/>
            <w:tcBorders>
              <w:top w:val="nil"/>
              <w:left w:val="nil"/>
              <w:bottom w:val="nil"/>
              <w:right w:val="nil"/>
            </w:tcBorders>
            <w:shd w:val="clear" w:color="auto" w:fill="auto"/>
            <w:vAlign w:val="center"/>
            <w:hideMark/>
          </w:tcPr>
          <w:p w14:paraId="2B786F6A"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3.261886</w:t>
            </w:r>
          </w:p>
        </w:tc>
        <w:tc>
          <w:tcPr>
            <w:tcW w:w="960" w:type="dxa"/>
            <w:tcBorders>
              <w:top w:val="nil"/>
              <w:left w:val="nil"/>
              <w:bottom w:val="nil"/>
              <w:right w:val="nil"/>
            </w:tcBorders>
            <w:shd w:val="clear" w:color="000000" w:fill="FFFF00"/>
            <w:noWrap/>
            <w:vAlign w:val="center"/>
            <w:hideMark/>
          </w:tcPr>
          <w:p w14:paraId="465707EE"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3.350924</w:t>
            </w:r>
          </w:p>
        </w:tc>
      </w:tr>
      <w:tr w:rsidR="00E12780" w:rsidRPr="00E12780" w14:paraId="3F0BEF2C" w14:textId="77777777" w:rsidTr="00E12780">
        <w:trPr>
          <w:trHeight w:val="300"/>
        </w:trPr>
        <w:tc>
          <w:tcPr>
            <w:tcW w:w="2154" w:type="dxa"/>
            <w:gridSpan w:val="2"/>
            <w:tcBorders>
              <w:top w:val="nil"/>
              <w:left w:val="nil"/>
              <w:bottom w:val="nil"/>
              <w:right w:val="nil"/>
            </w:tcBorders>
            <w:shd w:val="clear" w:color="auto" w:fill="auto"/>
            <w:noWrap/>
            <w:vAlign w:val="center"/>
            <w:hideMark/>
          </w:tcPr>
          <w:p w14:paraId="61B05B93" w14:textId="77777777" w:rsidR="00E12780" w:rsidRPr="00E12780" w:rsidRDefault="00E12780" w:rsidP="00E12780">
            <w:pPr>
              <w:spacing w:after="0" w:line="240" w:lineRule="auto"/>
              <w:rPr>
                <w:rFonts w:ascii="Calibri" w:eastAsia="Times New Roman" w:hAnsi="Calibri" w:cs="Calibri"/>
                <w:color w:val="000000"/>
                <w:lang w:eastAsia="en-GB"/>
              </w:rPr>
            </w:pPr>
            <w:r w:rsidRPr="00E12780">
              <w:rPr>
                <w:rFonts w:ascii="Calibri" w:eastAsia="Times New Roman" w:hAnsi="Calibri" w:cs="Calibri"/>
                <w:color w:val="000000"/>
                <w:lang w:eastAsia="en-GB"/>
              </w:rPr>
              <w:t>Total asset turnover</w:t>
            </w:r>
          </w:p>
        </w:tc>
        <w:tc>
          <w:tcPr>
            <w:tcW w:w="960" w:type="dxa"/>
            <w:tcBorders>
              <w:top w:val="nil"/>
              <w:left w:val="nil"/>
              <w:bottom w:val="nil"/>
              <w:right w:val="nil"/>
            </w:tcBorders>
            <w:shd w:val="clear" w:color="auto" w:fill="auto"/>
            <w:vAlign w:val="center"/>
            <w:hideMark/>
          </w:tcPr>
          <w:p w14:paraId="45B60C44"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1.668901</w:t>
            </w:r>
          </w:p>
        </w:tc>
        <w:tc>
          <w:tcPr>
            <w:tcW w:w="960" w:type="dxa"/>
            <w:tcBorders>
              <w:top w:val="nil"/>
              <w:left w:val="nil"/>
              <w:bottom w:val="nil"/>
              <w:right w:val="nil"/>
            </w:tcBorders>
            <w:shd w:val="clear" w:color="auto" w:fill="auto"/>
            <w:vAlign w:val="center"/>
            <w:hideMark/>
          </w:tcPr>
          <w:p w14:paraId="74015BD3"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1.897655</w:t>
            </w:r>
          </w:p>
        </w:tc>
        <w:tc>
          <w:tcPr>
            <w:tcW w:w="960" w:type="dxa"/>
            <w:tcBorders>
              <w:top w:val="nil"/>
              <w:left w:val="nil"/>
              <w:bottom w:val="nil"/>
              <w:right w:val="nil"/>
            </w:tcBorders>
            <w:shd w:val="clear" w:color="auto" w:fill="auto"/>
            <w:vAlign w:val="center"/>
            <w:hideMark/>
          </w:tcPr>
          <w:p w14:paraId="732CA6A9"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0.530793</w:t>
            </w:r>
          </w:p>
        </w:tc>
        <w:tc>
          <w:tcPr>
            <w:tcW w:w="960" w:type="dxa"/>
            <w:tcBorders>
              <w:top w:val="nil"/>
              <w:left w:val="nil"/>
              <w:bottom w:val="nil"/>
              <w:right w:val="nil"/>
            </w:tcBorders>
            <w:shd w:val="clear" w:color="auto" w:fill="auto"/>
            <w:vAlign w:val="center"/>
            <w:hideMark/>
          </w:tcPr>
          <w:p w14:paraId="130288B9"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0.423556</w:t>
            </w:r>
          </w:p>
        </w:tc>
        <w:tc>
          <w:tcPr>
            <w:tcW w:w="960" w:type="dxa"/>
            <w:tcBorders>
              <w:top w:val="nil"/>
              <w:left w:val="nil"/>
              <w:bottom w:val="nil"/>
              <w:right w:val="nil"/>
            </w:tcBorders>
            <w:shd w:val="clear" w:color="000000" w:fill="FFFF00"/>
            <w:noWrap/>
            <w:vAlign w:val="center"/>
            <w:hideMark/>
          </w:tcPr>
          <w:p w14:paraId="6343E743"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27.17052</w:t>
            </w:r>
          </w:p>
        </w:tc>
      </w:tr>
      <w:tr w:rsidR="00E12780" w:rsidRPr="00E12780" w14:paraId="56491C8C" w14:textId="77777777" w:rsidTr="00E12780">
        <w:trPr>
          <w:trHeight w:val="300"/>
        </w:trPr>
        <w:tc>
          <w:tcPr>
            <w:tcW w:w="2154" w:type="dxa"/>
            <w:gridSpan w:val="2"/>
            <w:tcBorders>
              <w:top w:val="nil"/>
              <w:left w:val="nil"/>
              <w:bottom w:val="nil"/>
              <w:right w:val="nil"/>
            </w:tcBorders>
            <w:shd w:val="clear" w:color="auto" w:fill="auto"/>
            <w:noWrap/>
            <w:vAlign w:val="center"/>
            <w:hideMark/>
          </w:tcPr>
          <w:p w14:paraId="47E35229" w14:textId="77777777" w:rsidR="00E12780" w:rsidRPr="00E12780" w:rsidRDefault="00E12780" w:rsidP="00E12780">
            <w:pPr>
              <w:spacing w:after="0" w:line="240" w:lineRule="auto"/>
              <w:rPr>
                <w:rFonts w:ascii="Calibri" w:eastAsia="Times New Roman" w:hAnsi="Calibri" w:cs="Calibri"/>
                <w:color w:val="00B050"/>
                <w:lang w:eastAsia="en-GB"/>
              </w:rPr>
            </w:pPr>
            <w:r w:rsidRPr="00E12780">
              <w:rPr>
                <w:rFonts w:ascii="Calibri" w:eastAsia="Times New Roman" w:hAnsi="Calibri" w:cs="Calibri"/>
                <w:color w:val="00B050"/>
                <w:lang w:eastAsia="en-GB"/>
              </w:rPr>
              <w:t>Return on asset</w:t>
            </w:r>
          </w:p>
        </w:tc>
        <w:tc>
          <w:tcPr>
            <w:tcW w:w="960" w:type="dxa"/>
            <w:tcBorders>
              <w:top w:val="nil"/>
              <w:left w:val="nil"/>
              <w:bottom w:val="nil"/>
              <w:right w:val="nil"/>
            </w:tcBorders>
            <w:shd w:val="clear" w:color="auto" w:fill="auto"/>
            <w:vAlign w:val="center"/>
            <w:hideMark/>
          </w:tcPr>
          <w:p w14:paraId="76D3CD4D"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0.063551</w:t>
            </w:r>
          </w:p>
        </w:tc>
        <w:tc>
          <w:tcPr>
            <w:tcW w:w="960" w:type="dxa"/>
            <w:tcBorders>
              <w:top w:val="nil"/>
              <w:left w:val="nil"/>
              <w:bottom w:val="nil"/>
              <w:right w:val="nil"/>
            </w:tcBorders>
            <w:shd w:val="clear" w:color="auto" w:fill="auto"/>
            <w:vAlign w:val="center"/>
            <w:hideMark/>
          </w:tcPr>
          <w:p w14:paraId="3677FE15"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0.136355</w:t>
            </w:r>
          </w:p>
        </w:tc>
        <w:tc>
          <w:tcPr>
            <w:tcW w:w="960" w:type="dxa"/>
            <w:tcBorders>
              <w:top w:val="nil"/>
              <w:left w:val="nil"/>
              <w:bottom w:val="nil"/>
              <w:right w:val="nil"/>
            </w:tcBorders>
            <w:shd w:val="clear" w:color="auto" w:fill="auto"/>
            <w:vAlign w:val="center"/>
            <w:hideMark/>
          </w:tcPr>
          <w:p w14:paraId="345B2FE4"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0.069679</w:t>
            </w:r>
          </w:p>
        </w:tc>
        <w:tc>
          <w:tcPr>
            <w:tcW w:w="960" w:type="dxa"/>
            <w:tcBorders>
              <w:top w:val="nil"/>
              <w:left w:val="nil"/>
              <w:bottom w:val="nil"/>
              <w:right w:val="nil"/>
            </w:tcBorders>
            <w:shd w:val="clear" w:color="auto" w:fill="auto"/>
            <w:vAlign w:val="center"/>
            <w:hideMark/>
          </w:tcPr>
          <w:p w14:paraId="29490383"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0.066105</w:t>
            </w:r>
          </w:p>
        </w:tc>
        <w:tc>
          <w:tcPr>
            <w:tcW w:w="960" w:type="dxa"/>
            <w:tcBorders>
              <w:top w:val="nil"/>
              <w:left w:val="nil"/>
              <w:bottom w:val="nil"/>
              <w:right w:val="nil"/>
            </w:tcBorders>
            <w:shd w:val="clear" w:color="000000" w:fill="FFFF00"/>
            <w:noWrap/>
            <w:vAlign w:val="center"/>
            <w:hideMark/>
          </w:tcPr>
          <w:p w14:paraId="71188F94"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5.09004</w:t>
            </w:r>
          </w:p>
        </w:tc>
      </w:tr>
      <w:tr w:rsidR="00E12780" w:rsidRPr="00E12780" w14:paraId="667F8F49" w14:textId="77777777" w:rsidTr="00E12780">
        <w:trPr>
          <w:trHeight w:val="300"/>
        </w:trPr>
        <w:tc>
          <w:tcPr>
            <w:tcW w:w="2154" w:type="dxa"/>
            <w:gridSpan w:val="2"/>
            <w:tcBorders>
              <w:top w:val="nil"/>
              <w:left w:val="nil"/>
              <w:bottom w:val="nil"/>
              <w:right w:val="nil"/>
            </w:tcBorders>
            <w:shd w:val="clear" w:color="auto" w:fill="auto"/>
            <w:noWrap/>
            <w:vAlign w:val="center"/>
            <w:hideMark/>
          </w:tcPr>
          <w:p w14:paraId="4DD90365" w14:textId="77777777" w:rsidR="00E12780" w:rsidRPr="00E12780" w:rsidRDefault="00E12780" w:rsidP="00E12780">
            <w:pPr>
              <w:spacing w:after="0" w:line="240" w:lineRule="auto"/>
              <w:rPr>
                <w:rFonts w:ascii="Calibri" w:eastAsia="Times New Roman" w:hAnsi="Calibri" w:cs="Calibri"/>
                <w:color w:val="00B050"/>
                <w:lang w:eastAsia="en-GB"/>
              </w:rPr>
            </w:pPr>
            <w:r w:rsidRPr="00E12780">
              <w:rPr>
                <w:rFonts w:ascii="Calibri" w:eastAsia="Times New Roman" w:hAnsi="Calibri" w:cs="Calibri"/>
                <w:color w:val="00B050"/>
                <w:lang w:eastAsia="en-GB"/>
              </w:rPr>
              <w:t>Return on equity</w:t>
            </w:r>
          </w:p>
        </w:tc>
        <w:tc>
          <w:tcPr>
            <w:tcW w:w="960" w:type="dxa"/>
            <w:tcBorders>
              <w:top w:val="nil"/>
              <w:left w:val="nil"/>
              <w:bottom w:val="nil"/>
              <w:right w:val="nil"/>
            </w:tcBorders>
            <w:shd w:val="clear" w:color="auto" w:fill="auto"/>
            <w:vAlign w:val="center"/>
            <w:hideMark/>
          </w:tcPr>
          <w:p w14:paraId="1964200C"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0.213983</w:t>
            </w:r>
          </w:p>
        </w:tc>
        <w:tc>
          <w:tcPr>
            <w:tcW w:w="960" w:type="dxa"/>
            <w:tcBorders>
              <w:top w:val="nil"/>
              <w:left w:val="nil"/>
              <w:bottom w:val="nil"/>
              <w:right w:val="nil"/>
            </w:tcBorders>
            <w:shd w:val="clear" w:color="auto" w:fill="auto"/>
            <w:vAlign w:val="center"/>
            <w:hideMark/>
          </w:tcPr>
          <w:p w14:paraId="312E247B"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0.621668</w:t>
            </w:r>
          </w:p>
        </w:tc>
        <w:tc>
          <w:tcPr>
            <w:tcW w:w="960" w:type="dxa"/>
            <w:tcBorders>
              <w:top w:val="nil"/>
              <w:left w:val="nil"/>
              <w:bottom w:val="nil"/>
              <w:right w:val="nil"/>
            </w:tcBorders>
            <w:shd w:val="clear" w:color="auto" w:fill="auto"/>
            <w:vAlign w:val="center"/>
            <w:hideMark/>
          </w:tcPr>
          <w:p w14:paraId="523A5E65"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1.101852</w:t>
            </w:r>
          </w:p>
        </w:tc>
        <w:tc>
          <w:tcPr>
            <w:tcW w:w="960" w:type="dxa"/>
            <w:tcBorders>
              <w:top w:val="nil"/>
              <w:left w:val="nil"/>
              <w:bottom w:val="nil"/>
              <w:right w:val="nil"/>
            </w:tcBorders>
            <w:shd w:val="clear" w:color="auto" w:fill="auto"/>
            <w:vAlign w:val="center"/>
            <w:hideMark/>
          </w:tcPr>
          <w:p w14:paraId="24442F1F"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0.286975</w:t>
            </w:r>
          </w:p>
        </w:tc>
        <w:tc>
          <w:tcPr>
            <w:tcW w:w="960" w:type="dxa"/>
            <w:tcBorders>
              <w:top w:val="nil"/>
              <w:left w:val="nil"/>
              <w:bottom w:val="nil"/>
              <w:right w:val="nil"/>
            </w:tcBorders>
            <w:shd w:val="clear" w:color="000000" w:fill="FFFF00"/>
            <w:noWrap/>
            <w:vAlign w:val="center"/>
            <w:hideMark/>
          </w:tcPr>
          <w:p w14:paraId="66D07759"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1.954114</w:t>
            </w:r>
          </w:p>
        </w:tc>
      </w:tr>
      <w:tr w:rsidR="00E12780" w:rsidRPr="00E12780" w14:paraId="78408AD7" w14:textId="77777777" w:rsidTr="00E12780">
        <w:trPr>
          <w:trHeight w:val="300"/>
        </w:trPr>
        <w:tc>
          <w:tcPr>
            <w:tcW w:w="2154" w:type="dxa"/>
            <w:gridSpan w:val="2"/>
            <w:tcBorders>
              <w:top w:val="nil"/>
              <w:left w:val="nil"/>
              <w:bottom w:val="nil"/>
              <w:right w:val="nil"/>
            </w:tcBorders>
            <w:shd w:val="clear" w:color="auto" w:fill="auto"/>
            <w:noWrap/>
            <w:vAlign w:val="center"/>
            <w:hideMark/>
          </w:tcPr>
          <w:p w14:paraId="46A8CA52" w14:textId="77777777" w:rsidR="00E12780" w:rsidRPr="00E12780" w:rsidRDefault="00E12780" w:rsidP="00E12780">
            <w:pPr>
              <w:spacing w:after="0" w:line="240" w:lineRule="auto"/>
              <w:rPr>
                <w:rFonts w:ascii="Calibri" w:eastAsia="Times New Roman" w:hAnsi="Calibri" w:cs="Calibri"/>
                <w:color w:val="000000"/>
                <w:lang w:eastAsia="en-GB"/>
              </w:rPr>
            </w:pPr>
            <w:r w:rsidRPr="00E12780">
              <w:rPr>
                <w:rFonts w:ascii="Calibri" w:eastAsia="Times New Roman" w:hAnsi="Calibri" w:cs="Calibri"/>
                <w:color w:val="000000"/>
                <w:lang w:eastAsia="en-GB"/>
              </w:rPr>
              <w:t>Current ratio</w:t>
            </w:r>
          </w:p>
        </w:tc>
        <w:tc>
          <w:tcPr>
            <w:tcW w:w="960" w:type="dxa"/>
            <w:tcBorders>
              <w:top w:val="nil"/>
              <w:left w:val="nil"/>
              <w:bottom w:val="nil"/>
              <w:right w:val="nil"/>
            </w:tcBorders>
            <w:shd w:val="clear" w:color="auto" w:fill="auto"/>
            <w:vAlign w:val="center"/>
            <w:hideMark/>
          </w:tcPr>
          <w:p w14:paraId="54668DB8"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0.87948</w:t>
            </w:r>
          </w:p>
        </w:tc>
        <w:tc>
          <w:tcPr>
            <w:tcW w:w="960" w:type="dxa"/>
            <w:tcBorders>
              <w:top w:val="nil"/>
              <w:left w:val="nil"/>
              <w:bottom w:val="nil"/>
              <w:right w:val="nil"/>
            </w:tcBorders>
            <w:shd w:val="clear" w:color="auto" w:fill="auto"/>
            <w:vAlign w:val="center"/>
            <w:hideMark/>
          </w:tcPr>
          <w:p w14:paraId="7D57B531"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0.598705</w:t>
            </w:r>
          </w:p>
        </w:tc>
        <w:tc>
          <w:tcPr>
            <w:tcW w:w="960" w:type="dxa"/>
            <w:tcBorders>
              <w:top w:val="nil"/>
              <w:left w:val="nil"/>
              <w:bottom w:val="nil"/>
              <w:right w:val="nil"/>
            </w:tcBorders>
            <w:shd w:val="clear" w:color="auto" w:fill="auto"/>
            <w:vAlign w:val="center"/>
            <w:hideMark/>
          </w:tcPr>
          <w:p w14:paraId="28CF017A"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0.752612</w:t>
            </w:r>
          </w:p>
        </w:tc>
        <w:tc>
          <w:tcPr>
            <w:tcW w:w="960" w:type="dxa"/>
            <w:tcBorders>
              <w:top w:val="nil"/>
              <w:left w:val="nil"/>
              <w:bottom w:val="nil"/>
              <w:right w:val="nil"/>
            </w:tcBorders>
            <w:shd w:val="clear" w:color="auto" w:fill="auto"/>
            <w:vAlign w:val="center"/>
            <w:hideMark/>
          </w:tcPr>
          <w:p w14:paraId="287875B8"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0.810437</w:t>
            </w:r>
          </w:p>
        </w:tc>
        <w:tc>
          <w:tcPr>
            <w:tcW w:w="960" w:type="dxa"/>
            <w:tcBorders>
              <w:top w:val="nil"/>
              <w:left w:val="nil"/>
              <w:bottom w:val="nil"/>
              <w:right w:val="nil"/>
            </w:tcBorders>
            <w:shd w:val="clear" w:color="000000" w:fill="FFFF00"/>
            <w:noWrap/>
            <w:vAlign w:val="center"/>
            <w:hideMark/>
          </w:tcPr>
          <w:p w14:paraId="3048E9DD"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0.914168</w:t>
            </w:r>
          </w:p>
        </w:tc>
      </w:tr>
      <w:tr w:rsidR="00E12780" w:rsidRPr="00E12780" w14:paraId="5D95A59B" w14:textId="77777777" w:rsidTr="00E12780">
        <w:trPr>
          <w:trHeight w:val="300"/>
        </w:trPr>
        <w:tc>
          <w:tcPr>
            <w:tcW w:w="2154" w:type="dxa"/>
            <w:gridSpan w:val="2"/>
            <w:tcBorders>
              <w:top w:val="nil"/>
              <w:left w:val="nil"/>
              <w:bottom w:val="nil"/>
              <w:right w:val="nil"/>
            </w:tcBorders>
            <w:shd w:val="clear" w:color="auto" w:fill="auto"/>
            <w:noWrap/>
            <w:vAlign w:val="center"/>
            <w:hideMark/>
          </w:tcPr>
          <w:p w14:paraId="5F1B45DA" w14:textId="77777777" w:rsidR="00E12780" w:rsidRPr="00E12780" w:rsidRDefault="00E12780" w:rsidP="00E12780">
            <w:pPr>
              <w:spacing w:after="0" w:line="240" w:lineRule="auto"/>
              <w:rPr>
                <w:rFonts w:ascii="Calibri" w:eastAsia="Times New Roman" w:hAnsi="Calibri" w:cs="Calibri"/>
                <w:color w:val="000000"/>
                <w:lang w:eastAsia="en-GB"/>
              </w:rPr>
            </w:pPr>
            <w:r w:rsidRPr="00E12780">
              <w:rPr>
                <w:rFonts w:ascii="Calibri" w:eastAsia="Times New Roman" w:hAnsi="Calibri" w:cs="Calibri"/>
                <w:color w:val="000000"/>
                <w:lang w:eastAsia="en-GB"/>
              </w:rPr>
              <w:t>Quick ratio</w:t>
            </w:r>
          </w:p>
        </w:tc>
        <w:tc>
          <w:tcPr>
            <w:tcW w:w="960" w:type="dxa"/>
            <w:tcBorders>
              <w:top w:val="nil"/>
              <w:left w:val="nil"/>
              <w:bottom w:val="nil"/>
              <w:right w:val="nil"/>
            </w:tcBorders>
            <w:shd w:val="clear" w:color="auto" w:fill="auto"/>
            <w:vAlign w:val="center"/>
            <w:hideMark/>
          </w:tcPr>
          <w:p w14:paraId="34539DD4"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0.610968</w:t>
            </w:r>
          </w:p>
        </w:tc>
        <w:tc>
          <w:tcPr>
            <w:tcW w:w="960" w:type="dxa"/>
            <w:tcBorders>
              <w:top w:val="nil"/>
              <w:left w:val="nil"/>
              <w:bottom w:val="nil"/>
              <w:right w:val="nil"/>
            </w:tcBorders>
            <w:shd w:val="clear" w:color="auto" w:fill="auto"/>
            <w:vAlign w:val="center"/>
            <w:hideMark/>
          </w:tcPr>
          <w:p w14:paraId="06DA9B7F"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0.389552</w:t>
            </w:r>
          </w:p>
        </w:tc>
        <w:tc>
          <w:tcPr>
            <w:tcW w:w="960" w:type="dxa"/>
            <w:tcBorders>
              <w:top w:val="nil"/>
              <w:left w:val="nil"/>
              <w:bottom w:val="nil"/>
              <w:right w:val="nil"/>
            </w:tcBorders>
            <w:shd w:val="clear" w:color="auto" w:fill="auto"/>
            <w:vAlign w:val="center"/>
            <w:hideMark/>
          </w:tcPr>
          <w:p w14:paraId="0B8C0393"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0.509137</w:t>
            </w:r>
          </w:p>
        </w:tc>
        <w:tc>
          <w:tcPr>
            <w:tcW w:w="960" w:type="dxa"/>
            <w:tcBorders>
              <w:top w:val="nil"/>
              <w:left w:val="nil"/>
              <w:bottom w:val="nil"/>
              <w:right w:val="nil"/>
            </w:tcBorders>
            <w:shd w:val="clear" w:color="auto" w:fill="auto"/>
            <w:vAlign w:val="center"/>
            <w:hideMark/>
          </w:tcPr>
          <w:p w14:paraId="1571C6DE"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0.56316</w:t>
            </w:r>
          </w:p>
        </w:tc>
        <w:tc>
          <w:tcPr>
            <w:tcW w:w="960" w:type="dxa"/>
            <w:tcBorders>
              <w:top w:val="nil"/>
              <w:left w:val="nil"/>
              <w:bottom w:val="nil"/>
              <w:right w:val="nil"/>
            </w:tcBorders>
            <w:shd w:val="clear" w:color="000000" w:fill="FFFF00"/>
            <w:noWrap/>
            <w:vAlign w:val="center"/>
            <w:hideMark/>
          </w:tcPr>
          <w:p w14:paraId="48E6E96C"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0.643444</w:t>
            </w:r>
          </w:p>
        </w:tc>
      </w:tr>
      <w:tr w:rsidR="00E12780" w:rsidRPr="00E12780" w14:paraId="2DF675F4" w14:textId="77777777" w:rsidTr="00E12780">
        <w:trPr>
          <w:trHeight w:val="300"/>
        </w:trPr>
        <w:tc>
          <w:tcPr>
            <w:tcW w:w="2154" w:type="dxa"/>
            <w:gridSpan w:val="2"/>
            <w:tcBorders>
              <w:top w:val="nil"/>
              <w:left w:val="nil"/>
              <w:bottom w:val="nil"/>
              <w:right w:val="nil"/>
            </w:tcBorders>
            <w:shd w:val="clear" w:color="auto" w:fill="auto"/>
            <w:noWrap/>
            <w:vAlign w:val="center"/>
            <w:hideMark/>
          </w:tcPr>
          <w:p w14:paraId="50FF0F30" w14:textId="77777777" w:rsidR="00E12780" w:rsidRPr="00E12780" w:rsidRDefault="00E12780" w:rsidP="00E12780">
            <w:pPr>
              <w:spacing w:after="0" w:line="240" w:lineRule="auto"/>
              <w:rPr>
                <w:rFonts w:ascii="Calibri" w:eastAsia="Times New Roman" w:hAnsi="Calibri" w:cs="Calibri"/>
                <w:color w:val="000000"/>
                <w:lang w:eastAsia="en-GB"/>
              </w:rPr>
            </w:pPr>
            <w:r w:rsidRPr="00E12780">
              <w:rPr>
                <w:rFonts w:ascii="Calibri" w:eastAsia="Times New Roman" w:hAnsi="Calibri" w:cs="Calibri"/>
                <w:color w:val="000000"/>
                <w:lang w:eastAsia="en-GB"/>
              </w:rPr>
              <w:t>Cash ratio</w:t>
            </w:r>
          </w:p>
        </w:tc>
        <w:tc>
          <w:tcPr>
            <w:tcW w:w="960" w:type="dxa"/>
            <w:tcBorders>
              <w:top w:val="nil"/>
              <w:left w:val="nil"/>
              <w:bottom w:val="nil"/>
              <w:right w:val="nil"/>
            </w:tcBorders>
            <w:shd w:val="clear" w:color="auto" w:fill="auto"/>
            <w:vAlign w:val="center"/>
            <w:hideMark/>
          </w:tcPr>
          <w:p w14:paraId="63F68325"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0.257723</w:t>
            </w:r>
          </w:p>
        </w:tc>
        <w:tc>
          <w:tcPr>
            <w:tcW w:w="960" w:type="dxa"/>
            <w:tcBorders>
              <w:top w:val="nil"/>
              <w:left w:val="nil"/>
              <w:bottom w:val="nil"/>
              <w:right w:val="nil"/>
            </w:tcBorders>
            <w:shd w:val="clear" w:color="auto" w:fill="auto"/>
            <w:vAlign w:val="center"/>
            <w:hideMark/>
          </w:tcPr>
          <w:p w14:paraId="03121310"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0.144266</w:t>
            </w:r>
          </w:p>
        </w:tc>
        <w:tc>
          <w:tcPr>
            <w:tcW w:w="960" w:type="dxa"/>
            <w:tcBorders>
              <w:top w:val="nil"/>
              <w:left w:val="nil"/>
              <w:bottom w:val="nil"/>
              <w:right w:val="nil"/>
            </w:tcBorders>
            <w:shd w:val="clear" w:color="auto" w:fill="auto"/>
            <w:vAlign w:val="center"/>
            <w:hideMark/>
          </w:tcPr>
          <w:p w14:paraId="67720083"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0.172247</w:t>
            </w:r>
          </w:p>
        </w:tc>
        <w:tc>
          <w:tcPr>
            <w:tcW w:w="960" w:type="dxa"/>
            <w:tcBorders>
              <w:top w:val="nil"/>
              <w:left w:val="nil"/>
              <w:bottom w:val="nil"/>
              <w:right w:val="nil"/>
            </w:tcBorders>
            <w:shd w:val="clear" w:color="auto" w:fill="auto"/>
            <w:vAlign w:val="center"/>
            <w:hideMark/>
          </w:tcPr>
          <w:p w14:paraId="1B8A882C"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0.195717</w:t>
            </w:r>
          </w:p>
        </w:tc>
        <w:tc>
          <w:tcPr>
            <w:tcW w:w="960" w:type="dxa"/>
            <w:tcBorders>
              <w:top w:val="nil"/>
              <w:left w:val="nil"/>
              <w:bottom w:val="nil"/>
              <w:right w:val="nil"/>
            </w:tcBorders>
            <w:shd w:val="clear" w:color="000000" w:fill="FFFF00"/>
            <w:noWrap/>
            <w:vAlign w:val="center"/>
            <w:hideMark/>
          </w:tcPr>
          <w:p w14:paraId="2C96BDA7"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0.284089</w:t>
            </w:r>
          </w:p>
        </w:tc>
      </w:tr>
      <w:tr w:rsidR="00E12780" w:rsidRPr="00E12780" w14:paraId="3F9D4624" w14:textId="77777777" w:rsidTr="00E12780">
        <w:trPr>
          <w:trHeight w:val="300"/>
        </w:trPr>
        <w:tc>
          <w:tcPr>
            <w:tcW w:w="2154" w:type="dxa"/>
            <w:gridSpan w:val="2"/>
            <w:tcBorders>
              <w:top w:val="nil"/>
              <w:left w:val="nil"/>
              <w:bottom w:val="nil"/>
              <w:right w:val="nil"/>
            </w:tcBorders>
            <w:shd w:val="clear" w:color="auto" w:fill="auto"/>
            <w:noWrap/>
            <w:vAlign w:val="center"/>
            <w:hideMark/>
          </w:tcPr>
          <w:p w14:paraId="6317D3A7" w14:textId="77777777" w:rsidR="00E12780" w:rsidRPr="00E12780" w:rsidRDefault="00E12780" w:rsidP="00E12780">
            <w:pPr>
              <w:spacing w:after="0" w:line="240" w:lineRule="auto"/>
              <w:rPr>
                <w:rFonts w:ascii="Calibri" w:eastAsia="Times New Roman" w:hAnsi="Calibri" w:cs="Calibri"/>
                <w:color w:val="000000"/>
                <w:lang w:eastAsia="en-GB"/>
              </w:rPr>
            </w:pPr>
            <w:r w:rsidRPr="00E12780">
              <w:rPr>
                <w:rFonts w:ascii="Calibri" w:eastAsia="Times New Roman" w:hAnsi="Calibri" w:cs="Calibri"/>
                <w:color w:val="000000"/>
                <w:lang w:eastAsia="en-GB"/>
              </w:rPr>
              <w:t>Debt to equity ratio</w:t>
            </w:r>
          </w:p>
        </w:tc>
        <w:tc>
          <w:tcPr>
            <w:tcW w:w="960" w:type="dxa"/>
            <w:tcBorders>
              <w:top w:val="nil"/>
              <w:left w:val="nil"/>
              <w:bottom w:val="nil"/>
              <w:right w:val="nil"/>
            </w:tcBorders>
            <w:shd w:val="clear" w:color="auto" w:fill="auto"/>
            <w:vAlign w:val="center"/>
            <w:hideMark/>
          </w:tcPr>
          <w:p w14:paraId="241F887C"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3.828531</w:t>
            </w:r>
          </w:p>
        </w:tc>
        <w:tc>
          <w:tcPr>
            <w:tcW w:w="960" w:type="dxa"/>
            <w:tcBorders>
              <w:top w:val="nil"/>
              <w:left w:val="nil"/>
              <w:bottom w:val="nil"/>
              <w:right w:val="nil"/>
            </w:tcBorders>
            <w:shd w:val="clear" w:color="auto" w:fill="auto"/>
            <w:vAlign w:val="center"/>
            <w:hideMark/>
          </w:tcPr>
          <w:p w14:paraId="68C3B637"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7.615076</w:t>
            </w:r>
          </w:p>
        </w:tc>
        <w:tc>
          <w:tcPr>
            <w:tcW w:w="960" w:type="dxa"/>
            <w:tcBorders>
              <w:top w:val="nil"/>
              <w:left w:val="nil"/>
              <w:bottom w:val="nil"/>
              <w:right w:val="nil"/>
            </w:tcBorders>
            <w:shd w:val="clear" w:color="auto" w:fill="auto"/>
            <w:vAlign w:val="center"/>
            <w:hideMark/>
          </w:tcPr>
          <w:p w14:paraId="37324C86"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14.81318</w:t>
            </w:r>
          </w:p>
        </w:tc>
        <w:tc>
          <w:tcPr>
            <w:tcW w:w="960" w:type="dxa"/>
            <w:tcBorders>
              <w:top w:val="nil"/>
              <w:left w:val="nil"/>
              <w:bottom w:val="nil"/>
              <w:right w:val="nil"/>
            </w:tcBorders>
            <w:shd w:val="clear" w:color="auto" w:fill="auto"/>
            <w:vAlign w:val="center"/>
            <w:hideMark/>
          </w:tcPr>
          <w:p w14:paraId="1FAE83C7"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3.341232</w:t>
            </w:r>
          </w:p>
        </w:tc>
        <w:tc>
          <w:tcPr>
            <w:tcW w:w="960" w:type="dxa"/>
            <w:tcBorders>
              <w:top w:val="nil"/>
              <w:left w:val="nil"/>
              <w:bottom w:val="nil"/>
              <w:right w:val="nil"/>
            </w:tcBorders>
            <w:shd w:val="clear" w:color="000000" w:fill="FFFF00"/>
            <w:noWrap/>
            <w:vAlign w:val="center"/>
            <w:hideMark/>
          </w:tcPr>
          <w:p w14:paraId="05022DA2"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18.23891</w:t>
            </w:r>
          </w:p>
        </w:tc>
      </w:tr>
      <w:tr w:rsidR="00E12780" w:rsidRPr="00E12780" w14:paraId="21C80CE8" w14:textId="77777777" w:rsidTr="00E12780">
        <w:trPr>
          <w:trHeight w:val="300"/>
        </w:trPr>
        <w:tc>
          <w:tcPr>
            <w:tcW w:w="2154" w:type="dxa"/>
            <w:gridSpan w:val="2"/>
            <w:tcBorders>
              <w:top w:val="nil"/>
              <w:left w:val="nil"/>
              <w:bottom w:val="nil"/>
              <w:right w:val="nil"/>
            </w:tcBorders>
            <w:shd w:val="clear" w:color="auto" w:fill="auto"/>
            <w:noWrap/>
            <w:vAlign w:val="center"/>
            <w:hideMark/>
          </w:tcPr>
          <w:p w14:paraId="0F98A5F4" w14:textId="77777777" w:rsidR="00E12780" w:rsidRPr="00E12780" w:rsidRDefault="00E12780" w:rsidP="00E12780">
            <w:pPr>
              <w:spacing w:after="0" w:line="240" w:lineRule="auto"/>
              <w:rPr>
                <w:rFonts w:ascii="Calibri" w:eastAsia="Times New Roman" w:hAnsi="Calibri" w:cs="Calibri"/>
                <w:color w:val="000000"/>
                <w:lang w:eastAsia="en-GB"/>
              </w:rPr>
            </w:pPr>
            <w:r w:rsidRPr="00E12780">
              <w:rPr>
                <w:rFonts w:ascii="Calibri" w:eastAsia="Times New Roman" w:hAnsi="Calibri" w:cs="Calibri"/>
                <w:color w:val="000000"/>
                <w:lang w:eastAsia="en-GB"/>
              </w:rPr>
              <w:t>Debt to capital ratio</w:t>
            </w:r>
          </w:p>
        </w:tc>
        <w:tc>
          <w:tcPr>
            <w:tcW w:w="960" w:type="dxa"/>
            <w:tcBorders>
              <w:top w:val="nil"/>
              <w:left w:val="nil"/>
              <w:bottom w:val="nil"/>
              <w:right w:val="nil"/>
            </w:tcBorders>
            <w:shd w:val="clear" w:color="auto" w:fill="auto"/>
            <w:vAlign w:val="center"/>
            <w:hideMark/>
          </w:tcPr>
          <w:p w14:paraId="6E233111"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0.792898</w:t>
            </w:r>
          </w:p>
        </w:tc>
        <w:tc>
          <w:tcPr>
            <w:tcW w:w="960" w:type="dxa"/>
            <w:tcBorders>
              <w:top w:val="nil"/>
              <w:left w:val="nil"/>
              <w:bottom w:val="nil"/>
              <w:right w:val="nil"/>
            </w:tcBorders>
            <w:shd w:val="clear" w:color="auto" w:fill="auto"/>
            <w:vAlign w:val="center"/>
            <w:hideMark/>
          </w:tcPr>
          <w:p w14:paraId="571E588E"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0.883924</w:t>
            </w:r>
          </w:p>
        </w:tc>
        <w:tc>
          <w:tcPr>
            <w:tcW w:w="960" w:type="dxa"/>
            <w:tcBorders>
              <w:top w:val="nil"/>
              <w:left w:val="nil"/>
              <w:bottom w:val="nil"/>
              <w:right w:val="nil"/>
            </w:tcBorders>
            <w:shd w:val="clear" w:color="auto" w:fill="auto"/>
            <w:vAlign w:val="center"/>
            <w:hideMark/>
          </w:tcPr>
          <w:p w14:paraId="42381155"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0.936762</w:t>
            </w:r>
          </w:p>
        </w:tc>
        <w:tc>
          <w:tcPr>
            <w:tcW w:w="960" w:type="dxa"/>
            <w:tcBorders>
              <w:top w:val="nil"/>
              <w:left w:val="nil"/>
              <w:bottom w:val="nil"/>
              <w:right w:val="nil"/>
            </w:tcBorders>
            <w:shd w:val="clear" w:color="auto" w:fill="auto"/>
            <w:vAlign w:val="center"/>
            <w:hideMark/>
          </w:tcPr>
          <w:p w14:paraId="7BFDCA3C"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0.769651</w:t>
            </w:r>
          </w:p>
        </w:tc>
        <w:tc>
          <w:tcPr>
            <w:tcW w:w="960" w:type="dxa"/>
            <w:tcBorders>
              <w:top w:val="nil"/>
              <w:left w:val="nil"/>
              <w:bottom w:val="nil"/>
              <w:right w:val="nil"/>
            </w:tcBorders>
            <w:shd w:val="clear" w:color="000000" w:fill="FFFF00"/>
            <w:noWrap/>
            <w:vAlign w:val="center"/>
            <w:hideMark/>
          </w:tcPr>
          <w:p w14:paraId="52445043" w14:textId="77777777" w:rsidR="00E12780" w:rsidRPr="00E12780" w:rsidRDefault="00E12780" w:rsidP="00E12780">
            <w:pPr>
              <w:spacing w:after="0" w:line="240" w:lineRule="auto"/>
              <w:jc w:val="right"/>
              <w:rPr>
                <w:rFonts w:ascii="Calibri" w:eastAsia="Times New Roman" w:hAnsi="Calibri" w:cs="Calibri"/>
                <w:color w:val="000000"/>
                <w:lang w:eastAsia="en-GB"/>
              </w:rPr>
            </w:pPr>
            <w:r w:rsidRPr="00E12780">
              <w:rPr>
                <w:rFonts w:ascii="Calibri" w:eastAsia="Times New Roman" w:hAnsi="Calibri" w:cs="Calibri"/>
                <w:color w:val="000000"/>
                <w:lang w:eastAsia="en-GB"/>
              </w:rPr>
              <w:t>0.948022</w:t>
            </w:r>
          </w:p>
        </w:tc>
      </w:tr>
    </w:tbl>
    <w:p w14:paraId="26984582" w14:textId="3AD87E33" w:rsidR="000B4E39" w:rsidRDefault="000B4E39" w:rsidP="002B7992">
      <w:pPr>
        <w:jc w:val="both"/>
        <w:rPr>
          <w:rFonts w:ascii="Arial" w:hAnsi="Arial" w:cs="Arial"/>
          <w:b/>
          <w:bCs/>
          <w:u w:val="single"/>
        </w:rPr>
      </w:pPr>
    </w:p>
    <w:p w14:paraId="1E6E2B0B" w14:textId="03760789" w:rsidR="00356BF4" w:rsidRDefault="00356BF4" w:rsidP="002B7992">
      <w:pPr>
        <w:jc w:val="both"/>
        <w:rPr>
          <w:rFonts w:ascii="Arial" w:hAnsi="Arial" w:cs="Arial"/>
          <w:b/>
          <w:bCs/>
          <w:u w:val="single"/>
        </w:rPr>
      </w:pPr>
    </w:p>
    <w:p w14:paraId="5428E954" w14:textId="3F596F81" w:rsidR="000439FD" w:rsidRDefault="000439FD" w:rsidP="00DE71DE">
      <w:pPr>
        <w:pStyle w:val="Heading2"/>
      </w:pPr>
      <w:bookmarkStart w:id="12" w:name="_Toc72176083"/>
      <w:r>
        <w:t>2020</w:t>
      </w:r>
      <w:bookmarkEnd w:id="12"/>
    </w:p>
    <w:p w14:paraId="408C11D5" w14:textId="77777777" w:rsidR="000439FD" w:rsidRDefault="000439FD" w:rsidP="00DE71DE">
      <w:pPr>
        <w:pStyle w:val="Heading2"/>
      </w:pPr>
      <w:bookmarkStart w:id="13" w:name="_Toc72176084"/>
      <w:r>
        <w:t>Johnson and Johnson</w:t>
      </w:r>
      <w:bookmarkEnd w:id="13"/>
    </w:p>
    <w:tbl>
      <w:tblPr>
        <w:tblW w:w="8680" w:type="dxa"/>
        <w:tblLook w:val="04A0" w:firstRow="1" w:lastRow="0" w:firstColumn="1" w:lastColumn="0" w:noHBand="0" w:noVBand="1"/>
      </w:tblPr>
      <w:tblGrid>
        <w:gridCol w:w="3640"/>
        <w:gridCol w:w="960"/>
        <w:gridCol w:w="960"/>
        <w:gridCol w:w="2160"/>
        <w:gridCol w:w="1053"/>
      </w:tblGrid>
      <w:tr w:rsidR="000439FD" w:rsidRPr="005D29D5" w14:paraId="4E52C6DF" w14:textId="77777777" w:rsidTr="005E4275">
        <w:trPr>
          <w:trHeight w:val="300"/>
        </w:trPr>
        <w:tc>
          <w:tcPr>
            <w:tcW w:w="3640" w:type="dxa"/>
            <w:tcBorders>
              <w:top w:val="nil"/>
              <w:left w:val="nil"/>
              <w:bottom w:val="nil"/>
              <w:right w:val="nil"/>
            </w:tcBorders>
            <w:shd w:val="clear" w:color="auto" w:fill="auto"/>
            <w:noWrap/>
            <w:vAlign w:val="bottom"/>
            <w:hideMark/>
          </w:tcPr>
          <w:p w14:paraId="5894FBCF" w14:textId="77777777" w:rsidR="000439FD" w:rsidRPr="005D29D5" w:rsidRDefault="000439FD" w:rsidP="005E4275">
            <w:pPr>
              <w:spacing w:after="0" w:line="240" w:lineRule="auto"/>
              <w:rPr>
                <w:rFonts w:ascii="Calibri" w:eastAsia="Times New Roman" w:hAnsi="Calibri" w:cs="Calibri"/>
                <w:color w:val="FF0000"/>
                <w:lang w:eastAsia="en-GB"/>
              </w:rPr>
            </w:pPr>
            <w:r w:rsidRPr="005D29D5">
              <w:rPr>
                <w:rFonts w:ascii="Calibri" w:eastAsia="Times New Roman" w:hAnsi="Calibri" w:cs="Calibri"/>
                <w:color w:val="FF0000"/>
                <w:lang w:eastAsia="en-GB"/>
              </w:rPr>
              <w:t>Sales</w:t>
            </w:r>
          </w:p>
        </w:tc>
        <w:tc>
          <w:tcPr>
            <w:tcW w:w="960" w:type="dxa"/>
            <w:tcBorders>
              <w:top w:val="nil"/>
              <w:left w:val="nil"/>
              <w:bottom w:val="nil"/>
              <w:right w:val="nil"/>
            </w:tcBorders>
            <w:shd w:val="clear" w:color="000000" w:fill="00B0F0"/>
            <w:noWrap/>
            <w:vAlign w:val="bottom"/>
            <w:hideMark/>
          </w:tcPr>
          <w:p w14:paraId="668D0F76"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82585</w:t>
            </w:r>
          </w:p>
        </w:tc>
        <w:tc>
          <w:tcPr>
            <w:tcW w:w="960" w:type="dxa"/>
            <w:tcBorders>
              <w:top w:val="nil"/>
              <w:left w:val="nil"/>
              <w:bottom w:val="nil"/>
              <w:right w:val="nil"/>
            </w:tcBorders>
            <w:shd w:val="clear" w:color="auto" w:fill="auto"/>
            <w:noWrap/>
            <w:vAlign w:val="bottom"/>
            <w:hideMark/>
          </w:tcPr>
          <w:p w14:paraId="4C9704D9" w14:textId="77777777" w:rsidR="000439FD" w:rsidRPr="005D29D5" w:rsidRDefault="000439FD" w:rsidP="005E427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58A1D0A6"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Gross profit margin</w:t>
            </w:r>
          </w:p>
        </w:tc>
        <w:tc>
          <w:tcPr>
            <w:tcW w:w="960" w:type="dxa"/>
            <w:tcBorders>
              <w:top w:val="nil"/>
              <w:left w:val="nil"/>
              <w:bottom w:val="nil"/>
              <w:right w:val="nil"/>
            </w:tcBorders>
            <w:shd w:val="clear" w:color="000000" w:fill="FFFF00"/>
            <w:noWrap/>
            <w:vAlign w:val="bottom"/>
            <w:hideMark/>
          </w:tcPr>
          <w:p w14:paraId="52CE45A6"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0.655773</w:t>
            </w:r>
          </w:p>
        </w:tc>
      </w:tr>
      <w:tr w:rsidR="000439FD" w:rsidRPr="005D29D5" w14:paraId="3596E5CC" w14:textId="77777777" w:rsidTr="005E4275">
        <w:trPr>
          <w:trHeight w:val="300"/>
        </w:trPr>
        <w:tc>
          <w:tcPr>
            <w:tcW w:w="3640" w:type="dxa"/>
            <w:tcBorders>
              <w:top w:val="nil"/>
              <w:left w:val="nil"/>
              <w:bottom w:val="nil"/>
              <w:right w:val="nil"/>
            </w:tcBorders>
            <w:shd w:val="clear" w:color="auto" w:fill="auto"/>
            <w:noWrap/>
            <w:vAlign w:val="bottom"/>
            <w:hideMark/>
          </w:tcPr>
          <w:p w14:paraId="58A4437C" w14:textId="77777777" w:rsidR="000439FD" w:rsidRPr="005D29D5" w:rsidRDefault="000439FD" w:rsidP="005E4275">
            <w:pPr>
              <w:spacing w:after="0" w:line="240" w:lineRule="auto"/>
              <w:rPr>
                <w:rFonts w:ascii="Calibri" w:eastAsia="Times New Roman" w:hAnsi="Calibri" w:cs="Calibri"/>
                <w:color w:val="FF0000"/>
                <w:lang w:eastAsia="en-GB"/>
              </w:rPr>
            </w:pPr>
            <w:r w:rsidRPr="005D29D5">
              <w:rPr>
                <w:rFonts w:ascii="Calibri" w:eastAsia="Times New Roman" w:hAnsi="Calibri" w:cs="Calibri"/>
                <w:color w:val="FF0000"/>
                <w:lang w:eastAsia="en-GB"/>
              </w:rPr>
              <w:t>Gross profit</w:t>
            </w:r>
          </w:p>
        </w:tc>
        <w:tc>
          <w:tcPr>
            <w:tcW w:w="960" w:type="dxa"/>
            <w:tcBorders>
              <w:top w:val="nil"/>
              <w:left w:val="nil"/>
              <w:bottom w:val="nil"/>
              <w:right w:val="nil"/>
            </w:tcBorders>
            <w:shd w:val="clear" w:color="000000" w:fill="00B0F0"/>
            <w:noWrap/>
            <w:vAlign w:val="bottom"/>
            <w:hideMark/>
          </w:tcPr>
          <w:p w14:paraId="30BDCA28"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54157</w:t>
            </w:r>
          </w:p>
        </w:tc>
        <w:tc>
          <w:tcPr>
            <w:tcW w:w="960" w:type="dxa"/>
            <w:tcBorders>
              <w:top w:val="nil"/>
              <w:left w:val="nil"/>
              <w:bottom w:val="nil"/>
              <w:right w:val="nil"/>
            </w:tcBorders>
            <w:shd w:val="clear" w:color="auto" w:fill="auto"/>
            <w:noWrap/>
            <w:vAlign w:val="bottom"/>
            <w:hideMark/>
          </w:tcPr>
          <w:p w14:paraId="7C013FC3" w14:textId="77777777" w:rsidR="000439FD" w:rsidRPr="005D29D5" w:rsidRDefault="000439FD" w:rsidP="005E427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56F816DF"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Operating profit margin</w:t>
            </w:r>
          </w:p>
        </w:tc>
        <w:tc>
          <w:tcPr>
            <w:tcW w:w="960" w:type="dxa"/>
            <w:tcBorders>
              <w:top w:val="nil"/>
              <w:left w:val="nil"/>
              <w:bottom w:val="nil"/>
              <w:right w:val="nil"/>
            </w:tcBorders>
            <w:shd w:val="clear" w:color="000000" w:fill="FFFF00"/>
            <w:noWrap/>
            <w:vAlign w:val="bottom"/>
            <w:hideMark/>
          </w:tcPr>
          <w:p w14:paraId="06924CBF"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0.199758</w:t>
            </w:r>
          </w:p>
        </w:tc>
      </w:tr>
      <w:tr w:rsidR="000439FD" w:rsidRPr="005D29D5" w14:paraId="11ABD8F5" w14:textId="77777777" w:rsidTr="005E4275">
        <w:trPr>
          <w:trHeight w:val="300"/>
        </w:trPr>
        <w:tc>
          <w:tcPr>
            <w:tcW w:w="3640" w:type="dxa"/>
            <w:tcBorders>
              <w:top w:val="nil"/>
              <w:left w:val="nil"/>
              <w:bottom w:val="nil"/>
              <w:right w:val="nil"/>
            </w:tcBorders>
            <w:shd w:val="clear" w:color="auto" w:fill="auto"/>
            <w:noWrap/>
            <w:vAlign w:val="bottom"/>
            <w:hideMark/>
          </w:tcPr>
          <w:p w14:paraId="78FA959A" w14:textId="77777777" w:rsidR="000439FD" w:rsidRPr="005D29D5" w:rsidRDefault="000439FD" w:rsidP="005E4275">
            <w:pPr>
              <w:spacing w:after="0" w:line="240" w:lineRule="auto"/>
              <w:rPr>
                <w:rFonts w:ascii="Calibri" w:eastAsia="Times New Roman" w:hAnsi="Calibri" w:cs="Calibri"/>
                <w:color w:val="FF0000"/>
                <w:lang w:eastAsia="en-GB"/>
              </w:rPr>
            </w:pPr>
            <w:r w:rsidRPr="005D29D5">
              <w:rPr>
                <w:rFonts w:ascii="Calibri" w:eastAsia="Times New Roman" w:hAnsi="Calibri" w:cs="Calibri"/>
                <w:color w:val="FF0000"/>
                <w:lang w:eastAsia="en-GB"/>
              </w:rPr>
              <w:t>Operating profit</w:t>
            </w:r>
          </w:p>
        </w:tc>
        <w:tc>
          <w:tcPr>
            <w:tcW w:w="960" w:type="dxa"/>
            <w:tcBorders>
              <w:top w:val="nil"/>
              <w:left w:val="nil"/>
              <w:bottom w:val="nil"/>
              <w:right w:val="nil"/>
            </w:tcBorders>
            <w:shd w:val="clear" w:color="000000" w:fill="00B0F0"/>
            <w:noWrap/>
            <w:vAlign w:val="bottom"/>
            <w:hideMark/>
          </w:tcPr>
          <w:p w14:paraId="404A34A0"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16497</w:t>
            </w:r>
          </w:p>
        </w:tc>
        <w:tc>
          <w:tcPr>
            <w:tcW w:w="960" w:type="dxa"/>
            <w:tcBorders>
              <w:top w:val="nil"/>
              <w:left w:val="nil"/>
              <w:bottom w:val="nil"/>
              <w:right w:val="nil"/>
            </w:tcBorders>
            <w:shd w:val="clear" w:color="auto" w:fill="auto"/>
            <w:noWrap/>
            <w:vAlign w:val="bottom"/>
            <w:hideMark/>
          </w:tcPr>
          <w:p w14:paraId="79D1A561" w14:textId="77777777" w:rsidR="000439FD" w:rsidRPr="005D29D5" w:rsidRDefault="000439FD" w:rsidP="005E427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7AC27079"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Net profit margin</w:t>
            </w:r>
          </w:p>
        </w:tc>
        <w:tc>
          <w:tcPr>
            <w:tcW w:w="960" w:type="dxa"/>
            <w:tcBorders>
              <w:top w:val="nil"/>
              <w:left w:val="nil"/>
              <w:bottom w:val="nil"/>
              <w:right w:val="nil"/>
            </w:tcBorders>
            <w:shd w:val="clear" w:color="000000" w:fill="FFFF00"/>
            <w:noWrap/>
            <w:vAlign w:val="bottom"/>
            <w:hideMark/>
          </w:tcPr>
          <w:p w14:paraId="1061C413"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0.178168</w:t>
            </w:r>
          </w:p>
        </w:tc>
      </w:tr>
      <w:tr w:rsidR="000439FD" w:rsidRPr="005D29D5" w14:paraId="62E2D487" w14:textId="77777777" w:rsidTr="005E4275">
        <w:trPr>
          <w:trHeight w:val="300"/>
        </w:trPr>
        <w:tc>
          <w:tcPr>
            <w:tcW w:w="3640" w:type="dxa"/>
            <w:tcBorders>
              <w:top w:val="nil"/>
              <w:left w:val="nil"/>
              <w:bottom w:val="nil"/>
              <w:right w:val="nil"/>
            </w:tcBorders>
            <w:shd w:val="clear" w:color="auto" w:fill="auto"/>
            <w:noWrap/>
            <w:vAlign w:val="bottom"/>
            <w:hideMark/>
          </w:tcPr>
          <w:p w14:paraId="08AEF07F" w14:textId="77777777" w:rsidR="000439FD" w:rsidRPr="005D29D5" w:rsidRDefault="000439FD" w:rsidP="005E4275">
            <w:pPr>
              <w:spacing w:after="0" w:line="240" w:lineRule="auto"/>
              <w:rPr>
                <w:rFonts w:ascii="Calibri" w:eastAsia="Times New Roman" w:hAnsi="Calibri" w:cs="Calibri"/>
                <w:color w:val="FF0000"/>
                <w:lang w:eastAsia="en-GB"/>
              </w:rPr>
            </w:pPr>
            <w:r w:rsidRPr="005D29D5">
              <w:rPr>
                <w:rFonts w:ascii="Calibri" w:eastAsia="Times New Roman" w:hAnsi="Calibri" w:cs="Calibri"/>
                <w:color w:val="FF0000"/>
                <w:lang w:eastAsia="en-GB"/>
              </w:rPr>
              <w:t>Net profit (net income, earnings)</w:t>
            </w:r>
          </w:p>
        </w:tc>
        <w:tc>
          <w:tcPr>
            <w:tcW w:w="960" w:type="dxa"/>
            <w:tcBorders>
              <w:top w:val="nil"/>
              <w:left w:val="nil"/>
              <w:bottom w:val="nil"/>
              <w:right w:val="nil"/>
            </w:tcBorders>
            <w:shd w:val="clear" w:color="000000" w:fill="00B0F0"/>
            <w:noWrap/>
            <w:vAlign w:val="center"/>
            <w:hideMark/>
          </w:tcPr>
          <w:p w14:paraId="3A4CE22C"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14714</w:t>
            </w:r>
          </w:p>
        </w:tc>
        <w:tc>
          <w:tcPr>
            <w:tcW w:w="960" w:type="dxa"/>
            <w:tcBorders>
              <w:top w:val="nil"/>
              <w:left w:val="nil"/>
              <w:bottom w:val="nil"/>
              <w:right w:val="nil"/>
            </w:tcBorders>
            <w:shd w:val="clear" w:color="auto" w:fill="auto"/>
            <w:noWrap/>
            <w:vAlign w:val="bottom"/>
            <w:hideMark/>
          </w:tcPr>
          <w:p w14:paraId="328D8801" w14:textId="77777777" w:rsidR="000439FD" w:rsidRPr="005D29D5" w:rsidRDefault="000439FD" w:rsidP="005E427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7AA755EB"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Fixed asset turnover</w:t>
            </w:r>
          </w:p>
        </w:tc>
        <w:tc>
          <w:tcPr>
            <w:tcW w:w="960" w:type="dxa"/>
            <w:tcBorders>
              <w:top w:val="nil"/>
              <w:left w:val="nil"/>
              <w:bottom w:val="nil"/>
              <w:right w:val="nil"/>
            </w:tcBorders>
            <w:shd w:val="clear" w:color="000000" w:fill="FFFF00"/>
            <w:noWrap/>
            <w:vAlign w:val="bottom"/>
            <w:hideMark/>
          </w:tcPr>
          <w:p w14:paraId="0098041F"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4.400778</w:t>
            </w:r>
          </w:p>
        </w:tc>
      </w:tr>
      <w:tr w:rsidR="000439FD" w:rsidRPr="005D29D5" w14:paraId="0B125E3A" w14:textId="77777777" w:rsidTr="005E4275">
        <w:trPr>
          <w:trHeight w:val="300"/>
        </w:trPr>
        <w:tc>
          <w:tcPr>
            <w:tcW w:w="3640" w:type="dxa"/>
            <w:tcBorders>
              <w:top w:val="nil"/>
              <w:left w:val="nil"/>
              <w:bottom w:val="nil"/>
              <w:right w:val="nil"/>
            </w:tcBorders>
            <w:shd w:val="clear" w:color="auto" w:fill="auto"/>
            <w:noWrap/>
            <w:vAlign w:val="bottom"/>
            <w:hideMark/>
          </w:tcPr>
          <w:p w14:paraId="330032E2"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Fixed asset (property, plant, equipment)</w:t>
            </w:r>
          </w:p>
        </w:tc>
        <w:tc>
          <w:tcPr>
            <w:tcW w:w="960" w:type="dxa"/>
            <w:tcBorders>
              <w:top w:val="nil"/>
              <w:left w:val="nil"/>
              <w:bottom w:val="nil"/>
              <w:right w:val="nil"/>
            </w:tcBorders>
            <w:shd w:val="clear" w:color="000000" w:fill="00B0F0"/>
            <w:noWrap/>
            <w:vAlign w:val="center"/>
            <w:hideMark/>
          </w:tcPr>
          <w:p w14:paraId="29ACE65D"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18766</w:t>
            </w:r>
          </w:p>
        </w:tc>
        <w:tc>
          <w:tcPr>
            <w:tcW w:w="960" w:type="dxa"/>
            <w:tcBorders>
              <w:top w:val="nil"/>
              <w:left w:val="nil"/>
              <w:bottom w:val="nil"/>
              <w:right w:val="nil"/>
            </w:tcBorders>
            <w:shd w:val="clear" w:color="auto" w:fill="auto"/>
            <w:noWrap/>
            <w:vAlign w:val="bottom"/>
            <w:hideMark/>
          </w:tcPr>
          <w:p w14:paraId="690E4497" w14:textId="77777777" w:rsidR="000439FD" w:rsidRPr="005D29D5" w:rsidRDefault="000439FD" w:rsidP="005E427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636A47A5"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Total asset turnover</w:t>
            </w:r>
          </w:p>
        </w:tc>
        <w:tc>
          <w:tcPr>
            <w:tcW w:w="960" w:type="dxa"/>
            <w:tcBorders>
              <w:top w:val="nil"/>
              <w:left w:val="nil"/>
              <w:bottom w:val="nil"/>
              <w:right w:val="nil"/>
            </w:tcBorders>
            <w:shd w:val="clear" w:color="000000" w:fill="FFFF00"/>
            <w:noWrap/>
            <w:vAlign w:val="bottom"/>
            <w:hideMark/>
          </w:tcPr>
          <w:p w14:paraId="7F4B6944"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0.4722</w:t>
            </w:r>
          </w:p>
        </w:tc>
      </w:tr>
      <w:tr w:rsidR="000439FD" w:rsidRPr="005D29D5" w14:paraId="18758F13" w14:textId="77777777" w:rsidTr="005E4275">
        <w:trPr>
          <w:trHeight w:val="300"/>
        </w:trPr>
        <w:tc>
          <w:tcPr>
            <w:tcW w:w="3640" w:type="dxa"/>
            <w:tcBorders>
              <w:top w:val="nil"/>
              <w:left w:val="nil"/>
              <w:bottom w:val="nil"/>
              <w:right w:val="nil"/>
            </w:tcBorders>
            <w:shd w:val="clear" w:color="auto" w:fill="auto"/>
            <w:noWrap/>
            <w:vAlign w:val="bottom"/>
            <w:hideMark/>
          </w:tcPr>
          <w:p w14:paraId="5AB588BF"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 xml:space="preserve">Total asset </w:t>
            </w:r>
          </w:p>
        </w:tc>
        <w:tc>
          <w:tcPr>
            <w:tcW w:w="960" w:type="dxa"/>
            <w:tcBorders>
              <w:top w:val="nil"/>
              <w:left w:val="nil"/>
              <w:bottom w:val="nil"/>
              <w:right w:val="nil"/>
            </w:tcBorders>
            <w:shd w:val="clear" w:color="000000" w:fill="00B0F0"/>
            <w:noWrap/>
            <w:vAlign w:val="center"/>
            <w:hideMark/>
          </w:tcPr>
          <w:p w14:paraId="014BF1A4"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174894</w:t>
            </w:r>
          </w:p>
        </w:tc>
        <w:tc>
          <w:tcPr>
            <w:tcW w:w="960" w:type="dxa"/>
            <w:tcBorders>
              <w:top w:val="nil"/>
              <w:left w:val="nil"/>
              <w:bottom w:val="nil"/>
              <w:right w:val="nil"/>
            </w:tcBorders>
            <w:shd w:val="clear" w:color="auto" w:fill="auto"/>
            <w:noWrap/>
            <w:vAlign w:val="bottom"/>
            <w:hideMark/>
          </w:tcPr>
          <w:p w14:paraId="5981C36B" w14:textId="77777777" w:rsidR="000439FD" w:rsidRPr="005D29D5" w:rsidRDefault="000439FD" w:rsidP="005E427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6232CB78" w14:textId="77777777" w:rsidR="000439FD" w:rsidRPr="005D29D5" w:rsidRDefault="000439FD" w:rsidP="005E4275">
            <w:pPr>
              <w:spacing w:after="0" w:line="240" w:lineRule="auto"/>
              <w:rPr>
                <w:rFonts w:ascii="Calibri" w:eastAsia="Times New Roman" w:hAnsi="Calibri" w:cs="Calibri"/>
                <w:color w:val="00B050"/>
                <w:lang w:eastAsia="en-GB"/>
              </w:rPr>
            </w:pPr>
            <w:r w:rsidRPr="005D29D5">
              <w:rPr>
                <w:rFonts w:ascii="Calibri" w:eastAsia="Times New Roman" w:hAnsi="Calibri" w:cs="Calibri"/>
                <w:color w:val="00B050"/>
                <w:lang w:eastAsia="en-GB"/>
              </w:rPr>
              <w:t>Return on asset</w:t>
            </w:r>
          </w:p>
        </w:tc>
        <w:tc>
          <w:tcPr>
            <w:tcW w:w="960" w:type="dxa"/>
            <w:tcBorders>
              <w:top w:val="nil"/>
              <w:left w:val="nil"/>
              <w:bottom w:val="nil"/>
              <w:right w:val="nil"/>
            </w:tcBorders>
            <w:shd w:val="clear" w:color="000000" w:fill="FFFF00"/>
            <w:noWrap/>
            <w:vAlign w:val="bottom"/>
            <w:hideMark/>
          </w:tcPr>
          <w:p w14:paraId="51B4999A"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0.084131</w:t>
            </w:r>
          </w:p>
        </w:tc>
      </w:tr>
      <w:tr w:rsidR="000439FD" w:rsidRPr="005D29D5" w14:paraId="72DDD12B" w14:textId="77777777" w:rsidTr="005E4275">
        <w:trPr>
          <w:trHeight w:val="300"/>
        </w:trPr>
        <w:tc>
          <w:tcPr>
            <w:tcW w:w="3640" w:type="dxa"/>
            <w:tcBorders>
              <w:top w:val="nil"/>
              <w:left w:val="nil"/>
              <w:bottom w:val="nil"/>
              <w:right w:val="nil"/>
            </w:tcBorders>
            <w:shd w:val="clear" w:color="auto" w:fill="auto"/>
            <w:noWrap/>
            <w:vAlign w:val="bottom"/>
            <w:hideMark/>
          </w:tcPr>
          <w:p w14:paraId="70FE957B"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Total equity</w:t>
            </w:r>
          </w:p>
        </w:tc>
        <w:tc>
          <w:tcPr>
            <w:tcW w:w="960" w:type="dxa"/>
            <w:tcBorders>
              <w:top w:val="nil"/>
              <w:left w:val="nil"/>
              <w:bottom w:val="nil"/>
              <w:right w:val="nil"/>
            </w:tcBorders>
            <w:shd w:val="clear" w:color="000000" w:fill="00B0F0"/>
            <w:noWrap/>
            <w:vAlign w:val="center"/>
            <w:hideMark/>
          </w:tcPr>
          <w:p w14:paraId="71B977C2"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174894</w:t>
            </w:r>
          </w:p>
        </w:tc>
        <w:tc>
          <w:tcPr>
            <w:tcW w:w="960" w:type="dxa"/>
            <w:tcBorders>
              <w:top w:val="nil"/>
              <w:left w:val="nil"/>
              <w:bottom w:val="nil"/>
              <w:right w:val="nil"/>
            </w:tcBorders>
            <w:shd w:val="clear" w:color="auto" w:fill="auto"/>
            <w:noWrap/>
            <w:vAlign w:val="bottom"/>
            <w:hideMark/>
          </w:tcPr>
          <w:p w14:paraId="733432DA" w14:textId="77777777" w:rsidR="000439FD" w:rsidRPr="005D29D5" w:rsidRDefault="000439FD" w:rsidP="005E427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348FCC42" w14:textId="77777777" w:rsidR="000439FD" w:rsidRPr="005D29D5" w:rsidRDefault="000439FD" w:rsidP="005E4275">
            <w:pPr>
              <w:spacing w:after="0" w:line="240" w:lineRule="auto"/>
              <w:rPr>
                <w:rFonts w:ascii="Calibri" w:eastAsia="Times New Roman" w:hAnsi="Calibri" w:cs="Calibri"/>
                <w:color w:val="00B050"/>
                <w:lang w:eastAsia="en-GB"/>
              </w:rPr>
            </w:pPr>
            <w:r w:rsidRPr="005D29D5">
              <w:rPr>
                <w:rFonts w:ascii="Calibri" w:eastAsia="Times New Roman" w:hAnsi="Calibri" w:cs="Calibri"/>
                <w:color w:val="00B050"/>
                <w:lang w:eastAsia="en-GB"/>
              </w:rPr>
              <w:t>Return on equity</w:t>
            </w:r>
          </w:p>
        </w:tc>
        <w:tc>
          <w:tcPr>
            <w:tcW w:w="960" w:type="dxa"/>
            <w:tcBorders>
              <w:top w:val="nil"/>
              <w:left w:val="nil"/>
              <w:bottom w:val="nil"/>
              <w:right w:val="nil"/>
            </w:tcBorders>
            <w:shd w:val="clear" w:color="000000" w:fill="FFFF00"/>
            <w:noWrap/>
            <w:vAlign w:val="bottom"/>
            <w:hideMark/>
          </w:tcPr>
          <w:p w14:paraId="0B9BCB95"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0.084131</w:t>
            </w:r>
          </w:p>
        </w:tc>
      </w:tr>
      <w:tr w:rsidR="000439FD" w:rsidRPr="005D29D5" w14:paraId="186F0A88" w14:textId="77777777" w:rsidTr="005E4275">
        <w:trPr>
          <w:trHeight w:val="300"/>
        </w:trPr>
        <w:tc>
          <w:tcPr>
            <w:tcW w:w="3640" w:type="dxa"/>
            <w:tcBorders>
              <w:top w:val="nil"/>
              <w:left w:val="nil"/>
              <w:bottom w:val="nil"/>
              <w:right w:val="nil"/>
            </w:tcBorders>
            <w:shd w:val="clear" w:color="auto" w:fill="auto"/>
            <w:noWrap/>
            <w:vAlign w:val="bottom"/>
            <w:hideMark/>
          </w:tcPr>
          <w:p w14:paraId="42AE47BF"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Total current liability</w:t>
            </w:r>
          </w:p>
        </w:tc>
        <w:tc>
          <w:tcPr>
            <w:tcW w:w="960" w:type="dxa"/>
            <w:tcBorders>
              <w:top w:val="nil"/>
              <w:left w:val="nil"/>
              <w:bottom w:val="nil"/>
              <w:right w:val="nil"/>
            </w:tcBorders>
            <w:shd w:val="clear" w:color="000000" w:fill="00B0F0"/>
            <w:noWrap/>
            <w:vAlign w:val="center"/>
            <w:hideMark/>
          </w:tcPr>
          <w:p w14:paraId="33033E3C"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111616</w:t>
            </w:r>
          </w:p>
        </w:tc>
        <w:tc>
          <w:tcPr>
            <w:tcW w:w="960" w:type="dxa"/>
            <w:tcBorders>
              <w:top w:val="nil"/>
              <w:left w:val="nil"/>
              <w:bottom w:val="nil"/>
              <w:right w:val="nil"/>
            </w:tcBorders>
            <w:shd w:val="clear" w:color="auto" w:fill="auto"/>
            <w:noWrap/>
            <w:vAlign w:val="bottom"/>
            <w:hideMark/>
          </w:tcPr>
          <w:p w14:paraId="1E774117" w14:textId="77777777" w:rsidR="000439FD" w:rsidRPr="005D29D5" w:rsidRDefault="000439FD" w:rsidP="005E427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6008D929"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Current ratio</w:t>
            </w:r>
          </w:p>
        </w:tc>
        <w:tc>
          <w:tcPr>
            <w:tcW w:w="960" w:type="dxa"/>
            <w:tcBorders>
              <w:top w:val="nil"/>
              <w:left w:val="nil"/>
              <w:bottom w:val="nil"/>
              <w:right w:val="nil"/>
            </w:tcBorders>
            <w:shd w:val="clear" w:color="000000" w:fill="FFFF00"/>
            <w:noWrap/>
            <w:vAlign w:val="bottom"/>
            <w:hideMark/>
          </w:tcPr>
          <w:p w14:paraId="4E7FD083"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0.459047</w:t>
            </w:r>
          </w:p>
        </w:tc>
      </w:tr>
      <w:tr w:rsidR="000439FD" w:rsidRPr="005D29D5" w14:paraId="21E32C82" w14:textId="77777777" w:rsidTr="005E4275">
        <w:trPr>
          <w:trHeight w:val="300"/>
        </w:trPr>
        <w:tc>
          <w:tcPr>
            <w:tcW w:w="3640" w:type="dxa"/>
            <w:tcBorders>
              <w:top w:val="nil"/>
              <w:left w:val="nil"/>
              <w:bottom w:val="nil"/>
              <w:right w:val="nil"/>
            </w:tcBorders>
            <w:shd w:val="clear" w:color="auto" w:fill="auto"/>
            <w:noWrap/>
            <w:vAlign w:val="bottom"/>
            <w:hideMark/>
          </w:tcPr>
          <w:p w14:paraId="76F3CE2F"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Total current asset</w:t>
            </w:r>
          </w:p>
        </w:tc>
        <w:tc>
          <w:tcPr>
            <w:tcW w:w="960" w:type="dxa"/>
            <w:tcBorders>
              <w:top w:val="nil"/>
              <w:left w:val="nil"/>
              <w:bottom w:val="nil"/>
              <w:right w:val="nil"/>
            </w:tcBorders>
            <w:shd w:val="clear" w:color="000000" w:fill="00B0F0"/>
            <w:noWrap/>
            <w:vAlign w:val="center"/>
            <w:hideMark/>
          </w:tcPr>
          <w:p w14:paraId="0239C58F"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51237</w:t>
            </w:r>
          </w:p>
        </w:tc>
        <w:tc>
          <w:tcPr>
            <w:tcW w:w="960" w:type="dxa"/>
            <w:tcBorders>
              <w:top w:val="nil"/>
              <w:left w:val="nil"/>
              <w:bottom w:val="nil"/>
              <w:right w:val="nil"/>
            </w:tcBorders>
            <w:shd w:val="clear" w:color="auto" w:fill="auto"/>
            <w:noWrap/>
            <w:vAlign w:val="bottom"/>
            <w:hideMark/>
          </w:tcPr>
          <w:p w14:paraId="7D5CA263" w14:textId="77777777" w:rsidR="000439FD" w:rsidRPr="005D29D5" w:rsidRDefault="000439FD" w:rsidP="005E427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65CEACF2"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Quick ratio</w:t>
            </w:r>
          </w:p>
        </w:tc>
        <w:tc>
          <w:tcPr>
            <w:tcW w:w="960" w:type="dxa"/>
            <w:tcBorders>
              <w:top w:val="nil"/>
              <w:left w:val="nil"/>
              <w:bottom w:val="nil"/>
              <w:right w:val="nil"/>
            </w:tcBorders>
            <w:shd w:val="clear" w:color="000000" w:fill="FFFF00"/>
            <w:noWrap/>
            <w:vAlign w:val="bottom"/>
            <w:hideMark/>
          </w:tcPr>
          <w:p w14:paraId="44CDAFEF"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0.375331</w:t>
            </w:r>
          </w:p>
        </w:tc>
      </w:tr>
      <w:tr w:rsidR="000439FD" w:rsidRPr="005D29D5" w14:paraId="04E04A7B" w14:textId="77777777" w:rsidTr="005E4275">
        <w:trPr>
          <w:trHeight w:val="300"/>
        </w:trPr>
        <w:tc>
          <w:tcPr>
            <w:tcW w:w="3640" w:type="dxa"/>
            <w:tcBorders>
              <w:top w:val="nil"/>
              <w:left w:val="nil"/>
              <w:bottom w:val="nil"/>
              <w:right w:val="nil"/>
            </w:tcBorders>
            <w:shd w:val="clear" w:color="auto" w:fill="auto"/>
            <w:noWrap/>
            <w:vAlign w:val="bottom"/>
            <w:hideMark/>
          </w:tcPr>
          <w:p w14:paraId="232F320C"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Inventory</w:t>
            </w:r>
          </w:p>
        </w:tc>
        <w:tc>
          <w:tcPr>
            <w:tcW w:w="960" w:type="dxa"/>
            <w:tcBorders>
              <w:top w:val="nil"/>
              <w:left w:val="nil"/>
              <w:bottom w:val="nil"/>
              <w:right w:val="nil"/>
            </w:tcBorders>
            <w:shd w:val="clear" w:color="000000" w:fill="00B0F0"/>
            <w:noWrap/>
            <w:vAlign w:val="center"/>
            <w:hideMark/>
          </w:tcPr>
          <w:p w14:paraId="649FC063"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9344</w:t>
            </w:r>
          </w:p>
        </w:tc>
        <w:tc>
          <w:tcPr>
            <w:tcW w:w="960" w:type="dxa"/>
            <w:tcBorders>
              <w:top w:val="nil"/>
              <w:left w:val="nil"/>
              <w:bottom w:val="nil"/>
              <w:right w:val="nil"/>
            </w:tcBorders>
            <w:shd w:val="clear" w:color="auto" w:fill="auto"/>
            <w:noWrap/>
            <w:vAlign w:val="bottom"/>
            <w:hideMark/>
          </w:tcPr>
          <w:p w14:paraId="5FA4817C" w14:textId="77777777" w:rsidR="000439FD" w:rsidRPr="005D29D5" w:rsidRDefault="000439FD" w:rsidP="005E427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450864FD"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Cash ratio</w:t>
            </w:r>
          </w:p>
        </w:tc>
        <w:tc>
          <w:tcPr>
            <w:tcW w:w="960" w:type="dxa"/>
            <w:tcBorders>
              <w:top w:val="nil"/>
              <w:left w:val="nil"/>
              <w:bottom w:val="nil"/>
              <w:right w:val="nil"/>
            </w:tcBorders>
            <w:shd w:val="clear" w:color="000000" w:fill="FFFF00"/>
            <w:noWrap/>
            <w:vAlign w:val="bottom"/>
            <w:hideMark/>
          </w:tcPr>
          <w:p w14:paraId="6E1709CF"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0.125296</w:t>
            </w:r>
          </w:p>
        </w:tc>
      </w:tr>
      <w:tr w:rsidR="000439FD" w:rsidRPr="005D29D5" w14:paraId="18C5BC76" w14:textId="77777777" w:rsidTr="005E4275">
        <w:trPr>
          <w:trHeight w:val="300"/>
        </w:trPr>
        <w:tc>
          <w:tcPr>
            <w:tcW w:w="3640" w:type="dxa"/>
            <w:tcBorders>
              <w:top w:val="nil"/>
              <w:left w:val="nil"/>
              <w:bottom w:val="nil"/>
              <w:right w:val="nil"/>
            </w:tcBorders>
            <w:shd w:val="clear" w:color="auto" w:fill="auto"/>
            <w:noWrap/>
            <w:vAlign w:val="bottom"/>
            <w:hideMark/>
          </w:tcPr>
          <w:p w14:paraId="2B9602F6"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Cash</w:t>
            </w:r>
          </w:p>
        </w:tc>
        <w:tc>
          <w:tcPr>
            <w:tcW w:w="960" w:type="dxa"/>
            <w:tcBorders>
              <w:top w:val="nil"/>
              <w:left w:val="nil"/>
              <w:bottom w:val="nil"/>
              <w:right w:val="nil"/>
            </w:tcBorders>
            <w:shd w:val="clear" w:color="000000" w:fill="00B0F0"/>
            <w:noWrap/>
            <w:vAlign w:val="center"/>
            <w:hideMark/>
          </w:tcPr>
          <w:p w14:paraId="34FC6CA3"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13985</w:t>
            </w:r>
          </w:p>
        </w:tc>
        <w:tc>
          <w:tcPr>
            <w:tcW w:w="960" w:type="dxa"/>
            <w:tcBorders>
              <w:top w:val="nil"/>
              <w:left w:val="nil"/>
              <w:bottom w:val="nil"/>
              <w:right w:val="nil"/>
            </w:tcBorders>
            <w:shd w:val="clear" w:color="auto" w:fill="auto"/>
            <w:noWrap/>
            <w:vAlign w:val="bottom"/>
            <w:hideMark/>
          </w:tcPr>
          <w:p w14:paraId="52E077D0" w14:textId="77777777" w:rsidR="000439FD" w:rsidRPr="005D29D5" w:rsidRDefault="000439FD" w:rsidP="005E427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08615529"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Debt to equity ratio</w:t>
            </w:r>
          </w:p>
        </w:tc>
        <w:tc>
          <w:tcPr>
            <w:tcW w:w="960" w:type="dxa"/>
            <w:tcBorders>
              <w:top w:val="nil"/>
              <w:left w:val="nil"/>
              <w:bottom w:val="nil"/>
              <w:right w:val="nil"/>
            </w:tcBorders>
            <w:shd w:val="clear" w:color="000000" w:fill="FFFF00"/>
            <w:noWrap/>
            <w:vAlign w:val="bottom"/>
            <w:hideMark/>
          </w:tcPr>
          <w:p w14:paraId="190CBD45"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1</w:t>
            </w:r>
          </w:p>
        </w:tc>
      </w:tr>
      <w:tr w:rsidR="000439FD" w:rsidRPr="005D29D5" w14:paraId="7ADED332" w14:textId="77777777" w:rsidTr="005E4275">
        <w:trPr>
          <w:trHeight w:val="300"/>
        </w:trPr>
        <w:tc>
          <w:tcPr>
            <w:tcW w:w="3640" w:type="dxa"/>
            <w:tcBorders>
              <w:top w:val="nil"/>
              <w:left w:val="nil"/>
              <w:bottom w:val="nil"/>
              <w:right w:val="nil"/>
            </w:tcBorders>
            <w:shd w:val="clear" w:color="auto" w:fill="auto"/>
            <w:noWrap/>
            <w:vAlign w:val="bottom"/>
            <w:hideMark/>
          </w:tcPr>
          <w:p w14:paraId="74DBBDC6"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Total debt</w:t>
            </w:r>
          </w:p>
        </w:tc>
        <w:tc>
          <w:tcPr>
            <w:tcW w:w="960" w:type="dxa"/>
            <w:tcBorders>
              <w:top w:val="nil"/>
              <w:left w:val="nil"/>
              <w:bottom w:val="nil"/>
              <w:right w:val="nil"/>
            </w:tcBorders>
            <w:shd w:val="clear" w:color="000000" w:fill="00B0F0"/>
            <w:noWrap/>
            <w:vAlign w:val="bottom"/>
            <w:hideMark/>
          </w:tcPr>
          <w:p w14:paraId="2D0C5D00"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174894</w:t>
            </w:r>
          </w:p>
        </w:tc>
        <w:tc>
          <w:tcPr>
            <w:tcW w:w="960" w:type="dxa"/>
            <w:tcBorders>
              <w:top w:val="nil"/>
              <w:left w:val="nil"/>
              <w:bottom w:val="nil"/>
              <w:right w:val="nil"/>
            </w:tcBorders>
            <w:shd w:val="clear" w:color="auto" w:fill="auto"/>
            <w:noWrap/>
            <w:vAlign w:val="bottom"/>
            <w:hideMark/>
          </w:tcPr>
          <w:p w14:paraId="4E589D72" w14:textId="77777777" w:rsidR="000439FD" w:rsidRPr="005D29D5" w:rsidRDefault="000439FD" w:rsidP="005E427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389CED17" w14:textId="77777777" w:rsidR="000439FD" w:rsidRPr="005D29D5" w:rsidRDefault="000439FD" w:rsidP="005E4275">
            <w:pPr>
              <w:spacing w:after="0" w:line="240" w:lineRule="auto"/>
              <w:rPr>
                <w:rFonts w:ascii="Calibri" w:eastAsia="Times New Roman" w:hAnsi="Calibri" w:cs="Calibri"/>
                <w:color w:val="000000"/>
                <w:lang w:eastAsia="en-GB"/>
              </w:rPr>
            </w:pPr>
            <w:r w:rsidRPr="005D29D5">
              <w:rPr>
                <w:rFonts w:ascii="Calibri" w:eastAsia="Times New Roman" w:hAnsi="Calibri" w:cs="Calibri"/>
                <w:color w:val="000000"/>
                <w:lang w:eastAsia="en-GB"/>
              </w:rPr>
              <w:t>Debt to capital ratio</w:t>
            </w:r>
          </w:p>
        </w:tc>
        <w:tc>
          <w:tcPr>
            <w:tcW w:w="960" w:type="dxa"/>
            <w:tcBorders>
              <w:top w:val="nil"/>
              <w:left w:val="nil"/>
              <w:bottom w:val="nil"/>
              <w:right w:val="nil"/>
            </w:tcBorders>
            <w:shd w:val="clear" w:color="000000" w:fill="FFFF00"/>
            <w:noWrap/>
            <w:vAlign w:val="bottom"/>
            <w:hideMark/>
          </w:tcPr>
          <w:p w14:paraId="77405A8D" w14:textId="77777777" w:rsidR="000439FD" w:rsidRPr="005D29D5" w:rsidRDefault="000439FD" w:rsidP="005E4275">
            <w:pPr>
              <w:spacing w:after="0" w:line="240" w:lineRule="auto"/>
              <w:jc w:val="right"/>
              <w:rPr>
                <w:rFonts w:ascii="Calibri" w:eastAsia="Times New Roman" w:hAnsi="Calibri" w:cs="Calibri"/>
                <w:color w:val="000000"/>
                <w:lang w:eastAsia="en-GB"/>
              </w:rPr>
            </w:pPr>
            <w:r w:rsidRPr="005D29D5">
              <w:rPr>
                <w:rFonts w:ascii="Calibri" w:eastAsia="Times New Roman" w:hAnsi="Calibri" w:cs="Calibri"/>
                <w:color w:val="000000"/>
                <w:lang w:eastAsia="en-GB"/>
              </w:rPr>
              <w:t>0.5</w:t>
            </w:r>
          </w:p>
        </w:tc>
      </w:tr>
    </w:tbl>
    <w:p w14:paraId="655FC8DB" w14:textId="77777777" w:rsidR="000439FD" w:rsidRDefault="000439FD" w:rsidP="000439FD">
      <w:pPr>
        <w:jc w:val="both"/>
        <w:rPr>
          <w:rFonts w:ascii="Arial" w:hAnsi="Arial" w:cs="Arial"/>
          <w:b/>
          <w:bCs/>
          <w:u w:val="single"/>
        </w:rPr>
      </w:pPr>
    </w:p>
    <w:p w14:paraId="44BE3814" w14:textId="77777777" w:rsidR="00924F3D" w:rsidRDefault="00924F3D" w:rsidP="00DE71DE">
      <w:pPr>
        <w:pStyle w:val="Heading2"/>
      </w:pPr>
    </w:p>
    <w:p w14:paraId="7781010F" w14:textId="755A1FE7" w:rsidR="00FC3445" w:rsidRDefault="005931B8" w:rsidP="00DE71DE">
      <w:pPr>
        <w:pStyle w:val="Heading2"/>
      </w:pPr>
      <w:bookmarkStart w:id="14" w:name="_Toc72176085"/>
      <w:r>
        <w:t>2020</w:t>
      </w:r>
      <w:bookmarkEnd w:id="14"/>
    </w:p>
    <w:p w14:paraId="03C5C7C8" w14:textId="5ACDA4EB" w:rsidR="00FC3445" w:rsidRDefault="00BC0852" w:rsidP="00DE71DE">
      <w:pPr>
        <w:pStyle w:val="Heading2"/>
      </w:pPr>
      <w:bookmarkStart w:id="15" w:name="_Toc72176086"/>
      <w:r>
        <w:t>Roche</w:t>
      </w:r>
      <w:bookmarkEnd w:id="15"/>
    </w:p>
    <w:tbl>
      <w:tblPr>
        <w:tblW w:w="8680" w:type="dxa"/>
        <w:tblLook w:val="04A0" w:firstRow="1" w:lastRow="0" w:firstColumn="1" w:lastColumn="0" w:noHBand="0" w:noVBand="1"/>
      </w:tblPr>
      <w:tblGrid>
        <w:gridCol w:w="3640"/>
        <w:gridCol w:w="960"/>
        <w:gridCol w:w="960"/>
        <w:gridCol w:w="2160"/>
        <w:gridCol w:w="1053"/>
      </w:tblGrid>
      <w:tr w:rsidR="00BC0852" w:rsidRPr="00BC0852" w14:paraId="5CFFC1E1" w14:textId="77777777" w:rsidTr="00BC0852">
        <w:trPr>
          <w:trHeight w:val="300"/>
        </w:trPr>
        <w:tc>
          <w:tcPr>
            <w:tcW w:w="3640" w:type="dxa"/>
            <w:tcBorders>
              <w:top w:val="nil"/>
              <w:left w:val="nil"/>
              <w:bottom w:val="nil"/>
              <w:right w:val="nil"/>
            </w:tcBorders>
            <w:shd w:val="clear" w:color="auto" w:fill="auto"/>
            <w:noWrap/>
            <w:vAlign w:val="bottom"/>
            <w:hideMark/>
          </w:tcPr>
          <w:p w14:paraId="3A67329C" w14:textId="77777777" w:rsidR="00BC0852" w:rsidRPr="00BC0852" w:rsidRDefault="00BC0852" w:rsidP="00BC0852">
            <w:pPr>
              <w:spacing w:after="0" w:line="240" w:lineRule="auto"/>
              <w:rPr>
                <w:rFonts w:ascii="Calibri" w:eastAsia="Times New Roman" w:hAnsi="Calibri" w:cs="Calibri"/>
                <w:color w:val="FF0000"/>
                <w:lang w:eastAsia="en-GB"/>
              </w:rPr>
            </w:pPr>
            <w:r w:rsidRPr="00BC0852">
              <w:rPr>
                <w:rFonts w:ascii="Calibri" w:eastAsia="Times New Roman" w:hAnsi="Calibri" w:cs="Calibri"/>
                <w:color w:val="FF0000"/>
                <w:lang w:eastAsia="en-GB"/>
              </w:rPr>
              <w:t>Sales</w:t>
            </w:r>
          </w:p>
        </w:tc>
        <w:tc>
          <w:tcPr>
            <w:tcW w:w="960" w:type="dxa"/>
            <w:tcBorders>
              <w:top w:val="nil"/>
              <w:left w:val="nil"/>
              <w:bottom w:val="nil"/>
              <w:right w:val="nil"/>
            </w:tcBorders>
            <w:shd w:val="clear" w:color="000000" w:fill="00B0F0"/>
            <w:noWrap/>
            <w:vAlign w:val="bottom"/>
            <w:hideMark/>
          </w:tcPr>
          <w:p w14:paraId="240D6E1B"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58323</w:t>
            </w:r>
          </w:p>
        </w:tc>
        <w:tc>
          <w:tcPr>
            <w:tcW w:w="960" w:type="dxa"/>
            <w:tcBorders>
              <w:top w:val="nil"/>
              <w:left w:val="nil"/>
              <w:bottom w:val="nil"/>
              <w:right w:val="nil"/>
            </w:tcBorders>
            <w:shd w:val="clear" w:color="auto" w:fill="auto"/>
            <w:noWrap/>
            <w:vAlign w:val="bottom"/>
            <w:hideMark/>
          </w:tcPr>
          <w:p w14:paraId="3245B6B6" w14:textId="77777777" w:rsidR="00BC0852" w:rsidRPr="00BC0852" w:rsidRDefault="00BC0852" w:rsidP="00BC0852">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377F20BC"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Gross profit margin</w:t>
            </w:r>
          </w:p>
        </w:tc>
        <w:tc>
          <w:tcPr>
            <w:tcW w:w="960" w:type="dxa"/>
            <w:tcBorders>
              <w:top w:val="nil"/>
              <w:left w:val="nil"/>
              <w:bottom w:val="nil"/>
              <w:right w:val="nil"/>
            </w:tcBorders>
            <w:shd w:val="clear" w:color="000000" w:fill="FFFF00"/>
            <w:noWrap/>
            <w:vAlign w:val="bottom"/>
            <w:hideMark/>
          </w:tcPr>
          <w:p w14:paraId="2317A41D"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0.369254</w:t>
            </w:r>
          </w:p>
        </w:tc>
      </w:tr>
      <w:tr w:rsidR="00BC0852" w:rsidRPr="00BC0852" w14:paraId="48FE5E5A" w14:textId="77777777" w:rsidTr="00BC0852">
        <w:trPr>
          <w:trHeight w:val="300"/>
        </w:trPr>
        <w:tc>
          <w:tcPr>
            <w:tcW w:w="3640" w:type="dxa"/>
            <w:tcBorders>
              <w:top w:val="nil"/>
              <w:left w:val="nil"/>
              <w:bottom w:val="nil"/>
              <w:right w:val="nil"/>
            </w:tcBorders>
            <w:shd w:val="clear" w:color="auto" w:fill="auto"/>
            <w:noWrap/>
            <w:vAlign w:val="bottom"/>
            <w:hideMark/>
          </w:tcPr>
          <w:p w14:paraId="5ABDAA4E" w14:textId="77777777" w:rsidR="00BC0852" w:rsidRPr="00BC0852" w:rsidRDefault="00BC0852" w:rsidP="00BC0852">
            <w:pPr>
              <w:spacing w:after="0" w:line="240" w:lineRule="auto"/>
              <w:rPr>
                <w:rFonts w:ascii="Calibri" w:eastAsia="Times New Roman" w:hAnsi="Calibri" w:cs="Calibri"/>
                <w:color w:val="FF0000"/>
                <w:lang w:eastAsia="en-GB"/>
              </w:rPr>
            </w:pPr>
            <w:r w:rsidRPr="00BC0852">
              <w:rPr>
                <w:rFonts w:ascii="Calibri" w:eastAsia="Times New Roman" w:hAnsi="Calibri" w:cs="Calibri"/>
                <w:color w:val="FF0000"/>
                <w:lang w:eastAsia="en-GB"/>
              </w:rPr>
              <w:t>Gross profit</w:t>
            </w:r>
          </w:p>
        </w:tc>
        <w:tc>
          <w:tcPr>
            <w:tcW w:w="960" w:type="dxa"/>
            <w:tcBorders>
              <w:top w:val="nil"/>
              <w:left w:val="nil"/>
              <w:bottom w:val="nil"/>
              <w:right w:val="nil"/>
            </w:tcBorders>
            <w:shd w:val="clear" w:color="000000" w:fill="00B0F0"/>
            <w:noWrap/>
            <w:vAlign w:val="bottom"/>
            <w:hideMark/>
          </w:tcPr>
          <w:p w14:paraId="393B5CCF"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21536</w:t>
            </w:r>
          </w:p>
        </w:tc>
        <w:tc>
          <w:tcPr>
            <w:tcW w:w="960" w:type="dxa"/>
            <w:tcBorders>
              <w:top w:val="nil"/>
              <w:left w:val="nil"/>
              <w:bottom w:val="nil"/>
              <w:right w:val="nil"/>
            </w:tcBorders>
            <w:shd w:val="clear" w:color="auto" w:fill="auto"/>
            <w:noWrap/>
            <w:vAlign w:val="bottom"/>
            <w:hideMark/>
          </w:tcPr>
          <w:p w14:paraId="35644F4F" w14:textId="77777777" w:rsidR="00BC0852" w:rsidRPr="00BC0852" w:rsidRDefault="00BC0852" w:rsidP="00BC0852">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644368EE"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Operating profit margin</w:t>
            </w:r>
          </w:p>
        </w:tc>
        <w:tc>
          <w:tcPr>
            <w:tcW w:w="960" w:type="dxa"/>
            <w:tcBorders>
              <w:top w:val="nil"/>
              <w:left w:val="nil"/>
              <w:bottom w:val="nil"/>
              <w:right w:val="nil"/>
            </w:tcBorders>
            <w:shd w:val="clear" w:color="000000" w:fill="FFFF00"/>
            <w:noWrap/>
            <w:vAlign w:val="bottom"/>
            <w:hideMark/>
          </w:tcPr>
          <w:p w14:paraId="091D6D7F"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0.317936</w:t>
            </w:r>
          </w:p>
        </w:tc>
      </w:tr>
      <w:tr w:rsidR="00BC0852" w:rsidRPr="00BC0852" w14:paraId="03836FA9" w14:textId="77777777" w:rsidTr="00BC0852">
        <w:trPr>
          <w:trHeight w:val="300"/>
        </w:trPr>
        <w:tc>
          <w:tcPr>
            <w:tcW w:w="3640" w:type="dxa"/>
            <w:tcBorders>
              <w:top w:val="nil"/>
              <w:left w:val="nil"/>
              <w:bottom w:val="nil"/>
              <w:right w:val="nil"/>
            </w:tcBorders>
            <w:shd w:val="clear" w:color="auto" w:fill="auto"/>
            <w:noWrap/>
            <w:vAlign w:val="bottom"/>
            <w:hideMark/>
          </w:tcPr>
          <w:p w14:paraId="61768BE5" w14:textId="77777777" w:rsidR="00BC0852" w:rsidRPr="00BC0852" w:rsidRDefault="00BC0852" w:rsidP="00BC0852">
            <w:pPr>
              <w:spacing w:after="0" w:line="240" w:lineRule="auto"/>
              <w:rPr>
                <w:rFonts w:ascii="Calibri" w:eastAsia="Times New Roman" w:hAnsi="Calibri" w:cs="Calibri"/>
                <w:color w:val="FF0000"/>
                <w:lang w:eastAsia="en-GB"/>
              </w:rPr>
            </w:pPr>
            <w:r w:rsidRPr="00BC0852">
              <w:rPr>
                <w:rFonts w:ascii="Calibri" w:eastAsia="Times New Roman" w:hAnsi="Calibri" w:cs="Calibri"/>
                <w:color w:val="FF0000"/>
                <w:lang w:eastAsia="en-GB"/>
              </w:rPr>
              <w:t>Operating profit</w:t>
            </w:r>
          </w:p>
        </w:tc>
        <w:tc>
          <w:tcPr>
            <w:tcW w:w="960" w:type="dxa"/>
            <w:tcBorders>
              <w:top w:val="nil"/>
              <w:left w:val="nil"/>
              <w:bottom w:val="nil"/>
              <w:right w:val="nil"/>
            </w:tcBorders>
            <w:shd w:val="clear" w:color="000000" w:fill="00B0F0"/>
            <w:noWrap/>
            <w:vAlign w:val="bottom"/>
            <w:hideMark/>
          </w:tcPr>
          <w:p w14:paraId="1BE1AAEF"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18543</w:t>
            </w:r>
          </w:p>
        </w:tc>
        <w:tc>
          <w:tcPr>
            <w:tcW w:w="960" w:type="dxa"/>
            <w:tcBorders>
              <w:top w:val="nil"/>
              <w:left w:val="nil"/>
              <w:bottom w:val="nil"/>
              <w:right w:val="nil"/>
            </w:tcBorders>
            <w:shd w:val="clear" w:color="auto" w:fill="auto"/>
            <w:noWrap/>
            <w:vAlign w:val="bottom"/>
            <w:hideMark/>
          </w:tcPr>
          <w:p w14:paraId="3B674507" w14:textId="77777777" w:rsidR="00BC0852" w:rsidRPr="00BC0852" w:rsidRDefault="00BC0852" w:rsidP="00BC0852">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03CFEBD9"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Net profit margin</w:t>
            </w:r>
          </w:p>
        </w:tc>
        <w:tc>
          <w:tcPr>
            <w:tcW w:w="960" w:type="dxa"/>
            <w:tcBorders>
              <w:top w:val="nil"/>
              <w:left w:val="nil"/>
              <w:bottom w:val="nil"/>
              <w:right w:val="nil"/>
            </w:tcBorders>
            <w:shd w:val="clear" w:color="000000" w:fill="FFFF00"/>
            <w:noWrap/>
            <w:vAlign w:val="bottom"/>
            <w:hideMark/>
          </w:tcPr>
          <w:p w14:paraId="5A979030"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0.258354</w:t>
            </w:r>
          </w:p>
        </w:tc>
      </w:tr>
      <w:tr w:rsidR="00BC0852" w:rsidRPr="00BC0852" w14:paraId="03BFCC32" w14:textId="77777777" w:rsidTr="00BC0852">
        <w:trPr>
          <w:trHeight w:val="300"/>
        </w:trPr>
        <w:tc>
          <w:tcPr>
            <w:tcW w:w="3640" w:type="dxa"/>
            <w:tcBorders>
              <w:top w:val="nil"/>
              <w:left w:val="nil"/>
              <w:bottom w:val="nil"/>
              <w:right w:val="nil"/>
            </w:tcBorders>
            <w:shd w:val="clear" w:color="auto" w:fill="auto"/>
            <w:noWrap/>
            <w:vAlign w:val="bottom"/>
            <w:hideMark/>
          </w:tcPr>
          <w:p w14:paraId="645F6149" w14:textId="77777777" w:rsidR="00BC0852" w:rsidRPr="00BC0852" w:rsidRDefault="00BC0852" w:rsidP="00BC0852">
            <w:pPr>
              <w:spacing w:after="0" w:line="240" w:lineRule="auto"/>
              <w:rPr>
                <w:rFonts w:ascii="Calibri" w:eastAsia="Times New Roman" w:hAnsi="Calibri" w:cs="Calibri"/>
                <w:color w:val="FF0000"/>
                <w:lang w:eastAsia="en-GB"/>
              </w:rPr>
            </w:pPr>
            <w:r w:rsidRPr="00BC0852">
              <w:rPr>
                <w:rFonts w:ascii="Calibri" w:eastAsia="Times New Roman" w:hAnsi="Calibri" w:cs="Calibri"/>
                <w:color w:val="FF0000"/>
                <w:lang w:eastAsia="en-GB"/>
              </w:rPr>
              <w:t>Net profit (net income, earnings)</w:t>
            </w:r>
          </w:p>
        </w:tc>
        <w:tc>
          <w:tcPr>
            <w:tcW w:w="960" w:type="dxa"/>
            <w:tcBorders>
              <w:top w:val="nil"/>
              <w:left w:val="nil"/>
              <w:bottom w:val="nil"/>
              <w:right w:val="nil"/>
            </w:tcBorders>
            <w:shd w:val="clear" w:color="000000" w:fill="00B0F0"/>
            <w:noWrap/>
            <w:vAlign w:val="center"/>
            <w:hideMark/>
          </w:tcPr>
          <w:p w14:paraId="3A2424E2"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15068</w:t>
            </w:r>
          </w:p>
        </w:tc>
        <w:tc>
          <w:tcPr>
            <w:tcW w:w="960" w:type="dxa"/>
            <w:tcBorders>
              <w:top w:val="nil"/>
              <w:left w:val="nil"/>
              <w:bottom w:val="nil"/>
              <w:right w:val="nil"/>
            </w:tcBorders>
            <w:shd w:val="clear" w:color="auto" w:fill="auto"/>
            <w:noWrap/>
            <w:vAlign w:val="bottom"/>
            <w:hideMark/>
          </w:tcPr>
          <w:p w14:paraId="17A7B324" w14:textId="77777777" w:rsidR="00BC0852" w:rsidRPr="00BC0852" w:rsidRDefault="00BC0852" w:rsidP="00BC0852">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17903908"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Fixed asset turnover</w:t>
            </w:r>
          </w:p>
        </w:tc>
        <w:tc>
          <w:tcPr>
            <w:tcW w:w="960" w:type="dxa"/>
            <w:tcBorders>
              <w:top w:val="nil"/>
              <w:left w:val="nil"/>
              <w:bottom w:val="nil"/>
              <w:right w:val="nil"/>
            </w:tcBorders>
            <w:shd w:val="clear" w:color="000000" w:fill="FFFF00"/>
            <w:noWrap/>
            <w:vAlign w:val="bottom"/>
            <w:hideMark/>
          </w:tcPr>
          <w:p w14:paraId="12E8B04A"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6.208537</w:t>
            </w:r>
          </w:p>
        </w:tc>
      </w:tr>
      <w:tr w:rsidR="00BC0852" w:rsidRPr="00BC0852" w14:paraId="6359F031" w14:textId="77777777" w:rsidTr="00BC0852">
        <w:trPr>
          <w:trHeight w:val="300"/>
        </w:trPr>
        <w:tc>
          <w:tcPr>
            <w:tcW w:w="3640" w:type="dxa"/>
            <w:tcBorders>
              <w:top w:val="nil"/>
              <w:left w:val="nil"/>
              <w:bottom w:val="nil"/>
              <w:right w:val="nil"/>
            </w:tcBorders>
            <w:shd w:val="clear" w:color="auto" w:fill="auto"/>
            <w:noWrap/>
            <w:vAlign w:val="bottom"/>
            <w:hideMark/>
          </w:tcPr>
          <w:p w14:paraId="70094E50"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Fixed asset (property, plant, equipment)</w:t>
            </w:r>
          </w:p>
        </w:tc>
        <w:tc>
          <w:tcPr>
            <w:tcW w:w="960" w:type="dxa"/>
            <w:tcBorders>
              <w:top w:val="nil"/>
              <w:left w:val="nil"/>
              <w:bottom w:val="nil"/>
              <w:right w:val="nil"/>
            </w:tcBorders>
            <w:shd w:val="clear" w:color="000000" w:fill="00B0F0"/>
            <w:noWrap/>
            <w:vAlign w:val="center"/>
            <w:hideMark/>
          </w:tcPr>
          <w:p w14:paraId="300E3D16"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9394</w:t>
            </w:r>
          </w:p>
        </w:tc>
        <w:tc>
          <w:tcPr>
            <w:tcW w:w="960" w:type="dxa"/>
            <w:tcBorders>
              <w:top w:val="nil"/>
              <w:left w:val="nil"/>
              <w:bottom w:val="nil"/>
              <w:right w:val="nil"/>
            </w:tcBorders>
            <w:shd w:val="clear" w:color="auto" w:fill="auto"/>
            <w:noWrap/>
            <w:vAlign w:val="bottom"/>
            <w:hideMark/>
          </w:tcPr>
          <w:p w14:paraId="2D4A4FBB" w14:textId="77777777" w:rsidR="00BC0852" w:rsidRPr="00BC0852" w:rsidRDefault="00BC0852" w:rsidP="00BC0852">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16E19180"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Total asset turnover</w:t>
            </w:r>
          </w:p>
        </w:tc>
        <w:tc>
          <w:tcPr>
            <w:tcW w:w="960" w:type="dxa"/>
            <w:tcBorders>
              <w:top w:val="nil"/>
              <w:left w:val="nil"/>
              <w:bottom w:val="nil"/>
              <w:right w:val="nil"/>
            </w:tcBorders>
            <w:shd w:val="clear" w:color="000000" w:fill="FFFF00"/>
            <w:noWrap/>
            <w:vAlign w:val="bottom"/>
            <w:hideMark/>
          </w:tcPr>
          <w:p w14:paraId="6697A9CC"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2.997071</w:t>
            </w:r>
          </w:p>
        </w:tc>
      </w:tr>
      <w:tr w:rsidR="00BC0852" w:rsidRPr="00BC0852" w14:paraId="76B32A25" w14:textId="77777777" w:rsidTr="00BC0852">
        <w:trPr>
          <w:trHeight w:val="300"/>
        </w:trPr>
        <w:tc>
          <w:tcPr>
            <w:tcW w:w="3640" w:type="dxa"/>
            <w:tcBorders>
              <w:top w:val="nil"/>
              <w:left w:val="nil"/>
              <w:bottom w:val="nil"/>
              <w:right w:val="nil"/>
            </w:tcBorders>
            <w:shd w:val="clear" w:color="auto" w:fill="auto"/>
            <w:noWrap/>
            <w:vAlign w:val="bottom"/>
            <w:hideMark/>
          </w:tcPr>
          <w:p w14:paraId="0C607606"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 xml:space="preserve">Total asset </w:t>
            </w:r>
          </w:p>
        </w:tc>
        <w:tc>
          <w:tcPr>
            <w:tcW w:w="960" w:type="dxa"/>
            <w:tcBorders>
              <w:top w:val="nil"/>
              <w:left w:val="nil"/>
              <w:bottom w:val="nil"/>
              <w:right w:val="nil"/>
            </w:tcBorders>
            <w:shd w:val="clear" w:color="000000" w:fill="00B0F0"/>
            <w:noWrap/>
            <w:vAlign w:val="center"/>
            <w:hideMark/>
          </w:tcPr>
          <w:p w14:paraId="6B9C7F12"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19460</w:t>
            </w:r>
          </w:p>
        </w:tc>
        <w:tc>
          <w:tcPr>
            <w:tcW w:w="960" w:type="dxa"/>
            <w:tcBorders>
              <w:top w:val="nil"/>
              <w:left w:val="nil"/>
              <w:bottom w:val="nil"/>
              <w:right w:val="nil"/>
            </w:tcBorders>
            <w:shd w:val="clear" w:color="auto" w:fill="auto"/>
            <w:noWrap/>
            <w:vAlign w:val="bottom"/>
            <w:hideMark/>
          </w:tcPr>
          <w:p w14:paraId="6DC3CCE6" w14:textId="77777777" w:rsidR="00BC0852" w:rsidRPr="00BC0852" w:rsidRDefault="00BC0852" w:rsidP="00BC0852">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0B987B09" w14:textId="77777777" w:rsidR="00BC0852" w:rsidRPr="00BC0852" w:rsidRDefault="00BC0852" w:rsidP="00BC0852">
            <w:pPr>
              <w:spacing w:after="0" w:line="240" w:lineRule="auto"/>
              <w:rPr>
                <w:rFonts w:ascii="Calibri" w:eastAsia="Times New Roman" w:hAnsi="Calibri" w:cs="Calibri"/>
                <w:color w:val="00B050"/>
                <w:lang w:eastAsia="en-GB"/>
              </w:rPr>
            </w:pPr>
            <w:r w:rsidRPr="00BC0852">
              <w:rPr>
                <w:rFonts w:ascii="Calibri" w:eastAsia="Times New Roman" w:hAnsi="Calibri" w:cs="Calibri"/>
                <w:color w:val="00B050"/>
                <w:lang w:eastAsia="en-GB"/>
              </w:rPr>
              <w:t>Return on asset</w:t>
            </w:r>
          </w:p>
        </w:tc>
        <w:tc>
          <w:tcPr>
            <w:tcW w:w="960" w:type="dxa"/>
            <w:tcBorders>
              <w:top w:val="nil"/>
              <w:left w:val="nil"/>
              <w:bottom w:val="nil"/>
              <w:right w:val="nil"/>
            </w:tcBorders>
            <w:shd w:val="clear" w:color="000000" w:fill="FFFF00"/>
            <w:noWrap/>
            <w:vAlign w:val="bottom"/>
            <w:hideMark/>
          </w:tcPr>
          <w:p w14:paraId="73B4B5E6"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0.774306</w:t>
            </w:r>
          </w:p>
        </w:tc>
      </w:tr>
      <w:tr w:rsidR="00BC0852" w:rsidRPr="00BC0852" w14:paraId="189A803A" w14:textId="77777777" w:rsidTr="00BC0852">
        <w:trPr>
          <w:trHeight w:val="300"/>
        </w:trPr>
        <w:tc>
          <w:tcPr>
            <w:tcW w:w="3640" w:type="dxa"/>
            <w:tcBorders>
              <w:top w:val="nil"/>
              <w:left w:val="nil"/>
              <w:bottom w:val="nil"/>
              <w:right w:val="nil"/>
            </w:tcBorders>
            <w:shd w:val="clear" w:color="auto" w:fill="auto"/>
            <w:noWrap/>
            <w:vAlign w:val="bottom"/>
            <w:hideMark/>
          </w:tcPr>
          <w:p w14:paraId="5264B55E"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Total equity</w:t>
            </w:r>
          </w:p>
        </w:tc>
        <w:tc>
          <w:tcPr>
            <w:tcW w:w="960" w:type="dxa"/>
            <w:tcBorders>
              <w:top w:val="nil"/>
              <w:left w:val="nil"/>
              <w:bottom w:val="nil"/>
              <w:right w:val="nil"/>
            </w:tcBorders>
            <w:shd w:val="clear" w:color="000000" w:fill="00B0F0"/>
            <w:noWrap/>
            <w:vAlign w:val="center"/>
            <w:hideMark/>
          </w:tcPr>
          <w:p w14:paraId="7C8EAE96"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17627</w:t>
            </w:r>
          </w:p>
        </w:tc>
        <w:tc>
          <w:tcPr>
            <w:tcW w:w="960" w:type="dxa"/>
            <w:tcBorders>
              <w:top w:val="nil"/>
              <w:left w:val="nil"/>
              <w:bottom w:val="nil"/>
              <w:right w:val="nil"/>
            </w:tcBorders>
            <w:shd w:val="clear" w:color="auto" w:fill="auto"/>
            <w:noWrap/>
            <w:vAlign w:val="bottom"/>
            <w:hideMark/>
          </w:tcPr>
          <w:p w14:paraId="08CCAFB9" w14:textId="77777777" w:rsidR="00BC0852" w:rsidRPr="00BC0852" w:rsidRDefault="00BC0852" w:rsidP="00BC0852">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2F7E102B" w14:textId="77777777" w:rsidR="00BC0852" w:rsidRPr="00BC0852" w:rsidRDefault="00BC0852" w:rsidP="00BC0852">
            <w:pPr>
              <w:spacing w:after="0" w:line="240" w:lineRule="auto"/>
              <w:rPr>
                <w:rFonts w:ascii="Calibri" w:eastAsia="Times New Roman" w:hAnsi="Calibri" w:cs="Calibri"/>
                <w:color w:val="00B050"/>
                <w:lang w:eastAsia="en-GB"/>
              </w:rPr>
            </w:pPr>
            <w:r w:rsidRPr="00BC0852">
              <w:rPr>
                <w:rFonts w:ascii="Calibri" w:eastAsia="Times New Roman" w:hAnsi="Calibri" w:cs="Calibri"/>
                <w:color w:val="00B050"/>
                <w:lang w:eastAsia="en-GB"/>
              </w:rPr>
              <w:t>Return on equity</w:t>
            </w:r>
          </w:p>
        </w:tc>
        <w:tc>
          <w:tcPr>
            <w:tcW w:w="960" w:type="dxa"/>
            <w:tcBorders>
              <w:top w:val="nil"/>
              <w:left w:val="nil"/>
              <w:bottom w:val="nil"/>
              <w:right w:val="nil"/>
            </w:tcBorders>
            <w:shd w:val="clear" w:color="000000" w:fill="FFFF00"/>
            <w:noWrap/>
            <w:vAlign w:val="bottom"/>
            <w:hideMark/>
          </w:tcPr>
          <w:p w14:paraId="123F11CC"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0.854825</w:t>
            </w:r>
          </w:p>
        </w:tc>
      </w:tr>
      <w:tr w:rsidR="00BC0852" w:rsidRPr="00BC0852" w14:paraId="12436F1A" w14:textId="77777777" w:rsidTr="00BC0852">
        <w:trPr>
          <w:trHeight w:val="300"/>
        </w:trPr>
        <w:tc>
          <w:tcPr>
            <w:tcW w:w="3640" w:type="dxa"/>
            <w:tcBorders>
              <w:top w:val="nil"/>
              <w:left w:val="nil"/>
              <w:bottom w:val="nil"/>
              <w:right w:val="nil"/>
            </w:tcBorders>
            <w:shd w:val="clear" w:color="auto" w:fill="auto"/>
            <w:noWrap/>
            <w:vAlign w:val="bottom"/>
            <w:hideMark/>
          </w:tcPr>
          <w:p w14:paraId="7A35DEA0"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Total current liability</w:t>
            </w:r>
          </w:p>
        </w:tc>
        <w:tc>
          <w:tcPr>
            <w:tcW w:w="960" w:type="dxa"/>
            <w:tcBorders>
              <w:top w:val="nil"/>
              <w:left w:val="nil"/>
              <w:bottom w:val="nil"/>
              <w:right w:val="nil"/>
            </w:tcBorders>
            <w:shd w:val="clear" w:color="000000" w:fill="00B0F0"/>
            <w:noWrap/>
            <w:vAlign w:val="center"/>
            <w:hideMark/>
          </w:tcPr>
          <w:p w14:paraId="7FAA8ABF"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1834</w:t>
            </w:r>
          </w:p>
        </w:tc>
        <w:tc>
          <w:tcPr>
            <w:tcW w:w="960" w:type="dxa"/>
            <w:tcBorders>
              <w:top w:val="nil"/>
              <w:left w:val="nil"/>
              <w:bottom w:val="nil"/>
              <w:right w:val="nil"/>
            </w:tcBorders>
            <w:shd w:val="clear" w:color="auto" w:fill="auto"/>
            <w:noWrap/>
            <w:vAlign w:val="bottom"/>
            <w:hideMark/>
          </w:tcPr>
          <w:p w14:paraId="4C99AD82" w14:textId="77777777" w:rsidR="00BC0852" w:rsidRPr="00BC0852" w:rsidRDefault="00BC0852" w:rsidP="00BC0852">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3EA23243"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Current ratio</w:t>
            </w:r>
          </w:p>
        </w:tc>
        <w:tc>
          <w:tcPr>
            <w:tcW w:w="960" w:type="dxa"/>
            <w:tcBorders>
              <w:top w:val="nil"/>
              <w:left w:val="nil"/>
              <w:bottom w:val="nil"/>
              <w:right w:val="nil"/>
            </w:tcBorders>
            <w:shd w:val="clear" w:color="000000" w:fill="FFFF00"/>
            <w:noWrap/>
            <w:vAlign w:val="bottom"/>
            <w:hideMark/>
          </w:tcPr>
          <w:p w14:paraId="6F6F0C9A"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5.48855</w:t>
            </w:r>
          </w:p>
        </w:tc>
      </w:tr>
      <w:tr w:rsidR="00BC0852" w:rsidRPr="00BC0852" w14:paraId="58899CC6" w14:textId="77777777" w:rsidTr="00BC0852">
        <w:trPr>
          <w:trHeight w:val="300"/>
        </w:trPr>
        <w:tc>
          <w:tcPr>
            <w:tcW w:w="3640" w:type="dxa"/>
            <w:tcBorders>
              <w:top w:val="nil"/>
              <w:left w:val="nil"/>
              <w:bottom w:val="nil"/>
              <w:right w:val="nil"/>
            </w:tcBorders>
            <w:shd w:val="clear" w:color="auto" w:fill="auto"/>
            <w:noWrap/>
            <w:vAlign w:val="bottom"/>
            <w:hideMark/>
          </w:tcPr>
          <w:p w14:paraId="4009F55D"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Total current asset</w:t>
            </w:r>
          </w:p>
        </w:tc>
        <w:tc>
          <w:tcPr>
            <w:tcW w:w="960" w:type="dxa"/>
            <w:tcBorders>
              <w:top w:val="nil"/>
              <w:left w:val="nil"/>
              <w:bottom w:val="nil"/>
              <w:right w:val="nil"/>
            </w:tcBorders>
            <w:shd w:val="clear" w:color="000000" w:fill="00B0F0"/>
            <w:noWrap/>
            <w:vAlign w:val="center"/>
            <w:hideMark/>
          </w:tcPr>
          <w:p w14:paraId="5916BE1C"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10066</w:t>
            </w:r>
          </w:p>
        </w:tc>
        <w:tc>
          <w:tcPr>
            <w:tcW w:w="960" w:type="dxa"/>
            <w:tcBorders>
              <w:top w:val="nil"/>
              <w:left w:val="nil"/>
              <w:bottom w:val="nil"/>
              <w:right w:val="nil"/>
            </w:tcBorders>
            <w:shd w:val="clear" w:color="auto" w:fill="auto"/>
            <w:noWrap/>
            <w:vAlign w:val="bottom"/>
            <w:hideMark/>
          </w:tcPr>
          <w:p w14:paraId="58882365" w14:textId="77777777" w:rsidR="00BC0852" w:rsidRPr="00BC0852" w:rsidRDefault="00BC0852" w:rsidP="00BC0852">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79C2B0C1"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Quick ratio</w:t>
            </w:r>
          </w:p>
        </w:tc>
        <w:tc>
          <w:tcPr>
            <w:tcW w:w="960" w:type="dxa"/>
            <w:tcBorders>
              <w:top w:val="nil"/>
              <w:left w:val="nil"/>
              <w:bottom w:val="nil"/>
              <w:right w:val="nil"/>
            </w:tcBorders>
            <w:shd w:val="clear" w:color="000000" w:fill="FFFF00"/>
            <w:noWrap/>
            <w:vAlign w:val="bottom"/>
            <w:hideMark/>
          </w:tcPr>
          <w:p w14:paraId="3D03DEDD"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3.264449</w:t>
            </w:r>
          </w:p>
        </w:tc>
      </w:tr>
      <w:tr w:rsidR="00BC0852" w:rsidRPr="00BC0852" w14:paraId="20E7F698" w14:textId="77777777" w:rsidTr="00BC0852">
        <w:trPr>
          <w:trHeight w:val="300"/>
        </w:trPr>
        <w:tc>
          <w:tcPr>
            <w:tcW w:w="3640" w:type="dxa"/>
            <w:tcBorders>
              <w:top w:val="nil"/>
              <w:left w:val="nil"/>
              <w:bottom w:val="nil"/>
              <w:right w:val="nil"/>
            </w:tcBorders>
            <w:shd w:val="clear" w:color="auto" w:fill="auto"/>
            <w:noWrap/>
            <w:vAlign w:val="bottom"/>
            <w:hideMark/>
          </w:tcPr>
          <w:p w14:paraId="325045A0"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Inventory</w:t>
            </w:r>
          </w:p>
        </w:tc>
        <w:tc>
          <w:tcPr>
            <w:tcW w:w="960" w:type="dxa"/>
            <w:tcBorders>
              <w:top w:val="nil"/>
              <w:left w:val="nil"/>
              <w:bottom w:val="nil"/>
              <w:right w:val="nil"/>
            </w:tcBorders>
            <w:shd w:val="clear" w:color="000000" w:fill="00B0F0"/>
            <w:noWrap/>
            <w:vAlign w:val="center"/>
            <w:hideMark/>
          </w:tcPr>
          <w:p w14:paraId="4C8BE1F7"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4079</w:t>
            </w:r>
          </w:p>
        </w:tc>
        <w:tc>
          <w:tcPr>
            <w:tcW w:w="960" w:type="dxa"/>
            <w:tcBorders>
              <w:top w:val="nil"/>
              <w:left w:val="nil"/>
              <w:bottom w:val="nil"/>
              <w:right w:val="nil"/>
            </w:tcBorders>
            <w:shd w:val="clear" w:color="auto" w:fill="auto"/>
            <w:noWrap/>
            <w:vAlign w:val="bottom"/>
            <w:hideMark/>
          </w:tcPr>
          <w:p w14:paraId="2D68AE94" w14:textId="77777777" w:rsidR="00BC0852" w:rsidRPr="00BC0852" w:rsidRDefault="00BC0852" w:rsidP="00BC0852">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23FE222F"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Cash ratio</w:t>
            </w:r>
          </w:p>
        </w:tc>
        <w:tc>
          <w:tcPr>
            <w:tcW w:w="960" w:type="dxa"/>
            <w:tcBorders>
              <w:top w:val="nil"/>
              <w:left w:val="nil"/>
              <w:bottom w:val="nil"/>
              <w:right w:val="nil"/>
            </w:tcBorders>
            <w:shd w:val="clear" w:color="000000" w:fill="FFFF00"/>
            <w:noWrap/>
            <w:vAlign w:val="bottom"/>
            <w:hideMark/>
          </w:tcPr>
          <w:p w14:paraId="67722450"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0.701745</w:t>
            </w:r>
          </w:p>
        </w:tc>
      </w:tr>
      <w:tr w:rsidR="00BC0852" w:rsidRPr="00BC0852" w14:paraId="73491119" w14:textId="77777777" w:rsidTr="00BC0852">
        <w:trPr>
          <w:trHeight w:val="300"/>
        </w:trPr>
        <w:tc>
          <w:tcPr>
            <w:tcW w:w="3640" w:type="dxa"/>
            <w:tcBorders>
              <w:top w:val="nil"/>
              <w:left w:val="nil"/>
              <w:bottom w:val="nil"/>
              <w:right w:val="nil"/>
            </w:tcBorders>
            <w:shd w:val="clear" w:color="auto" w:fill="auto"/>
            <w:noWrap/>
            <w:vAlign w:val="bottom"/>
            <w:hideMark/>
          </w:tcPr>
          <w:p w14:paraId="7DEBDD69"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Cash</w:t>
            </w:r>
          </w:p>
        </w:tc>
        <w:tc>
          <w:tcPr>
            <w:tcW w:w="960" w:type="dxa"/>
            <w:tcBorders>
              <w:top w:val="nil"/>
              <w:left w:val="nil"/>
              <w:bottom w:val="nil"/>
              <w:right w:val="nil"/>
            </w:tcBorders>
            <w:shd w:val="clear" w:color="000000" w:fill="00B0F0"/>
            <w:noWrap/>
            <w:vAlign w:val="center"/>
            <w:hideMark/>
          </w:tcPr>
          <w:p w14:paraId="5C9A0E30"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1287</w:t>
            </w:r>
          </w:p>
        </w:tc>
        <w:tc>
          <w:tcPr>
            <w:tcW w:w="960" w:type="dxa"/>
            <w:tcBorders>
              <w:top w:val="nil"/>
              <w:left w:val="nil"/>
              <w:bottom w:val="nil"/>
              <w:right w:val="nil"/>
            </w:tcBorders>
            <w:shd w:val="clear" w:color="auto" w:fill="auto"/>
            <w:noWrap/>
            <w:vAlign w:val="bottom"/>
            <w:hideMark/>
          </w:tcPr>
          <w:p w14:paraId="1D1F29D2" w14:textId="77777777" w:rsidR="00BC0852" w:rsidRPr="00BC0852" w:rsidRDefault="00BC0852" w:rsidP="00BC0852">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4F9423B9"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Debt to equity ratio</w:t>
            </w:r>
          </w:p>
        </w:tc>
        <w:tc>
          <w:tcPr>
            <w:tcW w:w="960" w:type="dxa"/>
            <w:tcBorders>
              <w:top w:val="nil"/>
              <w:left w:val="nil"/>
              <w:bottom w:val="nil"/>
              <w:right w:val="nil"/>
            </w:tcBorders>
            <w:shd w:val="clear" w:color="000000" w:fill="FFFF00"/>
            <w:noWrap/>
            <w:vAlign w:val="bottom"/>
            <w:hideMark/>
          </w:tcPr>
          <w:p w14:paraId="012B4029"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0.104045</w:t>
            </w:r>
          </w:p>
        </w:tc>
      </w:tr>
      <w:tr w:rsidR="00BC0852" w:rsidRPr="00BC0852" w14:paraId="0FA7109C" w14:textId="77777777" w:rsidTr="00BC0852">
        <w:trPr>
          <w:trHeight w:val="300"/>
        </w:trPr>
        <w:tc>
          <w:tcPr>
            <w:tcW w:w="3640" w:type="dxa"/>
            <w:tcBorders>
              <w:top w:val="nil"/>
              <w:left w:val="nil"/>
              <w:bottom w:val="nil"/>
              <w:right w:val="nil"/>
            </w:tcBorders>
            <w:shd w:val="clear" w:color="auto" w:fill="auto"/>
            <w:noWrap/>
            <w:vAlign w:val="bottom"/>
            <w:hideMark/>
          </w:tcPr>
          <w:p w14:paraId="5521F2BA"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Total debt</w:t>
            </w:r>
          </w:p>
        </w:tc>
        <w:tc>
          <w:tcPr>
            <w:tcW w:w="960" w:type="dxa"/>
            <w:tcBorders>
              <w:top w:val="nil"/>
              <w:left w:val="nil"/>
              <w:bottom w:val="nil"/>
              <w:right w:val="nil"/>
            </w:tcBorders>
            <w:shd w:val="clear" w:color="000000" w:fill="00B0F0"/>
            <w:noWrap/>
            <w:vAlign w:val="bottom"/>
            <w:hideMark/>
          </w:tcPr>
          <w:p w14:paraId="1269BEB0"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1834</w:t>
            </w:r>
          </w:p>
        </w:tc>
        <w:tc>
          <w:tcPr>
            <w:tcW w:w="960" w:type="dxa"/>
            <w:tcBorders>
              <w:top w:val="nil"/>
              <w:left w:val="nil"/>
              <w:bottom w:val="nil"/>
              <w:right w:val="nil"/>
            </w:tcBorders>
            <w:shd w:val="clear" w:color="auto" w:fill="auto"/>
            <w:noWrap/>
            <w:vAlign w:val="bottom"/>
            <w:hideMark/>
          </w:tcPr>
          <w:p w14:paraId="7DC515BD" w14:textId="77777777" w:rsidR="00BC0852" w:rsidRPr="00BC0852" w:rsidRDefault="00BC0852" w:rsidP="00BC0852">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bottom"/>
            <w:hideMark/>
          </w:tcPr>
          <w:p w14:paraId="0CDFEF85" w14:textId="77777777" w:rsidR="00BC0852" w:rsidRPr="00BC0852" w:rsidRDefault="00BC0852" w:rsidP="00BC0852">
            <w:pPr>
              <w:spacing w:after="0" w:line="240" w:lineRule="auto"/>
              <w:rPr>
                <w:rFonts w:ascii="Calibri" w:eastAsia="Times New Roman" w:hAnsi="Calibri" w:cs="Calibri"/>
                <w:color w:val="000000"/>
                <w:lang w:eastAsia="en-GB"/>
              </w:rPr>
            </w:pPr>
            <w:r w:rsidRPr="00BC0852">
              <w:rPr>
                <w:rFonts w:ascii="Calibri" w:eastAsia="Times New Roman" w:hAnsi="Calibri" w:cs="Calibri"/>
                <w:color w:val="000000"/>
                <w:lang w:eastAsia="en-GB"/>
              </w:rPr>
              <w:t>Debt to capital ratio</w:t>
            </w:r>
          </w:p>
        </w:tc>
        <w:tc>
          <w:tcPr>
            <w:tcW w:w="960" w:type="dxa"/>
            <w:tcBorders>
              <w:top w:val="nil"/>
              <w:left w:val="nil"/>
              <w:bottom w:val="nil"/>
              <w:right w:val="nil"/>
            </w:tcBorders>
            <w:shd w:val="clear" w:color="000000" w:fill="FFFF00"/>
            <w:noWrap/>
            <w:vAlign w:val="bottom"/>
            <w:hideMark/>
          </w:tcPr>
          <w:p w14:paraId="05F47E89" w14:textId="77777777" w:rsidR="00BC0852" w:rsidRPr="00BC0852" w:rsidRDefault="00BC0852" w:rsidP="00BC0852">
            <w:pPr>
              <w:spacing w:after="0" w:line="240" w:lineRule="auto"/>
              <w:jc w:val="right"/>
              <w:rPr>
                <w:rFonts w:ascii="Calibri" w:eastAsia="Times New Roman" w:hAnsi="Calibri" w:cs="Calibri"/>
                <w:color w:val="000000"/>
                <w:lang w:eastAsia="en-GB"/>
              </w:rPr>
            </w:pPr>
            <w:r w:rsidRPr="00BC0852">
              <w:rPr>
                <w:rFonts w:ascii="Calibri" w:eastAsia="Times New Roman" w:hAnsi="Calibri" w:cs="Calibri"/>
                <w:color w:val="000000"/>
                <w:lang w:eastAsia="en-GB"/>
              </w:rPr>
              <w:t>0.09424</w:t>
            </w:r>
          </w:p>
        </w:tc>
      </w:tr>
    </w:tbl>
    <w:p w14:paraId="6D1D46C7" w14:textId="25EAEA6D" w:rsidR="00924F3D" w:rsidRDefault="00924F3D" w:rsidP="00EB2350">
      <w:pPr>
        <w:jc w:val="both"/>
        <w:rPr>
          <w:rFonts w:ascii="Arial" w:hAnsi="Arial" w:cs="Arial"/>
          <w:b/>
          <w:bCs/>
          <w:u w:val="single"/>
        </w:rPr>
      </w:pPr>
    </w:p>
    <w:p w14:paraId="40301DCE" w14:textId="10F4493F" w:rsidR="00752CFB" w:rsidRDefault="00752CFB" w:rsidP="00EB2350">
      <w:pPr>
        <w:jc w:val="both"/>
        <w:rPr>
          <w:rFonts w:ascii="Arial" w:hAnsi="Arial" w:cs="Arial"/>
          <w:b/>
          <w:bCs/>
          <w:u w:val="single"/>
        </w:rPr>
      </w:pPr>
    </w:p>
    <w:p w14:paraId="06AAAE76" w14:textId="77777777" w:rsidR="00752CFB" w:rsidRDefault="00752CFB" w:rsidP="00EB2350">
      <w:pPr>
        <w:jc w:val="both"/>
        <w:rPr>
          <w:rFonts w:ascii="Arial" w:hAnsi="Arial" w:cs="Arial"/>
          <w:b/>
          <w:bCs/>
          <w:u w:val="single"/>
        </w:rPr>
      </w:pPr>
    </w:p>
    <w:p w14:paraId="52FDADED" w14:textId="77777777" w:rsidR="00924F3D" w:rsidRDefault="00924F3D" w:rsidP="00EB2350">
      <w:pPr>
        <w:jc w:val="both"/>
        <w:rPr>
          <w:rFonts w:ascii="Arial" w:hAnsi="Arial" w:cs="Arial"/>
          <w:b/>
          <w:bCs/>
          <w:u w:val="single"/>
        </w:rPr>
      </w:pPr>
    </w:p>
    <w:p w14:paraId="00A3E1FF" w14:textId="19DF36E7" w:rsidR="009C75C9" w:rsidRDefault="00424D4D" w:rsidP="00C033A9">
      <w:pPr>
        <w:pStyle w:val="Heading2"/>
      </w:pPr>
      <w:bookmarkStart w:id="16" w:name="_Toc72176087"/>
      <w:r>
        <w:t>2020</w:t>
      </w:r>
      <w:bookmarkEnd w:id="16"/>
      <w:r>
        <w:t xml:space="preserve"> </w:t>
      </w:r>
    </w:p>
    <w:p w14:paraId="24CA518B" w14:textId="77833C0E" w:rsidR="002D5249" w:rsidRDefault="004468E2" w:rsidP="00C033A9">
      <w:pPr>
        <w:pStyle w:val="Heading2"/>
      </w:pPr>
      <w:bookmarkStart w:id="17" w:name="_Toc72176088"/>
      <w:r>
        <w:t>Ast</w:t>
      </w:r>
      <w:r w:rsidR="00424D4D">
        <w:t>ra</w:t>
      </w:r>
      <w:r>
        <w:t xml:space="preserve"> Zeneca</w:t>
      </w:r>
      <w:bookmarkEnd w:id="17"/>
    </w:p>
    <w:tbl>
      <w:tblPr>
        <w:tblW w:w="8680" w:type="dxa"/>
        <w:tblLook w:val="04A0" w:firstRow="1" w:lastRow="0" w:firstColumn="1" w:lastColumn="0" w:noHBand="0" w:noVBand="1"/>
      </w:tblPr>
      <w:tblGrid>
        <w:gridCol w:w="3640"/>
        <w:gridCol w:w="960"/>
        <w:gridCol w:w="960"/>
        <w:gridCol w:w="2160"/>
        <w:gridCol w:w="1053"/>
      </w:tblGrid>
      <w:tr w:rsidR="004111C5" w:rsidRPr="004111C5" w14:paraId="755E39E4" w14:textId="77777777" w:rsidTr="004111C5">
        <w:trPr>
          <w:trHeight w:val="300"/>
        </w:trPr>
        <w:tc>
          <w:tcPr>
            <w:tcW w:w="3640" w:type="dxa"/>
            <w:tcBorders>
              <w:top w:val="nil"/>
              <w:left w:val="nil"/>
              <w:bottom w:val="nil"/>
              <w:right w:val="nil"/>
            </w:tcBorders>
            <w:shd w:val="clear" w:color="auto" w:fill="auto"/>
            <w:noWrap/>
            <w:vAlign w:val="center"/>
            <w:hideMark/>
          </w:tcPr>
          <w:p w14:paraId="63729CFB" w14:textId="77777777" w:rsidR="004111C5" w:rsidRPr="004111C5" w:rsidRDefault="004111C5" w:rsidP="004111C5">
            <w:pPr>
              <w:spacing w:after="0" w:line="240" w:lineRule="auto"/>
              <w:rPr>
                <w:rFonts w:ascii="Calibri" w:eastAsia="Times New Roman" w:hAnsi="Calibri" w:cs="Calibri"/>
                <w:color w:val="FF0000"/>
                <w:lang w:eastAsia="en-GB"/>
              </w:rPr>
            </w:pPr>
            <w:r w:rsidRPr="004111C5">
              <w:rPr>
                <w:rFonts w:ascii="Calibri" w:eastAsia="Times New Roman" w:hAnsi="Calibri" w:cs="Calibri"/>
                <w:color w:val="FF0000"/>
                <w:lang w:eastAsia="en-GB"/>
              </w:rPr>
              <w:t>Sales</w:t>
            </w:r>
          </w:p>
        </w:tc>
        <w:tc>
          <w:tcPr>
            <w:tcW w:w="960" w:type="dxa"/>
            <w:tcBorders>
              <w:top w:val="nil"/>
              <w:left w:val="nil"/>
              <w:bottom w:val="nil"/>
              <w:right w:val="nil"/>
            </w:tcBorders>
            <w:shd w:val="clear" w:color="000000" w:fill="00B0F0"/>
            <w:noWrap/>
            <w:vAlign w:val="center"/>
            <w:hideMark/>
          </w:tcPr>
          <w:p w14:paraId="3EFD432B"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25890</w:t>
            </w:r>
          </w:p>
        </w:tc>
        <w:tc>
          <w:tcPr>
            <w:tcW w:w="960" w:type="dxa"/>
            <w:tcBorders>
              <w:top w:val="nil"/>
              <w:left w:val="nil"/>
              <w:bottom w:val="nil"/>
              <w:right w:val="nil"/>
            </w:tcBorders>
            <w:shd w:val="clear" w:color="auto" w:fill="auto"/>
            <w:noWrap/>
            <w:vAlign w:val="bottom"/>
            <w:hideMark/>
          </w:tcPr>
          <w:p w14:paraId="15069760" w14:textId="77777777" w:rsidR="004111C5" w:rsidRPr="004111C5" w:rsidRDefault="004111C5" w:rsidP="004111C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center"/>
            <w:hideMark/>
          </w:tcPr>
          <w:p w14:paraId="38E9EDAE"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Gross profit margin</w:t>
            </w:r>
          </w:p>
        </w:tc>
        <w:tc>
          <w:tcPr>
            <w:tcW w:w="960" w:type="dxa"/>
            <w:tcBorders>
              <w:top w:val="nil"/>
              <w:left w:val="nil"/>
              <w:bottom w:val="nil"/>
              <w:right w:val="nil"/>
            </w:tcBorders>
            <w:shd w:val="clear" w:color="000000" w:fill="FFFF00"/>
            <w:noWrap/>
            <w:vAlign w:val="center"/>
            <w:hideMark/>
          </w:tcPr>
          <w:p w14:paraId="015001B5"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0.823407</w:t>
            </w:r>
          </w:p>
        </w:tc>
      </w:tr>
      <w:tr w:rsidR="004111C5" w:rsidRPr="004111C5" w14:paraId="44B3E820" w14:textId="77777777" w:rsidTr="004111C5">
        <w:trPr>
          <w:trHeight w:val="300"/>
        </w:trPr>
        <w:tc>
          <w:tcPr>
            <w:tcW w:w="3640" w:type="dxa"/>
            <w:tcBorders>
              <w:top w:val="nil"/>
              <w:left w:val="nil"/>
              <w:bottom w:val="nil"/>
              <w:right w:val="nil"/>
            </w:tcBorders>
            <w:shd w:val="clear" w:color="auto" w:fill="auto"/>
            <w:noWrap/>
            <w:vAlign w:val="center"/>
            <w:hideMark/>
          </w:tcPr>
          <w:p w14:paraId="3ADFE86D" w14:textId="77777777" w:rsidR="004111C5" w:rsidRPr="004111C5" w:rsidRDefault="004111C5" w:rsidP="004111C5">
            <w:pPr>
              <w:spacing w:after="0" w:line="240" w:lineRule="auto"/>
              <w:rPr>
                <w:rFonts w:ascii="Calibri" w:eastAsia="Times New Roman" w:hAnsi="Calibri" w:cs="Calibri"/>
                <w:color w:val="FF0000"/>
                <w:lang w:eastAsia="en-GB"/>
              </w:rPr>
            </w:pPr>
            <w:r w:rsidRPr="004111C5">
              <w:rPr>
                <w:rFonts w:ascii="Calibri" w:eastAsia="Times New Roman" w:hAnsi="Calibri" w:cs="Calibri"/>
                <w:color w:val="FF0000"/>
                <w:lang w:eastAsia="en-GB"/>
              </w:rPr>
              <w:t>Gross profit</w:t>
            </w:r>
          </w:p>
        </w:tc>
        <w:tc>
          <w:tcPr>
            <w:tcW w:w="960" w:type="dxa"/>
            <w:tcBorders>
              <w:top w:val="nil"/>
              <w:left w:val="nil"/>
              <w:bottom w:val="nil"/>
              <w:right w:val="nil"/>
            </w:tcBorders>
            <w:shd w:val="clear" w:color="000000" w:fill="00B0F0"/>
            <w:noWrap/>
            <w:vAlign w:val="center"/>
            <w:hideMark/>
          </w:tcPr>
          <w:p w14:paraId="3AE461B5"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21318</w:t>
            </w:r>
          </w:p>
        </w:tc>
        <w:tc>
          <w:tcPr>
            <w:tcW w:w="960" w:type="dxa"/>
            <w:tcBorders>
              <w:top w:val="nil"/>
              <w:left w:val="nil"/>
              <w:bottom w:val="nil"/>
              <w:right w:val="nil"/>
            </w:tcBorders>
            <w:shd w:val="clear" w:color="auto" w:fill="auto"/>
            <w:noWrap/>
            <w:vAlign w:val="bottom"/>
            <w:hideMark/>
          </w:tcPr>
          <w:p w14:paraId="66853ADD" w14:textId="77777777" w:rsidR="004111C5" w:rsidRPr="004111C5" w:rsidRDefault="004111C5" w:rsidP="004111C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center"/>
            <w:hideMark/>
          </w:tcPr>
          <w:p w14:paraId="20300F85"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Operating profit margin</w:t>
            </w:r>
          </w:p>
        </w:tc>
        <w:tc>
          <w:tcPr>
            <w:tcW w:w="960" w:type="dxa"/>
            <w:tcBorders>
              <w:top w:val="nil"/>
              <w:left w:val="nil"/>
              <w:bottom w:val="nil"/>
              <w:right w:val="nil"/>
            </w:tcBorders>
            <w:shd w:val="clear" w:color="000000" w:fill="FFFF00"/>
            <w:noWrap/>
            <w:vAlign w:val="center"/>
            <w:hideMark/>
          </w:tcPr>
          <w:p w14:paraId="6ED035FC"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0.199382</w:t>
            </w:r>
          </w:p>
        </w:tc>
      </w:tr>
      <w:tr w:rsidR="004111C5" w:rsidRPr="004111C5" w14:paraId="2AB970CB" w14:textId="77777777" w:rsidTr="004111C5">
        <w:trPr>
          <w:trHeight w:val="300"/>
        </w:trPr>
        <w:tc>
          <w:tcPr>
            <w:tcW w:w="3640" w:type="dxa"/>
            <w:tcBorders>
              <w:top w:val="nil"/>
              <w:left w:val="nil"/>
              <w:bottom w:val="nil"/>
              <w:right w:val="nil"/>
            </w:tcBorders>
            <w:shd w:val="clear" w:color="auto" w:fill="auto"/>
            <w:noWrap/>
            <w:vAlign w:val="center"/>
            <w:hideMark/>
          </w:tcPr>
          <w:p w14:paraId="44DCFCE6" w14:textId="77777777" w:rsidR="004111C5" w:rsidRPr="004111C5" w:rsidRDefault="004111C5" w:rsidP="004111C5">
            <w:pPr>
              <w:spacing w:after="0" w:line="240" w:lineRule="auto"/>
              <w:rPr>
                <w:rFonts w:ascii="Calibri" w:eastAsia="Times New Roman" w:hAnsi="Calibri" w:cs="Calibri"/>
                <w:color w:val="FF0000"/>
                <w:lang w:eastAsia="en-GB"/>
              </w:rPr>
            </w:pPr>
            <w:r w:rsidRPr="004111C5">
              <w:rPr>
                <w:rFonts w:ascii="Calibri" w:eastAsia="Times New Roman" w:hAnsi="Calibri" w:cs="Calibri"/>
                <w:color w:val="FF0000"/>
                <w:lang w:eastAsia="en-GB"/>
              </w:rPr>
              <w:t>Operating profit</w:t>
            </w:r>
          </w:p>
        </w:tc>
        <w:tc>
          <w:tcPr>
            <w:tcW w:w="960" w:type="dxa"/>
            <w:tcBorders>
              <w:top w:val="nil"/>
              <w:left w:val="nil"/>
              <w:bottom w:val="nil"/>
              <w:right w:val="nil"/>
            </w:tcBorders>
            <w:shd w:val="clear" w:color="000000" w:fill="00B0F0"/>
            <w:noWrap/>
            <w:vAlign w:val="center"/>
            <w:hideMark/>
          </w:tcPr>
          <w:p w14:paraId="6CDEE542"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5162</w:t>
            </w:r>
          </w:p>
        </w:tc>
        <w:tc>
          <w:tcPr>
            <w:tcW w:w="960" w:type="dxa"/>
            <w:tcBorders>
              <w:top w:val="nil"/>
              <w:left w:val="nil"/>
              <w:bottom w:val="nil"/>
              <w:right w:val="nil"/>
            </w:tcBorders>
            <w:shd w:val="clear" w:color="auto" w:fill="auto"/>
            <w:noWrap/>
            <w:vAlign w:val="bottom"/>
            <w:hideMark/>
          </w:tcPr>
          <w:p w14:paraId="3E0E0FC9" w14:textId="77777777" w:rsidR="004111C5" w:rsidRPr="004111C5" w:rsidRDefault="004111C5" w:rsidP="004111C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center"/>
            <w:hideMark/>
          </w:tcPr>
          <w:p w14:paraId="3C8060C5"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Net profit margin</w:t>
            </w:r>
          </w:p>
        </w:tc>
        <w:tc>
          <w:tcPr>
            <w:tcW w:w="960" w:type="dxa"/>
            <w:tcBorders>
              <w:top w:val="nil"/>
              <w:left w:val="nil"/>
              <w:bottom w:val="nil"/>
              <w:right w:val="nil"/>
            </w:tcBorders>
            <w:shd w:val="clear" w:color="000000" w:fill="FFFF00"/>
            <w:noWrap/>
            <w:vAlign w:val="center"/>
            <w:hideMark/>
          </w:tcPr>
          <w:p w14:paraId="240D3BBC"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0.121437</w:t>
            </w:r>
          </w:p>
        </w:tc>
      </w:tr>
      <w:tr w:rsidR="004111C5" w:rsidRPr="004111C5" w14:paraId="639A3F93" w14:textId="77777777" w:rsidTr="004111C5">
        <w:trPr>
          <w:trHeight w:val="300"/>
        </w:trPr>
        <w:tc>
          <w:tcPr>
            <w:tcW w:w="3640" w:type="dxa"/>
            <w:tcBorders>
              <w:top w:val="nil"/>
              <w:left w:val="nil"/>
              <w:bottom w:val="nil"/>
              <w:right w:val="nil"/>
            </w:tcBorders>
            <w:shd w:val="clear" w:color="auto" w:fill="auto"/>
            <w:noWrap/>
            <w:vAlign w:val="center"/>
            <w:hideMark/>
          </w:tcPr>
          <w:p w14:paraId="2728D8E4" w14:textId="77777777" w:rsidR="004111C5" w:rsidRPr="004111C5" w:rsidRDefault="004111C5" w:rsidP="004111C5">
            <w:pPr>
              <w:spacing w:after="0" w:line="240" w:lineRule="auto"/>
              <w:rPr>
                <w:rFonts w:ascii="Calibri" w:eastAsia="Times New Roman" w:hAnsi="Calibri" w:cs="Calibri"/>
                <w:color w:val="FF0000"/>
                <w:lang w:eastAsia="en-GB"/>
              </w:rPr>
            </w:pPr>
            <w:r w:rsidRPr="004111C5">
              <w:rPr>
                <w:rFonts w:ascii="Calibri" w:eastAsia="Times New Roman" w:hAnsi="Calibri" w:cs="Calibri"/>
                <w:color w:val="FF0000"/>
                <w:lang w:eastAsia="en-GB"/>
              </w:rPr>
              <w:t>Net profit (net income, earnings)</w:t>
            </w:r>
          </w:p>
        </w:tc>
        <w:tc>
          <w:tcPr>
            <w:tcW w:w="960" w:type="dxa"/>
            <w:tcBorders>
              <w:top w:val="nil"/>
              <w:left w:val="nil"/>
              <w:bottom w:val="nil"/>
              <w:right w:val="nil"/>
            </w:tcBorders>
            <w:shd w:val="clear" w:color="000000" w:fill="00B0F0"/>
            <w:noWrap/>
            <w:vAlign w:val="center"/>
            <w:hideMark/>
          </w:tcPr>
          <w:p w14:paraId="65155EB2"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3144</w:t>
            </w:r>
          </w:p>
        </w:tc>
        <w:tc>
          <w:tcPr>
            <w:tcW w:w="960" w:type="dxa"/>
            <w:tcBorders>
              <w:top w:val="nil"/>
              <w:left w:val="nil"/>
              <w:bottom w:val="nil"/>
              <w:right w:val="nil"/>
            </w:tcBorders>
            <w:shd w:val="clear" w:color="auto" w:fill="auto"/>
            <w:noWrap/>
            <w:vAlign w:val="bottom"/>
            <w:hideMark/>
          </w:tcPr>
          <w:p w14:paraId="7FDEB185" w14:textId="77777777" w:rsidR="004111C5" w:rsidRPr="004111C5" w:rsidRDefault="004111C5" w:rsidP="004111C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center"/>
            <w:hideMark/>
          </w:tcPr>
          <w:p w14:paraId="1D4D39DF"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Fixed asset turnover</w:t>
            </w:r>
          </w:p>
        </w:tc>
        <w:tc>
          <w:tcPr>
            <w:tcW w:w="960" w:type="dxa"/>
            <w:tcBorders>
              <w:top w:val="nil"/>
              <w:left w:val="nil"/>
              <w:bottom w:val="nil"/>
              <w:right w:val="nil"/>
            </w:tcBorders>
            <w:shd w:val="clear" w:color="000000" w:fill="FFFF00"/>
            <w:noWrap/>
            <w:vAlign w:val="center"/>
            <w:hideMark/>
          </w:tcPr>
          <w:p w14:paraId="36B1F1E9"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3.137801</w:t>
            </w:r>
          </w:p>
        </w:tc>
      </w:tr>
      <w:tr w:rsidR="004111C5" w:rsidRPr="004111C5" w14:paraId="05265872" w14:textId="77777777" w:rsidTr="004111C5">
        <w:trPr>
          <w:trHeight w:val="300"/>
        </w:trPr>
        <w:tc>
          <w:tcPr>
            <w:tcW w:w="3640" w:type="dxa"/>
            <w:tcBorders>
              <w:top w:val="nil"/>
              <w:left w:val="nil"/>
              <w:bottom w:val="nil"/>
              <w:right w:val="nil"/>
            </w:tcBorders>
            <w:shd w:val="clear" w:color="auto" w:fill="auto"/>
            <w:noWrap/>
            <w:vAlign w:val="center"/>
            <w:hideMark/>
          </w:tcPr>
          <w:p w14:paraId="2F85D2A1"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Fixed asset (property, plant, equipment)</w:t>
            </w:r>
          </w:p>
        </w:tc>
        <w:tc>
          <w:tcPr>
            <w:tcW w:w="960" w:type="dxa"/>
            <w:tcBorders>
              <w:top w:val="nil"/>
              <w:left w:val="nil"/>
              <w:bottom w:val="nil"/>
              <w:right w:val="nil"/>
            </w:tcBorders>
            <w:shd w:val="clear" w:color="000000" w:fill="00B0F0"/>
            <w:noWrap/>
            <w:vAlign w:val="center"/>
            <w:hideMark/>
          </w:tcPr>
          <w:p w14:paraId="3BEE375E"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8251</w:t>
            </w:r>
          </w:p>
        </w:tc>
        <w:tc>
          <w:tcPr>
            <w:tcW w:w="960" w:type="dxa"/>
            <w:tcBorders>
              <w:top w:val="nil"/>
              <w:left w:val="nil"/>
              <w:bottom w:val="nil"/>
              <w:right w:val="nil"/>
            </w:tcBorders>
            <w:shd w:val="clear" w:color="auto" w:fill="auto"/>
            <w:noWrap/>
            <w:vAlign w:val="bottom"/>
            <w:hideMark/>
          </w:tcPr>
          <w:p w14:paraId="3CCED290" w14:textId="77777777" w:rsidR="004111C5" w:rsidRPr="004111C5" w:rsidRDefault="004111C5" w:rsidP="004111C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center"/>
            <w:hideMark/>
          </w:tcPr>
          <w:p w14:paraId="6570A7BE"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Total asset turnover</w:t>
            </w:r>
          </w:p>
        </w:tc>
        <w:tc>
          <w:tcPr>
            <w:tcW w:w="960" w:type="dxa"/>
            <w:tcBorders>
              <w:top w:val="nil"/>
              <w:left w:val="nil"/>
              <w:bottom w:val="nil"/>
              <w:right w:val="nil"/>
            </w:tcBorders>
            <w:shd w:val="clear" w:color="000000" w:fill="FFFF00"/>
            <w:noWrap/>
            <w:vAlign w:val="center"/>
            <w:hideMark/>
          </w:tcPr>
          <w:p w14:paraId="2DDFFE2A"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0.387987</w:t>
            </w:r>
          </w:p>
        </w:tc>
      </w:tr>
      <w:tr w:rsidR="004111C5" w:rsidRPr="004111C5" w14:paraId="3C65E73A" w14:textId="77777777" w:rsidTr="004111C5">
        <w:trPr>
          <w:trHeight w:val="300"/>
        </w:trPr>
        <w:tc>
          <w:tcPr>
            <w:tcW w:w="3640" w:type="dxa"/>
            <w:tcBorders>
              <w:top w:val="nil"/>
              <w:left w:val="nil"/>
              <w:bottom w:val="nil"/>
              <w:right w:val="nil"/>
            </w:tcBorders>
            <w:shd w:val="clear" w:color="auto" w:fill="auto"/>
            <w:noWrap/>
            <w:vAlign w:val="center"/>
            <w:hideMark/>
          </w:tcPr>
          <w:p w14:paraId="2B1BAFF5"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 xml:space="preserve">Total asset </w:t>
            </w:r>
          </w:p>
        </w:tc>
        <w:tc>
          <w:tcPr>
            <w:tcW w:w="960" w:type="dxa"/>
            <w:tcBorders>
              <w:top w:val="nil"/>
              <w:left w:val="nil"/>
              <w:bottom w:val="nil"/>
              <w:right w:val="nil"/>
            </w:tcBorders>
            <w:shd w:val="clear" w:color="000000" w:fill="00B0F0"/>
            <w:noWrap/>
            <w:vAlign w:val="center"/>
            <w:hideMark/>
          </w:tcPr>
          <w:p w14:paraId="603A19BA"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38578</w:t>
            </w:r>
          </w:p>
        </w:tc>
        <w:tc>
          <w:tcPr>
            <w:tcW w:w="960" w:type="dxa"/>
            <w:tcBorders>
              <w:top w:val="nil"/>
              <w:left w:val="nil"/>
              <w:bottom w:val="nil"/>
              <w:right w:val="nil"/>
            </w:tcBorders>
            <w:shd w:val="clear" w:color="auto" w:fill="auto"/>
            <w:noWrap/>
            <w:vAlign w:val="bottom"/>
            <w:hideMark/>
          </w:tcPr>
          <w:p w14:paraId="2FF9D89A" w14:textId="77777777" w:rsidR="004111C5" w:rsidRPr="004111C5" w:rsidRDefault="004111C5" w:rsidP="004111C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center"/>
            <w:hideMark/>
          </w:tcPr>
          <w:p w14:paraId="1EF7523B" w14:textId="77777777" w:rsidR="004111C5" w:rsidRPr="004111C5" w:rsidRDefault="004111C5" w:rsidP="004111C5">
            <w:pPr>
              <w:spacing w:after="0" w:line="240" w:lineRule="auto"/>
              <w:rPr>
                <w:rFonts w:ascii="Calibri" w:eastAsia="Times New Roman" w:hAnsi="Calibri" w:cs="Calibri"/>
                <w:color w:val="00B050"/>
                <w:lang w:eastAsia="en-GB"/>
              </w:rPr>
            </w:pPr>
            <w:r w:rsidRPr="004111C5">
              <w:rPr>
                <w:rFonts w:ascii="Calibri" w:eastAsia="Times New Roman" w:hAnsi="Calibri" w:cs="Calibri"/>
                <w:color w:val="00B050"/>
                <w:lang w:eastAsia="en-GB"/>
              </w:rPr>
              <w:t>Return on asset</w:t>
            </w:r>
          </w:p>
        </w:tc>
        <w:tc>
          <w:tcPr>
            <w:tcW w:w="960" w:type="dxa"/>
            <w:tcBorders>
              <w:top w:val="nil"/>
              <w:left w:val="nil"/>
              <w:bottom w:val="nil"/>
              <w:right w:val="nil"/>
            </w:tcBorders>
            <w:shd w:val="clear" w:color="000000" w:fill="FFFF00"/>
            <w:noWrap/>
            <w:vAlign w:val="center"/>
            <w:hideMark/>
          </w:tcPr>
          <w:p w14:paraId="111A6373"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0.047116</w:t>
            </w:r>
          </w:p>
        </w:tc>
      </w:tr>
      <w:tr w:rsidR="004111C5" w:rsidRPr="004111C5" w14:paraId="08AE169B" w14:textId="77777777" w:rsidTr="004111C5">
        <w:trPr>
          <w:trHeight w:val="300"/>
        </w:trPr>
        <w:tc>
          <w:tcPr>
            <w:tcW w:w="3640" w:type="dxa"/>
            <w:tcBorders>
              <w:top w:val="nil"/>
              <w:left w:val="nil"/>
              <w:bottom w:val="nil"/>
              <w:right w:val="nil"/>
            </w:tcBorders>
            <w:shd w:val="clear" w:color="auto" w:fill="auto"/>
            <w:noWrap/>
            <w:vAlign w:val="center"/>
            <w:hideMark/>
          </w:tcPr>
          <w:p w14:paraId="2C647B9B"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Total equity</w:t>
            </w:r>
          </w:p>
        </w:tc>
        <w:tc>
          <w:tcPr>
            <w:tcW w:w="960" w:type="dxa"/>
            <w:tcBorders>
              <w:top w:val="nil"/>
              <w:left w:val="nil"/>
              <w:bottom w:val="nil"/>
              <w:right w:val="nil"/>
            </w:tcBorders>
            <w:shd w:val="clear" w:color="000000" w:fill="00B0F0"/>
            <w:noWrap/>
            <w:vAlign w:val="center"/>
            <w:hideMark/>
          </w:tcPr>
          <w:p w14:paraId="25E6B37D"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15638</w:t>
            </w:r>
          </w:p>
        </w:tc>
        <w:tc>
          <w:tcPr>
            <w:tcW w:w="960" w:type="dxa"/>
            <w:tcBorders>
              <w:top w:val="nil"/>
              <w:left w:val="nil"/>
              <w:bottom w:val="nil"/>
              <w:right w:val="nil"/>
            </w:tcBorders>
            <w:shd w:val="clear" w:color="auto" w:fill="auto"/>
            <w:noWrap/>
            <w:vAlign w:val="bottom"/>
            <w:hideMark/>
          </w:tcPr>
          <w:p w14:paraId="1E809582" w14:textId="77777777" w:rsidR="004111C5" w:rsidRPr="004111C5" w:rsidRDefault="004111C5" w:rsidP="004111C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center"/>
            <w:hideMark/>
          </w:tcPr>
          <w:p w14:paraId="45F46090" w14:textId="77777777" w:rsidR="004111C5" w:rsidRPr="004111C5" w:rsidRDefault="004111C5" w:rsidP="004111C5">
            <w:pPr>
              <w:spacing w:after="0" w:line="240" w:lineRule="auto"/>
              <w:rPr>
                <w:rFonts w:ascii="Calibri" w:eastAsia="Times New Roman" w:hAnsi="Calibri" w:cs="Calibri"/>
                <w:color w:val="00B050"/>
                <w:lang w:eastAsia="en-GB"/>
              </w:rPr>
            </w:pPr>
            <w:r w:rsidRPr="004111C5">
              <w:rPr>
                <w:rFonts w:ascii="Calibri" w:eastAsia="Times New Roman" w:hAnsi="Calibri" w:cs="Calibri"/>
                <w:color w:val="00B050"/>
                <w:lang w:eastAsia="en-GB"/>
              </w:rPr>
              <w:t>Return on equity</w:t>
            </w:r>
          </w:p>
        </w:tc>
        <w:tc>
          <w:tcPr>
            <w:tcW w:w="960" w:type="dxa"/>
            <w:tcBorders>
              <w:top w:val="nil"/>
              <w:left w:val="nil"/>
              <w:bottom w:val="nil"/>
              <w:right w:val="nil"/>
            </w:tcBorders>
            <w:shd w:val="clear" w:color="000000" w:fill="FFFF00"/>
            <w:noWrap/>
            <w:vAlign w:val="center"/>
            <w:hideMark/>
          </w:tcPr>
          <w:p w14:paraId="4B2940F7"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0.201049</w:t>
            </w:r>
          </w:p>
        </w:tc>
      </w:tr>
      <w:tr w:rsidR="004111C5" w:rsidRPr="004111C5" w14:paraId="7B2ABD23" w14:textId="77777777" w:rsidTr="004111C5">
        <w:trPr>
          <w:trHeight w:val="300"/>
        </w:trPr>
        <w:tc>
          <w:tcPr>
            <w:tcW w:w="3640" w:type="dxa"/>
            <w:tcBorders>
              <w:top w:val="nil"/>
              <w:left w:val="nil"/>
              <w:bottom w:val="nil"/>
              <w:right w:val="nil"/>
            </w:tcBorders>
            <w:shd w:val="clear" w:color="auto" w:fill="auto"/>
            <w:noWrap/>
            <w:vAlign w:val="center"/>
            <w:hideMark/>
          </w:tcPr>
          <w:p w14:paraId="19A5E7BE"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Total current liability</w:t>
            </w:r>
          </w:p>
        </w:tc>
        <w:tc>
          <w:tcPr>
            <w:tcW w:w="960" w:type="dxa"/>
            <w:tcBorders>
              <w:top w:val="nil"/>
              <w:left w:val="nil"/>
              <w:bottom w:val="nil"/>
              <w:right w:val="nil"/>
            </w:tcBorders>
            <w:shd w:val="clear" w:color="000000" w:fill="00B0F0"/>
            <w:noWrap/>
            <w:vAlign w:val="center"/>
            <w:hideMark/>
          </w:tcPr>
          <w:p w14:paraId="0CB816AE"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51091</w:t>
            </w:r>
          </w:p>
        </w:tc>
        <w:tc>
          <w:tcPr>
            <w:tcW w:w="960" w:type="dxa"/>
            <w:tcBorders>
              <w:top w:val="nil"/>
              <w:left w:val="nil"/>
              <w:bottom w:val="nil"/>
              <w:right w:val="nil"/>
            </w:tcBorders>
            <w:shd w:val="clear" w:color="auto" w:fill="auto"/>
            <w:noWrap/>
            <w:vAlign w:val="bottom"/>
            <w:hideMark/>
          </w:tcPr>
          <w:p w14:paraId="0D4ABC99" w14:textId="77777777" w:rsidR="004111C5" w:rsidRPr="004111C5" w:rsidRDefault="004111C5" w:rsidP="004111C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center"/>
            <w:hideMark/>
          </w:tcPr>
          <w:p w14:paraId="0731F395"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Current ratio</w:t>
            </w:r>
          </w:p>
        </w:tc>
        <w:tc>
          <w:tcPr>
            <w:tcW w:w="960" w:type="dxa"/>
            <w:tcBorders>
              <w:top w:val="nil"/>
              <w:left w:val="nil"/>
              <w:bottom w:val="nil"/>
              <w:right w:val="nil"/>
            </w:tcBorders>
            <w:shd w:val="clear" w:color="000000" w:fill="FFFF00"/>
            <w:noWrap/>
            <w:vAlign w:val="center"/>
            <w:hideMark/>
          </w:tcPr>
          <w:p w14:paraId="225A3EDF"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1.306081</w:t>
            </w:r>
          </w:p>
        </w:tc>
      </w:tr>
      <w:tr w:rsidR="004111C5" w:rsidRPr="004111C5" w14:paraId="1DDF72A4" w14:textId="77777777" w:rsidTr="004111C5">
        <w:trPr>
          <w:trHeight w:val="300"/>
        </w:trPr>
        <w:tc>
          <w:tcPr>
            <w:tcW w:w="3640" w:type="dxa"/>
            <w:tcBorders>
              <w:top w:val="nil"/>
              <w:left w:val="nil"/>
              <w:bottom w:val="nil"/>
              <w:right w:val="nil"/>
            </w:tcBorders>
            <w:shd w:val="clear" w:color="auto" w:fill="auto"/>
            <w:noWrap/>
            <w:vAlign w:val="center"/>
            <w:hideMark/>
          </w:tcPr>
          <w:p w14:paraId="31A6D689"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Total current asset</w:t>
            </w:r>
          </w:p>
        </w:tc>
        <w:tc>
          <w:tcPr>
            <w:tcW w:w="960" w:type="dxa"/>
            <w:tcBorders>
              <w:top w:val="nil"/>
              <w:left w:val="nil"/>
              <w:bottom w:val="nil"/>
              <w:right w:val="nil"/>
            </w:tcBorders>
            <w:shd w:val="clear" w:color="000000" w:fill="00B0F0"/>
            <w:noWrap/>
            <w:vAlign w:val="center"/>
            <w:hideMark/>
          </w:tcPr>
          <w:p w14:paraId="6881121F"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66729</w:t>
            </w:r>
          </w:p>
        </w:tc>
        <w:tc>
          <w:tcPr>
            <w:tcW w:w="960" w:type="dxa"/>
            <w:tcBorders>
              <w:top w:val="nil"/>
              <w:left w:val="nil"/>
              <w:bottom w:val="nil"/>
              <w:right w:val="nil"/>
            </w:tcBorders>
            <w:shd w:val="clear" w:color="auto" w:fill="auto"/>
            <w:noWrap/>
            <w:vAlign w:val="bottom"/>
            <w:hideMark/>
          </w:tcPr>
          <w:p w14:paraId="3AA10C9F" w14:textId="77777777" w:rsidR="004111C5" w:rsidRPr="004111C5" w:rsidRDefault="004111C5" w:rsidP="004111C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center"/>
            <w:hideMark/>
          </w:tcPr>
          <w:p w14:paraId="4F6E160A"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Quick ratio</w:t>
            </w:r>
          </w:p>
        </w:tc>
        <w:tc>
          <w:tcPr>
            <w:tcW w:w="960" w:type="dxa"/>
            <w:tcBorders>
              <w:top w:val="nil"/>
              <w:left w:val="nil"/>
              <w:bottom w:val="nil"/>
              <w:right w:val="nil"/>
            </w:tcBorders>
            <w:shd w:val="clear" w:color="000000" w:fill="FFFF00"/>
            <w:noWrap/>
            <w:vAlign w:val="center"/>
            <w:hideMark/>
          </w:tcPr>
          <w:p w14:paraId="4D505526"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1.22732</w:t>
            </w:r>
          </w:p>
        </w:tc>
      </w:tr>
      <w:tr w:rsidR="004111C5" w:rsidRPr="004111C5" w14:paraId="031FC0B8" w14:textId="77777777" w:rsidTr="004111C5">
        <w:trPr>
          <w:trHeight w:val="300"/>
        </w:trPr>
        <w:tc>
          <w:tcPr>
            <w:tcW w:w="3640" w:type="dxa"/>
            <w:tcBorders>
              <w:top w:val="nil"/>
              <w:left w:val="nil"/>
              <w:bottom w:val="nil"/>
              <w:right w:val="nil"/>
            </w:tcBorders>
            <w:shd w:val="clear" w:color="auto" w:fill="auto"/>
            <w:noWrap/>
            <w:vAlign w:val="center"/>
            <w:hideMark/>
          </w:tcPr>
          <w:p w14:paraId="203DBD45"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Inventory</w:t>
            </w:r>
          </w:p>
        </w:tc>
        <w:tc>
          <w:tcPr>
            <w:tcW w:w="960" w:type="dxa"/>
            <w:tcBorders>
              <w:top w:val="nil"/>
              <w:left w:val="nil"/>
              <w:bottom w:val="nil"/>
              <w:right w:val="nil"/>
            </w:tcBorders>
            <w:shd w:val="clear" w:color="000000" w:fill="00B0F0"/>
            <w:noWrap/>
            <w:vAlign w:val="center"/>
            <w:hideMark/>
          </w:tcPr>
          <w:p w14:paraId="7B92C2AD"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4024</w:t>
            </w:r>
          </w:p>
        </w:tc>
        <w:tc>
          <w:tcPr>
            <w:tcW w:w="960" w:type="dxa"/>
            <w:tcBorders>
              <w:top w:val="nil"/>
              <w:left w:val="nil"/>
              <w:bottom w:val="nil"/>
              <w:right w:val="nil"/>
            </w:tcBorders>
            <w:shd w:val="clear" w:color="auto" w:fill="auto"/>
            <w:noWrap/>
            <w:vAlign w:val="bottom"/>
            <w:hideMark/>
          </w:tcPr>
          <w:p w14:paraId="4843530B" w14:textId="77777777" w:rsidR="004111C5" w:rsidRPr="004111C5" w:rsidRDefault="004111C5" w:rsidP="004111C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center"/>
            <w:hideMark/>
          </w:tcPr>
          <w:p w14:paraId="59D5B1EC"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Cash ratio</w:t>
            </w:r>
          </w:p>
        </w:tc>
        <w:tc>
          <w:tcPr>
            <w:tcW w:w="960" w:type="dxa"/>
            <w:tcBorders>
              <w:top w:val="nil"/>
              <w:left w:val="nil"/>
              <w:bottom w:val="nil"/>
              <w:right w:val="nil"/>
            </w:tcBorders>
            <w:shd w:val="clear" w:color="000000" w:fill="FFFF00"/>
            <w:noWrap/>
            <w:vAlign w:val="center"/>
            <w:hideMark/>
          </w:tcPr>
          <w:p w14:paraId="76179E45"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0.153295</w:t>
            </w:r>
          </w:p>
        </w:tc>
      </w:tr>
      <w:tr w:rsidR="004111C5" w:rsidRPr="004111C5" w14:paraId="72849C43" w14:textId="77777777" w:rsidTr="004111C5">
        <w:trPr>
          <w:trHeight w:val="300"/>
        </w:trPr>
        <w:tc>
          <w:tcPr>
            <w:tcW w:w="3640" w:type="dxa"/>
            <w:tcBorders>
              <w:top w:val="nil"/>
              <w:left w:val="nil"/>
              <w:bottom w:val="nil"/>
              <w:right w:val="nil"/>
            </w:tcBorders>
            <w:shd w:val="clear" w:color="auto" w:fill="auto"/>
            <w:noWrap/>
            <w:vAlign w:val="center"/>
            <w:hideMark/>
          </w:tcPr>
          <w:p w14:paraId="74310BDC"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Cash</w:t>
            </w:r>
          </w:p>
        </w:tc>
        <w:tc>
          <w:tcPr>
            <w:tcW w:w="960" w:type="dxa"/>
            <w:tcBorders>
              <w:top w:val="nil"/>
              <w:left w:val="nil"/>
              <w:bottom w:val="nil"/>
              <w:right w:val="nil"/>
            </w:tcBorders>
            <w:shd w:val="clear" w:color="000000" w:fill="00B0F0"/>
            <w:noWrap/>
            <w:vAlign w:val="center"/>
            <w:hideMark/>
          </w:tcPr>
          <w:p w14:paraId="18A0FFE5"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7832</w:t>
            </w:r>
          </w:p>
        </w:tc>
        <w:tc>
          <w:tcPr>
            <w:tcW w:w="960" w:type="dxa"/>
            <w:tcBorders>
              <w:top w:val="nil"/>
              <w:left w:val="nil"/>
              <w:bottom w:val="nil"/>
              <w:right w:val="nil"/>
            </w:tcBorders>
            <w:shd w:val="clear" w:color="auto" w:fill="auto"/>
            <w:noWrap/>
            <w:vAlign w:val="bottom"/>
            <w:hideMark/>
          </w:tcPr>
          <w:p w14:paraId="7385C03E" w14:textId="77777777" w:rsidR="004111C5" w:rsidRPr="004111C5" w:rsidRDefault="004111C5" w:rsidP="004111C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center"/>
            <w:hideMark/>
          </w:tcPr>
          <w:p w14:paraId="6D2CF25F"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Debt to equity ratio</w:t>
            </w:r>
          </w:p>
        </w:tc>
        <w:tc>
          <w:tcPr>
            <w:tcW w:w="960" w:type="dxa"/>
            <w:tcBorders>
              <w:top w:val="nil"/>
              <w:left w:val="nil"/>
              <w:bottom w:val="nil"/>
              <w:right w:val="nil"/>
            </w:tcBorders>
            <w:shd w:val="clear" w:color="000000" w:fill="FFFF00"/>
            <w:noWrap/>
            <w:vAlign w:val="center"/>
            <w:hideMark/>
          </w:tcPr>
          <w:p w14:paraId="705B1D6C"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0.071684</w:t>
            </w:r>
          </w:p>
        </w:tc>
      </w:tr>
      <w:tr w:rsidR="004111C5" w:rsidRPr="004111C5" w14:paraId="4B60EB62" w14:textId="77777777" w:rsidTr="004111C5">
        <w:trPr>
          <w:trHeight w:val="300"/>
        </w:trPr>
        <w:tc>
          <w:tcPr>
            <w:tcW w:w="3640" w:type="dxa"/>
            <w:tcBorders>
              <w:top w:val="nil"/>
              <w:left w:val="nil"/>
              <w:bottom w:val="nil"/>
              <w:right w:val="nil"/>
            </w:tcBorders>
            <w:shd w:val="clear" w:color="auto" w:fill="auto"/>
            <w:noWrap/>
            <w:vAlign w:val="center"/>
            <w:hideMark/>
          </w:tcPr>
          <w:p w14:paraId="646BA30F"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Total debt</w:t>
            </w:r>
          </w:p>
        </w:tc>
        <w:tc>
          <w:tcPr>
            <w:tcW w:w="960" w:type="dxa"/>
            <w:tcBorders>
              <w:top w:val="nil"/>
              <w:left w:val="nil"/>
              <w:bottom w:val="nil"/>
              <w:right w:val="nil"/>
            </w:tcBorders>
            <w:shd w:val="clear" w:color="000000" w:fill="00B0F0"/>
            <w:noWrap/>
            <w:vAlign w:val="center"/>
            <w:hideMark/>
          </w:tcPr>
          <w:p w14:paraId="105B65DF"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1121</w:t>
            </w:r>
          </w:p>
        </w:tc>
        <w:tc>
          <w:tcPr>
            <w:tcW w:w="960" w:type="dxa"/>
            <w:tcBorders>
              <w:top w:val="nil"/>
              <w:left w:val="nil"/>
              <w:bottom w:val="nil"/>
              <w:right w:val="nil"/>
            </w:tcBorders>
            <w:shd w:val="clear" w:color="auto" w:fill="auto"/>
            <w:noWrap/>
            <w:vAlign w:val="bottom"/>
            <w:hideMark/>
          </w:tcPr>
          <w:p w14:paraId="1D5FD350" w14:textId="77777777" w:rsidR="004111C5" w:rsidRPr="004111C5" w:rsidRDefault="004111C5" w:rsidP="004111C5">
            <w:pPr>
              <w:spacing w:after="0" w:line="240" w:lineRule="auto"/>
              <w:jc w:val="right"/>
              <w:rPr>
                <w:rFonts w:ascii="Calibri" w:eastAsia="Times New Roman" w:hAnsi="Calibri" w:cs="Calibri"/>
                <w:color w:val="000000"/>
                <w:lang w:eastAsia="en-GB"/>
              </w:rPr>
            </w:pPr>
          </w:p>
        </w:tc>
        <w:tc>
          <w:tcPr>
            <w:tcW w:w="2160" w:type="dxa"/>
            <w:tcBorders>
              <w:top w:val="nil"/>
              <w:left w:val="nil"/>
              <w:bottom w:val="nil"/>
              <w:right w:val="nil"/>
            </w:tcBorders>
            <w:shd w:val="clear" w:color="auto" w:fill="auto"/>
            <w:noWrap/>
            <w:vAlign w:val="center"/>
            <w:hideMark/>
          </w:tcPr>
          <w:p w14:paraId="003A597E" w14:textId="77777777" w:rsidR="004111C5" w:rsidRPr="004111C5" w:rsidRDefault="004111C5" w:rsidP="004111C5">
            <w:pPr>
              <w:spacing w:after="0" w:line="240" w:lineRule="auto"/>
              <w:rPr>
                <w:rFonts w:ascii="Calibri" w:eastAsia="Times New Roman" w:hAnsi="Calibri" w:cs="Calibri"/>
                <w:color w:val="000000"/>
                <w:lang w:eastAsia="en-GB"/>
              </w:rPr>
            </w:pPr>
            <w:r w:rsidRPr="004111C5">
              <w:rPr>
                <w:rFonts w:ascii="Calibri" w:eastAsia="Times New Roman" w:hAnsi="Calibri" w:cs="Calibri"/>
                <w:color w:val="000000"/>
                <w:lang w:eastAsia="en-GB"/>
              </w:rPr>
              <w:t>Debt to capital ratio</w:t>
            </w:r>
          </w:p>
        </w:tc>
        <w:tc>
          <w:tcPr>
            <w:tcW w:w="960" w:type="dxa"/>
            <w:tcBorders>
              <w:top w:val="nil"/>
              <w:left w:val="nil"/>
              <w:bottom w:val="nil"/>
              <w:right w:val="nil"/>
            </w:tcBorders>
            <w:shd w:val="clear" w:color="000000" w:fill="FFFF00"/>
            <w:noWrap/>
            <w:vAlign w:val="center"/>
            <w:hideMark/>
          </w:tcPr>
          <w:p w14:paraId="5987D771" w14:textId="77777777" w:rsidR="004111C5" w:rsidRPr="004111C5" w:rsidRDefault="004111C5" w:rsidP="004111C5">
            <w:pPr>
              <w:spacing w:after="0" w:line="240" w:lineRule="auto"/>
              <w:jc w:val="right"/>
              <w:rPr>
                <w:rFonts w:ascii="Calibri" w:eastAsia="Times New Roman" w:hAnsi="Calibri" w:cs="Calibri"/>
                <w:color w:val="000000"/>
                <w:lang w:eastAsia="en-GB"/>
              </w:rPr>
            </w:pPr>
            <w:r w:rsidRPr="004111C5">
              <w:rPr>
                <w:rFonts w:ascii="Calibri" w:eastAsia="Times New Roman" w:hAnsi="Calibri" w:cs="Calibri"/>
                <w:color w:val="000000"/>
                <w:lang w:eastAsia="en-GB"/>
              </w:rPr>
              <w:t>0.066889</w:t>
            </w:r>
          </w:p>
        </w:tc>
      </w:tr>
    </w:tbl>
    <w:p w14:paraId="737F7FD1" w14:textId="77777777" w:rsidR="00C7255C" w:rsidRDefault="00C7255C" w:rsidP="00C033A9">
      <w:pPr>
        <w:pStyle w:val="Heading1"/>
      </w:pPr>
    </w:p>
    <w:p w14:paraId="17370210" w14:textId="30421DD7" w:rsidR="00EB2350" w:rsidRPr="00774CE7" w:rsidRDefault="00EB2350" w:rsidP="00C033A9">
      <w:pPr>
        <w:pStyle w:val="Heading1"/>
      </w:pPr>
      <w:bookmarkStart w:id="18" w:name="_Toc72176089"/>
      <w:r>
        <w:t>Calculation of Key Financial Ratios</w:t>
      </w:r>
      <w:bookmarkEnd w:id="18"/>
    </w:p>
    <w:p w14:paraId="5061143C" w14:textId="58A45A82" w:rsidR="00E4331F" w:rsidRPr="00653D0A" w:rsidRDefault="00E4331F" w:rsidP="00C033A9">
      <w:pPr>
        <w:pStyle w:val="Heading2"/>
      </w:pPr>
      <w:bookmarkStart w:id="19" w:name="_Toc72176090"/>
      <w:r w:rsidRPr="00653D0A">
        <w:t>Profitability Ratios:</w:t>
      </w:r>
      <w:bookmarkEnd w:id="19"/>
    </w:p>
    <w:p w14:paraId="375232B7" w14:textId="272B761D" w:rsidR="00E4331F" w:rsidRDefault="00E4331F" w:rsidP="00E4331F">
      <w:pPr>
        <w:jc w:val="both"/>
        <w:rPr>
          <w:rFonts w:ascii="Arial" w:hAnsi="Arial" w:cs="Arial"/>
        </w:rPr>
      </w:pPr>
      <w:r w:rsidRPr="00150929">
        <w:rPr>
          <w:rFonts w:ascii="Arial" w:hAnsi="Arial" w:cs="Arial"/>
        </w:rPr>
        <w:t>According to Hussain, et al., (2020</w:t>
      </w:r>
      <w:r w:rsidRPr="00EA403B">
        <w:rPr>
          <w:rFonts w:ascii="Arial" w:hAnsi="Arial" w:cs="Arial"/>
        </w:rPr>
        <w:t>)</w:t>
      </w:r>
      <w:r>
        <w:rPr>
          <w:rFonts w:ascii="Arial" w:hAnsi="Arial" w:cs="Arial"/>
        </w:rPr>
        <w:t xml:space="preserve"> Profitability Ratio is a system that </w:t>
      </w:r>
      <w:proofErr w:type="gramStart"/>
      <w:r>
        <w:rPr>
          <w:rFonts w:ascii="Arial" w:hAnsi="Arial" w:cs="Arial"/>
        </w:rPr>
        <w:t>is applied</w:t>
      </w:r>
      <w:proofErr w:type="gramEnd"/>
      <w:r>
        <w:rPr>
          <w:rFonts w:ascii="Arial" w:hAnsi="Arial" w:cs="Arial"/>
        </w:rPr>
        <w:t xml:space="preserve"> when measuring an organisation whilst receiving profits, in addition with a percentage. Profitability </w:t>
      </w:r>
      <w:r>
        <w:rPr>
          <w:rFonts w:ascii="Arial" w:hAnsi="Arial" w:cs="Arial"/>
        </w:rPr>
        <w:lastRenderedPageBreak/>
        <w:t xml:space="preserve">ratios maybe applied to adopt two measurement procedures that are, sales and investment procedures. The measurement procedures that are more extensively applied are by analysts are Return on Asset (ROA) also Return on Equity (ROE). Therefore, an </w:t>
      </w:r>
      <w:proofErr w:type="gramStart"/>
      <w:r>
        <w:rPr>
          <w:rFonts w:ascii="Arial" w:hAnsi="Arial" w:cs="Arial"/>
        </w:rPr>
        <w:t>organisation which</w:t>
      </w:r>
      <w:proofErr w:type="gramEnd"/>
      <w:r>
        <w:rPr>
          <w:rFonts w:ascii="Arial" w:hAnsi="Arial" w:cs="Arial"/>
        </w:rPr>
        <w:t xml:space="preserve"> displays the best profitability ratio, will boost the confidence of an investor to make choices. For the investor that builds portfolios with a long-term view in </w:t>
      </w:r>
      <w:proofErr w:type="gramStart"/>
      <w:r>
        <w:rPr>
          <w:rFonts w:ascii="Arial" w:hAnsi="Arial" w:cs="Arial"/>
        </w:rPr>
        <w:t>mind,</w:t>
      </w:r>
      <w:proofErr w:type="gramEnd"/>
      <w:r>
        <w:rPr>
          <w:rFonts w:ascii="Arial" w:hAnsi="Arial" w:cs="Arial"/>
        </w:rPr>
        <w:t xml:space="preserve"> will normally have a keen eye on profitability analysis, e.g., a shareholder will take-into-account, price-to-book value (PBV) that demonstrates market possibilities to build an organisations value for a financial sum invested. In addition, the analysis measures an organisations profitability ratio, by measuring Return on Asset (ROA) which constitutes organisational income with an additional formular: </w:t>
      </w:r>
      <w:r w:rsidRPr="00F60333">
        <w:rPr>
          <w:rFonts w:ascii="Arial" w:hAnsi="Arial" w:cs="Arial"/>
          <w:i/>
          <w:iCs/>
        </w:rPr>
        <w:t>ROA = NetIncome Total Assets</w:t>
      </w:r>
      <w:r>
        <w:rPr>
          <w:rFonts w:ascii="Arial" w:hAnsi="Arial" w:cs="Arial"/>
        </w:rPr>
        <w:t xml:space="preserve"> Zutter 2015, p.51; Brigham and Houston, 2016). </w:t>
      </w:r>
    </w:p>
    <w:p w14:paraId="7C77A0CF" w14:textId="77777777" w:rsidR="0071248D" w:rsidRDefault="0071248D" w:rsidP="00E4331F">
      <w:pPr>
        <w:jc w:val="both"/>
        <w:rPr>
          <w:rFonts w:ascii="Arial" w:hAnsi="Arial" w:cs="Arial"/>
          <w:b/>
          <w:bCs/>
          <w:u w:val="single"/>
        </w:rPr>
      </w:pPr>
    </w:p>
    <w:p w14:paraId="5E07FD2D" w14:textId="7F1C51B6" w:rsidR="00E4331F" w:rsidRPr="007A32C7" w:rsidRDefault="00E4331F" w:rsidP="00C033A9">
      <w:pPr>
        <w:pStyle w:val="Heading2"/>
      </w:pPr>
      <w:bookmarkStart w:id="20" w:name="_Toc72176091"/>
      <w:r w:rsidRPr="007A32C7">
        <w:t>Dividends:</w:t>
      </w:r>
      <w:bookmarkEnd w:id="20"/>
      <w:r w:rsidRPr="007A32C7">
        <w:t xml:space="preserve"> </w:t>
      </w:r>
    </w:p>
    <w:p w14:paraId="73889C3C" w14:textId="2477C8B0" w:rsidR="00E4331F" w:rsidRPr="0031640B" w:rsidRDefault="00E4331F" w:rsidP="00E4331F">
      <w:pPr>
        <w:jc w:val="both"/>
        <w:rPr>
          <w:rFonts w:ascii="Arial" w:hAnsi="Arial" w:cs="Arial"/>
        </w:rPr>
      </w:pPr>
      <w:r>
        <w:rPr>
          <w:rFonts w:ascii="Arial" w:hAnsi="Arial" w:cs="Arial"/>
        </w:rPr>
        <w:t xml:space="preserve">According to The Statement of Financial Accounting Standards (SFAC) Number 23, dividends are allocations of yield to shareholders in accordance with their percentage, and asset class. Organisations net income has an effect on revenue. Therefore, retained revenue if shared out amongst shareholders, the retained revenue this has a reduction in distribution value (IAI, 2013). Yield earnings for all investors are an assumption that an organisations value is high. Alternatively, the progression of yield distribution from an organisation is anticipated to add to the local economy, and </w:t>
      </w:r>
      <w:proofErr w:type="gramStart"/>
      <w:r>
        <w:rPr>
          <w:rFonts w:ascii="Arial" w:hAnsi="Arial" w:cs="Arial"/>
        </w:rPr>
        <w:t>likewise</w:t>
      </w:r>
      <w:r w:rsidR="00841196">
        <w:rPr>
          <w:rFonts w:ascii="Arial" w:hAnsi="Arial" w:cs="Arial"/>
        </w:rPr>
        <w:t>, also</w:t>
      </w:r>
      <w:proofErr w:type="gramEnd"/>
      <w:r>
        <w:rPr>
          <w:rFonts w:ascii="Arial" w:hAnsi="Arial" w:cs="Arial"/>
        </w:rPr>
        <w:t xml:space="preserve"> furnish shareholders </w:t>
      </w:r>
      <w:r w:rsidR="00C7255C">
        <w:rPr>
          <w:rFonts w:ascii="Arial" w:hAnsi="Arial" w:cs="Arial"/>
        </w:rPr>
        <w:t>as well</w:t>
      </w:r>
      <w:r>
        <w:rPr>
          <w:rFonts w:ascii="Arial" w:hAnsi="Arial" w:cs="Arial"/>
        </w:rPr>
        <w:t xml:space="preserve">. </w:t>
      </w:r>
      <w:proofErr w:type="gramStart"/>
      <w:r>
        <w:rPr>
          <w:rFonts w:ascii="Arial" w:hAnsi="Arial" w:cs="Arial"/>
        </w:rPr>
        <w:t>Theories which even if not necessarily manifest or obvious yield polic</w:t>
      </w:r>
      <w:r w:rsidR="00AC5816">
        <w:rPr>
          <w:rFonts w:ascii="Arial" w:hAnsi="Arial" w:cs="Arial"/>
        </w:rPr>
        <w:t>i</w:t>
      </w:r>
      <w:r w:rsidR="00ED4339">
        <w:rPr>
          <w:rFonts w:ascii="Arial" w:hAnsi="Arial" w:cs="Arial"/>
        </w:rPr>
        <w:t>es</w:t>
      </w:r>
      <w:r>
        <w:rPr>
          <w:rFonts w:ascii="Arial" w:hAnsi="Arial" w:cs="Arial"/>
        </w:rPr>
        <w:t xml:space="preserve"> are: 1. Yield policy that is unimportant, concerning yield payout ratios that decides organisations stock figures will not impact profit-making resolutions that is put-together, even though, it will be shared-out, or kept earnings, whilst the organisations value is decided by the financial profits of the organisations assets to the capital’s cost; 2. This assists investors and managers alike with equal opportunities (Sartono, 2014, p.281).</w:t>
      </w:r>
      <w:proofErr w:type="gramEnd"/>
      <w:r>
        <w:rPr>
          <w:rFonts w:ascii="Arial" w:hAnsi="Arial" w:cs="Arial"/>
        </w:rPr>
        <w:t xml:space="preserve"> </w:t>
      </w:r>
      <w:proofErr w:type="gramStart"/>
      <w:r>
        <w:rPr>
          <w:rFonts w:ascii="Arial" w:hAnsi="Arial" w:cs="Arial"/>
        </w:rPr>
        <w:t>and</w:t>
      </w:r>
      <w:proofErr w:type="gramEnd"/>
      <w:r>
        <w:rPr>
          <w:rFonts w:ascii="Arial" w:hAnsi="Arial" w:cs="Arial"/>
        </w:rPr>
        <w:t xml:space="preserve"> 3. BirdIn-The Hand Theory. Which is a theory that expresses, “a bird in the hand will be more valuable than a thousand birds that fly in the air”</w:t>
      </w:r>
      <w:r w:rsidR="00B6264F">
        <w:rPr>
          <w:rFonts w:ascii="Arial" w:hAnsi="Arial" w:cs="Arial"/>
        </w:rPr>
        <w:t xml:space="preserve"> </w:t>
      </w:r>
      <w:r>
        <w:rPr>
          <w:rFonts w:ascii="Arial" w:hAnsi="Arial" w:cs="Arial"/>
        </w:rPr>
        <w:t xml:space="preserve">which simply means, investors mathematically are happy to accept current yields, or to accept capital gains hereafter. In addition, the </w:t>
      </w:r>
      <w:proofErr w:type="gramStart"/>
      <w:r>
        <w:rPr>
          <w:rFonts w:ascii="Arial" w:hAnsi="Arial" w:cs="Arial"/>
        </w:rPr>
        <w:t>better priced</w:t>
      </w:r>
      <w:proofErr w:type="gramEnd"/>
      <w:r>
        <w:rPr>
          <w:rFonts w:ascii="Arial" w:hAnsi="Arial" w:cs="Arial"/>
        </w:rPr>
        <w:t xml:space="preserve"> stock market fee is, the shared-out yield will rise </w:t>
      </w:r>
      <w:r w:rsidR="00D41782">
        <w:rPr>
          <w:rFonts w:ascii="Arial" w:hAnsi="Arial" w:cs="Arial"/>
        </w:rPr>
        <w:t>vice</w:t>
      </w:r>
      <w:r>
        <w:rPr>
          <w:rFonts w:ascii="Arial" w:hAnsi="Arial" w:cs="Arial"/>
        </w:rPr>
        <w:t xml:space="preserve"> versa (Sartono, 2014, p. 280</w:t>
      </w:r>
      <w:r w:rsidR="000F5C8D" w:rsidRPr="000F5C8D">
        <w:rPr>
          <w:rFonts w:ascii="Arial" w:hAnsi="Arial" w:cs="Arial"/>
        </w:rPr>
        <w:t>)</w:t>
      </w:r>
      <w:r w:rsidR="004957DC">
        <w:rPr>
          <w:rFonts w:ascii="Arial" w:hAnsi="Arial" w:cs="Arial"/>
        </w:rPr>
        <w:t>.</w:t>
      </w:r>
      <w:r>
        <w:rPr>
          <w:rFonts w:ascii="Arial" w:hAnsi="Arial" w:cs="Arial"/>
        </w:rPr>
        <w:t xml:space="preserve"> This analysis measures the yield policy, by applying the measurement Yield Payout Ratio (DPR) that constitutes the standard of profit obtained by shareholders on investment results DPR’s mathematical formular is</w:t>
      </w:r>
      <w:r w:rsidRPr="00EA0F18">
        <w:rPr>
          <w:rFonts w:ascii="Arial" w:hAnsi="Arial" w:cs="Arial"/>
          <w:i/>
          <w:iCs/>
        </w:rPr>
        <w:t>: DPR = DividendperShare Earnngs per Share × 100%</w:t>
      </w:r>
      <w:r>
        <w:rPr>
          <w:rFonts w:ascii="Arial" w:hAnsi="Arial" w:cs="Arial"/>
        </w:rPr>
        <w:t xml:space="preserve"> </w:t>
      </w:r>
      <w:r w:rsidRPr="0031640B">
        <w:rPr>
          <w:rFonts w:ascii="Arial" w:hAnsi="Arial" w:cs="Arial"/>
        </w:rPr>
        <w:t xml:space="preserve">(Kaur, Sunanda and Bhalla, 2019).   </w:t>
      </w:r>
    </w:p>
    <w:p w14:paraId="5ADE916C" w14:textId="77777777" w:rsidR="00E4331F" w:rsidRPr="003564C2" w:rsidRDefault="00E4331F" w:rsidP="00E4331F">
      <w:pPr>
        <w:jc w:val="both"/>
      </w:pPr>
      <w:r w:rsidRPr="00BD1918">
        <w:rPr>
          <w:rFonts w:ascii="Arial" w:hAnsi="Arial" w:cs="Arial"/>
        </w:rPr>
        <w:t>According to Hussain, et al., (2020)</w:t>
      </w:r>
      <w:r>
        <w:rPr>
          <w:rFonts w:ascii="Arial" w:hAnsi="Arial" w:cs="Arial"/>
        </w:rPr>
        <w:t xml:space="preserve"> an organisations value price is quite significant to an investor, for indicator purposes this is utilised to evaluate the organisation in its entirety. Furthermore, the organisations value </w:t>
      </w:r>
      <w:proofErr w:type="gramStart"/>
      <w:r>
        <w:rPr>
          <w:rFonts w:ascii="Arial" w:hAnsi="Arial" w:cs="Arial"/>
        </w:rPr>
        <w:t>is governed</w:t>
      </w:r>
      <w:proofErr w:type="gramEnd"/>
      <w:r>
        <w:rPr>
          <w:rFonts w:ascii="Arial" w:hAnsi="Arial" w:cs="Arial"/>
        </w:rPr>
        <w:t xml:space="preserve"> by a selection of ratio analysis procedures, which are structured on market value, price-to-book value (PBVR), price per earnings ratio (PER), market book ratio (MBR), dividend yield ratio, and dividend payout ratio (Brigham and Houston, 2015, p. 150). In addition, the ratio also represents external data to gauge whether the market </w:t>
      </w:r>
      <w:proofErr w:type="gramStart"/>
      <w:r>
        <w:rPr>
          <w:rFonts w:ascii="Arial" w:hAnsi="Arial" w:cs="Arial"/>
        </w:rPr>
        <w:t>is shared</w:t>
      </w:r>
      <w:proofErr w:type="gramEnd"/>
      <w:r>
        <w:rPr>
          <w:rFonts w:ascii="Arial" w:hAnsi="Arial" w:cs="Arial"/>
        </w:rPr>
        <w:t xml:space="preserve">, alongside if individuals hold an interest in purchasing shares at a premium price now, or their earlier previous price valuation. The price-to-book value will hold investors focus for shareholders, with an eye to accumulate more profitability (Mudjijah, Khalid, and Astuti, 2019). This analysis measures the value of the organisation structured on the measures of Price-to-Book Value (PBV) which reflects market value, / book value of an organisations equity applying the mathematical formular: </w:t>
      </w:r>
      <w:r w:rsidRPr="00A22513">
        <w:rPr>
          <w:rFonts w:ascii="Arial" w:hAnsi="Arial" w:cs="Arial"/>
          <w:i/>
          <w:iCs/>
        </w:rPr>
        <w:t xml:space="preserve">PBV = MarketPriceperShare Value per Share </w:t>
      </w:r>
      <w:r>
        <w:rPr>
          <w:rFonts w:ascii="Arial" w:hAnsi="Arial" w:cs="Arial"/>
        </w:rPr>
        <w:t>(Ross, Westerfield, Jaffe, and Jordan, 2016).</w:t>
      </w:r>
    </w:p>
    <w:p w14:paraId="6CF18350" w14:textId="77777777" w:rsidR="00E355FC" w:rsidRDefault="00E355FC" w:rsidP="00E4331F">
      <w:pPr>
        <w:jc w:val="both"/>
        <w:rPr>
          <w:rFonts w:ascii="Arial" w:hAnsi="Arial" w:cs="Arial"/>
          <w:b/>
          <w:bCs/>
          <w:u w:val="single"/>
        </w:rPr>
      </w:pPr>
    </w:p>
    <w:p w14:paraId="1B431DBC" w14:textId="77777777" w:rsidR="00D80119" w:rsidRDefault="00D80119" w:rsidP="00E4331F">
      <w:pPr>
        <w:jc w:val="both"/>
        <w:rPr>
          <w:rFonts w:ascii="Arial" w:hAnsi="Arial" w:cs="Arial"/>
          <w:b/>
          <w:bCs/>
          <w:u w:val="single"/>
        </w:rPr>
      </w:pPr>
    </w:p>
    <w:p w14:paraId="1DF53A9C" w14:textId="112032A2" w:rsidR="00E4331F" w:rsidRDefault="00E4331F" w:rsidP="00DF5F97">
      <w:pPr>
        <w:pStyle w:val="Heading2"/>
      </w:pPr>
      <w:bookmarkStart w:id="21" w:name="_Toc72176092"/>
      <w:r>
        <w:lastRenderedPageBreak/>
        <w:t>Profitability Ratios and Dividend Policy:</w:t>
      </w:r>
      <w:bookmarkEnd w:id="21"/>
    </w:p>
    <w:p w14:paraId="0745AEB7" w14:textId="225AC77B" w:rsidR="00483D91" w:rsidRDefault="00E4331F" w:rsidP="00F16685">
      <w:pPr>
        <w:jc w:val="both"/>
        <w:rPr>
          <w:rFonts w:ascii="Arial" w:hAnsi="Arial" w:cs="Arial"/>
        </w:rPr>
      </w:pPr>
      <w:r w:rsidRPr="00B63DA3">
        <w:rPr>
          <w:rFonts w:ascii="Arial" w:hAnsi="Arial" w:cs="Arial"/>
        </w:rPr>
        <w:t xml:space="preserve">According to Hussain, et al., (2020) Profitability is seen as </w:t>
      </w:r>
      <w:r w:rsidR="00F0154A">
        <w:rPr>
          <w:rFonts w:ascii="Arial" w:hAnsi="Arial" w:cs="Arial"/>
        </w:rPr>
        <w:t xml:space="preserve">a </w:t>
      </w:r>
      <w:r w:rsidRPr="00B63DA3">
        <w:rPr>
          <w:rFonts w:ascii="Arial" w:hAnsi="Arial" w:cs="Arial"/>
        </w:rPr>
        <w:t>measure for identifying profits as a</w:t>
      </w:r>
      <w:r>
        <w:rPr>
          <w:rFonts w:ascii="Arial" w:hAnsi="Arial" w:cs="Arial"/>
        </w:rPr>
        <w:t xml:space="preserve"> benchmark for evaluation </w:t>
      </w:r>
      <w:proofErr w:type="gramStart"/>
      <w:r>
        <w:rPr>
          <w:rFonts w:ascii="Arial" w:hAnsi="Arial" w:cs="Arial"/>
        </w:rPr>
        <w:t>of an organisations undertakings</w:t>
      </w:r>
      <w:proofErr w:type="gramEnd"/>
      <w:r>
        <w:rPr>
          <w:rFonts w:ascii="Arial" w:hAnsi="Arial" w:cs="Arial"/>
        </w:rPr>
        <w:t xml:space="preserve"> for a specific period. Furthermore, this size of the income indicates to investors, shareholders and others into dividing the dividends into greater quantities. Furthermore, th</w:t>
      </w:r>
      <w:r w:rsidR="00AE02C2">
        <w:rPr>
          <w:rFonts w:ascii="Arial" w:hAnsi="Arial" w:cs="Arial"/>
        </w:rPr>
        <w:t>es</w:t>
      </w:r>
      <w:r w:rsidR="00AD5E55">
        <w:rPr>
          <w:rFonts w:ascii="Arial" w:hAnsi="Arial" w:cs="Arial"/>
        </w:rPr>
        <w:t>e</w:t>
      </w:r>
      <w:r>
        <w:rPr>
          <w:rFonts w:ascii="Arial" w:hAnsi="Arial" w:cs="Arial"/>
        </w:rPr>
        <w:t xml:space="preserve"> types of profitability ratios, which organisations apply with ROA proxy involves increased profitability Hussain, Sarwani, Sundari and Lisdawati 17 Published by Research and Innovation initiative, 3112 Jarvis Ave, Warren, MI 48091, USA H1 H2 scale pay a growing portion of income, which is in cash yields. Preceding analysis has expressed, there is no connection between profitability and yield policy amongst ROA proxies. </w:t>
      </w:r>
      <w:proofErr w:type="gramStart"/>
      <w:r>
        <w:rPr>
          <w:rFonts w:ascii="Arial" w:hAnsi="Arial" w:cs="Arial"/>
        </w:rPr>
        <w:t>But</w:t>
      </w:r>
      <w:proofErr w:type="gramEnd"/>
      <w:r>
        <w:rPr>
          <w:rFonts w:ascii="Arial" w:hAnsi="Arial" w:cs="Arial"/>
        </w:rPr>
        <w:t xml:space="preserve"> there has been numerous analysis that has recorded positive influence for Return on Assets for yield policy (Elinda and Sukirman, 2015; Ingrit, Siregar and Syarifuddin, 2017; Akbar and Fahmi, 2020) the ROE proxies for financial ratios (Ismawati, 2017)</w:t>
      </w:r>
      <w:r w:rsidR="00C7255C">
        <w:rPr>
          <w:rFonts w:ascii="Arial" w:hAnsi="Arial" w:cs="Arial"/>
        </w:rPr>
        <w:t>.</w:t>
      </w:r>
    </w:p>
    <w:p w14:paraId="0A4B126D" w14:textId="4DC5AAF6" w:rsidR="00DA0B99" w:rsidRDefault="00DA0B99" w:rsidP="00F16685">
      <w:pPr>
        <w:jc w:val="both"/>
        <w:rPr>
          <w:rFonts w:ascii="Arial" w:hAnsi="Arial" w:cs="Arial"/>
        </w:rPr>
      </w:pPr>
    </w:p>
    <w:p w14:paraId="41608AF0" w14:textId="784E8AF9" w:rsidR="00B7045E" w:rsidRPr="002E2E5C" w:rsidRDefault="00406D5D" w:rsidP="00DF5F97">
      <w:pPr>
        <w:pStyle w:val="Heading2"/>
      </w:pPr>
      <w:bookmarkStart w:id="22" w:name="_Toc72176093"/>
      <w:r>
        <w:t>P</w:t>
      </w:r>
      <w:r w:rsidRPr="002E2E5C">
        <w:t>rofitability</w:t>
      </w:r>
      <w:r w:rsidR="00B7045E" w:rsidRPr="002E2E5C">
        <w:t xml:space="preserve"> Ratio</w:t>
      </w:r>
      <w:r w:rsidR="005467DC" w:rsidRPr="002E2E5C">
        <w:t xml:space="preserve"> of GSK </w:t>
      </w:r>
      <w:r w:rsidR="002E2E5C" w:rsidRPr="002E2E5C">
        <w:t>and</w:t>
      </w:r>
      <w:r w:rsidR="005467DC" w:rsidRPr="002E2E5C">
        <w:t xml:space="preserve"> their rivals </w:t>
      </w:r>
      <w:r w:rsidR="00C6239B" w:rsidRPr="002E2E5C">
        <w:t>below:</w:t>
      </w:r>
      <w:bookmarkEnd w:id="22"/>
    </w:p>
    <w:tbl>
      <w:tblPr>
        <w:tblW w:w="17773" w:type="dxa"/>
        <w:tblLook w:val="04A0" w:firstRow="1" w:lastRow="0" w:firstColumn="1" w:lastColumn="0" w:noHBand="0" w:noVBand="1"/>
      </w:tblPr>
      <w:tblGrid>
        <w:gridCol w:w="9873"/>
        <w:gridCol w:w="880"/>
        <w:gridCol w:w="960"/>
        <w:gridCol w:w="960"/>
        <w:gridCol w:w="1000"/>
        <w:gridCol w:w="960"/>
        <w:gridCol w:w="940"/>
        <w:gridCol w:w="960"/>
        <w:gridCol w:w="1240"/>
      </w:tblGrid>
      <w:tr w:rsidR="00DA0B99" w:rsidRPr="00DA0B99" w14:paraId="2BF95E73" w14:textId="77777777" w:rsidTr="00894F2A">
        <w:trPr>
          <w:trHeight w:val="300"/>
        </w:trPr>
        <w:tc>
          <w:tcPr>
            <w:tcW w:w="9873" w:type="dxa"/>
            <w:tcBorders>
              <w:top w:val="nil"/>
              <w:left w:val="nil"/>
              <w:bottom w:val="nil"/>
              <w:right w:val="nil"/>
            </w:tcBorders>
            <w:shd w:val="clear" w:color="auto" w:fill="auto"/>
            <w:noWrap/>
            <w:vAlign w:val="bottom"/>
          </w:tcPr>
          <w:tbl>
            <w:tblPr>
              <w:tblW w:w="8860" w:type="dxa"/>
              <w:tblLook w:val="04A0" w:firstRow="1" w:lastRow="0" w:firstColumn="1" w:lastColumn="0" w:noHBand="0" w:noVBand="1"/>
            </w:tblPr>
            <w:tblGrid>
              <w:gridCol w:w="997"/>
              <w:gridCol w:w="880"/>
              <w:gridCol w:w="960"/>
              <w:gridCol w:w="960"/>
              <w:gridCol w:w="1000"/>
              <w:gridCol w:w="960"/>
              <w:gridCol w:w="940"/>
              <w:gridCol w:w="960"/>
              <w:gridCol w:w="1346"/>
            </w:tblGrid>
            <w:tr w:rsidR="006C06C0" w:rsidRPr="006C06C0" w14:paraId="532A529B" w14:textId="77777777" w:rsidTr="006C06C0">
              <w:trPr>
                <w:trHeight w:val="300"/>
              </w:trPr>
              <w:tc>
                <w:tcPr>
                  <w:tcW w:w="960" w:type="dxa"/>
                  <w:tcBorders>
                    <w:top w:val="nil"/>
                    <w:left w:val="nil"/>
                    <w:bottom w:val="nil"/>
                    <w:right w:val="nil"/>
                  </w:tcBorders>
                  <w:shd w:val="clear" w:color="auto" w:fill="auto"/>
                  <w:noWrap/>
                  <w:vAlign w:val="bottom"/>
                  <w:hideMark/>
                </w:tcPr>
                <w:p w14:paraId="07627585" w14:textId="77777777" w:rsidR="006C06C0" w:rsidRPr="006C06C0" w:rsidRDefault="006C06C0" w:rsidP="006C06C0">
                  <w:pPr>
                    <w:spacing w:after="0" w:line="240" w:lineRule="auto"/>
                    <w:rPr>
                      <w:rFonts w:ascii="Calibri" w:eastAsia="Times New Roman" w:hAnsi="Calibri" w:cs="Calibri"/>
                      <w:b/>
                      <w:bCs/>
                      <w:color w:val="000000"/>
                      <w:lang w:eastAsia="en-GB"/>
                    </w:rPr>
                  </w:pPr>
                  <w:r w:rsidRPr="006C06C0">
                    <w:rPr>
                      <w:rFonts w:ascii="Calibri" w:eastAsia="Times New Roman" w:hAnsi="Calibri" w:cs="Calibri"/>
                      <w:b/>
                      <w:bCs/>
                      <w:color w:val="000000"/>
                      <w:lang w:eastAsia="en-GB"/>
                    </w:rPr>
                    <w:t>GSK</w:t>
                  </w:r>
                </w:p>
              </w:tc>
              <w:tc>
                <w:tcPr>
                  <w:tcW w:w="880" w:type="dxa"/>
                  <w:tcBorders>
                    <w:top w:val="nil"/>
                    <w:left w:val="nil"/>
                    <w:bottom w:val="nil"/>
                    <w:right w:val="nil"/>
                  </w:tcBorders>
                  <w:shd w:val="clear" w:color="auto" w:fill="auto"/>
                  <w:noWrap/>
                  <w:vAlign w:val="bottom"/>
                  <w:hideMark/>
                </w:tcPr>
                <w:p w14:paraId="674333CC" w14:textId="77777777" w:rsidR="006C06C0" w:rsidRPr="006C06C0" w:rsidRDefault="006C06C0" w:rsidP="006C06C0">
                  <w:pPr>
                    <w:spacing w:after="0" w:line="240" w:lineRule="auto"/>
                    <w:jc w:val="right"/>
                    <w:rPr>
                      <w:rFonts w:ascii="Calibri" w:eastAsia="Times New Roman" w:hAnsi="Calibri" w:cs="Calibri"/>
                      <w:b/>
                      <w:bCs/>
                      <w:color w:val="000000"/>
                      <w:lang w:eastAsia="en-GB"/>
                    </w:rPr>
                  </w:pPr>
                  <w:r w:rsidRPr="006C06C0">
                    <w:rPr>
                      <w:rFonts w:ascii="Calibri" w:eastAsia="Times New Roman" w:hAnsi="Calibri" w:cs="Calibri"/>
                      <w:b/>
                      <w:bCs/>
                      <w:color w:val="000000"/>
                      <w:lang w:eastAsia="en-GB"/>
                    </w:rPr>
                    <w:t>2016</w:t>
                  </w:r>
                </w:p>
              </w:tc>
              <w:tc>
                <w:tcPr>
                  <w:tcW w:w="960" w:type="dxa"/>
                  <w:tcBorders>
                    <w:top w:val="nil"/>
                    <w:left w:val="nil"/>
                    <w:bottom w:val="nil"/>
                    <w:right w:val="nil"/>
                  </w:tcBorders>
                  <w:shd w:val="clear" w:color="auto" w:fill="auto"/>
                  <w:noWrap/>
                  <w:vAlign w:val="bottom"/>
                  <w:hideMark/>
                </w:tcPr>
                <w:p w14:paraId="18271A10" w14:textId="77777777" w:rsidR="006C06C0" w:rsidRPr="006C06C0" w:rsidRDefault="006C06C0" w:rsidP="006C06C0">
                  <w:pPr>
                    <w:spacing w:after="0" w:line="240" w:lineRule="auto"/>
                    <w:jc w:val="right"/>
                    <w:rPr>
                      <w:rFonts w:ascii="Calibri" w:eastAsia="Times New Roman" w:hAnsi="Calibri" w:cs="Calibri"/>
                      <w:b/>
                      <w:bCs/>
                      <w:color w:val="000000"/>
                      <w:lang w:eastAsia="en-GB"/>
                    </w:rPr>
                  </w:pPr>
                  <w:r w:rsidRPr="006C06C0">
                    <w:rPr>
                      <w:rFonts w:ascii="Calibri" w:eastAsia="Times New Roman" w:hAnsi="Calibri" w:cs="Calibri"/>
                      <w:b/>
                      <w:bCs/>
                      <w:color w:val="000000"/>
                      <w:lang w:eastAsia="en-GB"/>
                    </w:rPr>
                    <w:t>2017</w:t>
                  </w:r>
                </w:p>
              </w:tc>
              <w:tc>
                <w:tcPr>
                  <w:tcW w:w="960" w:type="dxa"/>
                  <w:tcBorders>
                    <w:top w:val="nil"/>
                    <w:left w:val="nil"/>
                    <w:bottom w:val="nil"/>
                    <w:right w:val="nil"/>
                  </w:tcBorders>
                  <w:shd w:val="clear" w:color="auto" w:fill="auto"/>
                  <w:noWrap/>
                  <w:vAlign w:val="bottom"/>
                  <w:hideMark/>
                </w:tcPr>
                <w:p w14:paraId="2F1FA271" w14:textId="77777777" w:rsidR="006C06C0" w:rsidRPr="006C06C0" w:rsidRDefault="006C06C0" w:rsidP="006C06C0">
                  <w:pPr>
                    <w:spacing w:after="0" w:line="240" w:lineRule="auto"/>
                    <w:jc w:val="right"/>
                    <w:rPr>
                      <w:rFonts w:ascii="Calibri" w:eastAsia="Times New Roman" w:hAnsi="Calibri" w:cs="Calibri"/>
                      <w:b/>
                      <w:bCs/>
                      <w:color w:val="000000"/>
                      <w:lang w:eastAsia="en-GB"/>
                    </w:rPr>
                  </w:pPr>
                  <w:r w:rsidRPr="006C06C0">
                    <w:rPr>
                      <w:rFonts w:ascii="Calibri" w:eastAsia="Times New Roman" w:hAnsi="Calibri" w:cs="Calibri"/>
                      <w:b/>
                      <w:bCs/>
                      <w:color w:val="000000"/>
                      <w:lang w:eastAsia="en-GB"/>
                    </w:rPr>
                    <w:t>2018</w:t>
                  </w:r>
                </w:p>
              </w:tc>
              <w:tc>
                <w:tcPr>
                  <w:tcW w:w="1000" w:type="dxa"/>
                  <w:tcBorders>
                    <w:top w:val="nil"/>
                    <w:left w:val="nil"/>
                    <w:bottom w:val="nil"/>
                    <w:right w:val="nil"/>
                  </w:tcBorders>
                  <w:shd w:val="clear" w:color="auto" w:fill="auto"/>
                  <w:noWrap/>
                  <w:vAlign w:val="bottom"/>
                  <w:hideMark/>
                </w:tcPr>
                <w:p w14:paraId="6BA79F97" w14:textId="77777777" w:rsidR="006C06C0" w:rsidRPr="006C06C0" w:rsidRDefault="006C06C0" w:rsidP="006C06C0">
                  <w:pPr>
                    <w:spacing w:after="0" w:line="240" w:lineRule="auto"/>
                    <w:jc w:val="right"/>
                    <w:rPr>
                      <w:rFonts w:ascii="Calibri" w:eastAsia="Times New Roman" w:hAnsi="Calibri" w:cs="Calibri"/>
                      <w:b/>
                      <w:bCs/>
                      <w:color w:val="000000"/>
                      <w:lang w:eastAsia="en-GB"/>
                    </w:rPr>
                  </w:pPr>
                  <w:r w:rsidRPr="006C06C0">
                    <w:rPr>
                      <w:rFonts w:ascii="Calibri" w:eastAsia="Times New Roman" w:hAnsi="Calibri" w:cs="Calibri"/>
                      <w:b/>
                      <w:bCs/>
                      <w:color w:val="000000"/>
                      <w:lang w:eastAsia="en-GB"/>
                    </w:rPr>
                    <w:t>2019</w:t>
                  </w:r>
                </w:p>
              </w:tc>
              <w:tc>
                <w:tcPr>
                  <w:tcW w:w="960" w:type="dxa"/>
                  <w:tcBorders>
                    <w:top w:val="nil"/>
                    <w:left w:val="nil"/>
                    <w:bottom w:val="nil"/>
                    <w:right w:val="nil"/>
                  </w:tcBorders>
                  <w:shd w:val="clear" w:color="auto" w:fill="auto"/>
                  <w:noWrap/>
                  <w:vAlign w:val="bottom"/>
                  <w:hideMark/>
                </w:tcPr>
                <w:p w14:paraId="18A25C31" w14:textId="77777777" w:rsidR="006C06C0" w:rsidRPr="006C06C0" w:rsidRDefault="006C06C0" w:rsidP="006C06C0">
                  <w:pPr>
                    <w:spacing w:after="0" w:line="240" w:lineRule="auto"/>
                    <w:jc w:val="right"/>
                    <w:rPr>
                      <w:rFonts w:ascii="Calibri" w:eastAsia="Times New Roman" w:hAnsi="Calibri" w:cs="Calibri"/>
                      <w:b/>
                      <w:bCs/>
                      <w:color w:val="000000"/>
                      <w:lang w:eastAsia="en-GB"/>
                    </w:rPr>
                  </w:pPr>
                  <w:r w:rsidRPr="006C06C0">
                    <w:rPr>
                      <w:rFonts w:ascii="Calibri" w:eastAsia="Times New Roman" w:hAnsi="Calibri" w:cs="Calibri"/>
                      <w:b/>
                      <w:bCs/>
                      <w:color w:val="000000"/>
                      <w:lang w:eastAsia="en-GB"/>
                    </w:rPr>
                    <w:t>2020</w:t>
                  </w:r>
                </w:p>
              </w:tc>
              <w:tc>
                <w:tcPr>
                  <w:tcW w:w="940" w:type="dxa"/>
                  <w:tcBorders>
                    <w:top w:val="nil"/>
                    <w:left w:val="nil"/>
                    <w:bottom w:val="nil"/>
                    <w:right w:val="nil"/>
                  </w:tcBorders>
                  <w:shd w:val="clear" w:color="auto" w:fill="auto"/>
                  <w:noWrap/>
                  <w:vAlign w:val="bottom"/>
                  <w:hideMark/>
                </w:tcPr>
                <w:p w14:paraId="27B792DA" w14:textId="0D3DAB6F" w:rsidR="006C06C0" w:rsidRPr="006C06C0" w:rsidRDefault="006C06C0" w:rsidP="006C06C0">
                  <w:pPr>
                    <w:spacing w:after="0" w:line="240" w:lineRule="auto"/>
                    <w:rPr>
                      <w:rFonts w:ascii="Calibri" w:eastAsia="Times New Roman" w:hAnsi="Calibri" w:cs="Calibri"/>
                      <w:b/>
                      <w:bCs/>
                      <w:color w:val="000000"/>
                      <w:lang w:eastAsia="en-GB"/>
                    </w:rPr>
                  </w:pPr>
                  <w:r w:rsidRPr="006C06C0">
                    <w:rPr>
                      <w:rFonts w:ascii="Calibri" w:eastAsia="Times New Roman" w:hAnsi="Calibri" w:cs="Calibri"/>
                      <w:b/>
                      <w:bCs/>
                      <w:color w:val="000000"/>
                      <w:lang w:eastAsia="en-GB"/>
                    </w:rPr>
                    <w:t>J&amp;</w:t>
                  </w:r>
                  <w:r w:rsidR="009B582F">
                    <w:rPr>
                      <w:rFonts w:ascii="Calibri" w:eastAsia="Times New Roman" w:hAnsi="Calibri" w:cs="Calibri"/>
                      <w:b/>
                      <w:bCs/>
                      <w:color w:val="000000"/>
                      <w:lang w:eastAsia="en-GB"/>
                    </w:rPr>
                    <w:t>J</w:t>
                  </w:r>
                </w:p>
              </w:tc>
              <w:tc>
                <w:tcPr>
                  <w:tcW w:w="960" w:type="dxa"/>
                  <w:tcBorders>
                    <w:top w:val="nil"/>
                    <w:left w:val="nil"/>
                    <w:bottom w:val="nil"/>
                    <w:right w:val="nil"/>
                  </w:tcBorders>
                  <w:shd w:val="clear" w:color="auto" w:fill="auto"/>
                  <w:noWrap/>
                  <w:vAlign w:val="bottom"/>
                  <w:hideMark/>
                </w:tcPr>
                <w:p w14:paraId="488980DF" w14:textId="77777777" w:rsidR="006C06C0" w:rsidRPr="006C06C0" w:rsidRDefault="006C06C0" w:rsidP="006C06C0">
                  <w:pPr>
                    <w:spacing w:after="0" w:line="240" w:lineRule="auto"/>
                    <w:rPr>
                      <w:rFonts w:ascii="Calibri" w:eastAsia="Times New Roman" w:hAnsi="Calibri" w:cs="Calibri"/>
                      <w:b/>
                      <w:bCs/>
                      <w:color w:val="000000"/>
                      <w:lang w:eastAsia="en-GB"/>
                    </w:rPr>
                  </w:pPr>
                  <w:r w:rsidRPr="006C06C0">
                    <w:rPr>
                      <w:rFonts w:ascii="Calibri" w:eastAsia="Times New Roman" w:hAnsi="Calibri" w:cs="Calibri"/>
                      <w:b/>
                      <w:bCs/>
                      <w:color w:val="000000"/>
                      <w:lang w:eastAsia="en-GB"/>
                    </w:rPr>
                    <w:t>Roche</w:t>
                  </w:r>
                </w:p>
              </w:tc>
              <w:tc>
                <w:tcPr>
                  <w:tcW w:w="1240" w:type="dxa"/>
                  <w:tcBorders>
                    <w:top w:val="nil"/>
                    <w:left w:val="nil"/>
                    <w:bottom w:val="nil"/>
                    <w:right w:val="nil"/>
                  </w:tcBorders>
                  <w:shd w:val="clear" w:color="auto" w:fill="auto"/>
                  <w:noWrap/>
                  <w:vAlign w:val="bottom"/>
                  <w:hideMark/>
                </w:tcPr>
                <w:p w14:paraId="5E21D662" w14:textId="77777777" w:rsidR="006C06C0" w:rsidRPr="006C06C0" w:rsidRDefault="006C06C0" w:rsidP="006C06C0">
                  <w:pPr>
                    <w:spacing w:after="0" w:line="240" w:lineRule="auto"/>
                    <w:rPr>
                      <w:rFonts w:ascii="Calibri" w:eastAsia="Times New Roman" w:hAnsi="Calibri" w:cs="Calibri"/>
                      <w:b/>
                      <w:bCs/>
                      <w:color w:val="000000"/>
                      <w:lang w:eastAsia="en-GB"/>
                    </w:rPr>
                  </w:pPr>
                  <w:r w:rsidRPr="006C06C0">
                    <w:rPr>
                      <w:rFonts w:ascii="Calibri" w:eastAsia="Times New Roman" w:hAnsi="Calibri" w:cs="Calibri"/>
                      <w:b/>
                      <w:bCs/>
                      <w:color w:val="000000"/>
                      <w:lang w:eastAsia="en-GB"/>
                    </w:rPr>
                    <w:t>AstraZeneca</w:t>
                  </w:r>
                </w:p>
              </w:tc>
            </w:tr>
            <w:tr w:rsidR="006C06C0" w:rsidRPr="006C06C0" w14:paraId="0C0C12FE" w14:textId="77777777" w:rsidTr="006C06C0">
              <w:trPr>
                <w:trHeight w:val="300"/>
              </w:trPr>
              <w:tc>
                <w:tcPr>
                  <w:tcW w:w="960" w:type="dxa"/>
                  <w:tcBorders>
                    <w:top w:val="nil"/>
                    <w:left w:val="nil"/>
                    <w:bottom w:val="nil"/>
                    <w:right w:val="nil"/>
                  </w:tcBorders>
                  <w:shd w:val="clear" w:color="auto" w:fill="auto"/>
                  <w:noWrap/>
                  <w:vAlign w:val="bottom"/>
                  <w:hideMark/>
                </w:tcPr>
                <w:p w14:paraId="19AFD875" w14:textId="77777777" w:rsidR="006C06C0" w:rsidRPr="006C06C0" w:rsidRDefault="006C06C0" w:rsidP="006C06C0">
                  <w:pPr>
                    <w:spacing w:after="0" w:line="240" w:lineRule="auto"/>
                    <w:rPr>
                      <w:rFonts w:ascii="Calibri" w:eastAsia="Times New Roman" w:hAnsi="Calibri" w:cs="Calibri"/>
                      <w:color w:val="000000"/>
                      <w:lang w:eastAsia="en-GB"/>
                    </w:rPr>
                  </w:pPr>
                  <w:r w:rsidRPr="006C06C0">
                    <w:rPr>
                      <w:rFonts w:ascii="Calibri" w:eastAsia="Times New Roman" w:hAnsi="Calibri" w:cs="Calibri"/>
                      <w:color w:val="000000"/>
                      <w:lang w:eastAsia="en-GB"/>
                    </w:rPr>
                    <w:t>O/P M</w:t>
                  </w:r>
                </w:p>
              </w:tc>
              <w:tc>
                <w:tcPr>
                  <w:tcW w:w="880" w:type="dxa"/>
                  <w:tcBorders>
                    <w:top w:val="nil"/>
                    <w:left w:val="nil"/>
                    <w:bottom w:val="nil"/>
                    <w:right w:val="nil"/>
                  </w:tcBorders>
                  <w:shd w:val="clear" w:color="auto" w:fill="auto"/>
                  <w:vAlign w:val="center"/>
                  <w:hideMark/>
                </w:tcPr>
                <w:p w14:paraId="0A0FB34F" w14:textId="2C487307"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0.09</w:t>
                  </w:r>
                </w:p>
              </w:tc>
              <w:tc>
                <w:tcPr>
                  <w:tcW w:w="960" w:type="dxa"/>
                  <w:tcBorders>
                    <w:top w:val="nil"/>
                    <w:left w:val="nil"/>
                    <w:bottom w:val="nil"/>
                    <w:right w:val="nil"/>
                  </w:tcBorders>
                  <w:shd w:val="clear" w:color="auto" w:fill="auto"/>
                  <w:vAlign w:val="center"/>
                  <w:hideMark/>
                </w:tcPr>
                <w:p w14:paraId="175E9706" w14:textId="797480FF"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0.13</w:t>
                  </w:r>
                </w:p>
              </w:tc>
              <w:tc>
                <w:tcPr>
                  <w:tcW w:w="960" w:type="dxa"/>
                  <w:tcBorders>
                    <w:top w:val="nil"/>
                    <w:left w:val="nil"/>
                    <w:bottom w:val="nil"/>
                    <w:right w:val="nil"/>
                  </w:tcBorders>
                  <w:shd w:val="clear" w:color="auto" w:fill="auto"/>
                  <w:vAlign w:val="center"/>
                  <w:hideMark/>
                </w:tcPr>
                <w:p w14:paraId="22D472EF" w14:textId="1D051EE9"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0.17</w:t>
                  </w:r>
                </w:p>
              </w:tc>
              <w:tc>
                <w:tcPr>
                  <w:tcW w:w="1000" w:type="dxa"/>
                  <w:tcBorders>
                    <w:top w:val="nil"/>
                    <w:left w:val="nil"/>
                    <w:bottom w:val="nil"/>
                    <w:right w:val="nil"/>
                  </w:tcBorders>
                  <w:shd w:val="clear" w:color="auto" w:fill="auto"/>
                  <w:vAlign w:val="center"/>
                  <w:hideMark/>
                </w:tcPr>
                <w:p w14:paraId="4B4A05AD" w14:textId="066B256A"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0.20</w:t>
                  </w:r>
                </w:p>
              </w:tc>
              <w:tc>
                <w:tcPr>
                  <w:tcW w:w="960" w:type="dxa"/>
                  <w:tcBorders>
                    <w:top w:val="nil"/>
                    <w:left w:val="nil"/>
                    <w:bottom w:val="nil"/>
                    <w:right w:val="nil"/>
                  </w:tcBorders>
                  <w:shd w:val="clear" w:color="000000" w:fill="FFFF00"/>
                  <w:noWrap/>
                  <w:vAlign w:val="center"/>
                  <w:hideMark/>
                </w:tcPr>
                <w:p w14:paraId="71C8A94B" w14:textId="608707F4"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0.22</w:t>
                  </w:r>
                </w:p>
              </w:tc>
              <w:tc>
                <w:tcPr>
                  <w:tcW w:w="940" w:type="dxa"/>
                  <w:tcBorders>
                    <w:top w:val="nil"/>
                    <w:left w:val="nil"/>
                    <w:bottom w:val="nil"/>
                    <w:right w:val="nil"/>
                  </w:tcBorders>
                  <w:shd w:val="clear" w:color="000000" w:fill="FFFF00"/>
                  <w:noWrap/>
                  <w:vAlign w:val="center"/>
                  <w:hideMark/>
                </w:tcPr>
                <w:p w14:paraId="3A138E38" w14:textId="022A0BA9"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0.82</w:t>
                  </w:r>
                </w:p>
              </w:tc>
              <w:tc>
                <w:tcPr>
                  <w:tcW w:w="960" w:type="dxa"/>
                  <w:tcBorders>
                    <w:top w:val="nil"/>
                    <w:left w:val="nil"/>
                    <w:bottom w:val="nil"/>
                    <w:right w:val="nil"/>
                  </w:tcBorders>
                  <w:shd w:val="clear" w:color="000000" w:fill="FFFF00"/>
                  <w:noWrap/>
                  <w:vAlign w:val="center"/>
                  <w:hideMark/>
                </w:tcPr>
                <w:p w14:paraId="1B43CA72" w14:textId="4353D067"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0.36</w:t>
                  </w:r>
                </w:p>
              </w:tc>
              <w:tc>
                <w:tcPr>
                  <w:tcW w:w="1240" w:type="dxa"/>
                  <w:tcBorders>
                    <w:top w:val="nil"/>
                    <w:left w:val="nil"/>
                    <w:bottom w:val="nil"/>
                    <w:right w:val="nil"/>
                  </w:tcBorders>
                  <w:shd w:val="clear" w:color="auto" w:fill="auto"/>
                  <w:noWrap/>
                  <w:vAlign w:val="bottom"/>
                  <w:hideMark/>
                </w:tcPr>
                <w:p w14:paraId="12BA3190" w14:textId="6852A904" w:rsidR="006C06C0" w:rsidRPr="006C06C0" w:rsidRDefault="007F19F9"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w:t>
                  </w:r>
                  <w:r w:rsidR="00FA5266">
                    <w:rPr>
                      <w:rFonts w:ascii="Calibri" w:eastAsia="Times New Roman" w:hAnsi="Calibri" w:cs="Calibri"/>
                      <w:color w:val="000000"/>
                      <w:lang w:eastAsia="en-GB"/>
                    </w:rPr>
                    <w:t>.</w:t>
                  </w:r>
                  <w:r>
                    <w:rPr>
                      <w:rFonts w:ascii="Calibri" w:eastAsia="Times New Roman" w:hAnsi="Calibri" w:cs="Calibri"/>
                      <w:color w:val="000000"/>
                      <w:lang w:eastAsia="en-GB"/>
                    </w:rPr>
                    <w:t>7</w:t>
                  </w:r>
                </w:p>
              </w:tc>
            </w:tr>
            <w:tr w:rsidR="006C06C0" w:rsidRPr="006C06C0" w14:paraId="5673378A" w14:textId="77777777" w:rsidTr="006C06C0">
              <w:trPr>
                <w:trHeight w:val="300"/>
              </w:trPr>
              <w:tc>
                <w:tcPr>
                  <w:tcW w:w="960" w:type="dxa"/>
                  <w:tcBorders>
                    <w:top w:val="nil"/>
                    <w:left w:val="nil"/>
                    <w:bottom w:val="nil"/>
                    <w:right w:val="nil"/>
                  </w:tcBorders>
                  <w:shd w:val="clear" w:color="auto" w:fill="auto"/>
                  <w:noWrap/>
                  <w:vAlign w:val="bottom"/>
                  <w:hideMark/>
                </w:tcPr>
                <w:p w14:paraId="46415E29" w14:textId="77777777" w:rsidR="006C06C0" w:rsidRPr="006C06C0" w:rsidRDefault="006C06C0" w:rsidP="006C06C0">
                  <w:pPr>
                    <w:spacing w:after="0" w:line="240" w:lineRule="auto"/>
                    <w:rPr>
                      <w:rFonts w:ascii="Calibri" w:eastAsia="Times New Roman" w:hAnsi="Calibri" w:cs="Calibri"/>
                      <w:color w:val="000000"/>
                      <w:lang w:eastAsia="en-GB"/>
                    </w:rPr>
                  </w:pPr>
                  <w:r w:rsidRPr="006C06C0">
                    <w:rPr>
                      <w:rFonts w:ascii="Calibri" w:eastAsia="Times New Roman" w:hAnsi="Calibri" w:cs="Calibri"/>
                      <w:color w:val="000000"/>
                      <w:lang w:eastAsia="en-GB"/>
                    </w:rPr>
                    <w:t>G/P M</w:t>
                  </w:r>
                </w:p>
              </w:tc>
              <w:tc>
                <w:tcPr>
                  <w:tcW w:w="880" w:type="dxa"/>
                  <w:tcBorders>
                    <w:top w:val="nil"/>
                    <w:left w:val="nil"/>
                    <w:bottom w:val="nil"/>
                    <w:right w:val="nil"/>
                  </w:tcBorders>
                  <w:shd w:val="clear" w:color="auto" w:fill="auto"/>
                  <w:vAlign w:val="center"/>
                  <w:hideMark/>
                </w:tcPr>
                <w:p w14:paraId="54C61419" w14:textId="38E81248"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0.66</w:t>
                  </w:r>
                </w:p>
              </w:tc>
              <w:tc>
                <w:tcPr>
                  <w:tcW w:w="960" w:type="dxa"/>
                  <w:tcBorders>
                    <w:top w:val="nil"/>
                    <w:left w:val="nil"/>
                    <w:bottom w:val="nil"/>
                    <w:right w:val="nil"/>
                  </w:tcBorders>
                  <w:shd w:val="clear" w:color="auto" w:fill="auto"/>
                  <w:vAlign w:val="center"/>
                  <w:hideMark/>
                </w:tcPr>
                <w:p w14:paraId="4DFDEEAE" w14:textId="29FF43B4"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0.65</w:t>
                  </w:r>
                </w:p>
              </w:tc>
              <w:tc>
                <w:tcPr>
                  <w:tcW w:w="960" w:type="dxa"/>
                  <w:tcBorders>
                    <w:top w:val="nil"/>
                    <w:left w:val="nil"/>
                    <w:bottom w:val="nil"/>
                    <w:right w:val="nil"/>
                  </w:tcBorders>
                  <w:shd w:val="clear" w:color="auto" w:fill="auto"/>
                  <w:vAlign w:val="center"/>
                  <w:hideMark/>
                </w:tcPr>
                <w:p w14:paraId="21BA5CC2" w14:textId="34A493BE"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0.66</w:t>
                  </w:r>
                </w:p>
              </w:tc>
              <w:tc>
                <w:tcPr>
                  <w:tcW w:w="1000" w:type="dxa"/>
                  <w:tcBorders>
                    <w:top w:val="nil"/>
                    <w:left w:val="nil"/>
                    <w:bottom w:val="nil"/>
                    <w:right w:val="nil"/>
                  </w:tcBorders>
                  <w:shd w:val="clear" w:color="auto" w:fill="auto"/>
                  <w:vAlign w:val="center"/>
                  <w:hideMark/>
                </w:tcPr>
                <w:p w14:paraId="05854643" w14:textId="27DA323A"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0.64</w:t>
                  </w:r>
                </w:p>
              </w:tc>
              <w:tc>
                <w:tcPr>
                  <w:tcW w:w="960" w:type="dxa"/>
                  <w:tcBorders>
                    <w:top w:val="nil"/>
                    <w:left w:val="nil"/>
                    <w:bottom w:val="nil"/>
                    <w:right w:val="nil"/>
                  </w:tcBorders>
                  <w:shd w:val="clear" w:color="000000" w:fill="FFFF00"/>
                  <w:noWrap/>
                  <w:vAlign w:val="center"/>
                  <w:hideMark/>
                </w:tcPr>
                <w:p w14:paraId="64E52C43" w14:textId="48CB2031"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0.65</w:t>
                  </w:r>
                </w:p>
              </w:tc>
              <w:tc>
                <w:tcPr>
                  <w:tcW w:w="940" w:type="dxa"/>
                  <w:tcBorders>
                    <w:top w:val="nil"/>
                    <w:left w:val="nil"/>
                    <w:bottom w:val="nil"/>
                    <w:right w:val="nil"/>
                  </w:tcBorders>
                  <w:shd w:val="clear" w:color="auto" w:fill="auto"/>
                  <w:noWrap/>
                  <w:vAlign w:val="bottom"/>
                  <w:hideMark/>
                </w:tcPr>
                <w:p w14:paraId="46E001D2" w14:textId="6D9FC0C2"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0.19</w:t>
                  </w:r>
                </w:p>
              </w:tc>
              <w:tc>
                <w:tcPr>
                  <w:tcW w:w="960" w:type="dxa"/>
                  <w:tcBorders>
                    <w:top w:val="nil"/>
                    <w:left w:val="nil"/>
                    <w:bottom w:val="nil"/>
                    <w:right w:val="nil"/>
                  </w:tcBorders>
                  <w:shd w:val="clear" w:color="auto" w:fill="auto"/>
                  <w:noWrap/>
                  <w:vAlign w:val="bottom"/>
                  <w:hideMark/>
                </w:tcPr>
                <w:p w14:paraId="1AB2BC51" w14:textId="4040686C"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0.31</w:t>
                  </w:r>
                </w:p>
              </w:tc>
              <w:tc>
                <w:tcPr>
                  <w:tcW w:w="1240" w:type="dxa"/>
                  <w:tcBorders>
                    <w:top w:val="nil"/>
                    <w:left w:val="nil"/>
                    <w:bottom w:val="nil"/>
                    <w:right w:val="nil"/>
                  </w:tcBorders>
                  <w:shd w:val="clear" w:color="000000" w:fill="FFFF00"/>
                  <w:noWrap/>
                  <w:vAlign w:val="center"/>
                  <w:hideMark/>
                </w:tcPr>
                <w:p w14:paraId="55EF3FE6" w14:textId="2E240BA1" w:rsidR="006C06C0" w:rsidRPr="006C06C0" w:rsidRDefault="00B27147"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56</w:t>
                  </w:r>
                  <w:r w:rsidR="000F2255">
                    <w:rPr>
                      <w:rFonts w:ascii="Calibri" w:eastAsia="Times New Roman" w:hAnsi="Calibri" w:cs="Calibri"/>
                      <w:color w:val="000000"/>
                      <w:lang w:eastAsia="en-GB"/>
                    </w:rPr>
                    <w:t>.7</w:t>
                  </w:r>
                </w:p>
              </w:tc>
            </w:tr>
            <w:tr w:rsidR="006C06C0" w:rsidRPr="006C06C0" w14:paraId="16DA6EA2" w14:textId="77777777" w:rsidTr="006C06C0">
              <w:trPr>
                <w:trHeight w:val="300"/>
              </w:trPr>
              <w:tc>
                <w:tcPr>
                  <w:tcW w:w="960" w:type="dxa"/>
                  <w:tcBorders>
                    <w:top w:val="nil"/>
                    <w:left w:val="nil"/>
                    <w:bottom w:val="nil"/>
                    <w:right w:val="nil"/>
                  </w:tcBorders>
                  <w:shd w:val="clear" w:color="auto" w:fill="auto"/>
                  <w:noWrap/>
                  <w:vAlign w:val="bottom"/>
                  <w:hideMark/>
                </w:tcPr>
                <w:p w14:paraId="1D2692EF" w14:textId="77777777" w:rsidR="006C06C0" w:rsidRPr="006C06C0" w:rsidRDefault="006C06C0" w:rsidP="006C06C0">
                  <w:pPr>
                    <w:spacing w:after="0" w:line="240" w:lineRule="auto"/>
                    <w:rPr>
                      <w:rFonts w:ascii="Calibri" w:eastAsia="Times New Roman" w:hAnsi="Calibri" w:cs="Calibri"/>
                      <w:color w:val="000000"/>
                      <w:lang w:eastAsia="en-GB"/>
                    </w:rPr>
                  </w:pPr>
                  <w:proofErr w:type="gramStart"/>
                  <w:r w:rsidRPr="006C06C0">
                    <w:rPr>
                      <w:rFonts w:ascii="Calibri" w:eastAsia="Times New Roman" w:hAnsi="Calibri" w:cs="Calibri"/>
                      <w:color w:val="000000"/>
                      <w:lang w:eastAsia="en-GB"/>
                    </w:rPr>
                    <w:t>ROCE(</w:t>
                  </w:r>
                  <w:proofErr w:type="gramEnd"/>
                  <w:r w:rsidRPr="006C06C0">
                    <w:rPr>
                      <w:rFonts w:ascii="Calibri" w:eastAsia="Times New Roman" w:hAnsi="Calibri" w:cs="Calibri"/>
                      <w:color w:val="000000"/>
                      <w:lang w:eastAsia="en-GB"/>
                    </w:rPr>
                    <w:t>%)</w:t>
                  </w:r>
                </w:p>
              </w:tc>
              <w:tc>
                <w:tcPr>
                  <w:tcW w:w="880" w:type="dxa"/>
                  <w:tcBorders>
                    <w:top w:val="nil"/>
                    <w:left w:val="nil"/>
                    <w:bottom w:val="nil"/>
                    <w:right w:val="nil"/>
                  </w:tcBorders>
                  <w:shd w:val="clear" w:color="auto" w:fill="auto"/>
                  <w:noWrap/>
                  <w:vAlign w:val="bottom"/>
                  <w:hideMark/>
                </w:tcPr>
                <w:p w14:paraId="6BDFA095" w14:textId="0EFB0397" w:rsidR="006C06C0" w:rsidRPr="006C06C0" w:rsidRDefault="00BB167D"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2.6%</w:t>
                  </w:r>
                </w:p>
              </w:tc>
              <w:tc>
                <w:tcPr>
                  <w:tcW w:w="960" w:type="dxa"/>
                  <w:tcBorders>
                    <w:top w:val="nil"/>
                    <w:left w:val="nil"/>
                    <w:bottom w:val="nil"/>
                    <w:right w:val="nil"/>
                  </w:tcBorders>
                  <w:shd w:val="clear" w:color="auto" w:fill="auto"/>
                  <w:noWrap/>
                  <w:vAlign w:val="bottom"/>
                  <w:hideMark/>
                </w:tcPr>
                <w:p w14:paraId="7D205216" w14:textId="6DAA1EF6" w:rsidR="006C06C0" w:rsidRPr="006C06C0" w:rsidRDefault="00D66F58"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7.3</w:t>
                  </w:r>
                  <w:r w:rsidR="00BB167D">
                    <w:rPr>
                      <w:rFonts w:ascii="Calibri" w:eastAsia="Times New Roman" w:hAnsi="Calibri" w:cs="Calibri"/>
                      <w:color w:val="000000"/>
                      <w:lang w:eastAsia="en-GB"/>
                    </w:rPr>
                    <w:t>%</w:t>
                  </w:r>
                </w:p>
              </w:tc>
              <w:tc>
                <w:tcPr>
                  <w:tcW w:w="960" w:type="dxa"/>
                  <w:tcBorders>
                    <w:top w:val="nil"/>
                    <w:left w:val="nil"/>
                    <w:bottom w:val="nil"/>
                    <w:right w:val="nil"/>
                  </w:tcBorders>
                  <w:shd w:val="clear" w:color="auto" w:fill="auto"/>
                  <w:noWrap/>
                  <w:vAlign w:val="bottom"/>
                  <w:hideMark/>
                </w:tcPr>
                <w:p w14:paraId="5BFA0DCD" w14:textId="486BEE2D" w:rsidR="006C06C0" w:rsidRPr="006C06C0" w:rsidRDefault="000D2D85"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w:t>
                  </w:r>
                  <w:r w:rsidR="00D66F58">
                    <w:rPr>
                      <w:rFonts w:ascii="Calibri" w:eastAsia="Times New Roman" w:hAnsi="Calibri" w:cs="Calibri"/>
                      <w:color w:val="000000"/>
                      <w:lang w:eastAsia="en-GB"/>
                    </w:rPr>
                    <w:t>.</w:t>
                  </w:r>
                  <w:r>
                    <w:rPr>
                      <w:rFonts w:ascii="Calibri" w:eastAsia="Times New Roman" w:hAnsi="Calibri" w:cs="Calibri"/>
                      <w:color w:val="000000"/>
                      <w:lang w:eastAsia="en-GB"/>
                    </w:rPr>
                    <w:t>4%</w:t>
                  </w:r>
                </w:p>
              </w:tc>
              <w:tc>
                <w:tcPr>
                  <w:tcW w:w="1000" w:type="dxa"/>
                  <w:tcBorders>
                    <w:top w:val="nil"/>
                    <w:left w:val="nil"/>
                    <w:bottom w:val="nil"/>
                    <w:right w:val="nil"/>
                  </w:tcBorders>
                  <w:shd w:val="clear" w:color="auto" w:fill="auto"/>
                  <w:noWrap/>
                  <w:vAlign w:val="bottom"/>
                  <w:hideMark/>
                </w:tcPr>
                <w:p w14:paraId="22F05C66" w14:textId="71F17B6A" w:rsidR="006C06C0" w:rsidRPr="006C06C0" w:rsidRDefault="00DA07F6"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9.5%</w:t>
                  </w:r>
                </w:p>
              </w:tc>
              <w:tc>
                <w:tcPr>
                  <w:tcW w:w="960" w:type="dxa"/>
                  <w:tcBorders>
                    <w:top w:val="nil"/>
                    <w:left w:val="nil"/>
                    <w:bottom w:val="nil"/>
                    <w:right w:val="nil"/>
                  </w:tcBorders>
                  <w:shd w:val="clear" w:color="auto" w:fill="auto"/>
                  <w:noWrap/>
                  <w:vAlign w:val="bottom"/>
                  <w:hideMark/>
                </w:tcPr>
                <w:p w14:paraId="7A15703F" w14:textId="7D3674EF" w:rsidR="006C06C0" w:rsidRPr="006C06C0" w:rsidRDefault="001037A3"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10.9%</w:t>
                  </w:r>
                </w:p>
              </w:tc>
              <w:tc>
                <w:tcPr>
                  <w:tcW w:w="940" w:type="dxa"/>
                  <w:tcBorders>
                    <w:top w:val="nil"/>
                    <w:left w:val="nil"/>
                    <w:bottom w:val="nil"/>
                    <w:right w:val="nil"/>
                  </w:tcBorders>
                  <w:shd w:val="clear" w:color="auto" w:fill="auto"/>
                  <w:noWrap/>
                  <w:vAlign w:val="bottom"/>
                  <w:hideMark/>
                </w:tcPr>
                <w:p w14:paraId="23800DC2" w14:textId="0BB970E5" w:rsidR="006C06C0" w:rsidRPr="006C06C0" w:rsidRDefault="000A28FF"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w:t>
                  </w:r>
                  <w:r w:rsidR="00B55DB7">
                    <w:rPr>
                      <w:rFonts w:ascii="Calibri" w:eastAsia="Times New Roman" w:hAnsi="Calibri" w:cs="Calibri"/>
                      <w:color w:val="000000"/>
                      <w:lang w:eastAsia="en-GB"/>
                    </w:rPr>
                    <w:t>1</w:t>
                  </w:r>
                  <w:r>
                    <w:rPr>
                      <w:rFonts w:ascii="Calibri" w:eastAsia="Times New Roman" w:hAnsi="Calibri" w:cs="Calibri"/>
                      <w:color w:val="000000"/>
                      <w:lang w:eastAsia="en-GB"/>
                    </w:rPr>
                    <w:t>.</w:t>
                  </w:r>
                  <w:r w:rsidR="002053DD">
                    <w:rPr>
                      <w:rFonts w:ascii="Calibri" w:eastAsia="Times New Roman" w:hAnsi="Calibri" w:cs="Calibri"/>
                      <w:color w:val="000000"/>
                      <w:lang w:eastAsia="en-GB"/>
                    </w:rPr>
                    <w:t>6</w:t>
                  </w:r>
                  <w:r w:rsidR="00E71D07">
                    <w:rPr>
                      <w:rFonts w:ascii="Calibri" w:eastAsia="Times New Roman" w:hAnsi="Calibri" w:cs="Calibri"/>
                      <w:color w:val="000000"/>
                      <w:lang w:eastAsia="en-GB"/>
                    </w:rPr>
                    <w:t>%</w:t>
                  </w:r>
                </w:p>
              </w:tc>
              <w:tc>
                <w:tcPr>
                  <w:tcW w:w="960" w:type="dxa"/>
                  <w:tcBorders>
                    <w:top w:val="nil"/>
                    <w:left w:val="nil"/>
                    <w:bottom w:val="nil"/>
                    <w:right w:val="nil"/>
                  </w:tcBorders>
                  <w:shd w:val="clear" w:color="auto" w:fill="auto"/>
                  <w:noWrap/>
                  <w:vAlign w:val="bottom"/>
                  <w:hideMark/>
                </w:tcPr>
                <w:p w14:paraId="029CA279" w14:textId="5A16913D" w:rsidR="006C06C0" w:rsidRPr="006C06C0" w:rsidRDefault="002053DD"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22.9</w:t>
                  </w:r>
                  <w:r w:rsidR="00E71D07">
                    <w:rPr>
                      <w:rFonts w:ascii="Calibri" w:eastAsia="Times New Roman" w:hAnsi="Calibri" w:cs="Calibri"/>
                      <w:color w:val="000000"/>
                      <w:lang w:eastAsia="en-GB"/>
                    </w:rPr>
                    <w:t>%</w:t>
                  </w:r>
                </w:p>
              </w:tc>
              <w:tc>
                <w:tcPr>
                  <w:tcW w:w="1240" w:type="dxa"/>
                  <w:tcBorders>
                    <w:top w:val="nil"/>
                    <w:left w:val="nil"/>
                    <w:bottom w:val="nil"/>
                    <w:right w:val="nil"/>
                  </w:tcBorders>
                  <w:shd w:val="clear" w:color="auto" w:fill="auto"/>
                  <w:noWrap/>
                  <w:vAlign w:val="bottom"/>
                  <w:hideMark/>
                </w:tcPr>
                <w:p w14:paraId="4E11AB03" w14:textId="1AF6DD21" w:rsidR="006C06C0" w:rsidRPr="006C06C0" w:rsidRDefault="002053DD"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w:t>
                  </w:r>
                  <w:r w:rsidR="003F331A">
                    <w:rPr>
                      <w:rFonts w:ascii="Calibri" w:eastAsia="Times New Roman" w:hAnsi="Calibri" w:cs="Calibri"/>
                      <w:color w:val="000000"/>
                      <w:lang w:eastAsia="en-GB"/>
                    </w:rPr>
                    <w:t>7</w:t>
                  </w:r>
                  <w:r w:rsidR="00E71D07">
                    <w:rPr>
                      <w:rFonts w:ascii="Calibri" w:eastAsia="Times New Roman" w:hAnsi="Calibri" w:cs="Calibri"/>
                      <w:color w:val="000000"/>
                      <w:lang w:eastAsia="en-GB"/>
                    </w:rPr>
                    <w:t>%</w:t>
                  </w:r>
                </w:p>
              </w:tc>
            </w:tr>
            <w:tr w:rsidR="006C06C0" w:rsidRPr="006C06C0" w14:paraId="4BCB33A0" w14:textId="77777777" w:rsidTr="006C06C0">
              <w:trPr>
                <w:trHeight w:val="300"/>
              </w:trPr>
              <w:tc>
                <w:tcPr>
                  <w:tcW w:w="960" w:type="dxa"/>
                  <w:tcBorders>
                    <w:top w:val="nil"/>
                    <w:left w:val="nil"/>
                    <w:bottom w:val="nil"/>
                    <w:right w:val="nil"/>
                  </w:tcBorders>
                  <w:shd w:val="clear" w:color="auto" w:fill="auto"/>
                  <w:noWrap/>
                  <w:vAlign w:val="bottom"/>
                  <w:hideMark/>
                </w:tcPr>
                <w:p w14:paraId="54D2ED7B" w14:textId="77777777" w:rsidR="006C06C0" w:rsidRPr="006C06C0" w:rsidRDefault="006C06C0" w:rsidP="006C06C0">
                  <w:pPr>
                    <w:spacing w:after="0" w:line="240" w:lineRule="auto"/>
                    <w:rPr>
                      <w:rFonts w:ascii="Calibri" w:eastAsia="Times New Roman" w:hAnsi="Calibri" w:cs="Calibri"/>
                      <w:color w:val="000000"/>
                      <w:lang w:eastAsia="en-GB"/>
                    </w:rPr>
                  </w:pPr>
                  <w:r w:rsidRPr="006C06C0">
                    <w:rPr>
                      <w:rFonts w:ascii="Calibri" w:eastAsia="Times New Roman" w:hAnsi="Calibri" w:cs="Calibri"/>
                      <w:color w:val="000000"/>
                      <w:lang w:eastAsia="en-GB"/>
                    </w:rPr>
                    <w:t>ROE (%)</w:t>
                  </w:r>
                </w:p>
              </w:tc>
              <w:tc>
                <w:tcPr>
                  <w:tcW w:w="880" w:type="dxa"/>
                  <w:tcBorders>
                    <w:top w:val="nil"/>
                    <w:left w:val="nil"/>
                    <w:bottom w:val="nil"/>
                    <w:right w:val="nil"/>
                  </w:tcBorders>
                  <w:shd w:val="clear" w:color="auto" w:fill="auto"/>
                  <w:noWrap/>
                  <w:vAlign w:val="bottom"/>
                  <w:hideMark/>
                </w:tcPr>
                <w:p w14:paraId="3AED5D1A" w14:textId="22DDB9EF" w:rsidR="006C06C0" w:rsidRPr="006C06C0" w:rsidRDefault="00851D34"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1.8%</w:t>
                  </w:r>
                </w:p>
              </w:tc>
              <w:tc>
                <w:tcPr>
                  <w:tcW w:w="960" w:type="dxa"/>
                  <w:tcBorders>
                    <w:top w:val="nil"/>
                    <w:left w:val="nil"/>
                    <w:bottom w:val="nil"/>
                    <w:right w:val="nil"/>
                  </w:tcBorders>
                  <w:shd w:val="clear" w:color="auto" w:fill="auto"/>
                  <w:noWrap/>
                  <w:vAlign w:val="bottom"/>
                  <w:hideMark/>
                </w:tcPr>
                <w:p w14:paraId="3F198AFB" w14:textId="4C88E6AE" w:rsidR="006C06C0" w:rsidRPr="006C06C0" w:rsidRDefault="00CE69D7"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3.8%</w:t>
                  </w:r>
                </w:p>
              </w:tc>
              <w:tc>
                <w:tcPr>
                  <w:tcW w:w="960" w:type="dxa"/>
                  <w:tcBorders>
                    <w:top w:val="nil"/>
                    <w:left w:val="nil"/>
                    <w:bottom w:val="nil"/>
                    <w:right w:val="nil"/>
                  </w:tcBorders>
                  <w:shd w:val="clear" w:color="auto" w:fill="auto"/>
                  <w:noWrap/>
                  <w:vAlign w:val="bottom"/>
                  <w:hideMark/>
                </w:tcPr>
                <w:p w14:paraId="51F5A589" w14:textId="10787A08" w:rsidR="006C06C0" w:rsidRPr="006C06C0" w:rsidRDefault="00686A3F"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7.0%</w:t>
                  </w:r>
                </w:p>
              </w:tc>
              <w:tc>
                <w:tcPr>
                  <w:tcW w:w="1000" w:type="dxa"/>
                  <w:tcBorders>
                    <w:top w:val="nil"/>
                    <w:left w:val="nil"/>
                    <w:bottom w:val="nil"/>
                    <w:right w:val="nil"/>
                  </w:tcBorders>
                  <w:shd w:val="clear" w:color="auto" w:fill="auto"/>
                  <w:noWrap/>
                  <w:vAlign w:val="bottom"/>
                  <w:hideMark/>
                </w:tcPr>
                <w:p w14:paraId="57DC5741" w14:textId="414A9F7A" w:rsidR="006C06C0" w:rsidRPr="006C06C0" w:rsidRDefault="00AC1FC7"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6.6%</w:t>
                  </w:r>
                </w:p>
              </w:tc>
              <w:tc>
                <w:tcPr>
                  <w:tcW w:w="960" w:type="dxa"/>
                  <w:tcBorders>
                    <w:top w:val="nil"/>
                    <w:left w:val="nil"/>
                    <w:bottom w:val="nil"/>
                    <w:right w:val="nil"/>
                  </w:tcBorders>
                  <w:shd w:val="clear" w:color="auto" w:fill="auto"/>
                  <w:noWrap/>
                  <w:vAlign w:val="bottom"/>
                  <w:hideMark/>
                </w:tcPr>
                <w:p w14:paraId="3B0C3453" w14:textId="202D3FB9" w:rsidR="006C06C0" w:rsidRPr="006C06C0" w:rsidRDefault="00AC1FC7" w:rsidP="006C06C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7.9%</w:t>
                  </w:r>
                </w:p>
              </w:tc>
              <w:tc>
                <w:tcPr>
                  <w:tcW w:w="940" w:type="dxa"/>
                  <w:tcBorders>
                    <w:top w:val="nil"/>
                    <w:left w:val="nil"/>
                    <w:bottom w:val="nil"/>
                    <w:right w:val="nil"/>
                  </w:tcBorders>
                  <w:shd w:val="clear" w:color="auto" w:fill="auto"/>
                  <w:noWrap/>
                  <w:vAlign w:val="bottom"/>
                  <w:hideMark/>
                </w:tcPr>
                <w:p w14:paraId="5E403A94" w14:textId="3E9A2375"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0.84</w:t>
                  </w:r>
                  <w:r w:rsidR="000124DC">
                    <w:rPr>
                      <w:rFonts w:ascii="Calibri" w:eastAsia="Times New Roman" w:hAnsi="Calibri" w:cs="Calibri"/>
                      <w:color w:val="000000"/>
                      <w:lang w:eastAsia="en-GB"/>
                    </w:rPr>
                    <w:t>%</w:t>
                  </w:r>
                </w:p>
              </w:tc>
              <w:tc>
                <w:tcPr>
                  <w:tcW w:w="960" w:type="dxa"/>
                  <w:tcBorders>
                    <w:top w:val="nil"/>
                    <w:left w:val="nil"/>
                    <w:bottom w:val="nil"/>
                    <w:right w:val="nil"/>
                  </w:tcBorders>
                  <w:shd w:val="clear" w:color="auto" w:fill="auto"/>
                  <w:noWrap/>
                  <w:vAlign w:val="bottom"/>
                  <w:hideMark/>
                </w:tcPr>
                <w:p w14:paraId="61142538" w14:textId="3A4F1406"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1.5</w:t>
                  </w:r>
                  <w:r w:rsidR="000124DC">
                    <w:rPr>
                      <w:rFonts w:ascii="Calibri" w:eastAsia="Times New Roman" w:hAnsi="Calibri" w:cs="Calibri"/>
                      <w:color w:val="000000"/>
                      <w:lang w:eastAsia="en-GB"/>
                    </w:rPr>
                    <w:t>%</w:t>
                  </w:r>
                </w:p>
              </w:tc>
              <w:tc>
                <w:tcPr>
                  <w:tcW w:w="1240" w:type="dxa"/>
                  <w:tcBorders>
                    <w:top w:val="nil"/>
                    <w:left w:val="nil"/>
                    <w:bottom w:val="nil"/>
                    <w:right w:val="nil"/>
                  </w:tcBorders>
                  <w:shd w:val="clear" w:color="auto" w:fill="auto"/>
                  <w:noWrap/>
                  <w:vAlign w:val="bottom"/>
                  <w:hideMark/>
                </w:tcPr>
                <w:p w14:paraId="5CE4ACEF" w14:textId="06BFFFD4" w:rsidR="006C06C0" w:rsidRPr="006C06C0" w:rsidRDefault="006C06C0" w:rsidP="006C06C0">
                  <w:pPr>
                    <w:spacing w:after="0" w:line="240" w:lineRule="auto"/>
                    <w:jc w:val="right"/>
                    <w:rPr>
                      <w:rFonts w:ascii="Calibri" w:eastAsia="Times New Roman" w:hAnsi="Calibri" w:cs="Calibri"/>
                      <w:color w:val="000000"/>
                      <w:lang w:eastAsia="en-GB"/>
                    </w:rPr>
                  </w:pPr>
                  <w:r w:rsidRPr="006C06C0">
                    <w:rPr>
                      <w:rFonts w:ascii="Calibri" w:eastAsia="Times New Roman" w:hAnsi="Calibri" w:cs="Calibri"/>
                      <w:color w:val="000000"/>
                      <w:lang w:eastAsia="en-GB"/>
                    </w:rPr>
                    <w:t>0.</w:t>
                  </w:r>
                  <w:r w:rsidR="000E18EF">
                    <w:rPr>
                      <w:rFonts w:ascii="Calibri" w:eastAsia="Times New Roman" w:hAnsi="Calibri" w:cs="Calibri"/>
                      <w:color w:val="000000"/>
                      <w:lang w:eastAsia="en-GB"/>
                    </w:rPr>
                    <w:t>31</w:t>
                  </w:r>
                  <w:r w:rsidR="000124DC">
                    <w:rPr>
                      <w:rFonts w:ascii="Calibri" w:eastAsia="Times New Roman" w:hAnsi="Calibri" w:cs="Calibri"/>
                      <w:color w:val="000000"/>
                      <w:lang w:eastAsia="en-GB"/>
                    </w:rPr>
                    <w:t>%</w:t>
                  </w:r>
                </w:p>
              </w:tc>
            </w:tr>
          </w:tbl>
          <w:p w14:paraId="03B8A813" w14:textId="46AB86DC" w:rsidR="00DA0B99" w:rsidRPr="00DA0B99" w:rsidRDefault="00DA0B99" w:rsidP="00DA0B99">
            <w:pPr>
              <w:spacing w:after="0" w:line="240" w:lineRule="auto"/>
              <w:rPr>
                <w:rFonts w:ascii="Calibri" w:eastAsia="Times New Roman" w:hAnsi="Calibri" w:cs="Calibri"/>
                <w:b/>
                <w:bCs/>
                <w:color w:val="000000"/>
                <w:lang w:eastAsia="en-GB"/>
              </w:rPr>
            </w:pPr>
          </w:p>
        </w:tc>
        <w:tc>
          <w:tcPr>
            <w:tcW w:w="880" w:type="dxa"/>
            <w:tcBorders>
              <w:top w:val="nil"/>
              <w:left w:val="nil"/>
              <w:bottom w:val="nil"/>
              <w:right w:val="nil"/>
            </w:tcBorders>
            <w:shd w:val="clear" w:color="auto" w:fill="auto"/>
            <w:noWrap/>
            <w:vAlign w:val="bottom"/>
          </w:tcPr>
          <w:p w14:paraId="5E149640" w14:textId="52C0B9FA" w:rsidR="00DA0B99" w:rsidRPr="00DA0B99" w:rsidRDefault="00DA0B99" w:rsidP="00DA0B9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tcPr>
          <w:p w14:paraId="56D4FBAD" w14:textId="1AE15D30" w:rsidR="00DA0B99" w:rsidRPr="00DA0B99" w:rsidRDefault="00DA0B99" w:rsidP="00DA0B9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tcPr>
          <w:p w14:paraId="43C8014D" w14:textId="5A58C744" w:rsidR="00DA0B99" w:rsidRPr="00DA0B99" w:rsidRDefault="00DA0B99" w:rsidP="00DA0B9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noWrap/>
            <w:vAlign w:val="bottom"/>
          </w:tcPr>
          <w:p w14:paraId="6AE6BE90" w14:textId="7BD5F65A" w:rsidR="00DA0B99" w:rsidRPr="00DA0B99" w:rsidRDefault="00DA0B99" w:rsidP="00DA0B9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tcPr>
          <w:p w14:paraId="3129811E" w14:textId="72DF4E91" w:rsidR="00DA0B99" w:rsidRPr="00DA0B99" w:rsidRDefault="00DA0B99" w:rsidP="00DA0B99">
            <w:pPr>
              <w:spacing w:after="0" w:line="240" w:lineRule="auto"/>
              <w:jc w:val="right"/>
              <w:rPr>
                <w:rFonts w:ascii="Calibri" w:eastAsia="Times New Roman" w:hAnsi="Calibri" w:cs="Calibri"/>
                <w:color w:val="000000"/>
                <w:lang w:eastAsia="en-GB"/>
              </w:rPr>
            </w:pPr>
          </w:p>
        </w:tc>
        <w:tc>
          <w:tcPr>
            <w:tcW w:w="940" w:type="dxa"/>
            <w:tcBorders>
              <w:top w:val="nil"/>
              <w:left w:val="nil"/>
              <w:bottom w:val="nil"/>
              <w:right w:val="nil"/>
            </w:tcBorders>
            <w:shd w:val="clear" w:color="auto" w:fill="auto"/>
            <w:noWrap/>
            <w:vAlign w:val="bottom"/>
          </w:tcPr>
          <w:p w14:paraId="204B1778" w14:textId="4D669141" w:rsidR="00DA0B99" w:rsidRPr="00DA0B99" w:rsidRDefault="00DA0B99" w:rsidP="00DA0B99">
            <w:pPr>
              <w:spacing w:after="0" w:line="240" w:lineRule="auto"/>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tcPr>
          <w:p w14:paraId="7BD01994" w14:textId="3956AE39" w:rsidR="00DA0B99" w:rsidRPr="00DA0B99" w:rsidRDefault="00DA0B99" w:rsidP="00DA0B99">
            <w:pPr>
              <w:spacing w:after="0" w:line="240" w:lineRule="auto"/>
              <w:rPr>
                <w:rFonts w:ascii="Calibri" w:eastAsia="Times New Roman" w:hAnsi="Calibri" w:cs="Calibri"/>
                <w:b/>
                <w:bCs/>
                <w:color w:val="000000"/>
                <w:lang w:eastAsia="en-GB"/>
              </w:rPr>
            </w:pPr>
          </w:p>
        </w:tc>
        <w:tc>
          <w:tcPr>
            <w:tcW w:w="1240" w:type="dxa"/>
            <w:tcBorders>
              <w:top w:val="nil"/>
              <w:left w:val="nil"/>
              <w:bottom w:val="nil"/>
              <w:right w:val="nil"/>
            </w:tcBorders>
            <w:shd w:val="clear" w:color="auto" w:fill="auto"/>
            <w:noWrap/>
            <w:vAlign w:val="bottom"/>
          </w:tcPr>
          <w:p w14:paraId="79722B70" w14:textId="19ADBDCA" w:rsidR="00DA0B99" w:rsidRPr="00DA0B99" w:rsidRDefault="00DA0B99" w:rsidP="00DA0B99">
            <w:pPr>
              <w:spacing w:after="0" w:line="240" w:lineRule="auto"/>
              <w:rPr>
                <w:rFonts w:ascii="Calibri" w:eastAsia="Times New Roman" w:hAnsi="Calibri" w:cs="Calibri"/>
                <w:b/>
                <w:bCs/>
                <w:color w:val="000000"/>
                <w:lang w:eastAsia="en-GB"/>
              </w:rPr>
            </w:pPr>
          </w:p>
        </w:tc>
      </w:tr>
      <w:tr w:rsidR="00DA0B99" w:rsidRPr="00DA0B99" w14:paraId="2E26085F" w14:textId="77777777" w:rsidTr="00894F2A">
        <w:trPr>
          <w:trHeight w:val="300"/>
        </w:trPr>
        <w:tc>
          <w:tcPr>
            <w:tcW w:w="9873" w:type="dxa"/>
            <w:tcBorders>
              <w:top w:val="nil"/>
              <w:left w:val="nil"/>
              <w:bottom w:val="nil"/>
              <w:right w:val="nil"/>
            </w:tcBorders>
            <w:shd w:val="clear" w:color="auto" w:fill="auto"/>
            <w:noWrap/>
            <w:vAlign w:val="bottom"/>
          </w:tcPr>
          <w:p w14:paraId="18A937DF" w14:textId="577EE60D" w:rsidR="00DA0B99" w:rsidRPr="00DA0B99" w:rsidRDefault="00DA0B99" w:rsidP="00DA0B99">
            <w:pPr>
              <w:spacing w:after="0" w:line="240" w:lineRule="auto"/>
              <w:rPr>
                <w:rFonts w:ascii="Calibri" w:eastAsia="Times New Roman" w:hAnsi="Calibri" w:cs="Calibri"/>
                <w:color w:val="000000"/>
                <w:lang w:eastAsia="en-GB"/>
              </w:rPr>
            </w:pPr>
          </w:p>
        </w:tc>
        <w:tc>
          <w:tcPr>
            <w:tcW w:w="880" w:type="dxa"/>
            <w:tcBorders>
              <w:top w:val="nil"/>
              <w:left w:val="nil"/>
              <w:bottom w:val="nil"/>
              <w:right w:val="nil"/>
            </w:tcBorders>
            <w:shd w:val="clear" w:color="auto" w:fill="auto"/>
            <w:vAlign w:val="center"/>
          </w:tcPr>
          <w:p w14:paraId="2ED1348A" w14:textId="4BB0C4E8" w:rsidR="00DA0B99" w:rsidRPr="00DA0B99" w:rsidRDefault="00DA0B99" w:rsidP="00DA0B9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vAlign w:val="center"/>
          </w:tcPr>
          <w:p w14:paraId="2AD95366" w14:textId="2E2E9256" w:rsidR="00DA0B99" w:rsidRPr="00DA0B99" w:rsidRDefault="00DA0B99" w:rsidP="00DA0B9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vAlign w:val="center"/>
          </w:tcPr>
          <w:p w14:paraId="6E612B8C" w14:textId="3D457F39" w:rsidR="00DA0B99" w:rsidRPr="00DA0B99" w:rsidRDefault="00DA0B99" w:rsidP="00DA0B9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vAlign w:val="center"/>
          </w:tcPr>
          <w:p w14:paraId="20D07C3E" w14:textId="0890FCF9" w:rsidR="00DA0B99" w:rsidRPr="00DA0B99" w:rsidRDefault="00DA0B99" w:rsidP="00DA0B9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000000" w:fill="FFFF00"/>
            <w:noWrap/>
            <w:vAlign w:val="center"/>
          </w:tcPr>
          <w:p w14:paraId="793B1D07" w14:textId="20D0E294" w:rsidR="00DA0B99" w:rsidRPr="00DA0B99" w:rsidRDefault="00DA0B99" w:rsidP="00DA0B99">
            <w:pPr>
              <w:spacing w:after="0" w:line="240" w:lineRule="auto"/>
              <w:jc w:val="right"/>
              <w:rPr>
                <w:rFonts w:ascii="Calibri" w:eastAsia="Times New Roman" w:hAnsi="Calibri" w:cs="Calibri"/>
                <w:color w:val="000000"/>
                <w:lang w:eastAsia="en-GB"/>
              </w:rPr>
            </w:pPr>
          </w:p>
        </w:tc>
        <w:tc>
          <w:tcPr>
            <w:tcW w:w="940" w:type="dxa"/>
            <w:tcBorders>
              <w:top w:val="nil"/>
              <w:left w:val="nil"/>
              <w:bottom w:val="nil"/>
              <w:right w:val="nil"/>
            </w:tcBorders>
            <w:shd w:val="clear" w:color="000000" w:fill="FFFF00"/>
            <w:noWrap/>
            <w:vAlign w:val="center"/>
          </w:tcPr>
          <w:p w14:paraId="6BD592D2" w14:textId="0302E326" w:rsidR="00DA0B99" w:rsidRPr="00DA0B99" w:rsidRDefault="00DA0B99" w:rsidP="00DA0B9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000000" w:fill="FFFF00"/>
            <w:noWrap/>
            <w:vAlign w:val="center"/>
          </w:tcPr>
          <w:p w14:paraId="7B6E7719" w14:textId="5EABE1D0" w:rsidR="00DA0B99" w:rsidRPr="00DA0B99" w:rsidRDefault="00DA0B99" w:rsidP="00DA0B99">
            <w:pPr>
              <w:spacing w:after="0" w:line="240" w:lineRule="auto"/>
              <w:jc w:val="right"/>
              <w:rPr>
                <w:rFonts w:ascii="Calibri" w:eastAsia="Times New Roman" w:hAnsi="Calibri" w:cs="Calibri"/>
                <w:color w:val="000000"/>
                <w:lang w:eastAsia="en-GB"/>
              </w:rPr>
            </w:pPr>
          </w:p>
        </w:tc>
        <w:tc>
          <w:tcPr>
            <w:tcW w:w="1240" w:type="dxa"/>
            <w:tcBorders>
              <w:top w:val="nil"/>
              <w:left w:val="nil"/>
              <w:bottom w:val="nil"/>
              <w:right w:val="nil"/>
            </w:tcBorders>
            <w:shd w:val="clear" w:color="auto" w:fill="auto"/>
            <w:noWrap/>
            <w:vAlign w:val="bottom"/>
          </w:tcPr>
          <w:p w14:paraId="57DC012D" w14:textId="3D6173FF" w:rsidR="00DA0B99" w:rsidRPr="00DA0B99" w:rsidRDefault="00DA0B99" w:rsidP="00DA0B99">
            <w:pPr>
              <w:spacing w:after="0" w:line="240" w:lineRule="auto"/>
              <w:jc w:val="right"/>
              <w:rPr>
                <w:rFonts w:ascii="Calibri" w:eastAsia="Times New Roman" w:hAnsi="Calibri" w:cs="Calibri"/>
                <w:color w:val="000000"/>
                <w:lang w:eastAsia="en-GB"/>
              </w:rPr>
            </w:pPr>
          </w:p>
        </w:tc>
      </w:tr>
      <w:tr w:rsidR="00DA0B99" w:rsidRPr="00DA0B99" w14:paraId="770C1BD5" w14:textId="77777777" w:rsidTr="00894F2A">
        <w:trPr>
          <w:trHeight w:val="300"/>
        </w:trPr>
        <w:tc>
          <w:tcPr>
            <w:tcW w:w="9873" w:type="dxa"/>
            <w:tcBorders>
              <w:top w:val="nil"/>
              <w:left w:val="nil"/>
              <w:bottom w:val="nil"/>
              <w:right w:val="nil"/>
            </w:tcBorders>
            <w:shd w:val="clear" w:color="auto" w:fill="auto"/>
            <w:noWrap/>
            <w:vAlign w:val="bottom"/>
          </w:tcPr>
          <w:p w14:paraId="041BE302" w14:textId="7BC4CC45" w:rsidR="00DA0B99" w:rsidRPr="00DA0B99" w:rsidRDefault="00DA0B99" w:rsidP="00DA0B99">
            <w:pPr>
              <w:spacing w:after="0" w:line="240" w:lineRule="auto"/>
              <w:rPr>
                <w:rFonts w:ascii="Calibri" w:eastAsia="Times New Roman" w:hAnsi="Calibri" w:cs="Calibri"/>
                <w:color w:val="000000"/>
                <w:lang w:eastAsia="en-GB"/>
              </w:rPr>
            </w:pPr>
          </w:p>
        </w:tc>
        <w:tc>
          <w:tcPr>
            <w:tcW w:w="880" w:type="dxa"/>
            <w:tcBorders>
              <w:top w:val="nil"/>
              <w:left w:val="nil"/>
              <w:bottom w:val="nil"/>
              <w:right w:val="nil"/>
            </w:tcBorders>
            <w:shd w:val="clear" w:color="auto" w:fill="auto"/>
            <w:vAlign w:val="center"/>
          </w:tcPr>
          <w:p w14:paraId="3CE06392" w14:textId="1464D825" w:rsidR="00DA0B99" w:rsidRPr="00DA0B99" w:rsidRDefault="00DA0B99" w:rsidP="00DA0B9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vAlign w:val="center"/>
          </w:tcPr>
          <w:p w14:paraId="0758B973" w14:textId="2EF8A87F" w:rsidR="00DA0B99" w:rsidRPr="00DA0B99" w:rsidRDefault="00DA0B99" w:rsidP="00DA0B9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vAlign w:val="center"/>
          </w:tcPr>
          <w:p w14:paraId="71CF2958" w14:textId="0399665D" w:rsidR="00DA0B99" w:rsidRPr="00DA0B99" w:rsidRDefault="00DA0B99" w:rsidP="00DA0B99">
            <w:pPr>
              <w:spacing w:after="0" w:line="240" w:lineRule="auto"/>
              <w:jc w:val="right"/>
              <w:rPr>
                <w:rFonts w:ascii="Calibri" w:eastAsia="Times New Roman" w:hAnsi="Calibri" w:cs="Calibri"/>
                <w:color w:val="000000"/>
                <w:lang w:eastAsia="en-GB"/>
              </w:rPr>
            </w:pPr>
          </w:p>
        </w:tc>
        <w:tc>
          <w:tcPr>
            <w:tcW w:w="1000" w:type="dxa"/>
            <w:tcBorders>
              <w:top w:val="nil"/>
              <w:left w:val="nil"/>
              <w:bottom w:val="nil"/>
              <w:right w:val="nil"/>
            </w:tcBorders>
            <w:shd w:val="clear" w:color="auto" w:fill="auto"/>
            <w:vAlign w:val="center"/>
          </w:tcPr>
          <w:p w14:paraId="33721A7E" w14:textId="6A66C4D1" w:rsidR="00DA0B99" w:rsidRPr="00DA0B99" w:rsidRDefault="00DA0B99" w:rsidP="00DA0B9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000000" w:fill="FFFF00"/>
            <w:noWrap/>
            <w:vAlign w:val="center"/>
          </w:tcPr>
          <w:p w14:paraId="3B6F21A0" w14:textId="33E81B29" w:rsidR="00DA0B99" w:rsidRPr="00DA0B99" w:rsidRDefault="00DA0B99" w:rsidP="00DA0B99">
            <w:pPr>
              <w:spacing w:after="0" w:line="240" w:lineRule="auto"/>
              <w:jc w:val="right"/>
              <w:rPr>
                <w:rFonts w:ascii="Calibri" w:eastAsia="Times New Roman" w:hAnsi="Calibri" w:cs="Calibri"/>
                <w:color w:val="000000"/>
                <w:lang w:eastAsia="en-GB"/>
              </w:rPr>
            </w:pPr>
          </w:p>
        </w:tc>
        <w:tc>
          <w:tcPr>
            <w:tcW w:w="940" w:type="dxa"/>
            <w:tcBorders>
              <w:top w:val="nil"/>
              <w:left w:val="nil"/>
              <w:bottom w:val="nil"/>
              <w:right w:val="nil"/>
            </w:tcBorders>
            <w:shd w:val="clear" w:color="auto" w:fill="auto"/>
            <w:noWrap/>
            <w:vAlign w:val="bottom"/>
          </w:tcPr>
          <w:p w14:paraId="3169C666" w14:textId="30A7E425" w:rsidR="00DA0B99" w:rsidRPr="00DA0B99" w:rsidRDefault="00DA0B99" w:rsidP="00DA0B99">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tcPr>
          <w:p w14:paraId="41ED17A3" w14:textId="1ED37122" w:rsidR="00DA0B99" w:rsidRPr="00DA0B99" w:rsidRDefault="00DA0B99" w:rsidP="00DA0B99">
            <w:pPr>
              <w:spacing w:after="0" w:line="240" w:lineRule="auto"/>
              <w:jc w:val="right"/>
              <w:rPr>
                <w:rFonts w:ascii="Calibri" w:eastAsia="Times New Roman" w:hAnsi="Calibri" w:cs="Calibri"/>
                <w:color w:val="000000"/>
                <w:lang w:eastAsia="en-GB"/>
              </w:rPr>
            </w:pPr>
          </w:p>
        </w:tc>
        <w:tc>
          <w:tcPr>
            <w:tcW w:w="1240" w:type="dxa"/>
            <w:tcBorders>
              <w:top w:val="nil"/>
              <w:left w:val="nil"/>
              <w:bottom w:val="nil"/>
              <w:right w:val="nil"/>
            </w:tcBorders>
            <w:shd w:val="clear" w:color="000000" w:fill="FFFF00"/>
            <w:noWrap/>
            <w:vAlign w:val="center"/>
          </w:tcPr>
          <w:p w14:paraId="3FB0A739" w14:textId="3A4C5E89" w:rsidR="00DA0B99" w:rsidRPr="00DA0B99" w:rsidRDefault="00DA0B99" w:rsidP="00DA0B99">
            <w:pPr>
              <w:spacing w:after="0" w:line="240" w:lineRule="auto"/>
              <w:jc w:val="right"/>
              <w:rPr>
                <w:rFonts w:ascii="Calibri" w:eastAsia="Times New Roman" w:hAnsi="Calibri" w:cs="Calibri"/>
                <w:color w:val="000000"/>
                <w:lang w:eastAsia="en-GB"/>
              </w:rPr>
            </w:pPr>
          </w:p>
        </w:tc>
      </w:tr>
      <w:tr w:rsidR="00DA0B99" w:rsidRPr="00DA0B99" w14:paraId="4362B010" w14:textId="77777777" w:rsidTr="00894F2A">
        <w:trPr>
          <w:trHeight w:val="300"/>
        </w:trPr>
        <w:tc>
          <w:tcPr>
            <w:tcW w:w="9873" w:type="dxa"/>
            <w:tcBorders>
              <w:top w:val="nil"/>
              <w:left w:val="nil"/>
              <w:bottom w:val="nil"/>
              <w:right w:val="nil"/>
            </w:tcBorders>
            <w:shd w:val="clear" w:color="auto" w:fill="auto"/>
            <w:noWrap/>
            <w:vAlign w:val="bottom"/>
          </w:tcPr>
          <w:p w14:paraId="12F21782" w14:textId="77777777" w:rsidR="00543BFC" w:rsidRDefault="00543BFC" w:rsidP="00DA0B99">
            <w:pPr>
              <w:spacing w:after="0" w:line="240" w:lineRule="auto"/>
              <w:rPr>
                <w:rFonts w:ascii="Arial" w:eastAsia="Times New Roman" w:hAnsi="Arial" w:cs="Arial"/>
                <w:b/>
                <w:bCs/>
                <w:color w:val="000000"/>
                <w:lang w:eastAsia="en-GB"/>
              </w:rPr>
            </w:pPr>
          </w:p>
          <w:p w14:paraId="01008CF6" w14:textId="77777777" w:rsidR="00543BFC" w:rsidRDefault="00543BFC" w:rsidP="00DA0B99">
            <w:pPr>
              <w:spacing w:after="0" w:line="240" w:lineRule="auto"/>
              <w:rPr>
                <w:rFonts w:ascii="Arial" w:eastAsia="Times New Roman" w:hAnsi="Arial" w:cs="Arial"/>
                <w:b/>
                <w:bCs/>
                <w:color w:val="000000"/>
                <w:lang w:eastAsia="en-GB"/>
              </w:rPr>
            </w:pPr>
          </w:p>
          <w:p w14:paraId="611CD0E6" w14:textId="6C7C8B80" w:rsidR="00F65D24" w:rsidRDefault="002163DE" w:rsidP="00DA0B99">
            <w:pPr>
              <w:spacing w:after="0" w:line="240" w:lineRule="auto"/>
              <w:rPr>
                <w:rFonts w:ascii="Arial" w:eastAsia="Times New Roman" w:hAnsi="Arial" w:cs="Arial"/>
                <w:b/>
                <w:bCs/>
                <w:color w:val="000000"/>
                <w:lang w:eastAsia="en-GB"/>
              </w:rPr>
            </w:pPr>
            <w:r w:rsidRPr="00F65D24">
              <w:rPr>
                <w:rFonts w:ascii="Arial" w:eastAsia="Times New Roman" w:hAnsi="Arial" w:cs="Arial"/>
                <w:b/>
                <w:bCs/>
                <w:color w:val="000000"/>
                <w:lang w:eastAsia="en-GB"/>
              </w:rPr>
              <w:t xml:space="preserve">O/PM: Operating </w:t>
            </w:r>
            <w:r w:rsidR="00CA15C0" w:rsidRPr="00F65D24">
              <w:rPr>
                <w:rFonts w:ascii="Arial" w:eastAsia="Times New Roman" w:hAnsi="Arial" w:cs="Arial"/>
                <w:b/>
                <w:bCs/>
                <w:color w:val="000000"/>
                <w:lang w:eastAsia="en-GB"/>
              </w:rPr>
              <w:t>Profit Margin</w:t>
            </w:r>
          </w:p>
          <w:p w14:paraId="571C56DC" w14:textId="77777777" w:rsidR="00111956" w:rsidRPr="00F65D24" w:rsidRDefault="00111956" w:rsidP="00DA0B99">
            <w:pPr>
              <w:spacing w:after="0" w:line="240" w:lineRule="auto"/>
              <w:rPr>
                <w:rFonts w:ascii="Arial" w:eastAsia="Times New Roman" w:hAnsi="Arial" w:cs="Arial"/>
                <w:b/>
                <w:bCs/>
                <w:color w:val="000000"/>
                <w:lang w:eastAsia="en-GB"/>
              </w:rPr>
            </w:pPr>
          </w:p>
          <w:p w14:paraId="2694AA53" w14:textId="64D25ECD" w:rsidR="00CA15C0" w:rsidRPr="00F65D24" w:rsidRDefault="00CA15C0" w:rsidP="00DA0B99">
            <w:pPr>
              <w:spacing w:after="0" w:line="240" w:lineRule="auto"/>
              <w:rPr>
                <w:rFonts w:ascii="Arial" w:eastAsia="Times New Roman" w:hAnsi="Arial" w:cs="Arial"/>
                <w:b/>
                <w:bCs/>
                <w:color w:val="000000"/>
                <w:lang w:eastAsia="en-GB"/>
              </w:rPr>
            </w:pPr>
            <w:r w:rsidRPr="00F65D24">
              <w:rPr>
                <w:rFonts w:ascii="Arial" w:eastAsia="Times New Roman" w:hAnsi="Arial" w:cs="Arial"/>
                <w:b/>
                <w:bCs/>
                <w:color w:val="000000"/>
                <w:lang w:eastAsia="en-GB"/>
              </w:rPr>
              <w:t>G/PM: Gross Profit Margin</w:t>
            </w:r>
          </w:p>
        </w:tc>
        <w:tc>
          <w:tcPr>
            <w:tcW w:w="880" w:type="dxa"/>
            <w:tcBorders>
              <w:top w:val="nil"/>
              <w:left w:val="nil"/>
              <w:bottom w:val="nil"/>
              <w:right w:val="nil"/>
            </w:tcBorders>
            <w:shd w:val="clear" w:color="auto" w:fill="auto"/>
            <w:noWrap/>
            <w:vAlign w:val="bottom"/>
          </w:tcPr>
          <w:p w14:paraId="3056F404" w14:textId="664BAAE7" w:rsidR="00DA0B99" w:rsidRPr="00DA0B99" w:rsidRDefault="00DA0B99" w:rsidP="00DA0B99">
            <w:pPr>
              <w:spacing w:after="0" w:line="240" w:lineRule="auto"/>
              <w:jc w:val="right"/>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tcPr>
          <w:p w14:paraId="12DC0A55" w14:textId="26DF79AD" w:rsidR="00DA0B99" w:rsidRPr="00DA0B99" w:rsidRDefault="00DA0B99" w:rsidP="00DA0B99">
            <w:pPr>
              <w:spacing w:after="0" w:line="240" w:lineRule="auto"/>
              <w:jc w:val="right"/>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tcPr>
          <w:p w14:paraId="1E85204B" w14:textId="6F799895" w:rsidR="00DA0B99" w:rsidRPr="00DA0B99" w:rsidRDefault="00DA0B99" w:rsidP="00DA0B99">
            <w:pPr>
              <w:spacing w:after="0" w:line="240" w:lineRule="auto"/>
              <w:jc w:val="right"/>
              <w:rPr>
                <w:rFonts w:ascii="Calibri" w:eastAsia="Times New Roman" w:hAnsi="Calibri" w:cs="Calibri"/>
                <w:b/>
                <w:bCs/>
                <w:color w:val="000000"/>
                <w:lang w:eastAsia="en-GB"/>
              </w:rPr>
            </w:pPr>
          </w:p>
        </w:tc>
        <w:tc>
          <w:tcPr>
            <w:tcW w:w="1000" w:type="dxa"/>
            <w:tcBorders>
              <w:top w:val="nil"/>
              <w:left w:val="nil"/>
              <w:bottom w:val="nil"/>
              <w:right w:val="nil"/>
            </w:tcBorders>
            <w:shd w:val="clear" w:color="auto" w:fill="auto"/>
            <w:noWrap/>
            <w:vAlign w:val="bottom"/>
          </w:tcPr>
          <w:p w14:paraId="7434A6AC" w14:textId="04ACAD1B" w:rsidR="00DA0B99" w:rsidRPr="00DA0B99" w:rsidRDefault="00DA0B99" w:rsidP="00DA0B99">
            <w:pPr>
              <w:spacing w:after="0" w:line="240" w:lineRule="auto"/>
              <w:jc w:val="right"/>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tcPr>
          <w:p w14:paraId="22EB14FD" w14:textId="7BBC5F9B" w:rsidR="00DA0B99" w:rsidRPr="00DA0B99" w:rsidRDefault="00DA0B99" w:rsidP="00DA0B99">
            <w:pPr>
              <w:spacing w:after="0" w:line="240" w:lineRule="auto"/>
              <w:jc w:val="right"/>
              <w:rPr>
                <w:rFonts w:ascii="Calibri" w:eastAsia="Times New Roman" w:hAnsi="Calibri" w:cs="Calibri"/>
                <w:b/>
                <w:bCs/>
                <w:color w:val="000000"/>
                <w:lang w:eastAsia="en-GB"/>
              </w:rPr>
            </w:pPr>
          </w:p>
        </w:tc>
        <w:tc>
          <w:tcPr>
            <w:tcW w:w="940" w:type="dxa"/>
            <w:tcBorders>
              <w:top w:val="nil"/>
              <w:left w:val="nil"/>
              <w:bottom w:val="nil"/>
              <w:right w:val="nil"/>
            </w:tcBorders>
            <w:shd w:val="clear" w:color="auto" w:fill="auto"/>
            <w:noWrap/>
            <w:vAlign w:val="bottom"/>
          </w:tcPr>
          <w:p w14:paraId="2F90F52B" w14:textId="63958FD9" w:rsidR="00DA0B99" w:rsidRPr="00DA0B99" w:rsidRDefault="00DA0B99" w:rsidP="00DA0B99">
            <w:pPr>
              <w:spacing w:after="0" w:line="240" w:lineRule="auto"/>
              <w:jc w:val="right"/>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tcPr>
          <w:p w14:paraId="671A427E" w14:textId="130C8D4D" w:rsidR="00DA0B99" w:rsidRPr="00DA0B99" w:rsidRDefault="00DA0B99" w:rsidP="00DA0B99">
            <w:pPr>
              <w:spacing w:after="0" w:line="240" w:lineRule="auto"/>
              <w:jc w:val="right"/>
              <w:rPr>
                <w:rFonts w:ascii="Calibri" w:eastAsia="Times New Roman" w:hAnsi="Calibri" w:cs="Calibri"/>
                <w:b/>
                <w:bCs/>
                <w:color w:val="000000"/>
                <w:lang w:eastAsia="en-GB"/>
              </w:rPr>
            </w:pPr>
          </w:p>
        </w:tc>
        <w:tc>
          <w:tcPr>
            <w:tcW w:w="1240" w:type="dxa"/>
            <w:tcBorders>
              <w:top w:val="nil"/>
              <w:left w:val="nil"/>
              <w:bottom w:val="nil"/>
              <w:right w:val="nil"/>
            </w:tcBorders>
            <w:shd w:val="clear" w:color="auto" w:fill="auto"/>
            <w:noWrap/>
            <w:vAlign w:val="bottom"/>
          </w:tcPr>
          <w:p w14:paraId="7575CDBD" w14:textId="47DD622F" w:rsidR="00DA0B99" w:rsidRPr="00DA0B99" w:rsidRDefault="00DA0B99" w:rsidP="00DA0B99">
            <w:pPr>
              <w:spacing w:after="0" w:line="240" w:lineRule="auto"/>
              <w:jc w:val="right"/>
              <w:rPr>
                <w:rFonts w:ascii="Calibri" w:eastAsia="Times New Roman" w:hAnsi="Calibri" w:cs="Calibri"/>
                <w:b/>
                <w:bCs/>
                <w:color w:val="000000"/>
                <w:lang w:eastAsia="en-GB"/>
              </w:rPr>
            </w:pPr>
          </w:p>
        </w:tc>
      </w:tr>
      <w:tr w:rsidR="00894F2A" w:rsidRPr="00A43B19" w14:paraId="051A8993" w14:textId="77777777" w:rsidTr="00594F2F">
        <w:trPr>
          <w:trHeight w:val="300"/>
        </w:trPr>
        <w:tc>
          <w:tcPr>
            <w:tcW w:w="9873" w:type="dxa"/>
            <w:tcBorders>
              <w:top w:val="nil"/>
              <w:left w:val="nil"/>
              <w:bottom w:val="nil"/>
              <w:right w:val="nil"/>
            </w:tcBorders>
            <w:shd w:val="clear" w:color="auto" w:fill="auto"/>
            <w:noWrap/>
            <w:vAlign w:val="bottom"/>
          </w:tcPr>
          <w:p w14:paraId="055FCD03" w14:textId="63787DA7" w:rsidR="00D80119" w:rsidRPr="00A43B19" w:rsidRDefault="00D80119" w:rsidP="00DA0B99">
            <w:pPr>
              <w:spacing w:after="0" w:line="240" w:lineRule="auto"/>
              <w:rPr>
                <w:rFonts w:ascii="Arial" w:eastAsia="Times New Roman" w:hAnsi="Arial" w:cs="Arial"/>
                <w:b/>
                <w:bCs/>
                <w:color w:val="000000"/>
                <w:lang w:eastAsia="en-GB"/>
              </w:rPr>
            </w:pPr>
          </w:p>
          <w:p w14:paraId="1C0CB194" w14:textId="77777777" w:rsidR="00543BFC" w:rsidRDefault="00543BFC" w:rsidP="00DA0B99">
            <w:pPr>
              <w:spacing w:after="0" w:line="240" w:lineRule="auto"/>
              <w:rPr>
                <w:rFonts w:ascii="Arial" w:eastAsia="Times New Roman" w:hAnsi="Arial" w:cs="Arial"/>
                <w:b/>
                <w:bCs/>
                <w:i/>
                <w:iCs/>
                <w:color w:val="000000"/>
                <w:lang w:eastAsia="en-GB"/>
              </w:rPr>
            </w:pPr>
          </w:p>
          <w:p w14:paraId="1A107813" w14:textId="77777777" w:rsidR="00543BFC" w:rsidRDefault="00543BFC" w:rsidP="00DA0B99">
            <w:pPr>
              <w:spacing w:after="0" w:line="240" w:lineRule="auto"/>
              <w:rPr>
                <w:rFonts w:ascii="Arial" w:eastAsia="Times New Roman" w:hAnsi="Arial" w:cs="Arial"/>
                <w:b/>
                <w:bCs/>
                <w:i/>
                <w:iCs/>
                <w:color w:val="000000"/>
                <w:lang w:eastAsia="en-GB"/>
              </w:rPr>
            </w:pPr>
          </w:p>
          <w:p w14:paraId="67B8DBC5" w14:textId="77777777" w:rsidR="00543BFC" w:rsidRDefault="00543BFC" w:rsidP="00DA0B99">
            <w:pPr>
              <w:spacing w:after="0" w:line="240" w:lineRule="auto"/>
              <w:rPr>
                <w:rFonts w:ascii="Arial" w:eastAsia="Times New Roman" w:hAnsi="Arial" w:cs="Arial"/>
                <w:b/>
                <w:bCs/>
                <w:i/>
                <w:iCs/>
                <w:color w:val="000000"/>
                <w:lang w:eastAsia="en-GB"/>
              </w:rPr>
            </w:pPr>
          </w:p>
          <w:p w14:paraId="2D78BD9F" w14:textId="04DB2F79" w:rsidR="00914E1D" w:rsidRDefault="001C0C6A" w:rsidP="00543BFC">
            <w:pPr>
              <w:spacing w:after="0" w:line="240" w:lineRule="auto"/>
              <w:jc w:val="both"/>
              <w:rPr>
                <w:rFonts w:ascii="Arial" w:eastAsia="Times New Roman" w:hAnsi="Arial" w:cs="Arial"/>
                <w:b/>
                <w:bCs/>
                <w:i/>
                <w:iCs/>
                <w:color w:val="000000"/>
                <w:lang w:eastAsia="en-GB"/>
              </w:rPr>
            </w:pPr>
            <w:r w:rsidRPr="00A43B19">
              <w:rPr>
                <w:rFonts w:ascii="Arial" w:eastAsia="Times New Roman" w:hAnsi="Arial" w:cs="Arial"/>
                <w:b/>
                <w:bCs/>
                <w:i/>
                <w:iCs/>
                <w:color w:val="000000"/>
                <w:lang w:eastAsia="en-GB"/>
              </w:rPr>
              <w:t xml:space="preserve">The table above shows that for every £ </w:t>
            </w:r>
            <w:r w:rsidR="00025CA9" w:rsidRPr="00A43B19">
              <w:rPr>
                <w:rFonts w:ascii="Arial" w:eastAsia="Times New Roman" w:hAnsi="Arial" w:cs="Arial"/>
                <w:b/>
                <w:bCs/>
                <w:i/>
                <w:iCs/>
                <w:color w:val="000000"/>
                <w:lang w:eastAsia="en-GB"/>
              </w:rPr>
              <w:t xml:space="preserve">GSK </w:t>
            </w:r>
            <w:r w:rsidR="00724715">
              <w:rPr>
                <w:rFonts w:ascii="Arial" w:eastAsia="Times New Roman" w:hAnsi="Arial" w:cs="Arial"/>
                <w:b/>
                <w:bCs/>
                <w:i/>
                <w:iCs/>
                <w:color w:val="000000"/>
                <w:lang w:eastAsia="en-GB"/>
              </w:rPr>
              <w:t>generate</w:t>
            </w:r>
            <w:r w:rsidR="00025CA9" w:rsidRPr="00A43B19">
              <w:rPr>
                <w:rFonts w:ascii="Arial" w:eastAsia="Times New Roman" w:hAnsi="Arial" w:cs="Arial"/>
                <w:b/>
                <w:bCs/>
                <w:i/>
                <w:iCs/>
                <w:color w:val="000000"/>
                <w:lang w:eastAsia="en-GB"/>
              </w:rPr>
              <w:t xml:space="preserve"> they receive </w:t>
            </w:r>
            <w:r w:rsidR="00A43B19" w:rsidRPr="00A43B19">
              <w:rPr>
                <w:rFonts w:ascii="Arial" w:eastAsia="Times New Roman" w:hAnsi="Arial" w:cs="Arial"/>
                <w:b/>
                <w:bCs/>
                <w:i/>
                <w:iCs/>
                <w:color w:val="000000"/>
                <w:lang w:eastAsia="en-GB"/>
              </w:rPr>
              <w:t>approximately 64%</w:t>
            </w:r>
            <w:r w:rsidR="00FC2E67">
              <w:rPr>
                <w:rFonts w:ascii="Arial" w:eastAsia="Times New Roman" w:hAnsi="Arial" w:cs="Arial"/>
                <w:b/>
                <w:bCs/>
                <w:i/>
                <w:iCs/>
                <w:color w:val="000000"/>
                <w:lang w:eastAsia="en-GB"/>
              </w:rPr>
              <w:t xml:space="preserve"> profit.</w:t>
            </w:r>
          </w:p>
          <w:p w14:paraId="68DDAAB2" w14:textId="4FF13AA3" w:rsidR="005D2625" w:rsidRPr="008C539C" w:rsidRDefault="00C9004B" w:rsidP="00543BFC">
            <w:pPr>
              <w:spacing w:after="0" w:line="240" w:lineRule="auto"/>
              <w:jc w:val="both"/>
              <w:rPr>
                <w:rFonts w:ascii="Arial" w:eastAsia="Times New Roman" w:hAnsi="Arial" w:cs="Arial"/>
                <w:b/>
                <w:bCs/>
                <w:i/>
                <w:iCs/>
                <w:color w:val="000000"/>
                <w:lang w:eastAsia="en-GB"/>
              </w:rPr>
            </w:pPr>
            <w:r>
              <w:rPr>
                <w:rFonts w:ascii="Arial" w:eastAsia="Times New Roman" w:hAnsi="Arial" w:cs="Arial"/>
                <w:b/>
                <w:bCs/>
                <w:i/>
                <w:iCs/>
                <w:color w:val="000000"/>
                <w:lang w:eastAsia="en-GB"/>
              </w:rPr>
              <w:t xml:space="preserve">Economic moat is big advantage </w:t>
            </w:r>
            <w:proofErr w:type="gramStart"/>
            <w:r>
              <w:rPr>
                <w:rFonts w:ascii="Arial" w:eastAsia="Times New Roman" w:hAnsi="Arial" w:cs="Arial"/>
                <w:b/>
                <w:bCs/>
                <w:i/>
                <w:iCs/>
                <w:color w:val="000000"/>
                <w:lang w:eastAsia="en-GB"/>
              </w:rPr>
              <w:t>a</w:t>
            </w:r>
            <w:proofErr w:type="gramEnd"/>
            <w:r>
              <w:rPr>
                <w:rFonts w:ascii="Arial" w:eastAsia="Times New Roman" w:hAnsi="Arial" w:cs="Arial"/>
                <w:b/>
                <w:bCs/>
                <w:i/>
                <w:iCs/>
                <w:color w:val="000000"/>
                <w:lang w:eastAsia="en-GB"/>
              </w:rPr>
              <w:t xml:space="preserve"> organisation </w:t>
            </w:r>
            <w:r w:rsidR="00B576B1">
              <w:rPr>
                <w:rFonts w:ascii="Arial" w:eastAsia="Times New Roman" w:hAnsi="Arial" w:cs="Arial"/>
                <w:b/>
                <w:bCs/>
                <w:i/>
                <w:iCs/>
                <w:color w:val="000000"/>
                <w:lang w:eastAsia="en-GB"/>
              </w:rPr>
              <w:t>has over their compet</w:t>
            </w:r>
            <w:r w:rsidR="0068673F">
              <w:rPr>
                <w:rFonts w:ascii="Arial" w:eastAsia="Times New Roman" w:hAnsi="Arial" w:cs="Arial"/>
                <w:b/>
                <w:bCs/>
                <w:i/>
                <w:iCs/>
                <w:color w:val="000000"/>
                <w:lang w:eastAsia="en-GB"/>
              </w:rPr>
              <w:t xml:space="preserve">ition this affords an or organisation </w:t>
            </w:r>
            <w:r w:rsidR="00E72F57">
              <w:rPr>
                <w:rFonts w:ascii="Arial" w:eastAsia="Times New Roman" w:hAnsi="Arial" w:cs="Arial"/>
                <w:b/>
                <w:bCs/>
                <w:i/>
                <w:iCs/>
                <w:color w:val="000000"/>
                <w:lang w:eastAsia="en-GB"/>
              </w:rPr>
              <w:t xml:space="preserve">to guard </w:t>
            </w:r>
            <w:r w:rsidR="00B16604">
              <w:rPr>
                <w:rFonts w:ascii="Arial" w:eastAsia="Times New Roman" w:hAnsi="Arial" w:cs="Arial"/>
                <w:b/>
                <w:bCs/>
                <w:i/>
                <w:iCs/>
                <w:color w:val="000000"/>
                <w:lang w:eastAsia="en-GB"/>
              </w:rPr>
              <w:t xml:space="preserve">their market share and profitability. </w:t>
            </w:r>
            <w:proofErr w:type="gramStart"/>
            <w:r w:rsidR="00B16604">
              <w:rPr>
                <w:rFonts w:ascii="Arial" w:eastAsia="Times New Roman" w:hAnsi="Arial" w:cs="Arial"/>
                <w:b/>
                <w:bCs/>
                <w:i/>
                <w:iCs/>
                <w:color w:val="000000"/>
                <w:lang w:eastAsia="en-GB"/>
              </w:rPr>
              <w:t>This can be a big advantage</w:t>
            </w:r>
            <w:r w:rsidR="00415BF5">
              <w:rPr>
                <w:rFonts w:ascii="Arial" w:eastAsia="Times New Roman" w:hAnsi="Arial" w:cs="Arial"/>
                <w:b/>
                <w:bCs/>
                <w:i/>
                <w:iCs/>
                <w:color w:val="000000"/>
                <w:lang w:eastAsia="en-GB"/>
              </w:rPr>
              <w:t>, which maybe hard to imitate by others</w:t>
            </w:r>
            <w:r w:rsidR="003513A4">
              <w:rPr>
                <w:rFonts w:ascii="Arial" w:eastAsia="Times New Roman" w:hAnsi="Arial" w:cs="Arial"/>
                <w:b/>
                <w:bCs/>
                <w:i/>
                <w:iCs/>
                <w:color w:val="000000"/>
                <w:lang w:eastAsia="en-GB"/>
              </w:rPr>
              <w:t xml:space="preserve"> (brand identity, patents) which </w:t>
            </w:r>
            <w:r w:rsidR="007843F3">
              <w:rPr>
                <w:rFonts w:ascii="Arial" w:eastAsia="Times New Roman" w:hAnsi="Arial" w:cs="Arial"/>
                <w:b/>
                <w:bCs/>
                <w:i/>
                <w:iCs/>
                <w:color w:val="000000"/>
                <w:lang w:eastAsia="en-GB"/>
              </w:rPr>
              <w:t>creates an effectiv</w:t>
            </w:r>
            <w:r w:rsidR="008C539C">
              <w:rPr>
                <w:rFonts w:ascii="Arial" w:eastAsia="Times New Roman" w:hAnsi="Arial" w:cs="Arial"/>
                <w:b/>
                <w:bCs/>
                <w:i/>
                <w:iCs/>
                <w:color w:val="000000"/>
                <w:lang w:eastAsia="en-GB"/>
              </w:rPr>
              <w:t>ity.</w:t>
            </w:r>
            <w:proofErr w:type="gramEnd"/>
          </w:p>
          <w:p w14:paraId="1AEA56D1" w14:textId="77777777" w:rsidR="005D2625" w:rsidRDefault="005D2625" w:rsidP="005D2625">
            <w:pPr>
              <w:rPr>
                <w:rFonts w:ascii="Arial" w:hAnsi="Arial" w:cs="Arial"/>
                <w:b/>
                <w:bCs/>
                <w:u w:val="single"/>
              </w:rPr>
            </w:pPr>
          </w:p>
          <w:p w14:paraId="72429611" w14:textId="77777777" w:rsidR="005D2625" w:rsidRPr="00A43B19" w:rsidRDefault="005D2625" w:rsidP="00DA0B99">
            <w:pPr>
              <w:spacing w:after="0" w:line="240" w:lineRule="auto"/>
              <w:rPr>
                <w:rFonts w:ascii="Arial" w:eastAsia="Times New Roman" w:hAnsi="Arial" w:cs="Arial"/>
                <w:b/>
                <w:bCs/>
                <w:i/>
                <w:iCs/>
                <w:color w:val="000000"/>
                <w:lang w:eastAsia="en-GB"/>
              </w:rPr>
            </w:pPr>
          </w:p>
          <w:p w14:paraId="3C093EF0" w14:textId="239CF29B" w:rsidR="00D1071D" w:rsidRPr="00A43B19" w:rsidRDefault="00594F2F" w:rsidP="00DA0B99">
            <w:pPr>
              <w:spacing w:after="0" w:line="240" w:lineRule="auto"/>
              <w:rPr>
                <w:rFonts w:ascii="Arial" w:eastAsia="Times New Roman" w:hAnsi="Arial" w:cs="Arial"/>
                <w:b/>
                <w:bCs/>
                <w:color w:val="000000"/>
                <w:lang w:eastAsia="en-GB"/>
              </w:rPr>
            </w:pPr>
            <w:r w:rsidRPr="00A43B19">
              <w:rPr>
                <w:rFonts w:ascii="Arial" w:hAnsi="Arial" w:cs="Arial"/>
                <w:b/>
                <w:bCs/>
                <w:noProof/>
                <w:lang w:eastAsia="en-GB"/>
              </w:rPr>
              <w:lastRenderedPageBreak/>
              <w:drawing>
                <wp:inline distT="0" distB="0" distL="0" distR="0" wp14:anchorId="5713DF33" wp14:editId="24B540B7">
                  <wp:extent cx="5553075" cy="2743200"/>
                  <wp:effectExtent l="0" t="0" r="9525" b="0"/>
                  <wp:docPr id="4" name="Chart 4">
                    <a:extLst xmlns:a="http://schemas.openxmlformats.org/drawingml/2006/main">
                      <a:ext uri="{FF2B5EF4-FFF2-40B4-BE49-F238E27FC236}">
                        <a16:creationId xmlns:a16="http://schemas.microsoft.com/office/drawing/2014/main" id="{5BA23700-58FB-4A0A-9DC3-79FE1D5463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c>
        <w:tc>
          <w:tcPr>
            <w:tcW w:w="880" w:type="dxa"/>
            <w:tcBorders>
              <w:top w:val="nil"/>
              <w:left w:val="nil"/>
              <w:bottom w:val="nil"/>
              <w:right w:val="nil"/>
            </w:tcBorders>
            <w:shd w:val="clear" w:color="auto" w:fill="auto"/>
            <w:noWrap/>
            <w:vAlign w:val="bottom"/>
          </w:tcPr>
          <w:p w14:paraId="49C050F5" w14:textId="37DB4F47" w:rsidR="00DA0B99" w:rsidRPr="00A43B19" w:rsidRDefault="00DA0B99" w:rsidP="00DA0B99">
            <w:pPr>
              <w:spacing w:after="0" w:line="240" w:lineRule="auto"/>
              <w:jc w:val="right"/>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tcPr>
          <w:p w14:paraId="71EEA3B0" w14:textId="31557E4E" w:rsidR="00DA0B99" w:rsidRPr="00A43B19" w:rsidRDefault="00DA0B99" w:rsidP="00DA0B99">
            <w:pPr>
              <w:spacing w:after="0" w:line="240" w:lineRule="auto"/>
              <w:jc w:val="right"/>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tcPr>
          <w:p w14:paraId="6B0A8B39" w14:textId="7DFB6B6F" w:rsidR="00DA0B99" w:rsidRPr="00A43B19" w:rsidRDefault="00DA0B99" w:rsidP="00DA0B99">
            <w:pPr>
              <w:spacing w:after="0" w:line="240" w:lineRule="auto"/>
              <w:jc w:val="right"/>
              <w:rPr>
                <w:rFonts w:ascii="Calibri" w:eastAsia="Times New Roman" w:hAnsi="Calibri" w:cs="Calibri"/>
                <w:b/>
                <w:bCs/>
                <w:color w:val="000000"/>
                <w:lang w:eastAsia="en-GB"/>
              </w:rPr>
            </w:pPr>
          </w:p>
        </w:tc>
        <w:tc>
          <w:tcPr>
            <w:tcW w:w="1000" w:type="dxa"/>
            <w:tcBorders>
              <w:top w:val="nil"/>
              <w:left w:val="nil"/>
              <w:bottom w:val="nil"/>
              <w:right w:val="nil"/>
            </w:tcBorders>
            <w:shd w:val="clear" w:color="auto" w:fill="auto"/>
            <w:noWrap/>
            <w:vAlign w:val="bottom"/>
          </w:tcPr>
          <w:p w14:paraId="0E8C0651" w14:textId="454B8A0A" w:rsidR="00DA0B99" w:rsidRPr="00A43B19" w:rsidRDefault="00DA0B99" w:rsidP="00DA0B99">
            <w:pPr>
              <w:spacing w:after="0" w:line="240" w:lineRule="auto"/>
              <w:jc w:val="right"/>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tcPr>
          <w:p w14:paraId="2CDB079A" w14:textId="05B9D5CB" w:rsidR="00DA0B99" w:rsidRPr="00A43B19" w:rsidRDefault="00DA0B99" w:rsidP="00DA0B99">
            <w:pPr>
              <w:spacing w:after="0" w:line="240" w:lineRule="auto"/>
              <w:jc w:val="right"/>
              <w:rPr>
                <w:rFonts w:ascii="Calibri" w:eastAsia="Times New Roman" w:hAnsi="Calibri" w:cs="Calibri"/>
                <w:b/>
                <w:bCs/>
                <w:color w:val="000000"/>
                <w:lang w:eastAsia="en-GB"/>
              </w:rPr>
            </w:pPr>
          </w:p>
        </w:tc>
        <w:tc>
          <w:tcPr>
            <w:tcW w:w="940" w:type="dxa"/>
            <w:tcBorders>
              <w:top w:val="nil"/>
              <w:left w:val="nil"/>
              <w:bottom w:val="nil"/>
              <w:right w:val="nil"/>
            </w:tcBorders>
            <w:shd w:val="clear" w:color="auto" w:fill="auto"/>
            <w:noWrap/>
            <w:vAlign w:val="bottom"/>
          </w:tcPr>
          <w:p w14:paraId="69BF5EEF" w14:textId="1DF2C69A" w:rsidR="00DA0B99" w:rsidRPr="00A43B19" w:rsidRDefault="00DA0B99" w:rsidP="00DA0B99">
            <w:pPr>
              <w:spacing w:after="0" w:line="240" w:lineRule="auto"/>
              <w:jc w:val="right"/>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tcPr>
          <w:p w14:paraId="6DA9D54E" w14:textId="0F9338B2" w:rsidR="00DA0B99" w:rsidRPr="00A43B19" w:rsidRDefault="00DA0B99" w:rsidP="00DA0B99">
            <w:pPr>
              <w:spacing w:after="0" w:line="240" w:lineRule="auto"/>
              <w:jc w:val="right"/>
              <w:rPr>
                <w:rFonts w:ascii="Calibri" w:eastAsia="Times New Roman" w:hAnsi="Calibri" w:cs="Calibri"/>
                <w:b/>
                <w:bCs/>
                <w:color w:val="000000"/>
                <w:lang w:eastAsia="en-GB"/>
              </w:rPr>
            </w:pPr>
          </w:p>
        </w:tc>
        <w:tc>
          <w:tcPr>
            <w:tcW w:w="1240" w:type="dxa"/>
            <w:tcBorders>
              <w:top w:val="nil"/>
              <w:left w:val="nil"/>
              <w:bottom w:val="nil"/>
              <w:right w:val="nil"/>
            </w:tcBorders>
            <w:shd w:val="clear" w:color="auto" w:fill="auto"/>
            <w:noWrap/>
            <w:vAlign w:val="bottom"/>
          </w:tcPr>
          <w:p w14:paraId="2769136A" w14:textId="0B8F328E" w:rsidR="00DA0B99" w:rsidRPr="00A43B19" w:rsidRDefault="00DA0B99" w:rsidP="00DA0B99">
            <w:pPr>
              <w:spacing w:after="0" w:line="240" w:lineRule="auto"/>
              <w:jc w:val="right"/>
              <w:rPr>
                <w:rFonts w:ascii="Calibri" w:eastAsia="Times New Roman" w:hAnsi="Calibri" w:cs="Calibri"/>
                <w:b/>
                <w:bCs/>
                <w:color w:val="000000"/>
                <w:lang w:eastAsia="en-GB"/>
              </w:rPr>
            </w:pPr>
          </w:p>
        </w:tc>
      </w:tr>
    </w:tbl>
    <w:p w14:paraId="6299ACD1" w14:textId="07404947" w:rsidR="00076BC1" w:rsidRDefault="00076BC1" w:rsidP="00562230">
      <w:pPr>
        <w:rPr>
          <w:rFonts w:ascii="Arial" w:hAnsi="Arial" w:cs="Arial"/>
          <w:b/>
          <w:bCs/>
          <w:color w:val="222222"/>
          <w:u w:val="single"/>
          <w:shd w:val="clear" w:color="auto" w:fill="FFFFFF"/>
        </w:rPr>
      </w:pPr>
    </w:p>
    <w:p w14:paraId="6BF6DDD7" w14:textId="77777777" w:rsidR="008F4C0E" w:rsidRPr="00B97125" w:rsidRDefault="008F4C0E" w:rsidP="008F4C0E">
      <w:pPr>
        <w:spacing w:after="0" w:line="240" w:lineRule="auto"/>
        <w:rPr>
          <w:rFonts w:ascii="Arial" w:eastAsia="Times New Roman" w:hAnsi="Arial" w:cs="Arial"/>
          <w:i/>
          <w:iCs/>
          <w:color w:val="000000"/>
          <w:lang w:eastAsia="en-GB"/>
        </w:rPr>
      </w:pPr>
      <w:r w:rsidRPr="00456180">
        <w:rPr>
          <w:rFonts w:ascii="Arial" w:eastAsia="Times New Roman" w:hAnsi="Arial" w:cs="Arial"/>
          <w:b/>
          <w:bCs/>
          <w:i/>
          <w:iCs/>
          <w:color w:val="000000"/>
          <w:lang w:eastAsia="en-GB"/>
        </w:rPr>
        <w:t xml:space="preserve">GSK profitability as shown that it is way below their rivals, this may be an impact from their delayed Covid-19 vaccine,) profits for the organisation have taken a </w:t>
      </w:r>
      <w:r>
        <w:rPr>
          <w:rFonts w:ascii="Arial" w:eastAsia="Times New Roman" w:hAnsi="Arial" w:cs="Arial"/>
          <w:b/>
          <w:bCs/>
          <w:i/>
          <w:iCs/>
          <w:color w:val="000000"/>
          <w:lang w:eastAsia="en-GB"/>
        </w:rPr>
        <w:t>-</w:t>
      </w:r>
      <w:r w:rsidRPr="00456180">
        <w:rPr>
          <w:rFonts w:ascii="Arial" w:eastAsia="Times New Roman" w:hAnsi="Arial" w:cs="Arial"/>
          <w:b/>
          <w:bCs/>
          <w:i/>
          <w:iCs/>
          <w:color w:val="000000"/>
          <w:lang w:eastAsia="en-GB"/>
        </w:rPr>
        <w:t xml:space="preserve">30% </w:t>
      </w:r>
      <w:r>
        <w:rPr>
          <w:rFonts w:ascii="Arial" w:eastAsia="Times New Roman" w:hAnsi="Arial" w:cs="Arial"/>
          <w:b/>
          <w:bCs/>
          <w:i/>
          <w:iCs/>
          <w:color w:val="000000"/>
          <w:lang w:eastAsia="en-GB"/>
        </w:rPr>
        <w:t xml:space="preserve">hit </w:t>
      </w:r>
      <w:r w:rsidRPr="00456180">
        <w:rPr>
          <w:rFonts w:ascii="Arial" w:eastAsia="Times New Roman" w:hAnsi="Arial" w:cs="Arial"/>
          <w:b/>
          <w:bCs/>
          <w:i/>
          <w:iCs/>
          <w:color w:val="000000"/>
          <w:lang w:eastAsia="en-GB"/>
        </w:rPr>
        <w:t xml:space="preserve">in the first quarter of </w:t>
      </w:r>
      <w:r>
        <w:rPr>
          <w:rFonts w:ascii="Arial" w:eastAsia="Times New Roman" w:hAnsi="Arial" w:cs="Arial"/>
          <w:b/>
          <w:bCs/>
          <w:i/>
          <w:iCs/>
          <w:color w:val="000000"/>
          <w:lang w:eastAsia="en-GB"/>
        </w:rPr>
        <w:t xml:space="preserve">this </w:t>
      </w:r>
      <w:proofErr w:type="gramStart"/>
      <w:r>
        <w:rPr>
          <w:rFonts w:ascii="Arial" w:eastAsia="Times New Roman" w:hAnsi="Arial" w:cs="Arial"/>
          <w:b/>
          <w:bCs/>
          <w:i/>
          <w:iCs/>
          <w:color w:val="000000"/>
          <w:lang w:eastAsia="en-GB"/>
        </w:rPr>
        <w:t>year</w:t>
      </w:r>
      <w:r w:rsidRPr="00456180">
        <w:rPr>
          <w:rFonts w:ascii="Arial" w:eastAsia="Times New Roman" w:hAnsi="Arial" w:cs="Arial"/>
          <w:i/>
          <w:iCs/>
          <w:color w:val="000000"/>
          <w:lang w:eastAsia="en-GB"/>
        </w:rPr>
        <w:t xml:space="preserve"> </w:t>
      </w:r>
      <w:r w:rsidRPr="00456180">
        <w:rPr>
          <w:rFonts w:ascii="Arial" w:eastAsia="Times New Roman" w:hAnsi="Arial" w:cs="Arial"/>
          <w:b/>
          <w:bCs/>
          <w:i/>
          <w:iCs/>
          <w:color w:val="000000"/>
          <w:lang w:eastAsia="en-GB"/>
        </w:rPr>
        <w:t xml:space="preserve"> Yahoo</w:t>
      </w:r>
      <w:proofErr w:type="gramEnd"/>
      <w:r w:rsidRPr="00456180">
        <w:rPr>
          <w:rFonts w:ascii="Arial" w:eastAsia="Times New Roman" w:hAnsi="Arial" w:cs="Arial"/>
          <w:b/>
          <w:bCs/>
          <w:i/>
          <w:iCs/>
          <w:color w:val="000000"/>
          <w:lang w:eastAsia="en-GB"/>
        </w:rPr>
        <w:t xml:space="preserve"> finance, </w:t>
      </w:r>
      <w:r w:rsidRPr="00B97125">
        <w:rPr>
          <w:rFonts w:ascii="Arial" w:eastAsia="Times New Roman" w:hAnsi="Arial" w:cs="Arial"/>
          <w:b/>
          <w:bCs/>
          <w:color w:val="000000"/>
          <w:lang w:eastAsia="en-GB"/>
        </w:rPr>
        <w:t>(2021)</w:t>
      </w:r>
      <w:r>
        <w:rPr>
          <w:rFonts w:ascii="Arial" w:eastAsia="Times New Roman" w:hAnsi="Arial" w:cs="Arial"/>
          <w:b/>
          <w:bCs/>
          <w:color w:val="000000"/>
          <w:lang w:eastAsia="en-GB"/>
        </w:rPr>
        <w:t>.</w:t>
      </w:r>
    </w:p>
    <w:p w14:paraId="0BBEB582" w14:textId="77777777" w:rsidR="00BF7C5C" w:rsidRDefault="00BF7C5C" w:rsidP="00B45B9D">
      <w:pPr>
        <w:rPr>
          <w:rFonts w:ascii="Arial" w:hAnsi="Arial" w:cs="Arial"/>
          <w:b/>
          <w:bCs/>
          <w:color w:val="222222"/>
          <w:u w:val="single"/>
          <w:shd w:val="clear" w:color="auto" w:fill="FFFFFF"/>
        </w:rPr>
      </w:pPr>
    </w:p>
    <w:p w14:paraId="5F53985E" w14:textId="77777777" w:rsidR="00DF5F97" w:rsidRDefault="00DF5F97" w:rsidP="00B45B9D">
      <w:pPr>
        <w:rPr>
          <w:rFonts w:ascii="Arial" w:hAnsi="Arial" w:cs="Arial"/>
          <w:b/>
          <w:bCs/>
          <w:color w:val="222222"/>
          <w:u w:val="single"/>
          <w:shd w:val="clear" w:color="auto" w:fill="FFFFFF"/>
        </w:rPr>
      </w:pPr>
    </w:p>
    <w:p w14:paraId="78696A41" w14:textId="49B5D25A" w:rsidR="00B45B9D" w:rsidRPr="004714EF" w:rsidRDefault="00B45B9D" w:rsidP="00DF5F97">
      <w:pPr>
        <w:pStyle w:val="Heading1"/>
        <w:rPr>
          <w:shd w:val="clear" w:color="auto" w:fill="FFFFFF"/>
        </w:rPr>
      </w:pPr>
      <w:bookmarkStart w:id="23" w:name="_Toc72176094"/>
      <w:r w:rsidRPr="004714EF">
        <w:rPr>
          <w:shd w:val="clear" w:color="auto" w:fill="FFFFFF"/>
        </w:rPr>
        <w:t>Liquidity</w:t>
      </w:r>
      <w:r w:rsidR="004714EF">
        <w:rPr>
          <w:shd w:val="clear" w:color="auto" w:fill="FFFFFF"/>
        </w:rPr>
        <w:t>:</w:t>
      </w:r>
      <w:bookmarkEnd w:id="23"/>
      <w:r w:rsidRPr="004714EF">
        <w:rPr>
          <w:shd w:val="clear" w:color="auto" w:fill="FFFFFF"/>
        </w:rPr>
        <w:t xml:space="preserve"> </w:t>
      </w:r>
    </w:p>
    <w:p w14:paraId="2A3B63F5" w14:textId="1BCB1DAD" w:rsidR="00BD073E" w:rsidRDefault="00BD073E" w:rsidP="00F16685">
      <w:pPr>
        <w:jc w:val="both"/>
        <w:rPr>
          <w:rFonts w:ascii="Arial" w:hAnsi="Arial" w:cs="Arial"/>
        </w:rPr>
      </w:pPr>
      <w:r>
        <w:rPr>
          <w:rFonts w:ascii="Arial" w:hAnsi="Arial" w:cs="Arial"/>
        </w:rPr>
        <w:t>What is Liquidity</w:t>
      </w:r>
      <w:r w:rsidR="003D4DF9">
        <w:rPr>
          <w:rFonts w:ascii="Arial" w:hAnsi="Arial" w:cs="Arial"/>
        </w:rPr>
        <w:t>?</w:t>
      </w:r>
    </w:p>
    <w:p w14:paraId="3390FBB9" w14:textId="6ECA3B87" w:rsidR="00351DF7" w:rsidRDefault="00536328" w:rsidP="00F16685">
      <w:pPr>
        <w:jc w:val="both"/>
        <w:rPr>
          <w:rFonts w:ascii="Arial" w:hAnsi="Arial" w:cs="Arial"/>
        </w:rPr>
      </w:pPr>
      <w:r w:rsidRPr="00517EF1">
        <w:rPr>
          <w:rFonts w:ascii="Arial" w:hAnsi="Arial" w:cs="Arial"/>
        </w:rPr>
        <w:t>A</w:t>
      </w:r>
      <w:r w:rsidR="00A35CAC">
        <w:rPr>
          <w:rFonts w:ascii="Arial" w:hAnsi="Arial" w:cs="Arial"/>
        </w:rPr>
        <w:t xml:space="preserve">ccording to </w:t>
      </w:r>
      <w:bookmarkStart w:id="24" w:name="_Hlk71877052"/>
      <w:r w:rsidR="00B43DE7">
        <w:rPr>
          <w:rFonts w:ascii="Arial" w:hAnsi="Arial" w:cs="Arial"/>
        </w:rPr>
        <w:t>Je</w:t>
      </w:r>
      <w:r w:rsidR="00FE7525">
        <w:rPr>
          <w:rFonts w:ascii="Arial" w:hAnsi="Arial" w:cs="Arial"/>
        </w:rPr>
        <w:t>e</w:t>
      </w:r>
      <w:r w:rsidR="00B43DE7">
        <w:rPr>
          <w:rFonts w:ascii="Arial" w:hAnsi="Arial" w:cs="Arial"/>
        </w:rPr>
        <w:t>nas, (2019)</w:t>
      </w:r>
      <w:r w:rsidR="0041255A">
        <w:rPr>
          <w:rFonts w:ascii="Arial" w:hAnsi="Arial" w:cs="Arial"/>
        </w:rPr>
        <w:t xml:space="preserve"> it</w:t>
      </w:r>
      <w:r w:rsidR="003D4DF9">
        <w:rPr>
          <w:rFonts w:ascii="Arial" w:hAnsi="Arial" w:cs="Arial"/>
        </w:rPr>
        <w:t xml:space="preserve"> </w:t>
      </w:r>
      <w:bookmarkEnd w:id="24"/>
      <w:r w:rsidR="003D4DF9">
        <w:rPr>
          <w:rFonts w:ascii="Arial" w:hAnsi="Arial" w:cs="Arial"/>
        </w:rPr>
        <w:t xml:space="preserve">is an organisations </w:t>
      </w:r>
      <w:r w:rsidR="005C337A">
        <w:rPr>
          <w:rFonts w:ascii="Arial" w:hAnsi="Arial" w:cs="Arial"/>
        </w:rPr>
        <w:t xml:space="preserve">ability to </w:t>
      </w:r>
      <w:r w:rsidR="0084753C">
        <w:rPr>
          <w:rFonts w:ascii="Arial" w:hAnsi="Arial" w:cs="Arial"/>
        </w:rPr>
        <w:t>change asse</w:t>
      </w:r>
      <w:r w:rsidR="006E089C">
        <w:rPr>
          <w:rFonts w:ascii="Arial" w:hAnsi="Arial" w:cs="Arial"/>
        </w:rPr>
        <w:t>t</w:t>
      </w:r>
      <w:r w:rsidR="0084753C">
        <w:rPr>
          <w:rFonts w:ascii="Arial" w:hAnsi="Arial" w:cs="Arial"/>
        </w:rPr>
        <w:t>s</w:t>
      </w:r>
      <w:r w:rsidR="006E089C">
        <w:rPr>
          <w:rFonts w:ascii="Arial" w:hAnsi="Arial" w:cs="Arial"/>
        </w:rPr>
        <w:t xml:space="preserve"> </w:t>
      </w:r>
      <w:r w:rsidR="0072047F">
        <w:rPr>
          <w:rFonts w:ascii="Arial" w:hAnsi="Arial" w:cs="Arial"/>
        </w:rPr>
        <w:t>into cash</w:t>
      </w:r>
      <w:r w:rsidR="0034081F">
        <w:rPr>
          <w:rFonts w:ascii="Arial" w:hAnsi="Arial" w:cs="Arial"/>
        </w:rPr>
        <w:t xml:space="preserve"> in</w:t>
      </w:r>
      <w:r w:rsidR="0072047F">
        <w:rPr>
          <w:rFonts w:ascii="Arial" w:hAnsi="Arial" w:cs="Arial"/>
        </w:rPr>
        <w:t xml:space="preserve"> which </w:t>
      </w:r>
      <w:r w:rsidR="0034081F">
        <w:rPr>
          <w:rFonts w:ascii="Arial" w:hAnsi="Arial" w:cs="Arial"/>
        </w:rPr>
        <w:t xml:space="preserve">to </w:t>
      </w:r>
      <w:r w:rsidR="0072047F">
        <w:rPr>
          <w:rFonts w:ascii="Arial" w:hAnsi="Arial" w:cs="Arial"/>
        </w:rPr>
        <w:t xml:space="preserve">cover any </w:t>
      </w:r>
      <w:r w:rsidR="002007EC">
        <w:rPr>
          <w:rFonts w:ascii="Arial" w:hAnsi="Arial" w:cs="Arial"/>
        </w:rPr>
        <w:t xml:space="preserve">liabilities due. </w:t>
      </w:r>
      <w:r w:rsidR="006D7A39">
        <w:rPr>
          <w:rFonts w:ascii="Arial" w:hAnsi="Arial" w:cs="Arial"/>
        </w:rPr>
        <w:t>In addition</w:t>
      </w:r>
      <w:r w:rsidR="002007EC">
        <w:rPr>
          <w:rFonts w:ascii="Arial" w:hAnsi="Arial" w:cs="Arial"/>
        </w:rPr>
        <w:t xml:space="preserve">, </w:t>
      </w:r>
      <w:r w:rsidR="004D2E82">
        <w:rPr>
          <w:rFonts w:ascii="Arial" w:hAnsi="Arial" w:cs="Arial"/>
        </w:rPr>
        <w:t xml:space="preserve">current assets </w:t>
      </w:r>
      <w:r w:rsidR="005E212D">
        <w:rPr>
          <w:rFonts w:ascii="Arial" w:hAnsi="Arial" w:cs="Arial"/>
        </w:rPr>
        <w:t xml:space="preserve">that are available </w:t>
      </w:r>
      <w:r w:rsidR="003A25D9">
        <w:rPr>
          <w:rFonts w:ascii="Arial" w:hAnsi="Arial" w:cs="Arial"/>
        </w:rPr>
        <w:t xml:space="preserve">to convert into cash </w:t>
      </w:r>
      <w:proofErr w:type="gramStart"/>
      <w:r w:rsidR="003A25D9">
        <w:rPr>
          <w:rFonts w:ascii="Arial" w:hAnsi="Arial" w:cs="Arial"/>
        </w:rPr>
        <w:t>will be listed</w:t>
      </w:r>
      <w:proofErr w:type="gramEnd"/>
      <w:r w:rsidR="003A25D9">
        <w:rPr>
          <w:rFonts w:ascii="Arial" w:hAnsi="Arial" w:cs="Arial"/>
        </w:rPr>
        <w:t xml:space="preserve"> on the balance sheet </w:t>
      </w:r>
      <w:r w:rsidR="00362D4F">
        <w:rPr>
          <w:rFonts w:ascii="Arial" w:hAnsi="Arial" w:cs="Arial"/>
        </w:rPr>
        <w:t xml:space="preserve">under the heading </w:t>
      </w:r>
      <w:r w:rsidR="0041474C">
        <w:rPr>
          <w:rFonts w:ascii="Arial" w:hAnsi="Arial" w:cs="Arial"/>
        </w:rPr>
        <w:t xml:space="preserve">as </w:t>
      </w:r>
      <w:r w:rsidR="0041474C" w:rsidRPr="0041474C">
        <w:rPr>
          <w:rFonts w:ascii="Arial" w:hAnsi="Arial" w:cs="Arial"/>
          <w:i/>
          <w:iCs/>
        </w:rPr>
        <w:t>current assets</w:t>
      </w:r>
      <w:r w:rsidR="004E1526">
        <w:rPr>
          <w:rFonts w:ascii="Arial" w:hAnsi="Arial" w:cs="Arial"/>
        </w:rPr>
        <w:t xml:space="preserve">. They </w:t>
      </w:r>
      <w:proofErr w:type="gramStart"/>
      <w:r w:rsidR="004E1526">
        <w:rPr>
          <w:rFonts w:ascii="Arial" w:hAnsi="Arial" w:cs="Arial"/>
        </w:rPr>
        <w:t>are also p</w:t>
      </w:r>
      <w:r w:rsidR="00E92B0B">
        <w:rPr>
          <w:rFonts w:ascii="Arial" w:hAnsi="Arial" w:cs="Arial"/>
        </w:rPr>
        <w:t>laced</w:t>
      </w:r>
      <w:proofErr w:type="gramEnd"/>
      <w:r w:rsidR="004E1526">
        <w:rPr>
          <w:rFonts w:ascii="Arial" w:hAnsi="Arial" w:cs="Arial"/>
        </w:rPr>
        <w:t xml:space="preserve"> in order as </w:t>
      </w:r>
      <w:r w:rsidR="00440FCC">
        <w:rPr>
          <w:rFonts w:ascii="Arial" w:hAnsi="Arial" w:cs="Arial"/>
        </w:rPr>
        <w:t>to what</w:t>
      </w:r>
      <w:r w:rsidR="00145DDF">
        <w:rPr>
          <w:rFonts w:ascii="Arial" w:hAnsi="Arial" w:cs="Arial"/>
        </w:rPr>
        <w:t xml:space="preserve"> can</w:t>
      </w:r>
      <w:r w:rsidR="00440FCC">
        <w:rPr>
          <w:rFonts w:ascii="Arial" w:hAnsi="Arial" w:cs="Arial"/>
        </w:rPr>
        <w:t xml:space="preserve"> be converted first for ca</w:t>
      </w:r>
      <w:r w:rsidR="00200422">
        <w:rPr>
          <w:rFonts w:ascii="Arial" w:hAnsi="Arial" w:cs="Arial"/>
        </w:rPr>
        <w:t>s</w:t>
      </w:r>
      <w:r w:rsidR="00440FCC">
        <w:rPr>
          <w:rFonts w:ascii="Arial" w:hAnsi="Arial" w:cs="Arial"/>
        </w:rPr>
        <w:t>h</w:t>
      </w:r>
      <w:r w:rsidR="00200422">
        <w:rPr>
          <w:rFonts w:ascii="Arial" w:hAnsi="Arial" w:cs="Arial"/>
        </w:rPr>
        <w:t xml:space="preserve">. </w:t>
      </w:r>
      <w:r w:rsidR="00AD59FB">
        <w:rPr>
          <w:rFonts w:ascii="Arial" w:hAnsi="Arial" w:cs="Arial"/>
        </w:rPr>
        <w:t>Which has the title order of liquidity</w:t>
      </w:r>
      <w:r w:rsidR="00F571C9">
        <w:rPr>
          <w:rFonts w:ascii="Arial" w:hAnsi="Arial" w:cs="Arial"/>
        </w:rPr>
        <w:t xml:space="preserve">. In addition, cash is the </w:t>
      </w:r>
      <w:r w:rsidR="002C6FF9">
        <w:rPr>
          <w:rFonts w:ascii="Arial" w:hAnsi="Arial" w:cs="Arial"/>
        </w:rPr>
        <w:t xml:space="preserve">best liquid asset </w:t>
      </w:r>
      <w:r w:rsidR="009B5465">
        <w:rPr>
          <w:rFonts w:ascii="Arial" w:hAnsi="Arial" w:cs="Arial"/>
        </w:rPr>
        <w:t xml:space="preserve">it </w:t>
      </w:r>
      <w:proofErr w:type="gramStart"/>
      <w:r w:rsidR="009B5465">
        <w:rPr>
          <w:rFonts w:ascii="Arial" w:hAnsi="Arial" w:cs="Arial"/>
        </w:rPr>
        <w:t>is placed</w:t>
      </w:r>
      <w:proofErr w:type="gramEnd"/>
      <w:r w:rsidR="009B5465">
        <w:rPr>
          <w:rFonts w:ascii="Arial" w:hAnsi="Arial" w:cs="Arial"/>
        </w:rPr>
        <w:t xml:space="preserve"> on the list </w:t>
      </w:r>
      <w:r w:rsidR="005B275D">
        <w:rPr>
          <w:rFonts w:ascii="Arial" w:hAnsi="Arial" w:cs="Arial"/>
        </w:rPr>
        <w:t>at the top, in first place</w:t>
      </w:r>
      <w:r w:rsidR="003E781E">
        <w:rPr>
          <w:rFonts w:ascii="Arial" w:hAnsi="Arial" w:cs="Arial"/>
        </w:rPr>
        <w:t xml:space="preserve">, following that is a </w:t>
      </w:r>
      <w:r w:rsidR="00813F4E">
        <w:rPr>
          <w:rFonts w:ascii="Arial" w:hAnsi="Arial" w:cs="Arial"/>
        </w:rPr>
        <w:t>temporary investments</w:t>
      </w:r>
      <w:r w:rsidR="00953D6E">
        <w:rPr>
          <w:rFonts w:ascii="Arial" w:hAnsi="Arial" w:cs="Arial"/>
        </w:rPr>
        <w:t>, accounts receivable,</w:t>
      </w:r>
      <w:r w:rsidR="00DC16BF">
        <w:rPr>
          <w:rFonts w:ascii="Arial" w:hAnsi="Arial" w:cs="Arial"/>
        </w:rPr>
        <w:t xml:space="preserve"> inventory, supplies</w:t>
      </w:r>
      <w:r w:rsidR="00351DF7">
        <w:rPr>
          <w:rFonts w:ascii="Arial" w:hAnsi="Arial" w:cs="Arial"/>
        </w:rPr>
        <w:t>, also expenses.</w:t>
      </w:r>
    </w:p>
    <w:p w14:paraId="0E590845" w14:textId="1B108E34" w:rsidR="006D19A1" w:rsidRDefault="00C83786" w:rsidP="00F16685">
      <w:pPr>
        <w:jc w:val="both"/>
        <w:rPr>
          <w:rFonts w:ascii="Arial" w:hAnsi="Arial" w:cs="Arial"/>
        </w:rPr>
      </w:pPr>
      <w:r>
        <w:rPr>
          <w:rFonts w:ascii="Arial" w:hAnsi="Arial" w:cs="Arial"/>
        </w:rPr>
        <w:t xml:space="preserve">Liquidity, </w:t>
      </w:r>
      <w:r w:rsidR="0084537F">
        <w:rPr>
          <w:rFonts w:ascii="Arial" w:hAnsi="Arial" w:cs="Arial"/>
        </w:rPr>
        <w:t>all depend</w:t>
      </w:r>
      <w:r w:rsidR="004562F9">
        <w:rPr>
          <w:rFonts w:ascii="Arial" w:hAnsi="Arial" w:cs="Arial"/>
        </w:rPr>
        <w:t>s</w:t>
      </w:r>
      <w:r w:rsidR="0084537F">
        <w:rPr>
          <w:rFonts w:ascii="Arial" w:hAnsi="Arial" w:cs="Arial"/>
        </w:rPr>
        <w:t xml:space="preserve"> on a few </w:t>
      </w:r>
      <w:proofErr w:type="gramStart"/>
      <w:r w:rsidR="0084537F">
        <w:rPr>
          <w:rFonts w:ascii="Arial" w:hAnsi="Arial" w:cs="Arial"/>
        </w:rPr>
        <w:t>factors which</w:t>
      </w:r>
      <w:proofErr w:type="gramEnd"/>
      <w:r w:rsidR="0084537F">
        <w:rPr>
          <w:rFonts w:ascii="Arial" w:hAnsi="Arial" w:cs="Arial"/>
        </w:rPr>
        <w:t xml:space="preserve"> are 1. </w:t>
      </w:r>
      <w:r w:rsidR="004221CC">
        <w:rPr>
          <w:rFonts w:ascii="Arial" w:hAnsi="Arial" w:cs="Arial"/>
        </w:rPr>
        <w:t xml:space="preserve">How fast an asset can be converted into </w:t>
      </w:r>
      <w:proofErr w:type="gramStart"/>
      <w:r w:rsidR="004221CC">
        <w:rPr>
          <w:rFonts w:ascii="Arial" w:hAnsi="Arial" w:cs="Arial"/>
        </w:rPr>
        <w:t>cash</w:t>
      </w:r>
      <w:r w:rsidR="00BE27AF">
        <w:rPr>
          <w:rFonts w:ascii="Arial" w:hAnsi="Arial" w:cs="Arial"/>
        </w:rPr>
        <w:t>.</w:t>
      </w:r>
      <w:proofErr w:type="gramEnd"/>
      <w:r w:rsidR="00BE27AF">
        <w:rPr>
          <w:rFonts w:ascii="Arial" w:hAnsi="Arial" w:cs="Arial"/>
        </w:rPr>
        <w:t xml:space="preserve"> 2. An assets closeness to cash, for instance </w:t>
      </w:r>
      <w:r w:rsidR="00B45F99">
        <w:rPr>
          <w:rFonts w:ascii="Arial" w:hAnsi="Arial" w:cs="Arial"/>
        </w:rPr>
        <w:t>short</w:t>
      </w:r>
      <w:r w:rsidR="00B97342">
        <w:rPr>
          <w:rFonts w:ascii="Arial" w:hAnsi="Arial" w:cs="Arial"/>
        </w:rPr>
        <w:t>-term investments</w:t>
      </w:r>
      <w:r w:rsidR="0052712B">
        <w:rPr>
          <w:rFonts w:ascii="Arial" w:hAnsi="Arial" w:cs="Arial"/>
        </w:rPr>
        <w:t>,</w:t>
      </w:r>
      <w:r w:rsidR="00CE7C28">
        <w:rPr>
          <w:rFonts w:ascii="Arial" w:hAnsi="Arial" w:cs="Arial"/>
        </w:rPr>
        <w:t xml:space="preserve"> a few </w:t>
      </w:r>
      <w:r w:rsidR="00144A18" w:rsidRPr="00144A18">
        <w:rPr>
          <w:rFonts w:ascii="Arial" w:hAnsi="Arial" w:cs="Arial"/>
        </w:rPr>
        <w:t>have the ability</w:t>
      </w:r>
      <w:r w:rsidR="00144A18">
        <w:rPr>
          <w:rFonts w:ascii="Arial" w:hAnsi="Arial" w:cs="Arial"/>
        </w:rPr>
        <w:t xml:space="preserve"> to be converted </w:t>
      </w:r>
      <w:proofErr w:type="gramStart"/>
      <w:r w:rsidR="00144A18">
        <w:rPr>
          <w:rFonts w:ascii="Arial" w:hAnsi="Arial" w:cs="Arial"/>
        </w:rPr>
        <w:t>fairly quickly</w:t>
      </w:r>
      <w:proofErr w:type="gramEnd"/>
      <w:r w:rsidR="00144A18">
        <w:rPr>
          <w:rFonts w:ascii="Arial" w:hAnsi="Arial" w:cs="Arial"/>
        </w:rPr>
        <w:t xml:space="preserve"> into cash</w:t>
      </w:r>
      <w:r w:rsidR="00D01A41">
        <w:rPr>
          <w:rFonts w:ascii="Arial" w:hAnsi="Arial" w:cs="Arial"/>
        </w:rPr>
        <w:t xml:space="preserve">. There are also account </w:t>
      </w:r>
      <w:proofErr w:type="gramStart"/>
      <w:r w:rsidR="0083338C">
        <w:rPr>
          <w:rFonts w:ascii="Arial" w:hAnsi="Arial" w:cs="Arial"/>
        </w:rPr>
        <w:t>receivables</w:t>
      </w:r>
      <w:r w:rsidR="00D01A41">
        <w:rPr>
          <w:rFonts w:ascii="Arial" w:hAnsi="Arial" w:cs="Arial"/>
        </w:rPr>
        <w:t xml:space="preserve"> </w:t>
      </w:r>
      <w:r w:rsidR="00311D8F">
        <w:rPr>
          <w:rFonts w:ascii="Arial" w:hAnsi="Arial" w:cs="Arial"/>
        </w:rPr>
        <w:t>which can be converted into cash</w:t>
      </w:r>
      <w:proofErr w:type="gramEnd"/>
      <w:r w:rsidR="003F6EB4">
        <w:rPr>
          <w:rFonts w:ascii="Arial" w:hAnsi="Arial" w:cs="Arial"/>
        </w:rPr>
        <w:t xml:space="preserve"> </w:t>
      </w:r>
      <w:r w:rsidR="006D7A39">
        <w:rPr>
          <w:rFonts w:ascii="Arial" w:hAnsi="Arial" w:cs="Arial"/>
        </w:rPr>
        <w:t>but</w:t>
      </w:r>
      <w:r w:rsidR="00311D8F">
        <w:rPr>
          <w:rFonts w:ascii="Arial" w:hAnsi="Arial" w:cs="Arial"/>
        </w:rPr>
        <w:t>,</w:t>
      </w:r>
      <w:r w:rsidR="00892A4A">
        <w:rPr>
          <w:rFonts w:ascii="Arial" w:hAnsi="Arial" w:cs="Arial"/>
        </w:rPr>
        <w:t xml:space="preserve"> this could take anything from 10 </w:t>
      </w:r>
      <w:r w:rsidR="003D12C9">
        <w:rPr>
          <w:rFonts w:ascii="Arial" w:hAnsi="Arial" w:cs="Arial"/>
        </w:rPr>
        <w:t>days</w:t>
      </w:r>
      <w:r w:rsidR="00DF35DC">
        <w:rPr>
          <w:rFonts w:ascii="Arial" w:hAnsi="Arial" w:cs="Arial"/>
        </w:rPr>
        <w:t xml:space="preserve">, or up to five weeks. </w:t>
      </w:r>
      <w:r w:rsidR="005A0102">
        <w:rPr>
          <w:rFonts w:ascii="Arial" w:hAnsi="Arial" w:cs="Arial"/>
        </w:rPr>
        <w:t>In addition</w:t>
      </w:r>
      <w:r w:rsidR="001C3DF6">
        <w:rPr>
          <w:rFonts w:ascii="Arial" w:hAnsi="Arial" w:cs="Arial"/>
        </w:rPr>
        <w:t>,</w:t>
      </w:r>
      <w:r w:rsidR="005A0102">
        <w:rPr>
          <w:rFonts w:ascii="Arial" w:hAnsi="Arial" w:cs="Arial"/>
        </w:rPr>
        <w:t xml:space="preserve"> inventory may take up </w:t>
      </w:r>
      <w:r w:rsidR="00647093">
        <w:rPr>
          <w:rFonts w:ascii="Arial" w:hAnsi="Arial" w:cs="Arial"/>
        </w:rPr>
        <w:t xml:space="preserve">and over many months before cash would </w:t>
      </w:r>
      <w:r w:rsidR="004E0423">
        <w:rPr>
          <w:rFonts w:ascii="Arial" w:hAnsi="Arial" w:cs="Arial"/>
        </w:rPr>
        <w:t xml:space="preserve">be </w:t>
      </w:r>
      <w:r w:rsidR="001E27E6">
        <w:rPr>
          <w:rFonts w:ascii="Arial" w:hAnsi="Arial" w:cs="Arial"/>
        </w:rPr>
        <w:t>receive</w:t>
      </w:r>
      <w:r w:rsidR="00647093">
        <w:rPr>
          <w:rFonts w:ascii="Arial" w:hAnsi="Arial" w:cs="Arial"/>
        </w:rPr>
        <w:t xml:space="preserve"> once converted</w:t>
      </w:r>
      <w:r w:rsidR="005D1132">
        <w:rPr>
          <w:rFonts w:ascii="Arial" w:hAnsi="Arial" w:cs="Arial"/>
        </w:rPr>
        <w:t xml:space="preserve">. Therefore, </w:t>
      </w:r>
      <w:r w:rsidR="001C3DF6">
        <w:rPr>
          <w:rFonts w:ascii="Arial" w:hAnsi="Arial" w:cs="Arial"/>
        </w:rPr>
        <w:t xml:space="preserve">inventory </w:t>
      </w:r>
      <w:proofErr w:type="gramStart"/>
      <w:r w:rsidR="001C3DF6">
        <w:rPr>
          <w:rFonts w:ascii="Arial" w:hAnsi="Arial" w:cs="Arial"/>
        </w:rPr>
        <w:t>is seen</w:t>
      </w:r>
      <w:proofErr w:type="gramEnd"/>
      <w:r w:rsidR="001C3DF6">
        <w:rPr>
          <w:rFonts w:ascii="Arial" w:hAnsi="Arial" w:cs="Arial"/>
        </w:rPr>
        <w:t xml:space="preserve"> as a quick asset. </w:t>
      </w:r>
      <w:r w:rsidR="00E20869">
        <w:rPr>
          <w:rFonts w:ascii="Arial" w:hAnsi="Arial" w:cs="Arial"/>
        </w:rPr>
        <w:t xml:space="preserve">Furthermore, </w:t>
      </w:r>
      <w:r w:rsidR="005E67E6">
        <w:rPr>
          <w:rFonts w:ascii="Arial" w:hAnsi="Arial" w:cs="Arial"/>
        </w:rPr>
        <w:t xml:space="preserve">to </w:t>
      </w:r>
      <w:r w:rsidR="00AB3044">
        <w:rPr>
          <w:rFonts w:ascii="Arial" w:hAnsi="Arial" w:cs="Arial"/>
        </w:rPr>
        <w:t>accom</w:t>
      </w:r>
      <w:r w:rsidR="00B77D4B">
        <w:rPr>
          <w:rFonts w:ascii="Arial" w:hAnsi="Arial" w:cs="Arial"/>
        </w:rPr>
        <w:t>mo</w:t>
      </w:r>
      <w:r w:rsidR="00AB3044">
        <w:rPr>
          <w:rFonts w:ascii="Arial" w:hAnsi="Arial" w:cs="Arial"/>
        </w:rPr>
        <w:t>date</w:t>
      </w:r>
      <w:r w:rsidR="005E67E6">
        <w:rPr>
          <w:rFonts w:ascii="Arial" w:hAnsi="Arial" w:cs="Arial"/>
        </w:rPr>
        <w:t xml:space="preserve"> in </w:t>
      </w:r>
      <w:r w:rsidR="00BF3E41">
        <w:rPr>
          <w:rFonts w:ascii="Arial" w:hAnsi="Arial" w:cs="Arial"/>
        </w:rPr>
        <w:t>see</w:t>
      </w:r>
      <w:r w:rsidR="005E67E6">
        <w:rPr>
          <w:rFonts w:ascii="Arial" w:hAnsi="Arial" w:cs="Arial"/>
        </w:rPr>
        <w:t xml:space="preserve">king </w:t>
      </w:r>
      <w:r w:rsidR="00BF3E41">
        <w:rPr>
          <w:rFonts w:ascii="Arial" w:hAnsi="Arial" w:cs="Arial"/>
        </w:rPr>
        <w:t>o</w:t>
      </w:r>
      <w:r w:rsidR="00B77D4B">
        <w:rPr>
          <w:rFonts w:ascii="Arial" w:hAnsi="Arial" w:cs="Arial"/>
        </w:rPr>
        <w:t>ut</w:t>
      </w:r>
      <w:r w:rsidR="005E67E6">
        <w:rPr>
          <w:rFonts w:ascii="Arial" w:hAnsi="Arial" w:cs="Arial"/>
        </w:rPr>
        <w:t xml:space="preserve"> an organisations liquidity</w:t>
      </w:r>
      <w:r w:rsidR="002F01E1">
        <w:rPr>
          <w:rFonts w:ascii="Arial" w:hAnsi="Arial" w:cs="Arial"/>
        </w:rPr>
        <w:t xml:space="preserve">, </w:t>
      </w:r>
      <w:r w:rsidR="006F7706">
        <w:rPr>
          <w:rFonts w:ascii="Arial" w:hAnsi="Arial" w:cs="Arial"/>
        </w:rPr>
        <w:t>we need to look at financial ratio</w:t>
      </w:r>
      <w:r w:rsidR="003F6EB4">
        <w:rPr>
          <w:rFonts w:ascii="Arial" w:hAnsi="Arial" w:cs="Arial"/>
        </w:rPr>
        <w:t>s</w:t>
      </w:r>
      <w:r w:rsidR="00054E1F">
        <w:rPr>
          <w:rFonts w:ascii="Arial" w:hAnsi="Arial" w:cs="Arial"/>
        </w:rPr>
        <w:t xml:space="preserve">, namely </w:t>
      </w:r>
      <w:r w:rsidR="003F6EB4">
        <w:rPr>
          <w:rFonts w:ascii="Arial" w:hAnsi="Arial" w:cs="Arial"/>
        </w:rPr>
        <w:t>the</w:t>
      </w:r>
      <w:r w:rsidR="00054E1F">
        <w:rPr>
          <w:rFonts w:ascii="Arial" w:hAnsi="Arial" w:cs="Arial"/>
        </w:rPr>
        <w:t xml:space="preserve"> quick</w:t>
      </w:r>
      <w:r w:rsidR="005C07BC">
        <w:rPr>
          <w:rFonts w:ascii="Arial" w:hAnsi="Arial" w:cs="Arial"/>
        </w:rPr>
        <w:t xml:space="preserve"> ratio</w:t>
      </w:r>
      <w:r w:rsidR="003F3EFC">
        <w:rPr>
          <w:rFonts w:ascii="Arial" w:hAnsi="Arial" w:cs="Arial"/>
        </w:rPr>
        <w:t>, or otherwise named a</w:t>
      </w:r>
      <w:r w:rsidR="00380A09">
        <w:rPr>
          <w:rFonts w:ascii="Arial" w:hAnsi="Arial" w:cs="Arial"/>
        </w:rPr>
        <w:t>n</w:t>
      </w:r>
      <w:r w:rsidR="003F3EFC">
        <w:rPr>
          <w:rFonts w:ascii="Arial" w:hAnsi="Arial" w:cs="Arial"/>
        </w:rPr>
        <w:t xml:space="preserve"> acid test ratio</w:t>
      </w:r>
      <w:r w:rsidR="00FD2AF2">
        <w:rPr>
          <w:rFonts w:ascii="Arial" w:hAnsi="Arial" w:cs="Arial"/>
        </w:rPr>
        <w:t>, this calculat</w:t>
      </w:r>
      <w:r w:rsidR="00FC4BD0">
        <w:rPr>
          <w:rFonts w:ascii="Arial" w:hAnsi="Arial" w:cs="Arial"/>
        </w:rPr>
        <w:t>i</w:t>
      </w:r>
      <w:r w:rsidR="00FD2AF2">
        <w:rPr>
          <w:rFonts w:ascii="Arial" w:hAnsi="Arial" w:cs="Arial"/>
        </w:rPr>
        <w:t>on</w:t>
      </w:r>
      <w:r w:rsidR="00FC4BD0">
        <w:rPr>
          <w:rFonts w:ascii="Arial" w:hAnsi="Arial" w:cs="Arial"/>
        </w:rPr>
        <w:t xml:space="preserve"> is carried out by dividing the </w:t>
      </w:r>
      <w:r w:rsidR="00BD1514">
        <w:rPr>
          <w:rFonts w:ascii="Arial" w:hAnsi="Arial" w:cs="Arial"/>
        </w:rPr>
        <w:t>total</w:t>
      </w:r>
      <w:r w:rsidR="00EB0818">
        <w:rPr>
          <w:rFonts w:ascii="Arial" w:hAnsi="Arial" w:cs="Arial"/>
        </w:rPr>
        <w:t xml:space="preserve"> amount </w:t>
      </w:r>
      <w:proofErr w:type="gramStart"/>
      <w:r w:rsidR="00EB0818">
        <w:rPr>
          <w:rFonts w:ascii="Arial" w:hAnsi="Arial" w:cs="Arial"/>
        </w:rPr>
        <w:t xml:space="preserve">of </w:t>
      </w:r>
      <w:r w:rsidR="00BD1514">
        <w:rPr>
          <w:rFonts w:ascii="Arial" w:hAnsi="Arial" w:cs="Arial"/>
        </w:rPr>
        <w:t xml:space="preserve"> quick</w:t>
      </w:r>
      <w:proofErr w:type="gramEnd"/>
      <w:r w:rsidR="00BD1514">
        <w:rPr>
          <w:rFonts w:ascii="Arial" w:hAnsi="Arial" w:cs="Arial"/>
        </w:rPr>
        <w:t xml:space="preserve"> assets </w:t>
      </w:r>
      <w:r w:rsidR="00A3401C">
        <w:rPr>
          <w:rFonts w:ascii="Arial" w:hAnsi="Arial" w:cs="Arial"/>
        </w:rPr>
        <w:t xml:space="preserve">which consists of (cash, </w:t>
      </w:r>
      <w:r w:rsidR="00C52FB5">
        <w:rPr>
          <w:rFonts w:ascii="Arial" w:hAnsi="Arial" w:cs="Arial"/>
        </w:rPr>
        <w:t xml:space="preserve">short-term investments, </w:t>
      </w:r>
      <w:r w:rsidR="00673C95">
        <w:rPr>
          <w:rFonts w:ascii="Arial" w:hAnsi="Arial" w:cs="Arial"/>
        </w:rPr>
        <w:t>also the account receivables</w:t>
      </w:r>
      <w:r w:rsidR="00DB6EE2">
        <w:rPr>
          <w:rFonts w:ascii="Arial" w:hAnsi="Arial" w:cs="Arial"/>
        </w:rPr>
        <w:t xml:space="preserve">) </w:t>
      </w:r>
      <w:r w:rsidR="00487C22">
        <w:rPr>
          <w:rFonts w:ascii="Arial" w:hAnsi="Arial" w:cs="Arial"/>
        </w:rPr>
        <w:t>against the organisations current liabilities</w:t>
      </w:r>
      <w:r w:rsidR="00663F9F">
        <w:rPr>
          <w:rFonts w:ascii="Arial" w:hAnsi="Arial" w:cs="Arial"/>
        </w:rPr>
        <w:t xml:space="preserve">. However, there is also </w:t>
      </w:r>
      <w:r w:rsidR="00EE6329">
        <w:rPr>
          <w:rFonts w:ascii="Arial" w:hAnsi="Arial" w:cs="Arial"/>
        </w:rPr>
        <w:t>another option</w:t>
      </w:r>
      <w:r w:rsidR="002B4D10">
        <w:rPr>
          <w:rFonts w:ascii="Arial" w:hAnsi="Arial" w:cs="Arial"/>
        </w:rPr>
        <w:t>, which</w:t>
      </w:r>
      <w:r w:rsidR="007C4C41">
        <w:rPr>
          <w:rFonts w:ascii="Arial" w:hAnsi="Arial" w:cs="Arial"/>
        </w:rPr>
        <w:t xml:space="preserve"> is to </w:t>
      </w:r>
      <w:r w:rsidR="00D82204">
        <w:rPr>
          <w:rFonts w:ascii="Arial" w:hAnsi="Arial" w:cs="Arial"/>
        </w:rPr>
        <w:t>start with the amo</w:t>
      </w:r>
      <w:r w:rsidR="002B4D10">
        <w:rPr>
          <w:rFonts w:ascii="Arial" w:hAnsi="Arial" w:cs="Arial"/>
        </w:rPr>
        <w:t>u</w:t>
      </w:r>
      <w:r w:rsidR="00D82204">
        <w:rPr>
          <w:rFonts w:ascii="Arial" w:hAnsi="Arial" w:cs="Arial"/>
        </w:rPr>
        <w:t>nt</w:t>
      </w:r>
      <w:r w:rsidR="002B4D10">
        <w:rPr>
          <w:rFonts w:ascii="Arial" w:hAnsi="Arial" w:cs="Arial"/>
        </w:rPr>
        <w:t xml:space="preserve"> of current assets</w:t>
      </w:r>
      <w:r w:rsidR="004859C0">
        <w:rPr>
          <w:rFonts w:ascii="Arial" w:hAnsi="Arial" w:cs="Arial"/>
        </w:rPr>
        <w:t>, and the</w:t>
      </w:r>
      <w:r w:rsidR="003F6EB4">
        <w:rPr>
          <w:rFonts w:ascii="Arial" w:hAnsi="Arial" w:cs="Arial"/>
        </w:rPr>
        <w:t>n</w:t>
      </w:r>
      <w:r w:rsidR="004859C0">
        <w:rPr>
          <w:rFonts w:ascii="Arial" w:hAnsi="Arial" w:cs="Arial"/>
        </w:rPr>
        <w:t xml:space="preserve"> take-away the amount of inventory</w:t>
      </w:r>
      <w:r w:rsidR="00CC1F08">
        <w:rPr>
          <w:rFonts w:ascii="Arial" w:hAnsi="Arial" w:cs="Arial"/>
        </w:rPr>
        <w:t xml:space="preserve">. </w:t>
      </w:r>
      <w:proofErr w:type="gramStart"/>
      <w:r w:rsidR="006943C2">
        <w:rPr>
          <w:rFonts w:ascii="Arial" w:hAnsi="Arial" w:cs="Arial"/>
        </w:rPr>
        <w:t>And</w:t>
      </w:r>
      <w:proofErr w:type="gramEnd"/>
      <w:r w:rsidR="006943C2">
        <w:rPr>
          <w:rFonts w:ascii="Arial" w:hAnsi="Arial" w:cs="Arial"/>
        </w:rPr>
        <w:t xml:space="preserve"> what is le</w:t>
      </w:r>
      <w:r w:rsidR="007864CA">
        <w:rPr>
          <w:rFonts w:ascii="Arial" w:hAnsi="Arial" w:cs="Arial"/>
        </w:rPr>
        <w:t>f</w:t>
      </w:r>
      <w:r w:rsidR="006943C2">
        <w:rPr>
          <w:rFonts w:ascii="Arial" w:hAnsi="Arial" w:cs="Arial"/>
        </w:rPr>
        <w:t>t</w:t>
      </w:r>
      <w:r w:rsidR="002B4D10">
        <w:rPr>
          <w:rFonts w:ascii="Arial" w:hAnsi="Arial" w:cs="Arial"/>
        </w:rPr>
        <w:t xml:space="preserve"> </w:t>
      </w:r>
      <w:r w:rsidR="007864CA">
        <w:rPr>
          <w:rFonts w:ascii="Arial" w:hAnsi="Arial" w:cs="Arial"/>
        </w:rPr>
        <w:t xml:space="preserve">is then divided </w:t>
      </w:r>
      <w:r w:rsidR="00FA6FA7">
        <w:rPr>
          <w:rFonts w:ascii="Arial" w:hAnsi="Arial" w:cs="Arial"/>
        </w:rPr>
        <w:t>with the amount of current liabilities</w:t>
      </w:r>
      <w:r w:rsidR="00936BC2">
        <w:rPr>
          <w:rFonts w:ascii="Arial" w:hAnsi="Arial" w:cs="Arial"/>
        </w:rPr>
        <w:t xml:space="preserve">. </w:t>
      </w:r>
      <w:r w:rsidR="002C1B6B">
        <w:rPr>
          <w:rFonts w:ascii="Arial" w:hAnsi="Arial" w:cs="Arial"/>
        </w:rPr>
        <w:t xml:space="preserve">Furthermore, </w:t>
      </w:r>
      <w:r w:rsidR="00A912C6">
        <w:rPr>
          <w:rFonts w:ascii="Arial" w:hAnsi="Arial" w:cs="Arial"/>
        </w:rPr>
        <w:t xml:space="preserve">current ratio </w:t>
      </w:r>
      <w:r w:rsidR="002D67B0">
        <w:rPr>
          <w:rFonts w:ascii="Arial" w:hAnsi="Arial" w:cs="Arial"/>
        </w:rPr>
        <w:t>may also be known as liquidity ratio</w:t>
      </w:r>
      <w:r w:rsidR="003F6EB4">
        <w:rPr>
          <w:rFonts w:ascii="Arial" w:hAnsi="Arial" w:cs="Arial"/>
        </w:rPr>
        <w:t>,</w:t>
      </w:r>
      <w:r w:rsidR="002D67B0">
        <w:rPr>
          <w:rFonts w:ascii="Arial" w:hAnsi="Arial" w:cs="Arial"/>
        </w:rPr>
        <w:t xml:space="preserve"> </w:t>
      </w:r>
      <w:r w:rsidR="007A04B5">
        <w:rPr>
          <w:rFonts w:ascii="Arial" w:hAnsi="Arial" w:cs="Arial"/>
        </w:rPr>
        <w:t xml:space="preserve">an organisation with the </w:t>
      </w:r>
      <w:r w:rsidR="001E27E6">
        <w:rPr>
          <w:rFonts w:ascii="Arial" w:hAnsi="Arial" w:cs="Arial"/>
        </w:rPr>
        <w:t>lion’s</w:t>
      </w:r>
      <w:r w:rsidR="007A04B5">
        <w:rPr>
          <w:rFonts w:ascii="Arial" w:hAnsi="Arial" w:cs="Arial"/>
        </w:rPr>
        <w:t xml:space="preserve"> share </w:t>
      </w:r>
      <w:r w:rsidR="00AF7F60">
        <w:rPr>
          <w:rFonts w:ascii="Arial" w:hAnsi="Arial" w:cs="Arial"/>
        </w:rPr>
        <w:t xml:space="preserve">of their current assets </w:t>
      </w:r>
      <w:r w:rsidR="006011F4">
        <w:rPr>
          <w:rFonts w:ascii="Arial" w:hAnsi="Arial" w:cs="Arial"/>
        </w:rPr>
        <w:t xml:space="preserve">placed in the inventory </w:t>
      </w:r>
      <w:r w:rsidR="00B640C8">
        <w:rPr>
          <w:rFonts w:ascii="Arial" w:hAnsi="Arial" w:cs="Arial"/>
        </w:rPr>
        <w:t>might n</w:t>
      </w:r>
      <w:r w:rsidR="00D45DD3">
        <w:rPr>
          <w:rFonts w:ascii="Arial" w:hAnsi="Arial" w:cs="Arial"/>
        </w:rPr>
        <w:t xml:space="preserve">ot </w:t>
      </w:r>
      <w:r w:rsidR="004E01B2">
        <w:rPr>
          <w:rFonts w:ascii="Arial" w:hAnsi="Arial" w:cs="Arial"/>
        </w:rPr>
        <w:t>possess the liquidity</w:t>
      </w:r>
      <w:r w:rsidR="00D82204">
        <w:rPr>
          <w:rFonts w:ascii="Arial" w:hAnsi="Arial" w:cs="Arial"/>
        </w:rPr>
        <w:t xml:space="preserve"> </w:t>
      </w:r>
      <w:r w:rsidR="004E01B2">
        <w:rPr>
          <w:rFonts w:ascii="Arial" w:hAnsi="Arial" w:cs="Arial"/>
        </w:rPr>
        <w:t xml:space="preserve">required </w:t>
      </w:r>
      <w:r w:rsidR="00C036A3">
        <w:rPr>
          <w:rFonts w:ascii="Arial" w:hAnsi="Arial" w:cs="Arial"/>
        </w:rPr>
        <w:t>to furnish all their liabilities</w:t>
      </w:r>
      <w:r w:rsidR="00145DDF">
        <w:rPr>
          <w:rFonts w:ascii="Arial" w:hAnsi="Arial" w:cs="Arial"/>
        </w:rPr>
        <w:t>,</w:t>
      </w:r>
      <w:r w:rsidR="00C036A3">
        <w:rPr>
          <w:rFonts w:ascii="Arial" w:hAnsi="Arial" w:cs="Arial"/>
        </w:rPr>
        <w:t xml:space="preserve"> </w:t>
      </w:r>
      <w:r w:rsidR="004D36EC">
        <w:rPr>
          <w:rFonts w:ascii="Arial" w:hAnsi="Arial" w:cs="Arial"/>
        </w:rPr>
        <w:t xml:space="preserve">when due. Therefore, </w:t>
      </w:r>
      <w:r w:rsidR="00E7121F">
        <w:rPr>
          <w:rFonts w:ascii="Arial" w:hAnsi="Arial" w:cs="Arial"/>
        </w:rPr>
        <w:t xml:space="preserve">depending on liquidity </w:t>
      </w:r>
      <w:r w:rsidR="00572543">
        <w:rPr>
          <w:rFonts w:ascii="Arial" w:hAnsi="Arial" w:cs="Arial"/>
        </w:rPr>
        <w:t xml:space="preserve">and in which the time it takes to </w:t>
      </w:r>
      <w:r w:rsidR="00B81D71">
        <w:rPr>
          <w:rFonts w:ascii="Arial" w:hAnsi="Arial" w:cs="Arial"/>
        </w:rPr>
        <w:t>convert inventory into cash</w:t>
      </w:r>
      <w:r w:rsidR="00C950D4" w:rsidRPr="00C950D4">
        <w:rPr>
          <w:rFonts w:ascii="Arial" w:hAnsi="Arial" w:cs="Arial"/>
        </w:rPr>
        <w:t xml:space="preserve"> </w:t>
      </w:r>
      <w:r w:rsidR="00C950D4">
        <w:rPr>
          <w:rFonts w:ascii="Arial" w:hAnsi="Arial" w:cs="Arial"/>
        </w:rPr>
        <w:t xml:space="preserve">(Jeenas, 2019).  </w:t>
      </w:r>
      <w:r w:rsidR="004D36EC">
        <w:rPr>
          <w:rFonts w:ascii="Arial" w:hAnsi="Arial" w:cs="Arial"/>
        </w:rPr>
        <w:t xml:space="preserve"> </w:t>
      </w:r>
      <w:r w:rsidR="00673C95">
        <w:rPr>
          <w:rFonts w:ascii="Arial" w:hAnsi="Arial" w:cs="Arial"/>
        </w:rPr>
        <w:t xml:space="preserve"> </w:t>
      </w:r>
      <w:r w:rsidR="00FD2AF2">
        <w:rPr>
          <w:rFonts w:ascii="Arial" w:hAnsi="Arial" w:cs="Arial"/>
        </w:rPr>
        <w:t xml:space="preserve"> </w:t>
      </w:r>
    </w:p>
    <w:p w14:paraId="795B50AD" w14:textId="77777777" w:rsidR="009F753D" w:rsidRDefault="00311D8F" w:rsidP="00F16685">
      <w:pPr>
        <w:jc w:val="both"/>
        <w:rPr>
          <w:rFonts w:ascii="Arial" w:hAnsi="Arial" w:cs="Arial"/>
        </w:rPr>
      </w:pPr>
      <w:r>
        <w:rPr>
          <w:rFonts w:ascii="Arial" w:hAnsi="Arial" w:cs="Arial"/>
        </w:rPr>
        <w:t xml:space="preserve"> </w:t>
      </w:r>
    </w:p>
    <w:p w14:paraId="7ED2A740" w14:textId="06EAD0DD" w:rsidR="00730A1E" w:rsidRPr="001D1E9C" w:rsidRDefault="00730A1E" w:rsidP="00DF5F97">
      <w:pPr>
        <w:pStyle w:val="Heading1"/>
      </w:pPr>
      <w:bookmarkStart w:id="25" w:name="_Toc72176095"/>
      <w:r w:rsidRPr="00730A1E">
        <w:lastRenderedPageBreak/>
        <w:t>GSK</w:t>
      </w:r>
      <w:r>
        <w:t>’s</w:t>
      </w:r>
      <w:r w:rsidRPr="00730A1E">
        <w:t xml:space="preserve"> Liquidity Ratio</w:t>
      </w:r>
      <w:r w:rsidR="00383197">
        <w:t xml:space="preserve">s in </w:t>
      </w:r>
      <w:r w:rsidR="001033E5">
        <w:t>C</w:t>
      </w:r>
      <w:r w:rsidR="00383197">
        <w:t xml:space="preserve">omparison to </w:t>
      </w:r>
      <w:proofErr w:type="gramStart"/>
      <w:r w:rsidR="001033E5">
        <w:t>R</w:t>
      </w:r>
      <w:r w:rsidR="00383197">
        <w:t xml:space="preserve">ivals </w:t>
      </w:r>
      <w:r w:rsidRPr="00730A1E">
        <w:t>:</w:t>
      </w:r>
      <w:bookmarkEnd w:id="25"/>
      <w:proofErr w:type="gramEnd"/>
      <w:r w:rsidRPr="00730A1E">
        <w:t xml:space="preserve"> </w:t>
      </w:r>
    </w:p>
    <w:tbl>
      <w:tblPr>
        <w:tblW w:w="9820" w:type="dxa"/>
        <w:tblLook w:val="04A0" w:firstRow="1" w:lastRow="0" w:firstColumn="1" w:lastColumn="0" w:noHBand="0" w:noVBand="1"/>
      </w:tblPr>
      <w:tblGrid>
        <w:gridCol w:w="1280"/>
        <w:gridCol w:w="960"/>
        <w:gridCol w:w="960"/>
        <w:gridCol w:w="960"/>
        <w:gridCol w:w="960"/>
        <w:gridCol w:w="960"/>
        <w:gridCol w:w="960"/>
        <w:gridCol w:w="1120"/>
        <w:gridCol w:w="1768"/>
      </w:tblGrid>
      <w:tr w:rsidR="00194F7E" w:rsidRPr="00194F7E" w14:paraId="39B5218A" w14:textId="77777777" w:rsidTr="00194F7E">
        <w:trPr>
          <w:trHeight w:val="300"/>
        </w:trPr>
        <w:tc>
          <w:tcPr>
            <w:tcW w:w="1280" w:type="dxa"/>
            <w:tcBorders>
              <w:top w:val="nil"/>
              <w:left w:val="nil"/>
              <w:bottom w:val="nil"/>
              <w:right w:val="nil"/>
            </w:tcBorders>
            <w:shd w:val="clear" w:color="auto" w:fill="auto"/>
            <w:noWrap/>
            <w:vAlign w:val="center"/>
            <w:hideMark/>
          </w:tcPr>
          <w:p w14:paraId="7141B752" w14:textId="77777777" w:rsidR="00194F7E" w:rsidRPr="00194F7E" w:rsidRDefault="00194F7E" w:rsidP="00771DD3">
            <w:pPr>
              <w:spacing w:after="0" w:line="240" w:lineRule="auto"/>
              <w:rPr>
                <w:rFonts w:ascii="Calibri" w:eastAsia="Times New Roman" w:hAnsi="Calibri" w:cs="Calibri"/>
                <w:color w:val="000000"/>
                <w:lang w:eastAsia="en-GB"/>
              </w:rPr>
            </w:pPr>
            <w:r w:rsidRPr="00194F7E">
              <w:rPr>
                <w:rFonts w:ascii="Calibri" w:eastAsia="Times New Roman" w:hAnsi="Calibri" w:cs="Calibri"/>
                <w:color w:val="000000"/>
                <w:lang w:eastAsia="en-GB"/>
              </w:rPr>
              <w:t>GSK</w:t>
            </w:r>
          </w:p>
        </w:tc>
        <w:tc>
          <w:tcPr>
            <w:tcW w:w="960" w:type="dxa"/>
            <w:tcBorders>
              <w:top w:val="nil"/>
              <w:left w:val="nil"/>
              <w:bottom w:val="nil"/>
              <w:right w:val="nil"/>
            </w:tcBorders>
            <w:shd w:val="clear" w:color="auto" w:fill="auto"/>
            <w:noWrap/>
            <w:vAlign w:val="center"/>
            <w:hideMark/>
          </w:tcPr>
          <w:p w14:paraId="0122AAC5" w14:textId="77777777" w:rsidR="00194F7E" w:rsidRPr="00194F7E" w:rsidRDefault="00194F7E" w:rsidP="00771DD3">
            <w:pPr>
              <w:spacing w:after="0" w:line="240" w:lineRule="auto"/>
              <w:rPr>
                <w:rFonts w:ascii="Calibri" w:eastAsia="Times New Roman" w:hAnsi="Calibri" w:cs="Calibri"/>
                <w:color w:val="000000"/>
                <w:lang w:eastAsia="en-GB"/>
              </w:rPr>
            </w:pPr>
            <w:r w:rsidRPr="00194F7E">
              <w:rPr>
                <w:rFonts w:ascii="Calibri" w:eastAsia="Times New Roman" w:hAnsi="Calibri" w:cs="Calibri"/>
                <w:color w:val="000000"/>
                <w:lang w:eastAsia="en-GB"/>
              </w:rPr>
              <w:t>2016</w:t>
            </w:r>
          </w:p>
        </w:tc>
        <w:tc>
          <w:tcPr>
            <w:tcW w:w="960" w:type="dxa"/>
            <w:tcBorders>
              <w:top w:val="nil"/>
              <w:left w:val="nil"/>
              <w:bottom w:val="nil"/>
              <w:right w:val="nil"/>
            </w:tcBorders>
            <w:shd w:val="clear" w:color="auto" w:fill="auto"/>
            <w:noWrap/>
            <w:vAlign w:val="center"/>
            <w:hideMark/>
          </w:tcPr>
          <w:p w14:paraId="29FE0349" w14:textId="77777777" w:rsidR="00194F7E" w:rsidRPr="00194F7E" w:rsidRDefault="00194F7E" w:rsidP="00771DD3">
            <w:pPr>
              <w:spacing w:after="0" w:line="240" w:lineRule="auto"/>
              <w:rPr>
                <w:rFonts w:ascii="Calibri" w:eastAsia="Times New Roman" w:hAnsi="Calibri" w:cs="Calibri"/>
                <w:color w:val="000000"/>
                <w:lang w:eastAsia="en-GB"/>
              </w:rPr>
            </w:pPr>
            <w:r w:rsidRPr="00194F7E">
              <w:rPr>
                <w:rFonts w:ascii="Calibri" w:eastAsia="Times New Roman" w:hAnsi="Calibri" w:cs="Calibri"/>
                <w:color w:val="000000"/>
                <w:lang w:eastAsia="en-GB"/>
              </w:rPr>
              <w:t>2017</w:t>
            </w:r>
          </w:p>
        </w:tc>
        <w:tc>
          <w:tcPr>
            <w:tcW w:w="960" w:type="dxa"/>
            <w:tcBorders>
              <w:top w:val="nil"/>
              <w:left w:val="nil"/>
              <w:bottom w:val="nil"/>
              <w:right w:val="nil"/>
            </w:tcBorders>
            <w:shd w:val="clear" w:color="auto" w:fill="auto"/>
            <w:noWrap/>
            <w:vAlign w:val="center"/>
            <w:hideMark/>
          </w:tcPr>
          <w:p w14:paraId="10D0D872" w14:textId="77777777" w:rsidR="00194F7E" w:rsidRPr="00194F7E" w:rsidRDefault="00194F7E" w:rsidP="00771DD3">
            <w:pPr>
              <w:spacing w:after="0" w:line="240" w:lineRule="auto"/>
              <w:rPr>
                <w:rFonts w:ascii="Calibri" w:eastAsia="Times New Roman" w:hAnsi="Calibri" w:cs="Calibri"/>
                <w:color w:val="000000"/>
                <w:lang w:eastAsia="en-GB"/>
              </w:rPr>
            </w:pPr>
            <w:r w:rsidRPr="00194F7E">
              <w:rPr>
                <w:rFonts w:ascii="Calibri" w:eastAsia="Times New Roman" w:hAnsi="Calibri" w:cs="Calibri"/>
                <w:color w:val="000000"/>
                <w:lang w:eastAsia="en-GB"/>
              </w:rPr>
              <w:t>2018</w:t>
            </w:r>
          </w:p>
        </w:tc>
        <w:tc>
          <w:tcPr>
            <w:tcW w:w="960" w:type="dxa"/>
            <w:tcBorders>
              <w:top w:val="nil"/>
              <w:left w:val="nil"/>
              <w:bottom w:val="nil"/>
              <w:right w:val="nil"/>
            </w:tcBorders>
            <w:shd w:val="clear" w:color="auto" w:fill="auto"/>
            <w:noWrap/>
            <w:vAlign w:val="center"/>
            <w:hideMark/>
          </w:tcPr>
          <w:p w14:paraId="370C52FC" w14:textId="77777777" w:rsidR="00194F7E" w:rsidRPr="00194F7E" w:rsidRDefault="00194F7E" w:rsidP="00771DD3">
            <w:pPr>
              <w:spacing w:after="0" w:line="240" w:lineRule="auto"/>
              <w:rPr>
                <w:rFonts w:ascii="Calibri" w:eastAsia="Times New Roman" w:hAnsi="Calibri" w:cs="Calibri"/>
                <w:color w:val="000000"/>
                <w:lang w:eastAsia="en-GB"/>
              </w:rPr>
            </w:pPr>
            <w:r w:rsidRPr="00194F7E">
              <w:rPr>
                <w:rFonts w:ascii="Calibri" w:eastAsia="Times New Roman" w:hAnsi="Calibri" w:cs="Calibri"/>
                <w:color w:val="000000"/>
                <w:lang w:eastAsia="en-GB"/>
              </w:rPr>
              <w:t>2019</w:t>
            </w:r>
          </w:p>
        </w:tc>
        <w:tc>
          <w:tcPr>
            <w:tcW w:w="960" w:type="dxa"/>
            <w:tcBorders>
              <w:top w:val="nil"/>
              <w:left w:val="nil"/>
              <w:bottom w:val="nil"/>
              <w:right w:val="nil"/>
            </w:tcBorders>
            <w:shd w:val="clear" w:color="auto" w:fill="auto"/>
            <w:noWrap/>
            <w:vAlign w:val="center"/>
            <w:hideMark/>
          </w:tcPr>
          <w:p w14:paraId="6ED86D44" w14:textId="77777777" w:rsidR="00194F7E" w:rsidRPr="00194F7E" w:rsidRDefault="00194F7E" w:rsidP="00771DD3">
            <w:pPr>
              <w:spacing w:after="0" w:line="240" w:lineRule="auto"/>
              <w:rPr>
                <w:rFonts w:ascii="Calibri" w:eastAsia="Times New Roman" w:hAnsi="Calibri" w:cs="Calibri"/>
                <w:color w:val="000000"/>
                <w:lang w:eastAsia="en-GB"/>
              </w:rPr>
            </w:pPr>
            <w:r w:rsidRPr="00194F7E">
              <w:rPr>
                <w:rFonts w:ascii="Calibri" w:eastAsia="Times New Roman" w:hAnsi="Calibri" w:cs="Calibri"/>
                <w:color w:val="000000"/>
                <w:lang w:eastAsia="en-GB"/>
              </w:rPr>
              <w:t>2020</w:t>
            </w:r>
          </w:p>
        </w:tc>
        <w:tc>
          <w:tcPr>
            <w:tcW w:w="960" w:type="dxa"/>
            <w:tcBorders>
              <w:top w:val="nil"/>
              <w:left w:val="nil"/>
              <w:bottom w:val="nil"/>
              <w:right w:val="nil"/>
            </w:tcBorders>
            <w:shd w:val="clear" w:color="auto" w:fill="auto"/>
            <w:noWrap/>
            <w:vAlign w:val="center"/>
            <w:hideMark/>
          </w:tcPr>
          <w:p w14:paraId="7FE4B872" w14:textId="77777777" w:rsidR="00194F7E" w:rsidRPr="00194F7E" w:rsidRDefault="00194F7E" w:rsidP="00771DD3">
            <w:pPr>
              <w:spacing w:after="0" w:line="240" w:lineRule="auto"/>
              <w:rPr>
                <w:rFonts w:ascii="Calibri" w:eastAsia="Times New Roman" w:hAnsi="Calibri" w:cs="Calibri"/>
                <w:color w:val="000000"/>
                <w:lang w:eastAsia="en-GB"/>
              </w:rPr>
            </w:pPr>
            <w:r w:rsidRPr="00194F7E">
              <w:rPr>
                <w:rFonts w:ascii="Calibri" w:eastAsia="Times New Roman" w:hAnsi="Calibri" w:cs="Calibri"/>
                <w:color w:val="000000"/>
                <w:lang w:eastAsia="en-GB"/>
              </w:rPr>
              <w:t>J&amp;J 2020</w:t>
            </w:r>
          </w:p>
        </w:tc>
        <w:tc>
          <w:tcPr>
            <w:tcW w:w="1120" w:type="dxa"/>
            <w:tcBorders>
              <w:top w:val="nil"/>
              <w:left w:val="nil"/>
              <w:bottom w:val="nil"/>
              <w:right w:val="nil"/>
            </w:tcBorders>
            <w:shd w:val="clear" w:color="auto" w:fill="auto"/>
            <w:noWrap/>
            <w:vAlign w:val="center"/>
            <w:hideMark/>
          </w:tcPr>
          <w:p w14:paraId="0484D93D" w14:textId="77777777" w:rsidR="00194F7E" w:rsidRPr="00194F7E" w:rsidRDefault="00194F7E" w:rsidP="00771DD3">
            <w:pPr>
              <w:spacing w:after="0" w:line="240" w:lineRule="auto"/>
              <w:rPr>
                <w:rFonts w:ascii="Calibri" w:eastAsia="Times New Roman" w:hAnsi="Calibri" w:cs="Calibri"/>
                <w:color w:val="000000"/>
                <w:lang w:eastAsia="en-GB"/>
              </w:rPr>
            </w:pPr>
            <w:r w:rsidRPr="00194F7E">
              <w:rPr>
                <w:rFonts w:ascii="Calibri" w:eastAsia="Times New Roman" w:hAnsi="Calibri" w:cs="Calibri"/>
                <w:color w:val="000000"/>
                <w:lang w:eastAsia="en-GB"/>
              </w:rPr>
              <w:t>Roche 2020</w:t>
            </w:r>
          </w:p>
        </w:tc>
        <w:tc>
          <w:tcPr>
            <w:tcW w:w="1660" w:type="dxa"/>
            <w:tcBorders>
              <w:top w:val="nil"/>
              <w:left w:val="nil"/>
              <w:bottom w:val="nil"/>
              <w:right w:val="nil"/>
            </w:tcBorders>
            <w:shd w:val="clear" w:color="auto" w:fill="auto"/>
            <w:noWrap/>
            <w:vAlign w:val="center"/>
            <w:hideMark/>
          </w:tcPr>
          <w:p w14:paraId="778EBB52" w14:textId="77777777" w:rsidR="00194F7E" w:rsidRPr="00194F7E" w:rsidRDefault="00194F7E" w:rsidP="00771DD3">
            <w:pPr>
              <w:spacing w:after="0" w:line="240" w:lineRule="auto"/>
              <w:rPr>
                <w:rFonts w:ascii="Calibri" w:eastAsia="Times New Roman" w:hAnsi="Calibri" w:cs="Calibri"/>
                <w:color w:val="000000"/>
                <w:lang w:eastAsia="en-GB"/>
              </w:rPr>
            </w:pPr>
            <w:r w:rsidRPr="00194F7E">
              <w:rPr>
                <w:rFonts w:ascii="Calibri" w:eastAsia="Times New Roman" w:hAnsi="Calibri" w:cs="Calibri"/>
                <w:color w:val="000000"/>
                <w:lang w:eastAsia="en-GB"/>
              </w:rPr>
              <w:t>AstraZeneca2020</w:t>
            </w:r>
          </w:p>
        </w:tc>
      </w:tr>
      <w:tr w:rsidR="00194F7E" w:rsidRPr="00194F7E" w14:paraId="5DC62315" w14:textId="77777777" w:rsidTr="00194F7E">
        <w:trPr>
          <w:trHeight w:val="300"/>
        </w:trPr>
        <w:tc>
          <w:tcPr>
            <w:tcW w:w="1280" w:type="dxa"/>
            <w:tcBorders>
              <w:top w:val="nil"/>
              <w:left w:val="nil"/>
              <w:bottom w:val="nil"/>
              <w:right w:val="nil"/>
            </w:tcBorders>
            <w:shd w:val="clear" w:color="auto" w:fill="auto"/>
            <w:noWrap/>
            <w:vAlign w:val="center"/>
            <w:hideMark/>
          </w:tcPr>
          <w:p w14:paraId="74D48292" w14:textId="77777777" w:rsidR="00194F7E" w:rsidRPr="00194F7E" w:rsidRDefault="00194F7E" w:rsidP="00771DD3">
            <w:pPr>
              <w:spacing w:after="0" w:line="240" w:lineRule="auto"/>
              <w:rPr>
                <w:rFonts w:ascii="Calibri" w:eastAsia="Times New Roman" w:hAnsi="Calibri" w:cs="Calibri"/>
                <w:color w:val="000000"/>
                <w:lang w:eastAsia="en-GB"/>
              </w:rPr>
            </w:pPr>
            <w:r w:rsidRPr="00194F7E">
              <w:rPr>
                <w:rFonts w:ascii="Calibri" w:eastAsia="Times New Roman" w:hAnsi="Calibri" w:cs="Calibri"/>
                <w:color w:val="000000"/>
                <w:lang w:eastAsia="en-GB"/>
              </w:rPr>
              <w:t>Current Ratio</w:t>
            </w:r>
          </w:p>
        </w:tc>
        <w:tc>
          <w:tcPr>
            <w:tcW w:w="960" w:type="dxa"/>
            <w:tcBorders>
              <w:top w:val="nil"/>
              <w:left w:val="nil"/>
              <w:bottom w:val="nil"/>
              <w:right w:val="nil"/>
            </w:tcBorders>
            <w:shd w:val="clear" w:color="auto" w:fill="auto"/>
            <w:vAlign w:val="center"/>
            <w:hideMark/>
          </w:tcPr>
          <w:p w14:paraId="17A21A45" w14:textId="17256D8A"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0.87</w:t>
            </w:r>
          </w:p>
        </w:tc>
        <w:tc>
          <w:tcPr>
            <w:tcW w:w="960" w:type="dxa"/>
            <w:tcBorders>
              <w:top w:val="nil"/>
              <w:left w:val="nil"/>
              <w:bottom w:val="nil"/>
              <w:right w:val="nil"/>
            </w:tcBorders>
            <w:shd w:val="clear" w:color="auto" w:fill="auto"/>
            <w:vAlign w:val="center"/>
            <w:hideMark/>
          </w:tcPr>
          <w:p w14:paraId="40D68D07" w14:textId="3DAC1382"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0.59</w:t>
            </w:r>
          </w:p>
        </w:tc>
        <w:tc>
          <w:tcPr>
            <w:tcW w:w="960" w:type="dxa"/>
            <w:tcBorders>
              <w:top w:val="nil"/>
              <w:left w:val="nil"/>
              <w:bottom w:val="nil"/>
              <w:right w:val="nil"/>
            </w:tcBorders>
            <w:shd w:val="clear" w:color="auto" w:fill="auto"/>
            <w:vAlign w:val="center"/>
            <w:hideMark/>
          </w:tcPr>
          <w:p w14:paraId="01ED15B8" w14:textId="7482BF52"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0.75</w:t>
            </w:r>
          </w:p>
        </w:tc>
        <w:tc>
          <w:tcPr>
            <w:tcW w:w="960" w:type="dxa"/>
            <w:tcBorders>
              <w:top w:val="nil"/>
              <w:left w:val="nil"/>
              <w:bottom w:val="nil"/>
              <w:right w:val="nil"/>
            </w:tcBorders>
            <w:shd w:val="clear" w:color="auto" w:fill="auto"/>
            <w:vAlign w:val="center"/>
            <w:hideMark/>
          </w:tcPr>
          <w:p w14:paraId="7F66F4F4" w14:textId="02685309"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0.81</w:t>
            </w:r>
          </w:p>
        </w:tc>
        <w:tc>
          <w:tcPr>
            <w:tcW w:w="960" w:type="dxa"/>
            <w:tcBorders>
              <w:top w:val="nil"/>
              <w:left w:val="nil"/>
              <w:bottom w:val="nil"/>
              <w:right w:val="nil"/>
            </w:tcBorders>
            <w:shd w:val="clear" w:color="000000" w:fill="FFFF00"/>
            <w:noWrap/>
            <w:vAlign w:val="center"/>
            <w:hideMark/>
          </w:tcPr>
          <w:p w14:paraId="2BD02EED" w14:textId="47CC7927"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0.91</w:t>
            </w:r>
          </w:p>
        </w:tc>
        <w:tc>
          <w:tcPr>
            <w:tcW w:w="960" w:type="dxa"/>
            <w:tcBorders>
              <w:top w:val="nil"/>
              <w:left w:val="nil"/>
              <w:bottom w:val="nil"/>
              <w:right w:val="nil"/>
            </w:tcBorders>
            <w:shd w:val="clear" w:color="auto" w:fill="auto"/>
            <w:noWrap/>
            <w:vAlign w:val="center"/>
            <w:hideMark/>
          </w:tcPr>
          <w:p w14:paraId="6CA5156F" w14:textId="2B255C6E"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0.45</w:t>
            </w:r>
          </w:p>
        </w:tc>
        <w:tc>
          <w:tcPr>
            <w:tcW w:w="1120" w:type="dxa"/>
            <w:tcBorders>
              <w:top w:val="nil"/>
              <w:left w:val="nil"/>
              <w:bottom w:val="nil"/>
              <w:right w:val="nil"/>
            </w:tcBorders>
            <w:shd w:val="clear" w:color="000000" w:fill="FFFF00"/>
            <w:noWrap/>
            <w:vAlign w:val="center"/>
            <w:hideMark/>
          </w:tcPr>
          <w:p w14:paraId="14342D47" w14:textId="42F201F2"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5.48</w:t>
            </w:r>
          </w:p>
        </w:tc>
        <w:tc>
          <w:tcPr>
            <w:tcW w:w="1660" w:type="dxa"/>
            <w:tcBorders>
              <w:top w:val="nil"/>
              <w:left w:val="nil"/>
              <w:bottom w:val="nil"/>
              <w:right w:val="nil"/>
            </w:tcBorders>
            <w:shd w:val="clear" w:color="000000" w:fill="FFFF00"/>
            <w:noWrap/>
            <w:vAlign w:val="center"/>
            <w:hideMark/>
          </w:tcPr>
          <w:p w14:paraId="30B9AA47" w14:textId="27125514"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1.30</w:t>
            </w:r>
          </w:p>
        </w:tc>
      </w:tr>
      <w:tr w:rsidR="00194F7E" w:rsidRPr="00194F7E" w14:paraId="401EB2F1" w14:textId="77777777" w:rsidTr="00194F7E">
        <w:trPr>
          <w:trHeight w:val="300"/>
        </w:trPr>
        <w:tc>
          <w:tcPr>
            <w:tcW w:w="1280" w:type="dxa"/>
            <w:tcBorders>
              <w:top w:val="nil"/>
              <w:left w:val="nil"/>
              <w:bottom w:val="nil"/>
              <w:right w:val="nil"/>
            </w:tcBorders>
            <w:shd w:val="clear" w:color="auto" w:fill="auto"/>
            <w:noWrap/>
            <w:vAlign w:val="center"/>
            <w:hideMark/>
          </w:tcPr>
          <w:p w14:paraId="153CCCCD" w14:textId="77777777"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Quick Ratio</w:t>
            </w:r>
          </w:p>
        </w:tc>
        <w:tc>
          <w:tcPr>
            <w:tcW w:w="960" w:type="dxa"/>
            <w:tcBorders>
              <w:top w:val="nil"/>
              <w:left w:val="nil"/>
              <w:bottom w:val="nil"/>
              <w:right w:val="nil"/>
            </w:tcBorders>
            <w:shd w:val="clear" w:color="auto" w:fill="auto"/>
            <w:vAlign w:val="center"/>
            <w:hideMark/>
          </w:tcPr>
          <w:p w14:paraId="588984BA" w14:textId="4DF3632E"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0.61</w:t>
            </w:r>
          </w:p>
        </w:tc>
        <w:tc>
          <w:tcPr>
            <w:tcW w:w="960" w:type="dxa"/>
            <w:tcBorders>
              <w:top w:val="nil"/>
              <w:left w:val="nil"/>
              <w:bottom w:val="nil"/>
              <w:right w:val="nil"/>
            </w:tcBorders>
            <w:shd w:val="clear" w:color="auto" w:fill="auto"/>
            <w:vAlign w:val="center"/>
            <w:hideMark/>
          </w:tcPr>
          <w:p w14:paraId="2EB5AC83" w14:textId="4227A272"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0.38</w:t>
            </w:r>
          </w:p>
        </w:tc>
        <w:tc>
          <w:tcPr>
            <w:tcW w:w="960" w:type="dxa"/>
            <w:tcBorders>
              <w:top w:val="nil"/>
              <w:left w:val="nil"/>
              <w:bottom w:val="nil"/>
              <w:right w:val="nil"/>
            </w:tcBorders>
            <w:shd w:val="clear" w:color="auto" w:fill="auto"/>
            <w:vAlign w:val="center"/>
            <w:hideMark/>
          </w:tcPr>
          <w:p w14:paraId="0AA7E85F" w14:textId="56A5BB9F"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0.50</w:t>
            </w:r>
          </w:p>
        </w:tc>
        <w:tc>
          <w:tcPr>
            <w:tcW w:w="960" w:type="dxa"/>
            <w:tcBorders>
              <w:top w:val="nil"/>
              <w:left w:val="nil"/>
              <w:bottom w:val="nil"/>
              <w:right w:val="nil"/>
            </w:tcBorders>
            <w:shd w:val="clear" w:color="auto" w:fill="auto"/>
            <w:vAlign w:val="center"/>
            <w:hideMark/>
          </w:tcPr>
          <w:p w14:paraId="668A42A0" w14:textId="62B93D19"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0.56</w:t>
            </w:r>
          </w:p>
        </w:tc>
        <w:tc>
          <w:tcPr>
            <w:tcW w:w="960" w:type="dxa"/>
            <w:tcBorders>
              <w:top w:val="nil"/>
              <w:left w:val="nil"/>
              <w:bottom w:val="nil"/>
              <w:right w:val="nil"/>
            </w:tcBorders>
            <w:shd w:val="clear" w:color="000000" w:fill="FFFF00"/>
            <w:noWrap/>
            <w:vAlign w:val="center"/>
            <w:hideMark/>
          </w:tcPr>
          <w:p w14:paraId="612AE437" w14:textId="03CE514E"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0.64</w:t>
            </w:r>
          </w:p>
        </w:tc>
        <w:tc>
          <w:tcPr>
            <w:tcW w:w="960" w:type="dxa"/>
            <w:tcBorders>
              <w:top w:val="nil"/>
              <w:left w:val="nil"/>
              <w:bottom w:val="nil"/>
              <w:right w:val="nil"/>
            </w:tcBorders>
            <w:shd w:val="clear" w:color="000000" w:fill="FFFF00"/>
            <w:noWrap/>
            <w:vAlign w:val="center"/>
            <w:hideMark/>
          </w:tcPr>
          <w:p w14:paraId="458207FE" w14:textId="680ACAD5"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0.37</w:t>
            </w:r>
          </w:p>
        </w:tc>
        <w:tc>
          <w:tcPr>
            <w:tcW w:w="1120" w:type="dxa"/>
            <w:tcBorders>
              <w:top w:val="nil"/>
              <w:left w:val="nil"/>
              <w:bottom w:val="nil"/>
              <w:right w:val="nil"/>
            </w:tcBorders>
            <w:shd w:val="clear" w:color="000000" w:fill="FFFF00"/>
            <w:noWrap/>
            <w:vAlign w:val="center"/>
            <w:hideMark/>
          </w:tcPr>
          <w:p w14:paraId="28797856" w14:textId="3E0B0DC7"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3.26</w:t>
            </w:r>
          </w:p>
        </w:tc>
        <w:tc>
          <w:tcPr>
            <w:tcW w:w="1660" w:type="dxa"/>
            <w:tcBorders>
              <w:top w:val="nil"/>
              <w:left w:val="nil"/>
              <w:bottom w:val="nil"/>
              <w:right w:val="nil"/>
            </w:tcBorders>
            <w:shd w:val="clear" w:color="000000" w:fill="FFFF00"/>
            <w:noWrap/>
            <w:vAlign w:val="center"/>
            <w:hideMark/>
          </w:tcPr>
          <w:p w14:paraId="570A45A5" w14:textId="61BC8666" w:rsidR="00194F7E" w:rsidRPr="00194F7E" w:rsidRDefault="00194F7E" w:rsidP="00194F7E">
            <w:pPr>
              <w:spacing w:after="0" w:line="240" w:lineRule="auto"/>
              <w:jc w:val="center"/>
              <w:rPr>
                <w:rFonts w:ascii="Calibri" w:eastAsia="Times New Roman" w:hAnsi="Calibri" w:cs="Calibri"/>
                <w:color w:val="000000"/>
                <w:lang w:eastAsia="en-GB"/>
              </w:rPr>
            </w:pPr>
            <w:r w:rsidRPr="00194F7E">
              <w:rPr>
                <w:rFonts w:ascii="Calibri" w:eastAsia="Times New Roman" w:hAnsi="Calibri" w:cs="Calibri"/>
                <w:color w:val="000000"/>
                <w:lang w:eastAsia="en-GB"/>
              </w:rPr>
              <w:t>1.22</w:t>
            </w:r>
          </w:p>
        </w:tc>
      </w:tr>
    </w:tbl>
    <w:p w14:paraId="5B906A44" w14:textId="77777777" w:rsidR="00B95D07" w:rsidRDefault="00B95D07" w:rsidP="00B95D07">
      <w:pPr>
        <w:jc w:val="both"/>
        <w:rPr>
          <w:rFonts w:ascii="Arial" w:hAnsi="Arial" w:cs="Arial"/>
          <w:b/>
          <w:bCs/>
          <w:u w:val="single"/>
        </w:rPr>
      </w:pPr>
    </w:p>
    <w:p w14:paraId="786A8D9A" w14:textId="77777777" w:rsidR="00B95D07" w:rsidRDefault="00B95D07" w:rsidP="00B95D07">
      <w:pPr>
        <w:jc w:val="both"/>
        <w:rPr>
          <w:rFonts w:ascii="Arial" w:hAnsi="Arial" w:cs="Arial"/>
          <w:b/>
          <w:bCs/>
          <w:u w:val="single"/>
        </w:rPr>
      </w:pPr>
    </w:p>
    <w:p w14:paraId="0827574B" w14:textId="1E73C029" w:rsidR="00B95D07" w:rsidRDefault="00BF7C5C" w:rsidP="00B51698">
      <w:pPr>
        <w:ind w:left="720"/>
        <w:jc w:val="both"/>
        <w:rPr>
          <w:rFonts w:ascii="Arial" w:hAnsi="Arial" w:cs="Arial"/>
          <w:b/>
          <w:bCs/>
          <w:u w:val="single"/>
        </w:rPr>
      </w:pPr>
      <w:r>
        <w:rPr>
          <w:noProof/>
          <w:lang w:eastAsia="en-GB"/>
        </w:rPr>
        <w:drawing>
          <wp:inline distT="0" distB="0" distL="0" distR="0" wp14:anchorId="54A8C689" wp14:editId="32872AE9">
            <wp:extent cx="4572000" cy="2247900"/>
            <wp:effectExtent l="0" t="0" r="0" b="0"/>
            <wp:docPr id="1" name="Chart 1">
              <a:extLst xmlns:a="http://schemas.openxmlformats.org/drawingml/2006/main">
                <a:ext uri="{FF2B5EF4-FFF2-40B4-BE49-F238E27FC236}">
                  <a16:creationId xmlns:a16="http://schemas.microsoft.com/office/drawing/2014/main" id="{F5146C8C-412F-4F49-A622-F383AAA94A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63C9C8" w14:textId="6F3D5B63" w:rsidR="007677E9" w:rsidRDefault="007677E9" w:rsidP="00F16685">
      <w:pPr>
        <w:jc w:val="both"/>
        <w:rPr>
          <w:rFonts w:ascii="Arial" w:hAnsi="Arial" w:cs="Arial"/>
          <w:b/>
          <w:bCs/>
          <w:u w:val="single"/>
        </w:rPr>
      </w:pPr>
    </w:p>
    <w:p w14:paraId="7EB6054F" w14:textId="198FF786" w:rsidR="0052268B" w:rsidRPr="00E424E7" w:rsidRDefault="0052268B" w:rsidP="00F16685">
      <w:pPr>
        <w:jc w:val="both"/>
        <w:rPr>
          <w:rFonts w:ascii="Arial" w:hAnsi="Arial" w:cs="Arial"/>
          <w:b/>
          <w:bCs/>
          <w:i/>
          <w:iCs/>
        </w:rPr>
      </w:pPr>
      <w:r w:rsidRPr="00E424E7">
        <w:rPr>
          <w:rFonts w:ascii="Arial" w:hAnsi="Arial" w:cs="Arial"/>
          <w:b/>
          <w:bCs/>
          <w:i/>
          <w:iCs/>
        </w:rPr>
        <w:t xml:space="preserve">If </w:t>
      </w:r>
      <w:r w:rsidR="00A523C1" w:rsidRPr="00E424E7">
        <w:rPr>
          <w:rFonts w:ascii="Arial" w:hAnsi="Arial" w:cs="Arial"/>
          <w:b/>
          <w:bCs/>
          <w:i/>
          <w:iCs/>
        </w:rPr>
        <w:t xml:space="preserve">ratios </w:t>
      </w:r>
      <w:proofErr w:type="gramStart"/>
      <w:r w:rsidR="00A523C1" w:rsidRPr="00E424E7">
        <w:rPr>
          <w:rFonts w:ascii="Arial" w:hAnsi="Arial" w:cs="Arial"/>
          <w:b/>
          <w:bCs/>
          <w:i/>
          <w:iCs/>
        </w:rPr>
        <w:t>are</w:t>
      </w:r>
      <w:proofErr w:type="gramEnd"/>
      <w:r w:rsidR="00A523C1" w:rsidRPr="00E424E7">
        <w:rPr>
          <w:rFonts w:ascii="Arial" w:hAnsi="Arial" w:cs="Arial"/>
          <w:b/>
          <w:bCs/>
          <w:i/>
          <w:iCs/>
        </w:rPr>
        <w:t xml:space="preserve"> too high </w:t>
      </w:r>
      <w:r w:rsidR="0072491B" w:rsidRPr="00E424E7">
        <w:rPr>
          <w:rFonts w:ascii="Arial" w:hAnsi="Arial" w:cs="Arial"/>
          <w:b/>
          <w:bCs/>
          <w:i/>
          <w:iCs/>
        </w:rPr>
        <w:t xml:space="preserve">this may cause concern for GKS, </w:t>
      </w:r>
      <w:r w:rsidR="001B7CAE" w:rsidRPr="00E424E7">
        <w:rPr>
          <w:rFonts w:ascii="Arial" w:hAnsi="Arial" w:cs="Arial"/>
          <w:b/>
          <w:bCs/>
          <w:i/>
          <w:iCs/>
        </w:rPr>
        <w:t xml:space="preserve">in terms of holding too much cash on their books, </w:t>
      </w:r>
      <w:r w:rsidR="00EE39F2" w:rsidRPr="00E424E7">
        <w:rPr>
          <w:rFonts w:ascii="Arial" w:hAnsi="Arial" w:cs="Arial"/>
          <w:b/>
          <w:bCs/>
          <w:i/>
          <w:iCs/>
        </w:rPr>
        <w:t>and not receiving much interest</w:t>
      </w:r>
      <w:r w:rsidR="006D10B0" w:rsidRPr="00E424E7">
        <w:rPr>
          <w:rFonts w:ascii="Arial" w:hAnsi="Arial" w:cs="Arial"/>
          <w:b/>
          <w:bCs/>
          <w:i/>
          <w:iCs/>
        </w:rPr>
        <w:t>, like what a bank would pay</w:t>
      </w:r>
      <w:r w:rsidR="00B10A5F">
        <w:rPr>
          <w:rFonts w:ascii="Arial" w:hAnsi="Arial" w:cs="Arial"/>
          <w:b/>
          <w:bCs/>
          <w:i/>
          <w:iCs/>
        </w:rPr>
        <w:t xml:space="preserve"> for instance</w:t>
      </w:r>
      <w:r w:rsidR="009D0580" w:rsidRPr="00E424E7">
        <w:rPr>
          <w:rFonts w:ascii="Arial" w:hAnsi="Arial" w:cs="Arial"/>
          <w:b/>
          <w:bCs/>
          <w:i/>
          <w:iCs/>
        </w:rPr>
        <w:t xml:space="preserve">, some would say </w:t>
      </w:r>
      <w:r w:rsidR="00186231" w:rsidRPr="00E424E7">
        <w:rPr>
          <w:rFonts w:ascii="Arial" w:hAnsi="Arial" w:cs="Arial"/>
          <w:b/>
          <w:bCs/>
          <w:i/>
          <w:iCs/>
        </w:rPr>
        <w:t xml:space="preserve">the cash should be put to work </w:t>
      </w:r>
      <w:r w:rsidR="00AF4FCC" w:rsidRPr="00E424E7">
        <w:rPr>
          <w:rFonts w:ascii="Arial" w:hAnsi="Arial" w:cs="Arial"/>
          <w:b/>
          <w:bCs/>
          <w:i/>
          <w:iCs/>
        </w:rPr>
        <w:t xml:space="preserve">through other investments to achieve </w:t>
      </w:r>
      <w:r w:rsidR="00E424E7" w:rsidRPr="00E424E7">
        <w:rPr>
          <w:rFonts w:ascii="Arial" w:hAnsi="Arial" w:cs="Arial"/>
          <w:b/>
          <w:bCs/>
          <w:i/>
          <w:iCs/>
        </w:rPr>
        <w:t>higher returns.</w:t>
      </w:r>
    </w:p>
    <w:p w14:paraId="608C83ED" w14:textId="7ABCDC7E" w:rsidR="00E17F76" w:rsidRPr="00653D0A" w:rsidRDefault="00BB7A25" w:rsidP="00DF5F97">
      <w:pPr>
        <w:pStyle w:val="Heading1"/>
      </w:pPr>
      <w:bookmarkStart w:id="26" w:name="_Toc72176096"/>
      <w:r w:rsidRPr="00653D0A">
        <w:t>Gearing</w:t>
      </w:r>
      <w:r w:rsidR="004714EF">
        <w:t xml:space="preserve"> </w:t>
      </w:r>
      <w:r w:rsidR="00143A95">
        <w:t>Efficiency</w:t>
      </w:r>
      <w:r w:rsidRPr="00653D0A">
        <w:t xml:space="preserve"> Ratio</w:t>
      </w:r>
      <w:r w:rsidR="00B32484">
        <w:t>s</w:t>
      </w:r>
      <w:r w:rsidR="00143A95">
        <w:t>:</w:t>
      </w:r>
      <w:bookmarkEnd w:id="26"/>
    </w:p>
    <w:p w14:paraId="41D1C0AD" w14:textId="36072DEF" w:rsidR="00B1640A" w:rsidRDefault="00E17F76" w:rsidP="00F16685">
      <w:pPr>
        <w:jc w:val="both"/>
        <w:rPr>
          <w:rFonts w:ascii="Arial" w:hAnsi="Arial" w:cs="Arial"/>
        </w:rPr>
      </w:pPr>
      <w:r>
        <w:rPr>
          <w:rFonts w:ascii="Arial" w:hAnsi="Arial" w:cs="Arial"/>
        </w:rPr>
        <w:t>A</w:t>
      </w:r>
      <w:r w:rsidR="0080140D">
        <w:rPr>
          <w:rFonts w:ascii="Arial" w:hAnsi="Arial" w:cs="Arial"/>
        </w:rPr>
        <w:t>ccurate information helps indiv</w:t>
      </w:r>
      <w:r w:rsidR="00703B73">
        <w:rPr>
          <w:rFonts w:ascii="Arial" w:hAnsi="Arial" w:cs="Arial"/>
        </w:rPr>
        <w:t>id</w:t>
      </w:r>
      <w:r w:rsidR="0080140D">
        <w:rPr>
          <w:rFonts w:ascii="Arial" w:hAnsi="Arial" w:cs="Arial"/>
        </w:rPr>
        <w:t>uals</w:t>
      </w:r>
      <w:r w:rsidR="00703B73">
        <w:rPr>
          <w:rFonts w:ascii="Arial" w:hAnsi="Arial" w:cs="Arial"/>
        </w:rPr>
        <w:t xml:space="preserve"> </w:t>
      </w:r>
      <w:r w:rsidR="008A7B6F">
        <w:rPr>
          <w:rFonts w:ascii="Arial" w:hAnsi="Arial" w:cs="Arial"/>
        </w:rPr>
        <w:t xml:space="preserve">on what risks they face if they intend to invest in a </w:t>
      </w:r>
      <w:r w:rsidR="001C7278">
        <w:rPr>
          <w:rFonts w:ascii="Arial" w:hAnsi="Arial" w:cs="Arial"/>
        </w:rPr>
        <w:t>particular organisation</w:t>
      </w:r>
      <w:r w:rsidR="00A540FE">
        <w:rPr>
          <w:rFonts w:ascii="Arial" w:hAnsi="Arial" w:cs="Arial"/>
        </w:rPr>
        <w:t>. This type of information is found in a</w:t>
      </w:r>
      <w:r w:rsidR="005825AC">
        <w:rPr>
          <w:rFonts w:ascii="Arial" w:hAnsi="Arial" w:cs="Arial"/>
        </w:rPr>
        <w:t xml:space="preserve">n </w:t>
      </w:r>
      <w:r w:rsidR="004D7829">
        <w:rPr>
          <w:rFonts w:ascii="Arial" w:hAnsi="Arial" w:cs="Arial"/>
        </w:rPr>
        <w:t>organisation’s</w:t>
      </w:r>
      <w:r w:rsidR="005825AC">
        <w:rPr>
          <w:rFonts w:ascii="Arial" w:hAnsi="Arial" w:cs="Arial"/>
        </w:rPr>
        <w:t xml:space="preserve"> annual </w:t>
      </w:r>
      <w:proofErr w:type="gramStart"/>
      <w:r w:rsidR="005825AC">
        <w:rPr>
          <w:rFonts w:ascii="Arial" w:hAnsi="Arial" w:cs="Arial"/>
        </w:rPr>
        <w:t>report which</w:t>
      </w:r>
      <w:proofErr w:type="gramEnd"/>
      <w:r w:rsidR="005825AC">
        <w:rPr>
          <w:rFonts w:ascii="Arial" w:hAnsi="Arial" w:cs="Arial"/>
        </w:rPr>
        <w:t xml:space="preserve"> </w:t>
      </w:r>
      <w:r w:rsidR="00D34E4C">
        <w:rPr>
          <w:rFonts w:ascii="Arial" w:hAnsi="Arial" w:cs="Arial"/>
        </w:rPr>
        <w:t>is</w:t>
      </w:r>
      <w:r w:rsidR="005825AC">
        <w:rPr>
          <w:rFonts w:ascii="Arial" w:hAnsi="Arial" w:cs="Arial"/>
        </w:rPr>
        <w:t xml:space="preserve"> situated in the </w:t>
      </w:r>
      <w:r w:rsidR="00F65C48">
        <w:rPr>
          <w:rFonts w:ascii="Arial" w:hAnsi="Arial" w:cs="Arial"/>
        </w:rPr>
        <w:t xml:space="preserve">notes </w:t>
      </w:r>
      <w:r w:rsidR="005825AC">
        <w:rPr>
          <w:rFonts w:ascii="Arial" w:hAnsi="Arial" w:cs="Arial"/>
        </w:rPr>
        <w:t>section</w:t>
      </w:r>
      <w:r w:rsidR="00F65C48">
        <w:rPr>
          <w:rFonts w:ascii="Arial" w:hAnsi="Arial" w:cs="Arial"/>
        </w:rPr>
        <w:t xml:space="preserve"> of the report</w:t>
      </w:r>
      <w:r w:rsidR="0029497F">
        <w:rPr>
          <w:rFonts w:ascii="Arial" w:hAnsi="Arial" w:cs="Arial"/>
        </w:rPr>
        <w:t xml:space="preserve"> (Caldwell, 2012; </w:t>
      </w:r>
      <w:bookmarkStart w:id="27" w:name="_Hlk71553234"/>
      <w:r w:rsidR="0029497F">
        <w:rPr>
          <w:rFonts w:ascii="Arial" w:hAnsi="Arial" w:cs="Arial"/>
        </w:rPr>
        <w:t>Rahar</w:t>
      </w:r>
      <w:r w:rsidR="00CC2955">
        <w:rPr>
          <w:rFonts w:ascii="Arial" w:hAnsi="Arial" w:cs="Arial"/>
        </w:rPr>
        <w:t>djo, et al., 2020).</w:t>
      </w:r>
      <w:bookmarkEnd w:id="27"/>
      <w:r w:rsidR="004A3C73">
        <w:rPr>
          <w:rFonts w:ascii="Arial" w:hAnsi="Arial" w:cs="Arial"/>
        </w:rPr>
        <w:t xml:space="preserve"> Furthermore,</w:t>
      </w:r>
      <w:r w:rsidR="000C029D">
        <w:rPr>
          <w:rFonts w:ascii="Arial" w:hAnsi="Arial" w:cs="Arial"/>
        </w:rPr>
        <w:t xml:space="preserve"> announcement</w:t>
      </w:r>
      <w:r w:rsidR="009033D3">
        <w:rPr>
          <w:rFonts w:ascii="Arial" w:hAnsi="Arial" w:cs="Arial"/>
        </w:rPr>
        <w:t>s</w:t>
      </w:r>
      <w:r w:rsidR="000C029D">
        <w:rPr>
          <w:rFonts w:ascii="Arial" w:hAnsi="Arial" w:cs="Arial"/>
        </w:rPr>
        <w:t xml:space="preserve"> </w:t>
      </w:r>
      <w:r w:rsidR="0031674B">
        <w:rPr>
          <w:rFonts w:ascii="Arial" w:hAnsi="Arial" w:cs="Arial"/>
        </w:rPr>
        <w:t>of</w:t>
      </w:r>
      <w:r w:rsidR="00443CA5">
        <w:rPr>
          <w:rFonts w:ascii="Arial" w:hAnsi="Arial" w:cs="Arial"/>
        </w:rPr>
        <w:t xml:space="preserve"> </w:t>
      </w:r>
      <w:r w:rsidR="00F37DC2">
        <w:rPr>
          <w:rFonts w:ascii="Arial" w:hAnsi="Arial" w:cs="Arial"/>
        </w:rPr>
        <w:t xml:space="preserve">these types will also furnish </w:t>
      </w:r>
      <w:r w:rsidR="009812AF">
        <w:rPr>
          <w:rFonts w:ascii="Arial" w:hAnsi="Arial" w:cs="Arial"/>
        </w:rPr>
        <w:t xml:space="preserve">individuals </w:t>
      </w:r>
      <w:r w:rsidR="00066A87">
        <w:rPr>
          <w:rFonts w:ascii="Arial" w:hAnsi="Arial" w:cs="Arial"/>
        </w:rPr>
        <w:t>with an organisation</w:t>
      </w:r>
      <w:r w:rsidR="00D34E4C">
        <w:rPr>
          <w:rFonts w:ascii="Arial" w:hAnsi="Arial" w:cs="Arial"/>
        </w:rPr>
        <w:t>s</w:t>
      </w:r>
      <w:r w:rsidR="00066A87">
        <w:rPr>
          <w:rFonts w:ascii="Arial" w:hAnsi="Arial" w:cs="Arial"/>
        </w:rPr>
        <w:t xml:space="preserve"> </w:t>
      </w:r>
      <w:r w:rsidR="00504095">
        <w:rPr>
          <w:rFonts w:ascii="Arial" w:hAnsi="Arial" w:cs="Arial"/>
        </w:rPr>
        <w:t xml:space="preserve">risk profile, </w:t>
      </w:r>
      <w:r w:rsidR="001B132D">
        <w:rPr>
          <w:rFonts w:ascii="Arial" w:hAnsi="Arial" w:cs="Arial"/>
        </w:rPr>
        <w:t xml:space="preserve">estimated sector price, and price </w:t>
      </w:r>
      <w:r w:rsidR="0062302A">
        <w:rPr>
          <w:rFonts w:ascii="Arial" w:hAnsi="Arial" w:cs="Arial"/>
        </w:rPr>
        <w:t>of stock for the o</w:t>
      </w:r>
      <w:r w:rsidR="006B2AC5">
        <w:rPr>
          <w:rFonts w:ascii="Arial" w:hAnsi="Arial" w:cs="Arial"/>
        </w:rPr>
        <w:t xml:space="preserve">rganisation. </w:t>
      </w:r>
      <w:r w:rsidR="0034386B">
        <w:rPr>
          <w:rFonts w:ascii="Arial" w:hAnsi="Arial" w:cs="Arial"/>
        </w:rPr>
        <w:t xml:space="preserve">Yet, </w:t>
      </w:r>
      <w:r w:rsidR="00953316">
        <w:rPr>
          <w:rFonts w:ascii="Arial" w:hAnsi="Arial" w:cs="Arial"/>
        </w:rPr>
        <w:t>th</w:t>
      </w:r>
      <w:r w:rsidR="00957992">
        <w:rPr>
          <w:rFonts w:ascii="Arial" w:hAnsi="Arial" w:cs="Arial"/>
        </w:rPr>
        <w:t>ere are variations in socioeconomics</w:t>
      </w:r>
      <w:r w:rsidR="00AD32FB">
        <w:rPr>
          <w:rFonts w:ascii="Arial" w:hAnsi="Arial" w:cs="Arial"/>
        </w:rPr>
        <w:t xml:space="preserve"> and</w:t>
      </w:r>
      <w:r w:rsidR="00957992">
        <w:rPr>
          <w:rFonts w:ascii="Arial" w:hAnsi="Arial" w:cs="Arial"/>
        </w:rPr>
        <w:t xml:space="preserve"> </w:t>
      </w:r>
      <w:r w:rsidR="00AD32FB">
        <w:rPr>
          <w:rFonts w:ascii="Arial" w:hAnsi="Arial" w:cs="Arial"/>
        </w:rPr>
        <w:t>establishment management</w:t>
      </w:r>
      <w:r w:rsidR="00DE758E">
        <w:rPr>
          <w:rFonts w:ascii="Arial" w:hAnsi="Arial" w:cs="Arial"/>
        </w:rPr>
        <w:t xml:space="preserve"> for </w:t>
      </w:r>
      <w:r w:rsidR="00F04FE2">
        <w:rPr>
          <w:rFonts w:ascii="Arial" w:hAnsi="Arial" w:cs="Arial"/>
        </w:rPr>
        <w:t>advanc</w:t>
      </w:r>
      <w:r w:rsidR="00DE758E">
        <w:rPr>
          <w:rFonts w:ascii="Arial" w:hAnsi="Arial" w:cs="Arial"/>
        </w:rPr>
        <w:t xml:space="preserve">ed and </w:t>
      </w:r>
      <w:r w:rsidR="00F04FE2">
        <w:rPr>
          <w:rFonts w:ascii="Arial" w:hAnsi="Arial" w:cs="Arial"/>
        </w:rPr>
        <w:t>no</w:t>
      </w:r>
      <w:r w:rsidR="00AC3E1C">
        <w:rPr>
          <w:rFonts w:ascii="Arial" w:hAnsi="Arial" w:cs="Arial"/>
        </w:rPr>
        <w:t>t so a</w:t>
      </w:r>
      <w:r w:rsidR="00DE758E">
        <w:rPr>
          <w:rFonts w:ascii="Arial" w:hAnsi="Arial" w:cs="Arial"/>
        </w:rPr>
        <w:t>d</w:t>
      </w:r>
      <w:r w:rsidR="00AC3E1C">
        <w:rPr>
          <w:rFonts w:ascii="Arial" w:hAnsi="Arial" w:cs="Arial"/>
        </w:rPr>
        <w:t xml:space="preserve">vanced </w:t>
      </w:r>
      <w:proofErr w:type="gramStart"/>
      <w:r w:rsidR="00AC3E1C">
        <w:rPr>
          <w:rFonts w:ascii="Arial" w:hAnsi="Arial" w:cs="Arial"/>
        </w:rPr>
        <w:t>countries</w:t>
      </w:r>
      <w:r w:rsidR="00426463">
        <w:rPr>
          <w:rFonts w:ascii="Arial" w:hAnsi="Arial" w:cs="Arial"/>
        </w:rPr>
        <w:t>,</w:t>
      </w:r>
      <w:proofErr w:type="gramEnd"/>
      <w:r w:rsidR="00AC3E1C">
        <w:rPr>
          <w:rFonts w:ascii="Arial" w:hAnsi="Arial" w:cs="Arial"/>
        </w:rPr>
        <w:t xml:space="preserve"> </w:t>
      </w:r>
      <w:r w:rsidR="00223D45">
        <w:rPr>
          <w:rFonts w:ascii="Arial" w:hAnsi="Arial" w:cs="Arial"/>
        </w:rPr>
        <w:t xml:space="preserve">will </w:t>
      </w:r>
      <w:r w:rsidR="00DC4E1D">
        <w:rPr>
          <w:rFonts w:ascii="Arial" w:hAnsi="Arial" w:cs="Arial"/>
        </w:rPr>
        <w:t xml:space="preserve">make a difference </w:t>
      </w:r>
      <w:r w:rsidR="001557CA">
        <w:rPr>
          <w:rFonts w:ascii="Arial" w:hAnsi="Arial" w:cs="Arial"/>
        </w:rPr>
        <w:t xml:space="preserve">to </w:t>
      </w:r>
      <w:r w:rsidR="00201B50">
        <w:rPr>
          <w:rFonts w:ascii="Arial" w:hAnsi="Arial" w:cs="Arial"/>
        </w:rPr>
        <w:t>organisation</w:t>
      </w:r>
      <w:r w:rsidR="007F777F">
        <w:rPr>
          <w:rFonts w:ascii="Arial" w:hAnsi="Arial" w:cs="Arial"/>
        </w:rPr>
        <w:t>s</w:t>
      </w:r>
      <w:r w:rsidR="00201B50">
        <w:rPr>
          <w:rFonts w:ascii="Arial" w:hAnsi="Arial" w:cs="Arial"/>
        </w:rPr>
        <w:t xml:space="preserve"> risk</w:t>
      </w:r>
      <w:r w:rsidR="001557CA">
        <w:rPr>
          <w:rFonts w:ascii="Arial" w:hAnsi="Arial" w:cs="Arial"/>
        </w:rPr>
        <w:t xml:space="preserve"> disclosure</w:t>
      </w:r>
      <w:r w:rsidR="00D34E4C">
        <w:rPr>
          <w:rFonts w:ascii="Arial" w:hAnsi="Arial" w:cs="Arial"/>
        </w:rPr>
        <w:t>s</w:t>
      </w:r>
      <w:r w:rsidR="00201B50">
        <w:rPr>
          <w:rFonts w:ascii="Arial" w:hAnsi="Arial" w:cs="Arial"/>
        </w:rPr>
        <w:t>.</w:t>
      </w:r>
      <w:r w:rsidR="00C563CD">
        <w:rPr>
          <w:rFonts w:ascii="Arial" w:hAnsi="Arial" w:cs="Arial"/>
        </w:rPr>
        <w:t xml:space="preserve"> These disclosures </w:t>
      </w:r>
      <w:r w:rsidR="001F0EE9">
        <w:rPr>
          <w:rFonts w:ascii="Arial" w:hAnsi="Arial" w:cs="Arial"/>
        </w:rPr>
        <w:t xml:space="preserve">maybe </w:t>
      </w:r>
      <w:r w:rsidR="00505213">
        <w:rPr>
          <w:rFonts w:ascii="Arial" w:hAnsi="Arial" w:cs="Arial"/>
        </w:rPr>
        <w:t xml:space="preserve">determined </w:t>
      </w:r>
      <w:r w:rsidR="00E02715">
        <w:rPr>
          <w:rFonts w:ascii="Arial" w:hAnsi="Arial" w:cs="Arial"/>
        </w:rPr>
        <w:t xml:space="preserve">through other factors, such as </w:t>
      </w:r>
      <w:r w:rsidR="00984A47">
        <w:rPr>
          <w:rFonts w:ascii="Arial" w:hAnsi="Arial" w:cs="Arial"/>
        </w:rPr>
        <w:t>the si</w:t>
      </w:r>
      <w:r w:rsidR="00C36DA2">
        <w:rPr>
          <w:rFonts w:ascii="Arial" w:hAnsi="Arial" w:cs="Arial"/>
        </w:rPr>
        <w:t xml:space="preserve">ze of an organisation </w:t>
      </w:r>
      <w:r w:rsidR="00E6653B">
        <w:rPr>
          <w:rFonts w:ascii="Arial" w:hAnsi="Arial" w:cs="Arial"/>
        </w:rPr>
        <w:t xml:space="preserve">(gear </w:t>
      </w:r>
      <w:r w:rsidR="00B462D4">
        <w:rPr>
          <w:rFonts w:ascii="Arial" w:hAnsi="Arial" w:cs="Arial"/>
        </w:rPr>
        <w:t>size), gearing ratio</w:t>
      </w:r>
      <w:r w:rsidR="00B82401">
        <w:rPr>
          <w:rFonts w:ascii="Arial" w:hAnsi="Arial" w:cs="Arial"/>
        </w:rPr>
        <w:t xml:space="preserve">. The </w:t>
      </w:r>
      <w:r w:rsidR="006B5078">
        <w:rPr>
          <w:rFonts w:ascii="Arial" w:hAnsi="Arial" w:cs="Arial"/>
        </w:rPr>
        <w:t xml:space="preserve">size of an organisation </w:t>
      </w:r>
      <w:r w:rsidR="005D3B22">
        <w:rPr>
          <w:rFonts w:ascii="Arial" w:hAnsi="Arial" w:cs="Arial"/>
        </w:rPr>
        <w:t xml:space="preserve">is a significant factor </w:t>
      </w:r>
      <w:r w:rsidR="00EA2CEC">
        <w:rPr>
          <w:rFonts w:ascii="Arial" w:hAnsi="Arial" w:cs="Arial"/>
        </w:rPr>
        <w:t>on fo</w:t>
      </w:r>
      <w:r w:rsidR="00AD5307">
        <w:rPr>
          <w:rFonts w:ascii="Arial" w:hAnsi="Arial" w:cs="Arial"/>
        </w:rPr>
        <w:t>r</w:t>
      </w:r>
      <w:r w:rsidR="00EA2CEC">
        <w:rPr>
          <w:rFonts w:ascii="Arial" w:hAnsi="Arial" w:cs="Arial"/>
        </w:rPr>
        <w:t>ecasting</w:t>
      </w:r>
      <w:r w:rsidR="00AD5307">
        <w:rPr>
          <w:rFonts w:ascii="Arial" w:hAnsi="Arial" w:cs="Arial"/>
        </w:rPr>
        <w:t xml:space="preserve"> </w:t>
      </w:r>
      <w:r w:rsidR="000F2863">
        <w:rPr>
          <w:rFonts w:ascii="Arial" w:hAnsi="Arial" w:cs="Arial"/>
        </w:rPr>
        <w:t>organisations risk disclosure</w:t>
      </w:r>
      <w:r w:rsidR="00800DBB">
        <w:rPr>
          <w:rFonts w:ascii="Arial" w:hAnsi="Arial" w:cs="Arial"/>
        </w:rPr>
        <w:t xml:space="preserve">. </w:t>
      </w:r>
      <w:proofErr w:type="gramStart"/>
      <w:r w:rsidR="00800DBB">
        <w:rPr>
          <w:rFonts w:ascii="Arial" w:hAnsi="Arial" w:cs="Arial"/>
        </w:rPr>
        <w:t xml:space="preserve">The </w:t>
      </w:r>
      <w:r w:rsidR="00A91ED2">
        <w:rPr>
          <w:rFonts w:ascii="Arial" w:hAnsi="Arial" w:cs="Arial"/>
        </w:rPr>
        <w:t>more s</w:t>
      </w:r>
      <w:r w:rsidR="002A05C9">
        <w:rPr>
          <w:rFonts w:ascii="Arial" w:hAnsi="Arial" w:cs="Arial"/>
        </w:rPr>
        <w:t>izeable</w:t>
      </w:r>
      <w:r w:rsidR="00800DBB">
        <w:rPr>
          <w:rFonts w:ascii="Arial" w:hAnsi="Arial" w:cs="Arial"/>
        </w:rPr>
        <w:t xml:space="preserve"> organisations</w:t>
      </w:r>
      <w:r w:rsidR="006377CE">
        <w:rPr>
          <w:rFonts w:ascii="Arial" w:hAnsi="Arial" w:cs="Arial"/>
        </w:rPr>
        <w:t xml:space="preserve"> </w:t>
      </w:r>
      <w:r w:rsidR="00A40091">
        <w:rPr>
          <w:rFonts w:ascii="Arial" w:hAnsi="Arial" w:cs="Arial"/>
        </w:rPr>
        <w:t xml:space="preserve">are normally </w:t>
      </w:r>
      <w:r w:rsidR="00B3117E">
        <w:rPr>
          <w:rFonts w:ascii="Arial" w:hAnsi="Arial" w:cs="Arial"/>
        </w:rPr>
        <w:t xml:space="preserve">recognised by </w:t>
      </w:r>
      <w:r w:rsidR="005E3669">
        <w:rPr>
          <w:rFonts w:ascii="Arial" w:hAnsi="Arial" w:cs="Arial"/>
        </w:rPr>
        <w:t>numerous</w:t>
      </w:r>
      <w:r w:rsidR="00B3117E">
        <w:rPr>
          <w:rFonts w:ascii="Arial" w:hAnsi="Arial" w:cs="Arial"/>
        </w:rPr>
        <w:t xml:space="preserve"> indi</w:t>
      </w:r>
      <w:r w:rsidR="005D3EA6">
        <w:rPr>
          <w:rFonts w:ascii="Arial" w:hAnsi="Arial" w:cs="Arial"/>
        </w:rPr>
        <w:t>vi</w:t>
      </w:r>
      <w:r w:rsidR="00B3117E">
        <w:rPr>
          <w:rFonts w:ascii="Arial" w:hAnsi="Arial" w:cs="Arial"/>
        </w:rPr>
        <w:t>duals</w:t>
      </w:r>
      <w:proofErr w:type="gramEnd"/>
      <w:r w:rsidR="005D3EA6">
        <w:rPr>
          <w:rFonts w:ascii="Arial" w:hAnsi="Arial" w:cs="Arial"/>
        </w:rPr>
        <w:t>.</w:t>
      </w:r>
      <w:r w:rsidR="00AA3DAF">
        <w:rPr>
          <w:rFonts w:ascii="Arial" w:hAnsi="Arial" w:cs="Arial"/>
        </w:rPr>
        <w:t xml:space="preserve"> Consequen</w:t>
      </w:r>
      <w:r w:rsidR="00956177">
        <w:rPr>
          <w:rFonts w:ascii="Arial" w:hAnsi="Arial" w:cs="Arial"/>
        </w:rPr>
        <w:t>tly, these s</w:t>
      </w:r>
      <w:r w:rsidR="002A05C9">
        <w:rPr>
          <w:rFonts w:ascii="Arial" w:hAnsi="Arial" w:cs="Arial"/>
        </w:rPr>
        <w:t>ize</w:t>
      </w:r>
      <w:r w:rsidR="00A20270">
        <w:rPr>
          <w:rFonts w:ascii="Arial" w:hAnsi="Arial" w:cs="Arial"/>
        </w:rPr>
        <w:t>a</w:t>
      </w:r>
      <w:r w:rsidR="002A05C9">
        <w:rPr>
          <w:rFonts w:ascii="Arial" w:hAnsi="Arial" w:cs="Arial"/>
        </w:rPr>
        <w:t>ble</w:t>
      </w:r>
      <w:r w:rsidR="00956177">
        <w:rPr>
          <w:rFonts w:ascii="Arial" w:hAnsi="Arial" w:cs="Arial"/>
        </w:rPr>
        <w:t xml:space="preserve"> organisations</w:t>
      </w:r>
      <w:r w:rsidR="00BE10AC">
        <w:rPr>
          <w:rFonts w:ascii="Arial" w:hAnsi="Arial" w:cs="Arial"/>
        </w:rPr>
        <w:t xml:space="preserve"> </w:t>
      </w:r>
      <w:r w:rsidR="00D52E3F">
        <w:rPr>
          <w:rFonts w:ascii="Arial" w:hAnsi="Arial" w:cs="Arial"/>
        </w:rPr>
        <w:t xml:space="preserve">normally have greater reliance </w:t>
      </w:r>
      <w:r w:rsidR="0040718F">
        <w:rPr>
          <w:rFonts w:ascii="Arial" w:hAnsi="Arial" w:cs="Arial"/>
        </w:rPr>
        <w:t>on</w:t>
      </w:r>
      <w:r w:rsidR="00F54678">
        <w:rPr>
          <w:rFonts w:ascii="Arial" w:hAnsi="Arial" w:cs="Arial"/>
        </w:rPr>
        <w:t xml:space="preserve"> stakeholders </w:t>
      </w:r>
      <w:r w:rsidR="00176A51">
        <w:rPr>
          <w:rFonts w:ascii="Arial" w:hAnsi="Arial" w:cs="Arial"/>
        </w:rPr>
        <w:t>who request</w:t>
      </w:r>
      <w:r w:rsidR="0040718F">
        <w:rPr>
          <w:rFonts w:ascii="Arial" w:hAnsi="Arial" w:cs="Arial"/>
        </w:rPr>
        <w:t xml:space="preserve"> extra </w:t>
      </w:r>
      <w:r w:rsidR="008B3D27">
        <w:rPr>
          <w:rFonts w:ascii="Arial" w:hAnsi="Arial" w:cs="Arial"/>
        </w:rPr>
        <w:t>data (</w:t>
      </w:r>
      <w:r w:rsidR="0042030D">
        <w:rPr>
          <w:rFonts w:ascii="Arial" w:hAnsi="Arial" w:cs="Arial"/>
        </w:rPr>
        <w:t>Vandem</w:t>
      </w:r>
      <w:r w:rsidR="00C312DA">
        <w:rPr>
          <w:rFonts w:ascii="Arial" w:hAnsi="Arial" w:cs="Arial"/>
        </w:rPr>
        <w:t>aele, 2009</w:t>
      </w:r>
      <w:r w:rsidR="004D3150">
        <w:rPr>
          <w:rFonts w:ascii="Arial" w:hAnsi="Arial" w:cs="Arial"/>
        </w:rPr>
        <w:t>;</w:t>
      </w:r>
      <w:r w:rsidR="004D3150" w:rsidRPr="004D3150">
        <w:rPr>
          <w:rFonts w:ascii="Arial" w:hAnsi="Arial" w:cs="Arial"/>
        </w:rPr>
        <w:t xml:space="preserve"> </w:t>
      </w:r>
      <w:r w:rsidR="004D3150">
        <w:rPr>
          <w:rFonts w:ascii="Arial" w:hAnsi="Arial" w:cs="Arial"/>
        </w:rPr>
        <w:t>Rahardjo, et al., 2020).</w:t>
      </w:r>
    </w:p>
    <w:p w14:paraId="7DFE8CAA" w14:textId="71388924" w:rsidR="009015D4" w:rsidRDefault="00B1640A" w:rsidP="00F16685">
      <w:pPr>
        <w:jc w:val="both"/>
        <w:rPr>
          <w:rFonts w:ascii="Arial" w:hAnsi="Arial" w:cs="Arial"/>
        </w:rPr>
      </w:pPr>
      <w:r>
        <w:rPr>
          <w:rFonts w:ascii="Arial" w:hAnsi="Arial" w:cs="Arial"/>
        </w:rPr>
        <w:t xml:space="preserve">Gearing </w:t>
      </w:r>
      <w:r w:rsidR="00F42FAC">
        <w:rPr>
          <w:rFonts w:ascii="Arial" w:hAnsi="Arial" w:cs="Arial"/>
        </w:rPr>
        <w:t xml:space="preserve">ratios, </w:t>
      </w:r>
      <w:r w:rsidR="00C73EFE">
        <w:rPr>
          <w:rFonts w:ascii="Arial" w:hAnsi="Arial" w:cs="Arial"/>
        </w:rPr>
        <w:t xml:space="preserve">offers </w:t>
      </w:r>
      <w:r w:rsidR="008C05C0">
        <w:rPr>
          <w:rFonts w:ascii="Arial" w:hAnsi="Arial" w:cs="Arial"/>
        </w:rPr>
        <w:t xml:space="preserve">a </w:t>
      </w:r>
      <w:proofErr w:type="gramStart"/>
      <w:r w:rsidR="008C05C0">
        <w:rPr>
          <w:rFonts w:ascii="Arial" w:hAnsi="Arial" w:cs="Arial"/>
        </w:rPr>
        <w:t>measurement which</w:t>
      </w:r>
      <w:proofErr w:type="gramEnd"/>
      <w:r w:rsidR="008C05C0">
        <w:rPr>
          <w:rFonts w:ascii="Arial" w:hAnsi="Arial" w:cs="Arial"/>
        </w:rPr>
        <w:t xml:space="preserve"> is a contributing factor </w:t>
      </w:r>
      <w:r w:rsidR="0002447D">
        <w:rPr>
          <w:rFonts w:ascii="Arial" w:hAnsi="Arial" w:cs="Arial"/>
        </w:rPr>
        <w:t>for long-term borrowers</w:t>
      </w:r>
      <w:r w:rsidR="00CC5F57">
        <w:rPr>
          <w:rFonts w:ascii="Arial" w:hAnsi="Arial" w:cs="Arial"/>
        </w:rPr>
        <w:t xml:space="preserve">, </w:t>
      </w:r>
      <w:r w:rsidR="00A5119A">
        <w:rPr>
          <w:rFonts w:ascii="Arial" w:hAnsi="Arial" w:cs="Arial"/>
        </w:rPr>
        <w:t>long-ter</w:t>
      </w:r>
      <w:r w:rsidR="00EC2C3D">
        <w:rPr>
          <w:rFonts w:ascii="Arial" w:hAnsi="Arial" w:cs="Arial"/>
        </w:rPr>
        <w:t xml:space="preserve">m </w:t>
      </w:r>
      <w:r w:rsidR="00201FF9">
        <w:rPr>
          <w:rFonts w:ascii="Arial" w:hAnsi="Arial" w:cs="Arial"/>
        </w:rPr>
        <w:t xml:space="preserve">framework </w:t>
      </w:r>
      <w:r w:rsidR="008E4B4C">
        <w:rPr>
          <w:rFonts w:ascii="Arial" w:hAnsi="Arial" w:cs="Arial"/>
        </w:rPr>
        <w:t>for the organisation</w:t>
      </w:r>
      <w:r w:rsidR="007941B2">
        <w:rPr>
          <w:rFonts w:ascii="Arial" w:hAnsi="Arial" w:cs="Arial"/>
        </w:rPr>
        <w:t>. As mentioned above</w:t>
      </w:r>
      <w:r w:rsidR="006D0FC3">
        <w:rPr>
          <w:rFonts w:ascii="Arial" w:hAnsi="Arial" w:cs="Arial"/>
        </w:rPr>
        <w:t>, organisations may require</w:t>
      </w:r>
      <w:r w:rsidR="00DA20CC">
        <w:rPr>
          <w:rFonts w:ascii="Arial" w:hAnsi="Arial" w:cs="Arial"/>
        </w:rPr>
        <w:t xml:space="preserve"> finance </w:t>
      </w:r>
      <w:r w:rsidR="00980490">
        <w:rPr>
          <w:rFonts w:ascii="Arial" w:hAnsi="Arial" w:cs="Arial"/>
        </w:rPr>
        <w:t xml:space="preserve">on occasions </w:t>
      </w:r>
      <w:r w:rsidR="00BA29AE">
        <w:rPr>
          <w:rFonts w:ascii="Arial" w:hAnsi="Arial" w:cs="Arial"/>
        </w:rPr>
        <w:t>(</w:t>
      </w:r>
      <w:r w:rsidR="008C277C">
        <w:rPr>
          <w:rFonts w:ascii="Arial" w:hAnsi="Arial" w:cs="Arial"/>
        </w:rPr>
        <w:t xml:space="preserve">liability) and the </w:t>
      </w:r>
      <w:r w:rsidR="006D0F11">
        <w:rPr>
          <w:rFonts w:ascii="Arial" w:hAnsi="Arial" w:cs="Arial"/>
        </w:rPr>
        <w:t>organisation</w:t>
      </w:r>
      <w:r w:rsidR="00F076B9">
        <w:rPr>
          <w:rFonts w:ascii="Arial" w:hAnsi="Arial" w:cs="Arial"/>
        </w:rPr>
        <w:t>s</w:t>
      </w:r>
      <w:r w:rsidR="006D0F11">
        <w:rPr>
          <w:rFonts w:ascii="Arial" w:hAnsi="Arial" w:cs="Arial"/>
        </w:rPr>
        <w:t xml:space="preserve"> </w:t>
      </w:r>
      <w:r w:rsidR="00446F70">
        <w:rPr>
          <w:rFonts w:ascii="Arial" w:hAnsi="Arial" w:cs="Arial"/>
        </w:rPr>
        <w:t>working capital (equity)</w:t>
      </w:r>
      <w:r w:rsidR="00093868">
        <w:rPr>
          <w:rFonts w:ascii="Arial" w:hAnsi="Arial" w:cs="Arial"/>
        </w:rPr>
        <w:t xml:space="preserve">. </w:t>
      </w:r>
      <w:r w:rsidR="001B763F">
        <w:rPr>
          <w:rFonts w:ascii="Arial" w:hAnsi="Arial" w:cs="Arial"/>
        </w:rPr>
        <w:t>Gearing ratios</w:t>
      </w:r>
      <w:r w:rsidR="00173A91">
        <w:rPr>
          <w:rFonts w:ascii="Arial" w:hAnsi="Arial" w:cs="Arial"/>
        </w:rPr>
        <w:t xml:space="preserve"> has an</w:t>
      </w:r>
      <w:r w:rsidR="001B763F">
        <w:rPr>
          <w:rFonts w:ascii="Arial" w:hAnsi="Arial" w:cs="Arial"/>
        </w:rPr>
        <w:t xml:space="preserve"> </w:t>
      </w:r>
      <w:r w:rsidR="00B94B08">
        <w:rPr>
          <w:rFonts w:ascii="Arial" w:hAnsi="Arial" w:cs="Arial"/>
        </w:rPr>
        <w:t>influence</w:t>
      </w:r>
      <w:r w:rsidR="007B1474">
        <w:rPr>
          <w:rFonts w:ascii="Arial" w:hAnsi="Arial" w:cs="Arial"/>
        </w:rPr>
        <w:t xml:space="preserve"> on</w:t>
      </w:r>
      <w:r w:rsidR="001243C0">
        <w:rPr>
          <w:rFonts w:ascii="Arial" w:hAnsi="Arial" w:cs="Arial"/>
        </w:rPr>
        <w:t xml:space="preserve"> </w:t>
      </w:r>
      <w:r w:rsidR="00CF77AC">
        <w:rPr>
          <w:rFonts w:ascii="Arial" w:hAnsi="Arial" w:cs="Arial"/>
        </w:rPr>
        <w:t>risk</w:t>
      </w:r>
      <w:r w:rsidR="00B36820">
        <w:rPr>
          <w:rFonts w:ascii="Arial" w:hAnsi="Arial" w:cs="Arial"/>
        </w:rPr>
        <w:t xml:space="preserve"> disclosure</w:t>
      </w:r>
      <w:r w:rsidR="00A839B5">
        <w:rPr>
          <w:rFonts w:ascii="Arial" w:hAnsi="Arial" w:cs="Arial"/>
        </w:rPr>
        <w:t>,</w:t>
      </w:r>
      <w:r w:rsidR="00B36820">
        <w:rPr>
          <w:rFonts w:ascii="Arial" w:hAnsi="Arial" w:cs="Arial"/>
        </w:rPr>
        <w:t xml:space="preserve"> due to the</w:t>
      </w:r>
      <w:r w:rsidR="00A839B5">
        <w:rPr>
          <w:rFonts w:ascii="Arial" w:hAnsi="Arial" w:cs="Arial"/>
        </w:rPr>
        <w:t xml:space="preserve"> significan</w:t>
      </w:r>
      <w:r w:rsidR="00AB519B">
        <w:rPr>
          <w:rFonts w:ascii="Arial" w:hAnsi="Arial" w:cs="Arial"/>
        </w:rPr>
        <w:t xml:space="preserve">t </w:t>
      </w:r>
      <w:r w:rsidR="00A654A5">
        <w:rPr>
          <w:rFonts w:ascii="Arial" w:hAnsi="Arial" w:cs="Arial"/>
        </w:rPr>
        <w:t>way</w:t>
      </w:r>
      <w:r w:rsidR="00C64E2B">
        <w:rPr>
          <w:rFonts w:ascii="Arial" w:hAnsi="Arial" w:cs="Arial"/>
        </w:rPr>
        <w:t xml:space="preserve"> </w:t>
      </w:r>
      <w:r w:rsidR="007F2BA6">
        <w:rPr>
          <w:rFonts w:ascii="Arial" w:hAnsi="Arial" w:cs="Arial"/>
        </w:rPr>
        <w:t xml:space="preserve">disclosure </w:t>
      </w:r>
      <w:r w:rsidR="00B058D0">
        <w:rPr>
          <w:rFonts w:ascii="Arial" w:hAnsi="Arial" w:cs="Arial"/>
        </w:rPr>
        <w:t>ensu</w:t>
      </w:r>
      <w:r w:rsidR="007F2BA6">
        <w:rPr>
          <w:rFonts w:ascii="Arial" w:hAnsi="Arial" w:cs="Arial"/>
        </w:rPr>
        <w:t>r</w:t>
      </w:r>
      <w:r w:rsidR="008E60B1">
        <w:rPr>
          <w:rFonts w:ascii="Arial" w:hAnsi="Arial" w:cs="Arial"/>
        </w:rPr>
        <w:t>e</w:t>
      </w:r>
      <w:r w:rsidR="007F2BA6">
        <w:rPr>
          <w:rFonts w:ascii="Arial" w:hAnsi="Arial" w:cs="Arial"/>
        </w:rPr>
        <w:t>s confidence</w:t>
      </w:r>
      <w:r w:rsidR="008E60B1">
        <w:rPr>
          <w:rFonts w:ascii="Arial" w:hAnsi="Arial" w:cs="Arial"/>
        </w:rPr>
        <w:t xml:space="preserve"> to </w:t>
      </w:r>
      <w:r w:rsidR="00C91A24">
        <w:rPr>
          <w:rFonts w:ascii="Arial" w:hAnsi="Arial" w:cs="Arial"/>
        </w:rPr>
        <w:t xml:space="preserve">financial institutions, </w:t>
      </w:r>
      <w:r w:rsidR="00491D58">
        <w:rPr>
          <w:rFonts w:ascii="Arial" w:hAnsi="Arial" w:cs="Arial"/>
        </w:rPr>
        <w:t>manag</w:t>
      </w:r>
      <w:r w:rsidR="008E60B1">
        <w:rPr>
          <w:rFonts w:ascii="Arial" w:hAnsi="Arial" w:cs="Arial"/>
        </w:rPr>
        <w:t>ers, creditors</w:t>
      </w:r>
      <w:r w:rsidR="00491D58">
        <w:rPr>
          <w:rFonts w:ascii="Arial" w:hAnsi="Arial" w:cs="Arial"/>
        </w:rPr>
        <w:t>,</w:t>
      </w:r>
      <w:r w:rsidR="007F2BA6">
        <w:rPr>
          <w:rFonts w:ascii="Arial" w:hAnsi="Arial" w:cs="Arial"/>
        </w:rPr>
        <w:t xml:space="preserve"> </w:t>
      </w:r>
      <w:r w:rsidR="00345BF4">
        <w:rPr>
          <w:rFonts w:ascii="Arial" w:hAnsi="Arial" w:cs="Arial"/>
        </w:rPr>
        <w:t>and i</w:t>
      </w:r>
      <w:r w:rsidR="00AE57F5">
        <w:rPr>
          <w:rFonts w:ascii="Arial" w:hAnsi="Arial" w:cs="Arial"/>
        </w:rPr>
        <w:t>n</w:t>
      </w:r>
      <w:r w:rsidR="00345BF4">
        <w:rPr>
          <w:rFonts w:ascii="Arial" w:hAnsi="Arial" w:cs="Arial"/>
        </w:rPr>
        <w:t>vestors</w:t>
      </w:r>
      <w:r w:rsidR="004F6B29">
        <w:rPr>
          <w:rFonts w:ascii="Arial" w:hAnsi="Arial" w:cs="Arial"/>
        </w:rPr>
        <w:t>.</w:t>
      </w:r>
      <w:r w:rsidR="00C91A24">
        <w:rPr>
          <w:rFonts w:ascii="Arial" w:hAnsi="Arial" w:cs="Arial"/>
        </w:rPr>
        <w:t xml:space="preserve"> Tau</w:t>
      </w:r>
      <w:r w:rsidR="009743EA">
        <w:rPr>
          <w:rFonts w:ascii="Arial" w:hAnsi="Arial" w:cs="Arial"/>
        </w:rPr>
        <w:t xml:space="preserve">ringana and Chithambo, </w:t>
      </w:r>
      <w:r w:rsidR="00CD38AF">
        <w:rPr>
          <w:rFonts w:ascii="Arial" w:hAnsi="Arial" w:cs="Arial"/>
        </w:rPr>
        <w:t>and Muturi</w:t>
      </w:r>
      <w:r w:rsidR="00683EA2">
        <w:rPr>
          <w:rFonts w:ascii="Arial" w:hAnsi="Arial" w:cs="Arial"/>
        </w:rPr>
        <w:t xml:space="preserve">, have </w:t>
      </w:r>
      <w:r w:rsidR="00675AE3">
        <w:rPr>
          <w:rFonts w:ascii="Arial" w:hAnsi="Arial" w:cs="Arial"/>
        </w:rPr>
        <w:t>mentioned</w:t>
      </w:r>
      <w:r w:rsidR="00732D12">
        <w:rPr>
          <w:rFonts w:ascii="Arial" w:hAnsi="Arial" w:cs="Arial"/>
        </w:rPr>
        <w:t xml:space="preserve"> how gearing </w:t>
      </w:r>
      <w:r w:rsidR="00D376F2">
        <w:rPr>
          <w:rFonts w:ascii="Arial" w:hAnsi="Arial" w:cs="Arial"/>
        </w:rPr>
        <w:t xml:space="preserve">ratios </w:t>
      </w:r>
      <w:r w:rsidR="000C70BF">
        <w:rPr>
          <w:rFonts w:ascii="Arial" w:hAnsi="Arial" w:cs="Arial"/>
        </w:rPr>
        <w:t xml:space="preserve">has </w:t>
      </w:r>
      <w:r w:rsidR="00316BA5">
        <w:rPr>
          <w:rFonts w:ascii="Arial" w:hAnsi="Arial" w:cs="Arial"/>
        </w:rPr>
        <w:t>a positive</w:t>
      </w:r>
      <w:r w:rsidR="003A484E">
        <w:rPr>
          <w:rFonts w:ascii="Arial" w:hAnsi="Arial" w:cs="Arial"/>
        </w:rPr>
        <w:t xml:space="preserve"> ability</w:t>
      </w:r>
      <w:r w:rsidR="00B36841">
        <w:rPr>
          <w:rFonts w:ascii="Arial" w:hAnsi="Arial" w:cs="Arial"/>
        </w:rPr>
        <w:t xml:space="preserve"> that influences </w:t>
      </w:r>
      <w:r w:rsidR="00865AF5">
        <w:rPr>
          <w:rFonts w:ascii="Arial" w:hAnsi="Arial" w:cs="Arial"/>
        </w:rPr>
        <w:t>risk disclosure</w:t>
      </w:r>
      <w:r w:rsidR="00661E71" w:rsidRPr="00661E71">
        <w:rPr>
          <w:rFonts w:ascii="Arial" w:hAnsi="Arial" w:cs="Arial"/>
        </w:rPr>
        <w:t xml:space="preserve"> </w:t>
      </w:r>
      <w:bookmarkStart w:id="28" w:name="_Hlk71564190"/>
      <w:r w:rsidR="00661E71">
        <w:rPr>
          <w:rFonts w:ascii="Arial" w:hAnsi="Arial" w:cs="Arial"/>
        </w:rPr>
        <w:t>(Rahardjo, et al., 2020).</w:t>
      </w:r>
      <w:r w:rsidR="003A484E">
        <w:rPr>
          <w:rFonts w:ascii="Arial" w:hAnsi="Arial" w:cs="Arial"/>
        </w:rPr>
        <w:t xml:space="preserve"> </w:t>
      </w:r>
      <w:bookmarkEnd w:id="28"/>
    </w:p>
    <w:p w14:paraId="19444865" w14:textId="1D22872A" w:rsidR="002E0A9C" w:rsidRDefault="00B75752" w:rsidP="00F16685">
      <w:pPr>
        <w:jc w:val="both"/>
        <w:rPr>
          <w:rFonts w:ascii="Arial" w:hAnsi="Arial" w:cs="Arial"/>
        </w:rPr>
      </w:pPr>
      <w:r>
        <w:rPr>
          <w:rFonts w:ascii="Arial" w:hAnsi="Arial" w:cs="Arial"/>
        </w:rPr>
        <w:lastRenderedPageBreak/>
        <w:t xml:space="preserve">According to </w:t>
      </w:r>
      <w:r w:rsidR="00B43881">
        <w:rPr>
          <w:rFonts w:ascii="Arial" w:hAnsi="Arial" w:cs="Arial"/>
        </w:rPr>
        <w:t xml:space="preserve">Rahardjo, et al., </w:t>
      </w:r>
      <w:r w:rsidR="00A34961">
        <w:rPr>
          <w:rFonts w:ascii="Arial" w:hAnsi="Arial" w:cs="Arial"/>
        </w:rPr>
        <w:t xml:space="preserve">(2020) </w:t>
      </w:r>
      <w:r w:rsidR="00362AC5">
        <w:rPr>
          <w:rFonts w:ascii="Arial" w:hAnsi="Arial" w:cs="Arial"/>
        </w:rPr>
        <w:t>the theory</w:t>
      </w:r>
      <w:r w:rsidR="00E20E7E">
        <w:rPr>
          <w:rFonts w:ascii="Arial" w:hAnsi="Arial" w:cs="Arial"/>
        </w:rPr>
        <w:t xml:space="preserve"> </w:t>
      </w:r>
      <w:r w:rsidR="00AE1DA2">
        <w:rPr>
          <w:rFonts w:ascii="Arial" w:hAnsi="Arial" w:cs="Arial"/>
        </w:rPr>
        <w:t xml:space="preserve">about </w:t>
      </w:r>
      <w:r w:rsidR="00E20E7E">
        <w:rPr>
          <w:rFonts w:ascii="Arial" w:hAnsi="Arial" w:cs="Arial"/>
        </w:rPr>
        <w:t>agenc</w:t>
      </w:r>
      <w:r w:rsidR="00AE1DA2">
        <w:rPr>
          <w:rFonts w:ascii="Arial" w:hAnsi="Arial" w:cs="Arial"/>
        </w:rPr>
        <w:t>ies</w:t>
      </w:r>
      <w:r w:rsidR="00E20E7E">
        <w:rPr>
          <w:rFonts w:ascii="Arial" w:hAnsi="Arial" w:cs="Arial"/>
        </w:rPr>
        <w:t xml:space="preserve"> </w:t>
      </w:r>
      <w:r w:rsidR="00D449D4">
        <w:rPr>
          <w:rFonts w:ascii="Arial" w:hAnsi="Arial" w:cs="Arial"/>
        </w:rPr>
        <w:t xml:space="preserve">surrounding </w:t>
      </w:r>
      <w:r w:rsidR="00E25624">
        <w:rPr>
          <w:rFonts w:ascii="Arial" w:hAnsi="Arial" w:cs="Arial"/>
        </w:rPr>
        <w:t xml:space="preserve">the issue of </w:t>
      </w:r>
      <w:r w:rsidR="00D52C83">
        <w:rPr>
          <w:rFonts w:ascii="Arial" w:hAnsi="Arial" w:cs="Arial"/>
        </w:rPr>
        <w:t xml:space="preserve">public </w:t>
      </w:r>
      <w:r w:rsidR="00707B93">
        <w:rPr>
          <w:rFonts w:ascii="Arial" w:hAnsi="Arial" w:cs="Arial"/>
        </w:rPr>
        <w:t>accounting theory</w:t>
      </w:r>
      <w:r w:rsidR="000A7941">
        <w:rPr>
          <w:rFonts w:ascii="Arial" w:hAnsi="Arial" w:cs="Arial"/>
        </w:rPr>
        <w:t>,</w:t>
      </w:r>
      <w:r w:rsidR="00707B93">
        <w:rPr>
          <w:rFonts w:ascii="Arial" w:hAnsi="Arial" w:cs="Arial"/>
        </w:rPr>
        <w:t xml:space="preserve"> </w:t>
      </w:r>
      <w:r w:rsidR="005556F9">
        <w:rPr>
          <w:rFonts w:ascii="Arial" w:hAnsi="Arial" w:cs="Arial"/>
        </w:rPr>
        <w:t>makes</w:t>
      </w:r>
      <w:r w:rsidR="00E7362D">
        <w:rPr>
          <w:rFonts w:ascii="Arial" w:hAnsi="Arial" w:cs="Arial"/>
        </w:rPr>
        <w:t>-</w:t>
      </w:r>
      <w:r w:rsidR="005556F9">
        <w:rPr>
          <w:rFonts w:ascii="Arial" w:hAnsi="Arial" w:cs="Arial"/>
        </w:rPr>
        <w:t>an</w:t>
      </w:r>
      <w:r w:rsidR="00B04B86">
        <w:rPr>
          <w:rFonts w:ascii="Arial" w:hAnsi="Arial" w:cs="Arial"/>
        </w:rPr>
        <w:t>-</w:t>
      </w:r>
      <w:r w:rsidR="005556F9">
        <w:rPr>
          <w:rFonts w:ascii="Arial" w:hAnsi="Arial" w:cs="Arial"/>
        </w:rPr>
        <w:t xml:space="preserve">effort </w:t>
      </w:r>
      <w:r w:rsidR="009C473A">
        <w:rPr>
          <w:rFonts w:ascii="Arial" w:hAnsi="Arial" w:cs="Arial"/>
        </w:rPr>
        <w:t>to</w:t>
      </w:r>
      <w:r w:rsidR="00B04B86">
        <w:rPr>
          <w:rFonts w:ascii="Arial" w:hAnsi="Arial" w:cs="Arial"/>
        </w:rPr>
        <w:t xml:space="preserve"> </w:t>
      </w:r>
      <w:r w:rsidR="002B4B21">
        <w:rPr>
          <w:rFonts w:ascii="Arial" w:hAnsi="Arial" w:cs="Arial"/>
        </w:rPr>
        <w:t xml:space="preserve">disclose accounting </w:t>
      </w:r>
      <w:r w:rsidR="00880445">
        <w:rPr>
          <w:rFonts w:ascii="Arial" w:hAnsi="Arial" w:cs="Arial"/>
        </w:rPr>
        <w:t xml:space="preserve">methods </w:t>
      </w:r>
      <w:r w:rsidR="00AA0F70">
        <w:rPr>
          <w:rFonts w:ascii="Arial" w:hAnsi="Arial" w:cs="Arial"/>
        </w:rPr>
        <w:t>or procedures</w:t>
      </w:r>
      <w:r w:rsidR="00963BA6">
        <w:rPr>
          <w:rFonts w:ascii="Arial" w:hAnsi="Arial" w:cs="Arial"/>
        </w:rPr>
        <w:t xml:space="preserve">. </w:t>
      </w:r>
      <w:r w:rsidR="00D20BAC">
        <w:rPr>
          <w:rFonts w:ascii="Arial" w:hAnsi="Arial" w:cs="Arial"/>
        </w:rPr>
        <w:t xml:space="preserve">Agency </w:t>
      </w:r>
      <w:r w:rsidR="00AE19A8">
        <w:rPr>
          <w:rFonts w:ascii="Arial" w:hAnsi="Arial" w:cs="Arial"/>
        </w:rPr>
        <w:t xml:space="preserve">theory </w:t>
      </w:r>
      <w:r w:rsidR="00685F47">
        <w:rPr>
          <w:rFonts w:ascii="Arial" w:hAnsi="Arial" w:cs="Arial"/>
        </w:rPr>
        <w:t>is det</w:t>
      </w:r>
      <w:r w:rsidR="00554634">
        <w:rPr>
          <w:rFonts w:ascii="Arial" w:hAnsi="Arial" w:cs="Arial"/>
        </w:rPr>
        <w:t>er</w:t>
      </w:r>
      <w:r w:rsidR="00685F47">
        <w:rPr>
          <w:rFonts w:ascii="Arial" w:hAnsi="Arial" w:cs="Arial"/>
        </w:rPr>
        <w:t>m</w:t>
      </w:r>
      <w:r w:rsidR="00554634">
        <w:rPr>
          <w:rFonts w:ascii="Arial" w:hAnsi="Arial" w:cs="Arial"/>
        </w:rPr>
        <w:t xml:space="preserve">ined </w:t>
      </w:r>
      <w:r w:rsidR="00796F13">
        <w:rPr>
          <w:rFonts w:ascii="Arial" w:hAnsi="Arial" w:cs="Arial"/>
        </w:rPr>
        <w:t>as a</w:t>
      </w:r>
      <w:r w:rsidR="00690326">
        <w:rPr>
          <w:rFonts w:ascii="Arial" w:hAnsi="Arial" w:cs="Arial"/>
        </w:rPr>
        <w:t xml:space="preserve">n </w:t>
      </w:r>
      <w:proofErr w:type="gramStart"/>
      <w:r w:rsidR="00690326">
        <w:rPr>
          <w:rFonts w:ascii="Arial" w:hAnsi="Arial" w:cs="Arial"/>
        </w:rPr>
        <w:t xml:space="preserve">association </w:t>
      </w:r>
      <w:r w:rsidR="00045474">
        <w:rPr>
          <w:rFonts w:ascii="Arial" w:hAnsi="Arial" w:cs="Arial"/>
        </w:rPr>
        <w:t>which connect</w:t>
      </w:r>
      <w:r w:rsidR="00D16DF5">
        <w:rPr>
          <w:rFonts w:ascii="Arial" w:hAnsi="Arial" w:cs="Arial"/>
        </w:rPr>
        <w:t xml:space="preserve">s two </w:t>
      </w:r>
      <w:r w:rsidR="00BB7623">
        <w:rPr>
          <w:rFonts w:ascii="Arial" w:hAnsi="Arial" w:cs="Arial"/>
        </w:rPr>
        <w:t>al</w:t>
      </w:r>
      <w:r w:rsidR="00F81C8B">
        <w:rPr>
          <w:rFonts w:ascii="Arial" w:hAnsi="Arial" w:cs="Arial"/>
        </w:rPr>
        <w:t>l</w:t>
      </w:r>
      <w:r w:rsidR="00D16DF5">
        <w:rPr>
          <w:rFonts w:ascii="Arial" w:hAnsi="Arial" w:cs="Arial"/>
        </w:rPr>
        <w:t>i</w:t>
      </w:r>
      <w:r w:rsidR="00BB7623">
        <w:rPr>
          <w:rFonts w:ascii="Arial" w:hAnsi="Arial" w:cs="Arial"/>
        </w:rPr>
        <w:t>anc</w:t>
      </w:r>
      <w:r w:rsidR="00D16DF5">
        <w:rPr>
          <w:rFonts w:ascii="Arial" w:hAnsi="Arial" w:cs="Arial"/>
        </w:rPr>
        <w:t>e</w:t>
      </w:r>
      <w:r w:rsidR="00F81C8B">
        <w:rPr>
          <w:rFonts w:ascii="Arial" w:hAnsi="Arial" w:cs="Arial"/>
        </w:rPr>
        <w:t>s</w:t>
      </w:r>
      <w:r w:rsidR="00D16DF5">
        <w:rPr>
          <w:rFonts w:ascii="Arial" w:hAnsi="Arial" w:cs="Arial"/>
        </w:rPr>
        <w:t xml:space="preserve">, </w:t>
      </w:r>
      <w:r w:rsidR="009A0935">
        <w:rPr>
          <w:rFonts w:ascii="Arial" w:hAnsi="Arial" w:cs="Arial"/>
        </w:rPr>
        <w:t>with one alliance (a</w:t>
      </w:r>
      <w:r w:rsidR="00EE4B56">
        <w:rPr>
          <w:rFonts w:ascii="Arial" w:hAnsi="Arial" w:cs="Arial"/>
        </w:rPr>
        <w:t xml:space="preserve"> service)</w:t>
      </w:r>
      <w:proofErr w:type="gramEnd"/>
      <w:r w:rsidR="00EE4B56">
        <w:rPr>
          <w:rFonts w:ascii="Arial" w:hAnsi="Arial" w:cs="Arial"/>
        </w:rPr>
        <w:t xml:space="preserve"> </w:t>
      </w:r>
      <w:r w:rsidR="005F75FB">
        <w:rPr>
          <w:rFonts w:ascii="Arial" w:hAnsi="Arial" w:cs="Arial"/>
        </w:rPr>
        <w:t>negotiates</w:t>
      </w:r>
      <w:r w:rsidR="004B2544">
        <w:rPr>
          <w:rFonts w:ascii="Arial" w:hAnsi="Arial" w:cs="Arial"/>
        </w:rPr>
        <w:t xml:space="preserve"> </w:t>
      </w:r>
      <w:r w:rsidR="00C855DA">
        <w:rPr>
          <w:rFonts w:ascii="Arial" w:hAnsi="Arial" w:cs="Arial"/>
        </w:rPr>
        <w:t>to represent</w:t>
      </w:r>
      <w:r w:rsidR="00C91E6C">
        <w:rPr>
          <w:rFonts w:ascii="Arial" w:hAnsi="Arial" w:cs="Arial"/>
        </w:rPr>
        <w:t>s</w:t>
      </w:r>
      <w:r w:rsidR="00EC1607">
        <w:rPr>
          <w:rFonts w:ascii="Arial" w:hAnsi="Arial" w:cs="Arial"/>
        </w:rPr>
        <w:t xml:space="preserve"> on</w:t>
      </w:r>
      <w:r w:rsidR="00C91E6C">
        <w:rPr>
          <w:rFonts w:ascii="Arial" w:hAnsi="Arial" w:cs="Arial"/>
        </w:rPr>
        <w:t xml:space="preserve"> the other</w:t>
      </w:r>
      <w:r w:rsidR="00EC1607">
        <w:rPr>
          <w:rFonts w:ascii="Arial" w:hAnsi="Arial" w:cs="Arial"/>
        </w:rPr>
        <w:t>’s</w:t>
      </w:r>
      <w:r w:rsidR="007F7C71">
        <w:rPr>
          <w:rFonts w:ascii="Arial" w:hAnsi="Arial" w:cs="Arial"/>
        </w:rPr>
        <w:t xml:space="preserve"> behalf</w:t>
      </w:r>
      <w:r w:rsidR="003F3129">
        <w:rPr>
          <w:rFonts w:ascii="Arial" w:hAnsi="Arial" w:cs="Arial"/>
        </w:rPr>
        <w:t xml:space="preserve">, </w:t>
      </w:r>
      <w:r w:rsidR="009D7FE1">
        <w:rPr>
          <w:rFonts w:ascii="Arial" w:hAnsi="Arial" w:cs="Arial"/>
        </w:rPr>
        <w:t>(</w:t>
      </w:r>
      <w:r w:rsidR="00417172">
        <w:rPr>
          <w:rFonts w:ascii="Arial" w:hAnsi="Arial" w:cs="Arial"/>
        </w:rPr>
        <w:t>a</w:t>
      </w:r>
      <w:r w:rsidR="00C91E6C">
        <w:rPr>
          <w:rFonts w:ascii="Arial" w:hAnsi="Arial" w:cs="Arial"/>
        </w:rPr>
        <w:t xml:space="preserve"> </w:t>
      </w:r>
      <w:r w:rsidR="00F42C30">
        <w:rPr>
          <w:rFonts w:ascii="Arial" w:hAnsi="Arial" w:cs="Arial"/>
        </w:rPr>
        <w:t>client)</w:t>
      </w:r>
      <w:r w:rsidR="006C26E4">
        <w:rPr>
          <w:rFonts w:ascii="Arial" w:hAnsi="Arial" w:cs="Arial"/>
        </w:rPr>
        <w:t xml:space="preserve">. </w:t>
      </w:r>
      <w:proofErr w:type="gramStart"/>
      <w:r w:rsidR="00CA60F3">
        <w:rPr>
          <w:rFonts w:ascii="Arial" w:hAnsi="Arial" w:cs="Arial"/>
        </w:rPr>
        <w:t>Th</w:t>
      </w:r>
      <w:r w:rsidR="00CB0225">
        <w:rPr>
          <w:rFonts w:ascii="Arial" w:hAnsi="Arial" w:cs="Arial"/>
        </w:rPr>
        <w:t>i</w:t>
      </w:r>
      <w:r w:rsidR="00CA60F3">
        <w:rPr>
          <w:rFonts w:ascii="Arial" w:hAnsi="Arial" w:cs="Arial"/>
        </w:rPr>
        <w:t xml:space="preserve">s </w:t>
      </w:r>
      <w:r w:rsidR="00D62A84">
        <w:rPr>
          <w:rFonts w:ascii="Arial" w:hAnsi="Arial" w:cs="Arial"/>
        </w:rPr>
        <w:t xml:space="preserve">agency </w:t>
      </w:r>
      <w:r w:rsidR="00CA60F3">
        <w:rPr>
          <w:rFonts w:ascii="Arial" w:hAnsi="Arial" w:cs="Arial"/>
        </w:rPr>
        <w:t>ass</w:t>
      </w:r>
      <w:r w:rsidR="00A91475">
        <w:rPr>
          <w:rFonts w:ascii="Arial" w:hAnsi="Arial" w:cs="Arial"/>
        </w:rPr>
        <w:t>ociations</w:t>
      </w:r>
      <w:proofErr w:type="gramEnd"/>
      <w:r w:rsidR="00A91475">
        <w:rPr>
          <w:rFonts w:ascii="Arial" w:hAnsi="Arial" w:cs="Arial"/>
        </w:rPr>
        <w:t>,</w:t>
      </w:r>
      <w:r w:rsidR="00D62A84">
        <w:rPr>
          <w:rFonts w:ascii="Arial" w:hAnsi="Arial" w:cs="Arial"/>
        </w:rPr>
        <w:t xml:space="preserve"> </w:t>
      </w:r>
      <w:r w:rsidR="00384034">
        <w:rPr>
          <w:rFonts w:ascii="Arial" w:hAnsi="Arial" w:cs="Arial"/>
        </w:rPr>
        <w:t xml:space="preserve">will have connections with </w:t>
      </w:r>
      <w:r w:rsidR="000A7941">
        <w:rPr>
          <w:rFonts w:ascii="Arial" w:hAnsi="Arial" w:cs="Arial"/>
        </w:rPr>
        <w:t>shareholders and also with manager</w:t>
      </w:r>
      <w:r w:rsidR="002F240F">
        <w:rPr>
          <w:rFonts w:ascii="Arial" w:hAnsi="Arial" w:cs="Arial"/>
        </w:rPr>
        <w:t>ial staff.</w:t>
      </w:r>
      <w:r w:rsidR="00CB0225">
        <w:rPr>
          <w:rFonts w:ascii="Arial" w:hAnsi="Arial" w:cs="Arial"/>
        </w:rPr>
        <w:t xml:space="preserve"> Agen</w:t>
      </w:r>
      <w:r w:rsidR="00D60633">
        <w:rPr>
          <w:rFonts w:ascii="Arial" w:hAnsi="Arial" w:cs="Arial"/>
        </w:rPr>
        <w:t xml:space="preserve">ts </w:t>
      </w:r>
      <w:r w:rsidR="0049438B">
        <w:rPr>
          <w:rFonts w:ascii="Arial" w:hAnsi="Arial" w:cs="Arial"/>
        </w:rPr>
        <w:t>are required to make the best</w:t>
      </w:r>
      <w:r w:rsidR="005D0F87">
        <w:rPr>
          <w:rFonts w:ascii="Arial" w:hAnsi="Arial" w:cs="Arial"/>
        </w:rPr>
        <w:t xml:space="preserve"> select</w:t>
      </w:r>
      <w:r w:rsidR="0023633E">
        <w:rPr>
          <w:rFonts w:ascii="Arial" w:hAnsi="Arial" w:cs="Arial"/>
        </w:rPr>
        <w:t>able</w:t>
      </w:r>
      <w:r w:rsidR="0049438B">
        <w:rPr>
          <w:rFonts w:ascii="Arial" w:hAnsi="Arial" w:cs="Arial"/>
        </w:rPr>
        <w:t xml:space="preserve"> </w:t>
      </w:r>
      <w:r w:rsidR="00B41C6C">
        <w:rPr>
          <w:rFonts w:ascii="Arial" w:hAnsi="Arial" w:cs="Arial"/>
        </w:rPr>
        <w:t>choice</w:t>
      </w:r>
      <w:r w:rsidR="005D0F87">
        <w:rPr>
          <w:rFonts w:ascii="Arial" w:hAnsi="Arial" w:cs="Arial"/>
        </w:rPr>
        <w:t>s</w:t>
      </w:r>
      <w:r w:rsidR="00915620">
        <w:rPr>
          <w:rFonts w:ascii="Arial" w:hAnsi="Arial" w:cs="Arial"/>
        </w:rPr>
        <w:t xml:space="preserve"> </w:t>
      </w:r>
      <w:r w:rsidR="0094239C">
        <w:rPr>
          <w:rFonts w:ascii="Arial" w:hAnsi="Arial" w:cs="Arial"/>
        </w:rPr>
        <w:t>for their s</w:t>
      </w:r>
      <w:r w:rsidR="00B41C6C">
        <w:rPr>
          <w:rFonts w:ascii="Arial" w:hAnsi="Arial" w:cs="Arial"/>
        </w:rPr>
        <w:t>hareholders</w:t>
      </w:r>
      <w:r w:rsidR="005D0F87">
        <w:rPr>
          <w:rFonts w:ascii="Arial" w:hAnsi="Arial" w:cs="Arial"/>
        </w:rPr>
        <w:t xml:space="preserve">. </w:t>
      </w:r>
      <w:r w:rsidR="00DC0AF5">
        <w:rPr>
          <w:rFonts w:ascii="Arial" w:hAnsi="Arial" w:cs="Arial"/>
        </w:rPr>
        <w:t xml:space="preserve">Nonetheless, shareholders </w:t>
      </w:r>
      <w:r w:rsidR="00051DE1">
        <w:rPr>
          <w:rFonts w:ascii="Arial" w:hAnsi="Arial" w:cs="Arial"/>
        </w:rPr>
        <w:t xml:space="preserve">are often </w:t>
      </w:r>
      <w:r w:rsidR="003611BA">
        <w:rPr>
          <w:rFonts w:ascii="Arial" w:hAnsi="Arial" w:cs="Arial"/>
        </w:rPr>
        <w:t xml:space="preserve">unable to scrutinise the work agents are required to </w:t>
      </w:r>
      <w:proofErr w:type="gramStart"/>
      <w:r w:rsidR="002D253F">
        <w:rPr>
          <w:rFonts w:ascii="Arial" w:hAnsi="Arial" w:cs="Arial"/>
        </w:rPr>
        <w:t>carry-out</w:t>
      </w:r>
      <w:proofErr w:type="gramEnd"/>
      <w:r w:rsidR="002D253F">
        <w:rPr>
          <w:rFonts w:ascii="Arial" w:hAnsi="Arial" w:cs="Arial"/>
        </w:rPr>
        <w:t xml:space="preserve"> for</w:t>
      </w:r>
      <w:r w:rsidR="008F1F39">
        <w:rPr>
          <w:rFonts w:ascii="Arial" w:hAnsi="Arial" w:cs="Arial"/>
        </w:rPr>
        <w:t xml:space="preserve"> them</w:t>
      </w:r>
      <w:r w:rsidR="00777A18">
        <w:rPr>
          <w:rFonts w:ascii="Arial" w:hAnsi="Arial" w:cs="Arial"/>
        </w:rPr>
        <w:t xml:space="preserve">, this </w:t>
      </w:r>
      <w:r w:rsidR="00550BE3">
        <w:rPr>
          <w:rFonts w:ascii="Arial" w:hAnsi="Arial" w:cs="Arial"/>
        </w:rPr>
        <w:t xml:space="preserve">leaves the client </w:t>
      </w:r>
      <w:r w:rsidR="00656116">
        <w:rPr>
          <w:rFonts w:ascii="Arial" w:hAnsi="Arial" w:cs="Arial"/>
        </w:rPr>
        <w:t>with</w:t>
      </w:r>
      <w:r w:rsidR="00550BE3">
        <w:rPr>
          <w:rFonts w:ascii="Arial" w:hAnsi="Arial" w:cs="Arial"/>
        </w:rPr>
        <w:t xml:space="preserve"> the nagging doubt</w:t>
      </w:r>
      <w:r w:rsidR="00656116">
        <w:rPr>
          <w:rFonts w:ascii="Arial" w:hAnsi="Arial" w:cs="Arial"/>
        </w:rPr>
        <w:t>,</w:t>
      </w:r>
      <w:r w:rsidR="00550BE3">
        <w:rPr>
          <w:rFonts w:ascii="Arial" w:hAnsi="Arial" w:cs="Arial"/>
        </w:rPr>
        <w:t xml:space="preserve"> </w:t>
      </w:r>
      <w:r w:rsidR="005C5620">
        <w:rPr>
          <w:rFonts w:ascii="Arial" w:hAnsi="Arial" w:cs="Arial"/>
        </w:rPr>
        <w:t>that an agent could</w:t>
      </w:r>
      <w:r w:rsidR="009D7FE1">
        <w:rPr>
          <w:rFonts w:ascii="Arial" w:hAnsi="Arial" w:cs="Arial"/>
        </w:rPr>
        <w:t xml:space="preserve"> </w:t>
      </w:r>
      <w:r w:rsidR="005C5620">
        <w:rPr>
          <w:rFonts w:ascii="Arial" w:hAnsi="Arial" w:cs="Arial"/>
        </w:rPr>
        <w:t xml:space="preserve">possibly be increasing </w:t>
      </w:r>
      <w:r w:rsidR="002D253F">
        <w:rPr>
          <w:rFonts w:ascii="Arial" w:hAnsi="Arial" w:cs="Arial"/>
        </w:rPr>
        <w:t>his own financial position rather than the</w:t>
      </w:r>
      <w:r w:rsidR="007F7304">
        <w:rPr>
          <w:rFonts w:ascii="Arial" w:hAnsi="Arial" w:cs="Arial"/>
        </w:rPr>
        <w:t xml:space="preserve"> shareholders. </w:t>
      </w:r>
    </w:p>
    <w:p w14:paraId="7B2069A3" w14:textId="181CCC70" w:rsidR="00513BBB" w:rsidRDefault="002E0A9C" w:rsidP="0034030A">
      <w:pPr>
        <w:jc w:val="both"/>
        <w:rPr>
          <w:rFonts w:ascii="Arial" w:hAnsi="Arial" w:cs="Arial"/>
        </w:rPr>
      </w:pPr>
      <w:r>
        <w:rPr>
          <w:rFonts w:ascii="Arial" w:hAnsi="Arial" w:cs="Arial"/>
        </w:rPr>
        <w:t>Howev</w:t>
      </w:r>
      <w:r w:rsidR="00EB60A8">
        <w:rPr>
          <w:rFonts w:ascii="Arial" w:hAnsi="Arial" w:cs="Arial"/>
        </w:rPr>
        <w:t>e</w:t>
      </w:r>
      <w:r>
        <w:rPr>
          <w:rFonts w:ascii="Arial" w:hAnsi="Arial" w:cs="Arial"/>
        </w:rPr>
        <w:t>r</w:t>
      </w:r>
      <w:r w:rsidR="00EB60A8">
        <w:rPr>
          <w:rFonts w:ascii="Arial" w:hAnsi="Arial" w:cs="Arial"/>
        </w:rPr>
        <w:t xml:space="preserve">, </w:t>
      </w:r>
      <w:r w:rsidR="002A7A87">
        <w:rPr>
          <w:rFonts w:ascii="Arial" w:hAnsi="Arial" w:cs="Arial"/>
        </w:rPr>
        <w:t xml:space="preserve">due to agency theory there is </w:t>
      </w:r>
      <w:r w:rsidR="009B71C8">
        <w:rPr>
          <w:rFonts w:ascii="Arial" w:hAnsi="Arial" w:cs="Arial"/>
        </w:rPr>
        <w:t xml:space="preserve">a </w:t>
      </w:r>
      <w:proofErr w:type="gramStart"/>
      <w:r w:rsidR="009B71C8">
        <w:rPr>
          <w:rFonts w:ascii="Arial" w:hAnsi="Arial" w:cs="Arial"/>
        </w:rPr>
        <w:t>process which</w:t>
      </w:r>
      <w:proofErr w:type="gramEnd"/>
      <w:r w:rsidR="009B71C8">
        <w:rPr>
          <w:rFonts w:ascii="Arial" w:hAnsi="Arial" w:cs="Arial"/>
        </w:rPr>
        <w:t xml:space="preserve"> is normally applied </w:t>
      </w:r>
      <w:r w:rsidR="007924A3">
        <w:rPr>
          <w:rFonts w:ascii="Arial" w:hAnsi="Arial" w:cs="Arial"/>
        </w:rPr>
        <w:t>in situations such as these,</w:t>
      </w:r>
      <w:r w:rsidR="00241B44">
        <w:rPr>
          <w:rFonts w:ascii="Arial" w:hAnsi="Arial" w:cs="Arial"/>
        </w:rPr>
        <w:t xml:space="preserve"> </w:t>
      </w:r>
      <w:r w:rsidR="00F118AF">
        <w:rPr>
          <w:rFonts w:ascii="Arial" w:hAnsi="Arial" w:cs="Arial"/>
        </w:rPr>
        <w:t xml:space="preserve">which </w:t>
      </w:r>
      <w:r w:rsidR="00241B44">
        <w:rPr>
          <w:rFonts w:ascii="Arial" w:hAnsi="Arial" w:cs="Arial"/>
        </w:rPr>
        <w:t xml:space="preserve">are disclosure agreements, which </w:t>
      </w:r>
      <w:r w:rsidR="00A41F13">
        <w:rPr>
          <w:rFonts w:ascii="Arial" w:hAnsi="Arial" w:cs="Arial"/>
        </w:rPr>
        <w:t xml:space="preserve">assist both associations </w:t>
      </w:r>
      <w:r w:rsidR="00EB1057">
        <w:rPr>
          <w:rFonts w:ascii="Arial" w:hAnsi="Arial" w:cs="Arial"/>
        </w:rPr>
        <w:t xml:space="preserve">to quash any conflicts between </w:t>
      </w:r>
      <w:r w:rsidR="00D778CB">
        <w:rPr>
          <w:rFonts w:ascii="Arial" w:hAnsi="Arial" w:cs="Arial"/>
        </w:rPr>
        <w:t>all alliances involved</w:t>
      </w:r>
      <w:r w:rsidR="000B5613">
        <w:rPr>
          <w:rFonts w:ascii="Arial" w:hAnsi="Arial" w:cs="Arial"/>
        </w:rPr>
        <w:t xml:space="preserve">. </w:t>
      </w:r>
      <w:r w:rsidR="009B17B9">
        <w:rPr>
          <w:rFonts w:ascii="Arial" w:hAnsi="Arial" w:cs="Arial"/>
        </w:rPr>
        <w:t>Furthermore, for shareholders, manage</w:t>
      </w:r>
      <w:r w:rsidR="00D72CB0">
        <w:rPr>
          <w:rFonts w:ascii="Arial" w:hAnsi="Arial" w:cs="Arial"/>
        </w:rPr>
        <w:t xml:space="preserve">rial staff, and others to monitor </w:t>
      </w:r>
      <w:r w:rsidR="001603F8">
        <w:rPr>
          <w:rFonts w:ascii="Arial" w:hAnsi="Arial" w:cs="Arial"/>
        </w:rPr>
        <w:t>agency staff</w:t>
      </w:r>
      <w:r w:rsidR="00FC0D19">
        <w:rPr>
          <w:rFonts w:ascii="Arial" w:hAnsi="Arial" w:cs="Arial"/>
        </w:rPr>
        <w:t xml:space="preserve">, </w:t>
      </w:r>
      <w:r w:rsidR="00F022AC">
        <w:rPr>
          <w:rFonts w:ascii="Arial" w:hAnsi="Arial" w:cs="Arial"/>
        </w:rPr>
        <w:t>this will not be carried-out directly</w:t>
      </w:r>
      <w:r w:rsidR="007D2403">
        <w:rPr>
          <w:rFonts w:ascii="Arial" w:hAnsi="Arial" w:cs="Arial"/>
        </w:rPr>
        <w:t xml:space="preserve">, but, </w:t>
      </w:r>
      <w:r w:rsidR="002F199C">
        <w:rPr>
          <w:rFonts w:ascii="Arial" w:hAnsi="Arial" w:cs="Arial"/>
        </w:rPr>
        <w:t>through an organisation</w:t>
      </w:r>
      <w:r w:rsidR="00F118AF">
        <w:rPr>
          <w:rFonts w:ascii="Arial" w:hAnsi="Arial" w:cs="Arial"/>
        </w:rPr>
        <w:t>s</w:t>
      </w:r>
      <w:r w:rsidR="002F199C">
        <w:rPr>
          <w:rFonts w:ascii="Arial" w:hAnsi="Arial" w:cs="Arial"/>
        </w:rPr>
        <w:t xml:space="preserve"> risk management theory </w:t>
      </w:r>
      <w:r w:rsidR="00757111">
        <w:rPr>
          <w:rFonts w:ascii="Arial" w:hAnsi="Arial" w:cs="Arial"/>
        </w:rPr>
        <w:t>it is possible</w:t>
      </w:r>
      <w:r w:rsidR="00D6318D">
        <w:rPr>
          <w:rFonts w:ascii="Arial" w:hAnsi="Arial" w:cs="Arial"/>
        </w:rPr>
        <w:t xml:space="preserve">, </w:t>
      </w:r>
      <w:r w:rsidR="007A3CD3">
        <w:rPr>
          <w:rFonts w:ascii="Arial" w:hAnsi="Arial" w:cs="Arial"/>
        </w:rPr>
        <w:t xml:space="preserve">through </w:t>
      </w:r>
      <w:r w:rsidR="0023633E">
        <w:rPr>
          <w:rFonts w:ascii="Arial" w:hAnsi="Arial" w:cs="Arial"/>
        </w:rPr>
        <w:t xml:space="preserve">the </w:t>
      </w:r>
      <w:r w:rsidR="007A3CD3">
        <w:rPr>
          <w:rFonts w:ascii="Arial" w:hAnsi="Arial" w:cs="Arial"/>
        </w:rPr>
        <w:t>use of system</w:t>
      </w:r>
      <w:r w:rsidR="00A259B4">
        <w:rPr>
          <w:rFonts w:ascii="Arial" w:hAnsi="Arial" w:cs="Arial"/>
        </w:rPr>
        <w:t>isation</w:t>
      </w:r>
      <w:r w:rsidR="007A3CD3">
        <w:rPr>
          <w:rFonts w:ascii="Arial" w:hAnsi="Arial" w:cs="Arial"/>
        </w:rPr>
        <w:t>,</w:t>
      </w:r>
      <w:r w:rsidR="003335E2">
        <w:rPr>
          <w:rFonts w:ascii="Arial" w:hAnsi="Arial" w:cs="Arial"/>
        </w:rPr>
        <w:t xml:space="preserve"> </w:t>
      </w:r>
      <w:r w:rsidR="00550CBB">
        <w:rPr>
          <w:rFonts w:ascii="Arial" w:hAnsi="Arial" w:cs="Arial"/>
        </w:rPr>
        <w:t>th</w:t>
      </w:r>
      <w:r w:rsidR="009C02C3">
        <w:rPr>
          <w:rFonts w:ascii="Arial" w:hAnsi="Arial" w:cs="Arial"/>
        </w:rPr>
        <w:t xml:space="preserve">at enables more clarity and the ability </w:t>
      </w:r>
      <w:r w:rsidR="00005E99">
        <w:rPr>
          <w:rFonts w:ascii="Arial" w:hAnsi="Arial" w:cs="Arial"/>
        </w:rPr>
        <w:t xml:space="preserve">to alleviate </w:t>
      </w:r>
      <w:r w:rsidR="00393D3A">
        <w:rPr>
          <w:rFonts w:ascii="Arial" w:hAnsi="Arial" w:cs="Arial"/>
        </w:rPr>
        <w:t xml:space="preserve">the thought of </w:t>
      </w:r>
      <w:r w:rsidR="006A634F">
        <w:rPr>
          <w:rFonts w:ascii="Arial" w:hAnsi="Arial" w:cs="Arial"/>
        </w:rPr>
        <w:t xml:space="preserve">any </w:t>
      </w:r>
      <w:r w:rsidR="0070674A">
        <w:rPr>
          <w:rFonts w:ascii="Arial" w:hAnsi="Arial" w:cs="Arial"/>
        </w:rPr>
        <w:t>doubt</w:t>
      </w:r>
      <w:r w:rsidR="00541112">
        <w:rPr>
          <w:rFonts w:ascii="Arial" w:hAnsi="Arial" w:cs="Arial"/>
        </w:rPr>
        <w:t xml:space="preserve"> </w:t>
      </w:r>
      <w:r w:rsidR="007A3CD3">
        <w:rPr>
          <w:rFonts w:ascii="Arial" w:hAnsi="Arial" w:cs="Arial"/>
        </w:rPr>
        <w:t xml:space="preserve"> </w:t>
      </w:r>
      <w:r w:rsidR="00541112">
        <w:rPr>
          <w:rFonts w:ascii="Arial" w:hAnsi="Arial" w:cs="Arial"/>
        </w:rPr>
        <w:t xml:space="preserve">(Rahardjo, et al., 2020). </w:t>
      </w:r>
      <w:r w:rsidR="00F022AC">
        <w:rPr>
          <w:rFonts w:ascii="Arial" w:hAnsi="Arial" w:cs="Arial"/>
        </w:rPr>
        <w:t xml:space="preserve"> </w:t>
      </w:r>
      <w:r w:rsidR="00B41C6C">
        <w:rPr>
          <w:rFonts w:ascii="Arial" w:hAnsi="Arial" w:cs="Arial"/>
        </w:rPr>
        <w:t xml:space="preserve"> </w:t>
      </w:r>
      <w:r w:rsidR="0094239C">
        <w:rPr>
          <w:rFonts w:ascii="Arial" w:hAnsi="Arial" w:cs="Arial"/>
        </w:rPr>
        <w:t xml:space="preserve"> </w:t>
      </w:r>
      <w:r w:rsidR="00A91475">
        <w:rPr>
          <w:rFonts w:ascii="Arial" w:hAnsi="Arial" w:cs="Arial"/>
        </w:rPr>
        <w:t xml:space="preserve"> </w:t>
      </w:r>
      <w:r w:rsidR="00160706">
        <w:rPr>
          <w:rFonts w:ascii="Arial" w:hAnsi="Arial" w:cs="Arial"/>
        </w:rPr>
        <w:t xml:space="preserve"> </w:t>
      </w:r>
      <w:r w:rsidR="00554634">
        <w:rPr>
          <w:rFonts w:ascii="Arial" w:hAnsi="Arial" w:cs="Arial"/>
        </w:rPr>
        <w:t xml:space="preserve"> </w:t>
      </w:r>
      <w:r w:rsidR="009C473A">
        <w:rPr>
          <w:rFonts w:ascii="Arial" w:hAnsi="Arial" w:cs="Arial"/>
        </w:rPr>
        <w:t xml:space="preserve"> </w:t>
      </w:r>
      <w:r w:rsidR="00AE57F5">
        <w:rPr>
          <w:rFonts w:ascii="Arial" w:hAnsi="Arial" w:cs="Arial"/>
        </w:rPr>
        <w:t xml:space="preserve"> </w:t>
      </w:r>
      <w:r w:rsidR="003626EF">
        <w:rPr>
          <w:rFonts w:ascii="Arial" w:hAnsi="Arial" w:cs="Arial"/>
        </w:rPr>
        <w:t xml:space="preserve"> </w:t>
      </w:r>
      <w:r w:rsidR="00B36820">
        <w:rPr>
          <w:rFonts w:ascii="Arial" w:hAnsi="Arial" w:cs="Arial"/>
        </w:rPr>
        <w:t xml:space="preserve"> </w:t>
      </w:r>
      <w:r w:rsidR="00B94B08">
        <w:rPr>
          <w:rFonts w:ascii="Arial" w:hAnsi="Arial" w:cs="Arial"/>
        </w:rPr>
        <w:t xml:space="preserve"> </w:t>
      </w:r>
      <w:r w:rsidR="006D0F11">
        <w:rPr>
          <w:rFonts w:ascii="Arial" w:hAnsi="Arial" w:cs="Arial"/>
        </w:rPr>
        <w:t xml:space="preserve"> </w:t>
      </w:r>
      <w:r w:rsidR="006D0FC3">
        <w:rPr>
          <w:rFonts w:ascii="Arial" w:hAnsi="Arial" w:cs="Arial"/>
        </w:rPr>
        <w:t xml:space="preserve"> </w:t>
      </w:r>
      <w:r w:rsidR="00163A6B">
        <w:rPr>
          <w:rFonts w:ascii="Arial" w:hAnsi="Arial" w:cs="Arial"/>
        </w:rPr>
        <w:t xml:space="preserve"> </w:t>
      </w:r>
    </w:p>
    <w:tbl>
      <w:tblPr>
        <w:tblW w:w="11400" w:type="dxa"/>
        <w:tblLook w:val="04A0" w:firstRow="1" w:lastRow="0" w:firstColumn="1" w:lastColumn="0" w:noHBand="0" w:noVBand="1"/>
      </w:tblPr>
      <w:tblGrid>
        <w:gridCol w:w="980"/>
        <w:gridCol w:w="960"/>
        <w:gridCol w:w="860"/>
        <w:gridCol w:w="100"/>
        <w:gridCol w:w="860"/>
        <w:gridCol w:w="100"/>
        <w:gridCol w:w="860"/>
        <w:gridCol w:w="100"/>
        <w:gridCol w:w="860"/>
        <w:gridCol w:w="100"/>
        <w:gridCol w:w="860"/>
        <w:gridCol w:w="100"/>
        <w:gridCol w:w="860"/>
        <w:gridCol w:w="320"/>
        <w:gridCol w:w="640"/>
        <w:gridCol w:w="1020"/>
        <w:gridCol w:w="160"/>
        <w:gridCol w:w="1660"/>
      </w:tblGrid>
      <w:tr w:rsidR="00B45DAE" w:rsidRPr="00B45DAE" w14:paraId="086079B8" w14:textId="77777777" w:rsidTr="00B45DAE">
        <w:trPr>
          <w:gridAfter w:val="2"/>
          <w:wAfter w:w="1820" w:type="dxa"/>
          <w:trHeight w:val="300"/>
        </w:trPr>
        <w:tc>
          <w:tcPr>
            <w:tcW w:w="980" w:type="dxa"/>
            <w:tcBorders>
              <w:top w:val="nil"/>
              <w:left w:val="nil"/>
              <w:bottom w:val="nil"/>
              <w:right w:val="nil"/>
            </w:tcBorders>
            <w:shd w:val="clear" w:color="auto" w:fill="auto"/>
            <w:noWrap/>
            <w:vAlign w:val="bottom"/>
            <w:hideMark/>
          </w:tcPr>
          <w:p w14:paraId="5C08AF3B" w14:textId="77777777" w:rsidR="00EB587E" w:rsidRDefault="00EB587E" w:rsidP="00B45DAE">
            <w:pPr>
              <w:spacing w:after="0" w:line="240" w:lineRule="auto"/>
              <w:rPr>
                <w:rFonts w:ascii="Calibri" w:eastAsia="Times New Roman" w:hAnsi="Calibri" w:cs="Calibri"/>
                <w:b/>
                <w:bCs/>
                <w:color w:val="000000"/>
                <w:lang w:eastAsia="en-GB"/>
              </w:rPr>
            </w:pPr>
          </w:p>
          <w:p w14:paraId="67993F38" w14:textId="77777777" w:rsidR="00EB587E" w:rsidRDefault="00EB587E" w:rsidP="00B45DAE">
            <w:pPr>
              <w:spacing w:after="0" w:line="240" w:lineRule="auto"/>
              <w:rPr>
                <w:rFonts w:ascii="Calibri" w:eastAsia="Times New Roman" w:hAnsi="Calibri" w:cs="Calibri"/>
                <w:b/>
                <w:bCs/>
                <w:color w:val="000000"/>
                <w:lang w:eastAsia="en-GB"/>
              </w:rPr>
            </w:pPr>
          </w:p>
          <w:p w14:paraId="4AC1D05B" w14:textId="54374685" w:rsidR="00B45DAE" w:rsidRPr="00B45DAE" w:rsidRDefault="00B45DAE" w:rsidP="00B45DAE">
            <w:pPr>
              <w:spacing w:after="0" w:line="240" w:lineRule="auto"/>
              <w:rPr>
                <w:rFonts w:ascii="Calibri" w:eastAsia="Times New Roman" w:hAnsi="Calibri" w:cs="Calibri"/>
                <w:b/>
                <w:bCs/>
                <w:color w:val="000000"/>
                <w:lang w:eastAsia="en-GB"/>
              </w:rPr>
            </w:pPr>
            <w:r w:rsidRPr="00B45DAE">
              <w:rPr>
                <w:rFonts w:ascii="Calibri" w:eastAsia="Times New Roman" w:hAnsi="Calibri" w:cs="Calibri"/>
                <w:b/>
                <w:bCs/>
                <w:color w:val="000000"/>
                <w:lang w:eastAsia="en-GB"/>
              </w:rPr>
              <w:t>GSK. GER</w:t>
            </w:r>
          </w:p>
        </w:tc>
        <w:tc>
          <w:tcPr>
            <w:tcW w:w="960" w:type="dxa"/>
            <w:tcBorders>
              <w:top w:val="nil"/>
              <w:left w:val="nil"/>
              <w:bottom w:val="nil"/>
              <w:right w:val="nil"/>
            </w:tcBorders>
            <w:shd w:val="clear" w:color="auto" w:fill="auto"/>
            <w:noWrap/>
            <w:vAlign w:val="bottom"/>
            <w:hideMark/>
          </w:tcPr>
          <w:p w14:paraId="0863196A" w14:textId="77777777" w:rsidR="00B45DAE" w:rsidRPr="00B45DAE" w:rsidRDefault="00B45DAE" w:rsidP="00B45DAE">
            <w:pPr>
              <w:spacing w:after="0" w:line="240" w:lineRule="auto"/>
              <w:jc w:val="right"/>
              <w:rPr>
                <w:rFonts w:ascii="Calibri" w:eastAsia="Times New Roman" w:hAnsi="Calibri" w:cs="Calibri"/>
                <w:b/>
                <w:bCs/>
                <w:color w:val="000000"/>
                <w:lang w:eastAsia="en-GB"/>
              </w:rPr>
            </w:pPr>
            <w:r w:rsidRPr="00B45DAE">
              <w:rPr>
                <w:rFonts w:ascii="Calibri" w:eastAsia="Times New Roman" w:hAnsi="Calibri" w:cs="Calibri"/>
                <w:b/>
                <w:bCs/>
                <w:color w:val="000000"/>
                <w:lang w:eastAsia="en-GB"/>
              </w:rPr>
              <w:t>2016</w:t>
            </w:r>
          </w:p>
        </w:tc>
        <w:tc>
          <w:tcPr>
            <w:tcW w:w="960" w:type="dxa"/>
            <w:gridSpan w:val="2"/>
            <w:tcBorders>
              <w:top w:val="nil"/>
              <w:left w:val="nil"/>
              <w:bottom w:val="nil"/>
              <w:right w:val="nil"/>
            </w:tcBorders>
            <w:shd w:val="clear" w:color="auto" w:fill="auto"/>
            <w:noWrap/>
            <w:vAlign w:val="bottom"/>
            <w:hideMark/>
          </w:tcPr>
          <w:p w14:paraId="5CD2AFA1" w14:textId="77777777" w:rsidR="00B45DAE" w:rsidRPr="00B45DAE" w:rsidRDefault="00B45DAE" w:rsidP="00B45DAE">
            <w:pPr>
              <w:spacing w:after="0" w:line="240" w:lineRule="auto"/>
              <w:jc w:val="right"/>
              <w:rPr>
                <w:rFonts w:ascii="Calibri" w:eastAsia="Times New Roman" w:hAnsi="Calibri" w:cs="Calibri"/>
                <w:b/>
                <w:bCs/>
                <w:color w:val="000000"/>
                <w:lang w:eastAsia="en-GB"/>
              </w:rPr>
            </w:pPr>
            <w:r w:rsidRPr="00B45DAE">
              <w:rPr>
                <w:rFonts w:ascii="Calibri" w:eastAsia="Times New Roman" w:hAnsi="Calibri" w:cs="Calibri"/>
                <w:b/>
                <w:bCs/>
                <w:color w:val="000000"/>
                <w:lang w:eastAsia="en-GB"/>
              </w:rPr>
              <w:t>2017</w:t>
            </w:r>
          </w:p>
        </w:tc>
        <w:tc>
          <w:tcPr>
            <w:tcW w:w="960" w:type="dxa"/>
            <w:gridSpan w:val="2"/>
            <w:tcBorders>
              <w:top w:val="nil"/>
              <w:left w:val="nil"/>
              <w:bottom w:val="nil"/>
              <w:right w:val="nil"/>
            </w:tcBorders>
            <w:shd w:val="clear" w:color="auto" w:fill="auto"/>
            <w:noWrap/>
            <w:vAlign w:val="bottom"/>
            <w:hideMark/>
          </w:tcPr>
          <w:p w14:paraId="19A88F34" w14:textId="77777777" w:rsidR="00B45DAE" w:rsidRPr="00B45DAE" w:rsidRDefault="00B45DAE" w:rsidP="00B45DAE">
            <w:pPr>
              <w:spacing w:after="0" w:line="240" w:lineRule="auto"/>
              <w:jc w:val="right"/>
              <w:rPr>
                <w:rFonts w:ascii="Calibri" w:eastAsia="Times New Roman" w:hAnsi="Calibri" w:cs="Calibri"/>
                <w:b/>
                <w:bCs/>
                <w:color w:val="000000"/>
                <w:lang w:eastAsia="en-GB"/>
              </w:rPr>
            </w:pPr>
            <w:r w:rsidRPr="00B45DAE">
              <w:rPr>
                <w:rFonts w:ascii="Calibri" w:eastAsia="Times New Roman" w:hAnsi="Calibri" w:cs="Calibri"/>
                <w:b/>
                <w:bCs/>
                <w:color w:val="000000"/>
                <w:lang w:eastAsia="en-GB"/>
              </w:rPr>
              <w:t>2018</w:t>
            </w:r>
          </w:p>
        </w:tc>
        <w:tc>
          <w:tcPr>
            <w:tcW w:w="960" w:type="dxa"/>
            <w:gridSpan w:val="2"/>
            <w:tcBorders>
              <w:top w:val="nil"/>
              <w:left w:val="nil"/>
              <w:bottom w:val="nil"/>
              <w:right w:val="nil"/>
            </w:tcBorders>
            <w:shd w:val="clear" w:color="auto" w:fill="auto"/>
            <w:noWrap/>
            <w:vAlign w:val="bottom"/>
            <w:hideMark/>
          </w:tcPr>
          <w:p w14:paraId="728A7DF4" w14:textId="77777777" w:rsidR="00B45DAE" w:rsidRPr="00B45DAE" w:rsidRDefault="00B45DAE" w:rsidP="00B45DAE">
            <w:pPr>
              <w:spacing w:after="0" w:line="240" w:lineRule="auto"/>
              <w:jc w:val="right"/>
              <w:rPr>
                <w:rFonts w:ascii="Calibri" w:eastAsia="Times New Roman" w:hAnsi="Calibri" w:cs="Calibri"/>
                <w:b/>
                <w:bCs/>
                <w:color w:val="000000"/>
                <w:lang w:eastAsia="en-GB"/>
              </w:rPr>
            </w:pPr>
            <w:r w:rsidRPr="00B45DAE">
              <w:rPr>
                <w:rFonts w:ascii="Calibri" w:eastAsia="Times New Roman" w:hAnsi="Calibri" w:cs="Calibri"/>
                <w:b/>
                <w:bCs/>
                <w:color w:val="000000"/>
                <w:lang w:eastAsia="en-GB"/>
              </w:rPr>
              <w:t>2019</w:t>
            </w:r>
          </w:p>
        </w:tc>
        <w:tc>
          <w:tcPr>
            <w:tcW w:w="960" w:type="dxa"/>
            <w:gridSpan w:val="2"/>
            <w:tcBorders>
              <w:top w:val="nil"/>
              <w:left w:val="nil"/>
              <w:bottom w:val="nil"/>
              <w:right w:val="nil"/>
            </w:tcBorders>
            <w:shd w:val="clear" w:color="auto" w:fill="auto"/>
            <w:noWrap/>
            <w:vAlign w:val="bottom"/>
            <w:hideMark/>
          </w:tcPr>
          <w:p w14:paraId="460EDF18" w14:textId="77777777" w:rsidR="00B45DAE" w:rsidRPr="00B45DAE" w:rsidRDefault="00B45DAE" w:rsidP="00B45DAE">
            <w:pPr>
              <w:spacing w:after="0" w:line="240" w:lineRule="auto"/>
              <w:jc w:val="right"/>
              <w:rPr>
                <w:rFonts w:ascii="Calibri" w:eastAsia="Times New Roman" w:hAnsi="Calibri" w:cs="Calibri"/>
                <w:b/>
                <w:bCs/>
                <w:color w:val="000000"/>
                <w:lang w:eastAsia="en-GB"/>
              </w:rPr>
            </w:pPr>
            <w:r w:rsidRPr="00B45DAE">
              <w:rPr>
                <w:rFonts w:ascii="Calibri" w:eastAsia="Times New Roman" w:hAnsi="Calibri" w:cs="Calibri"/>
                <w:b/>
                <w:bCs/>
                <w:color w:val="000000"/>
                <w:lang w:eastAsia="en-GB"/>
              </w:rPr>
              <w:t>2020</w:t>
            </w:r>
          </w:p>
        </w:tc>
        <w:tc>
          <w:tcPr>
            <w:tcW w:w="960" w:type="dxa"/>
            <w:gridSpan w:val="2"/>
            <w:tcBorders>
              <w:top w:val="nil"/>
              <w:left w:val="nil"/>
              <w:bottom w:val="nil"/>
              <w:right w:val="nil"/>
            </w:tcBorders>
            <w:shd w:val="clear" w:color="auto" w:fill="auto"/>
            <w:noWrap/>
            <w:vAlign w:val="bottom"/>
            <w:hideMark/>
          </w:tcPr>
          <w:p w14:paraId="43917376" w14:textId="77777777" w:rsidR="00B45DAE" w:rsidRPr="00B45DAE" w:rsidRDefault="00B45DAE" w:rsidP="00B45DAE">
            <w:pPr>
              <w:spacing w:after="0" w:line="240" w:lineRule="auto"/>
              <w:rPr>
                <w:rFonts w:ascii="Calibri" w:eastAsia="Times New Roman" w:hAnsi="Calibri" w:cs="Calibri"/>
                <w:b/>
                <w:bCs/>
                <w:color w:val="000000"/>
                <w:lang w:eastAsia="en-GB"/>
              </w:rPr>
            </w:pPr>
            <w:r w:rsidRPr="00B45DAE">
              <w:rPr>
                <w:rFonts w:ascii="Calibri" w:eastAsia="Times New Roman" w:hAnsi="Calibri" w:cs="Calibri"/>
                <w:b/>
                <w:bCs/>
                <w:color w:val="000000"/>
                <w:lang w:eastAsia="en-GB"/>
              </w:rPr>
              <w:t>J&amp;J 2020</w:t>
            </w:r>
          </w:p>
        </w:tc>
        <w:tc>
          <w:tcPr>
            <w:tcW w:w="1180" w:type="dxa"/>
            <w:gridSpan w:val="2"/>
            <w:tcBorders>
              <w:top w:val="nil"/>
              <w:left w:val="nil"/>
              <w:bottom w:val="nil"/>
              <w:right w:val="nil"/>
            </w:tcBorders>
            <w:shd w:val="clear" w:color="auto" w:fill="auto"/>
            <w:noWrap/>
            <w:vAlign w:val="bottom"/>
            <w:hideMark/>
          </w:tcPr>
          <w:p w14:paraId="3E07443E" w14:textId="77777777" w:rsidR="00B45DAE" w:rsidRPr="00B45DAE" w:rsidRDefault="00B45DAE" w:rsidP="00B45DAE">
            <w:pPr>
              <w:spacing w:after="0" w:line="240" w:lineRule="auto"/>
              <w:rPr>
                <w:rFonts w:ascii="Calibri" w:eastAsia="Times New Roman" w:hAnsi="Calibri" w:cs="Calibri"/>
                <w:b/>
                <w:bCs/>
                <w:color w:val="000000"/>
                <w:lang w:eastAsia="en-GB"/>
              </w:rPr>
            </w:pPr>
            <w:r w:rsidRPr="00B45DAE">
              <w:rPr>
                <w:rFonts w:ascii="Calibri" w:eastAsia="Times New Roman" w:hAnsi="Calibri" w:cs="Calibri"/>
                <w:b/>
                <w:bCs/>
                <w:color w:val="000000"/>
                <w:lang w:eastAsia="en-GB"/>
              </w:rPr>
              <w:t>Roche 2020</w:t>
            </w:r>
          </w:p>
        </w:tc>
        <w:tc>
          <w:tcPr>
            <w:tcW w:w="1660" w:type="dxa"/>
            <w:gridSpan w:val="2"/>
            <w:tcBorders>
              <w:top w:val="nil"/>
              <w:left w:val="nil"/>
              <w:bottom w:val="nil"/>
              <w:right w:val="nil"/>
            </w:tcBorders>
            <w:shd w:val="clear" w:color="auto" w:fill="auto"/>
            <w:noWrap/>
            <w:vAlign w:val="bottom"/>
            <w:hideMark/>
          </w:tcPr>
          <w:p w14:paraId="37D1D837" w14:textId="77777777" w:rsidR="00B45DAE" w:rsidRPr="00B45DAE" w:rsidRDefault="00B45DAE" w:rsidP="00B45DAE">
            <w:pPr>
              <w:spacing w:after="0" w:line="240" w:lineRule="auto"/>
              <w:rPr>
                <w:rFonts w:ascii="Calibri" w:eastAsia="Times New Roman" w:hAnsi="Calibri" w:cs="Calibri"/>
                <w:b/>
                <w:bCs/>
                <w:color w:val="000000"/>
                <w:lang w:eastAsia="en-GB"/>
              </w:rPr>
            </w:pPr>
            <w:r w:rsidRPr="00B45DAE">
              <w:rPr>
                <w:rFonts w:ascii="Calibri" w:eastAsia="Times New Roman" w:hAnsi="Calibri" w:cs="Calibri"/>
                <w:b/>
                <w:bCs/>
                <w:color w:val="000000"/>
                <w:lang w:eastAsia="en-GB"/>
              </w:rPr>
              <w:t>A, Zeneca 2020</w:t>
            </w:r>
          </w:p>
        </w:tc>
      </w:tr>
      <w:tr w:rsidR="00B45DAE" w:rsidRPr="00B45DAE" w14:paraId="616C26BE" w14:textId="77777777" w:rsidTr="00B45DAE">
        <w:trPr>
          <w:gridAfter w:val="2"/>
          <w:wAfter w:w="1820" w:type="dxa"/>
          <w:trHeight w:val="300"/>
        </w:trPr>
        <w:tc>
          <w:tcPr>
            <w:tcW w:w="980" w:type="dxa"/>
            <w:tcBorders>
              <w:top w:val="nil"/>
              <w:left w:val="nil"/>
              <w:bottom w:val="nil"/>
              <w:right w:val="nil"/>
            </w:tcBorders>
            <w:shd w:val="clear" w:color="auto" w:fill="auto"/>
            <w:noWrap/>
            <w:vAlign w:val="bottom"/>
            <w:hideMark/>
          </w:tcPr>
          <w:p w14:paraId="782A431C" w14:textId="77777777" w:rsidR="00B45DAE" w:rsidRPr="00B45DAE" w:rsidRDefault="00B45DAE" w:rsidP="00B45DAE">
            <w:pPr>
              <w:spacing w:after="0" w:line="240" w:lineRule="auto"/>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hideMark/>
          </w:tcPr>
          <w:p w14:paraId="085D7D04" w14:textId="6A8528D9" w:rsidR="00B45DAE" w:rsidRPr="00B45DAE" w:rsidRDefault="00B45DAE" w:rsidP="00B45DAE">
            <w:pPr>
              <w:spacing w:after="0" w:line="240" w:lineRule="auto"/>
              <w:jc w:val="right"/>
              <w:rPr>
                <w:rFonts w:ascii="Calibri" w:eastAsia="Times New Roman" w:hAnsi="Calibri" w:cs="Calibri"/>
                <w:color w:val="000000"/>
                <w:lang w:eastAsia="en-GB"/>
              </w:rPr>
            </w:pPr>
            <w:r w:rsidRPr="00B45DAE">
              <w:rPr>
                <w:rFonts w:ascii="Calibri" w:eastAsia="Times New Roman" w:hAnsi="Calibri" w:cs="Calibri"/>
                <w:color w:val="000000"/>
                <w:lang w:eastAsia="en-GB"/>
              </w:rPr>
              <w:t>17.61</w:t>
            </w:r>
          </w:p>
        </w:tc>
        <w:tc>
          <w:tcPr>
            <w:tcW w:w="960" w:type="dxa"/>
            <w:gridSpan w:val="2"/>
            <w:tcBorders>
              <w:top w:val="nil"/>
              <w:left w:val="nil"/>
              <w:bottom w:val="nil"/>
              <w:right w:val="nil"/>
            </w:tcBorders>
            <w:shd w:val="clear" w:color="auto" w:fill="auto"/>
            <w:noWrap/>
            <w:vAlign w:val="bottom"/>
            <w:hideMark/>
          </w:tcPr>
          <w:p w14:paraId="0591AF0A" w14:textId="18B17293" w:rsidR="00B45DAE" w:rsidRPr="00B45DAE" w:rsidRDefault="00B45DAE" w:rsidP="00B45DAE">
            <w:pPr>
              <w:spacing w:after="0" w:line="240" w:lineRule="auto"/>
              <w:jc w:val="right"/>
              <w:rPr>
                <w:rFonts w:ascii="Calibri" w:eastAsia="Times New Roman" w:hAnsi="Calibri" w:cs="Calibri"/>
                <w:color w:val="000000"/>
                <w:lang w:eastAsia="en-GB"/>
              </w:rPr>
            </w:pPr>
            <w:r w:rsidRPr="00B45DAE">
              <w:rPr>
                <w:rFonts w:ascii="Calibri" w:eastAsia="Times New Roman" w:hAnsi="Calibri" w:cs="Calibri"/>
                <w:color w:val="000000"/>
                <w:lang w:eastAsia="en-GB"/>
              </w:rPr>
              <w:t>305.17</w:t>
            </w:r>
          </w:p>
        </w:tc>
        <w:tc>
          <w:tcPr>
            <w:tcW w:w="960" w:type="dxa"/>
            <w:gridSpan w:val="2"/>
            <w:tcBorders>
              <w:top w:val="nil"/>
              <w:left w:val="nil"/>
              <w:bottom w:val="nil"/>
              <w:right w:val="nil"/>
            </w:tcBorders>
            <w:shd w:val="clear" w:color="auto" w:fill="auto"/>
            <w:noWrap/>
            <w:vAlign w:val="bottom"/>
            <w:hideMark/>
          </w:tcPr>
          <w:p w14:paraId="40F4C908" w14:textId="32A8D5AE" w:rsidR="00B45DAE" w:rsidRPr="00B45DAE" w:rsidRDefault="00B45DAE" w:rsidP="00B45DAE">
            <w:pPr>
              <w:spacing w:after="0" w:line="240" w:lineRule="auto"/>
              <w:jc w:val="right"/>
              <w:rPr>
                <w:rFonts w:ascii="Calibri" w:eastAsia="Times New Roman" w:hAnsi="Calibri" w:cs="Calibri"/>
                <w:color w:val="000000"/>
                <w:lang w:eastAsia="en-GB"/>
              </w:rPr>
            </w:pPr>
            <w:r w:rsidRPr="00B45DAE">
              <w:rPr>
                <w:rFonts w:ascii="Calibri" w:eastAsia="Times New Roman" w:hAnsi="Calibri" w:cs="Calibri"/>
                <w:color w:val="000000"/>
                <w:lang w:eastAsia="en-GB"/>
              </w:rPr>
              <w:t>6.17</w:t>
            </w:r>
          </w:p>
        </w:tc>
        <w:tc>
          <w:tcPr>
            <w:tcW w:w="960" w:type="dxa"/>
            <w:gridSpan w:val="2"/>
            <w:tcBorders>
              <w:top w:val="nil"/>
              <w:left w:val="nil"/>
              <w:bottom w:val="nil"/>
              <w:right w:val="nil"/>
            </w:tcBorders>
            <w:shd w:val="clear" w:color="auto" w:fill="auto"/>
            <w:noWrap/>
            <w:vAlign w:val="bottom"/>
            <w:hideMark/>
          </w:tcPr>
          <w:p w14:paraId="09D10CCE" w14:textId="0EA6DE3F" w:rsidR="00B45DAE" w:rsidRPr="00B45DAE" w:rsidRDefault="00B45DAE" w:rsidP="00B45DAE">
            <w:pPr>
              <w:spacing w:after="0" w:line="240" w:lineRule="auto"/>
              <w:jc w:val="right"/>
              <w:rPr>
                <w:rFonts w:ascii="Calibri" w:eastAsia="Times New Roman" w:hAnsi="Calibri" w:cs="Calibri"/>
                <w:color w:val="000000"/>
                <w:lang w:eastAsia="en-GB"/>
              </w:rPr>
            </w:pPr>
            <w:r w:rsidRPr="00B45DAE">
              <w:rPr>
                <w:rFonts w:ascii="Calibri" w:eastAsia="Times New Roman" w:hAnsi="Calibri" w:cs="Calibri"/>
                <w:color w:val="000000"/>
                <w:lang w:eastAsia="en-GB"/>
              </w:rPr>
              <w:t>2.57</w:t>
            </w:r>
          </w:p>
        </w:tc>
        <w:tc>
          <w:tcPr>
            <w:tcW w:w="960" w:type="dxa"/>
            <w:gridSpan w:val="2"/>
            <w:tcBorders>
              <w:top w:val="nil"/>
              <w:left w:val="nil"/>
              <w:bottom w:val="nil"/>
              <w:right w:val="nil"/>
            </w:tcBorders>
            <w:shd w:val="clear" w:color="auto" w:fill="auto"/>
            <w:noWrap/>
            <w:vAlign w:val="bottom"/>
            <w:hideMark/>
          </w:tcPr>
          <w:p w14:paraId="33E4E698" w14:textId="1252D44A" w:rsidR="00B45DAE" w:rsidRPr="00B45DAE" w:rsidRDefault="00B45DAE" w:rsidP="00B45DAE">
            <w:pPr>
              <w:spacing w:after="0" w:line="240" w:lineRule="auto"/>
              <w:jc w:val="right"/>
              <w:rPr>
                <w:rFonts w:ascii="Calibri" w:eastAsia="Times New Roman" w:hAnsi="Calibri" w:cs="Calibri"/>
                <w:color w:val="000000"/>
                <w:lang w:eastAsia="en-GB"/>
              </w:rPr>
            </w:pPr>
            <w:r w:rsidRPr="00B45DAE">
              <w:rPr>
                <w:rFonts w:ascii="Calibri" w:eastAsia="Times New Roman" w:hAnsi="Calibri" w:cs="Calibri"/>
                <w:color w:val="000000"/>
                <w:lang w:eastAsia="en-GB"/>
              </w:rPr>
              <w:t>2.02</w:t>
            </w:r>
          </w:p>
        </w:tc>
        <w:tc>
          <w:tcPr>
            <w:tcW w:w="960" w:type="dxa"/>
            <w:gridSpan w:val="2"/>
            <w:tcBorders>
              <w:top w:val="nil"/>
              <w:left w:val="nil"/>
              <w:bottom w:val="nil"/>
              <w:right w:val="nil"/>
            </w:tcBorders>
            <w:shd w:val="clear" w:color="auto" w:fill="auto"/>
            <w:noWrap/>
            <w:vAlign w:val="bottom"/>
            <w:hideMark/>
          </w:tcPr>
          <w:p w14:paraId="6F6F320D" w14:textId="74A252E3" w:rsidR="00B45DAE" w:rsidRPr="00B45DAE" w:rsidRDefault="00B45DAE" w:rsidP="0097725A">
            <w:pPr>
              <w:spacing w:after="0" w:line="240" w:lineRule="auto"/>
              <w:jc w:val="center"/>
              <w:rPr>
                <w:rFonts w:ascii="Calibri" w:eastAsia="Times New Roman" w:hAnsi="Calibri" w:cs="Calibri"/>
                <w:color w:val="000000"/>
                <w:lang w:eastAsia="en-GB"/>
              </w:rPr>
            </w:pPr>
            <w:r w:rsidRPr="00B45DAE">
              <w:rPr>
                <w:rFonts w:ascii="Calibri" w:eastAsia="Times New Roman" w:hAnsi="Calibri" w:cs="Calibri"/>
                <w:color w:val="000000"/>
                <w:lang w:eastAsia="en-GB"/>
              </w:rPr>
              <w:t>0.40</w:t>
            </w:r>
          </w:p>
        </w:tc>
        <w:tc>
          <w:tcPr>
            <w:tcW w:w="1180" w:type="dxa"/>
            <w:gridSpan w:val="2"/>
            <w:tcBorders>
              <w:top w:val="nil"/>
              <w:left w:val="nil"/>
              <w:bottom w:val="nil"/>
              <w:right w:val="nil"/>
            </w:tcBorders>
            <w:shd w:val="clear" w:color="auto" w:fill="auto"/>
            <w:noWrap/>
            <w:vAlign w:val="bottom"/>
            <w:hideMark/>
          </w:tcPr>
          <w:p w14:paraId="17E01EF3" w14:textId="271F3E36" w:rsidR="00B45DAE" w:rsidRPr="00B45DAE" w:rsidRDefault="00B45DAE" w:rsidP="0097725A">
            <w:pPr>
              <w:spacing w:after="0" w:line="240" w:lineRule="auto"/>
              <w:rPr>
                <w:rFonts w:ascii="Calibri" w:eastAsia="Times New Roman" w:hAnsi="Calibri" w:cs="Calibri"/>
                <w:color w:val="000000"/>
                <w:lang w:eastAsia="en-GB"/>
              </w:rPr>
            </w:pPr>
            <w:r w:rsidRPr="00B45DAE">
              <w:rPr>
                <w:rFonts w:ascii="Calibri" w:eastAsia="Times New Roman" w:hAnsi="Calibri" w:cs="Calibri"/>
                <w:color w:val="000000"/>
                <w:lang w:eastAsia="en-GB"/>
              </w:rPr>
              <w:t>0.07</w:t>
            </w:r>
          </w:p>
        </w:tc>
        <w:tc>
          <w:tcPr>
            <w:tcW w:w="1660" w:type="dxa"/>
            <w:gridSpan w:val="2"/>
            <w:tcBorders>
              <w:top w:val="nil"/>
              <w:left w:val="nil"/>
              <w:bottom w:val="nil"/>
              <w:right w:val="nil"/>
            </w:tcBorders>
            <w:shd w:val="clear" w:color="auto" w:fill="auto"/>
            <w:noWrap/>
            <w:vAlign w:val="bottom"/>
            <w:hideMark/>
          </w:tcPr>
          <w:p w14:paraId="0C101E6E" w14:textId="63A7601E" w:rsidR="00B45DAE" w:rsidRPr="00B45DAE" w:rsidRDefault="00B45DAE" w:rsidP="0097725A">
            <w:pPr>
              <w:spacing w:after="0" w:line="240" w:lineRule="auto"/>
              <w:jc w:val="center"/>
              <w:rPr>
                <w:rFonts w:ascii="Calibri" w:eastAsia="Times New Roman" w:hAnsi="Calibri" w:cs="Calibri"/>
                <w:color w:val="000000"/>
                <w:lang w:eastAsia="en-GB"/>
              </w:rPr>
            </w:pPr>
            <w:r w:rsidRPr="00B45DAE">
              <w:rPr>
                <w:rFonts w:ascii="Calibri" w:eastAsia="Times New Roman" w:hAnsi="Calibri" w:cs="Calibri"/>
                <w:color w:val="000000"/>
                <w:lang w:eastAsia="en-GB"/>
              </w:rPr>
              <w:t>82.00</w:t>
            </w:r>
          </w:p>
        </w:tc>
      </w:tr>
      <w:tr w:rsidR="00D961DE" w:rsidRPr="00D961DE" w14:paraId="716C237A" w14:textId="77777777" w:rsidTr="00B45DAE">
        <w:trPr>
          <w:trHeight w:val="300"/>
        </w:trPr>
        <w:tc>
          <w:tcPr>
            <w:tcW w:w="2800" w:type="dxa"/>
            <w:gridSpan w:val="3"/>
            <w:tcBorders>
              <w:top w:val="nil"/>
              <w:left w:val="nil"/>
              <w:bottom w:val="nil"/>
              <w:right w:val="nil"/>
            </w:tcBorders>
            <w:shd w:val="clear" w:color="auto" w:fill="auto"/>
            <w:noWrap/>
            <w:vAlign w:val="bottom"/>
          </w:tcPr>
          <w:p w14:paraId="3937D8CB" w14:textId="03667CC7" w:rsidR="00D961DE" w:rsidRPr="00D961DE" w:rsidRDefault="00D961DE" w:rsidP="00D961DE">
            <w:pPr>
              <w:spacing w:after="0" w:line="240" w:lineRule="auto"/>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2E84AED3" w14:textId="3C6ED823" w:rsidR="00D961DE" w:rsidRPr="00D961DE" w:rsidRDefault="00D961DE" w:rsidP="00D961DE">
            <w:pPr>
              <w:spacing w:after="0" w:line="240" w:lineRule="auto"/>
              <w:jc w:val="right"/>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3333AEA4" w14:textId="65B71A0A" w:rsidR="00D961DE" w:rsidRPr="00D961DE" w:rsidRDefault="00D961DE" w:rsidP="00D961DE">
            <w:pPr>
              <w:spacing w:after="0" w:line="240" w:lineRule="auto"/>
              <w:jc w:val="right"/>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60BFA92F" w14:textId="13BA1B54" w:rsidR="00D961DE" w:rsidRPr="00D961DE" w:rsidRDefault="00D961DE" w:rsidP="00D961DE">
            <w:pPr>
              <w:spacing w:after="0" w:line="240" w:lineRule="auto"/>
              <w:jc w:val="right"/>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33CA6796" w14:textId="367A7A7F" w:rsidR="00D961DE" w:rsidRPr="00D961DE" w:rsidRDefault="00D961DE" w:rsidP="00D961DE">
            <w:pPr>
              <w:spacing w:after="0" w:line="240" w:lineRule="auto"/>
              <w:jc w:val="right"/>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76F4B477" w14:textId="5738BB68" w:rsidR="00D961DE" w:rsidRPr="00D961DE" w:rsidRDefault="00D961DE" w:rsidP="00D961DE">
            <w:pPr>
              <w:spacing w:after="0" w:line="240" w:lineRule="auto"/>
              <w:jc w:val="right"/>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24BC244E" w14:textId="4CF7BDCA" w:rsidR="00D961DE" w:rsidRPr="00D961DE" w:rsidRDefault="00D961DE" w:rsidP="00D961DE">
            <w:pPr>
              <w:spacing w:after="0" w:line="240" w:lineRule="auto"/>
              <w:rPr>
                <w:rFonts w:ascii="Calibri" w:eastAsia="Times New Roman" w:hAnsi="Calibri" w:cs="Calibri"/>
                <w:b/>
                <w:bCs/>
                <w:color w:val="000000"/>
                <w:lang w:eastAsia="en-GB"/>
              </w:rPr>
            </w:pPr>
          </w:p>
        </w:tc>
        <w:tc>
          <w:tcPr>
            <w:tcW w:w="1180" w:type="dxa"/>
            <w:gridSpan w:val="2"/>
            <w:tcBorders>
              <w:top w:val="nil"/>
              <w:left w:val="nil"/>
              <w:bottom w:val="nil"/>
              <w:right w:val="nil"/>
            </w:tcBorders>
            <w:shd w:val="clear" w:color="auto" w:fill="auto"/>
            <w:noWrap/>
            <w:vAlign w:val="bottom"/>
          </w:tcPr>
          <w:p w14:paraId="60C98D8A" w14:textId="29FF94AF" w:rsidR="00D961DE" w:rsidRPr="00D961DE" w:rsidRDefault="00D961DE" w:rsidP="00D961DE">
            <w:pPr>
              <w:spacing w:after="0" w:line="240" w:lineRule="auto"/>
              <w:rPr>
                <w:rFonts w:ascii="Calibri" w:eastAsia="Times New Roman" w:hAnsi="Calibri" w:cs="Calibri"/>
                <w:b/>
                <w:bCs/>
                <w:color w:val="000000"/>
                <w:lang w:eastAsia="en-GB"/>
              </w:rPr>
            </w:pPr>
          </w:p>
        </w:tc>
        <w:tc>
          <w:tcPr>
            <w:tcW w:w="1660" w:type="dxa"/>
            <w:tcBorders>
              <w:top w:val="nil"/>
              <w:left w:val="nil"/>
              <w:bottom w:val="nil"/>
              <w:right w:val="nil"/>
            </w:tcBorders>
            <w:shd w:val="clear" w:color="auto" w:fill="auto"/>
            <w:noWrap/>
            <w:vAlign w:val="bottom"/>
          </w:tcPr>
          <w:p w14:paraId="2F47D2BB" w14:textId="1844FF37" w:rsidR="00D961DE" w:rsidRPr="00D961DE" w:rsidRDefault="00D961DE" w:rsidP="00D961DE">
            <w:pPr>
              <w:spacing w:after="0" w:line="240" w:lineRule="auto"/>
              <w:rPr>
                <w:rFonts w:ascii="Calibri" w:eastAsia="Times New Roman" w:hAnsi="Calibri" w:cs="Calibri"/>
                <w:b/>
                <w:bCs/>
                <w:color w:val="000000"/>
                <w:lang w:eastAsia="en-GB"/>
              </w:rPr>
            </w:pPr>
          </w:p>
        </w:tc>
      </w:tr>
      <w:tr w:rsidR="00D961DE" w:rsidRPr="00D961DE" w14:paraId="3917F621" w14:textId="77777777" w:rsidTr="00B45DAE">
        <w:trPr>
          <w:trHeight w:val="300"/>
        </w:trPr>
        <w:tc>
          <w:tcPr>
            <w:tcW w:w="2800" w:type="dxa"/>
            <w:gridSpan w:val="3"/>
            <w:tcBorders>
              <w:top w:val="nil"/>
              <w:left w:val="nil"/>
              <w:bottom w:val="nil"/>
              <w:right w:val="nil"/>
            </w:tcBorders>
            <w:shd w:val="clear" w:color="auto" w:fill="auto"/>
            <w:noWrap/>
            <w:vAlign w:val="bottom"/>
          </w:tcPr>
          <w:p w14:paraId="5C99ED77" w14:textId="60D1F4A1" w:rsidR="00D961DE" w:rsidRPr="00D961DE" w:rsidRDefault="00D961DE" w:rsidP="00D961DE">
            <w:pPr>
              <w:spacing w:after="0" w:line="240" w:lineRule="auto"/>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1837C8AC" w14:textId="60AA1D11" w:rsidR="00D961DE" w:rsidRPr="00D961DE" w:rsidRDefault="00D961DE" w:rsidP="00D961DE">
            <w:pPr>
              <w:spacing w:after="0" w:line="240" w:lineRule="auto"/>
              <w:jc w:val="right"/>
              <w:rPr>
                <w:rFonts w:ascii="Calibri" w:eastAsia="Times New Roman" w:hAnsi="Calibri" w:cs="Calibri"/>
                <w:color w:val="000000"/>
                <w:lang w:eastAsia="en-GB"/>
              </w:rPr>
            </w:pPr>
          </w:p>
        </w:tc>
        <w:tc>
          <w:tcPr>
            <w:tcW w:w="960" w:type="dxa"/>
            <w:gridSpan w:val="2"/>
            <w:tcBorders>
              <w:top w:val="nil"/>
              <w:left w:val="nil"/>
              <w:bottom w:val="nil"/>
              <w:right w:val="nil"/>
            </w:tcBorders>
            <w:shd w:val="clear" w:color="auto" w:fill="auto"/>
            <w:noWrap/>
            <w:vAlign w:val="bottom"/>
          </w:tcPr>
          <w:p w14:paraId="2F1A2B2D" w14:textId="5314D131" w:rsidR="00D961DE" w:rsidRPr="00D961DE" w:rsidRDefault="00D961DE" w:rsidP="00D961DE">
            <w:pPr>
              <w:spacing w:after="0" w:line="240" w:lineRule="auto"/>
              <w:jc w:val="right"/>
              <w:rPr>
                <w:rFonts w:ascii="Calibri" w:eastAsia="Times New Roman" w:hAnsi="Calibri" w:cs="Calibri"/>
                <w:color w:val="000000"/>
                <w:lang w:eastAsia="en-GB"/>
              </w:rPr>
            </w:pPr>
          </w:p>
        </w:tc>
        <w:tc>
          <w:tcPr>
            <w:tcW w:w="960" w:type="dxa"/>
            <w:gridSpan w:val="2"/>
            <w:tcBorders>
              <w:top w:val="nil"/>
              <w:left w:val="nil"/>
              <w:bottom w:val="nil"/>
              <w:right w:val="nil"/>
            </w:tcBorders>
            <w:shd w:val="clear" w:color="auto" w:fill="auto"/>
            <w:noWrap/>
            <w:vAlign w:val="bottom"/>
          </w:tcPr>
          <w:p w14:paraId="19F73C22" w14:textId="2AAD3D49" w:rsidR="00D961DE" w:rsidRPr="00D961DE" w:rsidRDefault="00D961DE" w:rsidP="00D961DE">
            <w:pPr>
              <w:spacing w:after="0" w:line="240" w:lineRule="auto"/>
              <w:jc w:val="right"/>
              <w:rPr>
                <w:rFonts w:ascii="Calibri" w:eastAsia="Times New Roman" w:hAnsi="Calibri" w:cs="Calibri"/>
                <w:color w:val="000000"/>
                <w:lang w:eastAsia="en-GB"/>
              </w:rPr>
            </w:pPr>
          </w:p>
        </w:tc>
        <w:tc>
          <w:tcPr>
            <w:tcW w:w="960" w:type="dxa"/>
            <w:gridSpan w:val="2"/>
            <w:tcBorders>
              <w:top w:val="nil"/>
              <w:left w:val="nil"/>
              <w:bottom w:val="nil"/>
              <w:right w:val="nil"/>
            </w:tcBorders>
            <w:shd w:val="clear" w:color="auto" w:fill="auto"/>
            <w:noWrap/>
            <w:vAlign w:val="bottom"/>
          </w:tcPr>
          <w:p w14:paraId="3CCAB593" w14:textId="7A87113D" w:rsidR="00D961DE" w:rsidRPr="00D961DE" w:rsidRDefault="00D961DE" w:rsidP="00D961DE">
            <w:pPr>
              <w:spacing w:after="0" w:line="240" w:lineRule="auto"/>
              <w:jc w:val="right"/>
              <w:rPr>
                <w:rFonts w:ascii="Calibri" w:eastAsia="Times New Roman" w:hAnsi="Calibri" w:cs="Calibri"/>
                <w:color w:val="000000"/>
                <w:lang w:eastAsia="en-GB"/>
              </w:rPr>
            </w:pPr>
          </w:p>
        </w:tc>
        <w:tc>
          <w:tcPr>
            <w:tcW w:w="960" w:type="dxa"/>
            <w:gridSpan w:val="2"/>
            <w:tcBorders>
              <w:top w:val="nil"/>
              <w:left w:val="nil"/>
              <w:bottom w:val="nil"/>
              <w:right w:val="nil"/>
            </w:tcBorders>
            <w:shd w:val="clear" w:color="auto" w:fill="auto"/>
            <w:noWrap/>
            <w:vAlign w:val="bottom"/>
          </w:tcPr>
          <w:p w14:paraId="47A49E58" w14:textId="7E1B5B36" w:rsidR="00D961DE" w:rsidRPr="00D961DE" w:rsidRDefault="00D961DE" w:rsidP="00D961DE">
            <w:pPr>
              <w:spacing w:after="0" w:line="240" w:lineRule="auto"/>
              <w:jc w:val="right"/>
              <w:rPr>
                <w:rFonts w:ascii="Calibri" w:eastAsia="Times New Roman" w:hAnsi="Calibri" w:cs="Calibri"/>
                <w:color w:val="000000"/>
                <w:lang w:eastAsia="en-GB"/>
              </w:rPr>
            </w:pPr>
          </w:p>
        </w:tc>
        <w:tc>
          <w:tcPr>
            <w:tcW w:w="960" w:type="dxa"/>
            <w:gridSpan w:val="2"/>
            <w:tcBorders>
              <w:top w:val="nil"/>
              <w:left w:val="nil"/>
              <w:bottom w:val="nil"/>
              <w:right w:val="nil"/>
            </w:tcBorders>
            <w:shd w:val="clear" w:color="auto" w:fill="auto"/>
            <w:noWrap/>
            <w:vAlign w:val="bottom"/>
          </w:tcPr>
          <w:p w14:paraId="115B7CEC" w14:textId="6E7448D7" w:rsidR="00D961DE" w:rsidRPr="00D961DE" w:rsidRDefault="00D961DE" w:rsidP="00D961DE">
            <w:pPr>
              <w:spacing w:after="0" w:line="240" w:lineRule="auto"/>
              <w:jc w:val="right"/>
              <w:rPr>
                <w:rFonts w:ascii="Calibri" w:eastAsia="Times New Roman" w:hAnsi="Calibri" w:cs="Calibri"/>
                <w:color w:val="000000"/>
                <w:lang w:eastAsia="en-GB"/>
              </w:rPr>
            </w:pPr>
          </w:p>
        </w:tc>
        <w:tc>
          <w:tcPr>
            <w:tcW w:w="1180" w:type="dxa"/>
            <w:gridSpan w:val="2"/>
            <w:tcBorders>
              <w:top w:val="nil"/>
              <w:left w:val="nil"/>
              <w:bottom w:val="nil"/>
              <w:right w:val="nil"/>
            </w:tcBorders>
            <w:shd w:val="clear" w:color="auto" w:fill="auto"/>
            <w:noWrap/>
            <w:vAlign w:val="bottom"/>
          </w:tcPr>
          <w:p w14:paraId="7DD4333C" w14:textId="2169AF3C" w:rsidR="00D961DE" w:rsidRPr="00D961DE" w:rsidRDefault="00D961DE" w:rsidP="00D961DE">
            <w:pPr>
              <w:spacing w:after="0" w:line="240" w:lineRule="auto"/>
              <w:jc w:val="right"/>
              <w:rPr>
                <w:rFonts w:ascii="Calibri" w:eastAsia="Times New Roman" w:hAnsi="Calibri" w:cs="Calibri"/>
                <w:color w:val="000000"/>
                <w:lang w:eastAsia="en-GB"/>
              </w:rPr>
            </w:pPr>
          </w:p>
        </w:tc>
        <w:tc>
          <w:tcPr>
            <w:tcW w:w="1660" w:type="dxa"/>
            <w:tcBorders>
              <w:top w:val="nil"/>
              <w:left w:val="nil"/>
              <w:bottom w:val="nil"/>
              <w:right w:val="nil"/>
            </w:tcBorders>
            <w:shd w:val="clear" w:color="auto" w:fill="auto"/>
            <w:noWrap/>
            <w:vAlign w:val="bottom"/>
          </w:tcPr>
          <w:p w14:paraId="50BE8C44" w14:textId="0DCD8B67" w:rsidR="00D961DE" w:rsidRPr="00D961DE" w:rsidRDefault="00D961DE" w:rsidP="00D961DE">
            <w:pPr>
              <w:spacing w:after="0" w:line="240" w:lineRule="auto"/>
              <w:jc w:val="right"/>
              <w:rPr>
                <w:rFonts w:ascii="Calibri" w:eastAsia="Times New Roman" w:hAnsi="Calibri" w:cs="Calibri"/>
                <w:color w:val="000000"/>
                <w:lang w:eastAsia="en-GB"/>
              </w:rPr>
            </w:pPr>
          </w:p>
        </w:tc>
      </w:tr>
      <w:tr w:rsidR="00687374" w:rsidRPr="00687374" w14:paraId="1D45ACC5" w14:textId="77777777" w:rsidTr="00B45DAE">
        <w:trPr>
          <w:trHeight w:val="300"/>
        </w:trPr>
        <w:tc>
          <w:tcPr>
            <w:tcW w:w="2800" w:type="dxa"/>
            <w:gridSpan w:val="3"/>
            <w:tcBorders>
              <w:top w:val="nil"/>
              <w:left w:val="nil"/>
              <w:bottom w:val="nil"/>
              <w:right w:val="nil"/>
            </w:tcBorders>
            <w:shd w:val="clear" w:color="auto" w:fill="auto"/>
            <w:noWrap/>
            <w:vAlign w:val="bottom"/>
          </w:tcPr>
          <w:p w14:paraId="36D74F80" w14:textId="747FAA58" w:rsidR="00687374" w:rsidRPr="00687374" w:rsidRDefault="00687374" w:rsidP="00687374">
            <w:pPr>
              <w:spacing w:after="0" w:line="240" w:lineRule="auto"/>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7D11A59B" w14:textId="7DF9D57A" w:rsidR="00687374" w:rsidRPr="00687374" w:rsidRDefault="00687374" w:rsidP="00687374">
            <w:pPr>
              <w:spacing w:after="0" w:line="240" w:lineRule="auto"/>
              <w:jc w:val="right"/>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290B2FC9" w14:textId="14D657FA" w:rsidR="00687374" w:rsidRPr="00687374" w:rsidRDefault="00687374" w:rsidP="00687374">
            <w:pPr>
              <w:spacing w:after="0" w:line="240" w:lineRule="auto"/>
              <w:jc w:val="right"/>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2D34EAE4" w14:textId="05D9EFEF" w:rsidR="00687374" w:rsidRPr="00687374" w:rsidRDefault="00687374" w:rsidP="00687374">
            <w:pPr>
              <w:spacing w:after="0" w:line="240" w:lineRule="auto"/>
              <w:jc w:val="right"/>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6224017F" w14:textId="56E40D2A" w:rsidR="00687374" w:rsidRPr="00687374" w:rsidRDefault="00687374" w:rsidP="00687374">
            <w:pPr>
              <w:spacing w:after="0" w:line="240" w:lineRule="auto"/>
              <w:jc w:val="right"/>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1A5A48B8" w14:textId="3B0F595D" w:rsidR="00687374" w:rsidRPr="00687374" w:rsidRDefault="00687374" w:rsidP="00687374">
            <w:pPr>
              <w:spacing w:after="0" w:line="240" w:lineRule="auto"/>
              <w:jc w:val="right"/>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14A47DAF" w14:textId="48F0057D" w:rsidR="00687374" w:rsidRPr="00687374" w:rsidRDefault="00687374" w:rsidP="00687374">
            <w:pPr>
              <w:spacing w:after="0" w:line="240" w:lineRule="auto"/>
              <w:rPr>
                <w:rFonts w:ascii="Calibri" w:eastAsia="Times New Roman" w:hAnsi="Calibri" w:cs="Calibri"/>
                <w:b/>
                <w:bCs/>
                <w:color w:val="000000"/>
                <w:lang w:eastAsia="en-GB"/>
              </w:rPr>
            </w:pPr>
          </w:p>
        </w:tc>
        <w:tc>
          <w:tcPr>
            <w:tcW w:w="1180" w:type="dxa"/>
            <w:gridSpan w:val="2"/>
            <w:tcBorders>
              <w:top w:val="nil"/>
              <w:left w:val="nil"/>
              <w:bottom w:val="nil"/>
              <w:right w:val="nil"/>
            </w:tcBorders>
            <w:shd w:val="clear" w:color="auto" w:fill="auto"/>
            <w:noWrap/>
            <w:vAlign w:val="bottom"/>
          </w:tcPr>
          <w:p w14:paraId="057656F4" w14:textId="6B80D81F" w:rsidR="00687374" w:rsidRPr="00687374" w:rsidRDefault="00687374" w:rsidP="00687374">
            <w:pPr>
              <w:spacing w:after="0" w:line="240" w:lineRule="auto"/>
              <w:rPr>
                <w:rFonts w:ascii="Calibri" w:eastAsia="Times New Roman" w:hAnsi="Calibri" w:cs="Calibri"/>
                <w:b/>
                <w:bCs/>
                <w:color w:val="000000"/>
                <w:lang w:eastAsia="en-GB"/>
              </w:rPr>
            </w:pPr>
          </w:p>
        </w:tc>
        <w:tc>
          <w:tcPr>
            <w:tcW w:w="1660" w:type="dxa"/>
            <w:tcBorders>
              <w:top w:val="nil"/>
              <w:left w:val="nil"/>
              <w:bottom w:val="nil"/>
              <w:right w:val="nil"/>
            </w:tcBorders>
            <w:shd w:val="clear" w:color="auto" w:fill="auto"/>
            <w:noWrap/>
            <w:vAlign w:val="bottom"/>
          </w:tcPr>
          <w:p w14:paraId="27F280D8" w14:textId="4F1ECBE4" w:rsidR="00687374" w:rsidRPr="00687374" w:rsidRDefault="00687374" w:rsidP="00687374">
            <w:pPr>
              <w:spacing w:after="0" w:line="240" w:lineRule="auto"/>
              <w:rPr>
                <w:rFonts w:ascii="Calibri" w:eastAsia="Times New Roman" w:hAnsi="Calibri" w:cs="Calibri"/>
                <w:b/>
                <w:bCs/>
                <w:color w:val="000000"/>
                <w:lang w:eastAsia="en-GB"/>
              </w:rPr>
            </w:pPr>
          </w:p>
        </w:tc>
      </w:tr>
      <w:tr w:rsidR="00687374" w:rsidRPr="00687374" w14:paraId="4C110502" w14:textId="77777777" w:rsidTr="00B45DAE">
        <w:trPr>
          <w:trHeight w:val="300"/>
        </w:trPr>
        <w:tc>
          <w:tcPr>
            <w:tcW w:w="2800" w:type="dxa"/>
            <w:gridSpan w:val="3"/>
            <w:tcBorders>
              <w:top w:val="nil"/>
              <w:left w:val="nil"/>
              <w:bottom w:val="nil"/>
              <w:right w:val="nil"/>
            </w:tcBorders>
            <w:shd w:val="clear" w:color="auto" w:fill="auto"/>
            <w:noWrap/>
            <w:vAlign w:val="bottom"/>
          </w:tcPr>
          <w:p w14:paraId="1501D44A" w14:textId="77777777" w:rsidR="00687374" w:rsidRPr="00687374" w:rsidRDefault="00687374" w:rsidP="00687374">
            <w:pPr>
              <w:spacing w:after="0" w:line="240" w:lineRule="auto"/>
              <w:rPr>
                <w:rFonts w:ascii="Calibri" w:eastAsia="Times New Roman" w:hAnsi="Calibri" w:cs="Calibri"/>
                <w:b/>
                <w:bCs/>
                <w:color w:val="000000"/>
                <w:lang w:eastAsia="en-GB"/>
              </w:rPr>
            </w:pPr>
          </w:p>
        </w:tc>
        <w:tc>
          <w:tcPr>
            <w:tcW w:w="960" w:type="dxa"/>
            <w:gridSpan w:val="2"/>
            <w:tcBorders>
              <w:top w:val="nil"/>
              <w:left w:val="nil"/>
              <w:bottom w:val="nil"/>
              <w:right w:val="nil"/>
            </w:tcBorders>
            <w:shd w:val="clear" w:color="auto" w:fill="auto"/>
            <w:noWrap/>
            <w:vAlign w:val="bottom"/>
          </w:tcPr>
          <w:p w14:paraId="0239E2BE" w14:textId="30256B7A" w:rsidR="00687374" w:rsidRPr="00687374" w:rsidRDefault="00687374" w:rsidP="00687374">
            <w:pPr>
              <w:spacing w:after="0" w:line="240" w:lineRule="auto"/>
              <w:jc w:val="right"/>
              <w:rPr>
                <w:rFonts w:ascii="Calibri" w:eastAsia="Times New Roman" w:hAnsi="Calibri" w:cs="Calibri"/>
                <w:color w:val="000000"/>
                <w:lang w:eastAsia="en-GB"/>
              </w:rPr>
            </w:pPr>
          </w:p>
        </w:tc>
        <w:tc>
          <w:tcPr>
            <w:tcW w:w="960" w:type="dxa"/>
            <w:gridSpan w:val="2"/>
            <w:tcBorders>
              <w:top w:val="nil"/>
              <w:left w:val="nil"/>
              <w:bottom w:val="nil"/>
              <w:right w:val="nil"/>
            </w:tcBorders>
            <w:shd w:val="clear" w:color="auto" w:fill="auto"/>
            <w:noWrap/>
            <w:vAlign w:val="bottom"/>
          </w:tcPr>
          <w:p w14:paraId="01BC4DEC" w14:textId="7EF5A0C4" w:rsidR="00687374" w:rsidRPr="00687374" w:rsidRDefault="00687374" w:rsidP="00687374">
            <w:pPr>
              <w:spacing w:after="0" w:line="240" w:lineRule="auto"/>
              <w:jc w:val="right"/>
              <w:rPr>
                <w:rFonts w:ascii="Calibri" w:eastAsia="Times New Roman" w:hAnsi="Calibri" w:cs="Calibri"/>
                <w:color w:val="000000"/>
                <w:lang w:eastAsia="en-GB"/>
              </w:rPr>
            </w:pPr>
          </w:p>
        </w:tc>
        <w:tc>
          <w:tcPr>
            <w:tcW w:w="960" w:type="dxa"/>
            <w:gridSpan w:val="2"/>
            <w:tcBorders>
              <w:top w:val="nil"/>
              <w:left w:val="nil"/>
              <w:bottom w:val="nil"/>
              <w:right w:val="nil"/>
            </w:tcBorders>
            <w:shd w:val="clear" w:color="auto" w:fill="auto"/>
            <w:noWrap/>
            <w:vAlign w:val="bottom"/>
          </w:tcPr>
          <w:p w14:paraId="3006015F" w14:textId="01F71537" w:rsidR="00687374" w:rsidRPr="00687374" w:rsidRDefault="00687374" w:rsidP="00687374">
            <w:pPr>
              <w:spacing w:after="0" w:line="240" w:lineRule="auto"/>
              <w:jc w:val="right"/>
              <w:rPr>
                <w:rFonts w:ascii="Calibri" w:eastAsia="Times New Roman" w:hAnsi="Calibri" w:cs="Calibri"/>
                <w:color w:val="000000"/>
                <w:lang w:eastAsia="en-GB"/>
              </w:rPr>
            </w:pPr>
          </w:p>
        </w:tc>
        <w:tc>
          <w:tcPr>
            <w:tcW w:w="960" w:type="dxa"/>
            <w:gridSpan w:val="2"/>
            <w:tcBorders>
              <w:top w:val="nil"/>
              <w:left w:val="nil"/>
              <w:bottom w:val="nil"/>
              <w:right w:val="nil"/>
            </w:tcBorders>
            <w:shd w:val="clear" w:color="auto" w:fill="auto"/>
            <w:noWrap/>
            <w:vAlign w:val="bottom"/>
          </w:tcPr>
          <w:p w14:paraId="716F718C" w14:textId="64112CF8" w:rsidR="00687374" w:rsidRPr="00687374" w:rsidRDefault="00687374" w:rsidP="00687374">
            <w:pPr>
              <w:spacing w:after="0" w:line="240" w:lineRule="auto"/>
              <w:jc w:val="right"/>
              <w:rPr>
                <w:rFonts w:ascii="Calibri" w:eastAsia="Times New Roman" w:hAnsi="Calibri" w:cs="Calibri"/>
                <w:color w:val="000000"/>
                <w:lang w:eastAsia="en-GB"/>
              </w:rPr>
            </w:pPr>
          </w:p>
        </w:tc>
        <w:tc>
          <w:tcPr>
            <w:tcW w:w="960" w:type="dxa"/>
            <w:gridSpan w:val="2"/>
            <w:tcBorders>
              <w:top w:val="nil"/>
              <w:left w:val="nil"/>
              <w:bottom w:val="nil"/>
              <w:right w:val="nil"/>
            </w:tcBorders>
            <w:shd w:val="clear" w:color="auto" w:fill="auto"/>
            <w:noWrap/>
            <w:vAlign w:val="bottom"/>
          </w:tcPr>
          <w:p w14:paraId="5B63EA77" w14:textId="5B4AEA73" w:rsidR="00687374" w:rsidRPr="00687374" w:rsidRDefault="00687374" w:rsidP="00687374">
            <w:pPr>
              <w:spacing w:after="0" w:line="240" w:lineRule="auto"/>
              <w:jc w:val="right"/>
              <w:rPr>
                <w:rFonts w:ascii="Calibri" w:eastAsia="Times New Roman" w:hAnsi="Calibri" w:cs="Calibri"/>
                <w:color w:val="000000"/>
                <w:lang w:eastAsia="en-GB"/>
              </w:rPr>
            </w:pPr>
          </w:p>
        </w:tc>
        <w:tc>
          <w:tcPr>
            <w:tcW w:w="960" w:type="dxa"/>
            <w:gridSpan w:val="2"/>
            <w:tcBorders>
              <w:top w:val="nil"/>
              <w:left w:val="nil"/>
              <w:bottom w:val="nil"/>
              <w:right w:val="nil"/>
            </w:tcBorders>
            <w:shd w:val="clear" w:color="auto" w:fill="auto"/>
            <w:noWrap/>
            <w:vAlign w:val="bottom"/>
          </w:tcPr>
          <w:p w14:paraId="2326B292" w14:textId="5B656119" w:rsidR="00687374" w:rsidRPr="00687374" w:rsidRDefault="00687374" w:rsidP="00687374">
            <w:pPr>
              <w:spacing w:after="0" w:line="240" w:lineRule="auto"/>
              <w:jc w:val="right"/>
              <w:rPr>
                <w:rFonts w:ascii="Calibri" w:eastAsia="Times New Roman" w:hAnsi="Calibri" w:cs="Calibri"/>
                <w:color w:val="000000"/>
                <w:lang w:eastAsia="en-GB"/>
              </w:rPr>
            </w:pPr>
          </w:p>
        </w:tc>
        <w:tc>
          <w:tcPr>
            <w:tcW w:w="1180" w:type="dxa"/>
            <w:gridSpan w:val="2"/>
            <w:tcBorders>
              <w:top w:val="nil"/>
              <w:left w:val="nil"/>
              <w:bottom w:val="nil"/>
              <w:right w:val="nil"/>
            </w:tcBorders>
            <w:shd w:val="clear" w:color="auto" w:fill="auto"/>
            <w:noWrap/>
            <w:vAlign w:val="bottom"/>
          </w:tcPr>
          <w:p w14:paraId="1E9D4EA0" w14:textId="643EE1B2" w:rsidR="00687374" w:rsidRPr="00687374" w:rsidRDefault="00687374" w:rsidP="00687374">
            <w:pPr>
              <w:spacing w:after="0" w:line="240" w:lineRule="auto"/>
              <w:jc w:val="right"/>
              <w:rPr>
                <w:rFonts w:ascii="Calibri" w:eastAsia="Times New Roman" w:hAnsi="Calibri" w:cs="Calibri"/>
                <w:color w:val="000000"/>
                <w:lang w:eastAsia="en-GB"/>
              </w:rPr>
            </w:pPr>
          </w:p>
        </w:tc>
        <w:tc>
          <w:tcPr>
            <w:tcW w:w="1660" w:type="dxa"/>
            <w:tcBorders>
              <w:top w:val="nil"/>
              <w:left w:val="nil"/>
              <w:bottom w:val="nil"/>
              <w:right w:val="nil"/>
            </w:tcBorders>
            <w:shd w:val="clear" w:color="auto" w:fill="auto"/>
            <w:noWrap/>
            <w:vAlign w:val="bottom"/>
          </w:tcPr>
          <w:p w14:paraId="13DE23D3" w14:textId="60B6EA14" w:rsidR="00687374" w:rsidRPr="00687374" w:rsidRDefault="00687374" w:rsidP="00687374">
            <w:pPr>
              <w:spacing w:after="0" w:line="240" w:lineRule="auto"/>
              <w:jc w:val="right"/>
              <w:rPr>
                <w:rFonts w:ascii="Calibri" w:eastAsia="Times New Roman" w:hAnsi="Calibri" w:cs="Calibri"/>
                <w:color w:val="000000"/>
                <w:lang w:eastAsia="en-GB"/>
              </w:rPr>
            </w:pPr>
          </w:p>
        </w:tc>
      </w:tr>
    </w:tbl>
    <w:p w14:paraId="68504B40" w14:textId="4F32E655" w:rsidR="0091027A" w:rsidRDefault="00F9029E" w:rsidP="003D20BB">
      <w:pPr>
        <w:ind w:left="720"/>
        <w:jc w:val="both"/>
        <w:rPr>
          <w:rFonts w:ascii="Arial" w:hAnsi="Arial" w:cs="Arial"/>
          <w:b/>
          <w:bCs/>
          <w:u w:val="single"/>
        </w:rPr>
      </w:pPr>
      <w:r>
        <w:rPr>
          <w:noProof/>
          <w:lang w:eastAsia="en-GB"/>
        </w:rPr>
        <w:drawing>
          <wp:inline distT="0" distB="0" distL="0" distR="0" wp14:anchorId="6EBB1847" wp14:editId="1A9F4DFC">
            <wp:extent cx="4572000" cy="2743200"/>
            <wp:effectExtent l="0" t="0" r="0" b="0"/>
            <wp:docPr id="3" name="Chart 3">
              <a:extLst xmlns:a="http://schemas.openxmlformats.org/drawingml/2006/main">
                <a:ext uri="{FF2B5EF4-FFF2-40B4-BE49-F238E27FC236}">
                  <a16:creationId xmlns:a16="http://schemas.microsoft.com/office/drawing/2014/main" id="{5C6EFA40-BE09-47F8-B379-12E1E7211E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BA9046" w14:textId="77777777" w:rsidR="0091027A" w:rsidRDefault="0091027A" w:rsidP="000D5BE1">
      <w:pPr>
        <w:jc w:val="both"/>
        <w:rPr>
          <w:rFonts w:ascii="Arial" w:hAnsi="Arial" w:cs="Arial"/>
          <w:b/>
          <w:bCs/>
          <w:u w:val="single"/>
        </w:rPr>
      </w:pPr>
    </w:p>
    <w:p w14:paraId="6A3A2D53" w14:textId="3738308F" w:rsidR="00A438BB" w:rsidRDefault="00304E15" w:rsidP="000D5BE1">
      <w:pPr>
        <w:jc w:val="both"/>
        <w:rPr>
          <w:rFonts w:ascii="Arial" w:hAnsi="Arial" w:cs="Arial"/>
          <w:b/>
          <w:bCs/>
          <w:i/>
          <w:iCs/>
        </w:rPr>
      </w:pPr>
      <w:r>
        <w:rPr>
          <w:rFonts w:ascii="Arial" w:hAnsi="Arial" w:cs="Arial"/>
          <w:b/>
          <w:bCs/>
          <w:i/>
          <w:iCs/>
        </w:rPr>
        <w:t>With</w:t>
      </w:r>
      <w:r w:rsidR="003635AF">
        <w:rPr>
          <w:rFonts w:ascii="Arial" w:hAnsi="Arial" w:cs="Arial"/>
          <w:b/>
          <w:bCs/>
          <w:i/>
          <w:iCs/>
        </w:rPr>
        <w:t xml:space="preserve"> a</w:t>
      </w:r>
      <w:r>
        <w:rPr>
          <w:rFonts w:ascii="Arial" w:hAnsi="Arial" w:cs="Arial"/>
          <w:b/>
          <w:bCs/>
          <w:i/>
          <w:iCs/>
        </w:rPr>
        <w:t xml:space="preserve"> h</w:t>
      </w:r>
      <w:r w:rsidR="00654396" w:rsidRPr="00853409">
        <w:rPr>
          <w:rFonts w:ascii="Arial" w:hAnsi="Arial" w:cs="Arial"/>
          <w:b/>
          <w:bCs/>
          <w:i/>
          <w:iCs/>
        </w:rPr>
        <w:t>ig</w:t>
      </w:r>
      <w:r w:rsidR="00853409" w:rsidRPr="00853409">
        <w:rPr>
          <w:rFonts w:ascii="Arial" w:hAnsi="Arial" w:cs="Arial"/>
          <w:b/>
          <w:bCs/>
          <w:i/>
          <w:iCs/>
        </w:rPr>
        <w:t xml:space="preserve">her </w:t>
      </w:r>
      <w:r w:rsidR="00853409">
        <w:rPr>
          <w:rFonts w:ascii="Arial" w:hAnsi="Arial" w:cs="Arial"/>
          <w:b/>
          <w:bCs/>
          <w:i/>
          <w:iCs/>
        </w:rPr>
        <w:t xml:space="preserve">gearing </w:t>
      </w:r>
      <w:proofErr w:type="gramStart"/>
      <w:r w:rsidR="00853409">
        <w:rPr>
          <w:rFonts w:ascii="Arial" w:hAnsi="Arial" w:cs="Arial"/>
          <w:b/>
          <w:bCs/>
          <w:i/>
          <w:iCs/>
        </w:rPr>
        <w:t>efficiency</w:t>
      </w:r>
      <w:proofErr w:type="gramEnd"/>
      <w:r w:rsidR="00853409">
        <w:rPr>
          <w:rFonts w:ascii="Arial" w:hAnsi="Arial" w:cs="Arial"/>
          <w:b/>
          <w:bCs/>
          <w:i/>
          <w:iCs/>
        </w:rPr>
        <w:t xml:space="preserve"> ratios </w:t>
      </w:r>
      <w:r w:rsidR="003B58D2">
        <w:rPr>
          <w:rFonts w:ascii="Arial" w:hAnsi="Arial" w:cs="Arial"/>
          <w:b/>
          <w:bCs/>
          <w:i/>
          <w:iCs/>
        </w:rPr>
        <w:t>normall</w:t>
      </w:r>
      <w:r w:rsidR="00BD21EE">
        <w:rPr>
          <w:rFonts w:ascii="Arial" w:hAnsi="Arial" w:cs="Arial"/>
          <w:b/>
          <w:bCs/>
          <w:i/>
          <w:iCs/>
        </w:rPr>
        <w:t>y</w:t>
      </w:r>
      <w:r w:rsidR="003B58D2">
        <w:rPr>
          <w:rFonts w:ascii="Arial" w:hAnsi="Arial" w:cs="Arial"/>
          <w:b/>
          <w:bCs/>
          <w:i/>
          <w:iCs/>
        </w:rPr>
        <w:t xml:space="preserve"> mean</w:t>
      </w:r>
      <w:r w:rsidR="00BD21EE">
        <w:rPr>
          <w:rFonts w:ascii="Arial" w:hAnsi="Arial" w:cs="Arial"/>
          <w:b/>
          <w:bCs/>
          <w:i/>
          <w:iCs/>
        </w:rPr>
        <w:t xml:space="preserve"> that there is a possibility of </w:t>
      </w:r>
      <w:r>
        <w:rPr>
          <w:rFonts w:ascii="Arial" w:hAnsi="Arial" w:cs="Arial"/>
          <w:b/>
          <w:bCs/>
          <w:i/>
          <w:iCs/>
        </w:rPr>
        <w:t>a higher risk to investors</w:t>
      </w:r>
      <w:r w:rsidR="003635AF">
        <w:rPr>
          <w:rFonts w:ascii="Arial" w:hAnsi="Arial" w:cs="Arial"/>
          <w:b/>
          <w:bCs/>
          <w:i/>
          <w:iCs/>
        </w:rPr>
        <w:t>.</w:t>
      </w:r>
      <w:r w:rsidR="0087572A">
        <w:rPr>
          <w:rFonts w:ascii="Arial" w:hAnsi="Arial" w:cs="Arial"/>
          <w:b/>
          <w:bCs/>
          <w:i/>
          <w:iCs/>
        </w:rPr>
        <w:t xml:space="preserve"> Furthermore, </w:t>
      </w:r>
      <w:proofErr w:type="gramStart"/>
      <w:r w:rsidR="00FB5C73">
        <w:rPr>
          <w:rFonts w:ascii="Arial" w:hAnsi="Arial" w:cs="Arial"/>
          <w:b/>
          <w:bCs/>
          <w:i/>
          <w:iCs/>
        </w:rPr>
        <w:t>A</w:t>
      </w:r>
      <w:proofErr w:type="gramEnd"/>
      <w:r w:rsidR="00FB5C73">
        <w:rPr>
          <w:rFonts w:ascii="Arial" w:hAnsi="Arial" w:cs="Arial"/>
          <w:b/>
          <w:bCs/>
          <w:i/>
          <w:iCs/>
        </w:rPr>
        <w:t xml:space="preserve"> gearing ratio </w:t>
      </w:r>
      <w:r w:rsidR="00914B9E">
        <w:rPr>
          <w:rFonts w:ascii="Arial" w:hAnsi="Arial" w:cs="Arial"/>
          <w:b/>
          <w:bCs/>
          <w:i/>
          <w:iCs/>
        </w:rPr>
        <w:t xml:space="preserve">equates </w:t>
      </w:r>
      <w:r w:rsidR="00DC5968">
        <w:rPr>
          <w:rFonts w:ascii="Arial" w:hAnsi="Arial" w:cs="Arial"/>
          <w:b/>
          <w:bCs/>
          <w:i/>
          <w:iCs/>
        </w:rPr>
        <w:t xml:space="preserve">the finances an organisation </w:t>
      </w:r>
      <w:r w:rsidR="006F5706">
        <w:rPr>
          <w:rFonts w:ascii="Arial" w:hAnsi="Arial" w:cs="Arial"/>
          <w:b/>
          <w:bCs/>
          <w:i/>
          <w:iCs/>
        </w:rPr>
        <w:t xml:space="preserve">loans </w:t>
      </w:r>
      <w:r w:rsidR="00762EB9">
        <w:rPr>
          <w:rFonts w:ascii="Arial" w:hAnsi="Arial" w:cs="Arial"/>
          <w:b/>
          <w:bCs/>
          <w:i/>
          <w:iCs/>
        </w:rPr>
        <w:t>in relation</w:t>
      </w:r>
      <w:r w:rsidR="00C322C8">
        <w:rPr>
          <w:rFonts w:ascii="Arial" w:hAnsi="Arial" w:cs="Arial"/>
          <w:b/>
          <w:bCs/>
          <w:i/>
          <w:iCs/>
        </w:rPr>
        <w:t xml:space="preserve"> to its equity or capital.</w:t>
      </w:r>
    </w:p>
    <w:p w14:paraId="6A918E6E" w14:textId="4F03CC21" w:rsidR="0091027A" w:rsidRPr="00853409" w:rsidRDefault="0091027A" w:rsidP="000D5BE1">
      <w:pPr>
        <w:jc w:val="both"/>
        <w:rPr>
          <w:rFonts w:ascii="Arial" w:hAnsi="Arial" w:cs="Arial"/>
          <w:b/>
          <w:bCs/>
          <w:i/>
          <w:iCs/>
        </w:rPr>
      </w:pPr>
    </w:p>
    <w:p w14:paraId="0FEE612E" w14:textId="52E9B354" w:rsidR="000D5BE1" w:rsidRDefault="000D5BE1" w:rsidP="006730D7">
      <w:pPr>
        <w:pStyle w:val="Heading1"/>
      </w:pPr>
      <w:bookmarkStart w:id="29" w:name="_Toc72176097"/>
      <w:r>
        <w:lastRenderedPageBreak/>
        <w:t>Part C:</w:t>
      </w:r>
      <w:bookmarkEnd w:id="29"/>
      <w:r w:rsidRPr="005D486C">
        <w:t xml:space="preserve">       </w:t>
      </w:r>
    </w:p>
    <w:p w14:paraId="495D3B8D" w14:textId="70AC9911" w:rsidR="00D52C67" w:rsidRDefault="002C6950" w:rsidP="006730D7">
      <w:pPr>
        <w:pStyle w:val="Heading1"/>
      </w:pPr>
      <w:bookmarkStart w:id="30" w:name="_Toc72176098"/>
      <w:r w:rsidRPr="00A451BC">
        <w:t>Investment Apprai</w:t>
      </w:r>
      <w:r w:rsidR="00E061F8" w:rsidRPr="00A451BC">
        <w:t>s</w:t>
      </w:r>
      <w:r w:rsidRPr="00A451BC">
        <w:t>a</w:t>
      </w:r>
      <w:r w:rsidR="00E061F8" w:rsidRPr="00A451BC">
        <w:t>l</w:t>
      </w:r>
      <w:r w:rsidR="00A451BC" w:rsidRPr="00A451BC">
        <w:t xml:space="preserve"> Techniques:</w:t>
      </w:r>
      <w:bookmarkEnd w:id="30"/>
    </w:p>
    <w:p w14:paraId="2E384FFB" w14:textId="12436DA5" w:rsidR="00FA72CA" w:rsidRDefault="008418C2" w:rsidP="0009598F">
      <w:pPr>
        <w:jc w:val="both"/>
        <w:rPr>
          <w:rFonts w:ascii="Arial" w:hAnsi="Arial" w:cs="Arial"/>
        </w:rPr>
      </w:pPr>
      <w:r w:rsidRPr="009A01B2">
        <w:rPr>
          <w:rFonts w:ascii="Arial" w:hAnsi="Arial" w:cs="Arial"/>
        </w:rPr>
        <w:t xml:space="preserve">What are </w:t>
      </w:r>
      <w:r w:rsidR="003E62C8">
        <w:rPr>
          <w:rFonts w:ascii="Arial" w:hAnsi="Arial" w:cs="Arial"/>
        </w:rPr>
        <w:t>investmen</w:t>
      </w:r>
      <w:r w:rsidR="00422BD2">
        <w:rPr>
          <w:rFonts w:ascii="Arial" w:hAnsi="Arial" w:cs="Arial"/>
        </w:rPr>
        <w:t>t</w:t>
      </w:r>
      <w:r w:rsidR="00B51C42" w:rsidRPr="00B51C42">
        <w:rPr>
          <w:rFonts w:ascii="Arial" w:hAnsi="Arial" w:cs="Arial"/>
        </w:rPr>
        <w:t xml:space="preserve"> </w:t>
      </w:r>
      <w:r w:rsidR="00B51C42" w:rsidRPr="009A01B2">
        <w:rPr>
          <w:rFonts w:ascii="Arial" w:hAnsi="Arial" w:cs="Arial"/>
        </w:rPr>
        <w:t>appraisal</w:t>
      </w:r>
      <w:r w:rsidR="009A01B2" w:rsidRPr="009A01B2">
        <w:rPr>
          <w:rFonts w:ascii="Arial" w:hAnsi="Arial" w:cs="Arial"/>
        </w:rPr>
        <w:t xml:space="preserve"> </w:t>
      </w:r>
      <w:r w:rsidR="009E58DA">
        <w:rPr>
          <w:rFonts w:ascii="Arial" w:hAnsi="Arial" w:cs="Arial"/>
        </w:rPr>
        <w:t>techniques</w:t>
      </w:r>
      <w:r w:rsidR="00FC3ED6">
        <w:rPr>
          <w:rFonts w:ascii="Arial" w:hAnsi="Arial" w:cs="Arial"/>
        </w:rPr>
        <w:t>?</w:t>
      </w:r>
      <w:r w:rsidR="009E58DA">
        <w:rPr>
          <w:rFonts w:ascii="Arial" w:hAnsi="Arial" w:cs="Arial"/>
        </w:rPr>
        <w:t xml:space="preserve"> </w:t>
      </w:r>
      <w:r w:rsidR="00FA72CA">
        <w:rPr>
          <w:rFonts w:ascii="Arial" w:hAnsi="Arial" w:cs="Arial"/>
        </w:rPr>
        <w:t xml:space="preserve">(IAT’s) </w:t>
      </w:r>
      <w:r w:rsidR="0009598F">
        <w:rPr>
          <w:rFonts w:ascii="Arial" w:hAnsi="Arial" w:cs="Arial"/>
        </w:rPr>
        <w:t xml:space="preserve">according to </w:t>
      </w:r>
      <w:r w:rsidR="0009598F" w:rsidRPr="00107140">
        <w:rPr>
          <w:rFonts w:ascii="Arial" w:hAnsi="Arial" w:cs="Arial"/>
        </w:rPr>
        <w:t xml:space="preserve">Ndanyenbah and Zakaria, (2019; </w:t>
      </w:r>
      <w:proofErr w:type="gramStart"/>
      <w:r w:rsidR="00FC3ED6">
        <w:rPr>
          <w:rFonts w:ascii="Arial" w:hAnsi="Arial" w:cs="Arial"/>
        </w:rPr>
        <w:t>These</w:t>
      </w:r>
      <w:proofErr w:type="gramEnd"/>
      <w:r w:rsidR="00FC3ED6">
        <w:rPr>
          <w:rFonts w:ascii="Arial" w:hAnsi="Arial" w:cs="Arial"/>
        </w:rPr>
        <w:t xml:space="preserve"> are well known</w:t>
      </w:r>
      <w:r w:rsidR="00914A78">
        <w:rPr>
          <w:rFonts w:ascii="Arial" w:hAnsi="Arial" w:cs="Arial"/>
        </w:rPr>
        <w:t>,</w:t>
      </w:r>
      <w:r w:rsidR="002E2B3C">
        <w:rPr>
          <w:rFonts w:ascii="Arial" w:hAnsi="Arial" w:cs="Arial"/>
        </w:rPr>
        <w:t xml:space="preserve"> ideas which account </w:t>
      </w:r>
      <w:r w:rsidR="003E62C8">
        <w:rPr>
          <w:rFonts w:ascii="Arial" w:hAnsi="Arial" w:cs="Arial"/>
        </w:rPr>
        <w:t>for the justification of a particular course of action</w:t>
      </w:r>
      <w:r w:rsidR="00EC18F3">
        <w:rPr>
          <w:rFonts w:ascii="Arial" w:hAnsi="Arial" w:cs="Arial"/>
        </w:rPr>
        <w:t xml:space="preserve">, in the investment arena, that when </w:t>
      </w:r>
      <w:r w:rsidR="000A27C7">
        <w:rPr>
          <w:rFonts w:ascii="Arial" w:hAnsi="Arial" w:cs="Arial"/>
        </w:rPr>
        <w:t xml:space="preserve">closely followed </w:t>
      </w:r>
      <w:r w:rsidR="00BA3ED8">
        <w:rPr>
          <w:rFonts w:ascii="Arial" w:hAnsi="Arial" w:cs="Arial"/>
        </w:rPr>
        <w:t xml:space="preserve">can </w:t>
      </w:r>
      <w:r w:rsidR="007E0012">
        <w:rPr>
          <w:rFonts w:ascii="Arial" w:hAnsi="Arial" w:cs="Arial"/>
        </w:rPr>
        <w:t xml:space="preserve">assist </w:t>
      </w:r>
      <w:r w:rsidR="00DF2D40">
        <w:rPr>
          <w:rFonts w:ascii="Arial" w:hAnsi="Arial" w:cs="Arial"/>
        </w:rPr>
        <w:t xml:space="preserve">with the mitigation </w:t>
      </w:r>
      <w:r w:rsidR="00856A0C">
        <w:rPr>
          <w:rFonts w:ascii="Arial" w:hAnsi="Arial" w:cs="Arial"/>
        </w:rPr>
        <w:t xml:space="preserve">of unfavourable effects to </w:t>
      </w:r>
      <w:r w:rsidR="0005721E">
        <w:rPr>
          <w:rFonts w:ascii="Arial" w:hAnsi="Arial" w:cs="Arial"/>
        </w:rPr>
        <w:t>the creation of w</w:t>
      </w:r>
      <w:r w:rsidR="009E4F0B">
        <w:rPr>
          <w:rFonts w:ascii="Arial" w:hAnsi="Arial" w:cs="Arial"/>
        </w:rPr>
        <w:t>ealth.</w:t>
      </w:r>
      <w:r w:rsidR="0009598F">
        <w:rPr>
          <w:rFonts w:ascii="Arial" w:hAnsi="Arial" w:cs="Arial"/>
        </w:rPr>
        <w:t xml:space="preserve"> </w:t>
      </w:r>
      <w:r w:rsidR="00134127">
        <w:rPr>
          <w:rFonts w:ascii="Arial" w:hAnsi="Arial" w:cs="Arial"/>
        </w:rPr>
        <w:t xml:space="preserve">Pandy, </w:t>
      </w:r>
      <w:r w:rsidR="00FE2959">
        <w:rPr>
          <w:rFonts w:ascii="Arial" w:hAnsi="Arial" w:cs="Arial"/>
        </w:rPr>
        <w:t>(2010) also Peterson and Fabozzi, (20</w:t>
      </w:r>
      <w:r w:rsidR="00FE58B7">
        <w:rPr>
          <w:rFonts w:ascii="Arial" w:hAnsi="Arial" w:cs="Arial"/>
        </w:rPr>
        <w:t>0</w:t>
      </w:r>
      <w:r w:rsidR="00FE2959">
        <w:rPr>
          <w:rFonts w:ascii="Arial" w:hAnsi="Arial" w:cs="Arial"/>
        </w:rPr>
        <w:t>2</w:t>
      </w:r>
      <w:r w:rsidR="00FE58B7">
        <w:rPr>
          <w:rFonts w:ascii="Arial" w:hAnsi="Arial" w:cs="Arial"/>
        </w:rPr>
        <w:t>)</w:t>
      </w:r>
      <w:r w:rsidR="00170534">
        <w:rPr>
          <w:rFonts w:ascii="Arial" w:hAnsi="Arial" w:cs="Arial"/>
        </w:rPr>
        <w:t xml:space="preserve"> </w:t>
      </w:r>
      <w:r w:rsidR="00B51C42">
        <w:rPr>
          <w:rFonts w:ascii="Arial" w:hAnsi="Arial" w:cs="Arial"/>
        </w:rPr>
        <w:t xml:space="preserve">their </w:t>
      </w:r>
      <w:r w:rsidR="00515E51">
        <w:rPr>
          <w:rFonts w:ascii="Arial" w:hAnsi="Arial" w:cs="Arial"/>
        </w:rPr>
        <w:t>description</w:t>
      </w:r>
      <w:r w:rsidR="00CA5035">
        <w:rPr>
          <w:rFonts w:ascii="Arial" w:hAnsi="Arial" w:cs="Arial"/>
        </w:rPr>
        <w:t xml:space="preserve"> </w:t>
      </w:r>
      <w:r w:rsidR="00515E51">
        <w:rPr>
          <w:rFonts w:ascii="Arial" w:hAnsi="Arial" w:cs="Arial"/>
        </w:rPr>
        <w:t>i</w:t>
      </w:r>
      <w:r w:rsidR="00CA5035">
        <w:rPr>
          <w:rFonts w:ascii="Arial" w:hAnsi="Arial" w:cs="Arial"/>
        </w:rPr>
        <w:t>s</w:t>
      </w:r>
      <w:r w:rsidR="0009598F">
        <w:rPr>
          <w:rFonts w:ascii="Arial" w:hAnsi="Arial" w:cs="Arial"/>
        </w:rPr>
        <w:t xml:space="preserve"> </w:t>
      </w:r>
      <w:r w:rsidR="00595418">
        <w:rPr>
          <w:rFonts w:ascii="Arial" w:hAnsi="Arial" w:cs="Arial"/>
        </w:rPr>
        <w:t xml:space="preserve">that the </w:t>
      </w:r>
      <w:r w:rsidR="00190DA9">
        <w:rPr>
          <w:rFonts w:ascii="Arial" w:hAnsi="Arial" w:cs="Arial"/>
        </w:rPr>
        <w:t>ba</w:t>
      </w:r>
      <w:r w:rsidR="00595418">
        <w:rPr>
          <w:rFonts w:ascii="Arial" w:hAnsi="Arial" w:cs="Arial"/>
        </w:rPr>
        <w:t>s</w:t>
      </w:r>
      <w:r w:rsidR="00190DA9">
        <w:rPr>
          <w:rFonts w:ascii="Arial" w:hAnsi="Arial" w:cs="Arial"/>
        </w:rPr>
        <w:t>ic</w:t>
      </w:r>
      <w:r w:rsidR="00595418">
        <w:rPr>
          <w:rFonts w:ascii="Arial" w:hAnsi="Arial" w:cs="Arial"/>
        </w:rPr>
        <w:t xml:space="preserve"> risk management </w:t>
      </w:r>
      <w:r w:rsidR="002C726B">
        <w:rPr>
          <w:rFonts w:ascii="Arial" w:hAnsi="Arial" w:cs="Arial"/>
        </w:rPr>
        <w:t xml:space="preserve">procedures </w:t>
      </w:r>
      <w:r w:rsidR="00D93452">
        <w:rPr>
          <w:rFonts w:ascii="Arial" w:hAnsi="Arial" w:cs="Arial"/>
        </w:rPr>
        <w:t>utilised in the investment are</w:t>
      </w:r>
      <w:r w:rsidR="001B5C1A">
        <w:rPr>
          <w:rFonts w:ascii="Arial" w:hAnsi="Arial" w:cs="Arial"/>
        </w:rPr>
        <w:t>n</w:t>
      </w:r>
      <w:r w:rsidR="00D93452">
        <w:rPr>
          <w:rFonts w:ascii="Arial" w:hAnsi="Arial" w:cs="Arial"/>
        </w:rPr>
        <w:t>a</w:t>
      </w:r>
      <w:r w:rsidR="001B5C1A">
        <w:rPr>
          <w:rFonts w:ascii="Arial" w:hAnsi="Arial" w:cs="Arial"/>
        </w:rPr>
        <w:t xml:space="preserve">, </w:t>
      </w:r>
      <w:r w:rsidR="00C11F33">
        <w:rPr>
          <w:rFonts w:ascii="Arial" w:hAnsi="Arial" w:cs="Arial"/>
        </w:rPr>
        <w:t xml:space="preserve">stem from </w:t>
      </w:r>
      <w:r w:rsidR="00D53AB0">
        <w:rPr>
          <w:rFonts w:ascii="Arial" w:hAnsi="Arial" w:cs="Arial"/>
        </w:rPr>
        <w:t>standar</w:t>
      </w:r>
      <w:r w:rsidR="000036F9">
        <w:rPr>
          <w:rFonts w:ascii="Arial" w:hAnsi="Arial" w:cs="Arial"/>
        </w:rPr>
        <w:t>d</w:t>
      </w:r>
      <w:r w:rsidR="003D5BFB">
        <w:rPr>
          <w:rFonts w:ascii="Arial" w:hAnsi="Arial" w:cs="Arial"/>
        </w:rPr>
        <w:t xml:space="preserve"> models for instance the likes of </w:t>
      </w:r>
      <w:r w:rsidR="00661C31">
        <w:rPr>
          <w:rFonts w:ascii="Arial" w:hAnsi="Arial" w:cs="Arial"/>
        </w:rPr>
        <w:t>Payback</w:t>
      </w:r>
      <w:r w:rsidR="008E11C6">
        <w:rPr>
          <w:rFonts w:ascii="Arial" w:hAnsi="Arial" w:cs="Arial"/>
        </w:rPr>
        <w:t xml:space="preserve"> Period (PBP)</w:t>
      </w:r>
      <w:r w:rsidR="00661C31">
        <w:rPr>
          <w:rFonts w:ascii="Arial" w:hAnsi="Arial" w:cs="Arial"/>
        </w:rPr>
        <w:t xml:space="preserve"> also,</w:t>
      </w:r>
      <w:r w:rsidR="000036F9">
        <w:rPr>
          <w:rFonts w:ascii="Arial" w:hAnsi="Arial" w:cs="Arial"/>
        </w:rPr>
        <w:t xml:space="preserve"> Accounting Rate Of Return (ARR)</w:t>
      </w:r>
      <w:r w:rsidR="006A44C3">
        <w:rPr>
          <w:rFonts w:ascii="Arial" w:hAnsi="Arial" w:cs="Arial"/>
        </w:rPr>
        <w:t xml:space="preserve"> or discounted </w:t>
      </w:r>
      <w:r w:rsidR="00703826">
        <w:rPr>
          <w:rFonts w:ascii="Arial" w:hAnsi="Arial" w:cs="Arial"/>
        </w:rPr>
        <w:t>cash flow</w:t>
      </w:r>
      <w:r w:rsidR="00F70648">
        <w:rPr>
          <w:rFonts w:ascii="Arial" w:hAnsi="Arial" w:cs="Arial"/>
        </w:rPr>
        <w:t xml:space="preserve"> </w:t>
      </w:r>
      <w:r w:rsidR="00257137">
        <w:rPr>
          <w:rFonts w:ascii="Arial" w:hAnsi="Arial" w:cs="Arial"/>
        </w:rPr>
        <w:t xml:space="preserve">techniques </w:t>
      </w:r>
      <w:r w:rsidR="00B73692">
        <w:rPr>
          <w:rFonts w:ascii="Arial" w:hAnsi="Arial" w:cs="Arial"/>
        </w:rPr>
        <w:t>namely, Net Present Value</w:t>
      </w:r>
      <w:r w:rsidR="00515AE4">
        <w:rPr>
          <w:rFonts w:ascii="Arial" w:hAnsi="Arial" w:cs="Arial"/>
        </w:rPr>
        <w:t xml:space="preserve"> (NVP)</w:t>
      </w:r>
      <w:r w:rsidR="00F67C3D">
        <w:rPr>
          <w:rFonts w:ascii="Arial" w:hAnsi="Arial" w:cs="Arial"/>
        </w:rPr>
        <w:t>, and others.</w:t>
      </w:r>
      <w:r w:rsidR="00C11F33">
        <w:rPr>
          <w:rFonts w:ascii="Arial" w:hAnsi="Arial" w:cs="Arial"/>
        </w:rPr>
        <w:t xml:space="preserve"> </w:t>
      </w:r>
      <w:r w:rsidR="00925F4A">
        <w:rPr>
          <w:rFonts w:ascii="Arial" w:hAnsi="Arial" w:cs="Arial"/>
        </w:rPr>
        <w:t>Fur</w:t>
      </w:r>
      <w:r w:rsidR="006F0750">
        <w:rPr>
          <w:rFonts w:ascii="Arial" w:hAnsi="Arial" w:cs="Arial"/>
        </w:rPr>
        <w:t>thermore, this information</w:t>
      </w:r>
      <w:r w:rsidR="008A4613">
        <w:rPr>
          <w:rFonts w:ascii="Arial" w:hAnsi="Arial" w:cs="Arial"/>
        </w:rPr>
        <w:t xml:space="preserve"> is useful for stakeholders</w:t>
      </w:r>
      <w:r w:rsidR="00333B7F">
        <w:rPr>
          <w:rFonts w:ascii="Arial" w:hAnsi="Arial" w:cs="Arial"/>
        </w:rPr>
        <w:t xml:space="preserve">, </w:t>
      </w:r>
      <w:r w:rsidR="00564A05">
        <w:rPr>
          <w:rFonts w:ascii="Arial" w:hAnsi="Arial" w:cs="Arial"/>
        </w:rPr>
        <w:t>Governments,</w:t>
      </w:r>
      <w:r w:rsidR="00C80ACB">
        <w:rPr>
          <w:rFonts w:ascii="Arial" w:hAnsi="Arial" w:cs="Arial"/>
        </w:rPr>
        <w:t xml:space="preserve"> non-</w:t>
      </w:r>
      <w:r w:rsidR="00230F73">
        <w:rPr>
          <w:rFonts w:ascii="Arial" w:hAnsi="Arial" w:cs="Arial"/>
        </w:rPr>
        <w:t>g</w:t>
      </w:r>
      <w:r w:rsidR="00C80ACB">
        <w:rPr>
          <w:rFonts w:ascii="Arial" w:hAnsi="Arial" w:cs="Arial"/>
        </w:rPr>
        <w:t>overnments</w:t>
      </w:r>
      <w:r w:rsidR="00374DF2">
        <w:rPr>
          <w:rFonts w:ascii="Arial" w:hAnsi="Arial" w:cs="Arial"/>
        </w:rPr>
        <w:t>, Academics</w:t>
      </w:r>
      <w:r w:rsidR="008A4613">
        <w:rPr>
          <w:rFonts w:ascii="Arial" w:hAnsi="Arial" w:cs="Arial"/>
        </w:rPr>
        <w:t xml:space="preserve"> and </w:t>
      </w:r>
      <w:r w:rsidR="000C165C">
        <w:rPr>
          <w:rFonts w:ascii="Arial" w:hAnsi="Arial" w:cs="Arial"/>
        </w:rPr>
        <w:t>GSK</w:t>
      </w:r>
      <w:r w:rsidR="008A4613">
        <w:rPr>
          <w:rFonts w:ascii="Arial" w:hAnsi="Arial" w:cs="Arial"/>
        </w:rPr>
        <w:t xml:space="preserve"> </w:t>
      </w:r>
      <w:r w:rsidR="000B3EAD">
        <w:rPr>
          <w:rFonts w:ascii="Arial" w:hAnsi="Arial" w:cs="Arial"/>
        </w:rPr>
        <w:t>in the financial arena</w:t>
      </w:r>
      <w:r w:rsidR="00A7788B">
        <w:rPr>
          <w:rFonts w:ascii="Arial" w:hAnsi="Arial" w:cs="Arial"/>
        </w:rPr>
        <w:t>, on an informational level</w:t>
      </w:r>
      <w:r w:rsidR="00E171EF">
        <w:rPr>
          <w:rFonts w:ascii="Arial" w:hAnsi="Arial" w:cs="Arial"/>
        </w:rPr>
        <w:t xml:space="preserve"> </w:t>
      </w:r>
      <w:r w:rsidR="00006C8C">
        <w:rPr>
          <w:rFonts w:ascii="Arial" w:hAnsi="Arial" w:cs="Arial"/>
        </w:rPr>
        <w:t>an</w:t>
      </w:r>
      <w:r w:rsidR="005F7F72">
        <w:rPr>
          <w:rFonts w:ascii="Arial" w:hAnsi="Arial" w:cs="Arial"/>
        </w:rPr>
        <w:t>d in addition,</w:t>
      </w:r>
      <w:r w:rsidR="008944FC">
        <w:rPr>
          <w:rFonts w:ascii="Arial" w:hAnsi="Arial" w:cs="Arial"/>
        </w:rPr>
        <w:t xml:space="preserve"> </w:t>
      </w:r>
      <w:r w:rsidR="005F6039">
        <w:rPr>
          <w:rFonts w:ascii="Arial" w:hAnsi="Arial" w:cs="Arial"/>
        </w:rPr>
        <w:t>f</w:t>
      </w:r>
      <w:r w:rsidR="008944FC">
        <w:rPr>
          <w:rFonts w:ascii="Arial" w:hAnsi="Arial" w:cs="Arial"/>
        </w:rPr>
        <w:t>o</w:t>
      </w:r>
      <w:r w:rsidR="005F6039">
        <w:rPr>
          <w:rFonts w:ascii="Arial" w:hAnsi="Arial" w:cs="Arial"/>
        </w:rPr>
        <w:t>r</w:t>
      </w:r>
      <w:r w:rsidR="005F7F72">
        <w:rPr>
          <w:rFonts w:ascii="Arial" w:hAnsi="Arial" w:cs="Arial"/>
        </w:rPr>
        <w:t xml:space="preserve"> the </w:t>
      </w:r>
      <w:r w:rsidR="003E4EF3">
        <w:rPr>
          <w:rFonts w:ascii="Arial" w:hAnsi="Arial" w:cs="Arial"/>
        </w:rPr>
        <w:t>varied</w:t>
      </w:r>
      <w:r w:rsidR="008944FC">
        <w:rPr>
          <w:rFonts w:ascii="Arial" w:hAnsi="Arial" w:cs="Arial"/>
        </w:rPr>
        <w:t xml:space="preserve"> </w:t>
      </w:r>
      <w:r w:rsidR="005C0524">
        <w:rPr>
          <w:rFonts w:ascii="Arial" w:hAnsi="Arial" w:cs="Arial"/>
        </w:rPr>
        <w:t xml:space="preserve">appraisal techniques </w:t>
      </w:r>
      <w:r w:rsidR="002F3E3A">
        <w:rPr>
          <w:rFonts w:ascii="Arial" w:hAnsi="Arial" w:cs="Arial"/>
        </w:rPr>
        <w:t xml:space="preserve">for the SME </w:t>
      </w:r>
      <w:r w:rsidR="005449F6">
        <w:rPr>
          <w:rFonts w:ascii="Arial" w:hAnsi="Arial" w:cs="Arial"/>
        </w:rPr>
        <w:t>sector.</w:t>
      </w:r>
      <w:r w:rsidR="008944FC">
        <w:rPr>
          <w:rFonts w:ascii="Arial" w:hAnsi="Arial" w:cs="Arial"/>
        </w:rPr>
        <w:t xml:space="preserve"> </w:t>
      </w:r>
      <w:r w:rsidR="00304872">
        <w:rPr>
          <w:rFonts w:ascii="Arial" w:hAnsi="Arial" w:cs="Arial"/>
        </w:rPr>
        <w:t>According to Warren Buffet</w:t>
      </w:r>
      <w:r w:rsidR="001A77D5">
        <w:rPr>
          <w:rFonts w:ascii="Arial" w:hAnsi="Arial" w:cs="Arial"/>
        </w:rPr>
        <w:t xml:space="preserve">, </w:t>
      </w:r>
      <w:r w:rsidR="00CE70A1">
        <w:rPr>
          <w:rFonts w:ascii="Arial" w:hAnsi="Arial" w:cs="Arial"/>
        </w:rPr>
        <w:t xml:space="preserve">it </w:t>
      </w:r>
      <w:r w:rsidR="00AF0913">
        <w:rPr>
          <w:rFonts w:ascii="Arial" w:hAnsi="Arial" w:cs="Arial"/>
        </w:rPr>
        <w:t>is the proce</w:t>
      </w:r>
      <w:r w:rsidR="0064735F">
        <w:rPr>
          <w:rFonts w:ascii="Arial" w:hAnsi="Arial" w:cs="Arial"/>
        </w:rPr>
        <w:t xml:space="preserve">dure of sending out </w:t>
      </w:r>
      <w:r w:rsidR="0038623B">
        <w:rPr>
          <w:rFonts w:ascii="Arial" w:hAnsi="Arial" w:cs="Arial"/>
        </w:rPr>
        <w:t>cash to work for you, in</w:t>
      </w:r>
      <w:r w:rsidR="00AD65C0">
        <w:rPr>
          <w:rFonts w:ascii="Arial" w:hAnsi="Arial" w:cs="Arial"/>
        </w:rPr>
        <w:t xml:space="preserve"> the</w:t>
      </w:r>
      <w:r w:rsidR="0038623B">
        <w:rPr>
          <w:rFonts w:ascii="Arial" w:hAnsi="Arial" w:cs="Arial"/>
        </w:rPr>
        <w:t xml:space="preserve"> hope to receive profit</w:t>
      </w:r>
      <w:r w:rsidR="00F85389">
        <w:rPr>
          <w:rFonts w:ascii="Arial" w:hAnsi="Arial" w:cs="Arial"/>
        </w:rPr>
        <w:t xml:space="preserve"> </w:t>
      </w:r>
      <w:proofErr w:type="gramStart"/>
      <w:r w:rsidR="00F85389">
        <w:rPr>
          <w:rFonts w:ascii="Arial" w:hAnsi="Arial" w:cs="Arial"/>
        </w:rPr>
        <w:t>at a later date</w:t>
      </w:r>
      <w:proofErr w:type="gramEnd"/>
      <w:r w:rsidR="00F85389">
        <w:rPr>
          <w:rFonts w:ascii="Arial" w:hAnsi="Arial" w:cs="Arial"/>
        </w:rPr>
        <w:t>.</w:t>
      </w:r>
    </w:p>
    <w:p w14:paraId="1A41D483" w14:textId="2EFF4EAF" w:rsidR="00B87B1F" w:rsidRDefault="00FA72CA" w:rsidP="0009598F">
      <w:pPr>
        <w:jc w:val="both"/>
        <w:rPr>
          <w:rFonts w:ascii="Arial" w:hAnsi="Arial" w:cs="Arial"/>
        </w:rPr>
      </w:pPr>
      <w:r>
        <w:rPr>
          <w:rFonts w:ascii="Arial" w:hAnsi="Arial" w:cs="Arial"/>
        </w:rPr>
        <w:t xml:space="preserve">IAT’s </w:t>
      </w:r>
      <w:r w:rsidR="00706218">
        <w:rPr>
          <w:rFonts w:ascii="Arial" w:hAnsi="Arial" w:cs="Arial"/>
        </w:rPr>
        <w:t xml:space="preserve">connect the </w:t>
      </w:r>
      <w:r w:rsidR="002F0CB3">
        <w:rPr>
          <w:rFonts w:ascii="Arial" w:hAnsi="Arial" w:cs="Arial"/>
        </w:rPr>
        <w:t xml:space="preserve">statistical </w:t>
      </w:r>
      <w:r w:rsidR="00790D11">
        <w:rPr>
          <w:rFonts w:ascii="Arial" w:hAnsi="Arial" w:cs="Arial"/>
        </w:rPr>
        <w:t xml:space="preserve">procedure to the </w:t>
      </w:r>
      <w:r w:rsidR="00734151">
        <w:rPr>
          <w:rFonts w:ascii="Arial" w:hAnsi="Arial" w:cs="Arial"/>
        </w:rPr>
        <w:t xml:space="preserve">mathematic </w:t>
      </w:r>
      <w:r w:rsidR="0064454F">
        <w:rPr>
          <w:rFonts w:ascii="Arial" w:hAnsi="Arial" w:cs="Arial"/>
        </w:rPr>
        <w:t xml:space="preserve">framework </w:t>
      </w:r>
      <w:r w:rsidR="00CC1D1F">
        <w:rPr>
          <w:rFonts w:ascii="Arial" w:hAnsi="Arial" w:cs="Arial"/>
        </w:rPr>
        <w:t xml:space="preserve">applied to </w:t>
      </w:r>
      <w:r w:rsidR="00350B93">
        <w:rPr>
          <w:rFonts w:ascii="Arial" w:hAnsi="Arial" w:cs="Arial"/>
        </w:rPr>
        <w:t xml:space="preserve">evaluate </w:t>
      </w:r>
      <w:r w:rsidR="00BC167D">
        <w:rPr>
          <w:rFonts w:ascii="Arial" w:hAnsi="Arial" w:cs="Arial"/>
        </w:rPr>
        <w:t xml:space="preserve">the future </w:t>
      </w:r>
      <w:r w:rsidR="00035B64">
        <w:rPr>
          <w:rFonts w:ascii="Arial" w:hAnsi="Arial" w:cs="Arial"/>
        </w:rPr>
        <w:t>ability to work successfully</w:t>
      </w:r>
      <w:r w:rsidR="00110ED3">
        <w:rPr>
          <w:rFonts w:ascii="Arial" w:hAnsi="Arial" w:cs="Arial"/>
        </w:rPr>
        <w:t>,</w:t>
      </w:r>
      <w:r w:rsidR="00035B64">
        <w:rPr>
          <w:rFonts w:ascii="Arial" w:hAnsi="Arial" w:cs="Arial"/>
        </w:rPr>
        <w:t xml:space="preserve"> </w:t>
      </w:r>
      <w:r w:rsidR="00773D30">
        <w:rPr>
          <w:rFonts w:ascii="Arial" w:hAnsi="Arial" w:cs="Arial"/>
        </w:rPr>
        <w:t xml:space="preserve">to attain profits </w:t>
      </w:r>
      <w:r w:rsidR="00997B0C">
        <w:rPr>
          <w:rFonts w:ascii="Arial" w:hAnsi="Arial" w:cs="Arial"/>
        </w:rPr>
        <w:t>from an investment</w:t>
      </w:r>
      <w:r w:rsidR="0048640D">
        <w:rPr>
          <w:rFonts w:ascii="Arial" w:hAnsi="Arial" w:cs="Arial"/>
        </w:rPr>
        <w:t xml:space="preserve">. Which </w:t>
      </w:r>
      <w:proofErr w:type="gramStart"/>
      <w:r w:rsidR="0048640D">
        <w:rPr>
          <w:rFonts w:ascii="Arial" w:hAnsi="Arial" w:cs="Arial"/>
        </w:rPr>
        <w:t>is viewed</w:t>
      </w:r>
      <w:proofErr w:type="gramEnd"/>
      <w:r w:rsidR="00997B0C">
        <w:rPr>
          <w:rFonts w:ascii="Arial" w:hAnsi="Arial" w:cs="Arial"/>
        </w:rPr>
        <w:t xml:space="preserve"> </w:t>
      </w:r>
      <w:r w:rsidR="00F660B8">
        <w:rPr>
          <w:rFonts w:ascii="Arial" w:hAnsi="Arial" w:cs="Arial"/>
        </w:rPr>
        <w:t>as a risk management</w:t>
      </w:r>
      <w:r w:rsidR="00CE7715">
        <w:rPr>
          <w:rFonts w:ascii="Arial" w:hAnsi="Arial" w:cs="Arial"/>
        </w:rPr>
        <w:t xml:space="preserve"> </w:t>
      </w:r>
      <w:r w:rsidR="006A2BED">
        <w:rPr>
          <w:rFonts w:ascii="Arial" w:hAnsi="Arial" w:cs="Arial"/>
        </w:rPr>
        <w:t>mechanism</w:t>
      </w:r>
      <w:r w:rsidR="00206428">
        <w:rPr>
          <w:rFonts w:ascii="Arial" w:hAnsi="Arial" w:cs="Arial"/>
        </w:rPr>
        <w:t xml:space="preserve"> that is</w:t>
      </w:r>
      <w:r w:rsidR="003130ED">
        <w:rPr>
          <w:rFonts w:ascii="Arial" w:hAnsi="Arial" w:cs="Arial"/>
        </w:rPr>
        <w:t xml:space="preserve"> </w:t>
      </w:r>
      <w:r w:rsidR="00206428">
        <w:rPr>
          <w:rFonts w:ascii="Arial" w:hAnsi="Arial" w:cs="Arial"/>
        </w:rPr>
        <w:t>more exten</w:t>
      </w:r>
      <w:r w:rsidR="008F0CF7">
        <w:rPr>
          <w:rFonts w:ascii="Arial" w:hAnsi="Arial" w:cs="Arial"/>
        </w:rPr>
        <w:t>s</w:t>
      </w:r>
      <w:r w:rsidR="00206428">
        <w:rPr>
          <w:rFonts w:ascii="Arial" w:hAnsi="Arial" w:cs="Arial"/>
        </w:rPr>
        <w:t>ive</w:t>
      </w:r>
      <w:r w:rsidR="003130ED">
        <w:rPr>
          <w:rFonts w:ascii="Arial" w:hAnsi="Arial" w:cs="Arial"/>
        </w:rPr>
        <w:t xml:space="preserve"> th</w:t>
      </w:r>
      <w:r w:rsidR="000B2553">
        <w:rPr>
          <w:rFonts w:ascii="Arial" w:hAnsi="Arial" w:cs="Arial"/>
        </w:rPr>
        <w:t xml:space="preserve">an the </w:t>
      </w:r>
      <w:r w:rsidR="00C31532">
        <w:rPr>
          <w:rFonts w:ascii="Arial" w:hAnsi="Arial" w:cs="Arial"/>
        </w:rPr>
        <w:t>norm, to</w:t>
      </w:r>
      <w:r w:rsidR="00110ED3">
        <w:rPr>
          <w:rFonts w:ascii="Arial" w:hAnsi="Arial" w:cs="Arial"/>
        </w:rPr>
        <w:t xml:space="preserve"> now</w:t>
      </w:r>
      <w:r w:rsidR="00C31532">
        <w:rPr>
          <w:rFonts w:ascii="Arial" w:hAnsi="Arial" w:cs="Arial"/>
        </w:rPr>
        <w:t xml:space="preserve"> </w:t>
      </w:r>
      <w:r w:rsidR="00110ED3">
        <w:rPr>
          <w:rFonts w:ascii="Arial" w:hAnsi="Arial" w:cs="Arial"/>
        </w:rPr>
        <w:t xml:space="preserve">the modern </w:t>
      </w:r>
      <w:r w:rsidR="00257A44">
        <w:rPr>
          <w:rFonts w:ascii="Arial" w:hAnsi="Arial" w:cs="Arial"/>
        </w:rPr>
        <w:t>Payback period (PBP)</w:t>
      </w:r>
      <w:r w:rsidR="00AB74E0">
        <w:rPr>
          <w:rFonts w:ascii="Arial" w:hAnsi="Arial" w:cs="Arial"/>
        </w:rPr>
        <w:t xml:space="preserve">, </w:t>
      </w:r>
      <w:r w:rsidR="00015062">
        <w:rPr>
          <w:rFonts w:ascii="Arial" w:hAnsi="Arial" w:cs="Arial"/>
        </w:rPr>
        <w:t>Net Present Value</w:t>
      </w:r>
      <w:r w:rsidR="00D35692">
        <w:rPr>
          <w:rFonts w:ascii="Arial" w:hAnsi="Arial" w:cs="Arial"/>
        </w:rPr>
        <w:t xml:space="preserve"> (NPV), Accounting Rate </w:t>
      </w:r>
      <w:r w:rsidR="005E23CC">
        <w:rPr>
          <w:rFonts w:ascii="Arial" w:hAnsi="Arial" w:cs="Arial"/>
        </w:rPr>
        <w:t>o</w:t>
      </w:r>
      <w:r w:rsidR="00D35692">
        <w:rPr>
          <w:rFonts w:ascii="Arial" w:hAnsi="Arial" w:cs="Arial"/>
        </w:rPr>
        <w:t>f Return</w:t>
      </w:r>
      <w:r w:rsidR="007F5D71">
        <w:rPr>
          <w:rFonts w:ascii="Arial" w:hAnsi="Arial" w:cs="Arial"/>
        </w:rPr>
        <w:t xml:space="preserve"> (ARR)</w:t>
      </w:r>
      <w:r w:rsidR="005B6C6E">
        <w:rPr>
          <w:rFonts w:ascii="Arial" w:hAnsi="Arial" w:cs="Arial"/>
        </w:rPr>
        <w:t xml:space="preserve">, </w:t>
      </w:r>
      <w:r w:rsidR="002E1D36">
        <w:rPr>
          <w:rFonts w:ascii="Arial" w:hAnsi="Arial" w:cs="Arial"/>
        </w:rPr>
        <w:t xml:space="preserve">to </w:t>
      </w:r>
      <w:r w:rsidR="00A279DC">
        <w:rPr>
          <w:rFonts w:ascii="Arial" w:hAnsi="Arial" w:cs="Arial"/>
        </w:rPr>
        <w:t xml:space="preserve">the </w:t>
      </w:r>
      <w:r w:rsidR="005E23CC">
        <w:rPr>
          <w:rFonts w:ascii="Arial" w:hAnsi="Arial" w:cs="Arial"/>
        </w:rPr>
        <w:t xml:space="preserve">stimulation models </w:t>
      </w:r>
      <w:r w:rsidR="000C2AB5">
        <w:rPr>
          <w:rFonts w:ascii="Arial" w:hAnsi="Arial" w:cs="Arial"/>
        </w:rPr>
        <w:t xml:space="preserve">(Peterson and Fabozzi, </w:t>
      </w:r>
      <w:r w:rsidR="0039432F">
        <w:rPr>
          <w:rFonts w:ascii="Arial" w:hAnsi="Arial" w:cs="Arial"/>
        </w:rPr>
        <w:t xml:space="preserve">2002). </w:t>
      </w:r>
      <w:r w:rsidR="00E301E9">
        <w:rPr>
          <w:rFonts w:ascii="Arial" w:hAnsi="Arial" w:cs="Arial"/>
        </w:rPr>
        <w:t xml:space="preserve">Therefore, the application of these techniques </w:t>
      </w:r>
      <w:r w:rsidR="0056015D">
        <w:rPr>
          <w:rFonts w:ascii="Arial" w:hAnsi="Arial" w:cs="Arial"/>
        </w:rPr>
        <w:t>are believed to be the</w:t>
      </w:r>
      <w:r w:rsidR="0001389D">
        <w:rPr>
          <w:rFonts w:ascii="Arial" w:hAnsi="Arial" w:cs="Arial"/>
        </w:rPr>
        <w:t xml:space="preserve"> fin</w:t>
      </w:r>
      <w:r w:rsidR="0056015D">
        <w:rPr>
          <w:rFonts w:ascii="Arial" w:hAnsi="Arial" w:cs="Arial"/>
        </w:rPr>
        <w:t>est</w:t>
      </w:r>
      <w:r w:rsidR="0001389D">
        <w:rPr>
          <w:rFonts w:ascii="Arial" w:hAnsi="Arial" w:cs="Arial"/>
        </w:rPr>
        <w:t xml:space="preserve"> </w:t>
      </w:r>
      <w:r w:rsidR="007C578D">
        <w:rPr>
          <w:rFonts w:ascii="Arial" w:hAnsi="Arial" w:cs="Arial"/>
        </w:rPr>
        <w:t>tools for investments</w:t>
      </w:r>
      <w:r w:rsidR="00F93B63">
        <w:rPr>
          <w:rFonts w:ascii="Arial" w:hAnsi="Arial" w:cs="Arial"/>
        </w:rPr>
        <w:t xml:space="preserve">, because </w:t>
      </w:r>
      <w:r w:rsidR="00945522">
        <w:rPr>
          <w:rFonts w:ascii="Arial" w:hAnsi="Arial" w:cs="Arial"/>
        </w:rPr>
        <w:t xml:space="preserve">of the effectiveness to </w:t>
      </w:r>
      <w:r w:rsidR="00723880">
        <w:rPr>
          <w:rFonts w:ascii="Arial" w:hAnsi="Arial" w:cs="Arial"/>
        </w:rPr>
        <w:t xml:space="preserve">forecast </w:t>
      </w:r>
      <w:r w:rsidR="001A4334">
        <w:rPr>
          <w:rFonts w:ascii="Arial" w:hAnsi="Arial" w:cs="Arial"/>
        </w:rPr>
        <w:t xml:space="preserve">if an investment will </w:t>
      </w:r>
      <w:r w:rsidR="00086167">
        <w:rPr>
          <w:rFonts w:ascii="Arial" w:hAnsi="Arial" w:cs="Arial"/>
        </w:rPr>
        <w:t>have a successful outcome,</w:t>
      </w:r>
      <w:r w:rsidR="008A34B9">
        <w:rPr>
          <w:rFonts w:ascii="Arial" w:hAnsi="Arial" w:cs="Arial"/>
        </w:rPr>
        <w:t xml:space="preserve"> </w:t>
      </w:r>
      <w:r w:rsidR="00C878A7">
        <w:rPr>
          <w:rFonts w:ascii="Arial" w:hAnsi="Arial" w:cs="Arial"/>
        </w:rPr>
        <w:t xml:space="preserve">encompassed by the </w:t>
      </w:r>
      <w:r w:rsidR="00FD5048">
        <w:rPr>
          <w:rFonts w:ascii="Arial" w:hAnsi="Arial" w:cs="Arial"/>
        </w:rPr>
        <w:t xml:space="preserve">possibilities of being unsure </w:t>
      </w:r>
      <w:r w:rsidR="000259E3">
        <w:rPr>
          <w:rFonts w:ascii="Arial" w:hAnsi="Arial" w:cs="Arial"/>
        </w:rPr>
        <w:t xml:space="preserve">of the </w:t>
      </w:r>
      <w:r w:rsidR="00C5007B">
        <w:rPr>
          <w:rFonts w:ascii="Arial" w:hAnsi="Arial" w:cs="Arial"/>
        </w:rPr>
        <w:t>process of plann</w:t>
      </w:r>
      <w:r w:rsidR="00767D8A">
        <w:rPr>
          <w:rFonts w:ascii="Arial" w:hAnsi="Arial" w:cs="Arial"/>
        </w:rPr>
        <w:t xml:space="preserve">ing for </w:t>
      </w:r>
      <w:r w:rsidR="0034382B">
        <w:rPr>
          <w:rFonts w:ascii="Arial" w:hAnsi="Arial" w:cs="Arial"/>
        </w:rPr>
        <w:t>disastrous outcome</w:t>
      </w:r>
      <w:r w:rsidR="00F35EEF">
        <w:rPr>
          <w:rFonts w:ascii="Arial" w:hAnsi="Arial" w:cs="Arial"/>
        </w:rPr>
        <w:t>s</w:t>
      </w:r>
      <w:r w:rsidR="00404340">
        <w:rPr>
          <w:rFonts w:ascii="Arial" w:hAnsi="Arial" w:cs="Arial"/>
        </w:rPr>
        <w:t>.</w:t>
      </w:r>
      <w:r w:rsidR="00EA1CBA">
        <w:rPr>
          <w:rFonts w:ascii="Arial" w:hAnsi="Arial" w:cs="Arial"/>
        </w:rPr>
        <w:t xml:space="preserve"> </w:t>
      </w:r>
    </w:p>
    <w:p w14:paraId="138E1B4B" w14:textId="77777777" w:rsidR="005473DD" w:rsidRDefault="005473DD" w:rsidP="0009598F">
      <w:pPr>
        <w:jc w:val="both"/>
        <w:rPr>
          <w:rFonts w:ascii="Arial" w:hAnsi="Arial" w:cs="Arial"/>
          <w:b/>
          <w:bCs/>
          <w:u w:val="single"/>
        </w:rPr>
      </w:pPr>
    </w:p>
    <w:p w14:paraId="1B572476" w14:textId="77777777" w:rsidR="00117FA6" w:rsidRDefault="00117FA6" w:rsidP="0009598F">
      <w:pPr>
        <w:jc w:val="both"/>
        <w:rPr>
          <w:rFonts w:ascii="Arial" w:hAnsi="Arial" w:cs="Arial"/>
          <w:b/>
          <w:bCs/>
          <w:u w:val="single"/>
        </w:rPr>
      </w:pPr>
    </w:p>
    <w:p w14:paraId="52659619" w14:textId="52F4FB3D" w:rsidR="0009598F" w:rsidRPr="00EE3909" w:rsidRDefault="00EE3909" w:rsidP="006730D7">
      <w:pPr>
        <w:pStyle w:val="Heading1"/>
      </w:pPr>
      <w:bookmarkStart w:id="31" w:name="_Toc72176099"/>
      <w:r w:rsidRPr="00EE3909">
        <w:t>The Pay Back Period Technique:</w:t>
      </w:r>
      <w:bookmarkEnd w:id="31"/>
      <w:r w:rsidR="00086167" w:rsidRPr="00EE3909">
        <w:t xml:space="preserve">  </w:t>
      </w:r>
      <w:r w:rsidR="007C578D" w:rsidRPr="00EE3909">
        <w:t xml:space="preserve"> </w:t>
      </w:r>
      <w:r w:rsidR="0056015D" w:rsidRPr="00EE3909">
        <w:t xml:space="preserve">   </w:t>
      </w:r>
      <w:r w:rsidR="00E301E9" w:rsidRPr="00EE3909">
        <w:t xml:space="preserve"> </w:t>
      </w:r>
      <w:r w:rsidR="00206428" w:rsidRPr="00EE3909">
        <w:t xml:space="preserve"> </w:t>
      </w:r>
      <w:r w:rsidR="00F660B8" w:rsidRPr="00EE3909">
        <w:t xml:space="preserve"> </w:t>
      </w:r>
      <w:r w:rsidR="005F7F72" w:rsidRPr="00EE3909">
        <w:t xml:space="preserve"> </w:t>
      </w:r>
      <w:r w:rsidR="000B3EAD" w:rsidRPr="00EE3909">
        <w:t xml:space="preserve"> </w:t>
      </w:r>
      <w:r w:rsidR="002C726B" w:rsidRPr="00EE3909">
        <w:t xml:space="preserve"> </w:t>
      </w:r>
    </w:p>
    <w:p w14:paraId="34DAA3ED" w14:textId="3C76E682" w:rsidR="007E5C55" w:rsidRDefault="00974A0A" w:rsidP="007A6AFA">
      <w:pPr>
        <w:jc w:val="both"/>
        <w:rPr>
          <w:rFonts w:ascii="Arial" w:hAnsi="Arial" w:cs="Arial"/>
        </w:rPr>
      </w:pPr>
      <w:r>
        <w:rPr>
          <w:rFonts w:ascii="Arial" w:hAnsi="Arial" w:cs="Arial"/>
        </w:rPr>
        <w:t xml:space="preserve">The Payback period </w:t>
      </w:r>
      <w:r w:rsidR="00316966">
        <w:rPr>
          <w:rFonts w:ascii="Arial" w:hAnsi="Arial" w:cs="Arial"/>
        </w:rPr>
        <w:t xml:space="preserve">(PBP) </w:t>
      </w:r>
      <w:r w:rsidR="00B73783">
        <w:rPr>
          <w:rFonts w:ascii="Arial" w:hAnsi="Arial" w:cs="Arial"/>
        </w:rPr>
        <w:t xml:space="preserve">this </w:t>
      </w:r>
      <w:r w:rsidR="00DB74C2">
        <w:rPr>
          <w:rFonts w:ascii="Arial" w:hAnsi="Arial" w:cs="Arial"/>
        </w:rPr>
        <w:t xml:space="preserve">technique </w:t>
      </w:r>
      <w:r w:rsidR="008E4FF5">
        <w:rPr>
          <w:rFonts w:ascii="Arial" w:hAnsi="Arial" w:cs="Arial"/>
        </w:rPr>
        <w:t xml:space="preserve">gives </w:t>
      </w:r>
      <w:r w:rsidR="004B08C2">
        <w:rPr>
          <w:rFonts w:ascii="Arial" w:hAnsi="Arial" w:cs="Arial"/>
        </w:rPr>
        <w:t>GSK</w:t>
      </w:r>
      <w:r w:rsidR="008E4FF5">
        <w:rPr>
          <w:rFonts w:ascii="Arial" w:hAnsi="Arial" w:cs="Arial"/>
        </w:rPr>
        <w:t xml:space="preserve"> the time it </w:t>
      </w:r>
      <w:r w:rsidR="00456661">
        <w:rPr>
          <w:rFonts w:ascii="Arial" w:hAnsi="Arial" w:cs="Arial"/>
        </w:rPr>
        <w:t xml:space="preserve">takes to receive the initial investment </w:t>
      </w:r>
      <w:r w:rsidR="004B5C32">
        <w:rPr>
          <w:rFonts w:ascii="Arial" w:hAnsi="Arial" w:cs="Arial"/>
        </w:rPr>
        <w:t xml:space="preserve">by way of net cash flows, from an investment </w:t>
      </w:r>
      <w:r w:rsidR="00E050B9">
        <w:rPr>
          <w:rFonts w:ascii="Arial" w:hAnsi="Arial" w:cs="Arial"/>
        </w:rPr>
        <w:t>or p</w:t>
      </w:r>
      <w:r w:rsidR="00A94F87">
        <w:rPr>
          <w:rFonts w:ascii="Arial" w:hAnsi="Arial" w:cs="Arial"/>
        </w:rPr>
        <w:t>lan of action. Even though analysis</w:t>
      </w:r>
      <w:r w:rsidR="003371EB">
        <w:rPr>
          <w:rFonts w:ascii="Arial" w:hAnsi="Arial" w:cs="Arial"/>
        </w:rPr>
        <w:t xml:space="preserve"> has</w:t>
      </w:r>
      <w:r w:rsidR="00854612">
        <w:rPr>
          <w:rFonts w:ascii="Arial" w:hAnsi="Arial" w:cs="Arial"/>
        </w:rPr>
        <w:t xml:space="preserve"> brought to light that</w:t>
      </w:r>
      <w:r w:rsidR="00894A6C">
        <w:rPr>
          <w:rFonts w:ascii="Arial" w:hAnsi="Arial" w:cs="Arial"/>
        </w:rPr>
        <w:t xml:space="preserve"> it is a well</w:t>
      </w:r>
      <w:r w:rsidR="003371EB">
        <w:rPr>
          <w:rFonts w:ascii="Arial" w:hAnsi="Arial" w:cs="Arial"/>
        </w:rPr>
        <w:t>-</w:t>
      </w:r>
      <w:r w:rsidR="00894A6C">
        <w:rPr>
          <w:rFonts w:ascii="Arial" w:hAnsi="Arial" w:cs="Arial"/>
        </w:rPr>
        <w:t xml:space="preserve">liked investment </w:t>
      </w:r>
      <w:r w:rsidR="0067441C">
        <w:rPr>
          <w:rFonts w:ascii="Arial" w:hAnsi="Arial" w:cs="Arial"/>
        </w:rPr>
        <w:t xml:space="preserve">appraisal </w:t>
      </w:r>
      <w:r w:rsidR="003371EB">
        <w:rPr>
          <w:rFonts w:ascii="Arial" w:hAnsi="Arial" w:cs="Arial"/>
        </w:rPr>
        <w:t xml:space="preserve"> </w:t>
      </w:r>
      <w:r w:rsidR="0067441C">
        <w:rPr>
          <w:rFonts w:ascii="Arial" w:hAnsi="Arial" w:cs="Arial"/>
        </w:rPr>
        <w:t xml:space="preserve">technique, </w:t>
      </w:r>
      <w:r w:rsidR="00EF51E1">
        <w:rPr>
          <w:rFonts w:ascii="Arial" w:hAnsi="Arial" w:cs="Arial"/>
        </w:rPr>
        <w:t>applied</w:t>
      </w:r>
      <w:r w:rsidR="00F9779C">
        <w:rPr>
          <w:rFonts w:ascii="Arial" w:hAnsi="Arial" w:cs="Arial"/>
        </w:rPr>
        <w:t xml:space="preserve"> </w:t>
      </w:r>
      <w:r w:rsidR="007D4F61">
        <w:rPr>
          <w:rFonts w:ascii="Arial" w:hAnsi="Arial" w:cs="Arial"/>
        </w:rPr>
        <w:t>and utilised by many individuals</w:t>
      </w:r>
      <w:r w:rsidR="00586C1B">
        <w:rPr>
          <w:rFonts w:ascii="Arial" w:hAnsi="Arial" w:cs="Arial"/>
        </w:rPr>
        <w:t xml:space="preserve"> and </w:t>
      </w:r>
      <w:r w:rsidR="00454E94">
        <w:rPr>
          <w:rFonts w:ascii="Arial" w:hAnsi="Arial" w:cs="Arial"/>
        </w:rPr>
        <w:t>i</w:t>
      </w:r>
      <w:r w:rsidR="00586C1B">
        <w:rPr>
          <w:rFonts w:ascii="Arial" w:hAnsi="Arial" w:cs="Arial"/>
        </w:rPr>
        <w:t>s significantly applied mostly</w:t>
      </w:r>
      <w:r w:rsidR="00EF51E1">
        <w:rPr>
          <w:rFonts w:ascii="Arial" w:hAnsi="Arial" w:cs="Arial"/>
        </w:rPr>
        <w:t xml:space="preserve"> in </w:t>
      </w:r>
      <w:r w:rsidR="003371EB">
        <w:rPr>
          <w:rFonts w:ascii="Arial" w:hAnsi="Arial" w:cs="Arial"/>
        </w:rPr>
        <w:t>the</w:t>
      </w:r>
      <w:r w:rsidR="00A150BA">
        <w:rPr>
          <w:rFonts w:ascii="Arial" w:hAnsi="Arial" w:cs="Arial"/>
        </w:rPr>
        <w:t xml:space="preserve"> financial</w:t>
      </w:r>
      <w:r w:rsidR="00B40140">
        <w:rPr>
          <w:rFonts w:ascii="Arial" w:hAnsi="Arial" w:cs="Arial"/>
        </w:rPr>
        <w:t xml:space="preserve"> or</w:t>
      </w:r>
      <w:r w:rsidR="003371EB">
        <w:rPr>
          <w:rFonts w:ascii="Arial" w:hAnsi="Arial" w:cs="Arial"/>
        </w:rPr>
        <w:t xml:space="preserve"> business</w:t>
      </w:r>
      <w:r w:rsidR="00C35032">
        <w:rPr>
          <w:rFonts w:ascii="Arial" w:hAnsi="Arial" w:cs="Arial"/>
        </w:rPr>
        <w:t xml:space="preserve"> environment</w:t>
      </w:r>
      <w:r w:rsidR="00B40140">
        <w:rPr>
          <w:rFonts w:ascii="Arial" w:hAnsi="Arial" w:cs="Arial"/>
        </w:rPr>
        <w:t>s</w:t>
      </w:r>
      <w:r w:rsidR="00C339EF">
        <w:rPr>
          <w:rFonts w:ascii="Arial" w:hAnsi="Arial" w:cs="Arial"/>
        </w:rPr>
        <w:t xml:space="preserve">, </w:t>
      </w:r>
      <w:r w:rsidR="00DA76E5">
        <w:rPr>
          <w:rFonts w:ascii="Arial" w:hAnsi="Arial" w:cs="Arial"/>
        </w:rPr>
        <w:t xml:space="preserve">which is because of </w:t>
      </w:r>
      <w:r w:rsidR="00F279F0">
        <w:rPr>
          <w:rFonts w:ascii="Arial" w:hAnsi="Arial" w:cs="Arial"/>
        </w:rPr>
        <w:t xml:space="preserve">how effortless </w:t>
      </w:r>
      <w:r w:rsidR="00BD1508">
        <w:rPr>
          <w:rFonts w:ascii="Arial" w:hAnsi="Arial" w:cs="Arial"/>
        </w:rPr>
        <w:t>it is to apply</w:t>
      </w:r>
      <w:r w:rsidR="00456931">
        <w:rPr>
          <w:rFonts w:ascii="Arial" w:hAnsi="Arial" w:cs="Arial"/>
        </w:rPr>
        <w:t xml:space="preserve"> </w:t>
      </w:r>
      <w:r w:rsidR="0059657E">
        <w:rPr>
          <w:rFonts w:ascii="Arial" w:hAnsi="Arial" w:cs="Arial"/>
        </w:rPr>
        <w:t>and</w:t>
      </w:r>
      <w:r w:rsidR="00456931">
        <w:rPr>
          <w:rFonts w:ascii="Arial" w:hAnsi="Arial" w:cs="Arial"/>
        </w:rPr>
        <w:t xml:space="preserve"> has</w:t>
      </w:r>
      <w:r w:rsidR="00630AD2">
        <w:rPr>
          <w:rFonts w:ascii="Arial" w:hAnsi="Arial" w:cs="Arial"/>
        </w:rPr>
        <w:t xml:space="preserve"> been</w:t>
      </w:r>
      <w:r w:rsidR="00DF241F">
        <w:rPr>
          <w:rFonts w:ascii="Arial" w:hAnsi="Arial" w:cs="Arial"/>
        </w:rPr>
        <w:t xml:space="preserve"> used for several years but</w:t>
      </w:r>
      <w:r w:rsidR="00FC101F">
        <w:rPr>
          <w:rFonts w:ascii="Arial" w:hAnsi="Arial" w:cs="Arial"/>
        </w:rPr>
        <w:t xml:space="preserve"> it</w:t>
      </w:r>
      <w:r w:rsidR="00DF241F">
        <w:rPr>
          <w:rFonts w:ascii="Arial" w:hAnsi="Arial" w:cs="Arial"/>
        </w:rPr>
        <w:t xml:space="preserve"> does have</w:t>
      </w:r>
      <w:r w:rsidR="00FC101F">
        <w:rPr>
          <w:rFonts w:ascii="Arial" w:hAnsi="Arial" w:cs="Arial"/>
        </w:rPr>
        <w:t xml:space="preserve"> </w:t>
      </w:r>
      <w:r w:rsidR="00704A6A">
        <w:rPr>
          <w:rFonts w:ascii="Arial" w:hAnsi="Arial" w:cs="Arial"/>
        </w:rPr>
        <w:t xml:space="preserve">its weaknesses </w:t>
      </w:r>
      <w:bookmarkStart w:id="32" w:name="_Hlk71446668"/>
      <w:r w:rsidR="00630AD2">
        <w:rPr>
          <w:rFonts w:ascii="Arial" w:hAnsi="Arial" w:cs="Arial"/>
        </w:rPr>
        <w:t xml:space="preserve">(Adeniyi et al., 2012). </w:t>
      </w:r>
      <w:bookmarkEnd w:id="32"/>
      <w:r w:rsidR="00C55E79">
        <w:rPr>
          <w:rFonts w:ascii="Arial" w:hAnsi="Arial" w:cs="Arial"/>
        </w:rPr>
        <w:t xml:space="preserve">Furthermore, </w:t>
      </w:r>
      <w:r w:rsidR="006B0734">
        <w:rPr>
          <w:rFonts w:ascii="Arial" w:hAnsi="Arial" w:cs="Arial"/>
        </w:rPr>
        <w:t xml:space="preserve">because of </w:t>
      </w:r>
      <w:r w:rsidR="003F3312">
        <w:rPr>
          <w:rFonts w:ascii="Arial" w:hAnsi="Arial" w:cs="Arial"/>
        </w:rPr>
        <w:t>these weaknesses</w:t>
      </w:r>
      <w:r w:rsidR="00ED0D26">
        <w:rPr>
          <w:rFonts w:ascii="Arial" w:hAnsi="Arial" w:cs="Arial"/>
        </w:rPr>
        <w:t>, Watson and Head (2007)</w:t>
      </w:r>
      <w:r w:rsidR="00D47A58">
        <w:rPr>
          <w:rFonts w:ascii="Arial" w:hAnsi="Arial" w:cs="Arial"/>
        </w:rPr>
        <w:t xml:space="preserve"> revealed that</w:t>
      </w:r>
      <w:r w:rsidR="006B0734">
        <w:rPr>
          <w:rFonts w:ascii="Arial" w:hAnsi="Arial" w:cs="Arial"/>
        </w:rPr>
        <w:t xml:space="preserve"> </w:t>
      </w:r>
      <w:r w:rsidR="00BC3302">
        <w:rPr>
          <w:rFonts w:ascii="Arial" w:hAnsi="Arial" w:cs="Arial"/>
        </w:rPr>
        <w:t>PBP</w:t>
      </w:r>
      <w:r w:rsidR="00D47705">
        <w:rPr>
          <w:rFonts w:ascii="Arial" w:hAnsi="Arial" w:cs="Arial"/>
        </w:rPr>
        <w:t xml:space="preserve"> </w:t>
      </w:r>
      <w:r w:rsidR="003D0F5A">
        <w:rPr>
          <w:rFonts w:ascii="Arial" w:hAnsi="Arial" w:cs="Arial"/>
        </w:rPr>
        <w:t>should only be</w:t>
      </w:r>
      <w:r w:rsidR="009317C8">
        <w:rPr>
          <w:rFonts w:ascii="Arial" w:hAnsi="Arial" w:cs="Arial"/>
        </w:rPr>
        <w:t xml:space="preserve"> </w:t>
      </w:r>
      <w:r w:rsidR="00043B70">
        <w:rPr>
          <w:rFonts w:ascii="Arial" w:hAnsi="Arial" w:cs="Arial"/>
        </w:rPr>
        <w:t xml:space="preserve">applied </w:t>
      </w:r>
      <w:proofErr w:type="gramStart"/>
      <w:r w:rsidR="00043B70">
        <w:rPr>
          <w:rFonts w:ascii="Arial" w:hAnsi="Arial" w:cs="Arial"/>
        </w:rPr>
        <w:t>or</w:t>
      </w:r>
      <w:r w:rsidR="009317C8">
        <w:rPr>
          <w:rFonts w:ascii="Arial" w:hAnsi="Arial" w:cs="Arial"/>
        </w:rPr>
        <w:t xml:space="preserve"> </w:t>
      </w:r>
      <w:r w:rsidR="003D0F5A">
        <w:rPr>
          <w:rFonts w:ascii="Arial" w:hAnsi="Arial" w:cs="Arial"/>
        </w:rPr>
        <w:t xml:space="preserve"> </w:t>
      </w:r>
      <w:r w:rsidR="00B67492">
        <w:rPr>
          <w:rFonts w:ascii="Arial" w:hAnsi="Arial" w:cs="Arial"/>
        </w:rPr>
        <w:t>considered</w:t>
      </w:r>
      <w:proofErr w:type="gramEnd"/>
      <w:r w:rsidR="00B67492">
        <w:rPr>
          <w:rFonts w:ascii="Arial" w:hAnsi="Arial" w:cs="Arial"/>
        </w:rPr>
        <w:t xml:space="preserve"> </w:t>
      </w:r>
      <w:r w:rsidR="00072777">
        <w:rPr>
          <w:rFonts w:ascii="Arial" w:hAnsi="Arial" w:cs="Arial"/>
        </w:rPr>
        <w:t xml:space="preserve">as one of many techniques </w:t>
      </w:r>
      <w:r w:rsidR="00CE5B7E">
        <w:rPr>
          <w:rFonts w:ascii="Arial" w:hAnsi="Arial" w:cs="Arial"/>
        </w:rPr>
        <w:t>that maybe applied</w:t>
      </w:r>
      <w:r w:rsidR="000D35EB">
        <w:rPr>
          <w:rFonts w:ascii="Arial" w:hAnsi="Arial" w:cs="Arial"/>
        </w:rPr>
        <w:t xml:space="preserve"> </w:t>
      </w:r>
      <w:r w:rsidR="00CE39FE">
        <w:rPr>
          <w:rFonts w:ascii="Arial" w:hAnsi="Arial" w:cs="Arial"/>
        </w:rPr>
        <w:t xml:space="preserve">for the </w:t>
      </w:r>
      <w:r w:rsidR="00D529FB">
        <w:rPr>
          <w:rFonts w:ascii="Arial" w:hAnsi="Arial" w:cs="Arial"/>
        </w:rPr>
        <w:t>assessment</w:t>
      </w:r>
      <w:r w:rsidR="00706C0C">
        <w:rPr>
          <w:rFonts w:ascii="Arial" w:hAnsi="Arial" w:cs="Arial"/>
        </w:rPr>
        <w:t>, or consideration</w:t>
      </w:r>
      <w:r w:rsidR="00CE39FE">
        <w:rPr>
          <w:rFonts w:ascii="Arial" w:hAnsi="Arial" w:cs="Arial"/>
        </w:rPr>
        <w:t xml:space="preserve"> of investments</w:t>
      </w:r>
      <w:r w:rsidR="00C6307D">
        <w:rPr>
          <w:rFonts w:ascii="Arial" w:hAnsi="Arial" w:cs="Arial"/>
        </w:rPr>
        <w:t>, for further scruti</w:t>
      </w:r>
      <w:r w:rsidR="00043B70">
        <w:rPr>
          <w:rFonts w:ascii="Arial" w:hAnsi="Arial" w:cs="Arial"/>
        </w:rPr>
        <w:t>ny.</w:t>
      </w:r>
      <w:r w:rsidR="007F01F4">
        <w:rPr>
          <w:rFonts w:ascii="Arial" w:hAnsi="Arial" w:cs="Arial"/>
        </w:rPr>
        <w:t xml:space="preserve"> However, the technique </w:t>
      </w:r>
      <w:r w:rsidR="002928F5">
        <w:rPr>
          <w:rFonts w:ascii="Arial" w:hAnsi="Arial" w:cs="Arial"/>
        </w:rPr>
        <w:t>will</w:t>
      </w:r>
      <w:r w:rsidR="007F01F4">
        <w:rPr>
          <w:rFonts w:ascii="Arial" w:hAnsi="Arial" w:cs="Arial"/>
        </w:rPr>
        <w:t xml:space="preserve"> furnish </w:t>
      </w:r>
      <w:proofErr w:type="gramStart"/>
      <w:r w:rsidR="002928F5">
        <w:rPr>
          <w:rFonts w:ascii="Arial" w:hAnsi="Arial" w:cs="Arial"/>
        </w:rPr>
        <w:t>GSK</w:t>
      </w:r>
      <w:r w:rsidR="007F01F4">
        <w:rPr>
          <w:rFonts w:ascii="Arial" w:hAnsi="Arial" w:cs="Arial"/>
        </w:rPr>
        <w:t xml:space="preserve">  </w:t>
      </w:r>
      <w:r w:rsidR="004A18F7">
        <w:rPr>
          <w:rFonts w:ascii="Arial" w:hAnsi="Arial" w:cs="Arial"/>
        </w:rPr>
        <w:t>with</w:t>
      </w:r>
      <w:proofErr w:type="gramEnd"/>
      <w:r w:rsidR="004A18F7">
        <w:rPr>
          <w:rFonts w:ascii="Arial" w:hAnsi="Arial" w:cs="Arial"/>
        </w:rPr>
        <w:t xml:space="preserve"> a certain degree of clarity</w:t>
      </w:r>
      <w:r w:rsidR="00673807">
        <w:rPr>
          <w:rFonts w:ascii="Arial" w:hAnsi="Arial" w:cs="Arial"/>
        </w:rPr>
        <w:t xml:space="preserve"> on how </w:t>
      </w:r>
      <w:r w:rsidR="006C4A87">
        <w:rPr>
          <w:rFonts w:ascii="Arial" w:hAnsi="Arial" w:cs="Arial"/>
        </w:rPr>
        <w:t xml:space="preserve">quickly an investment </w:t>
      </w:r>
      <w:r w:rsidR="00DD5CA7">
        <w:rPr>
          <w:rFonts w:ascii="Arial" w:hAnsi="Arial" w:cs="Arial"/>
        </w:rPr>
        <w:t xml:space="preserve">will </w:t>
      </w:r>
      <w:r w:rsidR="002A7683">
        <w:rPr>
          <w:rFonts w:ascii="Arial" w:hAnsi="Arial" w:cs="Arial"/>
        </w:rPr>
        <w:t>re</w:t>
      </w:r>
      <w:r w:rsidR="00DD5CA7">
        <w:rPr>
          <w:rFonts w:ascii="Arial" w:hAnsi="Arial" w:cs="Arial"/>
        </w:rPr>
        <w:t>tur</w:t>
      </w:r>
      <w:r w:rsidR="002A7683">
        <w:rPr>
          <w:rFonts w:ascii="Arial" w:hAnsi="Arial" w:cs="Arial"/>
        </w:rPr>
        <w:t>n</w:t>
      </w:r>
      <w:r w:rsidR="00636559">
        <w:rPr>
          <w:rFonts w:ascii="Arial" w:hAnsi="Arial" w:cs="Arial"/>
        </w:rPr>
        <w:t>, mature</w:t>
      </w:r>
      <w:r w:rsidR="007A66BF">
        <w:rPr>
          <w:rFonts w:ascii="Arial" w:hAnsi="Arial" w:cs="Arial"/>
        </w:rPr>
        <w:t xml:space="preserve"> and avoid risk</w:t>
      </w:r>
      <w:r w:rsidR="00636559">
        <w:rPr>
          <w:rFonts w:ascii="Arial" w:hAnsi="Arial" w:cs="Arial"/>
        </w:rPr>
        <w:t>s</w:t>
      </w:r>
      <w:r w:rsidR="0010195A">
        <w:rPr>
          <w:rFonts w:ascii="Arial" w:hAnsi="Arial" w:cs="Arial"/>
        </w:rPr>
        <w:t>.</w:t>
      </w:r>
      <w:r w:rsidR="00CE39FE">
        <w:rPr>
          <w:rFonts w:ascii="Arial" w:hAnsi="Arial" w:cs="Arial"/>
        </w:rPr>
        <w:t xml:space="preserve"> </w:t>
      </w:r>
    </w:p>
    <w:p w14:paraId="6E5C9CF6" w14:textId="39250927" w:rsidR="00FF068B" w:rsidRDefault="007E5C55" w:rsidP="007A6AFA">
      <w:pPr>
        <w:jc w:val="both"/>
        <w:rPr>
          <w:rFonts w:ascii="Arial" w:hAnsi="Arial" w:cs="Arial"/>
        </w:rPr>
      </w:pPr>
      <w:proofErr w:type="gramStart"/>
      <w:r>
        <w:rPr>
          <w:rFonts w:ascii="Arial" w:hAnsi="Arial" w:cs="Arial"/>
        </w:rPr>
        <w:t xml:space="preserve">There are many managerial staff </w:t>
      </w:r>
      <w:r w:rsidR="009508E5">
        <w:rPr>
          <w:rFonts w:ascii="Arial" w:hAnsi="Arial" w:cs="Arial"/>
        </w:rPr>
        <w:t xml:space="preserve">that link risk </w:t>
      </w:r>
      <w:r w:rsidR="00A46953">
        <w:rPr>
          <w:rFonts w:ascii="Arial" w:hAnsi="Arial" w:cs="Arial"/>
        </w:rPr>
        <w:t>with association of time</w:t>
      </w:r>
      <w:r w:rsidR="00503606">
        <w:rPr>
          <w:rFonts w:ascii="Arial" w:hAnsi="Arial" w:cs="Arial"/>
        </w:rPr>
        <w:t>,</w:t>
      </w:r>
      <w:proofErr w:type="gramEnd"/>
      <w:r w:rsidR="00EC5A47">
        <w:rPr>
          <w:rFonts w:ascii="Arial" w:hAnsi="Arial" w:cs="Arial"/>
        </w:rPr>
        <w:t xml:space="preserve"> and</w:t>
      </w:r>
      <w:r w:rsidR="00503606">
        <w:rPr>
          <w:rFonts w:ascii="Arial" w:hAnsi="Arial" w:cs="Arial"/>
        </w:rPr>
        <w:t xml:space="preserve"> </w:t>
      </w:r>
      <w:r w:rsidR="00EC5A47">
        <w:rPr>
          <w:rFonts w:ascii="Arial" w:hAnsi="Arial" w:cs="Arial"/>
        </w:rPr>
        <w:t xml:space="preserve">consequently the more time it takes to </w:t>
      </w:r>
      <w:r w:rsidR="00616878">
        <w:rPr>
          <w:rFonts w:ascii="Arial" w:hAnsi="Arial" w:cs="Arial"/>
        </w:rPr>
        <w:t>return</w:t>
      </w:r>
      <w:r w:rsidR="007E7E3E">
        <w:rPr>
          <w:rFonts w:ascii="Arial" w:hAnsi="Arial" w:cs="Arial"/>
        </w:rPr>
        <w:t xml:space="preserve"> </w:t>
      </w:r>
      <w:r w:rsidR="00616878">
        <w:rPr>
          <w:rFonts w:ascii="Arial" w:hAnsi="Arial" w:cs="Arial"/>
        </w:rPr>
        <w:t>an</w:t>
      </w:r>
      <w:r w:rsidR="007E7E3E">
        <w:rPr>
          <w:rFonts w:ascii="Arial" w:hAnsi="Arial" w:cs="Arial"/>
        </w:rPr>
        <w:t xml:space="preserve"> initial investment the </w:t>
      </w:r>
      <w:r w:rsidR="00E907B8">
        <w:rPr>
          <w:rFonts w:ascii="Arial" w:hAnsi="Arial" w:cs="Arial"/>
        </w:rPr>
        <w:t xml:space="preserve">more </w:t>
      </w:r>
      <w:r w:rsidR="00661163">
        <w:rPr>
          <w:rFonts w:ascii="Arial" w:hAnsi="Arial" w:cs="Arial"/>
        </w:rPr>
        <w:t>there</w:t>
      </w:r>
      <w:r w:rsidR="007E7E3E">
        <w:rPr>
          <w:rFonts w:ascii="Arial" w:hAnsi="Arial" w:cs="Arial"/>
        </w:rPr>
        <w:t xml:space="preserve"> </w:t>
      </w:r>
      <w:r w:rsidR="00EB62C2">
        <w:rPr>
          <w:rFonts w:ascii="Arial" w:hAnsi="Arial" w:cs="Arial"/>
        </w:rPr>
        <w:t>are</w:t>
      </w:r>
      <w:r w:rsidR="007E7E3E">
        <w:rPr>
          <w:rFonts w:ascii="Arial" w:hAnsi="Arial" w:cs="Arial"/>
        </w:rPr>
        <w:t xml:space="preserve"> </w:t>
      </w:r>
      <w:r w:rsidR="00EB62C2">
        <w:rPr>
          <w:rFonts w:ascii="Arial" w:hAnsi="Arial" w:cs="Arial"/>
        </w:rPr>
        <w:t>(</w:t>
      </w:r>
      <w:r w:rsidR="007E7E3E">
        <w:rPr>
          <w:rFonts w:ascii="Arial" w:hAnsi="Arial" w:cs="Arial"/>
        </w:rPr>
        <w:t>risk</w:t>
      </w:r>
      <w:r w:rsidR="00EB62C2">
        <w:rPr>
          <w:rFonts w:ascii="Arial" w:hAnsi="Arial" w:cs="Arial"/>
        </w:rPr>
        <w:t>s)</w:t>
      </w:r>
      <w:r w:rsidR="00E907B8">
        <w:rPr>
          <w:rFonts w:ascii="Arial" w:hAnsi="Arial" w:cs="Arial"/>
        </w:rPr>
        <w:t xml:space="preserve"> ass</w:t>
      </w:r>
      <w:r w:rsidR="009413FA">
        <w:rPr>
          <w:rFonts w:ascii="Arial" w:hAnsi="Arial" w:cs="Arial"/>
        </w:rPr>
        <w:t xml:space="preserve">ociated with that </w:t>
      </w:r>
      <w:r w:rsidR="0023633E">
        <w:rPr>
          <w:rFonts w:ascii="Arial" w:hAnsi="Arial" w:cs="Arial"/>
        </w:rPr>
        <w:t xml:space="preserve">particular </w:t>
      </w:r>
      <w:r w:rsidR="009413FA">
        <w:rPr>
          <w:rFonts w:ascii="Arial" w:hAnsi="Arial" w:cs="Arial"/>
        </w:rPr>
        <w:t>investment</w:t>
      </w:r>
      <w:r w:rsidR="00EB62C2">
        <w:rPr>
          <w:rFonts w:ascii="Arial" w:hAnsi="Arial" w:cs="Arial"/>
        </w:rPr>
        <w:t xml:space="preserve">. </w:t>
      </w:r>
      <w:r w:rsidR="009B29A5">
        <w:rPr>
          <w:rFonts w:ascii="Arial" w:hAnsi="Arial" w:cs="Arial"/>
        </w:rPr>
        <w:t>Furt</w:t>
      </w:r>
      <w:r w:rsidR="006115C9">
        <w:rPr>
          <w:rFonts w:ascii="Arial" w:hAnsi="Arial" w:cs="Arial"/>
        </w:rPr>
        <w:t>h</w:t>
      </w:r>
      <w:r w:rsidR="009B29A5">
        <w:rPr>
          <w:rFonts w:ascii="Arial" w:hAnsi="Arial" w:cs="Arial"/>
        </w:rPr>
        <w:t>ermor</w:t>
      </w:r>
      <w:r w:rsidR="006115C9">
        <w:rPr>
          <w:rFonts w:ascii="Arial" w:hAnsi="Arial" w:cs="Arial"/>
        </w:rPr>
        <w:t>e</w:t>
      </w:r>
      <w:r w:rsidR="009B29A5">
        <w:rPr>
          <w:rFonts w:ascii="Arial" w:hAnsi="Arial" w:cs="Arial"/>
        </w:rPr>
        <w:t>,</w:t>
      </w:r>
      <w:r w:rsidR="006115C9">
        <w:rPr>
          <w:rFonts w:ascii="Arial" w:hAnsi="Arial" w:cs="Arial"/>
        </w:rPr>
        <w:t xml:space="preserve"> in addition to the weaknesses already mentioned by </w:t>
      </w:r>
      <w:r w:rsidR="009017E0" w:rsidRPr="0099267B">
        <w:rPr>
          <w:rFonts w:ascii="Arial" w:hAnsi="Arial" w:cs="Arial"/>
        </w:rPr>
        <w:t>Adeniyi et al. (2012)</w:t>
      </w:r>
      <w:r w:rsidR="009017E0">
        <w:rPr>
          <w:rFonts w:ascii="Arial" w:hAnsi="Arial" w:cs="Arial"/>
        </w:rPr>
        <w:t xml:space="preserve"> </w:t>
      </w:r>
      <w:r w:rsidR="00E85079">
        <w:rPr>
          <w:rFonts w:ascii="Arial" w:hAnsi="Arial" w:cs="Arial"/>
        </w:rPr>
        <w:t xml:space="preserve">this technique does not take-into-account </w:t>
      </w:r>
      <w:r w:rsidR="00910841">
        <w:rPr>
          <w:rFonts w:ascii="Arial" w:hAnsi="Arial" w:cs="Arial"/>
        </w:rPr>
        <w:t xml:space="preserve">the time value of money, </w:t>
      </w:r>
      <w:r w:rsidR="00F94409">
        <w:rPr>
          <w:rFonts w:ascii="Arial" w:hAnsi="Arial" w:cs="Arial"/>
        </w:rPr>
        <w:t>ther</w:t>
      </w:r>
      <w:r w:rsidR="00451B37">
        <w:rPr>
          <w:rFonts w:ascii="Arial" w:hAnsi="Arial" w:cs="Arial"/>
        </w:rPr>
        <w:t>e</w:t>
      </w:r>
      <w:r w:rsidR="00F94409">
        <w:rPr>
          <w:rFonts w:ascii="Arial" w:hAnsi="Arial" w:cs="Arial"/>
        </w:rPr>
        <w:t>fore</w:t>
      </w:r>
      <w:r w:rsidR="0098731C">
        <w:rPr>
          <w:rFonts w:ascii="Arial" w:hAnsi="Arial" w:cs="Arial"/>
        </w:rPr>
        <w:t>, not allowing for an even balance to cash flows</w:t>
      </w:r>
      <w:r w:rsidR="003C2F29">
        <w:rPr>
          <w:rFonts w:ascii="Arial" w:hAnsi="Arial" w:cs="Arial"/>
        </w:rPr>
        <w:t xml:space="preserve">, </w:t>
      </w:r>
      <w:r w:rsidR="003A023C">
        <w:rPr>
          <w:rFonts w:ascii="Arial" w:hAnsi="Arial" w:cs="Arial"/>
        </w:rPr>
        <w:t xml:space="preserve">and disregards the time it takes </w:t>
      </w:r>
      <w:r w:rsidR="008E6F83">
        <w:rPr>
          <w:rFonts w:ascii="Arial" w:hAnsi="Arial" w:cs="Arial"/>
        </w:rPr>
        <w:t>to happen. In addition</w:t>
      </w:r>
      <w:r w:rsidR="00366A76">
        <w:rPr>
          <w:rFonts w:ascii="Arial" w:hAnsi="Arial" w:cs="Arial"/>
        </w:rPr>
        <w:t>, it does not take</w:t>
      </w:r>
      <w:r w:rsidR="004B009A">
        <w:rPr>
          <w:rFonts w:ascii="Arial" w:hAnsi="Arial" w:cs="Arial"/>
        </w:rPr>
        <w:t>-</w:t>
      </w:r>
      <w:r w:rsidR="00366A76">
        <w:rPr>
          <w:rFonts w:ascii="Arial" w:hAnsi="Arial" w:cs="Arial"/>
        </w:rPr>
        <w:t>into</w:t>
      </w:r>
      <w:r w:rsidR="004B009A">
        <w:rPr>
          <w:rFonts w:ascii="Arial" w:hAnsi="Arial" w:cs="Arial"/>
        </w:rPr>
        <w:t>-</w:t>
      </w:r>
      <w:r w:rsidR="00366A76">
        <w:rPr>
          <w:rFonts w:ascii="Arial" w:hAnsi="Arial" w:cs="Arial"/>
        </w:rPr>
        <w:t>account</w:t>
      </w:r>
      <w:r w:rsidR="00492C05">
        <w:rPr>
          <w:rFonts w:ascii="Arial" w:hAnsi="Arial" w:cs="Arial"/>
        </w:rPr>
        <w:t xml:space="preserve"> any</w:t>
      </w:r>
      <w:r w:rsidR="00366A76">
        <w:rPr>
          <w:rFonts w:ascii="Arial" w:hAnsi="Arial" w:cs="Arial"/>
        </w:rPr>
        <w:t xml:space="preserve"> </w:t>
      </w:r>
      <w:r w:rsidR="00DC726A">
        <w:rPr>
          <w:rFonts w:ascii="Arial" w:hAnsi="Arial" w:cs="Arial"/>
        </w:rPr>
        <w:t xml:space="preserve">payback period, </w:t>
      </w:r>
      <w:r w:rsidR="00DC367A">
        <w:rPr>
          <w:rFonts w:ascii="Arial" w:hAnsi="Arial" w:cs="Arial"/>
        </w:rPr>
        <w:t>therefore, not being able to</w:t>
      </w:r>
      <w:r w:rsidR="00471E61">
        <w:rPr>
          <w:rFonts w:ascii="Arial" w:hAnsi="Arial" w:cs="Arial"/>
        </w:rPr>
        <w:t xml:space="preserve"> be</w:t>
      </w:r>
      <w:r w:rsidR="009B0EDD">
        <w:rPr>
          <w:rFonts w:ascii="Arial" w:hAnsi="Arial" w:cs="Arial"/>
        </w:rPr>
        <w:t xml:space="preserve"> </w:t>
      </w:r>
      <w:r w:rsidR="00471E61">
        <w:rPr>
          <w:rFonts w:ascii="Arial" w:hAnsi="Arial" w:cs="Arial"/>
        </w:rPr>
        <w:t>utilise</w:t>
      </w:r>
      <w:r w:rsidR="00B7074F">
        <w:rPr>
          <w:rFonts w:ascii="Arial" w:hAnsi="Arial" w:cs="Arial"/>
        </w:rPr>
        <w:t xml:space="preserve">d and </w:t>
      </w:r>
      <w:r w:rsidR="004B009A">
        <w:rPr>
          <w:rFonts w:ascii="Arial" w:hAnsi="Arial" w:cs="Arial"/>
        </w:rPr>
        <w:t xml:space="preserve">gauge </w:t>
      </w:r>
      <w:r w:rsidR="00184FE2">
        <w:rPr>
          <w:rFonts w:ascii="Arial" w:hAnsi="Arial" w:cs="Arial"/>
        </w:rPr>
        <w:t>certain schemes</w:t>
      </w:r>
      <w:r w:rsidR="00082787">
        <w:rPr>
          <w:rFonts w:ascii="Arial" w:hAnsi="Arial" w:cs="Arial"/>
        </w:rPr>
        <w:t xml:space="preserve">, </w:t>
      </w:r>
      <w:r w:rsidR="003A5A6A">
        <w:rPr>
          <w:rFonts w:ascii="Arial" w:hAnsi="Arial" w:cs="Arial"/>
        </w:rPr>
        <w:t xml:space="preserve">which is due to the lack of </w:t>
      </w:r>
      <w:r w:rsidR="00473F99">
        <w:rPr>
          <w:rFonts w:ascii="Arial" w:hAnsi="Arial" w:cs="Arial"/>
        </w:rPr>
        <w:t xml:space="preserve">indiscriminate </w:t>
      </w:r>
      <w:r w:rsidR="00632D2F">
        <w:rPr>
          <w:rFonts w:ascii="Arial" w:hAnsi="Arial" w:cs="Arial"/>
        </w:rPr>
        <w:t>assessment of schemes</w:t>
      </w:r>
      <w:r w:rsidR="00DC5E35">
        <w:rPr>
          <w:rFonts w:ascii="Arial" w:hAnsi="Arial" w:cs="Arial"/>
        </w:rPr>
        <w:t>.</w:t>
      </w:r>
      <w:r w:rsidR="00471E61">
        <w:rPr>
          <w:rFonts w:ascii="Arial" w:hAnsi="Arial" w:cs="Arial"/>
        </w:rPr>
        <w:t xml:space="preserve"> </w:t>
      </w:r>
      <w:r w:rsidR="00FB4732">
        <w:rPr>
          <w:rFonts w:ascii="Arial" w:hAnsi="Arial" w:cs="Arial"/>
        </w:rPr>
        <w:t>P</w:t>
      </w:r>
      <w:r w:rsidR="002E15B8">
        <w:rPr>
          <w:rFonts w:ascii="Arial" w:hAnsi="Arial" w:cs="Arial"/>
        </w:rPr>
        <w:t xml:space="preserve">rofit-making schemes </w:t>
      </w:r>
      <w:r w:rsidR="00D032F0">
        <w:rPr>
          <w:rFonts w:ascii="Arial" w:hAnsi="Arial" w:cs="Arial"/>
        </w:rPr>
        <w:t xml:space="preserve">with </w:t>
      </w:r>
      <w:r w:rsidR="00134B29">
        <w:rPr>
          <w:rFonts w:ascii="Arial" w:hAnsi="Arial" w:cs="Arial"/>
        </w:rPr>
        <w:t>distant</w:t>
      </w:r>
      <w:r w:rsidR="002773BC">
        <w:rPr>
          <w:rFonts w:ascii="Arial" w:hAnsi="Arial" w:cs="Arial"/>
        </w:rPr>
        <w:t xml:space="preserve"> </w:t>
      </w:r>
      <w:r w:rsidR="00850EEA">
        <w:rPr>
          <w:rFonts w:ascii="Arial" w:hAnsi="Arial" w:cs="Arial"/>
        </w:rPr>
        <w:t xml:space="preserve">financial </w:t>
      </w:r>
      <w:proofErr w:type="gramStart"/>
      <w:r w:rsidR="00850EEA">
        <w:rPr>
          <w:rFonts w:ascii="Arial" w:hAnsi="Arial" w:cs="Arial"/>
        </w:rPr>
        <w:t>returns</w:t>
      </w:r>
      <w:r w:rsidR="00C37E36">
        <w:rPr>
          <w:rFonts w:ascii="Arial" w:hAnsi="Arial" w:cs="Arial"/>
        </w:rPr>
        <w:t>,</w:t>
      </w:r>
      <w:proofErr w:type="gramEnd"/>
      <w:r w:rsidR="00C37E36">
        <w:rPr>
          <w:rFonts w:ascii="Arial" w:hAnsi="Arial" w:cs="Arial"/>
        </w:rPr>
        <w:t xml:space="preserve"> are shelved for </w:t>
      </w:r>
      <w:r w:rsidR="00134B29">
        <w:rPr>
          <w:rFonts w:ascii="Arial" w:hAnsi="Arial" w:cs="Arial"/>
        </w:rPr>
        <w:t xml:space="preserve">the schemes </w:t>
      </w:r>
      <w:r w:rsidR="00474FCE">
        <w:rPr>
          <w:rFonts w:ascii="Arial" w:hAnsi="Arial" w:cs="Arial"/>
        </w:rPr>
        <w:t>that return investment</w:t>
      </w:r>
      <w:r w:rsidR="00F40573">
        <w:rPr>
          <w:rFonts w:ascii="Arial" w:hAnsi="Arial" w:cs="Arial"/>
        </w:rPr>
        <w:t>s</w:t>
      </w:r>
      <w:r w:rsidR="00BE4EA0">
        <w:rPr>
          <w:rFonts w:ascii="Arial" w:hAnsi="Arial" w:cs="Arial"/>
        </w:rPr>
        <w:t xml:space="preserve"> much faster</w:t>
      </w:r>
      <w:r w:rsidR="003B78FD">
        <w:rPr>
          <w:rFonts w:ascii="Arial" w:hAnsi="Arial" w:cs="Arial"/>
        </w:rPr>
        <w:t xml:space="preserve"> </w:t>
      </w:r>
      <w:r w:rsidR="004F0A8E">
        <w:rPr>
          <w:rFonts w:ascii="Arial" w:hAnsi="Arial" w:cs="Arial"/>
        </w:rPr>
        <w:t>and m</w:t>
      </w:r>
      <w:r w:rsidR="00CC34CE">
        <w:rPr>
          <w:rFonts w:ascii="Arial" w:hAnsi="Arial" w:cs="Arial"/>
        </w:rPr>
        <w:t xml:space="preserve">ight not be as </w:t>
      </w:r>
      <w:r w:rsidR="00FA0D99">
        <w:rPr>
          <w:rFonts w:ascii="Arial" w:hAnsi="Arial" w:cs="Arial"/>
        </w:rPr>
        <w:t>beneficial financial</w:t>
      </w:r>
      <w:r w:rsidR="00B43193">
        <w:rPr>
          <w:rFonts w:ascii="Arial" w:hAnsi="Arial" w:cs="Arial"/>
        </w:rPr>
        <w:t>l</w:t>
      </w:r>
      <w:r w:rsidR="00FA0D99">
        <w:rPr>
          <w:rFonts w:ascii="Arial" w:hAnsi="Arial" w:cs="Arial"/>
        </w:rPr>
        <w:t>y</w:t>
      </w:r>
      <w:r w:rsidR="003B78FD">
        <w:rPr>
          <w:rFonts w:ascii="Arial" w:hAnsi="Arial" w:cs="Arial"/>
        </w:rPr>
        <w:t xml:space="preserve">. </w:t>
      </w:r>
    </w:p>
    <w:p w14:paraId="7C0512CC" w14:textId="7355A294" w:rsidR="00C902B8" w:rsidRPr="00F40573" w:rsidRDefault="003B78FD" w:rsidP="007A6AFA">
      <w:pPr>
        <w:jc w:val="both"/>
        <w:rPr>
          <w:rFonts w:ascii="Arial" w:hAnsi="Arial" w:cs="Arial"/>
        </w:rPr>
      </w:pPr>
      <w:r>
        <w:rPr>
          <w:rFonts w:ascii="Arial" w:hAnsi="Arial" w:cs="Arial"/>
        </w:rPr>
        <w:lastRenderedPageBreak/>
        <w:t xml:space="preserve">Even though </w:t>
      </w:r>
      <w:r w:rsidR="001A2E2F">
        <w:rPr>
          <w:rFonts w:ascii="Arial" w:hAnsi="Arial" w:cs="Arial"/>
        </w:rPr>
        <w:t xml:space="preserve">the discounted payback </w:t>
      </w:r>
      <w:proofErr w:type="gramStart"/>
      <w:r w:rsidR="001A2E2F">
        <w:rPr>
          <w:rFonts w:ascii="Arial" w:hAnsi="Arial" w:cs="Arial"/>
        </w:rPr>
        <w:t>technique</w:t>
      </w:r>
      <w:r w:rsidR="00EC4AF4">
        <w:rPr>
          <w:rFonts w:ascii="Arial" w:hAnsi="Arial" w:cs="Arial"/>
        </w:rPr>
        <w:t>s</w:t>
      </w:r>
      <w:r w:rsidR="001A2E2F">
        <w:rPr>
          <w:rFonts w:ascii="Arial" w:hAnsi="Arial" w:cs="Arial"/>
        </w:rPr>
        <w:t>,</w:t>
      </w:r>
      <w:proofErr w:type="gramEnd"/>
      <w:r w:rsidR="001A2E2F">
        <w:rPr>
          <w:rFonts w:ascii="Arial" w:hAnsi="Arial" w:cs="Arial"/>
        </w:rPr>
        <w:t xml:space="preserve"> </w:t>
      </w:r>
      <w:r w:rsidR="00D045A2">
        <w:rPr>
          <w:rFonts w:ascii="Arial" w:hAnsi="Arial" w:cs="Arial"/>
        </w:rPr>
        <w:t>ha</w:t>
      </w:r>
      <w:r w:rsidR="00EC4AF4">
        <w:rPr>
          <w:rFonts w:ascii="Arial" w:hAnsi="Arial" w:cs="Arial"/>
        </w:rPr>
        <w:t>ve</w:t>
      </w:r>
      <w:r w:rsidR="00D045A2">
        <w:rPr>
          <w:rFonts w:ascii="Arial" w:hAnsi="Arial" w:cs="Arial"/>
        </w:rPr>
        <w:t xml:space="preserve"> a modern outlook</w:t>
      </w:r>
      <w:r w:rsidR="003C0B8D">
        <w:rPr>
          <w:rFonts w:ascii="Arial" w:hAnsi="Arial" w:cs="Arial"/>
        </w:rPr>
        <w:t xml:space="preserve">, </w:t>
      </w:r>
      <w:r w:rsidR="00506788">
        <w:rPr>
          <w:rFonts w:ascii="Arial" w:hAnsi="Arial" w:cs="Arial"/>
        </w:rPr>
        <w:t xml:space="preserve">the implementation </w:t>
      </w:r>
      <w:r w:rsidR="00D457E1">
        <w:rPr>
          <w:rFonts w:ascii="Arial" w:hAnsi="Arial" w:cs="Arial"/>
        </w:rPr>
        <w:t>of the</w:t>
      </w:r>
      <w:r w:rsidR="005D70FE">
        <w:rPr>
          <w:rFonts w:ascii="Arial" w:hAnsi="Arial" w:cs="Arial"/>
        </w:rPr>
        <w:t xml:space="preserve"> PBP</w:t>
      </w:r>
      <w:r w:rsidR="00D457E1">
        <w:rPr>
          <w:rFonts w:ascii="Arial" w:hAnsi="Arial" w:cs="Arial"/>
        </w:rPr>
        <w:t xml:space="preserve"> process does not</w:t>
      </w:r>
      <w:r w:rsidR="005D70FE">
        <w:rPr>
          <w:rFonts w:ascii="Arial" w:hAnsi="Arial" w:cs="Arial"/>
        </w:rPr>
        <w:t xml:space="preserve"> </w:t>
      </w:r>
      <w:r w:rsidR="001210F1">
        <w:rPr>
          <w:rFonts w:ascii="Arial" w:hAnsi="Arial" w:cs="Arial"/>
        </w:rPr>
        <w:t xml:space="preserve">take into consideration the time </w:t>
      </w:r>
      <w:r w:rsidR="00E26432">
        <w:rPr>
          <w:rFonts w:ascii="Arial" w:hAnsi="Arial" w:cs="Arial"/>
        </w:rPr>
        <w:t>value that money has,</w:t>
      </w:r>
      <w:r w:rsidR="00A720DB">
        <w:rPr>
          <w:rFonts w:ascii="Arial" w:hAnsi="Arial" w:cs="Arial"/>
        </w:rPr>
        <w:t xml:space="preserve"> </w:t>
      </w:r>
      <w:r w:rsidR="00A720DB" w:rsidRPr="00EB6E92">
        <w:rPr>
          <w:rFonts w:ascii="Arial" w:hAnsi="Arial" w:cs="Arial"/>
          <w:i/>
          <w:iCs/>
        </w:rPr>
        <w:t>already mentioned above</w:t>
      </w:r>
      <w:r w:rsidR="00EB6E92">
        <w:rPr>
          <w:rFonts w:ascii="Arial" w:hAnsi="Arial" w:cs="Arial"/>
        </w:rPr>
        <w:t>,</w:t>
      </w:r>
      <w:r w:rsidR="00E26432">
        <w:rPr>
          <w:rFonts w:ascii="Arial" w:hAnsi="Arial" w:cs="Arial"/>
        </w:rPr>
        <w:t xml:space="preserve"> or the risks ass</w:t>
      </w:r>
      <w:r w:rsidR="00051324">
        <w:rPr>
          <w:rFonts w:ascii="Arial" w:hAnsi="Arial" w:cs="Arial"/>
        </w:rPr>
        <w:t>o</w:t>
      </w:r>
      <w:r w:rsidR="00E26432">
        <w:rPr>
          <w:rFonts w:ascii="Arial" w:hAnsi="Arial" w:cs="Arial"/>
        </w:rPr>
        <w:t>ci</w:t>
      </w:r>
      <w:r w:rsidR="00051324">
        <w:rPr>
          <w:rFonts w:ascii="Arial" w:hAnsi="Arial" w:cs="Arial"/>
        </w:rPr>
        <w:t>ated</w:t>
      </w:r>
      <w:r w:rsidR="00F851DB">
        <w:rPr>
          <w:rFonts w:ascii="Arial" w:hAnsi="Arial" w:cs="Arial"/>
        </w:rPr>
        <w:t xml:space="preserve"> with it</w:t>
      </w:r>
      <w:r w:rsidR="003A5B08">
        <w:rPr>
          <w:rFonts w:ascii="Arial" w:hAnsi="Arial" w:cs="Arial"/>
        </w:rPr>
        <w:t>,</w:t>
      </w:r>
      <w:r w:rsidR="00CF1F0D">
        <w:rPr>
          <w:rFonts w:ascii="Arial" w:hAnsi="Arial" w:cs="Arial"/>
        </w:rPr>
        <w:t xml:space="preserve"> e.g., </w:t>
      </w:r>
      <w:r w:rsidR="00F32A82">
        <w:rPr>
          <w:rFonts w:ascii="Arial" w:hAnsi="Arial" w:cs="Arial"/>
        </w:rPr>
        <w:t>inflation</w:t>
      </w:r>
      <w:r w:rsidR="00982851">
        <w:rPr>
          <w:rFonts w:ascii="Arial" w:hAnsi="Arial" w:cs="Arial"/>
        </w:rPr>
        <w:t>, interest rates</w:t>
      </w:r>
      <w:r w:rsidR="007716E3">
        <w:rPr>
          <w:rFonts w:ascii="Arial" w:hAnsi="Arial" w:cs="Arial"/>
        </w:rPr>
        <w:t>, exchange rates, as well as others</w:t>
      </w:r>
      <w:r w:rsidR="00821A9C">
        <w:rPr>
          <w:rFonts w:ascii="Arial" w:hAnsi="Arial" w:cs="Arial"/>
        </w:rPr>
        <w:t xml:space="preserve"> which may </w:t>
      </w:r>
      <w:r w:rsidR="00D11ED0">
        <w:rPr>
          <w:rFonts w:ascii="Arial" w:hAnsi="Arial" w:cs="Arial"/>
        </w:rPr>
        <w:t>i</w:t>
      </w:r>
      <w:r w:rsidR="001D4528">
        <w:rPr>
          <w:rFonts w:ascii="Arial" w:hAnsi="Arial" w:cs="Arial"/>
        </w:rPr>
        <w:t xml:space="preserve">mpact </w:t>
      </w:r>
      <w:r w:rsidR="00D447CB">
        <w:rPr>
          <w:rFonts w:ascii="Arial" w:hAnsi="Arial" w:cs="Arial"/>
        </w:rPr>
        <w:t xml:space="preserve">future </w:t>
      </w:r>
      <w:r w:rsidR="005551CC">
        <w:rPr>
          <w:rFonts w:ascii="Arial" w:hAnsi="Arial" w:cs="Arial"/>
        </w:rPr>
        <w:t>financial gains of an investment.</w:t>
      </w:r>
      <w:r w:rsidR="003A5B08">
        <w:rPr>
          <w:rFonts w:ascii="Arial" w:hAnsi="Arial" w:cs="Arial"/>
        </w:rPr>
        <w:t xml:space="preserve"> </w:t>
      </w:r>
      <w:r w:rsidR="006461C1">
        <w:rPr>
          <w:rFonts w:ascii="Arial" w:hAnsi="Arial" w:cs="Arial"/>
        </w:rPr>
        <w:t xml:space="preserve">The </w:t>
      </w:r>
      <w:r w:rsidR="00541317">
        <w:rPr>
          <w:rFonts w:ascii="Arial" w:hAnsi="Arial" w:cs="Arial"/>
        </w:rPr>
        <w:t xml:space="preserve">recommendation that </w:t>
      </w:r>
      <w:proofErr w:type="gramStart"/>
      <w:r w:rsidR="00541317">
        <w:rPr>
          <w:rFonts w:ascii="Arial" w:hAnsi="Arial" w:cs="Arial"/>
        </w:rPr>
        <w:t xml:space="preserve">has been </w:t>
      </w:r>
      <w:r w:rsidR="00877A60">
        <w:rPr>
          <w:rFonts w:ascii="Arial" w:hAnsi="Arial" w:cs="Arial"/>
        </w:rPr>
        <w:t>administered</w:t>
      </w:r>
      <w:proofErr w:type="gramEnd"/>
      <w:r w:rsidR="005547B0">
        <w:rPr>
          <w:rFonts w:ascii="Arial" w:hAnsi="Arial" w:cs="Arial"/>
        </w:rPr>
        <w:t xml:space="preserve"> to PBP techniques </w:t>
      </w:r>
      <w:r w:rsidR="0025240B">
        <w:rPr>
          <w:rFonts w:ascii="Arial" w:hAnsi="Arial" w:cs="Arial"/>
        </w:rPr>
        <w:t xml:space="preserve">are to only </w:t>
      </w:r>
      <w:r w:rsidR="008F3649">
        <w:rPr>
          <w:rFonts w:ascii="Arial" w:hAnsi="Arial" w:cs="Arial"/>
        </w:rPr>
        <w:t>allow asset/schemes</w:t>
      </w:r>
      <w:r w:rsidR="0044040B">
        <w:rPr>
          <w:rFonts w:ascii="Arial" w:hAnsi="Arial" w:cs="Arial"/>
        </w:rPr>
        <w:t xml:space="preserve"> that will </w:t>
      </w:r>
      <w:r w:rsidR="00AC225D">
        <w:rPr>
          <w:rFonts w:ascii="Arial" w:hAnsi="Arial" w:cs="Arial"/>
        </w:rPr>
        <w:t>payback</w:t>
      </w:r>
      <w:r w:rsidR="00BA1882">
        <w:rPr>
          <w:rFonts w:ascii="Arial" w:hAnsi="Arial" w:cs="Arial"/>
        </w:rPr>
        <w:t xml:space="preserve"> an initial investment which is </w:t>
      </w:r>
      <w:r w:rsidR="007F2007">
        <w:rPr>
          <w:rFonts w:ascii="Arial" w:hAnsi="Arial" w:cs="Arial"/>
        </w:rPr>
        <w:t xml:space="preserve">the same, or which has a </w:t>
      </w:r>
      <w:r w:rsidR="001D3CC0">
        <w:rPr>
          <w:rFonts w:ascii="Arial" w:hAnsi="Arial" w:cs="Arial"/>
        </w:rPr>
        <w:t>pre-pl</w:t>
      </w:r>
      <w:r w:rsidR="0019480C">
        <w:rPr>
          <w:rFonts w:ascii="Arial" w:hAnsi="Arial" w:cs="Arial"/>
        </w:rPr>
        <w:t>anned investment time.</w:t>
      </w:r>
      <w:r w:rsidR="00F851DB">
        <w:rPr>
          <w:rFonts w:ascii="Arial" w:hAnsi="Arial" w:cs="Arial"/>
        </w:rPr>
        <w:t xml:space="preserve"> </w:t>
      </w:r>
      <w:r w:rsidR="007178A3">
        <w:rPr>
          <w:rFonts w:ascii="Arial" w:hAnsi="Arial" w:cs="Arial"/>
        </w:rPr>
        <w:t>He</w:t>
      </w:r>
      <w:r w:rsidR="0011277E">
        <w:rPr>
          <w:rFonts w:ascii="Arial" w:hAnsi="Arial" w:cs="Arial"/>
        </w:rPr>
        <w:t>n</w:t>
      </w:r>
      <w:r w:rsidR="007178A3">
        <w:rPr>
          <w:rFonts w:ascii="Arial" w:hAnsi="Arial" w:cs="Arial"/>
        </w:rPr>
        <w:t>ce</w:t>
      </w:r>
      <w:r w:rsidR="0011277E">
        <w:rPr>
          <w:rFonts w:ascii="Arial" w:hAnsi="Arial" w:cs="Arial"/>
        </w:rPr>
        <w:t>, although an investment may show profit</w:t>
      </w:r>
      <w:r w:rsidR="00B231AB">
        <w:rPr>
          <w:rFonts w:ascii="Arial" w:hAnsi="Arial" w:cs="Arial"/>
        </w:rPr>
        <w:t>ability</w:t>
      </w:r>
      <w:r w:rsidR="0011277E">
        <w:rPr>
          <w:rFonts w:ascii="Arial" w:hAnsi="Arial" w:cs="Arial"/>
        </w:rPr>
        <w:t xml:space="preserve"> </w:t>
      </w:r>
      <w:r w:rsidR="009633B1">
        <w:rPr>
          <w:rFonts w:ascii="Arial" w:hAnsi="Arial" w:cs="Arial"/>
        </w:rPr>
        <w:t>but takes a considerable amount of time to</w:t>
      </w:r>
      <w:r w:rsidR="007F5313">
        <w:rPr>
          <w:rFonts w:ascii="Arial" w:hAnsi="Arial" w:cs="Arial"/>
        </w:rPr>
        <w:t xml:space="preserve"> return</w:t>
      </w:r>
      <w:r w:rsidR="007A4FCA">
        <w:rPr>
          <w:rFonts w:ascii="Arial" w:hAnsi="Arial" w:cs="Arial"/>
        </w:rPr>
        <w:t xml:space="preserve"> on the investment period, these schemes </w:t>
      </w:r>
      <w:proofErr w:type="gramStart"/>
      <w:r w:rsidR="007A4FCA">
        <w:rPr>
          <w:rFonts w:ascii="Arial" w:hAnsi="Arial" w:cs="Arial"/>
        </w:rPr>
        <w:t>are normally shelved</w:t>
      </w:r>
      <w:proofErr w:type="gramEnd"/>
      <w:r w:rsidR="003B2B40">
        <w:rPr>
          <w:rFonts w:ascii="Arial" w:hAnsi="Arial" w:cs="Arial"/>
        </w:rPr>
        <w:t xml:space="preserve">. Furthermore, </w:t>
      </w:r>
      <w:r w:rsidR="00210009">
        <w:rPr>
          <w:rFonts w:ascii="Arial" w:hAnsi="Arial" w:cs="Arial"/>
        </w:rPr>
        <w:t>PBP Technique</w:t>
      </w:r>
      <w:r w:rsidR="00B231AB">
        <w:rPr>
          <w:rFonts w:ascii="Arial" w:hAnsi="Arial" w:cs="Arial"/>
        </w:rPr>
        <w:t xml:space="preserve"> </w:t>
      </w:r>
      <w:r w:rsidR="00935995">
        <w:rPr>
          <w:rFonts w:ascii="Arial" w:hAnsi="Arial" w:cs="Arial"/>
        </w:rPr>
        <w:t>principles</w:t>
      </w:r>
      <w:r w:rsidR="00CD6B5D">
        <w:rPr>
          <w:rFonts w:ascii="Arial" w:hAnsi="Arial" w:cs="Arial"/>
        </w:rPr>
        <w:t xml:space="preserve"> rel</w:t>
      </w:r>
      <w:r w:rsidR="005A7F3F">
        <w:rPr>
          <w:rFonts w:ascii="Arial" w:hAnsi="Arial" w:cs="Arial"/>
        </w:rPr>
        <w:t>ies</w:t>
      </w:r>
      <w:r w:rsidR="00CD6B5D">
        <w:rPr>
          <w:rFonts w:ascii="Arial" w:hAnsi="Arial" w:cs="Arial"/>
        </w:rPr>
        <w:t xml:space="preserve"> on the type of scheme and the cash</w:t>
      </w:r>
      <w:r w:rsidR="00106116">
        <w:rPr>
          <w:rFonts w:ascii="Arial" w:hAnsi="Arial" w:cs="Arial"/>
        </w:rPr>
        <w:t xml:space="preserve"> it returns</w:t>
      </w:r>
      <w:r w:rsidR="00CD6B5D">
        <w:rPr>
          <w:rFonts w:ascii="Arial" w:hAnsi="Arial" w:cs="Arial"/>
        </w:rPr>
        <w:t xml:space="preserve"> </w:t>
      </w:r>
      <w:bookmarkStart w:id="33" w:name="_Hlk71454603"/>
      <w:r w:rsidR="00CF638B">
        <w:rPr>
          <w:rFonts w:ascii="Arial" w:hAnsi="Arial" w:cs="Arial"/>
        </w:rPr>
        <w:t xml:space="preserve">(Adeniyi et al., 2012). </w:t>
      </w:r>
      <w:r w:rsidR="007178A3">
        <w:rPr>
          <w:rFonts w:ascii="Arial" w:hAnsi="Arial" w:cs="Arial"/>
        </w:rPr>
        <w:t xml:space="preserve"> </w:t>
      </w:r>
      <w:r w:rsidR="00051324">
        <w:rPr>
          <w:rFonts w:ascii="Arial" w:hAnsi="Arial" w:cs="Arial"/>
        </w:rPr>
        <w:t xml:space="preserve"> </w:t>
      </w:r>
      <w:r>
        <w:rPr>
          <w:rFonts w:ascii="Arial" w:hAnsi="Arial" w:cs="Arial"/>
        </w:rPr>
        <w:t xml:space="preserve"> </w:t>
      </w:r>
      <w:bookmarkEnd w:id="33"/>
    </w:p>
    <w:p w14:paraId="7E3DEF57" w14:textId="3F386612" w:rsidR="002D30D6" w:rsidRPr="00F904D4" w:rsidRDefault="002D30D6" w:rsidP="002D30D6">
      <w:pPr>
        <w:jc w:val="both"/>
        <w:rPr>
          <w:rFonts w:ascii="Arial" w:hAnsi="Arial" w:cs="Arial"/>
          <w:b/>
          <w:bCs/>
          <w:i/>
          <w:iCs/>
        </w:rPr>
      </w:pPr>
      <w:r w:rsidRPr="00F904D4">
        <w:rPr>
          <w:rFonts w:ascii="Arial" w:hAnsi="Arial" w:cs="Arial"/>
          <w:b/>
          <w:bCs/>
          <w:i/>
          <w:iCs/>
        </w:rPr>
        <w:t xml:space="preserve">The technique above will be </w:t>
      </w:r>
      <w:proofErr w:type="gramStart"/>
      <w:r w:rsidRPr="00F904D4">
        <w:rPr>
          <w:rFonts w:ascii="Arial" w:hAnsi="Arial" w:cs="Arial"/>
          <w:b/>
          <w:bCs/>
          <w:i/>
          <w:iCs/>
        </w:rPr>
        <w:t xml:space="preserve">applied  </w:t>
      </w:r>
      <w:r w:rsidR="008B2403">
        <w:rPr>
          <w:rFonts w:ascii="Arial" w:hAnsi="Arial" w:cs="Arial"/>
          <w:b/>
          <w:bCs/>
          <w:i/>
          <w:iCs/>
        </w:rPr>
        <w:t>in</w:t>
      </w:r>
      <w:proofErr w:type="gramEnd"/>
      <w:r w:rsidR="008B2403">
        <w:rPr>
          <w:rFonts w:ascii="Arial" w:hAnsi="Arial" w:cs="Arial"/>
          <w:b/>
          <w:bCs/>
          <w:i/>
          <w:iCs/>
        </w:rPr>
        <w:t xml:space="preserve"> this section</w:t>
      </w:r>
      <w:r w:rsidR="00E82B02">
        <w:rPr>
          <w:rFonts w:ascii="Arial" w:hAnsi="Arial" w:cs="Arial"/>
          <w:b/>
          <w:bCs/>
          <w:i/>
          <w:iCs/>
        </w:rPr>
        <w:t xml:space="preserve"> to</w:t>
      </w:r>
      <w:r w:rsidR="00B115FB">
        <w:rPr>
          <w:rFonts w:ascii="Arial" w:hAnsi="Arial" w:cs="Arial"/>
          <w:b/>
          <w:bCs/>
          <w:i/>
          <w:iCs/>
        </w:rPr>
        <w:t xml:space="preserve"> GSK</w:t>
      </w:r>
      <w:r w:rsidR="00E82B02">
        <w:rPr>
          <w:rFonts w:ascii="Arial" w:hAnsi="Arial" w:cs="Arial"/>
          <w:b/>
          <w:bCs/>
          <w:i/>
          <w:iCs/>
        </w:rPr>
        <w:t xml:space="preserve"> which</w:t>
      </w:r>
      <w:r w:rsidRPr="00F904D4">
        <w:rPr>
          <w:rFonts w:ascii="Arial" w:hAnsi="Arial" w:cs="Arial"/>
          <w:b/>
          <w:bCs/>
          <w:i/>
          <w:iCs/>
        </w:rPr>
        <w:t xml:space="preserve"> </w:t>
      </w:r>
      <w:r w:rsidR="00F904D4" w:rsidRPr="00F904D4">
        <w:rPr>
          <w:rFonts w:ascii="Arial" w:hAnsi="Arial" w:cs="Arial"/>
          <w:b/>
          <w:bCs/>
          <w:i/>
          <w:iCs/>
        </w:rPr>
        <w:t>will be</w:t>
      </w:r>
      <w:r w:rsidR="00E82B02">
        <w:rPr>
          <w:rFonts w:ascii="Arial" w:hAnsi="Arial" w:cs="Arial"/>
          <w:b/>
          <w:bCs/>
          <w:i/>
          <w:iCs/>
        </w:rPr>
        <w:t xml:space="preserve"> the</w:t>
      </w:r>
      <w:r w:rsidRPr="00F904D4">
        <w:rPr>
          <w:rFonts w:ascii="Arial" w:hAnsi="Arial" w:cs="Arial"/>
          <w:b/>
          <w:bCs/>
          <w:i/>
          <w:iCs/>
        </w:rPr>
        <w:t xml:space="preserve"> Payback Period (PBP)</w:t>
      </w:r>
      <w:r w:rsidR="00A16813">
        <w:rPr>
          <w:rFonts w:ascii="Arial" w:hAnsi="Arial" w:cs="Arial"/>
          <w:b/>
          <w:bCs/>
          <w:i/>
          <w:iCs/>
        </w:rPr>
        <w:t xml:space="preserve">, which will denote what </w:t>
      </w:r>
      <w:r w:rsidR="00823DBF">
        <w:rPr>
          <w:rFonts w:ascii="Arial" w:hAnsi="Arial" w:cs="Arial"/>
          <w:b/>
          <w:bCs/>
          <w:i/>
          <w:iCs/>
        </w:rPr>
        <w:t>project the organisation should invest in</w:t>
      </w:r>
      <w:r w:rsidR="00865CF2">
        <w:rPr>
          <w:rFonts w:ascii="Arial" w:hAnsi="Arial" w:cs="Arial"/>
          <w:b/>
          <w:bCs/>
          <w:i/>
          <w:iCs/>
        </w:rPr>
        <w:t xml:space="preserve"> for the future</w:t>
      </w:r>
      <w:r w:rsidR="00AA4257">
        <w:rPr>
          <w:rFonts w:ascii="Arial" w:hAnsi="Arial" w:cs="Arial"/>
          <w:b/>
          <w:bCs/>
          <w:i/>
          <w:iCs/>
        </w:rPr>
        <w:t>.</w:t>
      </w:r>
    </w:p>
    <w:p w14:paraId="309DB562" w14:textId="77777777" w:rsidR="006842D8" w:rsidRDefault="006842D8" w:rsidP="001C4500">
      <w:pPr>
        <w:jc w:val="both"/>
        <w:rPr>
          <w:rFonts w:ascii="Arial" w:hAnsi="Arial" w:cs="Arial"/>
          <w:b/>
          <w:bCs/>
          <w:u w:val="single"/>
        </w:rPr>
      </w:pPr>
    </w:p>
    <w:p w14:paraId="4B724828" w14:textId="77777777" w:rsidR="001C4500" w:rsidRPr="00BC48F8" w:rsidRDefault="001C4500" w:rsidP="001C4500">
      <w:pPr>
        <w:jc w:val="both"/>
        <w:rPr>
          <w:rFonts w:ascii="Arial" w:hAnsi="Arial" w:cs="Arial"/>
          <w:b/>
          <w:bCs/>
        </w:rPr>
      </w:pPr>
      <w:r w:rsidRPr="00BC48F8">
        <w:rPr>
          <w:rFonts w:ascii="Arial" w:hAnsi="Arial" w:cs="Arial"/>
          <w:b/>
          <w:bCs/>
        </w:rPr>
        <w:t>Year Projected Cash Flows (£m)</w:t>
      </w:r>
    </w:p>
    <w:p w14:paraId="7A46F4FA" w14:textId="77777777" w:rsidR="001C4500" w:rsidRDefault="001C4500" w:rsidP="001C4500">
      <w:pPr>
        <w:jc w:val="both"/>
        <w:rPr>
          <w:rFonts w:ascii="Arial" w:hAnsi="Arial" w:cs="Arial"/>
        </w:rPr>
      </w:pPr>
      <w:r>
        <w:rPr>
          <w:rFonts w:ascii="Arial" w:hAnsi="Arial" w:cs="Arial"/>
        </w:rPr>
        <w:tab/>
        <w:t>A                                        B</w:t>
      </w:r>
    </w:p>
    <w:p w14:paraId="0F3121D8" w14:textId="77777777" w:rsidR="001C4500" w:rsidRDefault="001C4500" w:rsidP="001C4500">
      <w:pPr>
        <w:jc w:val="both"/>
        <w:rPr>
          <w:rFonts w:ascii="Arial" w:hAnsi="Arial" w:cs="Arial"/>
        </w:rPr>
      </w:pPr>
      <w:r>
        <w:rPr>
          <w:rFonts w:ascii="Arial" w:hAnsi="Arial" w:cs="Arial"/>
        </w:rPr>
        <w:t>0.       -80          -80                -75         -75</w:t>
      </w:r>
    </w:p>
    <w:p w14:paraId="6AEC1B3B" w14:textId="77777777" w:rsidR="001C4500" w:rsidRDefault="001C4500" w:rsidP="001C4500">
      <w:pPr>
        <w:jc w:val="both"/>
        <w:rPr>
          <w:rFonts w:ascii="Arial" w:hAnsi="Arial" w:cs="Arial"/>
        </w:rPr>
      </w:pPr>
      <w:r>
        <w:rPr>
          <w:rFonts w:ascii="Arial" w:hAnsi="Arial" w:cs="Arial"/>
        </w:rPr>
        <w:t>1.        25           55                  50          25</w:t>
      </w:r>
    </w:p>
    <w:p w14:paraId="7EDD965F" w14:textId="77777777" w:rsidR="001C4500" w:rsidRDefault="001C4500" w:rsidP="001C4500">
      <w:pPr>
        <w:jc w:val="both"/>
        <w:rPr>
          <w:rFonts w:ascii="Arial" w:hAnsi="Arial" w:cs="Arial"/>
        </w:rPr>
      </w:pPr>
      <w:r>
        <w:rPr>
          <w:rFonts w:ascii="Arial" w:hAnsi="Arial" w:cs="Arial"/>
        </w:rPr>
        <w:t>2.        25           30                  20          05</w:t>
      </w:r>
    </w:p>
    <w:p w14:paraId="15DEC91A" w14:textId="77777777" w:rsidR="001C4500" w:rsidRDefault="001C4500" w:rsidP="001C4500">
      <w:pPr>
        <w:jc w:val="both"/>
        <w:rPr>
          <w:rFonts w:ascii="Arial" w:hAnsi="Arial" w:cs="Arial"/>
        </w:rPr>
      </w:pPr>
      <w:r>
        <w:rPr>
          <w:rFonts w:ascii="Arial" w:hAnsi="Arial" w:cs="Arial"/>
        </w:rPr>
        <w:t>3.        20           10                  20</w:t>
      </w:r>
    </w:p>
    <w:p w14:paraId="1ED5B766" w14:textId="77777777" w:rsidR="001C4500" w:rsidRDefault="001C4500" w:rsidP="001C4500">
      <w:pPr>
        <w:jc w:val="both"/>
        <w:rPr>
          <w:rFonts w:ascii="Arial" w:hAnsi="Arial" w:cs="Arial"/>
        </w:rPr>
      </w:pPr>
      <w:r>
        <w:rPr>
          <w:rFonts w:ascii="Arial" w:hAnsi="Arial" w:cs="Arial"/>
        </w:rPr>
        <w:t>4.        55                                 10</w:t>
      </w:r>
    </w:p>
    <w:p w14:paraId="6E983626" w14:textId="47EC94E9" w:rsidR="001C4500" w:rsidRDefault="001C4500" w:rsidP="001C4500">
      <w:pPr>
        <w:jc w:val="both"/>
        <w:rPr>
          <w:rFonts w:ascii="Arial" w:hAnsi="Arial" w:cs="Arial"/>
          <w:b/>
          <w:bCs/>
        </w:rPr>
      </w:pPr>
      <w:r w:rsidRPr="003A5004">
        <w:rPr>
          <w:rFonts w:ascii="Arial" w:hAnsi="Arial" w:cs="Arial"/>
          <w:b/>
          <w:bCs/>
        </w:rPr>
        <w:t>3</w:t>
      </w:r>
      <w:proofErr w:type="gramStart"/>
      <w:r w:rsidRPr="003A5004">
        <w:rPr>
          <w:rFonts w:ascii="Arial" w:hAnsi="Arial" w:cs="Arial"/>
          <w:b/>
          <w:bCs/>
        </w:rPr>
        <w:t>+(</w:t>
      </w:r>
      <w:proofErr w:type="gramEnd"/>
      <w:r w:rsidRPr="003A5004">
        <w:rPr>
          <w:rFonts w:ascii="Arial" w:hAnsi="Arial" w:cs="Arial"/>
          <w:b/>
          <w:bCs/>
        </w:rPr>
        <w:t xml:space="preserve">0.18) = 3.18 </w:t>
      </w:r>
      <w:r>
        <w:rPr>
          <w:rFonts w:ascii="Arial" w:hAnsi="Arial" w:cs="Arial"/>
          <w:b/>
          <w:bCs/>
        </w:rPr>
        <w:t>(PBP) A.</w:t>
      </w:r>
      <w:r w:rsidRPr="003A5004">
        <w:rPr>
          <w:rFonts w:ascii="Arial" w:hAnsi="Arial" w:cs="Arial"/>
          <w:b/>
          <w:bCs/>
        </w:rPr>
        <w:t xml:space="preserve">                      2</w:t>
      </w:r>
      <w:proofErr w:type="gramStart"/>
      <w:r w:rsidRPr="003A5004">
        <w:rPr>
          <w:rFonts w:ascii="Arial" w:hAnsi="Arial" w:cs="Arial"/>
          <w:b/>
          <w:bCs/>
        </w:rPr>
        <w:t>+(</w:t>
      </w:r>
      <w:proofErr w:type="gramEnd"/>
      <w:r w:rsidRPr="003A5004">
        <w:rPr>
          <w:rFonts w:ascii="Arial" w:hAnsi="Arial" w:cs="Arial"/>
          <w:b/>
          <w:bCs/>
        </w:rPr>
        <w:t xml:space="preserve">0.25)= 2.25 </w:t>
      </w:r>
      <w:r>
        <w:rPr>
          <w:rFonts w:ascii="Arial" w:hAnsi="Arial" w:cs="Arial"/>
          <w:b/>
          <w:bCs/>
        </w:rPr>
        <w:t xml:space="preserve"> (PBP)  B.</w:t>
      </w:r>
    </w:p>
    <w:p w14:paraId="5D62E617" w14:textId="77777777" w:rsidR="00703D6A" w:rsidRDefault="00703D6A" w:rsidP="001C4500">
      <w:pPr>
        <w:jc w:val="both"/>
        <w:rPr>
          <w:rFonts w:ascii="Arial" w:hAnsi="Arial" w:cs="Arial"/>
          <w:b/>
          <w:bCs/>
          <w:u w:val="single"/>
        </w:rPr>
      </w:pPr>
    </w:p>
    <w:p w14:paraId="4BDA9030" w14:textId="5837280C" w:rsidR="00BB5BDC" w:rsidRPr="00CE0C46" w:rsidRDefault="008407EE" w:rsidP="008407EE">
      <w:pPr>
        <w:pStyle w:val="ListParagraph"/>
        <w:numPr>
          <w:ilvl w:val="0"/>
          <w:numId w:val="3"/>
        </w:numPr>
        <w:jc w:val="both"/>
        <w:rPr>
          <w:rFonts w:ascii="Arial" w:hAnsi="Arial" w:cs="Arial"/>
          <w:b/>
          <w:bCs/>
          <w:i/>
          <w:iCs/>
        </w:rPr>
      </w:pPr>
      <w:r w:rsidRPr="00CE0C46">
        <w:rPr>
          <w:rFonts w:ascii="Arial" w:hAnsi="Arial" w:cs="Arial"/>
          <w:b/>
          <w:bCs/>
          <w:i/>
          <w:iCs/>
        </w:rPr>
        <w:t xml:space="preserve">This project as </w:t>
      </w:r>
      <w:r w:rsidR="00F21CB3" w:rsidRPr="00CE0C46">
        <w:rPr>
          <w:rFonts w:ascii="Arial" w:hAnsi="Arial" w:cs="Arial"/>
          <w:b/>
          <w:bCs/>
          <w:i/>
          <w:iCs/>
        </w:rPr>
        <w:t>represented</w:t>
      </w:r>
      <w:r w:rsidR="00FE62ED" w:rsidRPr="00CE0C46">
        <w:rPr>
          <w:rFonts w:ascii="Arial" w:hAnsi="Arial" w:cs="Arial"/>
          <w:b/>
          <w:bCs/>
          <w:i/>
          <w:iCs/>
        </w:rPr>
        <w:t xml:space="preserve"> above</w:t>
      </w:r>
      <w:r w:rsidRPr="00CE0C46">
        <w:rPr>
          <w:rFonts w:ascii="Arial" w:hAnsi="Arial" w:cs="Arial"/>
          <w:b/>
          <w:bCs/>
          <w:i/>
          <w:iCs/>
        </w:rPr>
        <w:t xml:space="preserve"> by the numbers</w:t>
      </w:r>
      <w:r w:rsidR="00FE62ED" w:rsidRPr="00CE0C46">
        <w:rPr>
          <w:rFonts w:ascii="Arial" w:hAnsi="Arial" w:cs="Arial"/>
          <w:b/>
          <w:bCs/>
          <w:i/>
          <w:iCs/>
        </w:rPr>
        <w:t xml:space="preserve"> will take</w:t>
      </w:r>
      <w:r w:rsidRPr="00CE0C46">
        <w:rPr>
          <w:rFonts w:ascii="Arial" w:hAnsi="Arial" w:cs="Arial"/>
          <w:b/>
          <w:bCs/>
          <w:i/>
          <w:iCs/>
        </w:rPr>
        <w:t xml:space="preserve"> </w:t>
      </w:r>
      <w:r w:rsidR="00E46B07" w:rsidRPr="00CE0C46">
        <w:rPr>
          <w:rFonts w:ascii="Arial" w:hAnsi="Arial" w:cs="Arial"/>
          <w:b/>
          <w:bCs/>
          <w:i/>
          <w:iCs/>
        </w:rPr>
        <w:t>3.18</w:t>
      </w:r>
      <w:r w:rsidR="00A11412" w:rsidRPr="00CE0C46">
        <w:rPr>
          <w:rFonts w:ascii="Arial" w:hAnsi="Arial" w:cs="Arial"/>
          <w:b/>
          <w:bCs/>
          <w:i/>
          <w:iCs/>
        </w:rPr>
        <w:t xml:space="preserve"> years</w:t>
      </w:r>
      <w:r w:rsidR="00FE62ED" w:rsidRPr="00CE0C46">
        <w:rPr>
          <w:rFonts w:ascii="Arial" w:hAnsi="Arial" w:cs="Arial"/>
          <w:b/>
          <w:bCs/>
          <w:i/>
          <w:iCs/>
        </w:rPr>
        <w:t xml:space="preserve"> to </w:t>
      </w:r>
      <w:r w:rsidR="00641B18" w:rsidRPr="00CE0C46">
        <w:rPr>
          <w:rFonts w:ascii="Arial" w:hAnsi="Arial" w:cs="Arial"/>
          <w:b/>
          <w:bCs/>
          <w:i/>
          <w:iCs/>
        </w:rPr>
        <w:t>complete these payments</w:t>
      </w:r>
      <w:r w:rsidR="00EC79D1">
        <w:rPr>
          <w:rFonts w:ascii="Arial" w:hAnsi="Arial" w:cs="Arial"/>
          <w:b/>
          <w:bCs/>
          <w:i/>
          <w:iCs/>
        </w:rPr>
        <w:t xml:space="preserve"> for this pro</w:t>
      </w:r>
      <w:r w:rsidR="00DF1A24">
        <w:rPr>
          <w:rFonts w:ascii="Arial" w:hAnsi="Arial" w:cs="Arial"/>
          <w:b/>
          <w:bCs/>
          <w:i/>
          <w:iCs/>
        </w:rPr>
        <w:t>ject</w:t>
      </w:r>
      <w:r w:rsidR="00BB5BDC" w:rsidRPr="00CE0C46">
        <w:rPr>
          <w:rFonts w:ascii="Arial" w:hAnsi="Arial" w:cs="Arial"/>
          <w:b/>
          <w:bCs/>
          <w:i/>
          <w:iCs/>
        </w:rPr>
        <w:t>.</w:t>
      </w:r>
    </w:p>
    <w:p w14:paraId="5687690D" w14:textId="0C30D3A8" w:rsidR="00B25606" w:rsidRPr="00CE0C46" w:rsidRDefault="00B25606" w:rsidP="00B25606">
      <w:pPr>
        <w:pStyle w:val="ListParagraph"/>
        <w:numPr>
          <w:ilvl w:val="0"/>
          <w:numId w:val="3"/>
        </w:numPr>
        <w:jc w:val="both"/>
        <w:rPr>
          <w:rFonts w:ascii="Arial" w:hAnsi="Arial" w:cs="Arial"/>
          <w:b/>
          <w:bCs/>
          <w:i/>
          <w:iCs/>
        </w:rPr>
      </w:pPr>
      <w:r w:rsidRPr="00CE0C46">
        <w:rPr>
          <w:rFonts w:ascii="Arial" w:hAnsi="Arial" w:cs="Arial"/>
          <w:b/>
          <w:bCs/>
          <w:i/>
          <w:iCs/>
        </w:rPr>
        <w:t>This project will take</w:t>
      </w:r>
      <w:r w:rsidR="00293D93" w:rsidRPr="00CE0C46">
        <w:rPr>
          <w:rFonts w:ascii="Arial" w:hAnsi="Arial" w:cs="Arial"/>
          <w:b/>
          <w:bCs/>
          <w:i/>
          <w:iCs/>
        </w:rPr>
        <w:t xml:space="preserve"> 2.25 years to complete payment</w:t>
      </w:r>
      <w:r w:rsidR="00EC79D1">
        <w:rPr>
          <w:rFonts w:ascii="Arial" w:hAnsi="Arial" w:cs="Arial"/>
          <w:b/>
          <w:bCs/>
          <w:i/>
          <w:iCs/>
        </w:rPr>
        <w:t>s</w:t>
      </w:r>
      <w:r w:rsidR="00293D93" w:rsidRPr="00CE0C46">
        <w:rPr>
          <w:rFonts w:ascii="Arial" w:hAnsi="Arial" w:cs="Arial"/>
          <w:b/>
          <w:bCs/>
          <w:i/>
          <w:iCs/>
        </w:rPr>
        <w:t xml:space="preserve"> </w:t>
      </w:r>
      <w:r w:rsidR="00EC79D1">
        <w:rPr>
          <w:rFonts w:ascii="Arial" w:hAnsi="Arial" w:cs="Arial"/>
          <w:b/>
          <w:bCs/>
          <w:i/>
          <w:iCs/>
        </w:rPr>
        <w:t>for</w:t>
      </w:r>
      <w:r w:rsidR="00293D93" w:rsidRPr="00CE0C46">
        <w:rPr>
          <w:rFonts w:ascii="Arial" w:hAnsi="Arial" w:cs="Arial"/>
          <w:b/>
          <w:bCs/>
          <w:i/>
          <w:iCs/>
        </w:rPr>
        <w:t xml:space="preserve"> th</w:t>
      </w:r>
      <w:r w:rsidR="00EC79D1">
        <w:rPr>
          <w:rFonts w:ascii="Arial" w:hAnsi="Arial" w:cs="Arial"/>
          <w:b/>
          <w:bCs/>
          <w:i/>
          <w:iCs/>
        </w:rPr>
        <w:t>is</w:t>
      </w:r>
      <w:r w:rsidR="00293D93" w:rsidRPr="00CE0C46">
        <w:rPr>
          <w:rFonts w:ascii="Arial" w:hAnsi="Arial" w:cs="Arial"/>
          <w:b/>
          <w:bCs/>
          <w:i/>
          <w:iCs/>
        </w:rPr>
        <w:t xml:space="preserve"> project</w:t>
      </w:r>
      <w:r w:rsidR="00992BD2" w:rsidRPr="00CE0C46">
        <w:rPr>
          <w:rFonts w:ascii="Arial" w:hAnsi="Arial" w:cs="Arial"/>
          <w:b/>
          <w:bCs/>
          <w:i/>
          <w:iCs/>
        </w:rPr>
        <w:t>.</w:t>
      </w:r>
      <w:r w:rsidRPr="00CE0C46">
        <w:rPr>
          <w:rFonts w:ascii="Arial" w:hAnsi="Arial" w:cs="Arial"/>
          <w:b/>
          <w:bCs/>
          <w:i/>
          <w:iCs/>
        </w:rPr>
        <w:t xml:space="preserve"> </w:t>
      </w:r>
    </w:p>
    <w:p w14:paraId="1D8111B9" w14:textId="23C84EE5" w:rsidR="00F904D4" w:rsidRPr="00CE0C46" w:rsidRDefault="00F21CB3" w:rsidP="00B25606">
      <w:pPr>
        <w:pStyle w:val="ListParagraph"/>
        <w:jc w:val="both"/>
        <w:rPr>
          <w:rFonts w:ascii="Arial" w:hAnsi="Arial" w:cs="Arial"/>
          <w:b/>
          <w:bCs/>
          <w:i/>
          <w:iCs/>
        </w:rPr>
      </w:pPr>
      <w:r w:rsidRPr="00CE0C46">
        <w:rPr>
          <w:rFonts w:ascii="Arial" w:hAnsi="Arial" w:cs="Arial"/>
          <w:b/>
          <w:bCs/>
          <w:i/>
          <w:iCs/>
        </w:rPr>
        <w:t xml:space="preserve"> </w:t>
      </w:r>
      <w:r w:rsidR="00703D6A" w:rsidRPr="00CE0C46">
        <w:rPr>
          <w:rFonts w:ascii="Arial" w:hAnsi="Arial" w:cs="Arial"/>
          <w:b/>
          <w:bCs/>
          <w:i/>
          <w:iCs/>
        </w:rPr>
        <w:t xml:space="preserve"> </w:t>
      </w:r>
      <w:r w:rsidR="00E50086" w:rsidRPr="00CE0C46">
        <w:rPr>
          <w:rFonts w:ascii="Arial" w:hAnsi="Arial" w:cs="Arial"/>
          <w:b/>
          <w:bCs/>
          <w:i/>
          <w:iCs/>
        </w:rPr>
        <w:t xml:space="preserve"> </w:t>
      </w:r>
    </w:p>
    <w:p w14:paraId="5B53F21B" w14:textId="463522E3" w:rsidR="00975328" w:rsidRDefault="00975328" w:rsidP="006730D7">
      <w:pPr>
        <w:pStyle w:val="Heading1"/>
      </w:pPr>
      <w:bookmarkStart w:id="34" w:name="_Toc72176100"/>
      <w:r w:rsidRPr="00BB0F95">
        <w:t>Accounting Rate of Return</w:t>
      </w:r>
      <w:r>
        <w:t xml:space="preserve"> (ARR)</w:t>
      </w:r>
      <w:r w:rsidRPr="00BB0F95">
        <w:t>:</w:t>
      </w:r>
      <w:bookmarkEnd w:id="34"/>
    </w:p>
    <w:p w14:paraId="3E7BD68B" w14:textId="1F2637A1" w:rsidR="00975328" w:rsidRPr="001F1629" w:rsidRDefault="00975328" w:rsidP="00975328">
      <w:pPr>
        <w:jc w:val="both"/>
        <w:rPr>
          <w:rFonts w:ascii="Arial" w:hAnsi="Arial" w:cs="Arial"/>
        </w:rPr>
      </w:pPr>
      <w:r w:rsidRPr="00735367">
        <w:rPr>
          <w:rFonts w:ascii="Arial" w:hAnsi="Arial" w:cs="Arial"/>
        </w:rPr>
        <w:t>According to Kengatharan, and Clamenthu, (2017</w:t>
      </w:r>
      <w:r>
        <w:rPr>
          <w:rFonts w:ascii="Arial" w:hAnsi="Arial" w:cs="Arial"/>
        </w:rPr>
        <w:t xml:space="preserve">) the </w:t>
      </w:r>
      <w:proofErr w:type="gramStart"/>
      <w:r>
        <w:rPr>
          <w:rFonts w:ascii="Arial" w:hAnsi="Arial" w:cs="Arial"/>
        </w:rPr>
        <w:t>main focus</w:t>
      </w:r>
      <w:proofErr w:type="gramEnd"/>
      <w:r>
        <w:rPr>
          <w:rFonts w:ascii="Arial" w:hAnsi="Arial" w:cs="Arial"/>
        </w:rPr>
        <w:t xml:space="preserve"> for financial management is to increase profits for shareholders, furthermore, there is also the focus on (what an organisation should invest in</w:t>
      </w:r>
      <w:r w:rsidR="00326968">
        <w:rPr>
          <w:rFonts w:ascii="Arial" w:hAnsi="Arial" w:cs="Arial"/>
        </w:rPr>
        <w:t>, for instance GSK,</w:t>
      </w:r>
      <w:r>
        <w:rPr>
          <w:rFonts w:ascii="Arial" w:hAnsi="Arial" w:cs="Arial"/>
        </w:rPr>
        <w:t xml:space="preserve"> to actually increase profits). There is also financing to consider too. </w:t>
      </w:r>
      <w:proofErr w:type="gramStart"/>
      <w:r>
        <w:rPr>
          <w:rFonts w:ascii="Arial" w:hAnsi="Arial" w:cs="Arial"/>
        </w:rPr>
        <w:t>And</w:t>
      </w:r>
      <w:proofErr w:type="gramEnd"/>
      <w:r>
        <w:rPr>
          <w:rFonts w:ascii="Arial" w:hAnsi="Arial" w:cs="Arial"/>
        </w:rPr>
        <w:t xml:space="preserve"> </w:t>
      </w:r>
      <w:r w:rsidR="0008741F">
        <w:rPr>
          <w:rFonts w:ascii="Arial" w:hAnsi="Arial" w:cs="Arial"/>
        </w:rPr>
        <w:t>o</w:t>
      </w:r>
      <w:r>
        <w:rPr>
          <w:rFonts w:ascii="Arial" w:hAnsi="Arial" w:cs="Arial"/>
        </w:rPr>
        <w:t>the</w:t>
      </w:r>
      <w:r w:rsidR="0008741F">
        <w:rPr>
          <w:rFonts w:ascii="Arial" w:hAnsi="Arial" w:cs="Arial"/>
        </w:rPr>
        <w:t>r</w:t>
      </w:r>
      <w:r>
        <w:rPr>
          <w:rFonts w:ascii="Arial" w:hAnsi="Arial" w:cs="Arial"/>
        </w:rPr>
        <w:t xml:space="preserve"> various options to consider here also, and the connections between the trio (Freeman and Hobbs, 1991). For organisations</w:t>
      </w:r>
      <w:r w:rsidR="00C03D3A">
        <w:rPr>
          <w:rFonts w:ascii="Arial" w:hAnsi="Arial" w:cs="Arial"/>
        </w:rPr>
        <w:t>, such as GSK</w:t>
      </w:r>
      <w:r>
        <w:rPr>
          <w:rFonts w:ascii="Arial" w:hAnsi="Arial" w:cs="Arial"/>
        </w:rPr>
        <w:t xml:space="preserve"> to have any investment success, decisions that </w:t>
      </w:r>
      <w:proofErr w:type="gramStart"/>
      <w:r>
        <w:rPr>
          <w:rFonts w:ascii="Arial" w:hAnsi="Arial" w:cs="Arial"/>
        </w:rPr>
        <w:t>are made</w:t>
      </w:r>
      <w:proofErr w:type="gramEnd"/>
      <w:r>
        <w:rPr>
          <w:rFonts w:ascii="Arial" w:hAnsi="Arial" w:cs="Arial"/>
        </w:rPr>
        <w:t xml:space="preserve"> in the boardroom are vital for an organisations survival. In addition, investment decisions, alongside investment appraisals are far reaching procedures that are made for the best intentions of an </w:t>
      </w:r>
      <w:proofErr w:type="gramStart"/>
      <w:r>
        <w:rPr>
          <w:rFonts w:ascii="Arial" w:hAnsi="Arial" w:cs="Arial"/>
        </w:rPr>
        <w:t>organisation which assists</w:t>
      </w:r>
      <w:proofErr w:type="gramEnd"/>
      <w:r>
        <w:rPr>
          <w:rFonts w:ascii="Arial" w:hAnsi="Arial" w:cs="Arial"/>
        </w:rPr>
        <w:t xml:space="preserve"> with the increase of finances (Gitman, 1988). In these more current times, the focus has turned the applications of various theories to financing and managerial analysis, in </w:t>
      </w:r>
      <w:proofErr w:type="gramStart"/>
      <w:r>
        <w:rPr>
          <w:rFonts w:ascii="Arial" w:hAnsi="Arial" w:cs="Arial"/>
        </w:rPr>
        <w:t>way’s</w:t>
      </w:r>
      <w:proofErr w:type="gramEnd"/>
      <w:r>
        <w:rPr>
          <w:rFonts w:ascii="Arial" w:hAnsi="Arial" w:cs="Arial"/>
        </w:rPr>
        <w:t xml:space="preserve"> to seek out value for the organisation (Hatch and Cunliffe, 2006). Accounting Rate of Return (APR) are yearly accounting profits which attained through an investment and are divided yearly by an average financial investment for the duration of an organisations existence (Elumilade et al. 2006).</w:t>
      </w:r>
      <w:r w:rsidR="002D3AE3">
        <w:rPr>
          <w:rFonts w:ascii="Arial" w:hAnsi="Arial" w:cs="Arial"/>
        </w:rPr>
        <w:t xml:space="preserve"> Which is a similar position </w:t>
      </w:r>
      <w:r w:rsidR="007028E4">
        <w:rPr>
          <w:rFonts w:ascii="Arial" w:hAnsi="Arial" w:cs="Arial"/>
        </w:rPr>
        <w:t>to</w:t>
      </w:r>
      <w:r w:rsidR="00703346">
        <w:rPr>
          <w:rFonts w:ascii="Arial" w:hAnsi="Arial" w:cs="Arial"/>
        </w:rPr>
        <w:t xml:space="preserve"> what</w:t>
      </w:r>
      <w:r w:rsidR="007028E4">
        <w:rPr>
          <w:rFonts w:ascii="Arial" w:hAnsi="Arial" w:cs="Arial"/>
        </w:rPr>
        <w:t xml:space="preserve"> GSK</w:t>
      </w:r>
      <w:r w:rsidR="00703346">
        <w:rPr>
          <w:rFonts w:ascii="Arial" w:hAnsi="Arial" w:cs="Arial"/>
        </w:rPr>
        <w:t xml:space="preserve"> are seeking now</w:t>
      </w:r>
      <w:r w:rsidR="007028E4">
        <w:rPr>
          <w:rFonts w:ascii="Arial" w:hAnsi="Arial" w:cs="Arial"/>
        </w:rPr>
        <w:t>.</w:t>
      </w:r>
      <w:r>
        <w:rPr>
          <w:rFonts w:ascii="Arial" w:hAnsi="Arial" w:cs="Arial"/>
        </w:rPr>
        <w:t xml:space="preserve"> </w:t>
      </w:r>
      <w:proofErr w:type="gramStart"/>
      <w:r>
        <w:rPr>
          <w:rFonts w:ascii="Arial" w:hAnsi="Arial" w:cs="Arial"/>
        </w:rPr>
        <w:t>Non discounted</w:t>
      </w:r>
      <w:proofErr w:type="gramEnd"/>
      <w:r>
        <w:rPr>
          <w:rFonts w:ascii="Arial" w:hAnsi="Arial" w:cs="Arial"/>
        </w:rPr>
        <w:t xml:space="preserve"> procedures </w:t>
      </w:r>
      <w:r>
        <w:rPr>
          <w:rFonts w:ascii="Arial" w:hAnsi="Arial" w:cs="Arial"/>
        </w:rPr>
        <w:lastRenderedPageBreak/>
        <w:t xml:space="preserve">related to cash flow methods are called naïve methods, which do not utilise the cash flow procedures, but views present value in a methodical course of action. ARR the more frequently applied naïve.         </w:t>
      </w:r>
    </w:p>
    <w:p w14:paraId="2FE25914" w14:textId="1E813299" w:rsidR="00975328" w:rsidRDefault="00975328" w:rsidP="00975328">
      <w:pPr>
        <w:jc w:val="both"/>
        <w:rPr>
          <w:rFonts w:ascii="Arial" w:hAnsi="Arial" w:cs="Arial"/>
          <w:color w:val="000000" w:themeColor="text1"/>
          <w:shd w:val="clear" w:color="auto" w:fill="FFFFFF"/>
        </w:rPr>
      </w:pPr>
      <w:r w:rsidRPr="00356012">
        <w:rPr>
          <w:rFonts w:ascii="Arial" w:hAnsi="Arial" w:cs="Arial"/>
          <w:color w:val="000000" w:themeColor="text1"/>
          <w:shd w:val="clear" w:color="auto" w:fill="FFFFFF"/>
        </w:rPr>
        <w:t>Wambua and Koori, (2018)</w:t>
      </w:r>
      <w:r>
        <w:rPr>
          <w:rFonts w:ascii="Arial" w:hAnsi="Arial" w:cs="Arial"/>
          <w:color w:val="000000" w:themeColor="text1"/>
          <w:shd w:val="clear" w:color="auto" w:fill="FFFFFF"/>
        </w:rPr>
        <w:t xml:space="preserve"> ARR is a continual selection for businesses that are seeking growth for their organisations. ARR has so much value because it supplies so much data on how an organisation </w:t>
      </w:r>
      <w:proofErr w:type="gramStart"/>
      <w:r>
        <w:rPr>
          <w:rFonts w:ascii="Arial" w:hAnsi="Arial" w:cs="Arial"/>
          <w:color w:val="000000" w:themeColor="text1"/>
          <w:shd w:val="clear" w:color="auto" w:fill="FFFFFF"/>
        </w:rPr>
        <w:t>will be affected</w:t>
      </w:r>
      <w:proofErr w:type="gramEnd"/>
      <w:r>
        <w:rPr>
          <w:rFonts w:ascii="Arial" w:hAnsi="Arial" w:cs="Arial"/>
          <w:color w:val="000000" w:themeColor="text1"/>
          <w:shd w:val="clear" w:color="auto" w:fill="FFFFFF"/>
        </w:rPr>
        <w:t xml:space="preserve"> financially and how </w:t>
      </w:r>
      <w:r w:rsidR="008924DB">
        <w:rPr>
          <w:rFonts w:ascii="Arial" w:hAnsi="Arial" w:cs="Arial"/>
          <w:color w:val="000000" w:themeColor="text1"/>
          <w:shd w:val="clear" w:color="auto" w:fill="FFFFFF"/>
        </w:rPr>
        <w:t>GSK</w:t>
      </w:r>
      <w:r>
        <w:rPr>
          <w:rFonts w:ascii="Arial" w:hAnsi="Arial" w:cs="Arial"/>
          <w:color w:val="000000" w:themeColor="text1"/>
          <w:shd w:val="clear" w:color="auto" w:fill="FFFFFF"/>
        </w:rPr>
        <w:t xml:space="preserve"> will be able to sustain its capacity to furnish their accounting obligations. Further study has also uncovered </w:t>
      </w:r>
      <w:proofErr w:type="gramStart"/>
      <w:r>
        <w:rPr>
          <w:rFonts w:ascii="Arial" w:hAnsi="Arial" w:cs="Arial"/>
          <w:color w:val="000000" w:themeColor="text1"/>
          <w:shd w:val="clear" w:color="auto" w:fill="FFFFFF"/>
        </w:rPr>
        <w:t>that organisations</w:t>
      </w:r>
      <w:proofErr w:type="gramEnd"/>
      <w:r>
        <w:rPr>
          <w:rFonts w:ascii="Arial" w:hAnsi="Arial" w:cs="Arial"/>
          <w:color w:val="000000" w:themeColor="text1"/>
          <w:shd w:val="clear" w:color="auto" w:fill="FFFFFF"/>
        </w:rPr>
        <w:t xml:space="preserve"> characteristics has an uncanny way of deciding the type of investment techniques the organisation should apply. The lending establishments based in Nigerian agricultural sector focussing on the overall conditions of the economy, with their </w:t>
      </w:r>
      <w:proofErr w:type="gramStart"/>
      <w:r>
        <w:rPr>
          <w:rFonts w:ascii="Arial" w:hAnsi="Arial" w:cs="Arial"/>
          <w:color w:val="000000" w:themeColor="text1"/>
          <w:shd w:val="clear" w:color="auto" w:fill="FFFFFF"/>
        </w:rPr>
        <w:t>main focus</w:t>
      </w:r>
      <w:proofErr w:type="gramEnd"/>
      <w:r>
        <w:rPr>
          <w:rFonts w:ascii="Arial" w:hAnsi="Arial" w:cs="Arial"/>
          <w:color w:val="000000" w:themeColor="text1"/>
          <w:shd w:val="clear" w:color="auto" w:fill="FFFFFF"/>
        </w:rPr>
        <w:t xml:space="preserve"> on multi linear regression models. Their analysis uncovered that the effectiveness of cash flow management in the countries agriculture sector the lending establishments believe there is a requirement for the Nigerian government to administer an interest rate policy that is able to increase the ability of the lending procedure for the sector (Abdul and Shaibu, 2013).  </w:t>
      </w:r>
    </w:p>
    <w:p w14:paraId="17F47C3A" w14:textId="502ACE79" w:rsidR="00731B38" w:rsidRPr="00B77BFF" w:rsidRDefault="00975328" w:rsidP="00924E4D">
      <w:pPr>
        <w:jc w:val="both"/>
        <w:rPr>
          <w:rFonts w:ascii="Arial" w:hAnsi="Arial" w:cs="Arial"/>
          <w:b/>
          <w:bCs/>
          <w:color w:val="000000" w:themeColor="text1"/>
        </w:rPr>
      </w:pPr>
      <w:r>
        <w:rPr>
          <w:rFonts w:ascii="Arial" w:hAnsi="Arial" w:cs="Arial"/>
          <w:color w:val="000000" w:themeColor="text1"/>
          <w:shd w:val="clear" w:color="auto" w:fill="FFFFFF"/>
        </w:rPr>
        <w:t xml:space="preserve">In spite of this evaluation, the analysis focal point was the cash flow management, and their understanding that a gap </w:t>
      </w:r>
      <w:proofErr w:type="gramStart"/>
      <w:r>
        <w:rPr>
          <w:rFonts w:ascii="Arial" w:hAnsi="Arial" w:cs="Arial"/>
          <w:color w:val="000000" w:themeColor="text1"/>
          <w:shd w:val="clear" w:color="auto" w:fill="FFFFFF"/>
        </w:rPr>
        <w:t>had been developed</w:t>
      </w:r>
      <w:proofErr w:type="gramEnd"/>
      <w:r>
        <w:rPr>
          <w:rFonts w:ascii="Arial" w:hAnsi="Arial" w:cs="Arial"/>
          <w:color w:val="000000" w:themeColor="text1"/>
          <w:shd w:val="clear" w:color="auto" w:fill="FFFFFF"/>
        </w:rPr>
        <w:t xml:space="preserve">. Additionally, because of this analysis the realisation of the connection between Accounting Rate of Return and the financial activity amidst SME’s, </w:t>
      </w:r>
      <w:r w:rsidR="00C1425D">
        <w:rPr>
          <w:rFonts w:ascii="Arial" w:hAnsi="Arial" w:cs="Arial"/>
          <w:color w:val="000000" w:themeColor="text1"/>
          <w:shd w:val="clear" w:color="auto" w:fill="FFFFFF"/>
        </w:rPr>
        <w:t xml:space="preserve">in </w:t>
      </w:r>
      <w:r>
        <w:rPr>
          <w:rFonts w:ascii="Arial" w:hAnsi="Arial" w:cs="Arial"/>
          <w:color w:val="000000" w:themeColor="text1"/>
          <w:shd w:val="clear" w:color="auto" w:fill="FFFFFF"/>
        </w:rPr>
        <w:t>Nairobi, Keny</w:t>
      </w:r>
      <w:r w:rsidR="00C1425D">
        <w:rPr>
          <w:rFonts w:ascii="Arial" w:hAnsi="Arial" w:cs="Arial"/>
          <w:color w:val="000000" w:themeColor="text1"/>
          <w:shd w:val="clear" w:color="auto" w:fill="FFFFFF"/>
        </w:rPr>
        <w:t>a</w:t>
      </w:r>
      <w:r>
        <w:rPr>
          <w:rFonts w:ascii="Arial" w:hAnsi="Arial" w:cs="Arial"/>
          <w:color w:val="000000" w:themeColor="text1"/>
          <w:shd w:val="clear" w:color="auto" w:fill="FFFFFF"/>
        </w:rPr>
        <w:t xml:space="preserve">. The effectiveness of Accounting Rate of Return focussing </w:t>
      </w:r>
      <w:r w:rsidR="00825F3C">
        <w:rPr>
          <w:rFonts w:ascii="Arial" w:hAnsi="Arial" w:cs="Arial"/>
          <w:color w:val="000000" w:themeColor="text1"/>
          <w:shd w:val="clear" w:color="auto" w:fill="FFFFFF"/>
        </w:rPr>
        <w:t xml:space="preserve">on </w:t>
      </w:r>
      <w:r>
        <w:rPr>
          <w:rFonts w:ascii="Arial" w:hAnsi="Arial" w:cs="Arial"/>
          <w:color w:val="000000" w:themeColor="text1"/>
          <w:shd w:val="clear" w:color="auto" w:fill="FFFFFF"/>
        </w:rPr>
        <w:t xml:space="preserve">the financial activities, the analysis concluded that Accounting Rate of Return most definitely has a vital importance. The SME’s undertake and contemplate cash flows and cash flows for investment and the damage that naturally occurs during the lifespan, but organisations do </w:t>
      </w:r>
      <w:proofErr w:type="gramStart"/>
      <w:r>
        <w:rPr>
          <w:rFonts w:ascii="Arial" w:hAnsi="Arial" w:cs="Arial"/>
          <w:color w:val="000000" w:themeColor="text1"/>
          <w:shd w:val="clear" w:color="auto" w:fill="FFFFFF"/>
        </w:rPr>
        <w:t>not  take</w:t>
      </w:r>
      <w:proofErr w:type="gramEnd"/>
      <w:r>
        <w:rPr>
          <w:rFonts w:ascii="Arial" w:hAnsi="Arial" w:cs="Arial"/>
          <w:color w:val="000000" w:themeColor="text1"/>
          <w:shd w:val="clear" w:color="auto" w:fill="FFFFFF"/>
        </w:rPr>
        <w:t>-into-account the time value of money. Hence, Accounting Rate of Return has an unequivocal part to play for the improvement</w:t>
      </w:r>
      <w:r w:rsidR="00A54892">
        <w:rPr>
          <w:rFonts w:ascii="Arial" w:hAnsi="Arial" w:cs="Arial"/>
          <w:color w:val="000000" w:themeColor="text1"/>
          <w:shd w:val="clear" w:color="auto" w:fill="FFFFFF"/>
        </w:rPr>
        <w:t xml:space="preserve"> to</w:t>
      </w:r>
      <w:r>
        <w:rPr>
          <w:rFonts w:ascii="Arial" w:hAnsi="Arial" w:cs="Arial"/>
          <w:color w:val="000000" w:themeColor="text1"/>
          <w:shd w:val="clear" w:color="auto" w:fill="FFFFFF"/>
        </w:rPr>
        <w:t xml:space="preserve"> SME’s performance financially</w:t>
      </w:r>
      <w:r w:rsidR="00AB25B9">
        <w:rPr>
          <w:rFonts w:ascii="Arial" w:hAnsi="Arial" w:cs="Arial"/>
          <w:color w:val="000000" w:themeColor="text1"/>
          <w:shd w:val="clear" w:color="auto" w:fill="FFFFFF"/>
        </w:rPr>
        <w:t>, wh</w:t>
      </w:r>
      <w:r w:rsidR="00F8365E">
        <w:rPr>
          <w:rFonts w:ascii="Arial" w:hAnsi="Arial" w:cs="Arial"/>
          <w:color w:val="000000" w:themeColor="text1"/>
          <w:shd w:val="clear" w:color="auto" w:fill="FFFFFF"/>
        </w:rPr>
        <w:t xml:space="preserve">ich is the position GSK find themselves in </w:t>
      </w:r>
      <w:proofErr w:type="gramStart"/>
      <w:r w:rsidR="00F8365E">
        <w:rPr>
          <w:rFonts w:ascii="Arial" w:hAnsi="Arial" w:cs="Arial"/>
          <w:color w:val="000000" w:themeColor="text1"/>
          <w:shd w:val="clear" w:color="auto" w:fill="FFFFFF"/>
        </w:rPr>
        <w:t>at this present time</w:t>
      </w:r>
      <w:proofErr w:type="gramEnd"/>
      <w:r w:rsidR="00F8365E">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p>
    <w:p w14:paraId="2EFE2E81" w14:textId="32C0DDC2" w:rsidR="00D060F6" w:rsidRDefault="0031653E" w:rsidP="00924E4D">
      <w:pPr>
        <w:jc w:val="both"/>
        <w:rPr>
          <w:rFonts w:ascii="Arial" w:hAnsi="Arial" w:cs="Arial"/>
          <w:b/>
          <w:bCs/>
          <w:i/>
          <w:iCs/>
        </w:rPr>
      </w:pPr>
      <w:r>
        <w:rPr>
          <w:rFonts w:ascii="Arial" w:hAnsi="Arial" w:cs="Arial"/>
          <w:b/>
          <w:bCs/>
          <w:i/>
          <w:iCs/>
        </w:rPr>
        <w:t xml:space="preserve">The technique that will </w:t>
      </w:r>
      <w:r w:rsidR="007B3883">
        <w:rPr>
          <w:rFonts w:ascii="Arial" w:hAnsi="Arial" w:cs="Arial"/>
          <w:b/>
          <w:bCs/>
          <w:i/>
          <w:iCs/>
        </w:rPr>
        <w:t xml:space="preserve">be </w:t>
      </w:r>
      <w:proofErr w:type="gramStart"/>
      <w:r>
        <w:rPr>
          <w:rFonts w:ascii="Arial" w:hAnsi="Arial" w:cs="Arial"/>
          <w:b/>
          <w:bCs/>
          <w:i/>
          <w:iCs/>
        </w:rPr>
        <w:t>applied</w:t>
      </w:r>
      <w:r w:rsidR="00D56EDA">
        <w:rPr>
          <w:rFonts w:ascii="Arial" w:hAnsi="Arial" w:cs="Arial"/>
          <w:b/>
          <w:bCs/>
          <w:i/>
          <w:iCs/>
        </w:rPr>
        <w:t xml:space="preserve"> </w:t>
      </w:r>
      <w:r>
        <w:rPr>
          <w:rFonts w:ascii="Arial" w:hAnsi="Arial" w:cs="Arial"/>
          <w:b/>
          <w:bCs/>
          <w:i/>
          <w:iCs/>
        </w:rPr>
        <w:t xml:space="preserve"> here</w:t>
      </w:r>
      <w:proofErr w:type="gramEnd"/>
      <w:r>
        <w:rPr>
          <w:rFonts w:ascii="Arial" w:hAnsi="Arial" w:cs="Arial"/>
          <w:b/>
          <w:bCs/>
          <w:i/>
          <w:iCs/>
        </w:rPr>
        <w:t xml:space="preserve"> </w:t>
      </w:r>
      <w:r w:rsidR="003F10BC">
        <w:rPr>
          <w:rFonts w:ascii="Arial" w:hAnsi="Arial" w:cs="Arial"/>
          <w:b/>
          <w:bCs/>
          <w:i/>
          <w:iCs/>
        </w:rPr>
        <w:t xml:space="preserve">for GSK is </w:t>
      </w:r>
      <w:r w:rsidR="008D4961">
        <w:rPr>
          <w:rFonts w:ascii="Arial" w:hAnsi="Arial" w:cs="Arial"/>
          <w:b/>
          <w:bCs/>
          <w:i/>
          <w:iCs/>
        </w:rPr>
        <w:t>A</w:t>
      </w:r>
      <w:r w:rsidR="00924E4D" w:rsidRPr="00F904D4">
        <w:rPr>
          <w:rFonts w:ascii="Arial" w:hAnsi="Arial" w:cs="Arial"/>
          <w:b/>
          <w:bCs/>
          <w:i/>
          <w:iCs/>
        </w:rPr>
        <w:t>ccounting Rate of Return (ARR)</w:t>
      </w:r>
      <w:r w:rsidR="008D4961">
        <w:rPr>
          <w:rFonts w:ascii="Arial" w:hAnsi="Arial" w:cs="Arial"/>
          <w:b/>
          <w:bCs/>
          <w:i/>
          <w:iCs/>
        </w:rPr>
        <w:t>.</w:t>
      </w:r>
    </w:p>
    <w:p w14:paraId="1C629CFF" w14:textId="12A4B108" w:rsidR="00D060F6" w:rsidRDefault="00806490" w:rsidP="00924E4D">
      <w:pPr>
        <w:jc w:val="both"/>
        <w:rPr>
          <w:rFonts w:ascii="Arial" w:hAnsi="Arial" w:cs="Arial"/>
          <w:b/>
          <w:bCs/>
          <w:i/>
          <w:iCs/>
        </w:rPr>
      </w:pPr>
      <w:r>
        <w:rPr>
          <w:rFonts w:ascii="Arial" w:hAnsi="Arial" w:cs="Arial"/>
          <w:b/>
          <w:bCs/>
          <w:i/>
          <w:iCs/>
        </w:rPr>
        <w:t>See ratio figures b</w:t>
      </w:r>
      <w:r w:rsidR="004976CE">
        <w:rPr>
          <w:rFonts w:ascii="Arial" w:hAnsi="Arial" w:cs="Arial"/>
          <w:b/>
          <w:bCs/>
          <w:i/>
          <w:iCs/>
        </w:rPr>
        <w:t>elow</w:t>
      </w:r>
      <w:r w:rsidR="0001263D">
        <w:rPr>
          <w:rFonts w:ascii="Arial" w:hAnsi="Arial" w:cs="Arial"/>
          <w:b/>
          <w:bCs/>
          <w:i/>
          <w:iCs/>
        </w:rPr>
        <w:t xml:space="preserve"> </w:t>
      </w:r>
      <w:r w:rsidR="00AC0E2E">
        <w:rPr>
          <w:rFonts w:ascii="Arial" w:hAnsi="Arial" w:cs="Arial"/>
          <w:b/>
          <w:bCs/>
          <w:i/>
          <w:iCs/>
        </w:rPr>
        <w:t>for both projects.</w:t>
      </w:r>
    </w:p>
    <w:p w14:paraId="0CAA6F30" w14:textId="77777777" w:rsidR="004976CE" w:rsidRDefault="004976CE" w:rsidP="00045C88">
      <w:pPr>
        <w:pStyle w:val="Heading2"/>
      </w:pPr>
    </w:p>
    <w:p w14:paraId="66CD4CC9" w14:textId="7AD65C93" w:rsidR="00B77BFF" w:rsidRDefault="00B77BFF" w:rsidP="00045C88">
      <w:pPr>
        <w:pStyle w:val="Heading2"/>
      </w:pPr>
      <w:bookmarkStart w:id="35" w:name="_Toc72176101"/>
      <w:r w:rsidRPr="001C39EC">
        <w:t>Accounting Rate of Return</w:t>
      </w:r>
      <w:r>
        <w:t>:</w:t>
      </w:r>
      <w:bookmarkEnd w:id="35"/>
      <w:r>
        <w:t xml:space="preserve">        </w:t>
      </w:r>
    </w:p>
    <w:p w14:paraId="6D079BD3" w14:textId="77777777" w:rsidR="00B77BFF" w:rsidRPr="00106751" w:rsidRDefault="00B77BFF" w:rsidP="00B77BFF">
      <w:pPr>
        <w:jc w:val="both"/>
        <w:rPr>
          <w:rFonts w:ascii="Arial" w:hAnsi="Arial" w:cs="Arial"/>
          <w:b/>
          <w:bCs/>
        </w:rPr>
      </w:pPr>
      <w:r w:rsidRPr="00FA623C">
        <w:rPr>
          <w:rFonts w:ascii="Arial" w:hAnsi="Arial" w:cs="Arial"/>
          <w:b/>
          <w:bCs/>
        </w:rPr>
        <w:t>Project</w:t>
      </w:r>
      <w:r w:rsidRPr="00106751">
        <w:rPr>
          <w:rFonts w:ascii="Arial" w:hAnsi="Arial" w:cs="Arial"/>
          <w:b/>
          <w:bCs/>
        </w:rPr>
        <w:t xml:space="preserve"> A.</w:t>
      </w:r>
      <w:r>
        <w:rPr>
          <w:rFonts w:ascii="Arial" w:hAnsi="Arial" w:cs="Arial"/>
          <w:b/>
          <w:bCs/>
        </w:rPr>
        <w:t xml:space="preserve"> = 0.14 Ratio </w:t>
      </w:r>
      <w:r w:rsidRPr="00106751">
        <w:rPr>
          <w:rFonts w:ascii="Arial" w:hAnsi="Arial" w:cs="Arial"/>
          <w:b/>
          <w:bCs/>
        </w:rPr>
        <w:t xml:space="preserve"> </w:t>
      </w:r>
    </w:p>
    <w:p w14:paraId="57F1E191" w14:textId="77777777" w:rsidR="00B77BFF" w:rsidRDefault="00B77BFF" w:rsidP="00B77BFF">
      <w:pPr>
        <w:jc w:val="both"/>
        <w:rPr>
          <w:rFonts w:ascii="Arial" w:hAnsi="Arial" w:cs="Arial"/>
          <w:b/>
          <w:bCs/>
        </w:rPr>
      </w:pPr>
      <w:r w:rsidRPr="00FA623C">
        <w:rPr>
          <w:rFonts w:ascii="Arial" w:hAnsi="Arial" w:cs="Arial"/>
          <w:b/>
          <w:bCs/>
        </w:rPr>
        <w:t>Project</w:t>
      </w:r>
      <w:r>
        <w:rPr>
          <w:rFonts w:ascii="Arial" w:hAnsi="Arial" w:cs="Arial"/>
          <w:b/>
          <w:bCs/>
        </w:rPr>
        <w:t xml:space="preserve"> B. = 0.116 Ratio</w:t>
      </w:r>
    </w:p>
    <w:p w14:paraId="2F05568E" w14:textId="77777777" w:rsidR="004976CE" w:rsidRDefault="004976CE" w:rsidP="001C4500">
      <w:pPr>
        <w:jc w:val="both"/>
        <w:rPr>
          <w:rFonts w:ascii="Arial" w:hAnsi="Arial" w:cs="Arial"/>
          <w:b/>
          <w:bCs/>
          <w:i/>
          <w:iCs/>
        </w:rPr>
      </w:pPr>
    </w:p>
    <w:p w14:paraId="37FF169B" w14:textId="52F2286A" w:rsidR="00B35F6C" w:rsidRDefault="000801C5" w:rsidP="00045C88">
      <w:pPr>
        <w:pStyle w:val="Heading1"/>
      </w:pPr>
      <w:bookmarkStart w:id="36" w:name="_Toc72176102"/>
      <w:r w:rsidRPr="000801C5">
        <w:t>The Net present Value</w:t>
      </w:r>
      <w:r w:rsidR="00764D5A">
        <w:t xml:space="preserve"> (NVP)</w:t>
      </w:r>
      <w:r w:rsidRPr="000801C5">
        <w:t xml:space="preserve"> Technique:</w:t>
      </w:r>
      <w:bookmarkEnd w:id="36"/>
    </w:p>
    <w:p w14:paraId="50A7952D" w14:textId="12A8C9FD" w:rsidR="00FF068B" w:rsidRDefault="00CF638B" w:rsidP="007A6AFA">
      <w:pPr>
        <w:jc w:val="both"/>
        <w:rPr>
          <w:rFonts w:ascii="Arial" w:hAnsi="Arial" w:cs="Arial"/>
        </w:rPr>
      </w:pPr>
      <w:r>
        <w:rPr>
          <w:rFonts w:ascii="Arial" w:hAnsi="Arial" w:cs="Arial"/>
        </w:rPr>
        <w:t>There</w:t>
      </w:r>
      <w:r w:rsidR="00F83520">
        <w:rPr>
          <w:rFonts w:ascii="Arial" w:hAnsi="Arial" w:cs="Arial"/>
        </w:rPr>
        <w:t>, are</w:t>
      </w:r>
      <w:r>
        <w:rPr>
          <w:rFonts w:ascii="Arial" w:hAnsi="Arial" w:cs="Arial"/>
        </w:rPr>
        <w:t xml:space="preserve"> </w:t>
      </w:r>
      <w:r w:rsidR="00533D4D">
        <w:rPr>
          <w:rFonts w:ascii="Arial" w:hAnsi="Arial" w:cs="Arial"/>
        </w:rPr>
        <w:t>many investment appraisals w</w:t>
      </w:r>
      <w:r w:rsidR="00C80165">
        <w:rPr>
          <w:rFonts w:ascii="Arial" w:hAnsi="Arial" w:cs="Arial"/>
        </w:rPr>
        <w:t xml:space="preserve">hich approximate </w:t>
      </w:r>
      <w:r w:rsidR="00A302F5">
        <w:rPr>
          <w:rFonts w:ascii="Arial" w:hAnsi="Arial" w:cs="Arial"/>
        </w:rPr>
        <w:t>the analysis of pro</w:t>
      </w:r>
      <w:r w:rsidR="002A4593">
        <w:rPr>
          <w:rFonts w:ascii="Arial" w:hAnsi="Arial" w:cs="Arial"/>
        </w:rPr>
        <w:t>’s and con’s concerning costs</w:t>
      </w:r>
      <w:r w:rsidR="00732385">
        <w:rPr>
          <w:rFonts w:ascii="Arial" w:hAnsi="Arial" w:cs="Arial"/>
        </w:rPr>
        <w:t xml:space="preserve"> which </w:t>
      </w:r>
      <w:r w:rsidR="004D7829">
        <w:rPr>
          <w:rFonts w:ascii="Arial" w:hAnsi="Arial" w:cs="Arial"/>
        </w:rPr>
        <w:t>may be</w:t>
      </w:r>
      <w:r w:rsidR="00D8045B">
        <w:rPr>
          <w:rFonts w:ascii="Arial" w:hAnsi="Arial" w:cs="Arial"/>
        </w:rPr>
        <w:t xml:space="preserve"> rolled out over many months, or possibly years</w:t>
      </w:r>
      <w:r w:rsidR="00E8212D">
        <w:rPr>
          <w:rFonts w:ascii="Arial" w:hAnsi="Arial" w:cs="Arial"/>
        </w:rPr>
        <w:t xml:space="preserve">, </w:t>
      </w:r>
      <w:r w:rsidR="00BB3DBB">
        <w:rPr>
          <w:rFonts w:ascii="Arial" w:hAnsi="Arial" w:cs="Arial"/>
        </w:rPr>
        <w:t xml:space="preserve">and many of these choices </w:t>
      </w:r>
      <w:r w:rsidR="00D77DED">
        <w:rPr>
          <w:rFonts w:ascii="Arial" w:hAnsi="Arial" w:cs="Arial"/>
        </w:rPr>
        <w:t xml:space="preserve">will possibly have </w:t>
      </w:r>
      <w:r w:rsidR="00B77FDE">
        <w:rPr>
          <w:rFonts w:ascii="Arial" w:hAnsi="Arial" w:cs="Arial"/>
        </w:rPr>
        <w:t>various cost benefi</w:t>
      </w:r>
      <w:r w:rsidR="000F4A6F">
        <w:rPr>
          <w:rFonts w:ascii="Arial" w:hAnsi="Arial" w:cs="Arial"/>
        </w:rPr>
        <w:t>cial outcomes.</w:t>
      </w:r>
      <w:r w:rsidR="00732385">
        <w:rPr>
          <w:rFonts w:ascii="Arial" w:hAnsi="Arial" w:cs="Arial"/>
        </w:rPr>
        <w:t xml:space="preserve"> </w:t>
      </w:r>
      <w:r w:rsidR="002A4F7E">
        <w:rPr>
          <w:rFonts w:ascii="Arial" w:hAnsi="Arial" w:cs="Arial"/>
        </w:rPr>
        <w:t>So</w:t>
      </w:r>
      <w:r w:rsidR="0034431C">
        <w:rPr>
          <w:rFonts w:ascii="Arial" w:hAnsi="Arial" w:cs="Arial"/>
        </w:rPr>
        <w:t>,</w:t>
      </w:r>
      <w:r w:rsidR="002A4F7E">
        <w:rPr>
          <w:rFonts w:ascii="Arial" w:hAnsi="Arial" w:cs="Arial"/>
        </w:rPr>
        <w:t xml:space="preserve"> with this thought in mind, </w:t>
      </w:r>
      <w:r w:rsidR="003C5533">
        <w:rPr>
          <w:rFonts w:ascii="Arial" w:hAnsi="Arial" w:cs="Arial"/>
        </w:rPr>
        <w:t xml:space="preserve">in </w:t>
      </w:r>
      <w:r w:rsidR="00815D4C">
        <w:rPr>
          <w:rFonts w:ascii="Arial" w:hAnsi="Arial" w:cs="Arial"/>
        </w:rPr>
        <w:t>the process of comparing all the vari</w:t>
      </w:r>
      <w:r w:rsidR="00B47B46">
        <w:rPr>
          <w:rFonts w:ascii="Arial" w:hAnsi="Arial" w:cs="Arial"/>
        </w:rPr>
        <w:t>ous choices</w:t>
      </w:r>
      <w:r w:rsidR="00A359E2">
        <w:rPr>
          <w:rFonts w:ascii="Arial" w:hAnsi="Arial" w:cs="Arial"/>
        </w:rPr>
        <w:t xml:space="preserve"> it is vital to change </w:t>
      </w:r>
      <w:r w:rsidR="00957E58">
        <w:rPr>
          <w:rFonts w:ascii="Arial" w:hAnsi="Arial" w:cs="Arial"/>
        </w:rPr>
        <w:t xml:space="preserve">these profiles to a standard </w:t>
      </w:r>
      <w:r w:rsidR="00CA583F">
        <w:rPr>
          <w:rFonts w:ascii="Arial" w:hAnsi="Arial" w:cs="Arial"/>
        </w:rPr>
        <w:t>measure</w:t>
      </w:r>
      <w:r w:rsidR="003A00EB">
        <w:rPr>
          <w:rFonts w:ascii="Arial" w:hAnsi="Arial" w:cs="Arial"/>
        </w:rPr>
        <w:t xml:space="preserve">. Which is carried-out by the way of </w:t>
      </w:r>
      <w:r w:rsidR="003208B1">
        <w:rPr>
          <w:rFonts w:ascii="Arial" w:hAnsi="Arial" w:cs="Arial"/>
        </w:rPr>
        <w:t>‘</w:t>
      </w:r>
      <w:r w:rsidR="003A00EB">
        <w:rPr>
          <w:rFonts w:ascii="Arial" w:hAnsi="Arial" w:cs="Arial"/>
        </w:rPr>
        <w:t>discounting</w:t>
      </w:r>
      <w:r w:rsidR="003208B1">
        <w:rPr>
          <w:rFonts w:ascii="Arial" w:hAnsi="Arial" w:cs="Arial"/>
        </w:rPr>
        <w:t>’</w:t>
      </w:r>
      <w:r w:rsidR="003A00EB">
        <w:rPr>
          <w:rFonts w:ascii="Arial" w:hAnsi="Arial" w:cs="Arial"/>
        </w:rPr>
        <w:t xml:space="preserve"> </w:t>
      </w:r>
      <w:r w:rsidR="0079176D">
        <w:rPr>
          <w:rFonts w:ascii="Arial" w:hAnsi="Arial" w:cs="Arial"/>
        </w:rPr>
        <w:t xml:space="preserve">the flow of yearly </w:t>
      </w:r>
      <w:proofErr w:type="gramStart"/>
      <w:r w:rsidR="0079176D">
        <w:rPr>
          <w:rFonts w:ascii="Arial" w:hAnsi="Arial" w:cs="Arial"/>
        </w:rPr>
        <w:t xml:space="preserve">costs </w:t>
      </w:r>
      <w:r w:rsidR="00EB1A5C">
        <w:rPr>
          <w:rFonts w:ascii="Arial" w:hAnsi="Arial" w:cs="Arial"/>
        </w:rPr>
        <w:t>and benefits</w:t>
      </w:r>
      <w:proofErr w:type="gramEnd"/>
      <w:r w:rsidR="00EB1A5C">
        <w:rPr>
          <w:rFonts w:ascii="Arial" w:hAnsi="Arial" w:cs="Arial"/>
        </w:rPr>
        <w:t xml:space="preserve"> </w:t>
      </w:r>
      <w:r w:rsidR="00AA052C">
        <w:rPr>
          <w:rFonts w:ascii="Arial" w:hAnsi="Arial" w:cs="Arial"/>
        </w:rPr>
        <w:t>and generate a Discounted Cash Flow</w:t>
      </w:r>
      <w:r w:rsidR="00AD634A">
        <w:rPr>
          <w:rFonts w:ascii="Arial" w:hAnsi="Arial" w:cs="Arial"/>
        </w:rPr>
        <w:t xml:space="preserve"> (DCF) as already mentioned earlier.</w:t>
      </w:r>
      <w:r w:rsidR="00AE6D4B">
        <w:rPr>
          <w:rFonts w:ascii="Arial" w:hAnsi="Arial" w:cs="Arial"/>
        </w:rPr>
        <w:t xml:space="preserve"> The </w:t>
      </w:r>
      <w:r w:rsidR="0022650F">
        <w:rPr>
          <w:rFonts w:ascii="Arial" w:hAnsi="Arial" w:cs="Arial"/>
        </w:rPr>
        <w:t>final total</w:t>
      </w:r>
      <w:r w:rsidR="00CC2F15">
        <w:rPr>
          <w:rFonts w:ascii="Arial" w:hAnsi="Arial" w:cs="Arial"/>
        </w:rPr>
        <w:t xml:space="preserve"> </w:t>
      </w:r>
      <w:proofErr w:type="gramStart"/>
      <w:r w:rsidR="00CC2F15">
        <w:rPr>
          <w:rFonts w:ascii="Arial" w:hAnsi="Arial" w:cs="Arial"/>
        </w:rPr>
        <w:t>of</w:t>
      </w:r>
      <w:r w:rsidR="0022650F">
        <w:rPr>
          <w:rFonts w:ascii="Arial" w:hAnsi="Arial" w:cs="Arial"/>
        </w:rPr>
        <w:t xml:space="preserve"> </w:t>
      </w:r>
      <w:r w:rsidR="00CC2F15">
        <w:rPr>
          <w:rFonts w:ascii="Arial" w:hAnsi="Arial" w:cs="Arial"/>
        </w:rPr>
        <w:t>a discounted cash flow</w:t>
      </w:r>
      <w:r w:rsidR="008C2ECD">
        <w:rPr>
          <w:rFonts w:ascii="Arial" w:hAnsi="Arial" w:cs="Arial"/>
        </w:rPr>
        <w:t>s</w:t>
      </w:r>
      <w:proofErr w:type="gramEnd"/>
      <w:r w:rsidR="008C2ECD">
        <w:rPr>
          <w:rFonts w:ascii="Arial" w:hAnsi="Arial" w:cs="Arial"/>
        </w:rPr>
        <w:t xml:space="preserve">, which covers an appraisal </w:t>
      </w:r>
      <w:r w:rsidR="008C1CB6">
        <w:rPr>
          <w:rFonts w:ascii="Arial" w:hAnsi="Arial" w:cs="Arial"/>
        </w:rPr>
        <w:t>period, is what is known as t</w:t>
      </w:r>
      <w:r w:rsidR="00345A52">
        <w:rPr>
          <w:rFonts w:ascii="Arial" w:hAnsi="Arial" w:cs="Arial"/>
        </w:rPr>
        <w:t>he Net Present Value (NPV)</w:t>
      </w:r>
      <w:r w:rsidR="00612851">
        <w:rPr>
          <w:rFonts w:ascii="Arial" w:hAnsi="Arial" w:cs="Arial"/>
        </w:rPr>
        <w:t xml:space="preserve"> </w:t>
      </w:r>
      <w:r w:rsidR="00D44939">
        <w:rPr>
          <w:rFonts w:ascii="Arial" w:hAnsi="Arial" w:cs="Arial"/>
        </w:rPr>
        <w:t>(Adeniyi et al., 2012</w:t>
      </w:r>
      <w:bookmarkStart w:id="37" w:name="_Hlk71481562"/>
      <w:r w:rsidR="00D44939">
        <w:rPr>
          <w:rFonts w:ascii="Arial" w:hAnsi="Arial" w:cs="Arial"/>
        </w:rPr>
        <w:t xml:space="preserve">; </w:t>
      </w:r>
      <w:r w:rsidR="00D44939" w:rsidRPr="0091584B">
        <w:rPr>
          <w:rFonts w:ascii="Arial" w:hAnsi="Arial" w:cs="Arial"/>
          <w:color w:val="000000" w:themeColor="text1"/>
          <w:sz w:val="23"/>
          <w:szCs w:val="23"/>
          <w:shd w:val="clear" w:color="auto" w:fill="FFFFFF"/>
        </w:rPr>
        <w:t>Rich, et al., 2018</w:t>
      </w:r>
      <w:r w:rsidR="00D44939">
        <w:rPr>
          <w:rFonts w:ascii="Arial" w:hAnsi="Arial" w:cs="Arial"/>
          <w:color w:val="000000" w:themeColor="text1"/>
          <w:sz w:val="23"/>
          <w:szCs w:val="23"/>
          <w:shd w:val="clear" w:color="auto" w:fill="FFFFFF"/>
        </w:rPr>
        <w:t>;</w:t>
      </w:r>
      <w:r w:rsidR="00D44939" w:rsidRPr="00292353">
        <w:rPr>
          <w:rFonts w:ascii="Arial" w:hAnsi="Arial" w:cs="Arial"/>
          <w:color w:val="000000" w:themeColor="text1"/>
          <w:sz w:val="23"/>
          <w:szCs w:val="23"/>
          <w:shd w:val="clear" w:color="auto" w:fill="FFFFFF"/>
        </w:rPr>
        <w:t xml:space="preserve"> Petri, P, K., 2020)</w:t>
      </w:r>
      <w:r w:rsidR="00D44939">
        <w:rPr>
          <w:rFonts w:ascii="Arial" w:hAnsi="Arial" w:cs="Arial"/>
          <w:color w:val="000000" w:themeColor="text1"/>
          <w:sz w:val="23"/>
          <w:szCs w:val="23"/>
          <w:shd w:val="clear" w:color="auto" w:fill="FFFFFF"/>
        </w:rPr>
        <w:t>.</w:t>
      </w:r>
      <w:r w:rsidR="00D44939" w:rsidRPr="00292353">
        <w:rPr>
          <w:rFonts w:ascii="Arial" w:hAnsi="Arial" w:cs="Arial"/>
          <w:color w:val="000000" w:themeColor="text1"/>
          <w:sz w:val="23"/>
          <w:szCs w:val="23"/>
          <w:shd w:val="clear" w:color="auto" w:fill="FFFFFF"/>
        </w:rPr>
        <w:t xml:space="preserve"> </w:t>
      </w:r>
      <w:r w:rsidR="00D44939" w:rsidRPr="0091584B">
        <w:rPr>
          <w:rFonts w:ascii="Arial" w:hAnsi="Arial" w:cs="Arial"/>
          <w:color w:val="000000" w:themeColor="text1"/>
        </w:rPr>
        <w:t xml:space="preserve">  </w:t>
      </w:r>
      <w:r w:rsidR="00D44939" w:rsidRPr="0091584B">
        <w:rPr>
          <w:rFonts w:ascii="Arial" w:hAnsi="Arial" w:cs="Arial"/>
        </w:rPr>
        <w:t xml:space="preserve">          </w:t>
      </w:r>
      <w:bookmarkEnd w:id="37"/>
    </w:p>
    <w:p w14:paraId="1484B383" w14:textId="225ECAF6" w:rsidR="00FF068B" w:rsidRDefault="003232E9" w:rsidP="007A6AFA">
      <w:pPr>
        <w:jc w:val="both"/>
        <w:rPr>
          <w:rFonts w:ascii="Arial" w:hAnsi="Arial" w:cs="Arial"/>
        </w:rPr>
      </w:pPr>
      <w:r>
        <w:rPr>
          <w:rFonts w:ascii="Arial" w:hAnsi="Arial" w:cs="Arial"/>
        </w:rPr>
        <w:t>This is a</w:t>
      </w:r>
      <w:r w:rsidR="00345A52">
        <w:rPr>
          <w:rFonts w:ascii="Arial" w:hAnsi="Arial" w:cs="Arial"/>
        </w:rPr>
        <w:t xml:space="preserve"> </w:t>
      </w:r>
      <w:r>
        <w:rPr>
          <w:rFonts w:ascii="Arial" w:hAnsi="Arial" w:cs="Arial"/>
        </w:rPr>
        <w:t>discounted cash flow technique</w:t>
      </w:r>
      <w:r w:rsidR="006157D8">
        <w:rPr>
          <w:rFonts w:ascii="Arial" w:hAnsi="Arial" w:cs="Arial"/>
        </w:rPr>
        <w:t>,</w:t>
      </w:r>
      <w:r w:rsidR="00EA7BF7">
        <w:rPr>
          <w:rFonts w:ascii="Arial" w:hAnsi="Arial" w:cs="Arial"/>
        </w:rPr>
        <w:t xml:space="preserve"> </w:t>
      </w:r>
      <w:r w:rsidR="00493962">
        <w:rPr>
          <w:rFonts w:ascii="Arial" w:hAnsi="Arial" w:cs="Arial"/>
        </w:rPr>
        <w:t xml:space="preserve">which </w:t>
      </w:r>
      <w:r w:rsidR="00EA7BF7">
        <w:rPr>
          <w:rFonts w:ascii="Arial" w:hAnsi="Arial" w:cs="Arial"/>
        </w:rPr>
        <w:t xml:space="preserve">is able to measure </w:t>
      </w:r>
      <w:r w:rsidR="00E27AB6">
        <w:rPr>
          <w:rFonts w:ascii="Arial" w:hAnsi="Arial" w:cs="Arial"/>
        </w:rPr>
        <w:t xml:space="preserve">numbers, for the </w:t>
      </w:r>
      <w:r w:rsidR="009E3907">
        <w:rPr>
          <w:rFonts w:ascii="Arial" w:hAnsi="Arial" w:cs="Arial"/>
        </w:rPr>
        <w:t xml:space="preserve">purpose </w:t>
      </w:r>
      <w:proofErr w:type="gramStart"/>
      <w:r w:rsidR="006157D8">
        <w:rPr>
          <w:rFonts w:ascii="Arial" w:hAnsi="Arial" w:cs="Arial"/>
        </w:rPr>
        <w:t>of  the</w:t>
      </w:r>
      <w:proofErr w:type="gramEnd"/>
      <w:r w:rsidR="006157D8">
        <w:rPr>
          <w:rFonts w:ascii="Arial" w:hAnsi="Arial" w:cs="Arial"/>
        </w:rPr>
        <w:t xml:space="preserve"> discounted cash flows of </w:t>
      </w:r>
      <w:r w:rsidR="00F32642">
        <w:rPr>
          <w:rFonts w:ascii="Arial" w:hAnsi="Arial" w:cs="Arial"/>
        </w:rPr>
        <w:t xml:space="preserve">a </w:t>
      </w:r>
      <w:r w:rsidR="007C0C7A">
        <w:rPr>
          <w:rFonts w:ascii="Arial" w:hAnsi="Arial" w:cs="Arial"/>
        </w:rPr>
        <w:t xml:space="preserve">plan of action, or an </w:t>
      </w:r>
      <w:r w:rsidR="00242E39">
        <w:rPr>
          <w:rFonts w:ascii="Arial" w:hAnsi="Arial" w:cs="Arial"/>
        </w:rPr>
        <w:t xml:space="preserve">enterprises </w:t>
      </w:r>
      <w:r w:rsidR="00E62DA6">
        <w:rPr>
          <w:rFonts w:ascii="Arial" w:hAnsi="Arial" w:cs="Arial"/>
        </w:rPr>
        <w:t xml:space="preserve">existence, </w:t>
      </w:r>
      <w:r w:rsidR="006E249D">
        <w:rPr>
          <w:rFonts w:ascii="Arial" w:hAnsi="Arial" w:cs="Arial"/>
        </w:rPr>
        <w:t>which considers money</w:t>
      </w:r>
      <w:r w:rsidR="0036201A">
        <w:rPr>
          <w:rFonts w:ascii="Arial" w:hAnsi="Arial" w:cs="Arial"/>
        </w:rPr>
        <w:t>’s time value</w:t>
      </w:r>
      <w:r w:rsidR="00EC6FA7">
        <w:rPr>
          <w:rFonts w:ascii="Arial" w:hAnsi="Arial" w:cs="Arial"/>
        </w:rPr>
        <w:t>.</w:t>
      </w:r>
      <w:r w:rsidR="00E62DA6">
        <w:rPr>
          <w:rFonts w:ascii="Arial" w:hAnsi="Arial" w:cs="Arial"/>
        </w:rPr>
        <w:t xml:space="preserve"> </w:t>
      </w:r>
      <w:r w:rsidR="003E42CA">
        <w:rPr>
          <w:rFonts w:ascii="Arial" w:hAnsi="Arial" w:cs="Arial"/>
        </w:rPr>
        <w:t xml:space="preserve">In consequence, </w:t>
      </w:r>
      <w:r w:rsidR="000E07DD">
        <w:rPr>
          <w:rFonts w:ascii="Arial" w:hAnsi="Arial" w:cs="Arial"/>
        </w:rPr>
        <w:t>the NVP</w:t>
      </w:r>
      <w:r w:rsidR="00D53CF4">
        <w:rPr>
          <w:rFonts w:ascii="Arial" w:hAnsi="Arial" w:cs="Arial"/>
        </w:rPr>
        <w:t xml:space="preserve"> </w:t>
      </w:r>
      <w:r w:rsidR="00146597">
        <w:rPr>
          <w:rFonts w:ascii="Arial" w:hAnsi="Arial" w:cs="Arial"/>
        </w:rPr>
        <w:t xml:space="preserve">discounts </w:t>
      </w:r>
      <w:r w:rsidR="005315FF">
        <w:rPr>
          <w:rFonts w:ascii="Arial" w:hAnsi="Arial" w:cs="Arial"/>
        </w:rPr>
        <w:t>j</w:t>
      </w:r>
      <w:r w:rsidR="00673FC1">
        <w:rPr>
          <w:rFonts w:ascii="Arial" w:hAnsi="Arial" w:cs="Arial"/>
        </w:rPr>
        <w:t xml:space="preserve">ointly the </w:t>
      </w:r>
      <w:r w:rsidR="004D7829">
        <w:rPr>
          <w:rFonts w:ascii="Arial" w:hAnsi="Arial" w:cs="Arial"/>
        </w:rPr>
        <w:t>inflows</w:t>
      </w:r>
      <w:r w:rsidR="00673FC1">
        <w:rPr>
          <w:rFonts w:ascii="Arial" w:hAnsi="Arial" w:cs="Arial"/>
        </w:rPr>
        <w:t xml:space="preserve"> and </w:t>
      </w:r>
      <w:r w:rsidR="004D7829">
        <w:rPr>
          <w:rFonts w:ascii="Arial" w:hAnsi="Arial" w:cs="Arial"/>
        </w:rPr>
        <w:t>outflows</w:t>
      </w:r>
      <w:r w:rsidR="00673FC1">
        <w:rPr>
          <w:rFonts w:ascii="Arial" w:hAnsi="Arial" w:cs="Arial"/>
        </w:rPr>
        <w:t xml:space="preserve"> </w:t>
      </w:r>
      <w:r w:rsidR="00BE4D7C">
        <w:rPr>
          <w:rFonts w:ascii="Arial" w:hAnsi="Arial" w:cs="Arial"/>
        </w:rPr>
        <w:t>of an enterprise</w:t>
      </w:r>
      <w:r w:rsidR="00F233D4">
        <w:rPr>
          <w:rFonts w:ascii="Arial" w:hAnsi="Arial" w:cs="Arial"/>
        </w:rPr>
        <w:t xml:space="preserve"> by applying a rate of retu</w:t>
      </w:r>
      <w:r w:rsidR="00583A78">
        <w:rPr>
          <w:rFonts w:ascii="Arial" w:hAnsi="Arial" w:cs="Arial"/>
        </w:rPr>
        <w:t>r</w:t>
      </w:r>
      <w:r w:rsidR="00F233D4">
        <w:rPr>
          <w:rFonts w:ascii="Arial" w:hAnsi="Arial" w:cs="Arial"/>
        </w:rPr>
        <w:t>n</w:t>
      </w:r>
      <w:r w:rsidR="00583A78">
        <w:rPr>
          <w:rFonts w:ascii="Arial" w:hAnsi="Arial" w:cs="Arial"/>
        </w:rPr>
        <w:t xml:space="preserve"> on finances </w:t>
      </w:r>
      <w:r w:rsidR="00816AC7">
        <w:rPr>
          <w:rFonts w:ascii="Arial" w:hAnsi="Arial" w:cs="Arial"/>
        </w:rPr>
        <w:t>that decides in advance</w:t>
      </w:r>
      <w:r w:rsidR="00C1324D">
        <w:rPr>
          <w:rFonts w:ascii="Arial" w:hAnsi="Arial" w:cs="Arial"/>
        </w:rPr>
        <w:t>,</w:t>
      </w:r>
      <w:r w:rsidR="00816AC7">
        <w:rPr>
          <w:rFonts w:ascii="Arial" w:hAnsi="Arial" w:cs="Arial"/>
        </w:rPr>
        <w:t xml:space="preserve"> the</w:t>
      </w:r>
      <w:r w:rsidR="00C1324D">
        <w:rPr>
          <w:rFonts w:ascii="Arial" w:hAnsi="Arial" w:cs="Arial"/>
        </w:rPr>
        <w:t xml:space="preserve"> </w:t>
      </w:r>
      <w:r w:rsidR="00660115">
        <w:rPr>
          <w:rFonts w:ascii="Arial" w:hAnsi="Arial" w:cs="Arial"/>
        </w:rPr>
        <w:t xml:space="preserve">financial gains </w:t>
      </w:r>
      <w:r w:rsidR="00660115">
        <w:rPr>
          <w:rFonts w:ascii="Arial" w:hAnsi="Arial" w:cs="Arial"/>
        </w:rPr>
        <w:lastRenderedPageBreak/>
        <w:t xml:space="preserve">of </w:t>
      </w:r>
      <w:r w:rsidR="0008143B">
        <w:rPr>
          <w:rFonts w:ascii="Arial" w:hAnsi="Arial" w:cs="Arial"/>
        </w:rPr>
        <w:t xml:space="preserve">a </w:t>
      </w:r>
      <w:r w:rsidR="00493962">
        <w:rPr>
          <w:rFonts w:ascii="Arial" w:hAnsi="Arial" w:cs="Arial"/>
        </w:rPr>
        <w:t>particular enterprise</w:t>
      </w:r>
      <w:r w:rsidR="004D4086">
        <w:rPr>
          <w:rFonts w:ascii="Arial" w:hAnsi="Arial" w:cs="Arial"/>
        </w:rPr>
        <w:t>.</w:t>
      </w:r>
      <w:r w:rsidR="00E70DAA">
        <w:rPr>
          <w:rFonts w:ascii="Arial" w:hAnsi="Arial" w:cs="Arial"/>
        </w:rPr>
        <w:t xml:space="preserve"> </w:t>
      </w:r>
      <w:r w:rsidR="009D2A78">
        <w:rPr>
          <w:rFonts w:ascii="Arial" w:hAnsi="Arial" w:cs="Arial"/>
        </w:rPr>
        <w:t xml:space="preserve">To </w:t>
      </w:r>
      <w:r w:rsidR="00D1681C">
        <w:rPr>
          <w:rFonts w:ascii="Arial" w:hAnsi="Arial" w:cs="Arial"/>
        </w:rPr>
        <w:t xml:space="preserve">arrive at </w:t>
      </w:r>
      <w:r w:rsidR="00E81099">
        <w:rPr>
          <w:rFonts w:ascii="Arial" w:hAnsi="Arial" w:cs="Arial"/>
        </w:rPr>
        <w:t>the present value of a</w:t>
      </w:r>
      <w:r w:rsidR="00372B53">
        <w:rPr>
          <w:rFonts w:ascii="Arial" w:hAnsi="Arial" w:cs="Arial"/>
        </w:rPr>
        <w:t>n enterprises</w:t>
      </w:r>
      <w:r w:rsidR="00E81099">
        <w:rPr>
          <w:rFonts w:ascii="Arial" w:hAnsi="Arial" w:cs="Arial"/>
        </w:rPr>
        <w:t xml:space="preserve"> </w:t>
      </w:r>
      <w:r w:rsidR="0029330B">
        <w:rPr>
          <w:rFonts w:ascii="Arial" w:hAnsi="Arial" w:cs="Arial"/>
        </w:rPr>
        <w:t xml:space="preserve">discounted cash flows </w:t>
      </w:r>
      <w:r w:rsidR="00711B74">
        <w:rPr>
          <w:rFonts w:ascii="Arial" w:hAnsi="Arial" w:cs="Arial"/>
        </w:rPr>
        <w:t>it is</w:t>
      </w:r>
      <w:r w:rsidR="0029330B">
        <w:rPr>
          <w:rFonts w:ascii="Arial" w:hAnsi="Arial" w:cs="Arial"/>
        </w:rPr>
        <w:t xml:space="preserve"> required to take-into-account</w:t>
      </w:r>
      <w:r w:rsidR="00785599">
        <w:rPr>
          <w:rFonts w:ascii="Arial" w:hAnsi="Arial" w:cs="Arial"/>
        </w:rPr>
        <w:t>, current value</w:t>
      </w:r>
      <w:r w:rsidR="00711B74">
        <w:rPr>
          <w:rFonts w:ascii="Arial" w:hAnsi="Arial" w:cs="Arial"/>
        </w:rPr>
        <w:t xml:space="preserve"> </w:t>
      </w:r>
      <w:r w:rsidR="00785599">
        <w:rPr>
          <w:rFonts w:ascii="Arial" w:hAnsi="Arial" w:cs="Arial"/>
        </w:rPr>
        <w:t>of</w:t>
      </w:r>
      <w:r w:rsidR="00711B74">
        <w:rPr>
          <w:rFonts w:ascii="Arial" w:hAnsi="Arial" w:cs="Arial"/>
        </w:rPr>
        <w:t xml:space="preserve"> outflows</w:t>
      </w:r>
      <w:r w:rsidR="00C438DD">
        <w:rPr>
          <w:rFonts w:ascii="Arial" w:hAnsi="Arial" w:cs="Arial"/>
        </w:rPr>
        <w:t xml:space="preserve">, which are deducted from </w:t>
      </w:r>
      <w:r w:rsidR="0044603A">
        <w:rPr>
          <w:rFonts w:ascii="Arial" w:hAnsi="Arial" w:cs="Arial"/>
        </w:rPr>
        <w:t>the inflows of cash</w:t>
      </w:r>
      <w:r w:rsidR="009A3531">
        <w:rPr>
          <w:rFonts w:ascii="Arial" w:hAnsi="Arial" w:cs="Arial"/>
        </w:rPr>
        <w:t xml:space="preserve"> (Adeniyi et al., 2012</w:t>
      </w:r>
      <w:r w:rsidR="00CB09F2">
        <w:rPr>
          <w:rFonts w:ascii="Arial" w:hAnsi="Arial" w:cs="Arial"/>
        </w:rPr>
        <w:t xml:space="preserve">; </w:t>
      </w:r>
      <w:r w:rsidR="00CB09F2" w:rsidRPr="0091584B">
        <w:rPr>
          <w:rFonts w:ascii="Arial" w:hAnsi="Arial" w:cs="Arial"/>
          <w:color w:val="000000" w:themeColor="text1"/>
          <w:sz w:val="23"/>
          <w:szCs w:val="23"/>
          <w:shd w:val="clear" w:color="auto" w:fill="FFFFFF"/>
        </w:rPr>
        <w:t>Rich, et al., 2018</w:t>
      </w:r>
      <w:r w:rsidR="00CB09F2">
        <w:rPr>
          <w:rFonts w:ascii="Arial" w:hAnsi="Arial" w:cs="Arial"/>
          <w:color w:val="000000" w:themeColor="text1"/>
          <w:sz w:val="23"/>
          <w:szCs w:val="23"/>
          <w:shd w:val="clear" w:color="auto" w:fill="FFFFFF"/>
        </w:rPr>
        <w:t>;</w:t>
      </w:r>
      <w:r w:rsidR="00CB09F2" w:rsidRPr="00292353">
        <w:rPr>
          <w:rFonts w:ascii="Arial" w:hAnsi="Arial" w:cs="Arial"/>
          <w:color w:val="000000" w:themeColor="text1"/>
          <w:sz w:val="23"/>
          <w:szCs w:val="23"/>
          <w:shd w:val="clear" w:color="auto" w:fill="FFFFFF"/>
        </w:rPr>
        <w:t xml:space="preserve"> Petri, P, K., 2020)</w:t>
      </w:r>
      <w:r w:rsidR="00CB09F2">
        <w:rPr>
          <w:rFonts w:ascii="Arial" w:hAnsi="Arial" w:cs="Arial"/>
          <w:color w:val="000000" w:themeColor="text1"/>
          <w:sz w:val="23"/>
          <w:szCs w:val="23"/>
          <w:shd w:val="clear" w:color="auto" w:fill="FFFFFF"/>
        </w:rPr>
        <w:t>.</w:t>
      </w:r>
      <w:r w:rsidR="00CB09F2" w:rsidRPr="00292353">
        <w:rPr>
          <w:rFonts w:ascii="Arial" w:hAnsi="Arial" w:cs="Arial"/>
          <w:color w:val="000000" w:themeColor="text1"/>
          <w:sz w:val="23"/>
          <w:szCs w:val="23"/>
          <w:shd w:val="clear" w:color="auto" w:fill="FFFFFF"/>
        </w:rPr>
        <w:t xml:space="preserve"> </w:t>
      </w:r>
      <w:r w:rsidR="00CB09F2" w:rsidRPr="0091584B">
        <w:rPr>
          <w:rFonts w:ascii="Arial" w:hAnsi="Arial" w:cs="Arial"/>
          <w:color w:val="000000" w:themeColor="text1"/>
        </w:rPr>
        <w:t xml:space="preserve">  </w:t>
      </w:r>
      <w:r w:rsidR="00CB09F2" w:rsidRPr="0091584B">
        <w:rPr>
          <w:rFonts w:ascii="Arial" w:hAnsi="Arial" w:cs="Arial"/>
        </w:rPr>
        <w:t xml:space="preserve">          </w:t>
      </w:r>
      <w:r w:rsidR="009A3531">
        <w:rPr>
          <w:rFonts w:ascii="Arial" w:hAnsi="Arial" w:cs="Arial"/>
        </w:rPr>
        <w:t xml:space="preserve">    </w:t>
      </w:r>
      <w:r w:rsidR="00726EA0">
        <w:rPr>
          <w:rFonts w:ascii="Arial" w:hAnsi="Arial" w:cs="Arial"/>
        </w:rPr>
        <w:t xml:space="preserve"> </w:t>
      </w:r>
    </w:p>
    <w:p w14:paraId="672502EB" w14:textId="73B9F088" w:rsidR="00FF068B" w:rsidRDefault="00C2491B" w:rsidP="007A6AFA">
      <w:pPr>
        <w:jc w:val="both"/>
        <w:rPr>
          <w:rFonts w:ascii="Arial" w:hAnsi="Arial" w:cs="Arial"/>
        </w:rPr>
      </w:pPr>
      <w:r>
        <w:rPr>
          <w:rFonts w:ascii="Arial" w:hAnsi="Arial" w:cs="Arial"/>
        </w:rPr>
        <w:t xml:space="preserve">The NVP total </w:t>
      </w:r>
      <w:r w:rsidR="009C1F29">
        <w:rPr>
          <w:rFonts w:ascii="Arial" w:hAnsi="Arial" w:cs="Arial"/>
        </w:rPr>
        <w:t>sum may have</w:t>
      </w:r>
      <w:r w:rsidR="00AA463B">
        <w:rPr>
          <w:rFonts w:ascii="Arial" w:hAnsi="Arial" w:cs="Arial"/>
        </w:rPr>
        <w:t xml:space="preserve"> a</w:t>
      </w:r>
      <w:r w:rsidR="009C1F29">
        <w:rPr>
          <w:rFonts w:ascii="Arial" w:hAnsi="Arial" w:cs="Arial"/>
        </w:rPr>
        <w:t xml:space="preserve"> </w:t>
      </w:r>
      <w:r w:rsidR="00AA463B">
        <w:rPr>
          <w:rFonts w:ascii="Arial" w:hAnsi="Arial" w:cs="Arial"/>
        </w:rPr>
        <w:t>positive</w:t>
      </w:r>
      <w:r w:rsidR="009C1F29">
        <w:rPr>
          <w:rFonts w:ascii="Arial" w:hAnsi="Arial" w:cs="Arial"/>
        </w:rPr>
        <w:t xml:space="preserve"> or </w:t>
      </w:r>
      <w:r w:rsidR="00340893">
        <w:rPr>
          <w:rFonts w:ascii="Arial" w:hAnsi="Arial" w:cs="Arial"/>
        </w:rPr>
        <w:t>n</w:t>
      </w:r>
      <w:r w:rsidR="00AA463B">
        <w:rPr>
          <w:rFonts w:ascii="Arial" w:hAnsi="Arial" w:cs="Arial"/>
        </w:rPr>
        <w:t>egative</w:t>
      </w:r>
      <w:r w:rsidR="00340893">
        <w:rPr>
          <w:rFonts w:ascii="Arial" w:hAnsi="Arial" w:cs="Arial"/>
        </w:rPr>
        <w:t xml:space="preserve"> value. </w:t>
      </w:r>
      <w:r w:rsidR="002233E6">
        <w:rPr>
          <w:rFonts w:ascii="Arial" w:hAnsi="Arial" w:cs="Arial"/>
        </w:rPr>
        <w:t>Usually, but not always</w:t>
      </w:r>
      <w:r w:rsidR="009261D6">
        <w:rPr>
          <w:rFonts w:ascii="Arial" w:hAnsi="Arial" w:cs="Arial"/>
        </w:rPr>
        <w:t xml:space="preserve"> the application of the NVP </w:t>
      </w:r>
      <w:r w:rsidR="004D5D35">
        <w:rPr>
          <w:rFonts w:ascii="Arial" w:hAnsi="Arial" w:cs="Arial"/>
        </w:rPr>
        <w:t xml:space="preserve">investment </w:t>
      </w:r>
      <w:r w:rsidR="00F82CA2">
        <w:rPr>
          <w:rFonts w:ascii="Arial" w:hAnsi="Arial" w:cs="Arial"/>
        </w:rPr>
        <w:t xml:space="preserve">technique </w:t>
      </w:r>
      <w:r w:rsidR="00CF23C4">
        <w:rPr>
          <w:rFonts w:ascii="Arial" w:hAnsi="Arial" w:cs="Arial"/>
        </w:rPr>
        <w:t>will have positive effects</w:t>
      </w:r>
      <w:r w:rsidR="003E7A47">
        <w:rPr>
          <w:rFonts w:ascii="Arial" w:hAnsi="Arial" w:cs="Arial"/>
        </w:rPr>
        <w:t xml:space="preserve"> which gives an indication that an enterprise gets the green light</w:t>
      </w:r>
      <w:r w:rsidR="00086B35">
        <w:rPr>
          <w:rFonts w:ascii="Arial" w:hAnsi="Arial" w:cs="Arial"/>
        </w:rPr>
        <w:t>, and indicates profitability</w:t>
      </w:r>
      <w:r w:rsidR="005042BC">
        <w:rPr>
          <w:rFonts w:ascii="Arial" w:hAnsi="Arial" w:cs="Arial"/>
        </w:rPr>
        <w:t xml:space="preserve">, however, </w:t>
      </w:r>
      <w:r w:rsidR="004B2FC2">
        <w:rPr>
          <w:rFonts w:ascii="Arial" w:hAnsi="Arial" w:cs="Arial"/>
        </w:rPr>
        <w:t xml:space="preserve">a negative indication </w:t>
      </w:r>
      <w:r w:rsidR="00EA7097">
        <w:rPr>
          <w:rFonts w:ascii="Arial" w:hAnsi="Arial" w:cs="Arial"/>
        </w:rPr>
        <w:t xml:space="preserve">uncovers that </w:t>
      </w:r>
      <w:r w:rsidR="00E750EF">
        <w:rPr>
          <w:rFonts w:ascii="Arial" w:hAnsi="Arial" w:cs="Arial"/>
        </w:rPr>
        <w:t xml:space="preserve">there is </w:t>
      </w:r>
      <w:r w:rsidR="00CA3203">
        <w:rPr>
          <w:rFonts w:ascii="Arial" w:hAnsi="Arial" w:cs="Arial"/>
        </w:rPr>
        <w:t>little,</w:t>
      </w:r>
      <w:r w:rsidR="00E750EF">
        <w:rPr>
          <w:rFonts w:ascii="Arial" w:hAnsi="Arial" w:cs="Arial"/>
        </w:rPr>
        <w:t xml:space="preserve"> or no profit</w:t>
      </w:r>
      <w:r w:rsidR="00EF4F04">
        <w:rPr>
          <w:rFonts w:ascii="Arial" w:hAnsi="Arial" w:cs="Arial"/>
        </w:rPr>
        <w:t xml:space="preserve"> and</w:t>
      </w:r>
      <w:r w:rsidR="00E47615">
        <w:rPr>
          <w:rFonts w:ascii="Arial" w:hAnsi="Arial" w:cs="Arial"/>
        </w:rPr>
        <w:t xml:space="preserve"> the enterprise</w:t>
      </w:r>
      <w:r w:rsidR="00EF4F04">
        <w:rPr>
          <w:rFonts w:ascii="Arial" w:hAnsi="Arial" w:cs="Arial"/>
        </w:rPr>
        <w:t xml:space="preserve"> </w:t>
      </w:r>
      <w:r w:rsidR="009C20A6">
        <w:rPr>
          <w:rFonts w:ascii="Arial" w:hAnsi="Arial" w:cs="Arial"/>
        </w:rPr>
        <w:t>should be shelved</w:t>
      </w:r>
      <w:r w:rsidR="0053573E">
        <w:rPr>
          <w:rFonts w:ascii="Arial" w:hAnsi="Arial" w:cs="Arial"/>
        </w:rPr>
        <w:t xml:space="preserve">. </w:t>
      </w:r>
      <w:proofErr w:type="gramStart"/>
      <w:r w:rsidR="00577303">
        <w:rPr>
          <w:rFonts w:ascii="Arial" w:hAnsi="Arial" w:cs="Arial"/>
        </w:rPr>
        <w:t xml:space="preserve">Additionally, </w:t>
      </w:r>
      <w:r w:rsidR="00C06258">
        <w:rPr>
          <w:rFonts w:ascii="Arial" w:hAnsi="Arial" w:cs="Arial"/>
        </w:rPr>
        <w:t xml:space="preserve">an NVP which </w:t>
      </w:r>
      <w:r w:rsidR="005B43FA">
        <w:rPr>
          <w:rFonts w:ascii="Arial" w:hAnsi="Arial" w:cs="Arial"/>
        </w:rPr>
        <w:t xml:space="preserve">reveals a zero rating in the form of discounted </w:t>
      </w:r>
      <w:r w:rsidR="00BB2532">
        <w:rPr>
          <w:rFonts w:ascii="Arial" w:hAnsi="Arial" w:cs="Arial"/>
        </w:rPr>
        <w:t>cash inflow</w:t>
      </w:r>
      <w:r w:rsidR="00107DFF">
        <w:rPr>
          <w:rFonts w:ascii="Arial" w:hAnsi="Arial" w:cs="Arial"/>
        </w:rPr>
        <w:t>,</w:t>
      </w:r>
      <w:r w:rsidR="00BB2532">
        <w:rPr>
          <w:rFonts w:ascii="Arial" w:hAnsi="Arial" w:cs="Arial"/>
        </w:rPr>
        <w:t xml:space="preserve"> which is </w:t>
      </w:r>
      <w:r w:rsidR="00CB4C0C">
        <w:rPr>
          <w:rFonts w:ascii="Arial" w:hAnsi="Arial" w:cs="Arial"/>
        </w:rPr>
        <w:t xml:space="preserve">equal </w:t>
      </w:r>
      <w:r w:rsidR="00C630DE">
        <w:rPr>
          <w:rFonts w:ascii="Arial" w:hAnsi="Arial" w:cs="Arial"/>
        </w:rPr>
        <w:t>to</w:t>
      </w:r>
      <w:r w:rsidR="00F73BA3">
        <w:rPr>
          <w:rFonts w:ascii="Arial" w:hAnsi="Arial" w:cs="Arial"/>
        </w:rPr>
        <w:t xml:space="preserve"> the</w:t>
      </w:r>
      <w:r w:rsidR="00C630DE">
        <w:rPr>
          <w:rFonts w:ascii="Arial" w:hAnsi="Arial" w:cs="Arial"/>
        </w:rPr>
        <w:t xml:space="preserve"> cash</w:t>
      </w:r>
      <w:r w:rsidR="00107DFF">
        <w:rPr>
          <w:rFonts w:ascii="Arial" w:hAnsi="Arial" w:cs="Arial"/>
        </w:rPr>
        <w:t>,</w:t>
      </w:r>
      <w:r w:rsidR="00C630DE">
        <w:rPr>
          <w:rFonts w:ascii="Arial" w:hAnsi="Arial" w:cs="Arial"/>
        </w:rPr>
        <w:t xml:space="preserve"> which is discounted as cash outflow</w:t>
      </w:r>
      <w:r w:rsidR="001C325B">
        <w:rPr>
          <w:rFonts w:ascii="Arial" w:hAnsi="Arial" w:cs="Arial"/>
        </w:rPr>
        <w:t xml:space="preserve">, this indicates an enterprise </w:t>
      </w:r>
      <w:r w:rsidR="00CA4A82">
        <w:rPr>
          <w:rFonts w:ascii="Arial" w:hAnsi="Arial" w:cs="Arial"/>
        </w:rPr>
        <w:t>will bring in profitable returns</w:t>
      </w:r>
      <w:r w:rsidR="009F53BE">
        <w:rPr>
          <w:rFonts w:ascii="Arial" w:hAnsi="Arial" w:cs="Arial"/>
        </w:rPr>
        <w:t xml:space="preserve">, which equates to cost of </w:t>
      </w:r>
      <w:r w:rsidR="00CA3203">
        <w:rPr>
          <w:rFonts w:ascii="Arial" w:hAnsi="Arial" w:cs="Arial"/>
        </w:rPr>
        <w:t>capital</w:t>
      </w:r>
      <w:r w:rsidR="0054176B">
        <w:rPr>
          <w:rFonts w:ascii="Arial" w:hAnsi="Arial" w:cs="Arial"/>
        </w:rPr>
        <w:t xml:space="preserve">, therefore, </w:t>
      </w:r>
      <w:r w:rsidR="004D41BA">
        <w:rPr>
          <w:rFonts w:ascii="Arial" w:hAnsi="Arial" w:cs="Arial"/>
        </w:rPr>
        <w:t>is considered to have the green light</w:t>
      </w:r>
      <w:r w:rsidR="00167B90">
        <w:rPr>
          <w:rFonts w:ascii="Arial" w:hAnsi="Arial" w:cs="Arial"/>
        </w:rPr>
        <w:t xml:space="preserve">, this is because </w:t>
      </w:r>
      <w:r w:rsidR="00B5484C">
        <w:rPr>
          <w:rFonts w:ascii="Arial" w:hAnsi="Arial" w:cs="Arial"/>
        </w:rPr>
        <w:t xml:space="preserve">all operative costings </w:t>
      </w:r>
      <w:r w:rsidR="0000674A">
        <w:rPr>
          <w:rFonts w:ascii="Arial" w:hAnsi="Arial" w:cs="Arial"/>
        </w:rPr>
        <w:t>will be furnished by cash outflows</w:t>
      </w:r>
      <w:r w:rsidR="00CA4A82">
        <w:rPr>
          <w:rFonts w:ascii="Arial" w:hAnsi="Arial" w:cs="Arial"/>
        </w:rPr>
        <w:t xml:space="preserve"> </w:t>
      </w:r>
      <w:r w:rsidR="009C6B21">
        <w:rPr>
          <w:rFonts w:ascii="Arial" w:hAnsi="Arial" w:cs="Arial"/>
        </w:rPr>
        <w:t>of the enterprise</w:t>
      </w:r>
      <w:r w:rsidR="00D44939">
        <w:rPr>
          <w:rFonts w:ascii="Arial" w:hAnsi="Arial" w:cs="Arial"/>
        </w:rPr>
        <w:t xml:space="preserve"> </w:t>
      </w:r>
      <w:r w:rsidR="009C6B21">
        <w:rPr>
          <w:rFonts w:ascii="Arial" w:hAnsi="Arial" w:cs="Arial"/>
        </w:rPr>
        <w:t xml:space="preserve"> </w:t>
      </w:r>
      <w:r w:rsidR="00D44939">
        <w:rPr>
          <w:rFonts w:ascii="Arial" w:hAnsi="Arial" w:cs="Arial"/>
        </w:rPr>
        <w:t xml:space="preserve">(Adeniyi et al., 2012; </w:t>
      </w:r>
      <w:r w:rsidR="00D44939" w:rsidRPr="0091584B">
        <w:rPr>
          <w:rFonts w:ascii="Arial" w:hAnsi="Arial" w:cs="Arial"/>
          <w:color w:val="000000" w:themeColor="text1"/>
          <w:sz w:val="23"/>
          <w:szCs w:val="23"/>
          <w:shd w:val="clear" w:color="auto" w:fill="FFFFFF"/>
        </w:rPr>
        <w:t>Rich, et al., 2018</w:t>
      </w:r>
      <w:r w:rsidR="00D44939">
        <w:rPr>
          <w:rFonts w:ascii="Arial" w:hAnsi="Arial" w:cs="Arial"/>
          <w:color w:val="000000" w:themeColor="text1"/>
          <w:sz w:val="23"/>
          <w:szCs w:val="23"/>
          <w:shd w:val="clear" w:color="auto" w:fill="FFFFFF"/>
        </w:rPr>
        <w:t>;</w:t>
      </w:r>
      <w:r w:rsidR="00D44939" w:rsidRPr="00292353">
        <w:rPr>
          <w:rFonts w:ascii="Arial" w:hAnsi="Arial" w:cs="Arial"/>
          <w:color w:val="000000" w:themeColor="text1"/>
          <w:sz w:val="23"/>
          <w:szCs w:val="23"/>
          <w:shd w:val="clear" w:color="auto" w:fill="FFFFFF"/>
        </w:rPr>
        <w:t xml:space="preserve"> Petri, P, K., 2020)</w:t>
      </w:r>
      <w:r w:rsidR="00D44939">
        <w:rPr>
          <w:rFonts w:ascii="Arial" w:hAnsi="Arial" w:cs="Arial"/>
          <w:color w:val="000000" w:themeColor="text1"/>
          <w:sz w:val="23"/>
          <w:szCs w:val="23"/>
          <w:shd w:val="clear" w:color="auto" w:fill="FFFFFF"/>
        </w:rPr>
        <w:t>.</w:t>
      </w:r>
      <w:proofErr w:type="gramEnd"/>
      <w:r w:rsidR="00D44939" w:rsidRPr="00292353">
        <w:rPr>
          <w:rFonts w:ascii="Arial" w:hAnsi="Arial" w:cs="Arial"/>
          <w:color w:val="000000" w:themeColor="text1"/>
          <w:sz w:val="23"/>
          <w:szCs w:val="23"/>
          <w:shd w:val="clear" w:color="auto" w:fill="FFFFFF"/>
        </w:rPr>
        <w:t xml:space="preserve"> </w:t>
      </w:r>
      <w:r w:rsidR="00D44939" w:rsidRPr="0091584B">
        <w:rPr>
          <w:rFonts w:ascii="Arial" w:hAnsi="Arial" w:cs="Arial"/>
          <w:color w:val="000000" w:themeColor="text1"/>
        </w:rPr>
        <w:t xml:space="preserve">  </w:t>
      </w:r>
      <w:r w:rsidR="00D44939" w:rsidRPr="0091584B">
        <w:rPr>
          <w:rFonts w:ascii="Arial" w:hAnsi="Arial" w:cs="Arial"/>
        </w:rPr>
        <w:t xml:space="preserve">          </w:t>
      </w:r>
    </w:p>
    <w:p w14:paraId="5A2BC73E" w14:textId="3C3F32D8" w:rsidR="00940FE0" w:rsidRPr="009C20A6" w:rsidRDefault="00F51318" w:rsidP="007A6AFA">
      <w:pPr>
        <w:jc w:val="both"/>
        <w:rPr>
          <w:rFonts w:ascii="Arial" w:hAnsi="Arial" w:cs="Arial"/>
        </w:rPr>
      </w:pPr>
      <w:r>
        <w:rPr>
          <w:rFonts w:ascii="Arial" w:hAnsi="Arial" w:cs="Arial"/>
        </w:rPr>
        <w:t>Albe</w:t>
      </w:r>
      <w:r w:rsidR="00A17ABE">
        <w:rPr>
          <w:rFonts w:ascii="Arial" w:hAnsi="Arial" w:cs="Arial"/>
        </w:rPr>
        <w:t>i</w:t>
      </w:r>
      <w:r>
        <w:rPr>
          <w:rFonts w:ascii="Arial" w:hAnsi="Arial" w:cs="Arial"/>
        </w:rPr>
        <w:t>t</w:t>
      </w:r>
      <w:r w:rsidR="00A17ABE">
        <w:rPr>
          <w:rFonts w:ascii="Arial" w:hAnsi="Arial" w:cs="Arial"/>
        </w:rPr>
        <w:t>, in these moments</w:t>
      </w:r>
      <w:r w:rsidR="00D06C28">
        <w:rPr>
          <w:rFonts w:ascii="Arial" w:hAnsi="Arial" w:cs="Arial"/>
        </w:rPr>
        <w:t xml:space="preserve"> it could</w:t>
      </w:r>
      <w:r w:rsidR="00FC65EC">
        <w:rPr>
          <w:rFonts w:ascii="Arial" w:hAnsi="Arial" w:cs="Arial"/>
        </w:rPr>
        <w:t xml:space="preserve">, an enterprise </w:t>
      </w:r>
      <w:r w:rsidR="00F05292">
        <w:rPr>
          <w:rFonts w:ascii="Arial" w:hAnsi="Arial" w:cs="Arial"/>
        </w:rPr>
        <w:t xml:space="preserve">may not reap any kind of </w:t>
      </w:r>
      <w:r w:rsidR="005F4623">
        <w:rPr>
          <w:rFonts w:ascii="Arial" w:hAnsi="Arial" w:cs="Arial"/>
        </w:rPr>
        <w:t>financial benefit</w:t>
      </w:r>
      <w:r w:rsidR="00433F9A">
        <w:rPr>
          <w:rFonts w:ascii="Arial" w:hAnsi="Arial" w:cs="Arial"/>
        </w:rPr>
        <w:t xml:space="preserve">, </w:t>
      </w:r>
      <w:r w:rsidR="009C1BD4">
        <w:rPr>
          <w:rFonts w:ascii="Arial" w:hAnsi="Arial" w:cs="Arial"/>
        </w:rPr>
        <w:t>it is still deemed well advis</w:t>
      </w:r>
      <w:r w:rsidR="00EB6516">
        <w:rPr>
          <w:rFonts w:ascii="Arial" w:hAnsi="Arial" w:cs="Arial"/>
        </w:rPr>
        <w:t>able</w:t>
      </w:r>
      <w:r w:rsidR="00672B58">
        <w:rPr>
          <w:rFonts w:ascii="Arial" w:hAnsi="Arial" w:cs="Arial"/>
        </w:rPr>
        <w:t xml:space="preserve">, to seek out such enterprises </w:t>
      </w:r>
      <w:r w:rsidR="00FB393D">
        <w:rPr>
          <w:rFonts w:ascii="Arial" w:hAnsi="Arial" w:cs="Arial"/>
        </w:rPr>
        <w:t xml:space="preserve">which may </w:t>
      </w:r>
      <w:r w:rsidR="00F92D4B">
        <w:rPr>
          <w:rFonts w:ascii="Arial" w:hAnsi="Arial" w:cs="Arial"/>
        </w:rPr>
        <w:t xml:space="preserve">have the </w:t>
      </w:r>
      <w:r w:rsidR="008108DC">
        <w:rPr>
          <w:rFonts w:ascii="Arial" w:hAnsi="Arial" w:cs="Arial"/>
        </w:rPr>
        <w:t xml:space="preserve">possibility of turning </w:t>
      </w:r>
      <w:r w:rsidR="00167CB3">
        <w:rPr>
          <w:rFonts w:ascii="Arial" w:hAnsi="Arial" w:cs="Arial"/>
        </w:rPr>
        <w:t>profitable in the future</w:t>
      </w:r>
      <w:r w:rsidR="00D74F99">
        <w:rPr>
          <w:rFonts w:ascii="Arial" w:hAnsi="Arial" w:cs="Arial"/>
        </w:rPr>
        <w:t xml:space="preserve"> if management sees fit</w:t>
      </w:r>
      <w:r w:rsidR="00330B0D">
        <w:rPr>
          <w:rFonts w:ascii="Arial" w:hAnsi="Arial" w:cs="Arial"/>
        </w:rPr>
        <w:t>.</w:t>
      </w:r>
      <w:r w:rsidR="00322D2D">
        <w:rPr>
          <w:rFonts w:ascii="Arial" w:hAnsi="Arial" w:cs="Arial"/>
        </w:rPr>
        <w:t xml:space="preserve"> This could be due to unfor</w:t>
      </w:r>
      <w:r w:rsidR="00A73C7F">
        <w:rPr>
          <w:rFonts w:ascii="Arial" w:hAnsi="Arial" w:cs="Arial"/>
        </w:rPr>
        <w:t>e</w:t>
      </w:r>
      <w:r w:rsidR="00322D2D">
        <w:rPr>
          <w:rFonts w:ascii="Arial" w:hAnsi="Arial" w:cs="Arial"/>
        </w:rPr>
        <w:t>s</w:t>
      </w:r>
      <w:r w:rsidR="00A73C7F">
        <w:rPr>
          <w:rFonts w:ascii="Arial" w:hAnsi="Arial" w:cs="Arial"/>
        </w:rPr>
        <w:t>een economic</w:t>
      </w:r>
      <w:r w:rsidR="006C0087">
        <w:rPr>
          <w:rFonts w:ascii="Arial" w:hAnsi="Arial" w:cs="Arial"/>
        </w:rPr>
        <w:t>al,</w:t>
      </w:r>
      <w:r w:rsidR="00A73C7F">
        <w:rPr>
          <w:rFonts w:ascii="Arial" w:hAnsi="Arial" w:cs="Arial"/>
        </w:rPr>
        <w:t xml:space="preserve"> indicato</w:t>
      </w:r>
      <w:r w:rsidR="006C0087">
        <w:rPr>
          <w:rFonts w:ascii="Arial" w:hAnsi="Arial" w:cs="Arial"/>
        </w:rPr>
        <w:t>rs</w:t>
      </w:r>
      <w:r w:rsidR="009A0203">
        <w:rPr>
          <w:rFonts w:ascii="Arial" w:hAnsi="Arial" w:cs="Arial"/>
        </w:rPr>
        <w:t>, ch</w:t>
      </w:r>
      <w:r w:rsidR="00D95132">
        <w:rPr>
          <w:rFonts w:ascii="Arial" w:hAnsi="Arial" w:cs="Arial"/>
        </w:rPr>
        <w:t xml:space="preserve">anges to interest rates, </w:t>
      </w:r>
      <w:r w:rsidR="00374716">
        <w:rPr>
          <w:rFonts w:ascii="Arial" w:hAnsi="Arial" w:cs="Arial"/>
        </w:rPr>
        <w:t xml:space="preserve">or financing rates, government </w:t>
      </w:r>
      <w:r w:rsidR="00E87D8A">
        <w:rPr>
          <w:rFonts w:ascii="Arial" w:hAnsi="Arial" w:cs="Arial"/>
        </w:rPr>
        <w:t>policies,</w:t>
      </w:r>
      <w:r w:rsidR="003E1A55">
        <w:rPr>
          <w:rFonts w:ascii="Arial" w:hAnsi="Arial" w:cs="Arial"/>
        </w:rPr>
        <w:t xml:space="preserve"> and other</w:t>
      </w:r>
      <w:r w:rsidR="00A27905">
        <w:rPr>
          <w:rFonts w:ascii="Arial" w:hAnsi="Arial" w:cs="Arial"/>
        </w:rPr>
        <w:t xml:space="preserve"> matters,</w:t>
      </w:r>
      <w:r w:rsidR="003E1A55">
        <w:rPr>
          <w:rFonts w:ascii="Arial" w:hAnsi="Arial" w:cs="Arial"/>
        </w:rPr>
        <w:t xml:space="preserve"> which are able to stop an enterprise on the spot, however, </w:t>
      </w:r>
      <w:r w:rsidR="00C84EEC">
        <w:rPr>
          <w:rFonts w:ascii="Arial" w:hAnsi="Arial" w:cs="Arial"/>
        </w:rPr>
        <w:t xml:space="preserve">if all those unforeseen </w:t>
      </w:r>
      <w:r w:rsidR="004B77AD">
        <w:rPr>
          <w:rFonts w:ascii="Arial" w:hAnsi="Arial" w:cs="Arial"/>
        </w:rPr>
        <w:t>indicators change for the better,</w:t>
      </w:r>
      <w:r w:rsidR="00627F7E">
        <w:rPr>
          <w:rFonts w:ascii="Arial" w:hAnsi="Arial" w:cs="Arial"/>
        </w:rPr>
        <w:t xml:space="preserve"> the plans can then be put in motion</w:t>
      </w:r>
      <w:r w:rsidR="00157332">
        <w:rPr>
          <w:rFonts w:ascii="Arial" w:hAnsi="Arial" w:cs="Arial"/>
        </w:rPr>
        <w:t xml:space="preserve">. </w:t>
      </w:r>
      <w:r w:rsidR="003224BC">
        <w:rPr>
          <w:rFonts w:ascii="Arial" w:hAnsi="Arial" w:cs="Arial"/>
        </w:rPr>
        <w:t>According to Kado</w:t>
      </w:r>
      <w:r w:rsidR="007E1308">
        <w:rPr>
          <w:rFonts w:ascii="Arial" w:hAnsi="Arial" w:cs="Arial"/>
        </w:rPr>
        <w:t>ndi, (200</w:t>
      </w:r>
      <w:r w:rsidR="00D4488F">
        <w:rPr>
          <w:rFonts w:ascii="Arial" w:hAnsi="Arial" w:cs="Arial"/>
        </w:rPr>
        <w:t>2),</w:t>
      </w:r>
      <w:r w:rsidR="00AA0C06">
        <w:rPr>
          <w:rFonts w:ascii="Arial" w:hAnsi="Arial" w:cs="Arial"/>
        </w:rPr>
        <w:t xml:space="preserve"> </w:t>
      </w:r>
      <w:r w:rsidR="006C21BF">
        <w:rPr>
          <w:rFonts w:ascii="Arial" w:hAnsi="Arial" w:cs="Arial"/>
        </w:rPr>
        <w:t>NVP is a modern</w:t>
      </w:r>
      <w:r w:rsidR="006E3461">
        <w:rPr>
          <w:rFonts w:ascii="Arial" w:hAnsi="Arial" w:cs="Arial"/>
        </w:rPr>
        <w:t xml:space="preserve"> investment </w:t>
      </w:r>
      <w:r w:rsidR="00B53BAB">
        <w:rPr>
          <w:rFonts w:ascii="Arial" w:hAnsi="Arial" w:cs="Arial"/>
        </w:rPr>
        <w:t xml:space="preserve">evaluation technique </w:t>
      </w:r>
      <w:r w:rsidR="008222DC">
        <w:rPr>
          <w:rFonts w:ascii="Arial" w:hAnsi="Arial" w:cs="Arial"/>
        </w:rPr>
        <w:t xml:space="preserve">that focusses on wealth </w:t>
      </w:r>
      <w:proofErr w:type="gramStart"/>
      <w:r w:rsidR="008222DC">
        <w:rPr>
          <w:rFonts w:ascii="Arial" w:hAnsi="Arial" w:cs="Arial"/>
        </w:rPr>
        <w:t>creation</w:t>
      </w:r>
      <w:r w:rsidR="00ED66AB">
        <w:rPr>
          <w:rFonts w:ascii="Arial" w:hAnsi="Arial" w:cs="Arial"/>
        </w:rPr>
        <w:t>, that</w:t>
      </w:r>
      <w:proofErr w:type="gramEnd"/>
      <w:r w:rsidR="00ED66AB">
        <w:rPr>
          <w:rFonts w:ascii="Arial" w:hAnsi="Arial" w:cs="Arial"/>
        </w:rPr>
        <w:t xml:space="preserve"> also incorporates the time value of money</w:t>
      </w:r>
      <w:r w:rsidR="00B01517">
        <w:rPr>
          <w:rFonts w:ascii="Arial" w:hAnsi="Arial" w:cs="Arial"/>
        </w:rPr>
        <w:t xml:space="preserve">, as well as the cash flows </w:t>
      </w:r>
      <w:r w:rsidR="00E722CC">
        <w:rPr>
          <w:rFonts w:ascii="Arial" w:hAnsi="Arial" w:cs="Arial"/>
        </w:rPr>
        <w:t>of enterprises</w:t>
      </w:r>
      <w:r w:rsidR="009A3531">
        <w:rPr>
          <w:rFonts w:ascii="Arial" w:hAnsi="Arial" w:cs="Arial"/>
        </w:rPr>
        <w:t xml:space="preserve"> </w:t>
      </w:r>
      <w:bookmarkStart w:id="38" w:name="_Hlk71481503"/>
      <w:r w:rsidR="009A3531">
        <w:rPr>
          <w:rFonts w:ascii="Arial" w:hAnsi="Arial" w:cs="Arial"/>
        </w:rPr>
        <w:t>(Adeniyi et al., 2012</w:t>
      </w:r>
      <w:r w:rsidR="005037F9">
        <w:rPr>
          <w:rFonts w:ascii="Arial" w:hAnsi="Arial" w:cs="Arial"/>
        </w:rPr>
        <w:t>;</w:t>
      </w:r>
      <w:r w:rsidR="009A3531">
        <w:rPr>
          <w:rFonts w:ascii="Arial" w:hAnsi="Arial" w:cs="Arial"/>
        </w:rPr>
        <w:t xml:space="preserve"> </w:t>
      </w:r>
      <w:r w:rsidR="0091584B" w:rsidRPr="0091584B">
        <w:rPr>
          <w:rFonts w:ascii="Arial" w:hAnsi="Arial" w:cs="Arial"/>
          <w:color w:val="000000" w:themeColor="text1"/>
          <w:sz w:val="23"/>
          <w:szCs w:val="23"/>
          <w:shd w:val="clear" w:color="auto" w:fill="FFFFFF"/>
        </w:rPr>
        <w:t>Rich, et al., 2018</w:t>
      </w:r>
      <w:r w:rsidR="00292353">
        <w:rPr>
          <w:rFonts w:ascii="Arial" w:hAnsi="Arial" w:cs="Arial"/>
          <w:color w:val="000000" w:themeColor="text1"/>
          <w:sz w:val="23"/>
          <w:szCs w:val="23"/>
          <w:shd w:val="clear" w:color="auto" w:fill="FFFFFF"/>
        </w:rPr>
        <w:t>;</w:t>
      </w:r>
      <w:r w:rsidR="00292353" w:rsidRPr="00292353">
        <w:rPr>
          <w:rFonts w:ascii="Arial" w:hAnsi="Arial" w:cs="Arial"/>
          <w:color w:val="000000" w:themeColor="text1"/>
          <w:sz w:val="23"/>
          <w:szCs w:val="23"/>
          <w:shd w:val="clear" w:color="auto" w:fill="FFFFFF"/>
        </w:rPr>
        <w:t xml:space="preserve"> Petri, P, K., 2020)</w:t>
      </w:r>
      <w:r w:rsidR="00D44939">
        <w:rPr>
          <w:rFonts w:ascii="Arial" w:hAnsi="Arial" w:cs="Arial"/>
          <w:color w:val="000000" w:themeColor="text1"/>
          <w:sz w:val="23"/>
          <w:szCs w:val="23"/>
          <w:shd w:val="clear" w:color="auto" w:fill="FFFFFF"/>
        </w:rPr>
        <w:t>.</w:t>
      </w:r>
      <w:r w:rsidR="00292353" w:rsidRPr="00292353">
        <w:rPr>
          <w:rFonts w:ascii="Arial" w:hAnsi="Arial" w:cs="Arial"/>
          <w:color w:val="000000" w:themeColor="text1"/>
          <w:sz w:val="23"/>
          <w:szCs w:val="23"/>
          <w:shd w:val="clear" w:color="auto" w:fill="FFFFFF"/>
        </w:rPr>
        <w:t xml:space="preserve"> </w:t>
      </w:r>
      <w:r w:rsidR="009A3531" w:rsidRPr="0091584B">
        <w:rPr>
          <w:rFonts w:ascii="Arial" w:hAnsi="Arial" w:cs="Arial"/>
          <w:color w:val="000000" w:themeColor="text1"/>
        </w:rPr>
        <w:t xml:space="preserve">  </w:t>
      </w:r>
      <w:r w:rsidR="009A3531" w:rsidRPr="0091584B">
        <w:rPr>
          <w:rFonts w:ascii="Arial" w:hAnsi="Arial" w:cs="Arial"/>
        </w:rPr>
        <w:t xml:space="preserve"> </w:t>
      </w:r>
      <w:r w:rsidR="004B77AD" w:rsidRPr="0091584B">
        <w:rPr>
          <w:rFonts w:ascii="Arial" w:hAnsi="Arial" w:cs="Arial"/>
        </w:rPr>
        <w:t xml:space="preserve"> </w:t>
      </w:r>
      <w:r w:rsidR="003E7A47" w:rsidRPr="0091584B">
        <w:rPr>
          <w:rFonts w:ascii="Arial" w:hAnsi="Arial" w:cs="Arial"/>
        </w:rPr>
        <w:t xml:space="preserve"> </w:t>
      </w:r>
      <w:r w:rsidR="009C1F29" w:rsidRPr="0091584B">
        <w:rPr>
          <w:rFonts w:ascii="Arial" w:hAnsi="Arial" w:cs="Arial"/>
        </w:rPr>
        <w:t xml:space="preserve"> </w:t>
      </w:r>
      <w:r w:rsidR="00785599" w:rsidRPr="0091584B">
        <w:rPr>
          <w:rFonts w:ascii="Arial" w:hAnsi="Arial" w:cs="Arial"/>
        </w:rPr>
        <w:t xml:space="preserve"> </w:t>
      </w:r>
      <w:r w:rsidR="00493962" w:rsidRPr="0091584B">
        <w:rPr>
          <w:rFonts w:ascii="Arial" w:hAnsi="Arial" w:cs="Arial"/>
        </w:rPr>
        <w:t xml:space="preserve"> </w:t>
      </w:r>
      <w:r w:rsidR="00816AC7" w:rsidRPr="0091584B">
        <w:rPr>
          <w:rFonts w:ascii="Arial" w:hAnsi="Arial" w:cs="Arial"/>
        </w:rPr>
        <w:t xml:space="preserve"> </w:t>
      </w:r>
      <w:r w:rsidR="00673FC1" w:rsidRPr="0091584B">
        <w:rPr>
          <w:rFonts w:ascii="Arial" w:hAnsi="Arial" w:cs="Arial"/>
        </w:rPr>
        <w:t xml:space="preserve"> </w:t>
      </w:r>
      <w:r w:rsidR="00242E39" w:rsidRPr="0091584B">
        <w:rPr>
          <w:rFonts w:ascii="Arial" w:hAnsi="Arial" w:cs="Arial"/>
        </w:rPr>
        <w:t xml:space="preserve"> </w:t>
      </w:r>
      <w:r w:rsidR="00CC2F15" w:rsidRPr="0091584B">
        <w:rPr>
          <w:rFonts w:ascii="Arial" w:hAnsi="Arial" w:cs="Arial"/>
        </w:rPr>
        <w:t xml:space="preserve"> </w:t>
      </w:r>
      <w:bookmarkEnd w:id="38"/>
    </w:p>
    <w:p w14:paraId="472AE731" w14:textId="25AA95ED" w:rsidR="00E934D7" w:rsidRDefault="00003164" w:rsidP="00E934D7">
      <w:pPr>
        <w:jc w:val="both"/>
        <w:rPr>
          <w:rFonts w:ascii="Arial" w:hAnsi="Arial" w:cs="Arial"/>
          <w:b/>
          <w:bCs/>
          <w:i/>
          <w:iCs/>
        </w:rPr>
      </w:pPr>
      <w:r>
        <w:rPr>
          <w:rFonts w:ascii="Arial" w:hAnsi="Arial" w:cs="Arial"/>
          <w:b/>
          <w:bCs/>
          <w:i/>
          <w:iCs/>
        </w:rPr>
        <w:t xml:space="preserve">The technique </w:t>
      </w:r>
      <w:r w:rsidR="00624837">
        <w:rPr>
          <w:rFonts w:ascii="Arial" w:hAnsi="Arial" w:cs="Arial"/>
          <w:b/>
          <w:bCs/>
          <w:i/>
          <w:iCs/>
        </w:rPr>
        <w:t>that</w:t>
      </w:r>
      <w:r>
        <w:rPr>
          <w:rFonts w:ascii="Arial" w:hAnsi="Arial" w:cs="Arial"/>
          <w:b/>
          <w:bCs/>
          <w:i/>
          <w:iCs/>
        </w:rPr>
        <w:t xml:space="preserve"> </w:t>
      </w:r>
      <w:proofErr w:type="gramStart"/>
      <w:r>
        <w:rPr>
          <w:rFonts w:ascii="Arial" w:hAnsi="Arial" w:cs="Arial"/>
          <w:b/>
          <w:bCs/>
          <w:i/>
          <w:iCs/>
        </w:rPr>
        <w:t>will</w:t>
      </w:r>
      <w:r w:rsidR="00624837">
        <w:rPr>
          <w:rFonts w:ascii="Arial" w:hAnsi="Arial" w:cs="Arial"/>
          <w:b/>
          <w:bCs/>
          <w:i/>
          <w:iCs/>
        </w:rPr>
        <w:t xml:space="preserve"> be</w:t>
      </w:r>
      <w:r>
        <w:rPr>
          <w:rFonts w:ascii="Arial" w:hAnsi="Arial" w:cs="Arial"/>
          <w:b/>
          <w:bCs/>
          <w:i/>
          <w:iCs/>
        </w:rPr>
        <w:t xml:space="preserve"> appl</w:t>
      </w:r>
      <w:r w:rsidR="00624837">
        <w:rPr>
          <w:rFonts w:ascii="Arial" w:hAnsi="Arial" w:cs="Arial"/>
          <w:b/>
          <w:bCs/>
          <w:i/>
          <w:iCs/>
        </w:rPr>
        <w:t>ied</w:t>
      </w:r>
      <w:proofErr w:type="gramEnd"/>
      <w:r>
        <w:rPr>
          <w:rFonts w:ascii="Arial" w:hAnsi="Arial" w:cs="Arial"/>
          <w:b/>
          <w:bCs/>
          <w:i/>
          <w:iCs/>
        </w:rPr>
        <w:t xml:space="preserve"> here for GSK is</w:t>
      </w:r>
      <w:r w:rsidR="00E934D7" w:rsidRPr="00F904D4">
        <w:rPr>
          <w:rFonts w:ascii="Arial" w:hAnsi="Arial" w:cs="Arial"/>
          <w:b/>
          <w:bCs/>
          <w:i/>
          <w:iCs/>
        </w:rPr>
        <w:t xml:space="preserve"> Net Present Value (NVP)</w:t>
      </w:r>
      <w:r w:rsidR="00CB2B90">
        <w:rPr>
          <w:rFonts w:ascii="Arial" w:hAnsi="Arial" w:cs="Arial"/>
          <w:b/>
          <w:bCs/>
          <w:i/>
          <w:iCs/>
        </w:rPr>
        <w:t xml:space="preserve"> see </w:t>
      </w:r>
      <w:r w:rsidR="004C7EE5">
        <w:rPr>
          <w:rFonts w:ascii="Arial" w:hAnsi="Arial" w:cs="Arial"/>
          <w:b/>
          <w:bCs/>
          <w:i/>
          <w:iCs/>
        </w:rPr>
        <w:t>below</w:t>
      </w:r>
      <w:r w:rsidR="00CB2B90">
        <w:rPr>
          <w:rFonts w:ascii="Arial" w:hAnsi="Arial" w:cs="Arial"/>
          <w:b/>
          <w:bCs/>
          <w:i/>
          <w:iCs/>
        </w:rPr>
        <w:t xml:space="preserve"> figures for both projects.</w:t>
      </w:r>
    </w:p>
    <w:p w14:paraId="32E5DAF1" w14:textId="77777777" w:rsidR="00082C57" w:rsidRPr="00755E3E" w:rsidRDefault="00082C57" w:rsidP="00045C88">
      <w:pPr>
        <w:pStyle w:val="Heading2"/>
      </w:pPr>
      <w:bookmarkStart w:id="39" w:name="_Toc72176103"/>
      <w:r w:rsidRPr="00755E3E">
        <w:t>Net Present Value:</w:t>
      </w:r>
      <w:bookmarkEnd w:id="39"/>
    </w:p>
    <w:p w14:paraId="0C7B8FB7" w14:textId="07588204" w:rsidR="00082C57" w:rsidRDefault="00082C57" w:rsidP="00082C57">
      <w:pPr>
        <w:jc w:val="both"/>
        <w:rPr>
          <w:rFonts w:ascii="Arial" w:hAnsi="Arial" w:cs="Arial"/>
        </w:rPr>
      </w:pPr>
      <w:r w:rsidRPr="00FA623C">
        <w:rPr>
          <w:rFonts w:ascii="Arial" w:hAnsi="Arial" w:cs="Arial"/>
          <w:b/>
          <w:bCs/>
        </w:rPr>
        <w:t>Project</w:t>
      </w:r>
      <w:r>
        <w:rPr>
          <w:rFonts w:ascii="Arial" w:hAnsi="Arial" w:cs="Arial"/>
        </w:rPr>
        <w:t xml:space="preserve"> </w:t>
      </w:r>
      <w:r w:rsidRPr="00ED6891">
        <w:rPr>
          <w:rFonts w:ascii="Arial" w:hAnsi="Arial" w:cs="Arial"/>
          <w:b/>
          <w:bCs/>
        </w:rPr>
        <w:t>A.</w:t>
      </w:r>
      <w:r>
        <w:rPr>
          <w:rFonts w:ascii="Arial" w:hAnsi="Arial" w:cs="Arial"/>
          <w:b/>
          <w:bCs/>
        </w:rPr>
        <w:t xml:space="preserve"> = 16.55 m</w:t>
      </w:r>
      <w:r w:rsidR="00B96157">
        <w:rPr>
          <w:rFonts w:ascii="Arial" w:hAnsi="Arial" w:cs="Arial"/>
        </w:rPr>
        <w:t xml:space="preserve">   </w:t>
      </w:r>
      <w:r w:rsidRPr="00FA623C">
        <w:rPr>
          <w:rFonts w:ascii="Arial" w:hAnsi="Arial" w:cs="Arial"/>
          <w:b/>
          <w:bCs/>
        </w:rPr>
        <w:t>Project</w:t>
      </w:r>
      <w:r>
        <w:rPr>
          <w:rFonts w:ascii="Arial" w:hAnsi="Arial" w:cs="Arial"/>
        </w:rPr>
        <w:t xml:space="preserve"> </w:t>
      </w:r>
      <w:r w:rsidRPr="00ED6891">
        <w:rPr>
          <w:rFonts w:ascii="Arial" w:hAnsi="Arial" w:cs="Arial"/>
          <w:b/>
          <w:bCs/>
        </w:rPr>
        <w:t>B.</w:t>
      </w:r>
      <w:r>
        <w:rPr>
          <w:rFonts w:ascii="Arial" w:hAnsi="Arial" w:cs="Arial"/>
        </w:rPr>
        <w:t xml:space="preserve"> = </w:t>
      </w:r>
      <w:r w:rsidRPr="00B05F20">
        <w:rPr>
          <w:rFonts w:ascii="Arial" w:hAnsi="Arial" w:cs="Arial"/>
          <w:b/>
          <w:bCs/>
        </w:rPr>
        <w:t>16.05 m</w:t>
      </w:r>
      <w:r>
        <w:rPr>
          <w:rFonts w:ascii="Arial" w:hAnsi="Arial" w:cs="Arial"/>
        </w:rPr>
        <w:t xml:space="preserve">     </w:t>
      </w:r>
    </w:p>
    <w:p w14:paraId="574FF844" w14:textId="77777777" w:rsidR="00000648" w:rsidRDefault="00000648" w:rsidP="00E934D7">
      <w:pPr>
        <w:jc w:val="both"/>
        <w:rPr>
          <w:rFonts w:ascii="Arial" w:hAnsi="Arial" w:cs="Arial"/>
          <w:b/>
          <w:bCs/>
          <w:i/>
          <w:iCs/>
        </w:rPr>
      </w:pPr>
    </w:p>
    <w:p w14:paraId="015AAD34" w14:textId="31F42DDC" w:rsidR="00D536BB" w:rsidRDefault="00275D66" w:rsidP="00E934D7">
      <w:pPr>
        <w:jc w:val="both"/>
        <w:rPr>
          <w:rFonts w:ascii="Arial" w:hAnsi="Arial" w:cs="Arial"/>
          <w:b/>
          <w:bCs/>
          <w:i/>
          <w:iCs/>
        </w:rPr>
      </w:pPr>
      <w:proofErr w:type="gramStart"/>
      <w:r>
        <w:rPr>
          <w:rFonts w:ascii="Arial" w:hAnsi="Arial" w:cs="Arial"/>
          <w:b/>
          <w:bCs/>
          <w:i/>
          <w:iCs/>
        </w:rPr>
        <w:t>By applying all the strategies above</w:t>
      </w:r>
      <w:r w:rsidR="00AF2DE4">
        <w:rPr>
          <w:rFonts w:ascii="Arial" w:hAnsi="Arial" w:cs="Arial"/>
          <w:b/>
          <w:bCs/>
          <w:i/>
          <w:iCs/>
        </w:rPr>
        <w:t>,</w:t>
      </w:r>
      <w:r w:rsidR="005C2AA8">
        <w:rPr>
          <w:rFonts w:ascii="Arial" w:hAnsi="Arial" w:cs="Arial"/>
          <w:b/>
          <w:bCs/>
          <w:i/>
          <w:iCs/>
        </w:rPr>
        <w:t xml:space="preserve"> Payback Period, Accounting Rate of Retu</w:t>
      </w:r>
      <w:r w:rsidR="00773DAB">
        <w:rPr>
          <w:rFonts w:ascii="Arial" w:hAnsi="Arial" w:cs="Arial"/>
          <w:b/>
          <w:bCs/>
          <w:i/>
          <w:iCs/>
        </w:rPr>
        <w:t xml:space="preserve">rn, and Net Present Value, </w:t>
      </w:r>
      <w:r w:rsidR="00DC2774">
        <w:rPr>
          <w:rFonts w:ascii="Arial" w:hAnsi="Arial" w:cs="Arial"/>
          <w:b/>
          <w:bCs/>
          <w:i/>
          <w:iCs/>
        </w:rPr>
        <w:t xml:space="preserve">the project that should </w:t>
      </w:r>
      <w:r w:rsidR="0018561E">
        <w:rPr>
          <w:rFonts w:ascii="Arial" w:hAnsi="Arial" w:cs="Arial"/>
          <w:b/>
          <w:bCs/>
          <w:i/>
          <w:iCs/>
        </w:rPr>
        <w:t xml:space="preserve">be </w:t>
      </w:r>
      <w:r w:rsidR="00DC2774">
        <w:rPr>
          <w:rFonts w:ascii="Arial" w:hAnsi="Arial" w:cs="Arial"/>
          <w:b/>
          <w:bCs/>
          <w:i/>
          <w:iCs/>
        </w:rPr>
        <w:t xml:space="preserve">adopted </w:t>
      </w:r>
      <w:r w:rsidR="00051E27">
        <w:rPr>
          <w:rFonts w:ascii="Arial" w:hAnsi="Arial" w:cs="Arial"/>
          <w:b/>
          <w:bCs/>
          <w:i/>
          <w:iCs/>
        </w:rPr>
        <w:t>is project (B)</w:t>
      </w:r>
      <w:r w:rsidR="0018561E">
        <w:rPr>
          <w:rFonts w:ascii="Arial" w:hAnsi="Arial" w:cs="Arial"/>
          <w:b/>
          <w:bCs/>
          <w:i/>
          <w:iCs/>
        </w:rPr>
        <w:t>,</w:t>
      </w:r>
      <w:r w:rsidR="00051E27">
        <w:rPr>
          <w:rFonts w:ascii="Arial" w:hAnsi="Arial" w:cs="Arial"/>
          <w:b/>
          <w:bCs/>
          <w:i/>
          <w:iCs/>
        </w:rPr>
        <w:t xml:space="preserve"> </w:t>
      </w:r>
      <w:r w:rsidR="0025513A">
        <w:rPr>
          <w:rFonts w:ascii="Arial" w:hAnsi="Arial" w:cs="Arial"/>
          <w:b/>
          <w:bCs/>
          <w:i/>
          <w:iCs/>
        </w:rPr>
        <w:t xml:space="preserve">this is because </w:t>
      </w:r>
      <w:r w:rsidR="0036324E">
        <w:rPr>
          <w:rFonts w:ascii="Arial" w:hAnsi="Arial" w:cs="Arial"/>
          <w:b/>
          <w:bCs/>
          <w:i/>
          <w:iCs/>
        </w:rPr>
        <w:t>this project takes the least amount of time to pay back</w:t>
      </w:r>
      <w:r w:rsidR="000C3EAB">
        <w:rPr>
          <w:rFonts w:ascii="Arial" w:hAnsi="Arial" w:cs="Arial"/>
          <w:b/>
          <w:bCs/>
          <w:i/>
          <w:iCs/>
        </w:rPr>
        <w:t>, and also taking</w:t>
      </w:r>
      <w:r w:rsidR="00ED6962">
        <w:rPr>
          <w:rFonts w:ascii="Arial" w:hAnsi="Arial" w:cs="Arial"/>
          <w:b/>
          <w:bCs/>
          <w:i/>
          <w:iCs/>
        </w:rPr>
        <w:t>-</w:t>
      </w:r>
      <w:r w:rsidR="000C3EAB">
        <w:rPr>
          <w:rFonts w:ascii="Arial" w:hAnsi="Arial" w:cs="Arial"/>
          <w:b/>
          <w:bCs/>
          <w:i/>
          <w:iCs/>
        </w:rPr>
        <w:t>into</w:t>
      </w:r>
      <w:r w:rsidR="00ED6962">
        <w:rPr>
          <w:rFonts w:ascii="Arial" w:hAnsi="Arial" w:cs="Arial"/>
          <w:b/>
          <w:bCs/>
          <w:i/>
          <w:iCs/>
        </w:rPr>
        <w:t>-</w:t>
      </w:r>
      <w:r w:rsidR="000C3EAB">
        <w:rPr>
          <w:rFonts w:ascii="Arial" w:hAnsi="Arial" w:cs="Arial"/>
          <w:b/>
          <w:bCs/>
          <w:i/>
          <w:iCs/>
        </w:rPr>
        <w:t>ac</w:t>
      </w:r>
      <w:r w:rsidR="00CE4BF9">
        <w:rPr>
          <w:rFonts w:ascii="Arial" w:hAnsi="Arial" w:cs="Arial"/>
          <w:b/>
          <w:bCs/>
          <w:i/>
          <w:iCs/>
        </w:rPr>
        <w:t>c</w:t>
      </w:r>
      <w:r w:rsidR="000C3EAB">
        <w:rPr>
          <w:rFonts w:ascii="Arial" w:hAnsi="Arial" w:cs="Arial"/>
          <w:b/>
          <w:bCs/>
          <w:i/>
          <w:iCs/>
        </w:rPr>
        <w:t>o</w:t>
      </w:r>
      <w:r w:rsidR="00CE4BF9">
        <w:rPr>
          <w:rFonts w:ascii="Arial" w:hAnsi="Arial" w:cs="Arial"/>
          <w:b/>
          <w:bCs/>
          <w:i/>
          <w:iCs/>
        </w:rPr>
        <w:t xml:space="preserve">unt </w:t>
      </w:r>
      <w:r w:rsidR="00835714">
        <w:rPr>
          <w:rFonts w:ascii="Arial" w:hAnsi="Arial" w:cs="Arial"/>
          <w:b/>
          <w:bCs/>
          <w:i/>
          <w:iCs/>
        </w:rPr>
        <w:t>the ad</w:t>
      </w:r>
      <w:r w:rsidR="00A42FC2">
        <w:rPr>
          <w:rFonts w:ascii="Arial" w:hAnsi="Arial" w:cs="Arial"/>
          <w:b/>
          <w:bCs/>
          <w:i/>
          <w:iCs/>
        </w:rPr>
        <w:t>vice from Aden</w:t>
      </w:r>
      <w:r w:rsidR="00ED6962">
        <w:rPr>
          <w:rFonts w:ascii="Arial" w:hAnsi="Arial" w:cs="Arial"/>
          <w:b/>
          <w:bCs/>
          <w:i/>
          <w:iCs/>
        </w:rPr>
        <w:t xml:space="preserve">iyi, et al., (2012) </w:t>
      </w:r>
      <w:r w:rsidR="00B9420F">
        <w:rPr>
          <w:rFonts w:ascii="Arial" w:hAnsi="Arial" w:cs="Arial"/>
          <w:b/>
          <w:bCs/>
          <w:i/>
          <w:iCs/>
        </w:rPr>
        <w:t>that some projects would not g</w:t>
      </w:r>
      <w:r w:rsidR="0018561E">
        <w:rPr>
          <w:rFonts w:ascii="Arial" w:hAnsi="Arial" w:cs="Arial"/>
          <w:b/>
          <w:bCs/>
          <w:i/>
          <w:iCs/>
        </w:rPr>
        <w:t>e</w:t>
      </w:r>
      <w:r w:rsidR="00B9420F">
        <w:rPr>
          <w:rFonts w:ascii="Arial" w:hAnsi="Arial" w:cs="Arial"/>
          <w:b/>
          <w:bCs/>
          <w:i/>
          <w:iCs/>
        </w:rPr>
        <w:t xml:space="preserve">t off the ground due to </w:t>
      </w:r>
      <w:r w:rsidR="007E683E">
        <w:rPr>
          <w:rFonts w:ascii="Arial" w:hAnsi="Arial" w:cs="Arial"/>
          <w:b/>
          <w:bCs/>
          <w:i/>
          <w:iCs/>
        </w:rPr>
        <w:t>how long it ma</w:t>
      </w:r>
      <w:r w:rsidR="0018561E">
        <w:rPr>
          <w:rFonts w:ascii="Arial" w:hAnsi="Arial" w:cs="Arial"/>
          <w:b/>
          <w:bCs/>
          <w:i/>
          <w:iCs/>
        </w:rPr>
        <w:t>y</w:t>
      </w:r>
      <w:r w:rsidR="007E683E">
        <w:rPr>
          <w:rFonts w:ascii="Arial" w:hAnsi="Arial" w:cs="Arial"/>
          <w:b/>
          <w:bCs/>
          <w:i/>
          <w:iCs/>
        </w:rPr>
        <w:t xml:space="preserve"> take to get your initial investment back</w:t>
      </w:r>
      <w:r w:rsidR="00EC3CBD">
        <w:rPr>
          <w:rFonts w:ascii="Arial" w:hAnsi="Arial" w:cs="Arial"/>
          <w:b/>
          <w:bCs/>
          <w:i/>
          <w:iCs/>
        </w:rPr>
        <w:t xml:space="preserve"> and</w:t>
      </w:r>
      <w:r w:rsidR="00B64DBE">
        <w:rPr>
          <w:rFonts w:ascii="Arial" w:hAnsi="Arial" w:cs="Arial"/>
          <w:b/>
          <w:bCs/>
          <w:i/>
          <w:iCs/>
        </w:rPr>
        <w:t xml:space="preserve"> is the main reason project (B) has been selected.</w:t>
      </w:r>
      <w:proofErr w:type="gramEnd"/>
    </w:p>
    <w:p w14:paraId="4B0BBFC9" w14:textId="093BE531" w:rsidR="00735367" w:rsidRDefault="00735367" w:rsidP="00E934D7">
      <w:pPr>
        <w:jc w:val="both"/>
        <w:rPr>
          <w:rFonts w:ascii="Arial" w:hAnsi="Arial" w:cs="Arial"/>
          <w:b/>
          <w:bCs/>
          <w:i/>
          <w:iCs/>
        </w:rPr>
      </w:pPr>
    </w:p>
    <w:p w14:paraId="59D42C77" w14:textId="3BBABCC1" w:rsidR="00304345" w:rsidRDefault="00304345" w:rsidP="00E934D7">
      <w:pPr>
        <w:jc w:val="both"/>
        <w:rPr>
          <w:rFonts w:ascii="Arial" w:hAnsi="Arial" w:cs="Arial"/>
          <w:b/>
          <w:bCs/>
          <w:i/>
          <w:iCs/>
        </w:rPr>
      </w:pPr>
    </w:p>
    <w:p w14:paraId="05E804B2" w14:textId="13FE1EAA" w:rsidR="00304345" w:rsidRDefault="00304345" w:rsidP="00A8286F">
      <w:pPr>
        <w:pStyle w:val="Heading1"/>
      </w:pPr>
      <w:bookmarkStart w:id="40" w:name="_Toc72176104"/>
      <w:r>
        <w:t>Conclusion:</w:t>
      </w:r>
      <w:bookmarkEnd w:id="40"/>
    </w:p>
    <w:p w14:paraId="59560DD5" w14:textId="3897392D" w:rsidR="00003164" w:rsidRPr="00F904D4" w:rsidRDefault="003C0C41" w:rsidP="00E934D7">
      <w:pPr>
        <w:jc w:val="both"/>
        <w:rPr>
          <w:rFonts w:ascii="Arial" w:hAnsi="Arial" w:cs="Arial"/>
          <w:b/>
          <w:bCs/>
          <w:i/>
          <w:iCs/>
        </w:rPr>
      </w:pPr>
      <w:r>
        <w:rPr>
          <w:rFonts w:ascii="Arial" w:hAnsi="Arial" w:cs="Arial"/>
          <w:b/>
          <w:bCs/>
          <w:i/>
          <w:iCs/>
        </w:rPr>
        <w:t>Furthermore,</w:t>
      </w:r>
      <w:r w:rsidR="00EC3CBD">
        <w:rPr>
          <w:rFonts w:ascii="Arial" w:hAnsi="Arial" w:cs="Arial"/>
          <w:b/>
          <w:bCs/>
          <w:i/>
          <w:iCs/>
        </w:rPr>
        <w:t xml:space="preserve"> </w:t>
      </w:r>
      <w:r w:rsidR="00B9599C">
        <w:rPr>
          <w:rFonts w:ascii="Arial" w:hAnsi="Arial" w:cs="Arial"/>
          <w:b/>
          <w:bCs/>
          <w:i/>
          <w:iCs/>
        </w:rPr>
        <w:t xml:space="preserve">there are two significant </w:t>
      </w:r>
      <w:r w:rsidR="008606C6">
        <w:rPr>
          <w:rFonts w:ascii="Arial" w:hAnsi="Arial" w:cs="Arial"/>
          <w:b/>
          <w:bCs/>
          <w:i/>
          <w:iCs/>
        </w:rPr>
        <w:t>factors which will see GSK really put to the test in 2021,</w:t>
      </w:r>
      <w:r w:rsidR="000759C9">
        <w:rPr>
          <w:rFonts w:ascii="Arial" w:hAnsi="Arial" w:cs="Arial"/>
          <w:b/>
          <w:bCs/>
          <w:i/>
          <w:iCs/>
        </w:rPr>
        <w:t xml:space="preserve"> which are how well the carry-out the </w:t>
      </w:r>
      <w:r w:rsidR="006D3C96">
        <w:rPr>
          <w:rFonts w:ascii="Arial" w:hAnsi="Arial" w:cs="Arial"/>
          <w:b/>
          <w:bCs/>
          <w:i/>
          <w:iCs/>
        </w:rPr>
        <w:t>splitting up of the</w:t>
      </w:r>
      <w:r w:rsidR="007A5BDF">
        <w:rPr>
          <w:rFonts w:ascii="Arial" w:hAnsi="Arial" w:cs="Arial"/>
          <w:b/>
          <w:bCs/>
          <w:i/>
          <w:iCs/>
        </w:rPr>
        <w:t xml:space="preserve"> </w:t>
      </w:r>
      <w:r w:rsidR="00AD6A77">
        <w:rPr>
          <w:rFonts w:ascii="Arial" w:hAnsi="Arial" w:cs="Arial"/>
          <w:b/>
          <w:bCs/>
          <w:i/>
          <w:iCs/>
        </w:rPr>
        <w:t>company’s</w:t>
      </w:r>
      <w:r w:rsidR="007A5BDF">
        <w:rPr>
          <w:rFonts w:ascii="Arial" w:hAnsi="Arial" w:cs="Arial"/>
          <w:b/>
          <w:bCs/>
          <w:i/>
          <w:iCs/>
        </w:rPr>
        <w:t xml:space="preserve"> strategy, </w:t>
      </w:r>
      <w:r w:rsidR="00F76177">
        <w:rPr>
          <w:rFonts w:ascii="Arial" w:hAnsi="Arial" w:cs="Arial"/>
          <w:b/>
          <w:bCs/>
          <w:i/>
          <w:iCs/>
        </w:rPr>
        <w:t xml:space="preserve">as well as the success with the COVID vaccines. </w:t>
      </w:r>
      <w:r w:rsidR="006D3C96">
        <w:rPr>
          <w:rFonts w:ascii="Arial" w:hAnsi="Arial" w:cs="Arial"/>
          <w:b/>
          <w:bCs/>
          <w:i/>
          <w:iCs/>
        </w:rPr>
        <w:t xml:space="preserve"> </w:t>
      </w:r>
      <w:r>
        <w:rPr>
          <w:rFonts w:ascii="Arial" w:hAnsi="Arial" w:cs="Arial"/>
          <w:b/>
          <w:bCs/>
          <w:i/>
          <w:iCs/>
        </w:rPr>
        <w:t xml:space="preserve"> </w:t>
      </w:r>
      <w:r w:rsidR="00ED6962">
        <w:rPr>
          <w:rFonts w:ascii="Arial" w:hAnsi="Arial" w:cs="Arial"/>
          <w:b/>
          <w:bCs/>
          <w:i/>
          <w:iCs/>
        </w:rPr>
        <w:t xml:space="preserve"> </w:t>
      </w:r>
    </w:p>
    <w:p w14:paraId="0122BFB1" w14:textId="77777777" w:rsidR="00C902B8" w:rsidRDefault="00C902B8" w:rsidP="007A6AFA">
      <w:pPr>
        <w:jc w:val="both"/>
        <w:rPr>
          <w:rFonts w:ascii="Arial" w:hAnsi="Arial" w:cs="Arial"/>
          <w:b/>
          <w:bCs/>
        </w:rPr>
      </w:pPr>
    </w:p>
    <w:p w14:paraId="406A9502" w14:textId="77777777" w:rsidR="00BA1A27" w:rsidRDefault="00BA1A27" w:rsidP="007A6AFA">
      <w:pPr>
        <w:jc w:val="both"/>
        <w:rPr>
          <w:rFonts w:ascii="Arial" w:hAnsi="Arial" w:cs="Arial"/>
          <w:b/>
          <w:bCs/>
          <w:u w:val="single"/>
        </w:rPr>
      </w:pPr>
    </w:p>
    <w:p w14:paraId="4EC213EE" w14:textId="77777777" w:rsidR="00BA1A27" w:rsidRDefault="00BA1A27" w:rsidP="007A6AFA">
      <w:pPr>
        <w:jc w:val="both"/>
        <w:rPr>
          <w:rFonts w:ascii="Arial" w:hAnsi="Arial" w:cs="Arial"/>
          <w:b/>
          <w:bCs/>
          <w:u w:val="single"/>
        </w:rPr>
      </w:pPr>
    </w:p>
    <w:p w14:paraId="7928AC9E" w14:textId="77777777" w:rsidR="00BA1A27" w:rsidRDefault="00BA1A27" w:rsidP="007A6AFA">
      <w:pPr>
        <w:jc w:val="both"/>
        <w:rPr>
          <w:rFonts w:ascii="Arial" w:hAnsi="Arial" w:cs="Arial"/>
          <w:b/>
          <w:bCs/>
          <w:u w:val="single"/>
        </w:rPr>
      </w:pPr>
    </w:p>
    <w:p w14:paraId="0CD97993" w14:textId="77777777" w:rsidR="00C902B8" w:rsidRDefault="00C902B8" w:rsidP="007A6AFA">
      <w:pPr>
        <w:jc w:val="both"/>
        <w:rPr>
          <w:rFonts w:ascii="Arial" w:hAnsi="Arial" w:cs="Arial"/>
          <w:b/>
          <w:bCs/>
        </w:rPr>
      </w:pPr>
    </w:p>
    <w:p w14:paraId="09F6027E" w14:textId="77777777" w:rsidR="00C902B8" w:rsidRDefault="00C902B8" w:rsidP="007A6AFA">
      <w:pPr>
        <w:jc w:val="both"/>
        <w:rPr>
          <w:rFonts w:ascii="Arial" w:hAnsi="Arial" w:cs="Arial"/>
          <w:b/>
          <w:bCs/>
        </w:rPr>
      </w:pPr>
    </w:p>
    <w:p w14:paraId="1585B978" w14:textId="77777777" w:rsidR="00C902B8" w:rsidRDefault="00C902B8" w:rsidP="007A6AFA">
      <w:pPr>
        <w:jc w:val="both"/>
        <w:rPr>
          <w:rFonts w:ascii="Arial" w:hAnsi="Arial" w:cs="Arial"/>
          <w:b/>
          <w:bCs/>
        </w:rPr>
      </w:pPr>
    </w:p>
    <w:p w14:paraId="2974BBB4" w14:textId="77777777" w:rsidR="00C902B8" w:rsidRDefault="00C902B8" w:rsidP="007A6AFA">
      <w:pPr>
        <w:jc w:val="both"/>
        <w:rPr>
          <w:rFonts w:ascii="Arial" w:hAnsi="Arial" w:cs="Arial"/>
          <w:b/>
          <w:bCs/>
        </w:rPr>
      </w:pPr>
    </w:p>
    <w:p w14:paraId="20F14A7B" w14:textId="77777777" w:rsidR="00C902B8" w:rsidRDefault="00C902B8" w:rsidP="007A6AFA">
      <w:pPr>
        <w:jc w:val="both"/>
        <w:rPr>
          <w:rFonts w:ascii="Arial" w:hAnsi="Arial" w:cs="Arial"/>
          <w:b/>
          <w:bCs/>
        </w:rPr>
      </w:pPr>
    </w:p>
    <w:p w14:paraId="4C2A2311" w14:textId="5B5DEE6D" w:rsidR="00C902B8" w:rsidRDefault="00C902B8" w:rsidP="007A6AFA">
      <w:pPr>
        <w:jc w:val="both"/>
        <w:rPr>
          <w:rFonts w:ascii="Arial" w:hAnsi="Arial" w:cs="Arial"/>
          <w:b/>
          <w:bCs/>
        </w:rPr>
      </w:pPr>
    </w:p>
    <w:p w14:paraId="3D518429" w14:textId="77777777" w:rsidR="00C902B8" w:rsidRDefault="00C902B8" w:rsidP="007A6AFA">
      <w:pPr>
        <w:jc w:val="both"/>
        <w:rPr>
          <w:rFonts w:ascii="Arial" w:hAnsi="Arial" w:cs="Arial"/>
          <w:b/>
          <w:bCs/>
        </w:rPr>
      </w:pPr>
    </w:p>
    <w:p w14:paraId="13FE138A" w14:textId="77777777" w:rsidR="00C902B8" w:rsidRDefault="00C902B8" w:rsidP="007A6AFA">
      <w:pPr>
        <w:jc w:val="both"/>
        <w:rPr>
          <w:rFonts w:ascii="Arial" w:hAnsi="Arial" w:cs="Arial"/>
          <w:b/>
          <w:bCs/>
        </w:rPr>
      </w:pPr>
    </w:p>
    <w:p w14:paraId="5E45594F" w14:textId="65862D8F" w:rsidR="00C902B8" w:rsidRDefault="002A4BC8" w:rsidP="007A6AFA">
      <w:pPr>
        <w:jc w:val="both"/>
        <w:rPr>
          <w:rFonts w:ascii="Arial" w:hAnsi="Arial" w:cs="Arial"/>
          <w:b/>
          <w:bCs/>
        </w:rPr>
      </w:pPr>
      <w:r>
        <w:rPr>
          <w:rFonts w:ascii="Arial" w:hAnsi="Arial" w:cs="Arial"/>
          <w:b/>
          <w:bCs/>
        </w:rPr>
        <w:t xml:space="preserve"> </w:t>
      </w:r>
    </w:p>
    <w:p w14:paraId="3C1F0845" w14:textId="77777777" w:rsidR="00C902B8" w:rsidRDefault="00C902B8" w:rsidP="007A6AFA">
      <w:pPr>
        <w:jc w:val="both"/>
        <w:rPr>
          <w:rFonts w:ascii="Arial" w:hAnsi="Arial" w:cs="Arial"/>
          <w:b/>
          <w:bCs/>
        </w:rPr>
      </w:pPr>
    </w:p>
    <w:p w14:paraId="786BD4AD" w14:textId="77777777" w:rsidR="00C902B8" w:rsidRDefault="00C902B8" w:rsidP="007A6AFA">
      <w:pPr>
        <w:jc w:val="both"/>
        <w:rPr>
          <w:rFonts w:ascii="Arial" w:hAnsi="Arial" w:cs="Arial"/>
          <w:b/>
          <w:bCs/>
        </w:rPr>
      </w:pPr>
    </w:p>
    <w:p w14:paraId="111BADAA" w14:textId="77777777" w:rsidR="00C902B8" w:rsidRDefault="00C902B8" w:rsidP="007A6AFA">
      <w:pPr>
        <w:jc w:val="both"/>
        <w:rPr>
          <w:rFonts w:ascii="Arial" w:hAnsi="Arial" w:cs="Arial"/>
          <w:b/>
          <w:bCs/>
        </w:rPr>
      </w:pPr>
    </w:p>
    <w:p w14:paraId="1677368B" w14:textId="77777777" w:rsidR="00C902B8" w:rsidRDefault="00C902B8" w:rsidP="007A6AFA">
      <w:pPr>
        <w:jc w:val="both"/>
        <w:rPr>
          <w:rFonts w:ascii="Arial" w:hAnsi="Arial" w:cs="Arial"/>
          <w:b/>
          <w:bCs/>
        </w:rPr>
      </w:pPr>
    </w:p>
    <w:p w14:paraId="64A767AC" w14:textId="77777777" w:rsidR="00C902B8" w:rsidRDefault="00C902B8" w:rsidP="007A6AFA">
      <w:pPr>
        <w:jc w:val="both"/>
        <w:rPr>
          <w:rFonts w:ascii="Arial" w:hAnsi="Arial" w:cs="Arial"/>
          <w:b/>
          <w:bCs/>
        </w:rPr>
      </w:pPr>
    </w:p>
    <w:p w14:paraId="30868556" w14:textId="77777777" w:rsidR="00C902B8" w:rsidRDefault="00C902B8" w:rsidP="007A6AFA">
      <w:pPr>
        <w:jc w:val="both"/>
        <w:rPr>
          <w:rFonts w:ascii="Arial" w:hAnsi="Arial" w:cs="Arial"/>
          <w:b/>
          <w:bCs/>
        </w:rPr>
      </w:pPr>
    </w:p>
    <w:p w14:paraId="67D4697E" w14:textId="77777777" w:rsidR="00C902B8" w:rsidRDefault="00C902B8" w:rsidP="007A6AFA">
      <w:pPr>
        <w:jc w:val="both"/>
        <w:rPr>
          <w:rFonts w:ascii="Arial" w:hAnsi="Arial" w:cs="Arial"/>
          <w:b/>
          <w:bCs/>
        </w:rPr>
      </w:pPr>
    </w:p>
    <w:p w14:paraId="5C0E9DCE" w14:textId="77777777" w:rsidR="00C902B8" w:rsidRDefault="00C902B8" w:rsidP="007A6AFA">
      <w:pPr>
        <w:jc w:val="both"/>
        <w:rPr>
          <w:rFonts w:ascii="Arial" w:hAnsi="Arial" w:cs="Arial"/>
          <w:b/>
          <w:bCs/>
        </w:rPr>
      </w:pPr>
    </w:p>
    <w:p w14:paraId="2F6F70D8" w14:textId="77777777" w:rsidR="00C902B8" w:rsidRPr="00D47CD5" w:rsidRDefault="00C902B8" w:rsidP="007A6AFA">
      <w:pPr>
        <w:jc w:val="both"/>
        <w:rPr>
          <w:rFonts w:ascii="Arial" w:hAnsi="Arial" w:cs="Arial"/>
          <w:b/>
          <w:bCs/>
        </w:rPr>
      </w:pPr>
    </w:p>
    <w:p w14:paraId="2EE15C39" w14:textId="77777777" w:rsidR="00C902B8" w:rsidRDefault="00C902B8" w:rsidP="007A6AFA">
      <w:pPr>
        <w:jc w:val="both"/>
        <w:rPr>
          <w:rFonts w:ascii="Arial" w:hAnsi="Arial" w:cs="Arial"/>
          <w:b/>
          <w:bCs/>
        </w:rPr>
      </w:pPr>
    </w:p>
    <w:p w14:paraId="2519F827" w14:textId="2DE7A16C" w:rsidR="003439C9" w:rsidRDefault="003439C9"/>
    <w:p w14:paraId="2A287CC9" w14:textId="6E47E89C" w:rsidR="00284412" w:rsidRDefault="00284412"/>
    <w:p w14:paraId="57B38E59" w14:textId="1E68D8E8" w:rsidR="00284412" w:rsidRDefault="00284412"/>
    <w:p w14:paraId="3755F753" w14:textId="77777777" w:rsidR="00284412" w:rsidRDefault="00284412"/>
    <w:p w14:paraId="73BF82D4" w14:textId="77777777" w:rsidR="009404C9" w:rsidRDefault="009404C9">
      <w:pPr>
        <w:rPr>
          <w:rFonts w:ascii="Arial" w:hAnsi="Arial" w:cs="Arial"/>
          <w:b/>
          <w:bCs/>
          <w:u w:val="single"/>
        </w:rPr>
      </w:pPr>
    </w:p>
    <w:p w14:paraId="720887F1" w14:textId="77777777" w:rsidR="0044033A" w:rsidRDefault="0044033A">
      <w:pPr>
        <w:rPr>
          <w:rFonts w:ascii="Arial" w:hAnsi="Arial" w:cs="Arial"/>
          <w:b/>
          <w:bCs/>
          <w:u w:val="single"/>
        </w:rPr>
      </w:pPr>
    </w:p>
    <w:p w14:paraId="50EEE56A" w14:textId="77777777" w:rsidR="0044033A" w:rsidRDefault="0044033A">
      <w:pPr>
        <w:rPr>
          <w:rFonts w:ascii="Arial" w:hAnsi="Arial" w:cs="Arial"/>
          <w:b/>
          <w:bCs/>
          <w:u w:val="single"/>
        </w:rPr>
      </w:pPr>
    </w:p>
    <w:p w14:paraId="0045C7CA" w14:textId="77777777" w:rsidR="0044033A" w:rsidRDefault="0044033A">
      <w:pPr>
        <w:rPr>
          <w:rFonts w:ascii="Arial" w:hAnsi="Arial" w:cs="Arial"/>
          <w:b/>
          <w:bCs/>
          <w:u w:val="single"/>
        </w:rPr>
      </w:pPr>
    </w:p>
    <w:p w14:paraId="0E8D5DC1" w14:textId="52FBA8AA" w:rsidR="0044033A" w:rsidRDefault="0044033A">
      <w:pPr>
        <w:rPr>
          <w:rFonts w:ascii="Arial" w:hAnsi="Arial" w:cs="Arial"/>
          <w:b/>
          <w:bCs/>
          <w:u w:val="single"/>
        </w:rPr>
      </w:pPr>
    </w:p>
    <w:p w14:paraId="1B825DFF" w14:textId="735CCA1D" w:rsidR="005D2625" w:rsidRDefault="005D2625">
      <w:pPr>
        <w:rPr>
          <w:rFonts w:ascii="Arial" w:hAnsi="Arial" w:cs="Arial"/>
          <w:b/>
          <w:bCs/>
          <w:u w:val="single"/>
        </w:rPr>
      </w:pPr>
    </w:p>
    <w:p w14:paraId="49C2A981" w14:textId="4BED9427" w:rsidR="005D2625" w:rsidRDefault="005D2625">
      <w:pPr>
        <w:rPr>
          <w:rFonts w:ascii="Arial" w:hAnsi="Arial" w:cs="Arial"/>
          <w:b/>
          <w:bCs/>
          <w:u w:val="single"/>
        </w:rPr>
      </w:pPr>
    </w:p>
    <w:p w14:paraId="74597149" w14:textId="77777777" w:rsidR="005D2625" w:rsidRDefault="005D2625">
      <w:pPr>
        <w:rPr>
          <w:rFonts w:ascii="Arial" w:hAnsi="Arial" w:cs="Arial"/>
          <w:b/>
          <w:bCs/>
          <w:u w:val="single"/>
        </w:rPr>
      </w:pPr>
    </w:p>
    <w:p w14:paraId="43C6DD3E" w14:textId="4AC5CEA7" w:rsidR="0044033A" w:rsidRDefault="0044033A">
      <w:pPr>
        <w:rPr>
          <w:rFonts w:ascii="Arial" w:hAnsi="Arial" w:cs="Arial"/>
          <w:b/>
          <w:bCs/>
          <w:u w:val="single"/>
        </w:rPr>
      </w:pPr>
    </w:p>
    <w:p w14:paraId="16BB7AB4" w14:textId="02D2559A" w:rsidR="00916B50" w:rsidRDefault="00BD5794" w:rsidP="00DD27CD">
      <w:pPr>
        <w:pStyle w:val="Heading1"/>
      </w:pPr>
      <w:bookmarkStart w:id="41" w:name="_Toc72176105"/>
      <w:r>
        <w:lastRenderedPageBreak/>
        <w:t>References:</w:t>
      </w:r>
      <w:bookmarkEnd w:id="41"/>
    </w:p>
    <w:p w14:paraId="0F7A3912" w14:textId="602CF9C2" w:rsidR="00ED4233" w:rsidRPr="00814951" w:rsidRDefault="00ED4233" w:rsidP="006D2F66">
      <w:pPr>
        <w:rPr>
          <w:rFonts w:ascii="Arial" w:hAnsi="Arial" w:cs="Arial"/>
          <w:color w:val="222222"/>
          <w:shd w:val="clear" w:color="auto" w:fill="FFFFFF"/>
        </w:rPr>
      </w:pPr>
      <w:r w:rsidRPr="00394CCD">
        <w:rPr>
          <w:rFonts w:ascii="Arial" w:hAnsi="Arial" w:cs="Arial"/>
        </w:rPr>
        <w:t>Abdul, S., &amp; Shaibu, M.</w:t>
      </w:r>
      <w:r w:rsidR="009814F4">
        <w:rPr>
          <w:rFonts w:ascii="Arial" w:hAnsi="Arial" w:cs="Arial"/>
        </w:rPr>
        <w:t>,</w:t>
      </w:r>
      <w:r w:rsidRPr="00394CCD">
        <w:rPr>
          <w:rFonts w:ascii="Arial" w:hAnsi="Arial" w:cs="Arial"/>
        </w:rPr>
        <w:t xml:space="preserve"> (2013) </w:t>
      </w:r>
      <w:r w:rsidRPr="00814951">
        <w:rPr>
          <w:rFonts w:ascii="Arial" w:hAnsi="Arial" w:cs="Arial"/>
          <w:i/>
          <w:iCs/>
        </w:rPr>
        <w:t>Econometrical Analysis of Determinants of Cash Flow of Institutional Lenders in Nigerian Agriculture</w:t>
      </w:r>
      <w:r w:rsidRPr="00394CCD">
        <w:rPr>
          <w:rFonts w:ascii="Arial" w:hAnsi="Arial" w:cs="Arial"/>
        </w:rPr>
        <w:t xml:space="preserve">: Macro Economic Variables Perspective. IOSR Journal </w:t>
      </w:r>
      <w:proofErr w:type="gramStart"/>
      <w:r w:rsidRPr="00394CCD">
        <w:rPr>
          <w:rFonts w:ascii="Arial" w:hAnsi="Arial" w:cs="Arial"/>
        </w:rPr>
        <w:t>Of</w:t>
      </w:r>
      <w:proofErr w:type="gramEnd"/>
      <w:r w:rsidRPr="00394CCD">
        <w:rPr>
          <w:rFonts w:ascii="Arial" w:hAnsi="Arial" w:cs="Arial"/>
        </w:rPr>
        <w:t xml:space="preserve"> Humanities And Social Science, 15(2), 20-22.</w:t>
      </w:r>
      <w:r>
        <w:rPr>
          <w:rFonts w:ascii="Arial" w:hAnsi="Arial" w:cs="Arial"/>
        </w:rPr>
        <w:t xml:space="preserve"> In Wambua, (2018).</w:t>
      </w:r>
    </w:p>
    <w:p w14:paraId="5A5BD198" w14:textId="2C7B3727" w:rsidR="006D2F66" w:rsidRPr="0093249F" w:rsidRDefault="006D2F66" w:rsidP="006D2F66">
      <w:pPr>
        <w:rPr>
          <w:rFonts w:ascii="Arial" w:eastAsia="Times New Roman" w:hAnsi="Arial" w:cs="Arial"/>
          <w:sz w:val="24"/>
          <w:szCs w:val="24"/>
          <w:lang w:eastAsia="en-GB"/>
        </w:rPr>
      </w:pPr>
      <w:r w:rsidRPr="009D1814">
        <w:rPr>
          <w:rFonts w:ascii="Arial" w:hAnsi="Arial" w:cs="Arial"/>
        </w:rPr>
        <w:t>Adeniyi, A. A.</w:t>
      </w:r>
      <w:r w:rsidR="0058739A">
        <w:rPr>
          <w:rFonts w:ascii="Arial" w:hAnsi="Arial" w:cs="Arial"/>
        </w:rPr>
        <w:t>,</w:t>
      </w:r>
      <w:r w:rsidRPr="009D1814">
        <w:rPr>
          <w:rFonts w:ascii="Arial" w:hAnsi="Arial" w:cs="Arial"/>
        </w:rPr>
        <w:t xml:space="preserve"> (2004) </w:t>
      </w:r>
      <w:r w:rsidRPr="00805530">
        <w:rPr>
          <w:rFonts w:ascii="Arial" w:hAnsi="Arial" w:cs="Arial"/>
          <w:i/>
          <w:iCs/>
        </w:rPr>
        <w:t>An Insight into management accounting.</w:t>
      </w:r>
      <w:r w:rsidRPr="009D1814">
        <w:rPr>
          <w:rFonts w:ascii="Arial" w:hAnsi="Arial" w:cs="Arial"/>
        </w:rPr>
        <w:t xml:space="preserve"> Lagos: Value Analysis </w:t>
      </w:r>
      <w:r w:rsidRPr="0093249F">
        <w:rPr>
          <w:rFonts w:ascii="Arial" w:hAnsi="Arial" w:cs="Arial"/>
        </w:rPr>
        <w:t xml:space="preserve">Consult. In </w:t>
      </w:r>
      <w:bookmarkStart w:id="42" w:name="_Hlk71456447"/>
      <w:r w:rsidRPr="0093249F">
        <w:rPr>
          <w:rFonts w:ascii="Arial" w:hAnsi="Arial" w:cs="Arial"/>
        </w:rPr>
        <w:t>Ndanyenbah and Zakaria (2019).</w:t>
      </w:r>
      <w:r w:rsidRPr="0093249F">
        <w:rPr>
          <w:rFonts w:ascii="Arial" w:eastAsia="Times New Roman" w:hAnsi="Arial" w:cs="Arial"/>
          <w:sz w:val="24"/>
          <w:szCs w:val="24"/>
          <w:lang w:eastAsia="en-GB"/>
        </w:rPr>
        <w:t> </w:t>
      </w:r>
      <w:bookmarkEnd w:id="42"/>
    </w:p>
    <w:p w14:paraId="741C3AFC" w14:textId="1758A9A4" w:rsidR="005D7E3D" w:rsidRPr="005D7E3D" w:rsidRDefault="005D7E3D" w:rsidP="005D7E3D">
      <w:pPr>
        <w:rPr>
          <w:rFonts w:ascii="Arial" w:hAnsi="Arial" w:cs="Arial"/>
        </w:rPr>
      </w:pPr>
      <w:proofErr w:type="gramStart"/>
      <w:r>
        <w:rPr>
          <w:rFonts w:ascii="Arial" w:hAnsi="Arial" w:cs="Arial"/>
        </w:rPr>
        <w:t>AOL.,</w:t>
      </w:r>
      <w:proofErr w:type="gramEnd"/>
      <w:r>
        <w:rPr>
          <w:rFonts w:ascii="Arial" w:hAnsi="Arial" w:cs="Arial"/>
        </w:rPr>
        <w:t xml:space="preserve"> (2018) Is </w:t>
      </w:r>
      <w:r w:rsidRPr="005D7E3D">
        <w:rPr>
          <w:rFonts w:ascii="Arial" w:hAnsi="Arial" w:cs="Arial"/>
          <w:i/>
          <w:iCs/>
        </w:rPr>
        <w:t>GlaxoSmithKline a screaming buy after this news?</w:t>
      </w:r>
      <w:r>
        <w:rPr>
          <w:rFonts w:ascii="Arial" w:hAnsi="Arial" w:cs="Arial"/>
        </w:rPr>
        <w:t xml:space="preserve"> Available at:</w:t>
      </w:r>
      <w:r w:rsidRPr="00F812B9">
        <w:rPr>
          <w:rFonts w:ascii="Arial" w:hAnsi="Arial" w:cs="Arial"/>
        </w:rPr>
        <w:t>https://www.aol.co.uk/news/2018/11/10/is-glaxosmithkline-a-screaming-buy-after-this-news/?guccounter=1&amp;</w:t>
      </w:r>
      <w:r>
        <w:rPr>
          <w:rFonts w:ascii="Arial" w:hAnsi="Arial" w:cs="Arial"/>
        </w:rPr>
        <w:t xml:space="preserve"> </w:t>
      </w:r>
      <w:r w:rsidRPr="00F812B9">
        <w:rPr>
          <w:rFonts w:ascii="Arial" w:hAnsi="Arial" w:cs="Arial"/>
        </w:rPr>
        <w:t>guce_referre</w:t>
      </w:r>
      <w:r>
        <w:rPr>
          <w:rFonts w:ascii="Arial" w:hAnsi="Arial" w:cs="Arial"/>
        </w:rPr>
        <w:t xml:space="preserve"> </w:t>
      </w:r>
      <w:r>
        <w:t>(</w:t>
      </w:r>
      <w:r w:rsidRPr="007977FE">
        <w:rPr>
          <w:rFonts w:ascii="Arial" w:hAnsi="Arial" w:cs="Arial"/>
        </w:rPr>
        <w:t>A</w:t>
      </w:r>
      <w:r>
        <w:rPr>
          <w:rFonts w:ascii="Arial" w:hAnsi="Arial" w:cs="Arial"/>
        </w:rPr>
        <w:t>ccessed: 17. 05. 2021).</w:t>
      </w:r>
    </w:p>
    <w:p w14:paraId="566436B1" w14:textId="57871422" w:rsidR="008C5B74" w:rsidRPr="0093249F" w:rsidRDefault="008C5B74" w:rsidP="008C5B74">
      <w:pPr>
        <w:shd w:val="clear" w:color="auto" w:fill="FFFFFF"/>
        <w:spacing w:after="0" w:line="240" w:lineRule="auto"/>
        <w:rPr>
          <w:rFonts w:ascii="Arial" w:eastAsia="Times New Roman" w:hAnsi="Arial" w:cs="Arial"/>
          <w:lang w:eastAsia="en-GB"/>
        </w:rPr>
      </w:pPr>
      <w:r w:rsidRPr="0093249F">
        <w:rPr>
          <w:rFonts w:ascii="Arial" w:eastAsia="Times New Roman" w:hAnsi="Arial" w:cs="Arial"/>
          <w:lang w:eastAsia="en-GB"/>
        </w:rPr>
        <w:t>Basheer</w:t>
      </w:r>
      <w:r w:rsidR="00D55863">
        <w:rPr>
          <w:rFonts w:ascii="Arial" w:eastAsia="Times New Roman" w:hAnsi="Arial" w:cs="Arial"/>
          <w:lang w:eastAsia="en-GB"/>
        </w:rPr>
        <w:t>,</w:t>
      </w:r>
      <w:r w:rsidRPr="0093249F">
        <w:rPr>
          <w:rFonts w:ascii="Arial" w:eastAsia="Times New Roman" w:hAnsi="Arial" w:cs="Arial"/>
          <w:lang w:eastAsia="en-GB"/>
        </w:rPr>
        <w:t xml:space="preserve"> A</w:t>
      </w:r>
      <w:r w:rsidR="00D55863">
        <w:rPr>
          <w:rFonts w:ascii="Arial" w:eastAsia="Times New Roman" w:hAnsi="Arial" w:cs="Arial"/>
          <w:lang w:eastAsia="en-GB"/>
        </w:rPr>
        <w:t>.</w:t>
      </w:r>
      <w:r w:rsidRPr="0093249F">
        <w:rPr>
          <w:rFonts w:ascii="Arial" w:eastAsia="Times New Roman" w:hAnsi="Arial" w:cs="Arial"/>
          <w:lang w:eastAsia="en-GB"/>
        </w:rPr>
        <w:t xml:space="preserve"> &amp; Hassan</w:t>
      </w:r>
      <w:r w:rsidR="00D55863">
        <w:rPr>
          <w:rFonts w:ascii="Arial" w:eastAsia="Times New Roman" w:hAnsi="Arial" w:cs="Arial"/>
          <w:lang w:eastAsia="en-GB"/>
        </w:rPr>
        <w:t>,</w:t>
      </w:r>
      <w:r w:rsidRPr="0093249F">
        <w:rPr>
          <w:rFonts w:ascii="Arial" w:eastAsia="Times New Roman" w:hAnsi="Arial" w:cs="Arial"/>
          <w:lang w:eastAsia="en-GB"/>
        </w:rPr>
        <w:t xml:space="preserve"> R</w:t>
      </w:r>
      <w:r w:rsidR="00D55863">
        <w:rPr>
          <w:rFonts w:ascii="Arial" w:eastAsia="Times New Roman" w:hAnsi="Arial" w:cs="Arial"/>
          <w:lang w:eastAsia="en-GB"/>
        </w:rPr>
        <w:t>.</w:t>
      </w:r>
      <w:r w:rsidRPr="0093249F">
        <w:rPr>
          <w:rFonts w:ascii="Arial" w:eastAsia="Times New Roman" w:hAnsi="Arial" w:cs="Arial"/>
          <w:lang w:eastAsia="en-GB"/>
        </w:rPr>
        <w:t xml:space="preserve">, </w:t>
      </w:r>
      <w:r w:rsidR="00E75792">
        <w:rPr>
          <w:rFonts w:ascii="Arial" w:eastAsia="Times New Roman" w:hAnsi="Arial" w:cs="Arial"/>
          <w:lang w:eastAsia="en-GB"/>
        </w:rPr>
        <w:t>(</w:t>
      </w:r>
      <w:r w:rsidRPr="0093249F">
        <w:rPr>
          <w:rFonts w:ascii="Arial" w:eastAsia="Times New Roman" w:hAnsi="Arial" w:cs="Arial"/>
          <w:lang w:eastAsia="en-GB"/>
        </w:rPr>
        <w:t>2016</w:t>
      </w:r>
      <w:r w:rsidR="00E75792">
        <w:rPr>
          <w:rFonts w:ascii="Arial" w:eastAsia="Times New Roman" w:hAnsi="Arial" w:cs="Arial"/>
          <w:lang w:eastAsia="en-GB"/>
        </w:rPr>
        <w:t>)</w:t>
      </w:r>
      <w:r w:rsidRPr="0093249F">
        <w:rPr>
          <w:rFonts w:ascii="Arial" w:eastAsia="Times New Roman" w:hAnsi="Arial" w:cs="Arial"/>
          <w:lang w:eastAsia="en-GB"/>
        </w:rPr>
        <w:t xml:space="preserve"> Investors' Perceptions and Valuation Approaches </w:t>
      </w:r>
      <w:proofErr w:type="gramStart"/>
      <w:r w:rsidRPr="0093249F">
        <w:rPr>
          <w:rFonts w:ascii="Arial" w:eastAsia="Times New Roman" w:hAnsi="Arial" w:cs="Arial"/>
          <w:lang w:eastAsia="en-GB"/>
        </w:rPr>
        <w:t>Towards</w:t>
      </w:r>
      <w:proofErr w:type="gramEnd"/>
      <w:r w:rsidRPr="0093249F">
        <w:rPr>
          <w:rFonts w:ascii="Arial" w:eastAsia="Times New Roman" w:hAnsi="Arial" w:cs="Arial"/>
          <w:lang w:eastAsia="en-GB"/>
        </w:rPr>
        <w:t xml:space="preserve"> Financial Statements/Reports. </w:t>
      </w:r>
      <w:r w:rsidRPr="0093249F">
        <w:rPr>
          <w:rFonts w:ascii="Arial" w:eastAsia="Times New Roman" w:hAnsi="Arial" w:cs="Arial"/>
          <w:i/>
          <w:iCs/>
          <w:lang w:eastAsia="en-GB"/>
        </w:rPr>
        <w:t>Journal of Business Strategies (Karachi)</w:t>
      </w:r>
      <w:r w:rsidRPr="0093249F">
        <w:rPr>
          <w:rFonts w:ascii="Arial" w:eastAsia="Times New Roman" w:hAnsi="Arial" w:cs="Arial"/>
          <w:lang w:eastAsia="en-GB"/>
        </w:rPr>
        <w:t>, 10(1), p.109.</w:t>
      </w:r>
    </w:p>
    <w:p w14:paraId="6043A3FF" w14:textId="77777777" w:rsidR="00176679" w:rsidRDefault="00176679" w:rsidP="00176679">
      <w:pPr>
        <w:shd w:val="clear" w:color="auto" w:fill="FFFFFF"/>
        <w:spacing w:after="0" w:line="240" w:lineRule="auto"/>
        <w:rPr>
          <w:rFonts w:ascii="Arial" w:hAnsi="Arial" w:cs="Arial"/>
        </w:rPr>
      </w:pPr>
      <w:bookmarkStart w:id="43" w:name="_Hlk71564681"/>
    </w:p>
    <w:p w14:paraId="18A317ED" w14:textId="08F5FEFB" w:rsidR="00176679" w:rsidRPr="001F629E" w:rsidRDefault="00176679" w:rsidP="00176679">
      <w:pPr>
        <w:shd w:val="clear" w:color="auto" w:fill="FFFFFF"/>
        <w:spacing w:after="0" w:line="240" w:lineRule="auto"/>
        <w:rPr>
          <w:rFonts w:ascii="Arial" w:eastAsia="Times New Roman" w:hAnsi="Arial" w:cs="Arial"/>
          <w:i/>
          <w:iCs/>
          <w:lang w:eastAsia="en-GB"/>
        </w:rPr>
      </w:pPr>
      <w:r w:rsidRPr="001F629E">
        <w:rPr>
          <w:rFonts w:ascii="Arial" w:eastAsia="Times New Roman" w:hAnsi="Arial" w:cs="Arial"/>
          <w:lang w:eastAsia="en-GB"/>
        </w:rPr>
        <w:t>Brigham</w:t>
      </w:r>
      <w:proofErr w:type="gramStart"/>
      <w:r w:rsidRPr="001F629E">
        <w:rPr>
          <w:rFonts w:ascii="Arial" w:eastAsia="Times New Roman" w:hAnsi="Arial" w:cs="Arial"/>
          <w:lang w:eastAsia="en-GB"/>
        </w:rPr>
        <w:t>,  E</w:t>
      </w:r>
      <w:proofErr w:type="gramEnd"/>
      <w:r w:rsidRPr="001F629E">
        <w:rPr>
          <w:rFonts w:ascii="Arial" w:eastAsia="Times New Roman" w:hAnsi="Arial" w:cs="Arial"/>
          <w:lang w:eastAsia="en-GB"/>
        </w:rPr>
        <w:t>.  F.</w:t>
      </w:r>
      <w:proofErr w:type="gramStart"/>
      <w:r w:rsidRPr="001F629E">
        <w:rPr>
          <w:rFonts w:ascii="Arial" w:eastAsia="Times New Roman" w:hAnsi="Arial" w:cs="Arial"/>
          <w:lang w:eastAsia="en-GB"/>
        </w:rPr>
        <w:t>,  &amp;</w:t>
      </w:r>
      <w:proofErr w:type="gramEnd"/>
      <w:r w:rsidRPr="001F629E">
        <w:rPr>
          <w:rFonts w:ascii="Arial" w:eastAsia="Times New Roman" w:hAnsi="Arial" w:cs="Arial"/>
          <w:lang w:eastAsia="en-GB"/>
        </w:rPr>
        <w:t xml:space="preserve">  Houston,  J.  F.</w:t>
      </w:r>
      <w:proofErr w:type="gramStart"/>
      <w:r>
        <w:rPr>
          <w:rFonts w:ascii="Arial" w:eastAsia="Times New Roman" w:hAnsi="Arial" w:cs="Arial"/>
          <w:lang w:eastAsia="en-GB"/>
        </w:rPr>
        <w:t>,</w:t>
      </w:r>
      <w:r w:rsidRPr="001F629E">
        <w:rPr>
          <w:rFonts w:ascii="Arial" w:eastAsia="Times New Roman" w:hAnsi="Arial" w:cs="Arial"/>
          <w:lang w:eastAsia="en-GB"/>
        </w:rPr>
        <w:t xml:space="preserve">  (</w:t>
      </w:r>
      <w:proofErr w:type="gramEnd"/>
      <w:r w:rsidRPr="001F629E">
        <w:rPr>
          <w:rFonts w:ascii="Arial" w:eastAsia="Times New Roman" w:hAnsi="Arial" w:cs="Arial"/>
          <w:lang w:eastAsia="en-GB"/>
        </w:rPr>
        <w:t xml:space="preserve">2016) </w:t>
      </w:r>
      <w:r w:rsidRPr="001F629E">
        <w:rPr>
          <w:rFonts w:ascii="Arial" w:eastAsia="Times New Roman" w:hAnsi="Arial" w:cs="Arial"/>
          <w:i/>
          <w:iCs/>
          <w:lang w:eastAsia="en-GB"/>
        </w:rPr>
        <w:t>Fundamentals  of  Financial  Management</w:t>
      </w:r>
    </w:p>
    <w:p w14:paraId="43D9A95A" w14:textId="46B91DB3" w:rsidR="00176679" w:rsidRPr="00FB0EA2" w:rsidRDefault="00176679" w:rsidP="00176679">
      <w:pPr>
        <w:shd w:val="clear" w:color="auto" w:fill="FFFFFF"/>
        <w:spacing w:after="0" w:line="240" w:lineRule="auto"/>
        <w:rPr>
          <w:rFonts w:ascii="Arial" w:eastAsia="Times New Roman" w:hAnsi="Arial" w:cs="Arial"/>
          <w:lang w:eastAsia="en-GB"/>
        </w:rPr>
      </w:pPr>
      <w:r w:rsidRPr="001F629E">
        <w:rPr>
          <w:rFonts w:ascii="Arial" w:eastAsia="Times New Roman" w:hAnsi="Arial" w:cs="Arial"/>
          <w:lang w:eastAsia="en-GB"/>
        </w:rPr>
        <w:t>(</w:t>
      </w:r>
      <w:proofErr w:type="gramStart"/>
      <w:r w:rsidRPr="001F629E">
        <w:rPr>
          <w:rFonts w:ascii="Arial" w:eastAsia="Times New Roman" w:hAnsi="Arial" w:cs="Arial"/>
          <w:lang w:eastAsia="en-GB"/>
        </w:rPr>
        <w:t>14  ed</w:t>
      </w:r>
      <w:proofErr w:type="gramEnd"/>
      <w:r w:rsidRPr="001F629E">
        <w:rPr>
          <w:rFonts w:ascii="Arial" w:eastAsia="Times New Roman" w:hAnsi="Arial" w:cs="Arial"/>
          <w:lang w:eastAsia="en-GB"/>
        </w:rPr>
        <w:t>.).  (J</w:t>
      </w:r>
      <w:proofErr w:type="gramStart"/>
      <w:r w:rsidRPr="001F629E">
        <w:rPr>
          <w:rFonts w:ascii="Arial" w:eastAsia="Times New Roman" w:hAnsi="Arial" w:cs="Arial"/>
          <w:lang w:eastAsia="en-GB"/>
        </w:rPr>
        <w:t>.  Sabation</w:t>
      </w:r>
      <w:proofErr w:type="gramEnd"/>
      <w:r w:rsidRPr="001F629E">
        <w:rPr>
          <w:rFonts w:ascii="Arial" w:eastAsia="Times New Roman" w:hAnsi="Arial" w:cs="Arial"/>
          <w:lang w:eastAsia="en-GB"/>
        </w:rPr>
        <w:t xml:space="preserve">,  Ed.)  Boston: </w:t>
      </w:r>
      <w:r w:rsidRPr="00FB0EA2">
        <w:rPr>
          <w:rFonts w:ascii="Arial" w:eastAsia="Times New Roman" w:hAnsi="Arial" w:cs="Arial"/>
          <w:lang w:eastAsia="en-GB"/>
        </w:rPr>
        <w:t>Cengage Learning.</w:t>
      </w:r>
      <w:r>
        <w:rPr>
          <w:rFonts w:ascii="Arial" w:eastAsia="Times New Roman" w:hAnsi="Arial" w:cs="Arial"/>
          <w:lang w:eastAsia="en-GB"/>
        </w:rPr>
        <w:t xml:space="preserve"> </w:t>
      </w:r>
      <w:bookmarkStart w:id="44" w:name="_Hlk72155937"/>
      <w:r>
        <w:rPr>
          <w:rFonts w:ascii="Arial" w:eastAsia="Times New Roman" w:hAnsi="Arial" w:cs="Arial"/>
          <w:lang w:eastAsia="en-GB"/>
        </w:rPr>
        <w:t xml:space="preserve">In </w:t>
      </w:r>
      <w:r w:rsidR="006E0519" w:rsidRPr="00016CAC">
        <w:rPr>
          <w:rFonts w:ascii="Arial" w:hAnsi="Arial" w:cs="Arial"/>
          <w:shd w:val="clear" w:color="auto" w:fill="FFFFFF"/>
        </w:rPr>
        <w:t xml:space="preserve">Husain, T. and Sunardi, N., </w:t>
      </w:r>
      <w:r w:rsidR="006E0519">
        <w:rPr>
          <w:rFonts w:ascii="Arial" w:hAnsi="Arial" w:cs="Arial"/>
          <w:shd w:val="clear" w:color="auto" w:fill="FFFFFF"/>
        </w:rPr>
        <w:t>(</w:t>
      </w:r>
      <w:r w:rsidR="006E0519" w:rsidRPr="00016CAC">
        <w:rPr>
          <w:rFonts w:ascii="Arial" w:hAnsi="Arial" w:cs="Arial"/>
          <w:shd w:val="clear" w:color="auto" w:fill="FFFFFF"/>
        </w:rPr>
        <w:t>2020</w:t>
      </w:r>
      <w:r w:rsidR="006E0519">
        <w:rPr>
          <w:rFonts w:ascii="Arial" w:hAnsi="Arial" w:cs="Arial"/>
          <w:shd w:val="clear" w:color="auto" w:fill="FFFFFF"/>
        </w:rPr>
        <w:t>)</w:t>
      </w:r>
    </w:p>
    <w:bookmarkEnd w:id="44"/>
    <w:p w14:paraId="062CF78F" w14:textId="77777777" w:rsidR="00176679" w:rsidRDefault="00176679" w:rsidP="003A2324">
      <w:pPr>
        <w:rPr>
          <w:rFonts w:ascii="Arial" w:hAnsi="Arial" w:cs="Arial"/>
        </w:rPr>
      </w:pPr>
    </w:p>
    <w:p w14:paraId="30E61839" w14:textId="61C60EA7" w:rsidR="003A2324" w:rsidRPr="004E25CB" w:rsidRDefault="003A2324" w:rsidP="003A2324">
      <w:pPr>
        <w:rPr>
          <w:rFonts w:ascii="Arial" w:hAnsi="Arial" w:cs="Arial"/>
        </w:rPr>
      </w:pPr>
      <w:r>
        <w:rPr>
          <w:rFonts w:ascii="Arial" w:hAnsi="Arial" w:cs="Arial"/>
        </w:rPr>
        <w:t xml:space="preserve">Craft, (2021) </w:t>
      </w:r>
      <w:r w:rsidRPr="004E25CB">
        <w:rPr>
          <w:rFonts w:ascii="Arial" w:hAnsi="Arial" w:cs="Arial"/>
          <w:i/>
          <w:iCs/>
        </w:rPr>
        <w:t>GSK Competitors.</w:t>
      </w:r>
      <w:r>
        <w:rPr>
          <w:rFonts w:ascii="Arial" w:hAnsi="Arial" w:cs="Arial"/>
        </w:rPr>
        <w:t xml:space="preserve"> Available </w:t>
      </w:r>
      <w:proofErr w:type="gramStart"/>
      <w:r>
        <w:rPr>
          <w:rFonts w:ascii="Arial" w:hAnsi="Arial" w:cs="Arial"/>
        </w:rPr>
        <w:t>at :</w:t>
      </w:r>
      <w:proofErr w:type="gramEnd"/>
      <w:r>
        <w:rPr>
          <w:rFonts w:ascii="Arial" w:hAnsi="Arial" w:cs="Arial"/>
        </w:rPr>
        <w:t xml:space="preserve"> </w:t>
      </w:r>
      <w:hyperlink r:id="rId12" w:history="1">
        <w:r w:rsidRPr="00A41966">
          <w:rPr>
            <w:rFonts w:ascii="Arial" w:hAnsi="Arial" w:cs="Arial"/>
            <w:color w:val="0000FF"/>
            <w:u w:val="single"/>
          </w:rPr>
          <w:t>Top GSK Competitors and Alternatives | Craft.co</w:t>
        </w:r>
      </w:hyperlink>
      <w:r>
        <w:rPr>
          <w:rFonts w:ascii="Arial" w:hAnsi="Arial" w:cs="Arial"/>
        </w:rPr>
        <w:t xml:space="preserve"> (Accessed: 14. 05. 2021).</w:t>
      </w:r>
    </w:p>
    <w:p w14:paraId="2DC35A15" w14:textId="77777777" w:rsidR="003A7FEF" w:rsidRPr="001A261E" w:rsidRDefault="003A7FEF" w:rsidP="003A7FEF">
      <w:pPr>
        <w:shd w:val="clear" w:color="auto" w:fill="FFFFFF"/>
        <w:spacing w:after="0" w:line="240" w:lineRule="auto"/>
        <w:rPr>
          <w:rFonts w:ascii="Arial" w:eastAsia="Times New Roman" w:hAnsi="Arial" w:cs="Arial"/>
          <w:color w:val="000000"/>
          <w:lang w:eastAsia="en-GB"/>
        </w:rPr>
      </w:pPr>
      <w:r w:rsidRPr="001A261E">
        <w:rPr>
          <w:rFonts w:ascii="Arial" w:eastAsia="Times New Roman" w:hAnsi="Arial" w:cs="Arial"/>
          <w:color w:val="000000"/>
          <w:lang w:eastAsia="en-GB"/>
        </w:rPr>
        <w:t xml:space="preserve">Elinda, F., &amp; Sukirman. (2015). Determinants of Financial Ratios on Dividend Policy. </w:t>
      </w:r>
    </w:p>
    <w:p w14:paraId="0140474E" w14:textId="1F3FC188" w:rsidR="00CC7C54" w:rsidRPr="00FB0EA2" w:rsidRDefault="003A7FEF" w:rsidP="00CC7C54">
      <w:pPr>
        <w:shd w:val="clear" w:color="auto" w:fill="FFFFFF"/>
        <w:spacing w:after="0" w:line="240" w:lineRule="auto"/>
        <w:rPr>
          <w:rFonts w:ascii="Arial" w:eastAsia="Times New Roman" w:hAnsi="Arial" w:cs="Arial"/>
          <w:lang w:eastAsia="en-GB"/>
        </w:rPr>
      </w:pPr>
      <w:r w:rsidRPr="001A261E">
        <w:rPr>
          <w:rFonts w:ascii="Arial" w:eastAsia="Times New Roman" w:hAnsi="Arial" w:cs="Arial"/>
          <w:color w:val="000000"/>
          <w:lang w:eastAsia="en-GB"/>
        </w:rPr>
        <w:t>Accounting Analysis Journal, 4</w:t>
      </w:r>
      <w:r w:rsidR="005F06F8">
        <w:rPr>
          <w:rFonts w:ascii="Arial" w:eastAsia="Times New Roman" w:hAnsi="Arial" w:cs="Arial"/>
          <w:color w:val="000000"/>
          <w:lang w:eastAsia="en-GB"/>
        </w:rPr>
        <w:t xml:space="preserve"> </w:t>
      </w:r>
      <w:r w:rsidRPr="001A261E">
        <w:rPr>
          <w:rFonts w:ascii="Arial" w:eastAsia="Times New Roman" w:hAnsi="Arial" w:cs="Arial"/>
          <w:color w:val="000000"/>
          <w:lang w:eastAsia="en-GB"/>
        </w:rPr>
        <w:t>(4), 1</w:t>
      </w:r>
      <w:proofErr w:type="gramStart"/>
      <w:r w:rsidRPr="001A261E">
        <w:rPr>
          <w:rFonts w:ascii="Arial" w:eastAsia="Times New Roman" w:hAnsi="Arial" w:cs="Arial"/>
          <w:color w:val="000000"/>
          <w:sz w:val="25"/>
          <w:szCs w:val="25"/>
          <w:lang w:eastAsia="en-GB"/>
        </w:rPr>
        <w:t>-</w:t>
      </w:r>
      <w:r w:rsidR="005F06F8">
        <w:rPr>
          <w:rFonts w:ascii="Arial" w:eastAsia="Times New Roman" w:hAnsi="Arial" w:cs="Arial"/>
          <w:color w:val="000000"/>
          <w:sz w:val="25"/>
          <w:szCs w:val="25"/>
          <w:lang w:eastAsia="en-GB"/>
        </w:rPr>
        <w:t xml:space="preserve">  </w:t>
      </w:r>
      <w:r w:rsidR="00CC7C54">
        <w:rPr>
          <w:rFonts w:ascii="Arial" w:eastAsia="Times New Roman" w:hAnsi="Arial" w:cs="Arial"/>
          <w:lang w:eastAsia="en-GB"/>
        </w:rPr>
        <w:t>In</w:t>
      </w:r>
      <w:proofErr w:type="gramEnd"/>
      <w:r w:rsidR="00CC7C54">
        <w:rPr>
          <w:rFonts w:ascii="Arial" w:eastAsia="Times New Roman" w:hAnsi="Arial" w:cs="Arial"/>
          <w:lang w:eastAsia="en-GB"/>
        </w:rPr>
        <w:t xml:space="preserve"> </w:t>
      </w:r>
      <w:r w:rsidR="00CC7C54" w:rsidRPr="00016CAC">
        <w:rPr>
          <w:rFonts w:ascii="Arial" w:hAnsi="Arial" w:cs="Arial"/>
          <w:shd w:val="clear" w:color="auto" w:fill="FFFFFF"/>
        </w:rPr>
        <w:t xml:space="preserve">Husain, T. and Sunardi, N., </w:t>
      </w:r>
      <w:r w:rsidR="00CC7C54">
        <w:rPr>
          <w:rFonts w:ascii="Arial" w:hAnsi="Arial" w:cs="Arial"/>
          <w:shd w:val="clear" w:color="auto" w:fill="FFFFFF"/>
        </w:rPr>
        <w:t>(</w:t>
      </w:r>
      <w:r w:rsidR="00CC7C54" w:rsidRPr="00016CAC">
        <w:rPr>
          <w:rFonts w:ascii="Arial" w:hAnsi="Arial" w:cs="Arial"/>
          <w:shd w:val="clear" w:color="auto" w:fill="FFFFFF"/>
        </w:rPr>
        <w:t>2020</w:t>
      </w:r>
      <w:r w:rsidR="00CC7C54">
        <w:rPr>
          <w:rFonts w:ascii="Arial" w:hAnsi="Arial" w:cs="Arial"/>
          <w:shd w:val="clear" w:color="auto" w:fill="FFFFFF"/>
        </w:rPr>
        <w:t>).</w:t>
      </w:r>
    </w:p>
    <w:p w14:paraId="7D3F23B5" w14:textId="19FC2ED0" w:rsidR="003A7FEF" w:rsidRPr="001A261E" w:rsidRDefault="003A7FEF" w:rsidP="003A7FEF">
      <w:pPr>
        <w:shd w:val="clear" w:color="auto" w:fill="FFFFFF"/>
        <w:spacing w:after="0" w:line="240" w:lineRule="auto"/>
        <w:rPr>
          <w:rFonts w:ascii="Arial" w:eastAsia="Times New Roman" w:hAnsi="Arial" w:cs="Arial"/>
          <w:color w:val="000000"/>
          <w:lang w:eastAsia="en-GB"/>
        </w:rPr>
      </w:pPr>
    </w:p>
    <w:p w14:paraId="49CF51E4" w14:textId="28F0FAAF" w:rsidR="00325072" w:rsidRPr="00325072" w:rsidRDefault="00325072" w:rsidP="00325072">
      <w:pPr>
        <w:rPr>
          <w:rFonts w:ascii="Arial" w:hAnsi="Arial" w:cs="Arial"/>
        </w:rPr>
      </w:pPr>
      <w:proofErr w:type="gramStart"/>
      <w:r>
        <w:rPr>
          <w:rFonts w:ascii="Arial" w:hAnsi="Arial" w:cs="Arial"/>
        </w:rPr>
        <w:t>GSK.,</w:t>
      </w:r>
      <w:proofErr w:type="gramEnd"/>
      <w:r>
        <w:rPr>
          <w:rFonts w:ascii="Arial" w:hAnsi="Arial" w:cs="Arial"/>
        </w:rPr>
        <w:t xml:space="preserve"> (2021</w:t>
      </w:r>
      <w:r w:rsidRPr="0036762E">
        <w:rPr>
          <w:rFonts w:ascii="Arial" w:hAnsi="Arial" w:cs="Arial"/>
        </w:rPr>
        <w:t>)</w:t>
      </w:r>
      <w:r w:rsidRPr="0036762E">
        <w:rPr>
          <w:rFonts w:ascii="Arial" w:hAnsi="Arial" w:cs="Arial"/>
          <w:i/>
          <w:iCs/>
        </w:rPr>
        <w:t xml:space="preserve"> Quarterly Results</w:t>
      </w:r>
      <w:r>
        <w:rPr>
          <w:rFonts w:ascii="Arial" w:hAnsi="Arial" w:cs="Arial"/>
        </w:rPr>
        <w:t xml:space="preserve">. </w:t>
      </w:r>
      <w:proofErr w:type="gramStart"/>
      <w:r>
        <w:rPr>
          <w:rFonts w:ascii="Arial" w:hAnsi="Arial" w:cs="Arial"/>
        </w:rPr>
        <w:t>Available at :</w:t>
      </w:r>
      <w:proofErr w:type="gramEnd"/>
      <w:r w:rsidR="00004D40">
        <w:fldChar w:fldCharType="begin"/>
      </w:r>
      <w:r w:rsidR="00004D40">
        <w:instrText xml:space="preserve"> HYPERLINK "https://www.gsk.com/en-gb/investors/quarterly-results/" </w:instrText>
      </w:r>
      <w:r w:rsidR="00004D40">
        <w:fldChar w:fldCharType="separate"/>
      </w:r>
      <w:r w:rsidRPr="008765E1">
        <w:rPr>
          <w:rFonts w:ascii="Arial" w:hAnsi="Arial" w:cs="Arial"/>
          <w:color w:val="0000FF"/>
          <w:u w:val="single"/>
        </w:rPr>
        <w:t>Quarterly results | GSK</w:t>
      </w:r>
      <w:r w:rsidR="00004D40">
        <w:rPr>
          <w:rFonts w:ascii="Arial" w:hAnsi="Arial" w:cs="Arial"/>
          <w:color w:val="0000FF"/>
          <w:u w:val="single"/>
        </w:rPr>
        <w:fldChar w:fldCharType="end"/>
      </w:r>
      <w:r>
        <w:rPr>
          <w:rFonts w:ascii="Arial" w:hAnsi="Arial" w:cs="Arial"/>
        </w:rPr>
        <w:t xml:space="preserve"> </w:t>
      </w:r>
      <w:r w:rsidRPr="00325072">
        <w:rPr>
          <w:rFonts w:ascii="Arial" w:hAnsi="Arial" w:cs="Arial"/>
        </w:rPr>
        <w:t>(Accessed: 17. 05. 2021).</w:t>
      </w:r>
      <w:r w:rsidRPr="00325072">
        <w:t xml:space="preserve"> </w:t>
      </w:r>
    </w:p>
    <w:p w14:paraId="443D5638" w14:textId="0EF2CC08" w:rsidR="00814AE3" w:rsidRPr="009B5E7A" w:rsidRDefault="00814AE3" w:rsidP="00814AE3">
      <w:pPr>
        <w:rPr>
          <w:rFonts w:ascii="Arial" w:hAnsi="Arial" w:cs="Arial"/>
        </w:rPr>
      </w:pPr>
      <w:r>
        <w:rPr>
          <w:rFonts w:ascii="Arial" w:hAnsi="Arial" w:cs="Arial"/>
        </w:rPr>
        <w:t xml:space="preserve">GSK (2021) Key Facts. </w:t>
      </w:r>
      <w:proofErr w:type="gramStart"/>
      <w:r>
        <w:rPr>
          <w:rFonts w:ascii="Arial" w:hAnsi="Arial" w:cs="Arial"/>
        </w:rPr>
        <w:t>Available at :</w:t>
      </w:r>
      <w:proofErr w:type="gramEnd"/>
      <w:r w:rsidR="00004D40">
        <w:fldChar w:fldCharType="begin"/>
      </w:r>
      <w:r w:rsidR="00004D40">
        <w:instrText xml:space="preserve"> HYPERLINK "https://www.gsk.com/en-gb/about-us/key-facts/" </w:instrText>
      </w:r>
      <w:r w:rsidR="00004D40">
        <w:fldChar w:fldCharType="separate"/>
      </w:r>
      <w:r w:rsidRPr="00863130">
        <w:rPr>
          <w:rFonts w:ascii="Arial" w:hAnsi="Arial" w:cs="Arial"/>
          <w:color w:val="0000FF"/>
          <w:u w:val="single"/>
        </w:rPr>
        <w:t>Key facts | GSK</w:t>
      </w:r>
      <w:r w:rsidR="00004D40">
        <w:rPr>
          <w:rFonts w:ascii="Arial" w:hAnsi="Arial" w:cs="Arial"/>
          <w:color w:val="0000FF"/>
          <w:u w:val="single"/>
        </w:rPr>
        <w:fldChar w:fldCharType="end"/>
      </w:r>
      <w:r>
        <w:rPr>
          <w:rFonts w:ascii="Arial" w:hAnsi="Arial" w:cs="Arial"/>
          <w:color w:val="0000FF"/>
          <w:u w:val="single"/>
        </w:rPr>
        <w:t xml:space="preserve"> </w:t>
      </w:r>
      <w:r>
        <w:t>(</w:t>
      </w:r>
      <w:r>
        <w:rPr>
          <w:rFonts w:ascii="Arial" w:hAnsi="Arial" w:cs="Arial"/>
        </w:rPr>
        <w:t>Accessed: 14. 05. 2021).</w:t>
      </w:r>
    </w:p>
    <w:p w14:paraId="7240FB01" w14:textId="0A7E5DA7" w:rsidR="009E058B" w:rsidRPr="002B35B1" w:rsidRDefault="009E058B" w:rsidP="009E058B">
      <w:pPr>
        <w:rPr>
          <w:rFonts w:ascii="Arial" w:hAnsi="Arial" w:cs="Arial"/>
        </w:rPr>
      </w:pPr>
      <w:r>
        <w:rPr>
          <w:rFonts w:ascii="Arial" w:hAnsi="Arial" w:cs="Arial"/>
        </w:rPr>
        <w:t xml:space="preserve">GSK (2021) </w:t>
      </w:r>
      <w:r w:rsidRPr="00751351">
        <w:rPr>
          <w:rFonts w:ascii="Arial" w:hAnsi="Arial" w:cs="Arial"/>
          <w:i/>
          <w:iCs/>
        </w:rPr>
        <w:t>Our History</w:t>
      </w:r>
      <w:r>
        <w:rPr>
          <w:rFonts w:ascii="Arial" w:hAnsi="Arial" w:cs="Arial"/>
        </w:rPr>
        <w:t xml:space="preserve">. Available at: </w:t>
      </w:r>
      <w:hyperlink r:id="rId13" w:history="1">
        <w:r w:rsidRPr="00786C2F">
          <w:rPr>
            <w:rFonts w:ascii="Arial" w:hAnsi="Arial" w:cs="Arial"/>
            <w:color w:val="0000FF"/>
            <w:u w:val="single"/>
          </w:rPr>
          <w:t>Our history | GSK</w:t>
        </w:r>
      </w:hyperlink>
      <w:r>
        <w:rPr>
          <w:rFonts w:ascii="Arial" w:hAnsi="Arial" w:cs="Arial"/>
        </w:rPr>
        <w:t xml:space="preserve"> </w:t>
      </w:r>
      <w:r w:rsidRPr="002B35B1">
        <w:rPr>
          <w:rFonts w:ascii="Arial" w:hAnsi="Arial" w:cs="Arial"/>
        </w:rPr>
        <w:t>(Accessed: 20. 05. 2021).</w:t>
      </w:r>
    </w:p>
    <w:p w14:paraId="56B7113D" w14:textId="463C71D4" w:rsidR="00C658F7" w:rsidRPr="00911A4C" w:rsidRDefault="00C658F7" w:rsidP="00C658F7">
      <w:pPr>
        <w:rPr>
          <w:rFonts w:ascii="Arial" w:hAnsi="Arial" w:cs="Arial"/>
        </w:rPr>
      </w:pPr>
      <w:r>
        <w:rPr>
          <w:rFonts w:ascii="Arial" w:hAnsi="Arial" w:cs="Arial"/>
        </w:rPr>
        <w:t>GSK Responsibility, (2021)</w:t>
      </w:r>
      <w:r w:rsidRPr="00C90089">
        <w:rPr>
          <w:rFonts w:ascii="Arial" w:hAnsi="Arial" w:cs="Arial"/>
        </w:rPr>
        <w:t xml:space="preserve"> </w:t>
      </w:r>
      <w:r w:rsidRPr="00C658F7">
        <w:rPr>
          <w:rFonts w:ascii="Arial" w:hAnsi="Arial" w:cs="Arial"/>
          <w:i/>
          <w:iCs/>
        </w:rPr>
        <w:t>Our Approach</w:t>
      </w:r>
      <w:r>
        <w:rPr>
          <w:rFonts w:ascii="Arial" w:hAnsi="Arial" w:cs="Arial"/>
        </w:rPr>
        <w:t xml:space="preserve">. </w:t>
      </w:r>
      <w:proofErr w:type="gramStart"/>
      <w:r>
        <w:rPr>
          <w:rFonts w:ascii="Arial" w:hAnsi="Arial" w:cs="Arial"/>
        </w:rPr>
        <w:t>Available at :</w:t>
      </w:r>
      <w:proofErr w:type="gramEnd"/>
      <w:r w:rsidR="00004D40">
        <w:fldChar w:fldCharType="begin"/>
      </w:r>
      <w:r w:rsidR="00004D40">
        <w:instrText xml:space="preserve"> HYPERLINK "https://uk.gsk.com/en-gb/responsibility/our-approach/" </w:instrText>
      </w:r>
      <w:r w:rsidR="00004D40">
        <w:fldChar w:fldCharType="separate"/>
      </w:r>
      <w:r w:rsidRPr="002B3B70">
        <w:rPr>
          <w:rFonts w:ascii="Arial" w:hAnsi="Arial" w:cs="Arial"/>
          <w:color w:val="0000FF"/>
          <w:u w:val="single"/>
        </w:rPr>
        <w:t>Our approach | GSK UK</w:t>
      </w:r>
      <w:r w:rsidR="00004D40">
        <w:rPr>
          <w:rFonts w:ascii="Arial" w:hAnsi="Arial" w:cs="Arial"/>
          <w:color w:val="0000FF"/>
          <w:u w:val="single"/>
        </w:rPr>
        <w:fldChar w:fldCharType="end"/>
      </w:r>
      <w:r>
        <w:rPr>
          <w:rFonts w:ascii="Arial" w:hAnsi="Arial" w:cs="Arial"/>
          <w:color w:val="0000FF"/>
          <w:u w:val="single"/>
        </w:rPr>
        <w:t xml:space="preserve">  </w:t>
      </w:r>
      <w:r w:rsidRPr="00911A4C">
        <w:rPr>
          <w:rFonts w:ascii="Arial" w:hAnsi="Arial" w:cs="Arial"/>
        </w:rPr>
        <w:t xml:space="preserve">(Accessed: </w:t>
      </w:r>
      <w:r>
        <w:rPr>
          <w:rFonts w:ascii="Arial" w:hAnsi="Arial" w:cs="Arial"/>
        </w:rPr>
        <w:t>14. 05. 2021).</w:t>
      </w:r>
    </w:p>
    <w:p w14:paraId="57951A00" w14:textId="77777777" w:rsidR="005C6338" w:rsidRPr="000F135B" w:rsidRDefault="005C6338" w:rsidP="005C6338">
      <w:pPr>
        <w:rPr>
          <w:rFonts w:ascii="Arial" w:hAnsi="Arial" w:cs="Arial"/>
        </w:rPr>
      </w:pPr>
      <w:r>
        <w:rPr>
          <w:rFonts w:ascii="Arial" w:hAnsi="Arial" w:cs="Arial"/>
        </w:rPr>
        <w:t xml:space="preserve">GSK, (2021) Sitemap. Available </w:t>
      </w:r>
      <w:proofErr w:type="gramStart"/>
      <w:r>
        <w:rPr>
          <w:rFonts w:ascii="Arial" w:hAnsi="Arial" w:cs="Arial"/>
        </w:rPr>
        <w:t>at :</w:t>
      </w:r>
      <w:proofErr w:type="gramEnd"/>
      <w:r>
        <w:rPr>
          <w:rFonts w:ascii="Arial" w:hAnsi="Arial" w:cs="Arial"/>
        </w:rPr>
        <w:t xml:space="preserve"> </w:t>
      </w:r>
      <w:hyperlink r:id="rId14" w:history="1">
        <w:r w:rsidRPr="00253C28">
          <w:rPr>
            <w:rFonts w:ascii="Arial" w:hAnsi="Arial" w:cs="Arial"/>
            <w:color w:val="0000FF"/>
            <w:u w:val="single"/>
          </w:rPr>
          <w:t>Sitemap | GSK</w:t>
        </w:r>
      </w:hyperlink>
      <w:r>
        <w:rPr>
          <w:rFonts w:ascii="Arial" w:hAnsi="Arial" w:cs="Arial"/>
        </w:rPr>
        <w:t xml:space="preserve"> </w:t>
      </w:r>
      <w:r w:rsidRPr="000F135B">
        <w:rPr>
          <w:rFonts w:ascii="Arial" w:hAnsi="Arial" w:cs="Arial"/>
        </w:rPr>
        <w:t>(Accessed: 14. 05. 2021).</w:t>
      </w:r>
    </w:p>
    <w:p w14:paraId="62727318" w14:textId="77777777" w:rsidR="002C7ACD" w:rsidRPr="002C7ACD" w:rsidRDefault="002C7ACD" w:rsidP="002C7ACD">
      <w:pPr>
        <w:rPr>
          <w:rFonts w:ascii="Arial" w:hAnsi="Arial" w:cs="Arial"/>
          <w:color w:val="0000FF"/>
          <w:u w:val="single"/>
        </w:rPr>
      </w:pPr>
      <w:r>
        <w:rPr>
          <w:rFonts w:ascii="Arial" w:hAnsi="Arial" w:cs="Arial"/>
        </w:rPr>
        <w:t xml:space="preserve">GSK, (2021) </w:t>
      </w:r>
      <w:r w:rsidRPr="002C7ACD">
        <w:rPr>
          <w:rFonts w:ascii="Arial" w:hAnsi="Arial" w:cs="Arial"/>
          <w:i/>
          <w:iCs/>
        </w:rPr>
        <w:t>GSK and CurVac to develop next generation mRNA COVID-19 Vaccines</w:t>
      </w:r>
      <w:r>
        <w:rPr>
          <w:rFonts w:ascii="Arial" w:hAnsi="Arial" w:cs="Arial"/>
        </w:rPr>
        <w:t xml:space="preserve">.  Available </w:t>
      </w:r>
      <w:proofErr w:type="gramStart"/>
      <w:r>
        <w:rPr>
          <w:rFonts w:ascii="Arial" w:hAnsi="Arial" w:cs="Arial"/>
        </w:rPr>
        <w:t>at :</w:t>
      </w:r>
      <w:r w:rsidRPr="00355A82">
        <w:rPr>
          <w:rFonts w:ascii="Arial" w:hAnsi="Arial" w:cs="Arial"/>
          <w:color w:val="0000FF"/>
          <w:u w:val="single"/>
        </w:rPr>
        <w:t>GSK</w:t>
      </w:r>
      <w:proofErr w:type="gramEnd"/>
      <w:r w:rsidRPr="00355A82">
        <w:rPr>
          <w:rFonts w:ascii="Arial" w:hAnsi="Arial" w:cs="Arial"/>
          <w:color w:val="0000FF"/>
          <w:u w:val="single"/>
        </w:rPr>
        <w:t xml:space="preserve"> and CureVac to develop next generation mRNA COVID-19 vaccines | GSK</w:t>
      </w:r>
      <w:r>
        <w:rPr>
          <w:rFonts w:ascii="Arial" w:hAnsi="Arial" w:cs="Arial"/>
          <w:color w:val="0000FF"/>
          <w:u w:val="single"/>
        </w:rPr>
        <w:t xml:space="preserve"> </w:t>
      </w:r>
      <w:r>
        <w:rPr>
          <w:rFonts w:ascii="Arial" w:hAnsi="Arial" w:cs="Arial"/>
        </w:rPr>
        <w:t>(Accessed: 17. 05. 2021).</w:t>
      </w:r>
    </w:p>
    <w:p w14:paraId="693BB7D6" w14:textId="6F7AB986" w:rsidR="000323BA" w:rsidRDefault="000323BA" w:rsidP="00444AE2">
      <w:pPr>
        <w:rPr>
          <w:rFonts w:ascii="Arial" w:hAnsi="Arial" w:cs="Arial"/>
        </w:rPr>
      </w:pPr>
      <w:r>
        <w:rPr>
          <w:rFonts w:ascii="Arial" w:hAnsi="Arial" w:cs="Arial"/>
        </w:rPr>
        <w:t xml:space="preserve">GSK Today, (2021) </w:t>
      </w:r>
      <w:r w:rsidRPr="001E3DB4">
        <w:rPr>
          <w:rFonts w:ascii="Arial" w:hAnsi="Arial" w:cs="Arial"/>
          <w:i/>
          <w:iCs/>
        </w:rPr>
        <w:t>2000 Present.</w:t>
      </w:r>
      <w:r>
        <w:rPr>
          <w:rFonts w:ascii="Arial" w:hAnsi="Arial" w:cs="Arial"/>
        </w:rPr>
        <w:t xml:space="preserve"> </w:t>
      </w:r>
      <w:proofErr w:type="gramStart"/>
      <w:r>
        <w:rPr>
          <w:rFonts w:ascii="Arial" w:hAnsi="Arial" w:cs="Arial"/>
        </w:rPr>
        <w:t>Available at :</w:t>
      </w:r>
      <w:proofErr w:type="gramEnd"/>
      <w:r w:rsidR="00004D40">
        <w:fldChar w:fldCharType="begin"/>
      </w:r>
      <w:r w:rsidR="00004D40">
        <w:instrText xml:space="preserve"> HYPERLINK "https://www.gsk.com/en-gb/about-us/our-history/gsk-today-2000-present/" </w:instrText>
      </w:r>
      <w:r w:rsidR="00004D40">
        <w:fldChar w:fldCharType="separate"/>
      </w:r>
      <w:r w:rsidRPr="008424D4">
        <w:rPr>
          <w:rFonts w:ascii="Arial" w:hAnsi="Arial" w:cs="Arial"/>
          <w:color w:val="0000FF"/>
          <w:u w:val="single"/>
        </w:rPr>
        <w:t>GSK today: 2000 – present | GSK</w:t>
      </w:r>
      <w:r w:rsidR="00004D40">
        <w:rPr>
          <w:rFonts w:ascii="Arial" w:hAnsi="Arial" w:cs="Arial"/>
          <w:color w:val="0000FF"/>
          <w:u w:val="single"/>
        </w:rPr>
        <w:fldChar w:fldCharType="end"/>
      </w:r>
      <w:r>
        <w:rPr>
          <w:rFonts w:ascii="Arial" w:hAnsi="Arial" w:cs="Arial"/>
        </w:rPr>
        <w:t xml:space="preserve"> </w:t>
      </w:r>
      <w:r>
        <w:t>(</w:t>
      </w:r>
      <w:r>
        <w:rPr>
          <w:rFonts w:ascii="Arial" w:hAnsi="Arial" w:cs="Arial"/>
        </w:rPr>
        <w:t>Accessed: 14. 05. 2021).</w:t>
      </w:r>
    </w:p>
    <w:p w14:paraId="6F8B056F" w14:textId="06AB9366" w:rsidR="005725F8" w:rsidRDefault="005725F8" w:rsidP="00444AE2">
      <w:pPr>
        <w:rPr>
          <w:rFonts w:ascii="Arial" w:hAnsi="Arial" w:cs="Arial"/>
        </w:rPr>
      </w:pPr>
      <w:proofErr w:type="gramStart"/>
      <w:r>
        <w:rPr>
          <w:rFonts w:ascii="Arial" w:hAnsi="Arial" w:cs="Arial"/>
        </w:rPr>
        <w:t>GSK.,</w:t>
      </w:r>
      <w:proofErr w:type="gramEnd"/>
      <w:r>
        <w:rPr>
          <w:rFonts w:ascii="Arial" w:hAnsi="Arial" w:cs="Arial"/>
        </w:rPr>
        <w:t xml:space="preserve"> (2021) Our History Available at :</w:t>
      </w:r>
      <w:hyperlink r:id="rId15" w:history="1">
        <w:r w:rsidRPr="00FE1B78">
          <w:rPr>
            <w:rFonts w:ascii="Arial" w:hAnsi="Arial" w:cs="Arial"/>
            <w:color w:val="0000FF"/>
            <w:u w:val="single"/>
          </w:rPr>
          <w:t>Our history | GSK</w:t>
        </w:r>
      </w:hyperlink>
      <w:r>
        <w:rPr>
          <w:rFonts w:ascii="Arial" w:hAnsi="Arial" w:cs="Arial"/>
        </w:rPr>
        <w:t xml:space="preserve"> </w:t>
      </w:r>
      <w:r w:rsidRPr="005725F8">
        <w:rPr>
          <w:rFonts w:ascii="Arial" w:hAnsi="Arial" w:cs="Arial"/>
        </w:rPr>
        <w:t>(Accessed: 17. 05. 2021).</w:t>
      </w:r>
    </w:p>
    <w:p w14:paraId="53C291E1" w14:textId="77777777" w:rsidR="008C0839" w:rsidRPr="008C0839" w:rsidRDefault="008C0839" w:rsidP="008C0839">
      <w:pPr>
        <w:shd w:val="clear" w:color="auto" w:fill="FFFFFF"/>
        <w:spacing w:after="0" w:line="300" w:lineRule="atLeast"/>
        <w:textAlignment w:val="center"/>
        <w:rPr>
          <w:rFonts w:ascii="Arial" w:eastAsia="Times New Roman" w:hAnsi="Arial" w:cs="Arial"/>
          <w:b/>
          <w:bCs/>
          <w:color w:val="111111"/>
          <w:sz w:val="24"/>
          <w:szCs w:val="24"/>
          <w:lang w:eastAsia="en-GB"/>
        </w:rPr>
      </w:pPr>
      <w:r>
        <w:rPr>
          <w:rFonts w:ascii="Arial" w:hAnsi="Arial" w:cs="Arial"/>
        </w:rPr>
        <w:t xml:space="preserve">GSK, (No Date) </w:t>
      </w:r>
      <w:r w:rsidRPr="00D6676D">
        <w:rPr>
          <w:rFonts w:ascii="Arial" w:hAnsi="Arial" w:cs="Arial"/>
          <w:i/>
          <w:iCs/>
        </w:rPr>
        <w:t xml:space="preserve">300 </w:t>
      </w:r>
      <w:r>
        <w:rPr>
          <w:rFonts w:ascii="Arial" w:hAnsi="Arial" w:cs="Arial"/>
          <w:i/>
          <w:iCs/>
        </w:rPr>
        <w:t>Y</w:t>
      </w:r>
      <w:r w:rsidRPr="00D6676D">
        <w:rPr>
          <w:rFonts w:ascii="Arial" w:hAnsi="Arial" w:cs="Arial"/>
          <w:i/>
          <w:iCs/>
        </w:rPr>
        <w:t>ears of GSK Three Centuries of Innovation</w:t>
      </w:r>
      <w:r>
        <w:rPr>
          <w:rFonts w:ascii="Arial" w:hAnsi="Arial" w:cs="Arial"/>
        </w:rPr>
        <w:t xml:space="preserve">. </w:t>
      </w:r>
      <w:proofErr w:type="gramStart"/>
      <w:r>
        <w:rPr>
          <w:rFonts w:ascii="Arial" w:hAnsi="Arial" w:cs="Arial"/>
        </w:rPr>
        <w:t>Available at :</w:t>
      </w:r>
      <w:proofErr w:type="gramEnd"/>
      <w:r w:rsidR="00004D40">
        <w:fldChar w:fldCharType="begin"/>
      </w:r>
      <w:r w:rsidR="00004D40">
        <w:instrText xml:space="preserve"> HYPERLINK "https://www.gsk.com/media/4573/300yrs-of-gsk.pdf" </w:instrText>
      </w:r>
      <w:r w:rsidR="00004D40">
        <w:fldChar w:fldCharType="separate"/>
      </w:r>
      <w:r w:rsidRPr="00203F46">
        <w:rPr>
          <w:rFonts w:ascii="Arial" w:hAnsi="Arial" w:cs="Arial"/>
          <w:color w:val="0000FF"/>
          <w:u w:val="single"/>
        </w:rPr>
        <w:t>CMYK_Final_300yrs gsk A3 Landscape_LR</w:t>
      </w:r>
      <w:r w:rsidR="00004D40">
        <w:rPr>
          <w:rFonts w:ascii="Arial" w:hAnsi="Arial" w:cs="Arial"/>
          <w:color w:val="0000FF"/>
          <w:u w:val="single"/>
        </w:rPr>
        <w:fldChar w:fldCharType="end"/>
      </w:r>
      <w:r>
        <w:rPr>
          <w:rFonts w:ascii="Arial" w:eastAsia="Times New Roman" w:hAnsi="Arial" w:cs="Arial"/>
          <w:b/>
          <w:bCs/>
          <w:color w:val="111111"/>
          <w:sz w:val="24"/>
          <w:szCs w:val="24"/>
          <w:lang w:eastAsia="en-GB"/>
        </w:rPr>
        <w:t xml:space="preserve"> </w:t>
      </w:r>
      <w:r>
        <w:rPr>
          <w:rFonts w:ascii="Helvetica" w:eastAsia="Times New Roman" w:hAnsi="Helvetica" w:cs="Helvetica"/>
          <w:color w:val="111111"/>
          <w:sz w:val="24"/>
          <w:szCs w:val="24"/>
          <w:lang w:eastAsia="en-GB"/>
        </w:rPr>
        <w:t>(</w:t>
      </w:r>
      <w:r w:rsidRPr="004E4775">
        <w:rPr>
          <w:rFonts w:ascii="Helvetica" w:eastAsia="Times New Roman" w:hAnsi="Helvetica" w:cs="Helvetica"/>
          <w:color w:val="111111"/>
          <w:sz w:val="24"/>
          <w:szCs w:val="24"/>
          <w:lang w:eastAsia="en-GB"/>
        </w:rPr>
        <w:t>Accessed:</w:t>
      </w:r>
      <w:r>
        <w:rPr>
          <w:rFonts w:ascii="Helvetica" w:eastAsia="Times New Roman" w:hAnsi="Helvetica" w:cs="Helvetica"/>
          <w:color w:val="111111"/>
          <w:sz w:val="24"/>
          <w:szCs w:val="24"/>
          <w:lang w:eastAsia="en-GB"/>
        </w:rPr>
        <w:t xml:space="preserve"> 17. 05. 2021)</w:t>
      </w:r>
    </w:p>
    <w:p w14:paraId="6A63598D" w14:textId="77777777" w:rsidR="008C0839" w:rsidRDefault="008C0839" w:rsidP="008C0839">
      <w:pPr>
        <w:shd w:val="clear" w:color="auto" w:fill="FFFFFF"/>
        <w:spacing w:after="0" w:line="300" w:lineRule="atLeast"/>
        <w:textAlignment w:val="center"/>
        <w:rPr>
          <w:rFonts w:ascii="Helvetica" w:eastAsia="Times New Roman" w:hAnsi="Helvetica" w:cs="Helvetica"/>
          <w:b/>
          <w:bCs/>
          <w:color w:val="111111"/>
          <w:sz w:val="24"/>
          <w:szCs w:val="24"/>
          <w:lang w:eastAsia="en-GB"/>
        </w:rPr>
      </w:pPr>
    </w:p>
    <w:p w14:paraId="0A16ADD6" w14:textId="43F9F012" w:rsidR="004C02AD" w:rsidRPr="00C662D2" w:rsidRDefault="004C02AD" w:rsidP="00444AE2">
      <w:pPr>
        <w:rPr>
          <w:rFonts w:ascii="Arial" w:hAnsi="Arial" w:cs="Arial"/>
        </w:rPr>
      </w:pPr>
      <w:r>
        <w:rPr>
          <w:rFonts w:ascii="Arial" w:hAnsi="Arial" w:cs="Arial"/>
        </w:rPr>
        <w:t xml:space="preserve">Hargreaves Lansdown, (2021) GlaxoSmithKline PLC (GSK) Ordinary shares. </w:t>
      </w:r>
      <w:proofErr w:type="gramStart"/>
      <w:r>
        <w:rPr>
          <w:rFonts w:ascii="Arial" w:hAnsi="Arial" w:cs="Arial"/>
        </w:rPr>
        <w:t>Available at :</w:t>
      </w:r>
      <w:proofErr w:type="gramEnd"/>
      <w:r w:rsidR="00004D40">
        <w:fldChar w:fldCharType="begin"/>
      </w:r>
      <w:r w:rsidR="00004D40">
        <w:instrText xml:space="preserve"> HYPERLINK "https://www.hl.co.uk/shares/shares-search-results/g/glaxosmithkline-plc-ordinary-25p/financial-statements-and-reports" </w:instrText>
      </w:r>
      <w:r w:rsidR="00004D40">
        <w:fldChar w:fldCharType="separate"/>
      </w:r>
      <w:r w:rsidRPr="007D18B8">
        <w:rPr>
          <w:rFonts w:ascii="Arial" w:hAnsi="Arial" w:cs="Arial"/>
          <w:color w:val="0000FF"/>
          <w:u w:val="single"/>
        </w:rPr>
        <w:t>Annual Report &amp; Statements - GlaxoSmithKline plc (GSK) (hl.co.uk)</w:t>
      </w:r>
      <w:r w:rsidR="00004D40">
        <w:rPr>
          <w:rFonts w:ascii="Arial" w:hAnsi="Arial" w:cs="Arial"/>
          <w:color w:val="0000FF"/>
          <w:u w:val="single"/>
        </w:rPr>
        <w:fldChar w:fldCharType="end"/>
      </w:r>
      <w:r>
        <w:rPr>
          <w:rFonts w:ascii="Arial" w:hAnsi="Arial" w:cs="Arial"/>
        </w:rPr>
        <w:t xml:space="preserve"> </w:t>
      </w:r>
      <w:r w:rsidRPr="004C02AD">
        <w:rPr>
          <w:rFonts w:ascii="Arial" w:hAnsi="Arial" w:cs="Arial"/>
        </w:rPr>
        <w:t>(Accessed: 14. 05. 2021).</w:t>
      </w:r>
    </w:p>
    <w:p w14:paraId="7E22FBA0" w14:textId="77777777" w:rsidR="00DD17F2" w:rsidRPr="00DD17F2" w:rsidRDefault="00DD17F2" w:rsidP="00DD17F2">
      <w:pPr>
        <w:rPr>
          <w:rFonts w:ascii="Arial" w:hAnsi="Arial" w:cs="Arial"/>
          <w:color w:val="0000FF"/>
          <w:u w:val="single"/>
        </w:rPr>
      </w:pPr>
      <w:r>
        <w:rPr>
          <w:rFonts w:ascii="Arial" w:hAnsi="Arial" w:cs="Arial"/>
        </w:rPr>
        <w:lastRenderedPageBreak/>
        <w:t xml:space="preserve">Hooley, J., (2021) </w:t>
      </w:r>
      <w:r w:rsidRPr="006B4BBD">
        <w:rPr>
          <w:rFonts w:ascii="Arial" w:hAnsi="Arial" w:cs="Arial"/>
          <w:i/>
          <w:iCs/>
        </w:rPr>
        <w:t>Is GlaxoSmithKline Stock a buy</w:t>
      </w:r>
      <w:r>
        <w:rPr>
          <w:rFonts w:ascii="Arial" w:hAnsi="Arial" w:cs="Arial"/>
        </w:rPr>
        <w:t xml:space="preserve">: YouTube [Video] </w:t>
      </w:r>
      <w:proofErr w:type="gramStart"/>
      <w:r>
        <w:rPr>
          <w:rFonts w:ascii="Arial" w:hAnsi="Arial" w:cs="Arial"/>
        </w:rPr>
        <w:t>Available at :</w:t>
      </w:r>
      <w:proofErr w:type="gramEnd"/>
      <w:r w:rsidR="00004D40">
        <w:fldChar w:fldCharType="begin"/>
      </w:r>
      <w:r w:rsidR="00004D40">
        <w:instrText xml:space="preserve"> HYPERLINK "https://www.youtube.com/watch?v=ZzAgvfZoXGE" </w:instrText>
      </w:r>
      <w:r w:rsidR="00004D40">
        <w:fldChar w:fldCharType="separate"/>
      </w:r>
      <w:r w:rsidRPr="004C3180">
        <w:rPr>
          <w:rFonts w:ascii="Arial" w:hAnsi="Arial" w:cs="Arial"/>
          <w:color w:val="0000FF"/>
          <w:u w:val="single"/>
        </w:rPr>
        <w:t>Is GlaxoSmithKline Stock A Buy? GSK Stock Analysis - YouTube</w:t>
      </w:r>
      <w:r w:rsidR="00004D40">
        <w:rPr>
          <w:rFonts w:ascii="Arial" w:hAnsi="Arial" w:cs="Arial"/>
          <w:color w:val="0000FF"/>
          <w:u w:val="single"/>
        </w:rPr>
        <w:fldChar w:fldCharType="end"/>
      </w:r>
      <w:r>
        <w:rPr>
          <w:rStyle w:val="Hyperlink"/>
          <w:rFonts w:ascii="Arial" w:hAnsi="Arial" w:cs="Arial"/>
        </w:rPr>
        <w:t xml:space="preserve"> </w:t>
      </w:r>
      <w:r w:rsidRPr="00DD17F2">
        <w:rPr>
          <w:rFonts w:ascii="Arial" w:hAnsi="Arial" w:cs="Arial"/>
        </w:rPr>
        <w:t>(Accessed: 17. 05. 2021).</w:t>
      </w:r>
    </w:p>
    <w:p w14:paraId="10EEAE03" w14:textId="5351183B" w:rsidR="00444AE2" w:rsidRPr="00016CAC" w:rsidRDefault="00444AE2" w:rsidP="00444AE2">
      <w:pPr>
        <w:rPr>
          <w:rFonts w:ascii="Arial" w:hAnsi="Arial" w:cs="Arial"/>
          <w:b/>
          <w:bCs/>
          <w:i/>
          <w:iCs/>
          <w:shd w:val="clear" w:color="auto" w:fill="FFFFFF"/>
        </w:rPr>
      </w:pPr>
      <w:r w:rsidRPr="00016CAC">
        <w:rPr>
          <w:rFonts w:ascii="Arial" w:hAnsi="Arial" w:cs="Arial"/>
          <w:shd w:val="clear" w:color="auto" w:fill="FFFFFF"/>
        </w:rPr>
        <w:t xml:space="preserve">Husain, T. and Sunardi, N., </w:t>
      </w:r>
      <w:r w:rsidR="00E75792">
        <w:rPr>
          <w:rFonts w:ascii="Arial" w:hAnsi="Arial" w:cs="Arial"/>
          <w:shd w:val="clear" w:color="auto" w:fill="FFFFFF"/>
        </w:rPr>
        <w:t>(</w:t>
      </w:r>
      <w:r w:rsidRPr="00016CAC">
        <w:rPr>
          <w:rFonts w:ascii="Arial" w:hAnsi="Arial" w:cs="Arial"/>
          <w:shd w:val="clear" w:color="auto" w:fill="FFFFFF"/>
        </w:rPr>
        <w:t>2020</w:t>
      </w:r>
      <w:bookmarkEnd w:id="43"/>
      <w:r w:rsidR="00E75792">
        <w:rPr>
          <w:rFonts w:ascii="Arial" w:hAnsi="Arial" w:cs="Arial"/>
          <w:shd w:val="clear" w:color="auto" w:fill="FFFFFF"/>
        </w:rPr>
        <w:t>)</w:t>
      </w:r>
      <w:r w:rsidRPr="00016CAC">
        <w:rPr>
          <w:rFonts w:ascii="Arial" w:hAnsi="Arial" w:cs="Arial"/>
          <w:shd w:val="clear" w:color="auto" w:fill="FFFFFF"/>
        </w:rPr>
        <w:t xml:space="preserve"> </w:t>
      </w:r>
      <w:r w:rsidRPr="003E3A13">
        <w:rPr>
          <w:rFonts w:ascii="Arial" w:hAnsi="Arial" w:cs="Arial"/>
          <w:i/>
          <w:iCs/>
          <w:shd w:val="clear" w:color="auto" w:fill="FFFFFF"/>
        </w:rPr>
        <w:t>Firm's Value Prediction Based on Profitability Ratios and Dividend Policy</w:t>
      </w:r>
      <w:r w:rsidRPr="00E75792">
        <w:rPr>
          <w:rFonts w:ascii="Arial" w:hAnsi="Arial" w:cs="Arial"/>
          <w:shd w:val="clear" w:color="auto" w:fill="FFFFFF"/>
        </w:rPr>
        <w:t>. Finance &amp; Economics Review</w:t>
      </w:r>
      <w:r w:rsidRPr="00016CAC">
        <w:rPr>
          <w:rFonts w:ascii="Arial" w:hAnsi="Arial" w:cs="Arial"/>
          <w:shd w:val="clear" w:color="auto" w:fill="FFFFFF"/>
        </w:rPr>
        <w:t>, </w:t>
      </w:r>
      <w:r w:rsidRPr="00016CAC">
        <w:rPr>
          <w:rFonts w:ascii="Arial" w:hAnsi="Arial" w:cs="Arial"/>
          <w:i/>
          <w:iCs/>
          <w:shd w:val="clear" w:color="auto" w:fill="FFFFFF"/>
        </w:rPr>
        <w:t>2</w:t>
      </w:r>
      <w:r w:rsidRPr="00016CAC">
        <w:rPr>
          <w:rFonts w:ascii="Arial" w:hAnsi="Arial" w:cs="Arial"/>
          <w:shd w:val="clear" w:color="auto" w:fill="FFFFFF"/>
        </w:rPr>
        <w:t>(2), pp.13-26.</w:t>
      </w:r>
    </w:p>
    <w:p w14:paraId="5F0200B6" w14:textId="77777777" w:rsidR="00DE78C6" w:rsidRPr="00445C1C" w:rsidRDefault="00DE78C6" w:rsidP="00DE78C6">
      <w:pPr>
        <w:shd w:val="clear" w:color="auto" w:fill="FFFFFF"/>
        <w:spacing w:after="0" w:line="240" w:lineRule="auto"/>
        <w:rPr>
          <w:rFonts w:ascii="Arial" w:eastAsia="Times New Roman" w:hAnsi="Arial" w:cs="Arial"/>
          <w:lang w:eastAsia="en-GB"/>
        </w:rPr>
      </w:pPr>
      <w:r w:rsidRPr="00445C1C">
        <w:rPr>
          <w:rFonts w:ascii="Arial" w:eastAsia="Times New Roman" w:hAnsi="Arial" w:cs="Arial"/>
          <w:lang w:eastAsia="en-GB"/>
        </w:rPr>
        <w:t>IAI. (2013). Pernyataan Standar Akuntansi Keuangan.</w:t>
      </w:r>
      <w:r w:rsidRPr="0035309C">
        <w:rPr>
          <w:rFonts w:ascii="Arial" w:eastAsia="Times New Roman" w:hAnsi="Arial" w:cs="Arial"/>
          <w:lang w:eastAsia="en-GB"/>
        </w:rPr>
        <w:t xml:space="preserve"> </w:t>
      </w:r>
      <w:r w:rsidRPr="00445C1C">
        <w:rPr>
          <w:rFonts w:ascii="Arial" w:eastAsia="Times New Roman" w:hAnsi="Arial" w:cs="Arial"/>
          <w:lang w:eastAsia="en-GB"/>
        </w:rPr>
        <w:t>Jakarta: Dewan Standar Akuntansi Keuangan -Ikatan Akuntan Indonesia.</w:t>
      </w:r>
    </w:p>
    <w:p w14:paraId="362AA551" w14:textId="77777777" w:rsidR="005C351C" w:rsidRDefault="005C351C" w:rsidP="007250A3">
      <w:pPr>
        <w:rPr>
          <w:rFonts w:ascii="Arial" w:hAnsi="Arial" w:cs="Arial"/>
        </w:rPr>
      </w:pPr>
    </w:p>
    <w:p w14:paraId="341A6A0A" w14:textId="1094C3DD" w:rsidR="0064473F" w:rsidRDefault="0064473F" w:rsidP="007250A3">
      <w:pPr>
        <w:rPr>
          <w:rFonts w:ascii="Arial" w:hAnsi="Arial" w:cs="Arial"/>
        </w:rPr>
      </w:pPr>
      <w:r w:rsidRPr="004614EB">
        <w:rPr>
          <w:rFonts w:ascii="Arial" w:hAnsi="Arial" w:cs="Arial"/>
        </w:rPr>
        <w:t>Kadondi, E.A</w:t>
      </w:r>
      <w:r w:rsidR="000B7507">
        <w:rPr>
          <w:rFonts w:ascii="Arial" w:hAnsi="Arial" w:cs="Arial"/>
        </w:rPr>
        <w:t>.,</w:t>
      </w:r>
      <w:r w:rsidRPr="004614EB">
        <w:rPr>
          <w:rFonts w:ascii="Arial" w:hAnsi="Arial" w:cs="Arial"/>
        </w:rPr>
        <w:t xml:space="preserve"> (2002) </w:t>
      </w:r>
      <w:proofErr w:type="gramStart"/>
      <w:r w:rsidRPr="000B7507">
        <w:rPr>
          <w:rFonts w:ascii="Arial" w:hAnsi="Arial" w:cs="Arial"/>
          <w:i/>
          <w:iCs/>
        </w:rPr>
        <w:t>A</w:t>
      </w:r>
      <w:proofErr w:type="gramEnd"/>
      <w:r w:rsidRPr="000B7507">
        <w:rPr>
          <w:rFonts w:ascii="Arial" w:hAnsi="Arial" w:cs="Arial"/>
          <w:i/>
          <w:iCs/>
        </w:rPr>
        <w:t xml:space="preserve"> survey of capital budgeting techniques used by companies listed at the NSE, Unpublished MBA project</w:t>
      </w:r>
      <w:r w:rsidRPr="004614EB">
        <w:rPr>
          <w:rFonts w:ascii="Arial" w:hAnsi="Arial" w:cs="Arial"/>
        </w:rPr>
        <w:t>, University of Nairobi.</w:t>
      </w:r>
      <w:r w:rsidRPr="004614EB">
        <w:rPr>
          <w:rFonts w:ascii="Arial" w:eastAsia="Times New Roman" w:hAnsi="Arial" w:cs="Arial"/>
          <w:sz w:val="24"/>
          <w:szCs w:val="24"/>
          <w:lang w:eastAsia="en-GB"/>
        </w:rPr>
        <w:t> </w:t>
      </w:r>
      <w:r>
        <w:rPr>
          <w:rFonts w:ascii="Arial" w:hAnsi="Arial" w:cs="Arial"/>
        </w:rPr>
        <w:t xml:space="preserve">In </w:t>
      </w:r>
      <w:r w:rsidRPr="00804436">
        <w:rPr>
          <w:rFonts w:ascii="Arial" w:hAnsi="Arial" w:cs="Arial"/>
        </w:rPr>
        <w:t>Ndanyenbah and Zakaria (2019).</w:t>
      </w:r>
    </w:p>
    <w:p w14:paraId="7B8430E9" w14:textId="77777777" w:rsidR="00BB758C" w:rsidRPr="003E4014" w:rsidRDefault="00BB758C" w:rsidP="00BB758C">
      <w:pPr>
        <w:rPr>
          <w:rFonts w:ascii="Arial" w:hAnsi="Arial" w:cs="Arial"/>
        </w:rPr>
      </w:pPr>
      <w:bookmarkStart w:id="45" w:name="_Hlk71460943"/>
      <w:r w:rsidRPr="003E4014">
        <w:rPr>
          <w:rFonts w:ascii="Arial" w:hAnsi="Arial" w:cs="Arial"/>
          <w:color w:val="222222"/>
          <w:shd w:val="clear" w:color="auto" w:fill="FFFFFF"/>
        </w:rPr>
        <w:t>Kengatharan, L. and Clamenthu, D.P., 2017</w:t>
      </w:r>
      <w:bookmarkEnd w:id="45"/>
      <w:r w:rsidRPr="003E4014">
        <w:rPr>
          <w:rFonts w:ascii="Arial" w:hAnsi="Arial" w:cs="Arial"/>
          <w:color w:val="222222"/>
          <w:shd w:val="clear" w:color="auto" w:fill="FFFFFF"/>
        </w:rPr>
        <w:t xml:space="preserve">. Use of </w:t>
      </w:r>
      <w:proofErr w:type="gramStart"/>
      <w:r w:rsidRPr="003E4014">
        <w:rPr>
          <w:rFonts w:ascii="Arial" w:hAnsi="Arial" w:cs="Arial"/>
          <w:color w:val="222222"/>
          <w:shd w:val="clear" w:color="auto" w:fill="FFFFFF"/>
        </w:rPr>
        <w:t>capital investment appraisal practices</w:t>
      </w:r>
      <w:proofErr w:type="gramEnd"/>
      <w:r w:rsidRPr="003E4014">
        <w:rPr>
          <w:rFonts w:ascii="Arial" w:hAnsi="Arial" w:cs="Arial"/>
          <w:color w:val="222222"/>
          <w:shd w:val="clear" w:color="auto" w:fill="FFFFFF"/>
        </w:rPr>
        <w:t xml:space="preserve"> and effectiveness of investment decisions: a study on listed manufacturing companies in Sri Lanka. </w:t>
      </w:r>
      <w:r w:rsidRPr="003E4014">
        <w:rPr>
          <w:rFonts w:ascii="Arial" w:hAnsi="Arial" w:cs="Arial"/>
          <w:i/>
          <w:iCs/>
          <w:color w:val="222222"/>
          <w:shd w:val="clear" w:color="auto" w:fill="FFFFFF"/>
        </w:rPr>
        <w:t>University of Jaffna</w:t>
      </w:r>
      <w:r w:rsidRPr="003E4014">
        <w:rPr>
          <w:rFonts w:ascii="Arial" w:hAnsi="Arial" w:cs="Arial"/>
          <w:color w:val="222222"/>
          <w:shd w:val="clear" w:color="auto" w:fill="FFFFFF"/>
        </w:rPr>
        <w:t>.</w:t>
      </w:r>
    </w:p>
    <w:p w14:paraId="506967D7" w14:textId="1C7202B9" w:rsidR="00A376E6" w:rsidRDefault="00A376E6" w:rsidP="00004335">
      <w:pPr>
        <w:rPr>
          <w:rFonts w:ascii="Arial" w:hAnsi="Arial" w:cs="Arial"/>
        </w:rPr>
      </w:pPr>
      <w:r>
        <w:rPr>
          <w:rFonts w:ascii="Arial" w:hAnsi="Arial" w:cs="Arial"/>
        </w:rPr>
        <w:t xml:space="preserve">London South East News, (2021) </w:t>
      </w:r>
      <w:r w:rsidRPr="004D3194">
        <w:rPr>
          <w:rFonts w:ascii="Arial" w:hAnsi="Arial" w:cs="Arial"/>
          <w:i/>
          <w:iCs/>
        </w:rPr>
        <w:t>GlaxoSmithKline Share News (GSK</w:t>
      </w:r>
      <w:r>
        <w:rPr>
          <w:rFonts w:ascii="Arial" w:hAnsi="Arial" w:cs="Arial"/>
        </w:rPr>
        <w:t xml:space="preserve">). Available </w:t>
      </w:r>
      <w:proofErr w:type="gramStart"/>
      <w:r>
        <w:rPr>
          <w:rFonts w:ascii="Arial" w:hAnsi="Arial" w:cs="Arial"/>
        </w:rPr>
        <w:t>at :</w:t>
      </w:r>
      <w:r w:rsidRPr="00E94A3D">
        <w:rPr>
          <w:rFonts w:ascii="Arial" w:hAnsi="Arial" w:cs="Arial"/>
        </w:rPr>
        <w:t>https</w:t>
      </w:r>
      <w:proofErr w:type="gramEnd"/>
      <w:r w:rsidRPr="00E94A3D">
        <w:rPr>
          <w:rFonts w:ascii="Arial" w:hAnsi="Arial" w:cs="Arial"/>
        </w:rPr>
        <w:t>://www.lse.co.uk/news/GSK/top-news-glaxosmithkline-profit-up-as-joint-venture-boosts-revenue-qgq4dutip2abbl1.h</w:t>
      </w:r>
      <w:r>
        <w:rPr>
          <w:rFonts w:ascii="Arial" w:hAnsi="Arial" w:cs="Arial"/>
        </w:rPr>
        <w:t xml:space="preserve"> (Accessed: 17. 05. (2021).</w:t>
      </w:r>
    </w:p>
    <w:p w14:paraId="76424168" w14:textId="77777777" w:rsidR="005B5FF4" w:rsidRPr="00FB0EA2" w:rsidRDefault="005B5FF4" w:rsidP="005B5FF4">
      <w:pPr>
        <w:shd w:val="clear" w:color="auto" w:fill="FFFFFF"/>
        <w:spacing w:after="0" w:line="240" w:lineRule="auto"/>
        <w:rPr>
          <w:rFonts w:ascii="Arial" w:eastAsia="Times New Roman" w:hAnsi="Arial" w:cs="Arial"/>
          <w:lang w:eastAsia="en-GB"/>
        </w:rPr>
      </w:pPr>
      <w:r w:rsidRPr="00AC21D9">
        <w:rPr>
          <w:rFonts w:ascii="Arial" w:eastAsia="Times New Roman" w:hAnsi="Arial" w:cs="Arial"/>
          <w:lang w:eastAsia="en-GB"/>
        </w:rPr>
        <w:t xml:space="preserve">Mudjijah, S., Khalid, Z., </w:t>
      </w:r>
      <w:proofErr w:type="gramStart"/>
      <w:r w:rsidRPr="00AC21D9">
        <w:rPr>
          <w:rFonts w:ascii="Arial" w:eastAsia="Times New Roman" w:hAnsi="Arial" w:cs="Arial"/>
          <w:lang w:eastAsia="en-GB"/>
        </w:rPr>
        <w:t>&amp;  Astuti</w:t>
      </w:r>
      <w:proofErr w:type="gramEnd"/>
      <w:r w:rsidRPr="00AC21D9">
        <w:rPr>
          <w:rFonts w:ascii="Arial" w:eastAsia="Times New Roman" w:hAnsi="Arial" w:cs="Arial"/>
          <w:lang w:eastAsia="en-GB"/>
        </w:rPr>
        <w:t>, D. A.</w:t>
      </w:r>
      <w:r>
        <w:rPr>
          <w:rFonts w:ascii="Arial" w:eastAsia="Times New Roman" w:hAnsi="Arial" w:cs="Arial"/>
          <w:lang w:eastAsia="en-GB"/>
        </w:rPr>
        <w:t>,</w:t>
      </w:r>
      <w:r w:rsidRPr="00AC21D9">
        <w:rPr>
          <w:rFonts w:ascii="Arial" w:eastAsia="Times New Roman" w:hAnsi="Arial" w:cs="Arial"/>
          <w:lang w:eastAsia="en-GB"/>
        </w:rPr>
        <w:t xml:space="preserve"> (2019). The  Influence  of  Financial  Performance  and  Capital  Structure  on Firm Value that is Moderated by Company Size Variable. Jurnal Akuntansi dan Keuangan, 8</w:t>
      </w:r>
      <w:r w:rsidRPr="00AD3143">
        <w:rPr>
          <w:rFonts w:ascii="Arial" w:eastAsia="Times New Roman" w:hAnsi="Arial" w:cs="Arial"/>
          <w:lang w:eastAsia="en-GB"/>
        </w:rPr>
        <w:t xml:space="preserve"> </w:t>
      </w:r>
      <w:r w:rsidRPr="00AC21D9">
        <w:rPr>
          <w:rFonts w:ascii="Arial" w:eastAsia="Times New Roman" w:hAnsi="Arial" w:cs="Arial"/>
          <w:lang w:eastAsia="en-GB"/>
        </w:rPr>
        <w:t>(1), 41</w:t>
      </w:r>
      <w:r w:rsidRPr="00AD3143">
        <w:rPr>
          <w:rFonts w:ascii="Arial" w:eastAsia="Times New Roman" w:hAnsi="Arial" w:cs="Arial"/>
          <w:lang w:eastAsia="en-GB"/>
        </w:rPr>
        <w:t xml:space="preserve"> </w:t>
      </w:r>
      <w:r w:rsidRPr="00AC21D9">
        <w:rPr>
          <w:rFonts w:ascii="Arial" w:eastAsia="Times New Roman" w:hAnsi="Arial" w:cs="Arial"/>
          <w:lang w:eastAsia="en-GB"/>
        </w:rPr>
        <w:t>56.</w:t>
      </w:r>
      <w:r>
        <w:rPr>
          <w:rFonts w:ascii="Arial" w:eastAsia="Times New Roman" w:hAnsi="Arial" w:cs="Arial"/>
          <w:lang w:eastAsia="en-GB"/>
        </w:rPr>
        <w:t xml:space="preserve"> In </w:t>
      </w:r>
      <w:r w:rsidRPr="00016CAC">
        <w:rPr>
          <w:rFonts w:ascii="Arial" w:hAnsi="Arial" w:cs="Arial"/>
          <w:shd w:val="clear" w:color="auto" w:fill="FFFFFF"/>
        </w:rPr>
        <w:t xml:space="preserve">Husain, T. and Sunardi, N., </w:t>
      </w:r>
      <w:r>
        <w:rPr>
          <w:rFonts w:ascii="Arial" w:hAnsi="Arial" w:cs="Arial"/>
          <w:shd w:val="clear" w:color="auto" w:fill="FFFFFF"/>
        </w:rPr>
        <w:t>(</w:t>
      </w:r>
      <w:r w:rsidRPr="00016CAC">
        <w:rPr>
          <w:rFonts w:ascii="Arial" w:hAnsi="Arial" w:cs="Arial"/>
          <w:shd w:val="clear" w:color="auto" w:fill="FFFFFF"/>
        </w:rPr>
        <w:t>2020</w:t>
      </w:r>
      <w:r>
        <w:rPr>
          <w:rFonts w:ascii="Arial" w:hAnsi="Arial" w:cs="Arial"/>
          <w:shd w:val="clear" w:color="auto" w:fill="FFFFFF"/>
        </w:rPr>
        <w:t>).</w:t>
      </w:r>
    </w:p>
    <w:p w14:paraId="66D4330E" w14:textId="77777777" w:rsidR="005B5FF4" w:rsidRPr="00AC21D9" w:rsidRDefault="005B5FF4" w:rsidP="005B5FF4">
      <w:pPr>
        <w:shd w:val="clear" w:color="auto" w:fill="FFFFFF"/>
        <w:spacing w:after="0" w:line="240" w:lineRule="auto"/>
        <w:rPr>
          <w:rFonts w:ascii="Arial" w:eastAsia="Times New Roman" w:hAnsi="Arial" w:cs="Arial"/>
          <w:lang w:eastAsia="en-GB"/>
        </w:rPr>
      </w:pPr>
    </w:p>
    <w:p w14:paraId="296AD1B8" w14:textId="77777777" w:rsidR="002E65BA" w:rsidRPr="00004335" w:rsidRDefault="002E65BA" w:rsidP="002E65BA">
      <w:r w:rsidRPr="00A80219">
        <w:rPr>
          <w:rFonts w:ascii="Arial" w:hAnsi="Arial" w:cs="Arial"/>
          <w:color w:val="222222"/>
          <w:shd w:val="clear" w:color="auto" w:fill="FFFFFF"/>
        </w:rPr>
        <w:t xml:space="preserve">Ndanyenbah, T.Y. and Zakaria, A., 2019 </w:t>
      </w:r>
      <w:r w:rsidRPr="00382D6C">
        <w:rPr>
          <w:rFonts w:ascii="Arial" w:hAnsi="Arial" w:cs="Arial"/>
          <w:i/>
          <w:iCs/>
          <w:color w:val="222222"/>
          <w:shd w:val="clear" w:color="auto" w:fill="FFFFFF"/>
        </w:rPr>
        <w:t>Application of Investment Appraisal Techniques by Small and Medium Enterprises (SMEs) Operators in the Tamale Metropolis, Ghana</w:t>
      </w:r>
      <w:r w:rsidRPr="00A80219">
        <w:rPr>
          <w:rFonts w:ascii="Arial" w:hAnsi="Arial" w:cs="Arial"/>
          <w:color w:val="222222"/>
          <w:shd w:val="clear" w:color="auto" w:fill="FFFFFF"/>
        </w:rPr>
        <w:t>.</w:t>
      </w:r>
    </w:p>
    <w:p w14:paraId="61F18F52" w14:textId="6222AF02" w:rsidR="00004335" w:rsidRDefault="00004335" w:rsidP="00004335">
      <w:pPr>
        <w:rPr>
          <w:rFonts w:ascii="Arial" w:hAnsi="Arial" w:cs="Arial"/>
        </w:rPr>
      </w:pPr>
      <w:r w:rsidRPr="006F5731">
        <w:rPr>
          <w:rFonts w:ascii="Arial" w:hAnsi="Arial" w:cs="Arial"/>
        </w:rPr>
        <w:t>Pandey, I. M.</w:t>
      </w:r>
      <w:r w:rsidR="000B7507">
        <w:rPr>
          <w:rFonts w:ascii="Arial" w:hAnsi="Arial" w:cs="Arial"/>
        </w:rPr>
        <w:t>,</w:t>
      </w:r>
      <w:r w:rsidRPr="006F5731">
        <w:rPr>
          <w:rFonts w:ascii="Arial" w:hAnsi="Arial" w:cs="Arial"/>
        </w:rPr>
        <w:t xml:space="preserve"> (2010) </w:t>
      </w:r>
      <w:r w:rsidRPr="00FB622D">
        <w:rPr>
          <w:rFonts w:ascii="Arial" w:hAnsi="Arial" w:cs="Arial"/>
          <w:i/>
          <w:iCs/>
        </w:rPr>
        <w:t>Financial management. New Delhi</w:t>
      </w:r>
      <w:r w:rsidRPr="006F5731">
        <w:rPr>
          <w:rFonts w:ascii="Arial" w:hAnsi="Arial" w:cs="Arial"/>
        </w:rPr>
        <w:t>: Vikas Publishing House PVT Ltd.</w:t>
      </w:r>
      <w:r>
        <w:rPr>
          <w:rFonts w:ascii="Arial" w:hAnsi="Arial" w:cs="Arial"/>
        </w:rPr>
        <w:t xml:space="preserve"> </w:t>
      </w:r>
      <w:bookmarkStart w:id="46" w:name="_Hlk71456651"/>
      <w:r>
        <w:rPr>
          <w:rFonts w:ascii="Arial" w:hAnsi="Arial" w:cs="Arial"/>
        </w:rPr>
        <w:t xml:space="preserve">In </w:t>
      </w:r>
      <w:r w:rsidRPr="00804436">
        <w:rPr>
          <w:rFonts w:ascii="Arial" w:hAnsi="Arial" w:cs="Arial"/>
        </w:rPr>
        <w:t>Ndanyenbah and Zakaria (2019).</w:t>
      </w:r>
    </w:p>
    <w:bookmarkEnd w:id="46"/>
    <w:p w14:paraId="396773EB" w14:textId="6445CFEE" w:rsidR="00DC0CD2" w:rsidRDefault="00883624" w:rsidP="007250A3">
      <w:pPr>
        <w:rPr>
          <w:rFonts w:ascii="Arial" w:hAnsi="Arial" w:cs="Arial"/>
        </w:rPr>
      </w:pPr>
      <w:r w:rsidRPr="00804436">
        <w:rPr>
          <w:rFonts w:ascii="Arial" w:hAnsi="Arial" w:cs="Arial"/>
        </w:rPr>
        <w:t>Peterson, P.P. and Fabozzi, F.J.</w:t>
      </w:r>
      <w:r w:rsidR="00F55DC4">
        <w:rPr>
          <w:rFonts w:ascii="Arial" w:hAnsi="Arial" w:cs="Arial"/>
        </w:rPr>
        <w:t>,</w:t>
      </w:r>
      <w:r w:rsidRPr="00804436">
        <w:rPr>
          <w:rFonts w:ascii="Arial" w:hAnsi="Arial" w:cs="Arial"/>
        </w:rPr>
        <w:t xml:space="preserve"> (2002) </w:t>
      </w:r>
      <w:r w:rsidRPr="00F55DC4">
        <w:rPr>
          <w:rFonts w:ascii="Arial" w:hAnsi="Arial" w:cs="Arial"/>
          <w:i/>
          <w:iCs/>
        </w:rPr>
        <w:t>Capital budgeting: Theory and practice</w:t>
      </w:r>
      <w:r w:rsidRPr="00804436">
        <w:rPr>
          <w:rFonts w:ascii="Arial" w:hAnsi="Arial" w:cs="Arial"/>
        </w:rPr>
        <w:t xml:space="preserve">. New York, </w:t>
      </w:r>
    </w:p>
    <w:p w14:paraId="44D5674E" w14:textId="07420306" w:rsidR="00DC0CD2" w:rsidRPr="0031164B" w:rsidRDefault="00DC0CD2" w:rsidP="00DC0CD2">
      <w:pPr>
        <w:rPr>
          <w:rFonts w:ascii="Arial" w:hAnsi="Arial" w:cs="Arial"/>
          <w:i/>
          <w:iCs/>
          <w:color w:val="000000" w:themeColor="text1"/>
          <w:sz w:val="23"/>
          <w:szCs w:val="23"/>
          <w:shd w:val="clear" w:color="auto" w:fill="FFFFFF"/>
        </w:rPr>
      </w:pPr>
      <w:r w:rsidRPr="0059350F">
        <w:rPr>
          <w:rFonts w:ascii="Arial" w:hAnsi="Arial" w:cs="Arial"/>
          <w:color w:val="000000" w:themeColor="text1"/>
          <w:sz w:val="23"/>
          <w:szCs w:val="23"/>
          <w:shd w:val="clear" w:color="auto" w:fill="FFFFFF"/>
        </w:rPr>
        <w:t xml:space="preserve">Petri, P, K., (2020) </w:t>
      </w:r>
      <w:r w:rsidRPr="0059350F">
        <w:rPr>
          <w:rFonts w:ascii="Arial" w:hAnsi="Arial" w:cs="Arial"/>
          <w:i/>
          <w:iCs/>
          <w:color w:val="000000" w:themeColor="text1"/>
          <w:sz w:val="23"/>
          <w:szCs w:val="23"/>
          <w:shd w:val="clear" w:color="auto" w:fill="FFFFFF"/>
        </w:rPr>
        <w:t>Net present value of multiannual growth in the absence of periodic boundary conditions</w:t>
      </w:r>
      <w:r w:rsidRPr="0059350F">
        <w:rPr>
          <w:rFonts w:ascii="Arial" w:hAnsi="Arial" w:cs="Arial"/>
          <w:color w:val="000000" w:themeColor="text1"/>
          <w:sz w:val="23"/>
          <w:szCs w:val="23"/>
          <w:shd w:val="clear" w:color="auto" w:fill="FFFFFF"/>
        </w:rPr>
        <w:t>. Agricultural finance review, 81(1), pp.39–50.</w:t>
      </w:r>
    </w:p>
    <w:p w14:paraId="4826A81D" w14:textId="77777777" w:rsidR="0031164B" w:rsidRPr="0031164B" w:rsidRDefault="0031164B" w:rsidP="0031164B">
      <w:pPr>
        <w:rPr>
          <w:rFonts w:ascii="Arial" w:hAnsi="Arial" w:cs="Arial"/>
        </w:rPr>
      </w:pPr>
      <w:r>
        <w:rPr>
          <w:rFonts w:ascii="Arial" w:hAnsi="Arial" w:cs="Arial"/>
        </w:rPr>
        <w:t xml:space="preserve">Pharma Live, (2020) GlaxoSmithKline 2020: Preparing for the Future. </w:t>
      </w:r>
      <w:proofErr w:type="gramStart"/>
      <w:r>
        <w:rPr>
          <w:rFonts w:ascii="Arial" w:hAnsi="Arial" w:cs="Arial"/>
        </w:rPr>
        <w:t>Available at :</w:t>
      </w:r>
      <w:proofErr w:type="gramEnd"/>
      <w:r w:rsidR="00004D40">
        <w:fldChar w:fldCharType="begin"/>
      </w:r>
      <w:r w:rsidR="00004D40">
        <w:instrText xml:space="preserve"> HYPERLINK "https://www.pharmalive.com/glaxosmithkline-2020-preparing-for-the-future/" </w:instrText>
      </w:r>
      <w:r w:rsidR="00004D40">
        <w:fldChar w:fldCharType="separate"/>
      </w:r>
      <w:r w:rsidRPr="000323BA">
        <w:rPr>
          <w:rFonts w:ascii="Arial" w:hAnsi="Arial" w:cs="Arial"/>
          <w:color w:val="0000FF"/>
          <w:u w:val="single"/>
        </w:rPr>
        <w:t>GlaxoSmithKline 2020: Preparing for the future – PharmaLive</w:t>
      </w:r>
      <w:r w:rsidR="00004D40">
        <w:rPr>
          <w:rFonts w:ascii="Arial" w:hAnsi="Arial" w:cs="Arial"/>
          <w:color w:val="0000FF"/>
          <w:u w:val="single"/>
        </w:rPr>
        <w:fldChar w:fldCharType="end"/>
      </w:r>
      <w:r>
        <w:rPr>
          <w:rFonts w:ascii="Arial" w:hAnsi="Arial" w:cs="Arial"/>
        </w:rPr>
        <w:t xml:space="preserve"> </w:t>
      </w:r>
      <w:r>
        <w:t>(</w:t>
      </w:r>
      <w:r>
        <w:rPr>
          <w:rFonts w:ascii="Arial" w:hAnsi="Arial" w:cs="Arial"/>
        </w:rPr>
        <w:t>Accessed: 14. 05. 2021)</w:t>
      </w:r>
    </w:p>
    <w:p w14:paraId="40B21FB1" w14:textId="77777777" w:rsidR="00D12388" w:rsidRPr="004F0EB9" w:rsidRDefault="00D12388" w:rsidP="00D12388">
      <w:pPr>
        <w:rPr>
          <w:rFonts w:ascii="Arial" w:hAnsi="Arial" w:cs="Arial"/>
          <w:color w:val="222222"/>
          <w:shd w:val="clear" w:color="auto" w:fill="FFFFFF"/>
        </w:rPr>
      </w:pPr>
      <w:r w:rsidRPr="004F0EB9">
        <w:rPr>
          <w:rFonts w:ascii="Arial" w:hAnsi="Arial" w:cs="Arial"/>
          <w:color w:val="222222"/>
          <w:shd w:val="clear" w:color="auto" w:fill="FFFFFF"/>
        </w:rPr>
        <w:t>Rahardjo, T.H., Bangun, N. and Amalia, T.H., Effect of Firm Size, Gearing Ratio, and Gender Diversity on Extent of Risk Disclosure. </w:t>
      </w:r>
      <w:r w:rsidRPr="004F0EB9">
        <w:rPr>
          <w:rFonts w:ascii="Arial" w:hAnsi="Arial" w:cs="Arial"/>
          <w:i/>
          <w:iCs/>
          <w:color w:val="222222"/>
          <w:shd w:val="clear" w:color="auto" w:fill="FFFFFF"/>
        </w:rPr>
        <w:t>Effect of Firm Size, Gearing Ratio, and Gender Diversity on Extent of Risk Disclosure</w:t>
      </w:r>
      <w:r w:rsidRPr="004F0EB9">
        <w:rPr>
          <w:rFonts w:ascii="Arial" w:hAnsi="Arial" w:cs="Arial"/>
          <w:color w:val="222222"/>
          <w:shd w:val="clear" w:color="auto" w:fill="FFFFFF"/>
        </w:rPr>
        <w:t>.</w:t>
      </w:r>
    </w:p>
    <w:p w14:paraId="5C4CE3C4" w14:textId="7155B9AB" w:rsidR="00446B13" w:rsidRPr="004F0EB9" w:rsidRDefault="00446B13" w:rsidP="007250A3">
      <w:pPr>
        <w:rPr>
          <w:rFonts w:ascii="Arial" w:hAnsi="Arial" w:cs="Arial"/>
          <w:color w:val="000000" w:themeColor="text1"/>
          <w:shd w:val="clear" w:color="auto" w:fill="FFFFFF"/>
        </w:rPr>
      </w:pPr>
      <w:r w:rsidRPr="004F0EB9">
        <w:rPr>
          <w:rFonts w:ascii="Arial" w:hAnsi="Arial" w:cs="Arial"/>
          <w:color w:val="000000" w:themeColor="text1"/>
          <w:sz w:val="23"/>
          <w:szCs w:val="23"/>
          <w:shd w:val="clear" w:color="auto" w:fill="FFFFFF"/>
        </w:rPr>
        <w:t>Rich,</w:t>
      </w:r>
      <w:r w:rsidR="00EB1943" w:rsidRPr="004F0EB9">
        <w:rPr>
          <w:rFonts w:ascii="Arial" w:hAnsi="Arial" w:cs="Arial"/>
          <w:color w:val="000000" w:themeColor="text1"/>
          <w:sz w:val="23"/>
          <w:szCs w:val="23"/>
          <w:shd w:val="clear" w:color="auto" w:fill="FFFFFF"/>
        </w:rPr>
        <w:t xml:space="preserve"> et al.,</w:t>
      </w:r>
      <w:r w:rsidRPr="004F0EB9">
        <w:rPr>
          <w:rFonts w:ascii="Arial" w:hAnsi="Arial" w:cs="Arial"/>
          <w:color w:val="000000" w:themeColor="text1"/>
          <w:sz w:val="23"/>
          <w:szCs w:val="23"/>
          <w:shd w:val="clear" w:color="auto" w:fill="FFFFFF"/>
        </w:rPr>
        <w:t xml:space="preserve"> </w:t>
      </w:r>
      <w:r w:rsidR="00EB1943" w:rsidRPr="004F0EB9">
        <w:rPr>
          <w:rFonts w:ascii="Arial" w:hAnsi="Arial" w:cs="Arial"/>
          <w:color w:val="000000" w:themeColor="text1"/>
          <w:sz w:val="23"/>
          <w:szCs w:val="23"/>
          <w:shd w:val="clear" w:color="auto" w:fill="FFFFFF"/>
        </w:rPr>
        <w:t>(</w:t>
      </w:r>
      <w:r w:rsidRPr="004F0EB9">
        <w:rPr>
          <w:rFonts w:ascii="Arial" w:hAnsi="Arial" w:cs="Arial"/>
          <w:color w:val="000000" w:themeColor="text1"/>
          <w:sz w:val="23"/>
          <w:szCs w:val="23"/>
          <w:shd w:val="clear" w:color="auto" w:fill="FFFFFF"/>
        </w:rPr>
        <w:t>2018</w:t>
      </w:r>
      <w:r w:rsidR="00EB1943" w:rsidRPr="004F0EB9">
        <w:rPr>
          <w:rFonts w:ascii="Arial" w:hAnsi="Arial" w:cs="Arial"/>
          <w:color w:val="000000" w:themeColor="text1"/>
          <w:sz w:val="23"/>
          <w:szCs w:val="23"/>
          <w:shd w:val="clear" w:color="auto" w:fill="FFFFFF"/>
        </w:rPr>
        <w:t>)</w:t>
      </w:r>
      <w:r w:rsidRPr="004F0EB9">
        <w:rPr>
          <w:rFonts w:ascii="Arial" w:hAnsi="Arial" w:cs="Arial"/>
          <w:color w:val="000000" w:themeColor="text1"/>
          <w:sz w:val="23"/>
          <w:szCs w:val="23"/>
          <w:shd w:val="clear" w:color="auto" w:fill="FFFFFF"/>
        </w:rPr>
        <w:t xml:space="preserve"> Net Present Value Analysis in Finance and Real Estate: A Clash of Methodologies. </w:t>
      </w:r>
      <w:r w:rsidRPr="004F0EB9">
        <w:rPr>
          <w:rFonts w:ascii="Arial" w:hAnsi="Arial" w:cs="Arial"/>
          <w:i/>
          <w:iCs/>
          <w:color w:val="000000" w:themeColor="text1"/>
          <w:sz w:val="23"/>
          <w:szCs w:val="23"/>
          <w:shd w:val="clear" w:color="auto" w:fill="FFFFFF"/>
        </w:rPr>
        <w:t>The journal of real estate portfolio management</w:t>
      </w:r>
      <w:r w:rsidRPr="004F0EB9">
        <w:rPr>
          <w:rFonts w:ascii="Arial" w:hAnsi="Arial" w:cs="Arial"/>
          <w:color w:val="000000" w:themeColor="text1"/>
          <w:sz w:val="23"/>
          <w:szCs w:val="23"/>
          <w:shd w:val="clear" w:color="auto" w:fill="FFFFFF"/>
        </w:rPr>
        <w:t>, 24(1), pp.83–94.</w:t>
      </w:r>
    </w:p>
    <w:p w14:paraId="033F24C6" w14:textId="77777777" w:rsidR="0031467C" w:rsidRDefault="0031467C" w:rsidP="0048190B">
      <w:pPr>
        <w:shd w:val="clear" w:color="auto" w:fill="FFFFFF"/>
        <w:spacing w:after="0" w:line="240" w:lineRule="auto"/>
        <w:rPr>
          <w:rFonts w:ascii="Arial" w:eastAsia="Times New Roman" w:hAnsi="Arial" w:cs="Arial"/>
          <w:lang w:eastAsia="en-GB"/>
        </w:rPr>
      </w:pPr>
    </w:p>
    <w:p w14:paraId="5D2B6B9F" w14:textId="287264CC" w:rsidR="0048190B" w:rsidRPr="001C728E" w:rsidRDefault="0048190B" w:rsidP="0048190B">
      <w:pPr>
        <w:shd w:val="clear" w:color="auto" w:fill="FFFFFF"/>
        <w:spacing w:after="0" w:line="240" w:lineRule="auto"/>
        <w:rPr>
          <w:rFonts w:ascii="Arial" w:eastAsia="Times New Roman" w:hAnsi="Arial" w:cs="Arial"/>
          <w:lang w:eastAsia="en-GB"/>
        </w:rPr>
      </w:pPr>
      <w:r w:rsidRPr="001C728E">
        <w:rPr>
          <w:rFonts w:ascii="Arial" w:eastAsia="Times New Roman" w:hAnsi="Arial" w:cs="Arial"/>
          <w:lang w:eastAsia="en-GB"/>
        </w:rPr>
        <w:t>Sartono, R. A. (2014)</w:t>
      </w:r>
      <w:r w:rsidRPr="00C860B7">
        <w:rPr>
          <w:rFonts w:ascii="Arial" w:eastAsia="Times New Roman" w:hAnsi="Arial" w:cs="Arial"/>
          <w:lang w:eastAsia="en-GB"/>
        </w:rPr>
        <w:t xml:space="preserve"> </w:t>
      </w:r>
      <w:r w:rsidRPr="001C728E">
        <w:rPr>
          <w:rFonts w:ascii="Arial" w:eastAsia="Times New Roman" w:hAnsi="Arial" w:cs="Arial"/>
          <w:lang w:eastAsia="en-GB"/>
        </w:rPr>
        <w:t>Manajemen Keuangan Teori dan Aplikasi (Edisi 4).</w:t>
      </w:r>
    </w:p>
    <w:p w14:paraId="65CC9F1B" w14:textId="77777777" w:rsidR="0048190B" w:rsidRPr="001C728E" w:rsidRDefault="0048190B" w:rsidP="0048190B">
      <w:pPr>
        <w:shd w:val="clear" w:color="auto" w:fill="FFFFFF"/>
        <w:spacing w:after="0" w:line="240" w:lineRule="auto"/>
        <w:rPr>
          <w:rFonts w:ascii="Arial" w:eastAsia="Times New Roman" w:hAnsi="Arial" w:cs="Arial"/>
          <w:lang w:eastAsia="en-GB"/>
        </w:rPr>
      </w:pPr>
      <w:r w:rsidRPr="001C728E">
        <w:rPr>
          <w:rFonts w:ascii="Arial" w:eastAsia="Times New Roman" w:hAnsi="Arial" w:cs="Arial"/>
          <w:lang w:eastAsia="en-GB"/>
        </w:rPr>
        <w:t>Yogyakarta: BPFE Yogyakarta.</w:t>
      </w:r>
    </w:p>
    <w:p w14:paraId="3C539FFB" w14:textId="652C13BC" w:rsidR="00EA6171" w:rsidRDefault="00EA6171" w:rsidP="00EA6171">
      <w:pPr>
        <w:rPr>
          <w:rFonts w:ascii="Arial" w:hAnsi="Arial" w:cs="Arial"/>
        </w:rPr>
      </w:pPr>
      <w:r w:rsidRPr="0095751A">
        <w:rPr>
          <w:rFonts w:ascii="Arial" w:hAnsi="Arial" w:cs="Arial"/>
        </w:rPr>
        <w:t xml:space="preserve">The </w:t>
      </w:r>
      <w:proofErr w:type="gramStart"/>
      <w:r w:rsidRPr="0095751A">
        <w:rPr>
          <w:rFonts w:ascii="Arial" w:hAnsi="Arial" w:cs="Arial"/>
        </w:rPr>
        <w:t>Independent.,</w:t>
      </w:r>
      <w:proofErr w:type="gramEnd"/>
      <w:r w:rsidRPr="0095751A">
        <w:rPr>
          <w:rFonts w:ascii="Arial" w:hAnsi="Arial" w:cs="Arial"/>
        </w:rPr>
        <w:t xml:space="preserve"> (2015)</w:t>
      </w:r>
      <w:r>
        <w:rPr>
          <w:rFonts w:ascii="Arial" w:hAnsi="Arial" w:cs="Arial"/>
          <w:i/>
          <w:iCs/>
        </w:rPr>
        <w:t xml:space="preserve"> </w:t>
      </w:r>
      <w:r w:rsidRPr="00631FA7">
        <w:rPr>
          <w:rFonts w:ascii="Arial" w:hAnsi="Arial" w:cs="Arial"/>
          <w:i/>
          <w:iCs/>
        </w:rPr>
        <w:t>GlaxoSmithKline: A Drugs Giant That Puts The Lives of Poor Before The Money Of The</w:t>
      </w:r>
      <w:r>
        <w:rPr>
          <w:rFonts w:ascii="Arial" w:hAnsi="Arial" w:cs="Arial"/>
        </w:rPr>
        <w:t xml:space="preserve"> </w:t>
      </w:r>
      <w:r w:rsidRPr="00631FA7">
        <w:rPr>
          <w:rFonts w:ascii="Arial" w:hAnsi="Arial" w:cs="Arial"/>
          <w:i/>
          <w:iCs/>
        </w:rPr>
        <w:t>Rich.</w:t>
      </w:r>
      <w:r>
        <w:rPr>
          <w:rFonts w:ascii="Arial" w:hAnsi="Arial" w:cs="Arial"/>
        </w:rPr>
        <w:t xml:space="preserve"> </w:t>
      </w:r>
      <w:proofErr w:type="gramStart"/>
      <w:r>
        <w:rPr>
          <w:rFonts w:ascii="Arial" w:hAnsi="Arial" w:cs="Arial"/>
        </w:rPr>
        <w:t>Available at :</w:t>
      </w:r>
      <w:proofErr w:type="gramEnd"/>
      <w:r w:rsidR="00004D40">
        <w:fldChar w:fldCharType="begin"/>
      </w:r>
      <w:r w:rsidR="00004D40">
        <w:instrText xml:space="preserve"> HYPERLINK "https://www.independent.co.uk/life-style/health-and-families/health-news/glaxosmithkline-drugs-giant-puts-lives-p" </w:instrText>
      </w:r>
      <w:r w:rsidR="00004D40">
        <w:fldChar w:fldCharType="separate"/>
      </w:r>
      <w:r w:rsidRPr="000A5D3A">
        <w:rPr>
          <w:rStyle w:val="Hyperlink"/>
          <w:rFonts w:ascii="Arial" w:hAnsi="Arial" w:cs="Arial"/>
        </w:rPr>
        <w:t>https://www.independent.co.uk/life-style/health-and-families/health-news/glaxosmithkline-drugs-giant-puts-lives-p</w:t>
      </w:r>
      <w:r w:rsidR="00004D40">
        <w:rPr>
          <w:rStyle w:val="Hyperlink"/>
          <w:rFonts w:ascii="Arial" w:hAnsi="Arial" w:cs="Arial"/>
        </w:rPr>
        <w:fldChar w:fldCharType="end"/>
      </w:r>
      <w:r>
        <w:rPr>
          <w:rStyle w:val="Hyperlink"/>
          <w:rFonts w:ascii="Arial" w:hAnsi="Arial" w:cs="Arial"/>
        </w:rPr>
        <w:t xml:space="preserve"> </w:t>
      </w:r>
      <w:r w:rsidRPr="00EA6171">
        <w:rPr>
          <w:rFonts w:ascii="Arial" w:hAnsi="Arial" w:cs="Arial"/>
        </w:rPr>
        <w:t>(Accessed: 17. 05. 2021).</w:t>
      </w:r>
    </w:p>
    <w:p w14:paraId="08E4E041" w14:textId="77777777" w:rsidR="0031467C" w:rsidRDefault="0031467C" w:rsidP="0031467C">
      <w:pPr>
        <w:shd w:val="clear" w:color="auto" w:fill="FFFFFF"/>
        <w:spacing w:after="0" w:line="240" w:lineRule="auto"/>
        <w:rPr>
          <w:rFonts w:ascii="Arial" w:hAnsi="Arial" w:cs="Arial"/>
          <w:shd w:val="clear" w:color="auto" w:fill="FFFFFF"/>
        </w:rPr>
      </w:pPr>
    </w:p>
    <w:p w14:paraId="0D58251C" w14:textId="0A47FE47" w:rsidR="00095486" w:rsidRPr="00C706A4" w:rsidRDefault="0031467C" w:rsidP="00C706A4">
      <w:pPr>
        <w:shd w:val="clear" w:color="auto" w:fill="FFFFFF"/>
        <w:spacing w:after="0" w:line="240" w:lineRule="auto"/>
        <w:rPr>
          <w:rFonts w:ascii="Arial" w:eastAsia="Times New Roman" w:hAnsi="Arial" w:cs="Arial"/>
          <w:lang w:eastAsia="en-GB"/>
        </w:rPr>
      </w:pPr>
      <w:r w:rsidRPr="00E52819">
        <w:rPr>
          <w:rFonts w:ascii="Arial" w:hAnsi="Arial" w:cs="Arial"/>
          <w:shd w:val="clear" w:color="auto" w:fill="FFFFFF"/>
        </w:rPr>
        <w:t>T</w:t>
      </w:r>
      <w:r w:rsidRPr="00BB28A6">
        <w:rPr>
          <w:rFonts w:ascii="Arial" w:eastAsia="Times New Roman" w:hAnsi="Arial" w:cs="Arial"/>
          <w:color w:val="000000"/>
          <w:lang w:eastAsia="en-GB"/>
        </w:rPr>
        <w:t>itman, S., Keown, A. J., &amp; Martin</w:t>
      </w:r>
      <w:proofErr w:type="gramStart"/>
      <w:r w:rsidRPr="00BB28A6">
        <w:rPr>
          <w:rFonts w:ascii="Arial" w:eastAsia="Times New Roman" w:hAnsi="Arial" w:cs="Arial"/>
          <w:color w:val="000000"/>
          <w:lang w:eastAsia="en-GB"/>
        </w:rPr>
        <w:t>,  J</w:t>
      </w:r>
      <w:proofErr w:type="gramEnd"/>
      <w:r w:rsidRPr="00BB28A6">
        <w:rPr>
          <w:rFonts w:ascii="Arial" w:eastAsia="Times New Roman" w:hAnsi="Arial" w:cs="Arial"/>
          <w:color w:val="000000"/>
          <w:lang w:eastAsia="en-GB"/>
        </w:rPr>
        <w:t>. D. (2013) Financial Management Principles and  Applications</w:t>
      </w:r>
      <w:r w:rsidRPr="00E52819">
        <w:rPr>
          <w:rFonts w:ascii="Arial" w:eastAsia="Times New Roman" w:hAnsi="Arial" w:cs="Arial"/>
          <w:color w:val="000000"/>
          <w:lang w:eastAsia="en-GB"/>
        </w:rPr>
        <w:t xml:space="preserve"> </w:t>
      </w:r>
      <w:r w:rsidRPr="00BB28A6">
        <w:rPr>
          <w:rFonts w:ascii="Arial" w:eastAsia="Times New Roman" w:hAnsi="Arial" w:cs="Arial"/>
          <w:color w:val="000000"/>
          <w:lang w:eastAsia="en-GB"/>
        </w:rPr>
        <w:t>(12  ed.). Boston, USA: Prentice-Hall.</w:t>
      </w:r>
      <w:r w:rsidRPr="00413C8D">
        <w:rPr>
          <w:rFonts w:ascii="Arial" w:eastAsia="Times New Roman" w:hAnsi="Arial" w:cs="Arial"/>
          <w:lang w:eastAsia="en-GB"/>
        </w:rPr>
        <w:t xml:space="preserve"> </w:t>
      </w:r>
      <w:r>
        <w:rPr>
          <w:rFonts w:ascii="Arial" w:eastAsia="Times New Roman" w:hAnsi="Arial" w:cs="Arial"/>
          <w:lang w:eastAsia="en-GB"/>
        </w:rPr>
        <w:t xml:space="preserve">In </w:t>
      </w:r>
      <w:r w:rsidRPr="00016CAC">
        <w:rPr>
          <w:rFonts w:ascii="Arial" w:hAnsi="Arial" w:cs="Arial"/>
          <w:shd w:val="clear" w:color="auto" w:fill="FFFFFF"/>
        </w:rPr>
        <w:t xml:space="preserve">Husain, T. and Sunardi, N., </w:t>
      </w:r>
      <w:r>
        <w:rPr>
          <w:rFonts w:ascii="Arial" w:hAnsi="Arial" w:cs="Arial"/>
          <w:shd w:val="clear" w:color="auto" w:fill="FFFFFF"/>
        </w:rPr>
        <w:t>(</w:t>
      </w:r>
      <w:r w:rsidRPr="00016CAC">
        <w:rPr>
          <w:rFonts w:ascii="Arial" w:hAnsi="Arial" w:cs="Arial"/>
          <w:shd w:val="clear" w:color="auto" w:fill="FFFFFF"/>
        </w:rPr>
        <w:t>2020</w:t>
      </w:r>
      <w:r>
        <w:rPr>
          <w:rFonts w:ascii="Arial" w:hAnsi="Arial" w:cs="Arial"/>
          <w:shd w:val="clear" w:color="auto" w:fill="FFFFFF"/>
        </w:rPr>
        <w:t>).</w:t>
      </w:r>
    </w:p>
    <w:p w14:paraId="32CF19DD" w14:textId="3BD8F5BD" w:rsidR="002401E4" w:rsidRPr="0050346F" w:rsidRDefault="002401E4" w:rsidP="002401E4">
      <w:pPr>
        <w:rPr>
          <w:rFonts w:ascii="Arial" w:hAnsi="Arial" w:cs="Arial"/>
          <w:i/>
          <w:iCs/>
          <w:color w:val="222222"/>
          <w:shd w:val="clear" w:color="auto" w:fill="FFFFFF"/>
        </w:rPr>
      </w:pPr>
      <w:r w:rsidRPr="00434FA6">
        <w:rPr>
          <w:rFonts w:ascii="Arial" w:hAnsi="Arial" w:cs="Arial"/>
          <w:color w:val="222222"/>
          <w:shd w:val="clear" w:color="auto" w:fill="FFFFFF"/>
        </w:rPr>
        <w:lastRenderedPageBreak/>
        <w:t xml:space="preserve">Wambua, P.M. and Koori, J., 2018 </w:t>
      </w:r>
      <w:r w:rsidRPr="0050346F">
        <w:rPr>
          <w:rFonts w:ascii="Arial" w:hAnsi="Arial" w:cs="Arial"/>
          <w:i/>
          <w:iCs/>
          <w:color w:val="222222"/>
          <w:shd w:val="clear" w:color="auto" w:fill="FFFFFF"/>
        </w:rPr>
        <w:t>Investment Appraisal Techniques and Financial Performance of Small and Medium Enterprises in Nairobi City County, Kenya.</w:t>
      </w:r>
    </w:p>
    <w:p w14:paraId="1415840F" w14:textId="66158A7F" w:rsidR="00004335" w:rsidRDefault="00004335" w:rsidP="00004335">
      <w:pPr>
        <w:rPr>
          <w:rFonts w:ascii="Arial" w:hAnsi="Arial" w:cs="Arial"/>
        </w:rPr>
      </w:pPr>
      <w:r w:rsidRPr="00F62114">
        <w:rPr>
          <w:rFonts w:ascii="Arial" w:hAnsi="Arial" w:cs="Arial"/>
        </w:rPr>
        <w:t xml:space="preserve">Watson, D. and Head, A. (2007), </w:t>
      </w:r>
      <w:r w:rsidRPr="00F265A2">
        <w:rPr>
          <w:rFonts w:ascii="Arial" w:hAnsi="Arial" w:cs="Arial"/>
          <w:i/>
          <w:iCs/>
        </w:rPr>
        <w:t>Corporate Finance– Principles and Practices,</w:t>
      </w:r>
      <w:r w:rsidRPr="00F62114">
        <w:rPr>
          <w:rFonts w:ascii="Arial" w:hAnsi="Arial" w:cs="Arial"/>
        </w:rPr>
        <w:t xml:space="preserve"> 4th ed., FT Prentice Hall, UK. </w:t>
      </w:r>
      <w:bookmarkStart w:id="47" w:name="_Hlk71456872"/>
      <w:r>
        <w:rPr>
          <w:rFonts w:ascii="Arial" w:hAnsi="Arial" w:cs="Arial"/>
        </w:rPr>
        <w:t xml:space="preserve">In </w:t>
      </w:r>
      <w:r w:rsidRPr="00804436">
        <w:rPr>
          <w:rFonts w:ascii="Arial" w:hAnsi="Arial" w:cs="Arial"/>
        </w:rPr>
        <w:t>Ndanyenbah and Zakaria (2019).</w:t>
      </w:r>
      <w:bookmarkEnd w:id="47"/>
    </w:p>
    <w:p w14:paraId="24A2E1D1" w14:textId="6287D601" w:rsidR="007250A3" w:rsidRDefault="007250A3" w:rsidP="007250A3">
      <w:pPr>
        <w:rPr>
          <w:rFonts w:ascii="Arial" w:hAnsi="Arial" w:cs="Arial"/>
        </w:rPr>
      </w:pPr>
      <w:r>
        <w:rPr>
          <w:rFonts w:ascii="Arial" w:hAnsi="Arial" w:cs="Arial"/>
        </w:rPr>
        <w:t xml:space="preserve">Weetman, P. (2013) </w:t>
      </w:r>
      <w:r w:rsidRPr="00937B9F">
        <w:rPr>
          <w:rFonts w:ascii="Arial" w:hAnsi="Arial" w:cs="Arial"/>
          <w:i/>
          <w:iCs/>
        </w:rPr>
        <w:t>Fi</w:t>
      </w:r>
      <w:r>
        <w:rPr>
          <w:rFonts w:ascii="Arial" w:hAnsi="Arial" w:cs="Arial"/>
          <w:i/>
          <w:iCs/>
        </w:rPr>
        <w:t>nancial and management a</w:t>
      </w:r>
      <w:r w:rsidRPr="00937B9F">
        <w:rPr>
          <w:rFonts w:ascii="Arial" w:hAnsi="Arial" w:cs="Arial"/>
          <w:i/>
          <w:iCs/>
        </w:rPr>
        <w:t>ccounting</w:t>
      </w:r>
      <w:r>
        <w:rPr>
          <w:rFonts w:ascii="Arial" w:hAnsi="Arial" w:cs="Arial"/>
          <w:i/>
          <w:iCs/>
        </w:rPr>
        <w:t xml:space="preserve"> an introduction</w:t>
      </w:r>
      <w:r>
        <w:rPr>
          <w:rFonts w:ascii="Arial" w:hAnsi="Arial" w:cs="Arial"/>
        </w:rPr>
        <w:t xml:space="preserve"> 6</w:t>
      </w:r>
      <w:r w:rsidRPr="001876C7">
        <w:rPr>
          <w:rFonts w:ascii="Arial" w:hAnsi="Arial" w:cs="Arial"/>
          <w:vertAlign w:val="superscript"/>
        </w:rPr>
        <w:t>th</w:t>
      </w:r>
      <w:r>
        <w:rPr>
          <w:rFonts w:ascii="Arial" w:hAnsi="Arial" w:cs="Arial"/>
        </w:rPr>
        <w:t xml:space="preserve"> Edition</w:t>
      </w:r>
      <w:r>
        <w:rPr>
          <w:rFonts w:ascii="Arial" w:hAnsi="Arial" w:cs="Arial"/>
          <w:i/>
          <w:iCs/>
        </w:rPr>
        <w:t xml:space="preserve"> </w:t>
      </w:r>
      <w:r>
        <w:rPr>
          <w:rFonts w:ascii="Arial" w:hAnsi="Arial" w:cs="Arial"/>
        </w:rPr>
        <w:t>United Kingdom Pearson Education Ltd.</w:t>
      </w:r>
    </w:p>
    <w:p w14:paraId="7D94F565" w14:textId="77777777" w:rsidR="008C16C6" w:rsidRDefault="008C16C6" w:rsidP="008C16C6">
      <w:pPr>
        <w:rPr>
          <w:rFonts w:ascii="Arial" w:hAnsi="Arial" w:cs="Arial"/>
        </w:rPr>
      </w:pPr>
      <w:r w:rsidRPr="00804436">
        <w:rPr>
          <w:rFonts w:ascii="Arial" w:hAnsi="Arial" w:cs="Arial"/>
        </w:rPr>
        <w:t xml:space="preserve">Wiley &amp; Sons. In </w:t>
      </w:r>
      <w:bookmarkStart w:id="48" w:name="_Hlk71456318"/>
      <w:r w:rsidRPr="00804436">
        <w:rPr>
          <w:rFonts w:ascii="Arial" w:hAnsi="Arial" w:cs="Arial"/>
        </w:rPr>
        <w:t>Ndanyenbah and Zakaria (2019).</w:t>
      </w:r>
      <w:r w:rsidRPr="00804436">
        <w:rPr>
          <w:rFonts w:ascii="Arial" w:eastAsia="Times New Roman" w:hAnsi="Arial" w:cs="Arial"/>
          <w:sz w:val="24"/>
          <w:szCs w:val="24"/>
          <w:lang w:eastAsia="en-GB"/>
        </w:rPr>
        <w:t> </w:t>
      </w:r>
      <w:r w:rsidRPr="00804436">
        <w:rPr>
          <w:rFonts w:ascii="Arial" w:hAnsi="Arial" w:cs="Arial"/>
        </w:rPr>
        <w:t xml:space="preserve"> </w:t>
      </w:r>
      <w:bookmarkEnd w:id="48"/>
    </w:p>
    <w:p w14:paraId="598D8685" w14:textId="7F5FD68D" w:rsidR="003C2FBC" w:rsidRPr="001A2B74" w:rsidRDefault="00F512A8" w:rsidP="006E4CC3">
      <w:pPr>
        <w:rPr>
          <w:rFonts w:ascii="Arial" w:hAnsi="Arial" w:cs="Arial"/>
        </w:rPr>
      </w:pPr>
      <w:r w:rsidRPr="001A2B74">
        <w:rPr>
          <w:rFonts w:ascii="Arial" w:hAnsi="Arial" w:cs="Arial"/>
        </w:rPr>
        <w:t xml:space="preserve">Yahoo Finance, (2021) </w:t>
      </w:r>
      <w:r w:rsidR="00353FB0" w:rsidRPr="001A2B74">
        <w:rPr>
          <w:rFonts w:ascii="Arial" w:hAnsi="Arial" w:cs="Arial"/>
          <w:i/>
          <w:iCs/>
        </w:rPr>
        <w:t>GSK Profits take</w:t>
      </w:r>
      <w:r w:rsidR="0087278B" w:rsidRPr="001A2B74">
        <w:rPr>
          <w:rFonts w:ascii="Arial" w:hAnsi="Arial" w:cs="Arial"/>
          <w:i/>
          <w:iCs/>
        </w:rPr>
        <w:t>s</w:t>
      </w:r>
      <w:r w:rsidR="00353FB0" w:rsidRPr="001A2B74">
        <w:rPr>
          <w:rFonts w:ascii="Arial" w:hAnsi="Arial" w:cs="Arial"/>
          <w:i/>
          <w:iCs/>
        </w:rPr>
        <w:t xml:space="preserve"> a hit</w:t>
      </w:r>
      <w:r w:rsidR="0087278B" w:rsidRPr="001A2B74">
        <w:rPr>
          <w:rFonts w:ascii="Arial" w:hAnsi="Arial" w:cs="Arial"/>
          <w:i/>
          <w:iCs/>
        </w:rPr>
        <w:t xml:space="preserve"> amid COVID as activists</w:t>
      </w:r>
      <w:r w:rsidR="00891514" w:rsidRPr="001A2B74">
        <w:rPr>
          <w:rFonts w:ascii="Arial" w:hAnsi="Arial" w:cs="Arial"/>
          <w:i/>
          <w:iCs/>
        </w:rPr>
        <w:t xml:space="preserve"> fund builds up stake.</w:t>
      </w:r>
      <w:r w:rsidR="00353FB0" w:rsidRPr="001A2B74">
        <w:rPr>
          <w:rFonts w:ascii="Arial" w:hAnsi="Arial" w:cs="Arial"/>
        </w:rPr>
        <w:t xml:space="preserve"> </w:t>
      </w:r>
      <w:proofErr w:type="gramStart"/>
      <w:r w:rsidR="00353FB0" w:rsidRPr="001A2B74">
        <w:rPr>
          <w:rFonts w:ascii="Arial" w:hAnsi="Arial" w:cs="Arial"/>
        </w:rPr>
        <w:t>Available at :</w:t>
      </w:r>
      <w:proofErr w:type="gramEnd"/>
      <w:hyperlink r:id="rId16" w:history="1">
        <w:r w:rsidR="00727667" w:rsidRPr="001A2B74">
          <w:rPr>
            <w:rFonts w:ascii="Arial" w:hAnsi="Arial" w:cs="Arial"/>
            <w:color w:val="0000FF"/>
            <w:u w:val="single"/>
          </w:rPr>
          <w:t>GSK profit takes a hit amid COVID as activist fund builds up stake (yahoo.com)</w:t>
        </w:r>
      </w:hyperlink>
      <w:r w:rsidR="00F805D1" w:rsidRPr="001A2B74">
        <w:rPr>
          <w:rFonts w:ascii="Arial" w:hAnsi="Arial" w:cs="Arial"/>
        </w:rPr>
        <w:t xml:space="preserve"> </w:t>
      </w:r>
      <w:r w:rsidR="001C17D8" w:rsidRPr="001A2B74">
        <w:rPr>
          <w:rFonts w:ascii="Arial" w:hAnsi="Arial" w:cs="Arial"/>
        </w:rPr>
        <w:t>(Accessed: 17. 05. 2021)</w:t>
      </w:r>
      <w:r w:rsidR="00F805D1" w:rsidRPr="001A2B74">
        <w:rPr>
          <w:rFonts w:ascii="Arial" w:hAnsi="Arial" w:cs="Arial"/>
        </w:rPr>
        <w:t>.</w:t>
      </w:r>
    </w:p>
    <w:p w14:paraId="4E81345A" w14:textId="77777777" w:rsidR="005D7E3D" w:rsidRDefault="005D7E3D" w:rsidP="006E4CC3"/>
    <w:p w14:paraId="090E616D" w14:textId="77777777" w:rsidR="00F805D1" w:rsidRDefault="00F805D1" w:rsidP="006E4CC3">
      <w:pPr>
        <w:rPr>
          <w:rStyle w:val="Hyperlink"/>
          <w:rFonts w:ascii="Arial" w:hAnsi="Arial" w:cs="Arial"/>
          <w:b/>
          <w:bCs/>
        </w:rPr>
      </w:pPr>
    </w:p>
    <w:sectPr w:rsidR="00F805D1" w:rsidSect="00380FC6">
      <w:headerReference w:type="default"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B81F8" w14:textId="77777777" w:rsidR="007C1317" w:rsidRDefault="007C1317">
      <w:pPr>
        <w:spacing w:after="0" w:line="240" w:lineRule="auto"/>
      </w:pPr>
      <w:r>
        <w:separator/>
      </w:r>
    </w:p>
  </w:endnote>
  <w:endnote w:type="continuationSeparator" w:id="0">
    <w:p w14:paraId="20FE7794" w14:textId="77777777" w:rsidR="007C1317" w:rsidRDefault="007C1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7826772"/>
      <w:docPartObj>
        <w:docPartGallery w:val="Page Numbers (Bottom of Page)"/>
        <w:docPartUnique/>
      </w:docPartObj>
    </w:sdtPr>
    <w:sdtEndPr>
      <w:rPr>
        <w:noProof/>
      </w:rPr>
    </w:sdtEndPr>
    <w:sdtContent>
      <w:p w14:paraId="4003D868" w14:textId="707BBBCD" w:rsidR="00380FC6" w:rsidRDefault="00380FC6">
        <w:pPr>
          <w:pStyle w:val="Footer"/>
          <w:jc w:val="center"/>
        </w:pPr>
        <w:r>
          <w:fldChar w:fldCharType="begin"/>
        </w:r>
        <w:r>
          <w:instrText xml:space="preserve"> PAGE   \* MERGEFORMAT </w:instrText>
        </w:r>
        <w:r>
          <w:fldChar w:fldCharType="separate"/>
        </w:r>
        <w:r w:rsidR="00004D40">
          <w:rPr>
            <w:noProof/>
          </w:rPr>
          <w:t>19</w:t>
        </w:r>
        <w:r>
          <w:rPr>
            <w:noProof/>
          </w:rPr>
          <w:fldChar w:fldCharType="end"/>
        </w:r>
      </w:p>
    </w:sdtContent>
  </w:sdt>
  <w:p w14:paraId="3C49450D" w14:textId="2CF4CDE2" w:rsidR="5E08D0E6" w:rsidRDefault="5E08D0E6" w:rsidP="5E08D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E3C9B3" w14:textId="77777777" w:rsidR="007C1317" w:rsidRDefault="007C1317">
      <w:pPr>
        <w:spacing w:after="0" w:line="240" w:lineRule="auto"/>
      </w:pPr>
      <w:r>
        <w:separator/>
      </w:r>
    </w:p>
  </w:footnote>
  <w:footnote w:type="continuationSeparator" w:id="0">
    <w:p w14:paraId="4EFF8CA6" w14:textId="77777777" w:rsidR="007C1317" w:rsidRDefault="007C13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5E08D0E6" w14:paraId="740289EA" w14:textId="77777777" w:rsidTr="5E08D0E6">
      <w:tc>
        <w:tcPr>
          <w:tcW w:w="3005" w:type="dxa"/>
        </w:tcPr>
        <w:p w14:paraId="0078EA1D" w14:textId="343CCB81" w:rsidR="5E08D0E6" w:rsidRDefault="5E08D0E6" w:rsidP="5E08D0E6">
          <w:pPr>
            <w:pStyle w:val="Header"/>
            <w:ind w:left="-115"/>
          </w:pPr>
        </w:p>
      </w:tc>
      <w:tc>
        <w:tcPr>
          <w:tcW w:w="3005" w:type="dxa"/>
        </w:tcPr>
        <w:p w14:paraId="57352D3A" w14:textId="6FF6388E" w:rsidR="5E08D0E6" w:rsidRDefault="5E08D0E6" w:rsidP="5E08D0E6">
          <w:pPr>
            <w:pStyle w:val="Header"/>
            <w:jc w:val="center"/>
          </w:pPr>
        </w:p>
      </w:tc>
      <w:tc>
        <w:tcPr>
          <w:tcW w:w="3005" w:type="dxa"/>
        </w:tcPr>
        <w:p w14:paraId="5EDDBF35" w14:textId="79AB9118" w:rsidR="5E08D0E6" w:rsidRDefault="5E08D0E6" w:rsidP="5E08D0E6">
          <w:pPr>
            <w:pStyle w:val="Header"/>
            <w:ind w:right="-115"/>
            <w:jc w:val="right"/>
          </w:pPr>
        </w:p>
      </w:tc>
    </w:tr>
  </w:tbl>
  <w:p w14:paraId="7C548F82" w14:textId="190D6844" w:rsidR="5E08D0E6" w:rsidRDefault="5E08D0E6" w:rsidP="5E08D0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0303BE"/>
    <w:multiLevelType w:val="multilevel"/>
    <w:tmpl w:val="6F1AA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9A0F10"/>
    <w:multiLevelType w:val="hybridMultilevel"/>
    <w:tmpl w:val="327646DA"/>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2" w15:restartNumberingAfterBreak="0">
    <w:nsid w:val="474B4D0E"/>
    <w:multiLevelType w:val="hybridMultilevel"/>
    <w:tmpl w:val="6E120DF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DF34F4"/>
    <w:multiLevelType w:val="hybridMultilevel"/>
    <w:tmpl w:val="48647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2D55"/>
    <w:rsid w:val="00000648"/>
    <w:rsid w:val="000007DD"/>
    <w:rsid w:val="00001134"/>
    <w:rsid w:val="00003164"/>
    <w:rsid w:val="000036F9"/>
    <w:rsid w:val="0000407F"/>
    <w:rsid w:val="00004335"/>
    <w:rsid w:val="000045D5"/>
    <w:rsid w:val="00004D40"/>
    <w:rsid w:val="0000593E"/>
    <w:rsid w:val="00005E99"/>
    <w:rsid w:val="000063B4"/>
    <w:rsid w:val="0000674A"/>
    <w:rsid w:val="00006C8C"/>
    <w:rsid w:val="00007614"/>
    <w:rsid w:val="00007D9F"/>
    <w:rsid w:val="00010695"/>
    <w:rsid w:val="00010C77"/>
    <w:rsid w:val="00010DB1"/>
    <w:rsid w:val="00010DEB"/>
    <w:rsid w:val="00012241"/>
    <w:rsid w:val="000124DC"/>
    <w:rsid w:val="0001263D"/>
    <w:rsid w:val="00012C3D"/>
    <w:rsid w:val="0001389D"/>
    <w:rsid w:val="00013CDE"/>
    <w:rsid w:val="00014114"/>
    <w:rsid w:val="00014D20"/>
    <w:rsid w:val="00015062"/>
    <w:rsid w:val="00015106"/>
    <w:rsid w:val="000164C9"/>
    <w:rsid w:val="00016CAC"/>
    <w:rsid w:val="00017AA5"/>
    <w:rsid w:val="00017D7C"/>
    <w:rsid w:val="00020262"/>
    <w:rsid w:val="00020AAC"/>
    <w:rsid w:val="00020C1C"/>
    <w:rsid w:val="00020F04"/>
    <w:rsid w:val="00021ABD"/>
    <w:rsid w:val="00021D73"/>
    <w:rsid w:val="00022770"/>
    <w:rsid w:val="000229B5"/>
    <w:rsid w:val="000237A7"/>
    <w:rsid w:val="000243BE"/>
    <w:rsid w:val="0002447D"/>
    <w:rsid w:val="000259E3"/>
    <w:rsid w:val="00025CA9"/>
    <w:rsid w:val="00025CB6"/>
    <w:rsid w:val="00025DB9"/>
    <w:rsid w:val="00025F3D"/>
    <w:rsid w:val="000260B7"/>
    <w:rsid w:val="00026584"/>
    <w:rsid w:val="00027E01"/>
    <w:rsid w:val="00030C7A"/>
    <w:rsid w:val="00030EAA"/>
    <w:rsid w:val="000323BA"/>
    <w:rsid w:val="00032EF7"/>
    <w:rsid w:val="00035A1F"/>
    <w:rsid w:val="00035B64"/>
    <w:rsid w:val="000363D1"/>
    <w:rsid w:val="00036466"/>
    <w:rsid w:val="0003660E"/>
    <w:rsid w:val="00037B25"/>
    <w:rsid w:val="00041D03"/>
    <w:rsid w:val="0004245B"/>
    <w:rsid w:val="0004254C"/>
    <w:rsid w:val="00042BE3"/>
    <w:rsid w:val="00042E28"/>
    <w:rsid w:val="000439FD"/>
    <w:rsid w:val="00043B70"/>
    <w:rsid w:val="00044CFF"/>
    <w:rsid w:val="00044D71"/>
    <w:rsid w:val="00045474"/>
    <w:rsid w:val="00045C88"/>
    <w:rsid w:val="0004610A"/>
    <w:rsid w:val="000466DA"/>
    <w:rsid w:val="0005052A"/>
    <w:rsid w:val="00050A7B"/>
    <w:rsid w:val="0005124B"/>
    <w:rsid w:val="00051324"/>
    <w:rsid w:val="00051660"/>
    <w:rsid w:val="0005194F"/>
    <w:rsid w:val="00051DE1"/>
    <w:rsid w:val="00051E27"/>
    <w:rsid w:val="0005263A"/>
    <w:rsid w:val="0005489E"/>
    <w:rsid w:val="00054D37"/>
    <w:rsid w:val="00054E1F"/>
    <w:rsid w:val="0005683F"/>
    <w:rsid w:val="0005688E"/>
    <w:rsid w:val="0005721E"/>
    <w:rsid w:val="00057A40"/>
    <w:rsid w:val="00057C21"/>
    <w:rsid w:val="00060A82"/>
    <w:rsid w:val="00061113"/>
    <w:rsid w:val="00061AD9"/>
    <w:rsid w:val="00061B42"/>
    <w:rsid w:val="00061EB2"/>
    <w:rsid w:val="00063288"/>
    <w:rsid w:val="00063F1C"/>
    <w:rsid w:val="00064155"/>
    <w:rsid w:val="00065316"/>
    <w:rsid w:val="000656B7"/>
    <w:rsid w:val="00065F66"/>
    <w:rsid w:val="0006627D"/>
    <w:rsid w:val="000665E8"/>
    <w:rsid w:val="000667C9"/>
    <w:rsid w:val="00066A4F"/>
    <w:rsid w:val="00066A87"/>
    <w:rsid w:val="00067E78"/>
    <w:rsid w:val="00070B5B"/>
    <w:rsid w:val="0007200C"/>
    <w:rsid w:val="00072759"/>
    <w:rsid w:val="00072777"/>
    <w:rsid w:val="00072923"/>
    <w:rsid w:val="00072BCF"/>
    <w:rsid w:val="00072DFD"/>
    <w:rsid w:val="000744F8"/>
    <w:rsid w:val="00075139"/>
    <w:rsid w:val="000753EF"/>
    <w:rsid w:val="000759C9"/>
    <w:rsid w:val="00075A58"/>
    <w:rsid w:val="00076BC1"/>
    <w:rsid w:val="00076E60"/>
    <w:rsid w:val="00076E6E"/>
    <w:rsid w:val="00077DB4"/>
    <w:rsid w:val="000801C5"/>
    <w:rsid w:val="00080475"/>
    <w:rsid w:val="00080BDE"/>
    <w:rsid w:val="00081074"/>
    <w:rsid w:val="0008143B"/>
    <w:rsid w:val="00081CF9"/>
    <w:rsid w:val="00081E6F"/>
    <w:rsid w:val="000824A7"/>
    <w:rsid w:val="000824BF"/>
    <w:rsid w:val="000826A5"/>
    <w:rsid w:val="00082787"/>
    <w:rsid w:val="00082C57"/>
    <w:rsid w:val="00083B39"/>
    <w:rsid w:val="000847BD"/>
    <w:rsid w:val="00084D37"/>
    <w:rsid w:val="00086167"/>
    <w:rsid w:val="00086B35"/>
    <w:rsid w:val="00086D49"/>
    <w:rsid w:val="00086E27"/>
    <w:rsid w:val="00087225"/>
    <w:rsid w:val="000872B7"/>
    <w:rsid w:val="0008741F"/>
    <w:rsid w:val="000879B2"/>
    <w:rsid w:val="00087B92"/>
    <w:rsid w:val="00090152"/>
    <w:rsid w:val="00090566"/>
    <w:rsid w:val="00090E78"/>
    <w:rsid w:val="00091F01"/>
    <w:rsid w:val="00092FA8"/>
    <w:rsid w:val="00093185"/>
    <w:rsid w:val="000932D9"/>
    <w:rsid w:val="00093868"/>
    <w:rsid w:val="0009393F"/>
    <w:rsid w:val="00093E4F"/>
    <w:rsid w:val="00094CAF"/>
    <w:rsid w:val="00095486"/>
    <w:rsid w:val="0009598F"/>
    <w:rsid w:val="00096408"/>
    <w:rsid w:val="00096C05"/>
    <w:rsid w:val="000A06B9"/>
    <w:rsid w:val="000A1337"/>
    <w:rsid w:val="000A1785"/>
    <w:rsid w:val="000A181B"/>
    <w:rsid w:val="000A27C7"/>
    <w:rsid w:val="000A28FF"/>
    <w:rsid w:val="000A2C2A"/>
    <w:rsid w:val="000A310A"/>
    <w:rsid w:val="000A3B93"/>
    <w:rsid w:val="000A3F68"/>
    <w:rsid w:val="000A40AF"/>
    <w:rsid w:val="000A4930"/>
    <w:rsid w:val="000A4C7C"/>
    <w:rsid w:val="000A4E65"/>
    <w:rsid w:val="000A6E9D"/>
    <w:rsid w:val="000A7941"/>
    <w:rsid w:val="000B0097"/>
    <w:rsid w:val="000B0791"/>
    <w:rsid w:val="000B0EE6"/>
    <w:rsid w:val="000B10B4"/>
    <w:rsid w:val="000B19E0"/>
    <w:rsid w:val="000B211E"/>
    <w:rsid w:val="000B2553"/>
    <w:rsid w:val="000B2614"/>
    <w:rsid w:val="000B3EAD"/>
    <w:rsid w:val="000B40D7"/>
    <w:rsid w:val="000B4E39"/>
    <w:rsid w:val="000B4FB8"/>
    <w:rsid w:val="000B5613"/>
    <w:rsid w:val="000B61CE"/>
    <w:rsid w:val="000B7507"/>
    <w:rsid w:val="000B7740"/>
    <w:rsid w:val="000B7762"/>
    <w:rsid w:val="000C029D"/>
    <w:rsid w:val="000C165C"/>
    <w:rsid w:val="000C1E84"/>
    <w:rsid w:val="000C260D"/>
    <w:rsid w:val="000C270E"/>
    <w:rsid w:val="000C2884"/>
    <w:rsid w:val="000C2896"/>
    <w:rsid w:val="000C2AB5"/>
    <w:rsid w:val="000C354B"/>
    <w:rsid w:val="000C3EAB"/>
    <w:rsid w:val="000C4393"/>
    <w:rsid w:val="000C500B"/>
    <w:rsid w:val="000C57E5"/>
    <w:rsid w:val="000C59B2"/>
    <w:rsid w:val="000C5E94"/>
    <w:rsid w:val="000C613D"/>
    <w:rsid w:val="000C67F8"/>
    <w:rsid w:val="000C69C3"/>
    <w:rsid w:val="000C70BF"/>
    <w:rsid w:val="000C7EFE"/>
    <w:rsid w:val="000D0A10"/>
    <w:rsid w:val="000D1227"/>
    <w:rsid w:val="000D16B5"/>
    <w:rsid w:val="000D2CC8"/>
    <w:rsid w:val="000D2D85"/>
    <w:rsid w:val="000D3029"/>
    <w:rsid w:val="000D35EB"/>
    <w:rsid w:val="000D3CD0"/>
    <w:rsid w:val="000D3E08"/>
    <w:rsid w:val="000D428C"/>
    <w:rsid w:val="000D43CF"/>
    <w:rsid w:val="000D488A"/>
    <w:rsid w:val="000D4A72"/>
    <w:rsid w:val="000D50A5"/>
    <w:rsid w:val="000D59DE"/>
    <w:rsid w:val="000D5A73"/>
    <w:rsid w:val="000D5BE1"/>
    <w:rsid w:val="000D63E5"/>
    <w:rsid w:val="000D6640"/>
    <w:rsid w:val="000D6D17"/>
    <w:rsid w:val="000D7142"/>
    <w:rsid w:val="000E0441"/>
    <w:rsid w:val="000E07DD"/>
    <w:rsid w:val="000E0862"/>
    <w:rsid w:val="000E18EF"/>
    <w:rsid w:val="000E29BD"/>
    <w:rsid w:val="000E356E"/>
    <w:rsid w:val="000E40F7"/>
    <w:rsid w:val="000E4C7B"/>
    <w:rsid w:val="000E5270"/>
    <w:rsid w:val="000E54BE"/>
    <w:rsid w:val="000E5D6A"/>
    <w:rsid w:val="000E7610"/>
    <w:rsid w:val="000E7A8D"/>
    <w:rsid w:val="000F0129"/>
    <w:rsid w:val="000F01BF"/>
    <w:rsid w:val="000F135B"/>
    <w:rsid w:val="000F1BD5"/>
    <w:rsid w:val="000F2255"/>
    <w:rsid w:val="000F26A0"/>
    <w:rsid w:val="000F2863"/>
    <w:rsid w:val="000F40D2"/>
    <w:rsid w:val="000F4491"/>
    <w:rsid w:val="000F4A6F"/>
    <w:rsid w:val="000F5AE7"/>
    <w:rsid w:val="000F5C8D"/>
    <w:rsid w:val="000F6590"/>
    <w:rsid w:val="000F6DD0"/>
    <w:rsid w:val="000F6E58"/>
    <w:rsid w:val="000F70D0"/>
    <w:rsid w:val="0010096F"/>
    <w:rsid w:val="001012BC"/>
    <w:rsid w:val="001017AE"/>
    <w:rsid w:val="0010195A"/>
    <w:rsid w:val="00101E62"/>
    <w:rsid w:val="0010218A"/>
    <w:rsid w:val="001033E5"/>
    <w:rsid w:val="001037A3"/>
    <w:rsid w:val="00104540"/>
    <w:rsid w:val="0010476E"/>
    <w:rsid w:val="00104FE8"/>
    <w:rsid w:val="00105C24"/>
    <w:rsid w:val="0010601B"/>
    <w:rsid w:val="00106116"/>
    <w:rsid w:val="00106251"/>
    <w:rsid w:val="00106751"/>
    <w:rsid w:val="001067DA"/>
    <w:rsid w:val="00106DB1"/>
    <w:rsid w:val="00107140"/>
    <w:rsid w:val="00107DFF"/>
    <w:rsid w:val="001109F8"/>
    <w:rsid w:val="00110D3B"/>
    <w:rsid w:val="00110ED3"/>
    <w:rsid w:val="00111111"/>
    <w:rsid w:val="00111956"/>
    <w:rsid w:val="001122C4"/>
    <w:rsid w:val="0011277E"/>
    <w:rsid w:val="001128F0"/>
    <w:rsid w:val="00115E17"/>
    <w:rsid w:val="0011678E"/>
    <w:rsid w:val="00116FB5"/>
    <w:rsid w:val="00117FA6"/>
    <w:rsid w:val="001203C9"/>
    <w:rsid w:val="001210F1"/>
    <w:rsid w:val="001218B5"/>
    <w:rsid w:val="00122160"/>
    <w:rsid w:val="0012226C"/>
    <w:rsid w:val="00122379"/>
    <w:rsid w:val="00122931"/>
    <w:rsid w:val="0012299F"/>
    <w:rsid w:val="00123684"/>
    <w:rsid w:val="001243C0"/>
    <w:rsid w:val="00124640"/>
    <w:rsid w:val="00124F07"/>
    <w:rsid w:val="00127367"/>
    <w:rsid w:val="00127793"/>
    <w:rsid w:val="001303AB"/>
    <w:rsid w:val="001315CE"/>
    <w:rsid w:val="001319AF"/>
    <w:rsid w:val="00131D3B"/>
    <w:rsid w:val="0013273E"/>
    <w:rsid w:val="00132ED7"/>
    <w:rsid w:val="001330D3"/>
    <w:rsid w:val="0013388C"/>
    <w:rsid w:val="00133C4B"/>
    <w:rsid w:val="00133F0D"/>
    <w:rsid w:val="00134127"/>
    <w:rsid w:val="00134409"/>
    <w:rsid w:val="00134952"/>
    <w:rsid w:val="00134A7C"/>
    <w:rsid w:val="00134B29"/>
    <w:rsid w:val="00134DCC"/>
    <w:rsid w:val="0013536C"/>
    <w:rsid w:val="001356B4"/>
    <w:rsid w:val="001356F3"/>
    <w:rsid w:val="00136101"/>
    <w:rsid w:val="0013642B"/>
    <w:rsid w:val="00136AA6"/>
    <w:rsid w:val="00137A7C"/>
    <w:rsid w:val="00137DF7"/>
    <w:rsid w:val="00140AC1"/>
    <w:rsid w:val="00140AD0"/>
    <w:rsid w:val="00140AD2"/>
    <w:rsid w:val="00143142"/>
    <w:rsid w:val="00143875"/>
    <w:rsid w:val="00143A95"/>
    <w:rsid w:val="00143FF5"/>
    <w:rsid w:val="0014405F"/>
    <w:rsid w:val="00144A18"/>
    <w:rsid w:val="00145DDF"/>
    <w:rsid w:val="00146023"/>
    <w:rsid w:val="00146597"/>
    <w:rsid w:val="0014680C"/>
    <w:rsid w:val="00147403"/>
    <w:rsid w:val="00147B00"/>
    <w:rsid w:val="00150233"/>
    <w:rsid w:val="0015080B"/>
    <w:rsid w:val="00150929"/>
    <w:rsid w:val="00152048"/>
    <w:rsid w:val="001525CC"/>
    <w:rsid w:val="00152C7C"/>
    <w:rsid w:val="00153510"/>
    <w:rsid w:val="00155581"/>
    <w:rsid w:val="001557CA"/>
    <w:rsid w:val="00155CA5"/>
    <w:rsid w:val="0015609B"/>
    <w:rsid w:val="00156BD9"/>
    <w:rsid w:val="00156FAF"/>
    <w:rsid w:val="00157282"/>
    <w:rsid w:val="00157332"/>
    <w:rsid w:val="00157B49"/>
    <w:rsid w:val="001603F8"/>
    <w:rsid w:val="00160706"/>
    <w:rsid w:val="001619AF"/>
    <w:rsid w:val="00161B68"/>
    <w:rsid w:val="00162D6F"/>
    <w:rsid w:val="00163A6B"/>
    <w:rsid w:val="00164AB8"/>
    <w:rsid w:val="00164BE7"/>
    <w:rsid w:val="00164F79"/>
    <w:rsid w:val="00165176"/>
    <w:rsid w:val="00165BC2"/>
    <w:rsid w:val="00165C99"/>
    <w:rsid w:val="001672BA"/>
    <w:rsid w:val="00167B90"/>
    <w:rsid w:val="00167CB3"/>
    <w:rsid w:val="001701B3"/>
    <w:rsid w:val="00170534"/>
    <w:rsid w:val="0017078B"/>
    <w:rsid w:val="00170D94"/>
    <w:rsid w:val="001718E2"/>
    <w:rsid w:val="00172E9F"/>
    <w:rsid w:val="00173A91"/>
    <w:rsid w:val="00174AA4"/>
    <w:rsid w:val="00174D4A"/>
    <w:rsid w:val="00176679"/>
    <w:rsid w:val="00176739"/>
    <w:rsid w:val="00176A51"/>
    <w:rsid w:val="00176A63"/>
    <w:rsid w:val="001775B9"/>
    <w:rsid w:val="00180677"/>
    <w:rsid w:val="00180EB7"/>
    <w:rsid w:val="00181543"/>
    <w:rsid w:val="00182064"/>
    <w:rsid w:val="001820E4"/>
    <w:rsid w:val="00182710"/>
    <w:rsid w:val="00182C0C"/>
    <w:rsid w:val="00182FC9"/>
    <w:rsid w:val="001843C4"/>
    <w:rsid w:val="00184D77"/>
    <w:rsid w:val="00184E2E"/>
    <w:rsid w:val="00184FE2"/>
    <w:rsid w:val="0018561E"/>
    <w:rsid w:val="00186231"/>
    <w:rsid w:val="001870DE"/>
    <w:rsid w:val="001876C7"/>
    <w:rsid w:val="00190DA9"/>
    <w:rsid w:val="00191760"/>
    <w:rsid w:val="0019237B"/>
    <w:rsid w:val="00192C3B"/>
    <w:rsid w:val="00193373"/>
    <w:rsid w:val="00193F48"/>
    <w:rsid w:val="0019400B"/>
    <w:rsid w:val="0019480C"/>
    <w:rsid w:val="00194ECD"/>
    <w:rsid w:val="00194F7E"/>
    <w:rsid w:val="00195DEA"/>
    <w:rsid w:val="001968A7"/>
    <w:rsid w:val="001974EF"/>
    <w:rsid w:val="001A02B2"/>
    <w:rsid w:val="001A06BF"/>
    <w:rsid w:val="001A21BE"/>
    <w:rsid w:val="001A2334"/>
    <w:rsid w:val="001A2B74"/>
    <w:rsid w:val="001A2E2F"/>
    <w:rsid w:val="001A3B74"/>
    <w:rsid w:val="001A4334"/>
    <w:rsid w:val="001A4F4F"/>
    <w:rsid w:val="001A5702"/>
    <w:rsid w:val="001A5861"/>
    <w:rsid w:val="001A62E2"/>
    <w:rsid w:val="001A77D5"/>
    <w:rsid w:val="001A7B90"/>
    <w:rsid w:val="001B118C"/>
    <w:rsid w:val="001B132D"/>
    <w:rsid w:val="001B1A91"/>
    <w:rsid w:val="001B275D"/>
    <w:rsid w:val="001B3745"/>
    <w:rsid w:val="001B3DCC"/>
    <w:rsid w:val="001B3DD0"/>
    <w:rsid w:val="001B4261"/>
    <w:rsid w:val="001B46AD"/>
    <w:rsid w:val="001B474F"/>
    <w:rsid w:val="001B48D1"/>
    <w:rsid w:val="001B4E9F"/>
    <w:rsid w:val="001B5238"/>
    <w:rsid w:val="001B524B"/>
    <w:rsid w:val="001B5C1A"/>
    <w:rsid w:val="001B612A"/>
    <w:rsid w:val="001B67F3"/>
    <w:rsid w:val="001B69DA"/>
    <w:rsid w:val="001B6A56"/>
    <w:rsid w:val="001B763F"/>
    <w:rsid w:val="001B7CAE"/>
    <w:rsid w:val="001C0C6A"/>
    <w:rsid w:val="001C17C9"/>
    <w:rsid w:val="001C17D8"/>
    <w:rsid w:val="001C1EAD"/>
    <w:rsid w:val="001C325B"/>
    <w:rsid w:val="001C37A6"/>
    <w:rsid w:val="001C39EC"/>
    <w:rsid w:val="001C3DF6"/>
    <w:rsid w:val="001C4500"/>
    <w:rsid w:val="001C5C19"/>
    <w:rsid w:val="001C64F4"/>
    <w:rsid w:val="001C6F19"/>
    <w:rsid w:val="001C7278"/>
    <w:rsid w:val="001C7B6B"/>
    <w:rsid w:val="001C7C81"/>
    <w:rsid w:val="001C7FA2"/>
    <w:rsid w:val="001D0197"/>
    <w:rsid w:val="001D0304"/>
    <w:rsid w:val="001D0406"/>
    <w:rsid w:val="001D10E9"/>
    <w:rsid w:val="001D12D3"/>
    <w:rsid w:val="001D1794"/>
    <w:rsid w:val="001D19EE"/>
    <w:rsid w:val="001D1E9C"/>
    <w:rsid w:val="001D25CD"/>
    <w:rsid w:val="001D277C"/>
    <w:rsid w:val="001D329F"/>
    <w:rsid w:val="001D3CC0"/>
    <w:rsid w:val="001D4528"/>
    <w:rsid w:val="001D4878"/>
    <w:rsid w:val="001D52DE"/>
    <w:rsid w:val="001D652E"/>
    <w:rsid w:val="001D72F1"/>
    <w:rsid w:val="001D743D"/>
    <w:rsid w:val="001E15A2"/>
    <w:rsid w:val="001E27E6"/>
    <w:rsid w:val="001E3DB4"/>
    <w:rsid w:val="001E511F"/>
    <w:rsid w:val="001E5BF1"/>
    <w:rsid w:val="001E68AF"/>
    <w:rsid w:val="001E6ACD"/>
    <w:rsid w:val="001E7349"/>
    <w:rsid w:val="001F0EE9"/>
    <w:rsid w:val="001F14F3"/>
    <w:rsid w:val="001F1629"/>
    <w:rsid w:val="001F17E6"/>
    <w:rsid w:val="001F2221"/>
    <w:rsid w:val="001F2CD0"/>
    <w:rsid w:val="001F3784"/>
    <w:rsid w:val="001F466B"/>
    <w:rsid w:val="001F509D"/>
    <w:rsid w:val="001F54F8"/>
    <w:rsid w:val="001F5E3E"/>
    <w:rsid w:val="001F61A3"/>
    <w:rsid w:val="001F6212"/>
    <w:rsid w:val="001F6788"/>
    <w:rsid w:val="001F729A"/>
    <w:rsid w:val="00200422"/>
    <w:rsid w:val="0020057D"/>
    <w:rsid w:val="002007EC"/>
    <w:rsid w:val="002019BE"/>
    <w:rsid w:val="00201B50"/>
    <w:rsid w:val="00201FF9"/>
    <w:rsid w:val="002020BA"/>
    <w:rsid w:val="00203C2E"/>
    <w:rsid w:val="00203F46"/>
    <w:rsid w:val="00204237"/>
    <w:rsid w:val="00204B48"/>
    <w:rsid w:val="00204E04"/>
    <w:rsid w:val="002053DD"/>
    <w:rsid w:val="0020600B"/>
    <w:rsid w:val="00206428"/>
    <w:rsid w:val="00210009"/>
    <w:rsid w:val="00210CDF"/>
    <w:rsid w:val="0021101D"/>
    <w:rsid w:val="00211140"/>
    <w:rsid w:val="00211268"/>
    <w:rsid w:val="0021422A"/>
    <w:rsid w:val="00214C07"/>
    <w:rsid w:val="00214E1E"/>
    <w:rsid w:val="002150A8"/>
    <w:rsid w:val="00216378"/>
    <w:rsid w:val="002163DE"/>
    <w:rsid w:val="0021646D"/>
    <w:rsid w:val="00216AD6"/>
    <w:rsid w:val="00216DBA"/>
    <w:rsid w:val="00217050"/>
    <w:rsid w:val="00217742"/>
    <w:rsid w:val="00217A94"/>
    <w:rsid w:val="00220AAC"/>
    <w:rsid w:val="00220B41"/>
    <w:rsid w:val="00221C1E"/>
    <w:rsid w:val="00223222"/>
    <w:rsid w:val="002233E6"/>
    <w:rsid w:val="0022390D"/>
    <w:rsid w:val="00223D45"/>
    <w:rsid w:val="0022650F"/>
    <w:rsid w:val="00226748"/>
    <w:rsid w:val="0022696A"/>
    <w:rsid w:val="00227CD1"/>
    <w:rsid w:val="002304F3"/>
    <w:rsid w:val="00230F73"/>
    <w:rsid w:val="0023163C"/>
    <w:rsid w:val="00233A3A"/>
    <w:rsid w:val="00233A7D"/>
    <w:rsid w:val="00234BAE"/>
    <w:rsid w:val="00234EE8"/>
    <w:rsid w:val="002356EB"/>
    <w:rsid w:val="00235DC9"/>
    <w:rsid w:val="0023633E"/>
    <w:rsid w:val="0023781A"/>
    <w:rsid w:val="00237CED"/>
    <w:rsid w:val="002401E4"/>
    <w:rsid w:val="00240383"/>
    <w:rsid w:val="002403F4"/>
    <w:rsid w:val="002406A4"/>
    <w:rsid w:val="00240CDC"/>
    <w:rsid w:val="00241B44"/>
    <w:rsid w:val="002422AC"/>
    <w:rsid w:val="002423E6"/>
    <w:rsid w:val="002424D4"/>
    <w:rsid w:val="00242E39"/>
    <w:rsid w:val="00243DF3"/>
    <w:rsid w:val="00244E35"/>
    <w:rsid w:val="002465BA"/>
    <w:rsid w:val="00246E95"/>
    <w:rsid w:val="002474A3"/>
    <w:rsid w:val="002476A7"/>
    <w:rsid w:val="00250626"/>
    <w:rsid w:val="002508F6"/>
    <w:rsid w:val="0025240B"/>
    <w:rsid w:val="00252B7E"/>
    <w:rsid w:val="002530DB"/>
    <w:rsid w:val="00253275"/>
    <w:rsid w:val="00253449"/>
    <w:rsid w:val="00253C28"/>
    <w:rsid w:val="00254082"/>
    <w:rsid w:val="0025513A"/>
    <w:rsid w:val="00255150"/>
    <w:rsid w:val="00255E4D"/>
    <w:rsid w:val="0025618B"/>
    <w:rsid w:val="00257137"/>
    <w:rsid w:val="00257A44"/>
    <w:rsid w:val="002607D2"/>
    <w:rsid w:val="00260F87"/>
    <w:rsid w:val="00261A0E"/>
    <w:rsid w:val="00261D01"/>
    <w:rsid w:val="002623DB"/>
    <w:rsid w:val="00262A78"/>
    <w:rsid w:val="00263893"/>
    <w:rsid w:val="00263CF9"/>
    <w:rsid w:val="00265486"/>
    <w:rsid w:val="00266C61"/>
    <w:rsid w:val="00267959"/>
    <w:rsid w:val="00267F16"/>
    <w:rsid w:val="00270332"/>
    <w:rsid w:val="0027274B"/>
    <w:rsid w:val="00273608"/>
    <w:rsid w:val="00273722"/>
    <w:rsid w:val="00273D32"/>
    <w:rsid w:val="002741DA"/>
    <w:rsid w:val="00275047"/>
    <w:rsid w:val="00275556"/>
    <w:rsid w:val="00275734"/>
    <w:rsid w:val="00275A37"/>
    <w:rsid w:val="00275AF7"/>
    <w:rsid w:val="00275D66"/>
    <w:rsid w:val="0027627C"/>
    <w:rsid w:val="002762BA"/>
    <w:rsid w:val="002773BC"/>
    <w:rsid w:val="00277F13"/>
    <w:rsid w:val="002800C7"/>
    <w:rsid w:val="002806F7"/>
    <w:rsid w:val="00282C9C"/>
    <w:rsid w:val="00282DED"/>
    <w:rsid w:val="00284216"/>
    <w:rsid w:val="00284412"/>
    <w:rsid w:val="00284458"/>
    <w:rsid w:val="00285929"/>
    <w:rsid w:val="00285C7C"/>
    <w:rsid w:val="00285D1E"/>
    <w:rsid w:val="002860DC"/>
    <w:rsid w:val="00287C01"/>
    <w:rsid w:val="00287DE6"/>
    <w:rsid w:val="0029009A"/>
    <w:rsid w:val="002909A3"/>
    <w:rsid w:val="00290C58"/>
    <w:rsid w:val="002914E9"/>
    <w:rsid w:val="00291683"/>
    <w:rsid w:val="00291D71"/>
    <w:rsid w:val="00291E2C"/>
    <w:rsid w:val="00292353"/>
    <w:rsid w:val="002928F5"/>
    <w:rsid w:val="0029330B"/>
    <w:rsid w:val="00293D93"/>
    <w:rsid w:val="0029497F"/>
    <w:rsid w:val="002951F9"/>
    <w:rsid w:val="002956C5"/>
    <w:rsid w:val="00296577"/>
    <w:rsid w:val="00296708"/>
    <w:rsid w:val="00296A50"/>
    <w:rsid w:val="002A002A"/>
    <w:rsid w:val="002A05C9"/>
    <w:rsid w:val="002A1495"/>
    <w:rsid w:val="002A1A9E"/>
    <w:rsid w:val="002A1C76"/>
    <w:rsid w:val="002A23B4"/>
    <w:rsid w:val="002A2749"/>
    <w:rsid w:val="002A302F"/>
    <w:rsid w:val="002A3EE2"/>
    <w:rsid w:val="002A4504"/>
    <w:rsid w:val="002A4593"/>
    <w:rsid w:val="002A467F"/>
    <w:rsid w:val="002A46E2"/>
    <w:rsid w:val="002A4BC8"/>
    <w:rsid w:val="002A4CBA"/>
    <w:rsid w:val="002A4F7E"/>
    <w:rsid w:val="002A72FF"/>
    <w:rsid w:val="002A758F"/>
    <w:rsid w:val="002A7683"/>
    <w:rsid w:val="002A78A3"/>
    <w:rsid w:val="002A7A87"/>
    <w:rsid w:val="002B024F"/>
    <w:rsid w:val="002B12BB"/>
    <w:rsid w:val="002B1343"/>
    <w:rsid w:val="002B27A2"/>
    <w:rsid w:val="002B29F1"/>
    <w:rsid w:val="002B35B1"/>
    <w:rsid w:val="002B3801"/>
    <w:rsid w:val="002B3B70"/>
    <w:rsid w:val="002B3C06"/>
    <w:rsid w:val="002B489A"/>
    <w:rsid w:val="002B4B21"/>
    <w:rsid w:val="002B4D10"/>
    <w:rsid w:val="002B540E"/>
    <w:rsid w:val="002B5944"/>
    <w:rsid w:val="002B7749"/>
    <w:rsid w:val="002B7992"/>
    <w:rsid w:val="002C07C4"/>
    <w:rsid w:val="002C0BEB"/>
    <w:rsid w:val="002C1B6B"/>
    <w:rsid w:val="002C22D4"/>
    <w:rsid w:val="002C2405"/>
    <w:rsid w:val="002C2700"/>
    <w:rsid w:val="002C2D90"/>
    <w:rsid w:val="002C3A08"/>
    <w:rsid w:val="002C4976"/>
    <w:rsid w:val="002C4C72"/>
    <w:rsid w:val="002C4CDD"/>
    <w:rsid w:val="002C4DBB"/>
    <w:rsid w:val="002C558C"/>
    <w:rsid w:val="002C5C09"/>
    <w:rsid w:val="002C62E1"/>
    <w:rsid w:val="002C663B"/>
    <w:rsid w:val="002C6950"/>
    <w:rsid w:val="002C6D47"/>
    <w:rsid w:val="002C6FF9"/>
    <w:rsid w:val="002C726B"/>
    <w:rsid w:val="002C781C"/>
    <w:rsid w:val="002C7ACD"/>
    <w:rsid w:val="002D058C"/>
    <w:rsid w:val="002D120A"/>
    <w:rsid w:val="002D13BB"/>
    <w:rsid w:val="002D1AAA"/>
    <w:rsid w:val="002D253F"/>
    <w:rsid w:val="002D2745"/>
    <w:rsid w:val="002D30D6"/>
    <w:rsid w:val="002D3AE3"/>
    <w:rsid w:val="002D46F0"/>
    <w:rsid w:val="002D5249"/>
    <w:rsid w:val="002D670C"/>
    <w:rsid w:val="002D6743"/>
    <w:rsid w:val="002D67B0"/>
    <w:rsid w:val="002D6A02"/>
    <w:rsid w:val="002D7109"/>
    <w:rsid w:val="002D75C5"/>
    <w:rsid w:val="002D7A64"/>
    <w:rsid w:val="002D7ECD"/>
    <w:rsid w:val="002E014B"/>
    <w:rsid w:val="002E0746"/>
    <w:rsid w:val="002E0A38"/>
    <w:rsid w:val="002E0A9C"/>
    <w:rsid w:val="002E11A9"/>
    <w:rsid w:val="002E11E1"/>
    <w:rsid w:val="002E15B5"/>
    <w:rsid w:val="002E15B8"/>
    <w:rsid w:val="002E17A4"/>
    <w:rsid w:val="002E1C9A"/>
    <w:rsid w:val="002E1D36"/>
    <w:rsid w:val="002E27DA"/>
    <w:rsid w:val="002E2984"/>
    <w:rsid w:val="002E2B3C"/>
    <w:rsid w:val="002E2E5C"/>
    <w:rsid w:val="002E2F0F"/>
    <w:rsid w:val="002E3B53"/>
    <w:rsid w:val="002E4536"/>
    <w:rsid w:val="002E4965"/>
    <w:rsid w:val="002E584B"/>
    <w:rsid w:val="002E65BA"/>
    <w:rsid w:val="002E7CD0"/>
    <w:rsid w:val="002F01E1"/>
    <w:rsid w:val="002F0244"/>
    <w:rsid w:val="002F089F"/>
    <w:rsid w:val="002F0A40"/>
    <w:rsid w:val="002F0C72"/>
    <w:rsid w:val="002F0CB3"/>
    <w:rsid w:val="002F199C"/>
    <w:rsid w:val="002F1CB3"/>
    <w:rsid w:val="002F240F"/>
    <w:rsid w:val="002F3869"/>
    <w:rsid w:val="002F3E3A"/>
    <w:rsid w:val="002F5010"/>
    <w:rsid w:val="002F51EB"/>
    <w:rsid w:val="002F5A69"/>
    <w:rsid w:val="003002FB"/>
    <w:rsid w:val="00300ECE"/>
    <w:rsid w:val="00301C8C"/>
    <w:rsid w:val="00302E9E"/>
    <w:rsid w:val="00303C54"/>
    <w:rsid w:val="00304345"/>
    <w:rsid w:val="00304872"/>
    <w:rsid w:val="00304E15"/>
    <w:rsid w:val="003056B6"/>
    <w:rsid w:val="00305D7F"/>
    <w:rsid w:val="00306813"/>
    <w:rsid w:val="0030796D"/>
    <w:rsid w:val="00310056"/>
    <w:rsid w:val="003102A3"/>
    <w:rsid w:val="003106DB"/>
    <w:rsid w:val="0031164B"/>
    <w:rsid w:val="003117C1"/>
    <w:rsid w:val="00311D8F"/>
    <w:rsid w:val="00312CDC"/>
    <w:rsid w:val="003130ED"/>
    <w:rsid w:val="00313355"/>
    <w:rsid w:val="00313364"/>
    <w:rsid w:val="003139A3"/>
    <w:rsid w:val="00314310"/>
    <w:rsid w:val="0031467C"/>
    <w:rsid w:val="00315941"/>
    <w:rsid w:val="00316399"/>
    <w:rsid w:val="003163D1"/>
    <w:rsid w:val="0031640B"/>
    <w:rsid w:val="00316427"/>
    <w:rsid w:val="0031653E"/>
    <w:rsid w:val="0031674B"/>
    <w:rsid w:val="00316966"/>
    <w:rsid w:val="00316BA5"/>
    <w:rsid w:val="00316BDC"/>
    <w:rsid w:val="00317205"/>
    <w:rsid w:val="00317B0D"/>
    <w:rsid w:val="0032007D"/>
    <w:rsid w:val="00320099"/>
    <w:rsid w:val="003208B1"/>
    <w:rsid w:val="003214EA"/>
    <w:rsid w:val="00321C42"/>
    <w:rsid w:val="00321FCC"/>
    <w:rsid w:val="003224BC"/>
    <w:rsid w:val="0032280F"/>
    <w:rsid w:val="00322D2D"/>
    <w:rsid w:val="003232E9"/>
    <w:rsid w:val="00323A10"/>
    <w:rsid w:val="0032489D"/>
    <w:rsid w:val="00325072"/>
    <w:rsid w:val="003252E9"/>
    <w:rsid w:val="00325486"/>
    <w:rsid w:val="003256E7"/>
    <w:rsid w:val="003257EE"/>
    <w:rsid w:val="00325C38"/>
    <w:rsid w:val="00326968"/>
    <w:rsid w:val="00330A9B"/>
    <w:rsid w:val="00330B0D"/>
    <w:rsid w:val="0033113D"/>
    <w:rsid w:val="00331974"/>
    <w:rsid w:val="00331D2C"/>
    <w:rsid w:val="00331ED1"/>
    <w:rsid w:val="003335E2"/>
    <w:rsid w:val="00333791"/>
    <w:rsid w:val="003338F6"/>
    <w:rsid w:val="00333B7F"/>
    <w:rsid w:val="003344F5"/>
    <w:rsid w:val="00334F28"/>
    <w:rsid w:val="003350EA"/>
    <w:rsid w:val="003357DC"/>
    <w:rsid w:val="00336156"/>
    <w:rsid w:val="003361CF"/>
    <w:rsid w:val="00336888"/>
    <w:rsid w:val="00336DA1"/>
    <w:rsid w:val="0033715F"/>
    <w:rsid w:val="003371EB"/>
    <w:rsid w:val="003374A3"/>
    <w:rsid w:val="0034030A"/>
    <w:rsid w:val="00340372"/>
    <w:rsid w:val="00340517"/>
    <w:rsid w:val="0034081F"/>
    <w:rsid w:val="00340893"/>
    <w:rsid w:val="00340AEE"/>
    <w:rsid w:val="00341BAD"/>
    <w:rsid w:val="00341DCF"/>
    <w:rsid w:val="003420AD"/>
    <w:rsid w:val="00342EEF"/>
    <w:rsid w:val="0034382B"/>
    <w:rsid w:val="0034386B"/>
    <w:rsid w:val="003439C9"/>
    <w:rsid w:val="00343F29"/>
    <w:rsid w:val="0034431C"/>
    <w:rsid w:val="003444E9"/>
    <w:rsid w:val="00344A3D"/>
    <w:rsid w:val="00345A52"/>
    <w:rsid w:val="00345BF4"/>
    <w:rsid w:val="00346968"/>
    <w:rsid w:val="003469C4"/>
    <w:rsid w:val="00346E63"/>
    <w:rsid w:val="00347635"/>
    <w:rsid w:val="0035016D"/>
    <w:rsid w:val="00350B93"/>
    <w:rsid w:val="00350EDF"/>
    <w:rsid w:val="00350FA2"/>
    <w:rsid w:val="00351228"/>
    <w:rsid w:val="003513A4"/>
    <w:rsid w:val="00351789"/>
    <w:rsid w:val="00351DF7"/>
    <w:rsid w:val="00352339"/>
    <w:rsid w:val="003529CC"/>
    <w:rsid w:val="00352C6D"/>
    <w:rsid w:val="00353DE8"/>
    <w:rsid w:val="00353FB0"/>
    <w:rsid w:val="003542B6"/>
    <w:rsid w:val="00354EAB"/>
    <w:rsid w:val="00355122"/>
    <w:rsid w:val="00355A82"/>
    <w:rsid w:val="00356012"/>
    <w:rsid w:val="00356292"/>
    <w:rsid w:val="003562B7"/>
    <w:rsid w:val="003563FC"/>
    <w:rsid w:val="003564C2"/>
    <w:rsid w:val="00356BF4"/>
    <w:rsid w:val="003606A5"/>
    <w:rsid w:val="0036082F"/>
    <w:rsid w:val="00360DA7"/>
    <w:rsid w:val="003611BA"/>
    <w:rsid w:val="0036201A"/>
    <w:rsid w:val="003622CB"/>
    <w:rsid w:val="0036258B"/>
    <w:rsid w:val="003626EF"/>
    <w:rsid w:val="00362AC5"/>
    <w:rsid w:val="00362D4F"/>
    <w:rsid w:val="00362E1F"/>
    <w:rsid w:val="0036324E"/>
    <w:rsid w:val="00363274"/>
    <w:rsid w:val="003635AF"/>
    <w:rsid w:val="003636D4"/>
    <w:rsid w:val="00363851"/>
    <w:rsid w:val="0036556C"/>
    <w:rsid w:val="0036569C"/>
    <w:rsid w:val="00365DBF"/>
    <w:rsid w:val="003665BC"/>
    <w:rsid w:val="00366A76"/>
    <w:rsid w:val="003674CC"/>
    <w:rsid w:val="0036750A"/>
    <w:rsid w:val="0036762E"/>
    <w:rsid w:val="00370522"/>
    <w:rsid w:val="003707E7"/>
    <w:rsid w:val="00371D88"/>
    <w:rsid w:val="003723D5"/>
    <w:rsid w:val="00372B53"/>
    <w:rsid w:val="003733D2"/>
    <w:rsid w:val="00373862"/>
    <w:rsid w:val="0037445A"/>
    <w:rsid w:val="003746D4"/>
    <w:rsid w:val="00374716"/>
    <w:rsid w:val="00374DF2"/>
    <w:rsid w:val="003751BB"/>
    <w:rsid w:val="00375438"/>
    <w:rsid w:val="003762A2"/>
    <w:rsid w:val="00376FC2"/>
    <w:rsid w:val="003771D8"/>
    <w:rsid w:val="00380708"/>
    <w:rsid w:val="003808FF"/>
    <w:rsid w:val="00380A09"/>
    <w:rsid w:val="00380FC6"/>
    <w:rsid w:val="0038183F"/>
    <w:rsid w:val="00382472"/>
    <w:rsid w:val="00382612"/>
    <w:rsid w:val="00382B55"/>
    <w:rsid w:val="00382D6C"/>
    <w:rsid w:val="00382FE8"/>
    <w:rsid w:val="00383197"/>
    <w:rsid w:val="00383742"/>
    <w:rsid w:val="00384034"/>
    <w:rsid w:val="003849B6"/>
    <w:rsid w:val="003854C2"/>
    <w:rsid w:val="00385A72"/>
    <w:rsid w:val="0038623B"/>
    <w:rsid w:val="00387031"/>
    <w:rsid w:val="00387751"/>
    <w:rsid w:val="00387A39"/>
    <w:rsid w:val="0039022F"/>
    <w:rsid w:val="00390471"/>
    <w:rsid w:val="003924B5"/>
    <w:rsid w:val="00393214"/>
    <w:rsid w:val="0039338B"/>
    <w:rsid w:val="00393D3A"/>
    <w:rsid w:val="0039432F"/>
    <w:rsid w:val="00394B40"/>
    <w:rsid w:val="00394CA4"/>
    <w:rsid w:val="00394CCD"/>
    <w:rsid w:val="0039664C"/>
    <w:rsid w:val="00396BA8"/>
    <w:rsid w:val="00396E78"/>
    <w:rsid w:val="003A00EB"/>
    <w:rsid w:val="003A023C"/>
    <w:rsid w:val="003A109B"/>
    <w:rsid w:val="003A13B7"/>
    <w:rsid w:val="003A1C04"/>
    <w:rsid w:val="003A231A"/>
    <w:rsid w:val="003A2324"/>
    <w:rsid w:val="003A25D9"/>
    <w:rsid w:val="003A396C"/>
    <w:rsid w:val="003A484E"/>
    <w:rsid w:val="003A4ADC"/>
    <w:rsid w:val="003A4DEA"/>
    <w:rsid w:val="003A5004"/>
    <w:rsid w:val="003A5A67"/>
    <w:rsid w:val="003A5A6A"/>
    <w:rsid w:val="003A5B08"/>
    <w:rsid w:val="003A7FEF"/>
    <w:rsid w:val="003B09B3"/>
    <w:rsid w:val="003B0C0A"/>
    <w:rsid w:val="003B1785"/>
    <w:rsid w:val="003B1CBF"/>
    <w:rsid w:val="003B21A6"/>
    <w:rsid w:val="003B261D"/>
    <w:rsid w:val="003B2B40"/>
    <w:rsid w:val="003B42A2"/>
    <w:rsid w:val="003B50C0"/>
    <w:rsid w:val="003B5334"/>
    <w:rsid w:val="003B55B9"/>
    <w:rsid w:val="003B5889"/>
    <w:rsid w:val="003B58D2"/>
    <w:rsid w:val="003B6360"/>
    <w:rsid w:val="003B676D"/>
    <w:rsid w:val="003B697F"/>
    <w:rsid w:val="003B6F81"/>
    <w:rsid w:val="003B72F9"/>
    <w:rsid w:val="003B78FD"/>
    <w:rsid w:val="003B7BB8"/>
    <w:rsid w:val="003B7C07"/>
    <w:rsid w:val="003C05BD"/>
    <w:rsid w:val="003C0B8D"/>
    <w:rsid w:val="003C0C41"/>
    <w:rsid w:val="003C2F29"/>
    <w:rsid w:val="003C2FBC"/>
    <w:rsid w:val="003C35A3"/>
    <w:rsid w:val="003C3BA0"/>
    <w:rsid w:val="003C430B"/>
    <w:rsid w:val="003C43D3"/>
    <w:rsid w:val="003C5533"/>
    <w:rsid w:val="003C61AB"/>
    <w:rsid w:val="003C6F69"/>
    <w:rsid w:val="003C75BA"/>
    <w:rsid w:val="003C7EEC"/>
    <w:rsid w:val="003D0432"/>
    <w:rsid w:val="003D0735"/>
    <w:rsid w:val="003D0F5A"/>
    <w:rsid w:val="003D12C9"/>
    <w:rsid w:val="003D1739"/>
    <w:rsid w:val="003D1C43"/>
    <w:rsid w:val="003D20BB"/>
    <w:rsid w:val="003D24F7"/>
    <w:rsid w:val="003D3907"/>
    <w:rsid w:val="003D3D2C"/>
    <w:rsid w:val="003D3D8C"/>
    <w:rsid w:val="003D4DF9"/>
    <w:rsid w:val="003D5755"/>
    <w:rsid w:val="003D5BFB"/>
    <w:rsid w:val="003D5F11"/>
    <w:rsid w:val="003D5FCD"/>
    <w:rsid w:val="003D64E2"/>
    <w:rsid w:val="003D6A29"/>
    <w:rsid w:val="003D7511"/>
    <w:rsid w:val="003D769C"/>
    <w:rsid w:val="003D7E8D"/>
    <w:rsid w:val="003E0283"/>
    <w:rsid w:val="003E037A"/>
    <w:rsid w:val="003E174D"/>
    <w:rsid w:val="003E1A55"/>
    <w:rsid w:val="003E28ED"/>
    <w:rsid w:val="003E34B0"/>
    <w:rsid w:val="003E3A13"/>
    <w:rsid w:val="003E4014"/>
    <w:rsid w:val="003E42CA"/>
    <w:rsid w:val="003E44B5"/>
    <w:rsid w:val="003E4A82"/>
    <w:rsid w:val="003E4EF3"/>
    <w:rsid w:val="003E62C8"/>
    <w:rsid w:val="003E781E"/>
    <w:rsid w:val="003E7A47"/>
    <w:rsid w:val="003E7E3F"/>
    <w:rsid w:val="003F004C"/>
    <w:rsid w:val="003F02BE"/>
    <w:rsid w:val="003F0AC8"/>
    <w:rsid w:val="003F10BC"/>
    <w:rsid w:val="003F13DC"/>
    <w:rsid w:val="003F1A88"/>
    <w:rsid w:val="003F2B58"/>
    <w:rsid w:val="003F3129"/>
    <w:rsid w:val="003F3312"/>
    <w:rsid w:val="003F331A"/>
    <w:rsid w:val="003F3320"/>
    <w:rsid w:val="003F3D86"/>
    <w:rsid w:val="003F3EFC"/>
    <w:rsid w:val="003F4160"/>
    <w:rsid w:val="003F5563"/>
    <w:rsid w:val="003F5C97"/>
    <w:rsid w:val="003F6156"/>
    <w:rsid w:val="003F6171"/>
    <w:rsid w:val="003F6EB4"/>
    <w:rsid w:val="003F71D8"/>
    <w:rsid w:val="003F7BBC"/>
    <w:rsid w:val="00400502"/>
    <w:rsid w:val="004015C2"/>
    <w:rsid w:val="00401B41"/>
    <w:rsid w:val="00401DD0"/>
    <w:rsid w:val="0040235E"/>
    <w:rsid w:val="00402555"/>
    <w:rsid w:val="00402975"/>
    <w:rsid w:val="00404340"/>
    <w:rsid w:val="004043D9"/>
    <w:rsid w:val="00404F89"/>
    <w:rsid w:val="0040517F"/>
    <w:rsid w:val="00406D5D"/>
    <w:rsid w:val="0040718F"/>
    <w:rsid w:val="004074D8"/>
    <w:rsid w:val="00407571"/>
    <w:rsid w:val="00410DC9"/>
    <w:rsid w:val="004111C5"/>
    <w:rsid w:val="00411C46"/>
    <w:rsid w:val="0041255A"/>
    <w:rsid w:val="004127B8"/>
    <w:rsid w:val="00412DA2"/>
    <w:rsid w:val="0041454F"/>
    <w:rsid w:val="0041474C"/>
    <w:rsid w:val="0041511E"/>
    <w:rsid w:val="00415A26"/>
    <w:rsid w:val="00415BA0"/>
    <w:rsid w:val="00415BF5"/>
    <w:rsid w:val="00415D44"/>
    <w:rsid w:val="0041704A"/>
    <w:rsid w:val="00417172"/>
    <w:rsid w:val="00417A63"/>
    <w:rsid w:val="00417E9B"/>
    <w:rsid w:val="004202CB"/>
    <w:rsid w:val="0042030D"/>
    <w:rsid w:val="00420619"/>
    <w:rsid w:val="004221CC"/>
    <w:rsid w:val="00422BD2"/>
    <w:rsid w:val="00422C4E"/>
    <w:rsid w:val="0042382F"/>
    <w:rsid w:val="00424BF8"/>
    <w:rsid w:val="00424CC1"/>
    <w:rsid w:val="00424CE7"/>
    <w:rsid w:val="00424D4D"/>
    <w:rsid w:val="004260C0"/>
    <w:rsid w:val="00426463"/>
    <w:rsid w:val="00426C1D"/>
    <w:rsid w:val="00426EB5"/>
    <w:rsid w:val="004271F7"/>
    <w:rsid w:val="00427354"/>
    <w:rsid w:val="004278A5"/>
    <w:rsid w:val="004278BD"/>
    <w:rsid w:val="004300BA"/>
    <w:rsid w:val="0043028F"/>
    <w:rsid w:val="004303FF"/>
    <w:rsid w:val="004307CB"/>
    <w:rsid w:val="00433F9A"/>
    <w:rsid w:val="004342DB"/>
    <w:rsid w:val="004344C1"/>
    <w:rsid w:val="00434FA6"/>
    <w:rsid w:val="00435639"/>
    <w:rsid w:val="00435A0F"/>
    <w:rsid w:val="00435A30"/>
    <w:rsid w:val="00436947"/>
    <w:rsid w:val="00437640"/>
    <w:rsid w:val="0044033A"/>
    <w:rsid w:val="0044040B"/>
    <w:rsid w:val="00440FA8"/>
    <w:rsid w:val="00440FCC"/>
    <w:rsid w:val="00441C5A"/>
    <w:rsid w:val="00442240"/>
    <w:rsid w:val="0044244D"/>
    <w:rsid w:val="00442714"/>
    <w:rsid w:val="00442795"/>
    <w:rsid w:val="00443CA5"/>
    <w:rsid w:val="00444AE2"/>
    <w:rsid w:val="00444DFB"/>
    <w:rsid w:val="00444F21"/>
    <w:rsid w:val="0044603A"/>
    <w:rsid w:val="004468E2"/>
    <w:rsid w:val="00446988"/>
    <w:rsid w:val="00446B13"/>
    <w:rsid w:val="00446F70"/>
    <w:rsid w:val="00446FDF"/>
    <w:rsid w:val="0044764C"/>
    <w:rsid w:val="00447B59"/>
    <w:rsid w:val="004507B9"/>
    <w:rsid w:val="00451632"/>
    <w:rsid w:val="00451B37"/>
    <w:rsid w:val="0045341B"/>
    <w:rsid w:val="004537B7"/>
    <w:rsid w:val="00453DEB"/>
    <w:rsid w:val="00453F4F"/>
    <w:rsid w:val="00454000"/>
    <w:rsid w:val="0045412C"/>
    <w:rsid w:val="00454337"/>
    <w:rsid w:val="00454991"/>
    <w:rsid w:val="00454E94"/>
    <w:rsid w:val="004550C2"/>
    <w:rsid w:val="00456180"/>
    <w:rsid w:val="004561FA"/>
    <w:rsid w:val="004562F9"/>
    <w:rsid w:val="00456661"/>
    <w:rsid w:val="00456931"/>
    <w:rsid w:val="00456B45"/>
    <w:rsid w:val="004576F5"/>
    <w:rsid w:val="00457B2D"/>
    <w:rsid w:val="00461094"/>
    <w:rsid w:val="00461434"/>
    <w:rsid w:val="004614EB"/>
    <w:rsid w:val="00461CA6"/>
    <w:rsid w:val="00461E57"/>
    <w:rsid w:val="0046260D"/>
    <w:rsid w:val="00462C8E"/>
    <w:rsid w:val="00462D4E"/>
    <w:rsid w:val="00462DD1"/>
    <w:rsid w:val="00463420"/>
    <w:rsid w:val="0046350C"/>
    <w:rsid w:val="00464D57"/>
    <w:rsid w:val="00465560"/>
    <w:rsid w:val="00465A45"/>
    <w:rsid w:val="00465E6C"/>
    <w:rsid w:val="00465F92"/>
    <w:rsid w:val="00467425"/>
    <w:rsid w:val="00467944"/>
    <w:rsid w:val="004714EF"/>
    <w:rsid w:val="0047163E"/>
    <w:rsid w:val="00471CF1"/>
    <w:rsid w:val="00471E61"/>
    <w:rsid w:val="004726BC"/>
    <w:rsid w:val="00472885"/>
    <w:rsid w:val="0047358C"/>
    <w:rsid w:val="00473B75"/>
    <w:rsid w:val="00473D52"/>
    <w:rsid w:val="00473F99"/>
    <w:rsid w:val="004745E3"/>
    <w:rsid w:val="00474FCE"/>
    <w:rsid w:val="0047671D"/>
    <w:rsid w:val="00476B50"/>
    <w:rsid w:val="00476B76"/>
    <w:rsid w:val="00477A9C"/>
    <w:rsid w:val="004802DB"/>
    <w:rsid w:val="0048040C"/>
    <w:rsid w:val="0048190B"/>
    <w:rsid w:val="00482224"/>
    <w:rsid w:val="00482278"/>
    <w:rsid w:val="0048259C"/>
    <w:rsid w:val="0048386C"/>
    <w:rsid w:val="00483BF2"/>
    <w:rsid w:val="00483D91"/>
    <w:rsid w:val="004846F0"/>
    <w:rsid w:val="004847C4"/>
    <w:rsid w:val="004859C0"/>
    <w:rsid w:val="004859EB"/>
    <w:rsid w:val="0048640D"/>
    <w:rsid w:val="0048664E"/>
    <w:rsid w:val="00486732"/>
    <w:rsid w:val="00486882"/>
    <w:rsid w:val="00487173"/>
    <w:rsid w:val="00487C22"/>
    <w:rsid w:val="00490108"/>
    <w:rsid w:val="004909B0"/>
    <w:rsid w:val="004909E2"/>
    <w:rsid w:val="00490EE7"/>
    <w:rsid w:val="00491D58"/>
    <w:rsid w:val="00492C05"/>
    <w:rsid w:val="00492D8C"/>
    <w:rsid w:val="00492FBC"/>
    <w:rsid w:val="004935B2"/>
    <w:rsid w:val="00493962"/>
    <w:rsid w:val="0049438B"/>
    <w:rsid w:val="00494D11"/>
    <w:rsid w:val="004957DC"/>
    <w:rsid w:val="004957DF"/>
    <w:rsid w:val="00495CBB"/>
    <w:rsid w:val="00495E64"/>
    <w:rsid w:val="00496062"/>
    <w:rsid w:val="0049611C"/>
    <w:rsid w:val="00496610"/>
    <w:rsid w:val="00496F9C"/>
    <w:rsid w:val="004970A9"/>
    <w:rsid w:val="004976CE"/>
    <w:rsid w:val="004A18F7"/>
    <w:rsid w:val="004A3C73"/>
    <w:rsid w:val="004A4619"/>
    <w:rsid w:val="004A50F3"/>
    <w:rsid w:val="004A574E"/>
    <w:rsid w:val="004A6CA2"/>
    <w:rsid w:val="004A70DF"/>
    <w:rsid w:val="004A73D3"/>
    <w:rsid w:val="004A74B1"/>
    <w:rsid w:val="004B009A"/>
    <w:rsid w:val="004B064E"/>
    <w:rsid w:val="004B083E"/>
    <w:rsid w:val="004B08C2"/>
    <w:rsid w:val="004B0E3C"/>
    <w:rsid w:val="004B1D45"/>
    <w:rsid w:val="004B1F48"/>
    <w:rsid w:val="004B24C4"/>
    <w:rsid w:val="004B2544"/>
    <w:rsid w:val="004B2B5D"/>
    <w:rsid w:val="004B2B73"/>
    <w:rsid w:val="004B2C78"/>
    <w:rsid w:val="004B2FC2"/>
    <w:rsid w:val="004B31BA"/>
    <w:rsid w:val="004B3B05"/>
    <w:rsid w:val="004B3D3A"/>
    <w:rsid w:val="004B4184"/>
    <w:rsid w:val="004B445A"/>
    <w:rsid w:val="004B4AD8"/>
    <w:rsid w:val="004B5451"/>
    <w:rsid w:val="004B5B92"/>
    <w:rsid w:val="004B5C32"/>
    <w:rsid w:val="004B63E2"/>
    <w:rsid w:val="004B6A9D"/>
    <w:rsid w:val="004B77AD"/>
    <w:rsid w:val="004B7C67"/>
    <w:rsid w:val="004C00F6"/>
    <w:rsid w:val="004C02AD"/>
    <w:rsid w:val="004C0C13"/>
    <w:rsid w:val="004C0D4A"/>
    <w:rsid w:val="004C1398"/>
    <w:rsid w:val="004C15C7"/>
    <w:rsid w:val="004C29D8"/>
    <w:rsid w:val="004C3180"/>
    <w:rsid w:val="004C46F7"/>
    <w:rsid w:val="004C4984"/>
    <w:rsid w:val="004C4E6C"/>
    <w:rsid w:val="004C71CE"/>
    <w:rsid w:val="004C7EE5"/>
    <w:rsid w:val="004D01D6"/>
    <w:rsid w:val="004D0814"/>
    <w:rsid w:val="004D15E6"/>
    <w:rsid w:val="004D1643"/>
    <w:rsid w:val="004D2066"/>
    <w:rsid w:val="004D283D"/>
    <w:rsid w:val="004D2E82"/>
    <w:rsid w:val="004D3150"/>
    <w:rsid w:val="004D3194"/>
    <w:rsid w:val="004D36EC"/>
    <w:rsid w:val="004D3766"/>
    <w:rsid w:val="004D3F6F"/>
    <w:rsid w:val="004D4086"/>
    <w:rsid w:val="004D41BA"/>
    <w:rsid w:val="004D4849"/>
    <w:rsid w:val="004D5940"/>
    <w:rsid w:val="004D5D35"/>
    <w:rsid w:val="004D6287"/>
    <w:rsid w:val="004D69E8"/>
    <w:rsid w:val="004D7829"/>
    <w:rsid w:val="004D7938"/>
    <w:rsid w:val="004D7999"/>
    <w:rsid w:val="004D7E77"/>
    <w:rsid w:val="004E01B2"/>
    <w:rsid w:val="004E0423"/>
    <w:rsid w:val="004E06EC"/>
    <w:rsid w:val="004E12DC"/>
    <w:rsid w:val="004E1526"/>
    <w:rsid w:val="004E1917"/>
    <w:rsid w:val="004E23B0"/>
    <w:rsid w:val="004E25AF"/>
    <w:rsid w:val="004E25CB"/>
    <w:rsid w:val="004E26DF"/>
    <w:rsid w:val="004E327F"/>
    <w:rsid w:val="004E4058"/>
    <w:rsid w:val="004E4775"/>
    <w:rsid w:val="004E4FE5"/>
    <w:rsid w:val="004E55B6"/>
    <w:rsid w:val="004E5A4D"/>
    <w:rsid w:val="004E6640"/>
    <w:rsid w:val="004E69C2"/>
    <w:rsid w:val="004E7D75"/>
    <w:rsid w:val="004F031D"/>
    <w:rsid w:val="004F0A8E"/>
    <w:rsid w:val="004F0EB9"/>
    <w:rsid w:val="004F18C6"/>
    <w:rsid w:val="004F19B2"/>
    <w:rsid w:val="004F2992"/>
    <w:rsid w:val="004F2CE8"/>
    <w:rsid w:val="004F3616"/>
    <w:rsid w:val="004F4034"/>
    <w:rsid w:val="004F43B6"/>
    <w:rsid w:val="004F66C8"/>
    <w:rsid w:val="004F6B29"/>
    <w:rsid w:val="004F6E26"/>
    <w:rsid w:val="004F77AC"/>
    <w:rsid w:val="004F7A6D"/>
    <w:rsid w:val="004F7D21"/>
    <w:rsid w:val="004F7E07"/>
    <w:rsid w:val="0050017D"/>
    <w:rsid w:val="0050219A"/>
    <w:rsid w:val="00502ACE"/>
    <w:rsid w:val="0050346F"/>
    <w:rsid w:val="00503606"/>
    <w:rsid w:val="00503764"/>
    <w:rsid w:val="005037F9"/>
    <w:rsid w:val="00504095"/>
    <w:rsid w:val="005042BC"/>
    <w:rsid w:val="00505213"/>
    <w:rsid w:val="00506788"/>
    <w:rsid w:val="0050787B"/>
    <w:rsid w:val="005100F6"/>
    <w:rsid w:val="00510D4E"/>
    <w:rsid w:val="00510E2C"/>
    <w:rsid w:val="005111CE"/>
    <w:rsid w:val="0051228F"/>
    <w:rsid w:val="00513247"/>
    <w:rsid w:val="00513957"/>
    <w:rsid w:val="00513B9C"/>
    <w:rsid w:val="00513BBB"/>
    <w:rsid w:val="005149E2"/>
    <w:rsid w:val="00515551"/>
    <w:rsid w:val="00515AE4"/>
    <w:rsid w:val="00515E51"/>
    <w:rsid w:val="0051650E"/>
    <w:rsid w:val="00516769"/>
    <w:rsid w:val="00516970"/>
    <w:rsid w:val="00516F53"/>
    <w:rsid w:val="00517A00"/>
    <w:rsid w:val="00517EF1"/>
    <w:rsid w:val="00520ECA"/>
    <w:rsid w:val="005214D3"/>
    <w:rsid w:val="00521DD0"/>
    <w:rsid w:val="00521FC1"/>
    <w:rsid w:val="00521FF6"/>
    <w:rsid w:val="0052268B"/>
    <w:rsid w:val="005226BA"/>
    <w:rsid w:val="00522FCD"/>
    <w:rsid w:val="00523428"/>
    <w:rsid w:val="0052414D"/>
    <w:rsid w:val="0052499C"/>
    <w:rsid w:val="00526808"/>
    <w:rsid w:val="00526E38"/>
    <w:rsid w:val="0052712B"/>
    <w:rsid w:val="0052750F"/>
    <w:rsid w:val="0053027F"/>
    <w:rsid w:val="005305AD"/>
    <w:rsid w:val="00530CE9"/>
    <w:rsid w:val="005315FF"/>
    <w:rsid w:val="00531AD3"/>
    <w:rsid w:val="00533A3E"/>
    <w:rsid w:val="00533D4D"/>
    <w:rsid w:val="0053573E"/>
    <w:rsid w:val="00536328"/>
    <w:rsid w:val="00536910"/>
    <w:rsid w:val="005375C2"/>
    <w:rsid w:val="00537B85"/>
    <w:rsid w:val="00537E3E"/>
    <w:rsid w:val="00540642"/>
    <w:rsid w:val="0054074D"/>
    <w:rsid w:val="00540E5D"/>
    <w:rsid w:val="00541112"/>
    <w:rsid w:val="00541317"/>
    <w:rsid w:val="00541602"/>
    <w:rsid w:val="0054176B"/>
    <w:rsid w:val="00543864"/>
    <w:rsid w:val="00543BFC"/>
    <w:rsid w:val="005449BD"/>
    <w:rsid w:val="005449F6"/>
    <w:rsid w:val="005458AB"/>
    <w:rsid w:val="005467DC"/>
    <w:rsid w:val="005473DD"/>
    <w:rsid w:val="0054774D"/>
    <w:rsid w:val="00547D84"/>
    <w:rsid w:val="00550BE3"/>
    <w:rsid w:val="00550CBB"/>
    <w:rsid w:val="0055246D"/>
    <w:rsid w:val="005526FD"/>
    <w:rsid w:val="00553263"/>
    <w:rsid w:val="005532E8"/>
    <w:rsid w:val="00553857"/>
    <w:rsid w:val="00553999"/>
    <w:rsid w:val="00553DC3"/>
    <w:rsid w:val="00554634"/>
    <w:rsid w:val="005547B0"/>
    <w:rsid w:val="0055490C"/>
    <w:rsid w:val="00554FA0"/>
    <w:rsid w:val="005551CC"/>
    <w:rsid w:val="005556F9"/>
    <w:rsid w:val="00556D9A"/>
    <w:rsid w:val="00557ED9"/>
    <w:rsid w:val="0056015D"/>
    <w:rsid w:val="005606B6"/>
    <w:rsid w:val="00560731"/>
    <w:rsid w:val="00561BE1"/>
    <w:rsid w:val="00561C3C"/>
    <w:rsid w:val="00562230"/>
    <w:rsid w:val="005624BD"/>
    <w:rsid w:val="005624E8"/>
    <w:rsid w:val="00562DF3"/>
    <w:rsid w:val="005630C5"/>
    <w:rsid w:val="0056382B"/>
    <w:rsid w:val="00564A05"/>
    <w:rsid w:val="00564EAC"/>
    <w:rsid w:val="00564F27"/>
    <w:rsid w:val="00565C9E"/>
    <w:rsid w:val="00567554"/>
    <w:rsid w:val="00567692"/>
    <w:rsid w:val="00567DB8"/>
    <w:rsid w:val="00570322"/>
    <w:rsid w:val="00570A6F"/>
    <w:rsid w:val="00570EE7"/>
    <w:rsid w:val="00571085"/>
    <w:rsid w:val="00571527"/>
    <w:rsid w:val="00571CC6"/>
    <w:rsid w:val="00571D0C"/>
    <w:rsid w:val="00572543"/>
    <w:rsid w:val="005725F8"/>
    <w:rsid w:val="005735EE"/>
    <w:rsid w:val="00573A6E"/>
    <w:rsid w:val="00574A9B"/>
    <w:rsid w:val="00575152"/>
    <w:rsid w:val="00575CA1"/>
    <w:rsid w:val="005764D6"/>
    <w:rsid w:val="00577303"/>
    <w:rsid w:val="005777B1"/>
    <w:rsid w:val="005805F7"/>
    <w:rsid w:val="0058225D"/>
    <w:rsid w:val="005825AC"/>
    <w:rsid w:val="00582987"/>
    <w:rsid w:val="005832D4"/>
    <w:rsid w:val="00583A78"/>
    <w:rsid w:val="0058496E"/>
    <w:rsid w:val="00584F64"/>
    <w:rsid w:val="00585709"/>
    <w:rsid w:val="005859A7"/>
    <w:rsid w:val="00585DD2"/>
    <w:rsid w:val="00586C1B"/>
    <w:rsid w:val="0058739A"/>
    <w:rsid w:val="00590850"/>
    <w:rsid w:val="00590AF6"/>
    <w:rsid w:val="005910C0"/>
    <w:rsid w:val="005916C7"/>
    <w:rsid w:val="00591751"/>
    <w:rsid w:val="00591D78"/>
    <w:rsid w:val="005926DC"/>
    <w:rsid w:val="005931B8"/>
    <w:rsid w:val="005931C1"/>
    <w:rsid w:val="0059350F"/>
    <w:rsid w:val="00593661"/>
    <w:rsid w:val="005941A4"/>
    <w:rsid w:val="00594816"/>
    <w:rsid w:val="00594D06"/>
    <w:rsid w:val="00594F2F"/>
    <w:rsid w:val="00595145"/>
    <w:rsid w:val="00595418"/>
    <w:rsid w:val="00595B71"/>
    <w:rsid w:val="0059657E"/>
    <w:rsid w:val="00596E14"/>
    <w:rsid w:val="00597249"/>
    <w:rsid w:val="005A0102"/>
    <w:rsid w:val="005A0324"/>
    <w:rsid w:val="005A1159"/>
    <w:rsid w:val="005A2CEC"/>
    <w:rsid w:val="005A2D17"/>
    <w:rsid w:val="005A3262"/>
    <w:rsid w:val="005A4829"/>
    <w:rsid w:val="005A7F3F"/>
    <w:rsid w:val="005B0103"/>
    <w:rsid w:val="005B09CA"/>
    <w:rsid w:val="005B0F1F"/>
    <w:rsid w:val="005B1DEB"/>
    <w:rsid w:val="005B275D"/>
    <w:rsid w:val="005B337C"/>
    <w:rsid w:val="005B37B5"/>
    <w:rsid w:val="005B43FA"/>
    <w:rsid w:val="005B45F5"/>
    <w:rsid w:val="005B5196"/>
    <w:rsid w:val="005B5200"/>
    <w:rsid w:val="005B5FF4"/>
    <w:rsid w:val="005B6C6E"/>
    <w:rsid w:val="005B6DD2"/>
    <w:rsid w:val="005B7AAD"/>
    <w:rsid w:val="005C0524"/>
    <w:rsid w:val="005C0528"/>
    <w:rsid w:val="005C07BC"/>
    <w:rsid w:val="005C20CB"/>
    <w:rsid w:val="005C2650"/>
    <w:rsid w:val="005C2865"/>
    <w:rsid w:val="005C2A5D"/>
    <w:rsid w:val="005C2AA8"/>
    <w:rsid w:val="005C2FBC"/>
    <w:rsid w:val="005C337A"/>
    <w:rsid w:val="005C349B"/>
    <w:rsid w:val="005C351C"/>
    <w:rsid w:val="005C3E84"/>
    <w:rsid w:val="005C5620"/>
    <w:rsid w:val="005C5B3F"/>
    <w:rsid w:val="005C6338"/>
    <w:rsid w:val="005D02E5"/>
    <w:rsid w:val="005D0F87"/>
    <w:rsid w:val="005D1132"/>
    <w:rsid w:val="005D1224"/>
    <w:rsid w:val="005D1A88"/>
    <w:rsid w:val="005D1B49"/>
    <w:rsid w:val="005D216D"/>
    <w:rsid w:val="005D2625"/>
    <w:rsid w:val="005D29D5"/>
    <w:rsid w:val="005D3A40"/>
    <w:rsid w:val="005D3B22"/>
    <w:rsid w:val="005D3DB2"/>
    <w:rsid w:val="005D3EA6"/>
    <w:rsid w:val="005D486C"/>
    <w:rsid w:val="005D51F6"/>
    <w:rsid w:val="005D70FE"/>
    <w:rsid w:val="005D7E3D"/>
    <w:rsid w:val="005E212D"/>
    <w:rsid w:val="005E23CC"/>
    <w:rsid w:val="005E2E0E"/>
    <w:rsid w:val="005E3669"/>
    <w:rsid w:val="005E67E6"/>
    <w:rsid w:val="005E7E3F"/>
    <w:rsid w:val="005E7F21"/>
    <w:rsid w:val="005F06F8"/>
    <w:rsid w:val="005F1C36"/>
    <w:rsid w:val="005F22DA"/>
    <w:rsid w:val="005F27C7"/>
    <w:rsid w:val="005F3007"/>
    <w:rsid w:val="005F4623"/>
    <w:rsid w:val="005F5935"/>
    <w:rsid w:val="005F5A63"/>
    <w:rsid w:val="005F5C1C"/>
    <w:rsid w:val="005F6039"/>
    <w:rsid w:val="005F6111"/>
    <w:rsid w:val="005F62C2"/>
    <w:rsid w:val="005F62FB"/>
    <w:rsid w:val="005F6FD1"/>
    <w:rsid w:val="005F7513"/>
    <w:rsid w:val="005F75FB"/>
    <w:rsid w:val="005F7C9B"/>
    <w:rsid w:val="005F7F72"/>
    <w:rsid w:val="00600A75"/>
    <w:rsid w:val="006011F4"/>
    <w:rsid w:val="006013B4"/>
    <w:rsid w:val="00601C9C"/>
    <w:rsid w:val="00601E2D"/>
    <w:rsid w:val="006021B8"/>
    <w:rsid w:val="00603056"/>
    <w:rsid w:val="0060399C"/>
    <w:rsid w:val="00603F82"/>
    <w:rsid w:val="006048D2"/>
    <w:rsid w:val="0060576B"/>
    <w:rsid w:val="006060BE"/>
    <w:rsid w:val="0060638D"/>
    <w:rsid w:val="00610ED2"/>
    <w:rsid w:val="006115C9"/>
    <w:rsid w:val="006119DA"/>
    <w:rsid w:val="00611D81"/>
    <w:rsid w:val="00611E95"/>
    <w:rsid w:val="00611EE7"/>
    <w:rsid w:val="00611FC4"/>
    <w:rsid w:val="006127A0"/>
    <w:rsid w:val="00612851"/>
    <w:rsid w:val="00612867"/>
    <w:rsid w:val="006136D2"/>
    <w:rsid w:val="00613959"/>
    <w:rsid w:val="006139CF"/>
    <w:rsid w:val="00614892"/>
    <w:rsid w:val="00614EC4"/>
    <w:rsid w:val="0061508D"/>
    <w:rsid w:val="00615479"/>
    <w:rsid w:val="006156AF"/>
    <w:rsid w:val="006157D8"/>
    <w:rsid w:val="00615D62"/>
    <w:rsid w:val="006161ED"/>
    <w:rsid w:val="00616878"/>
    <w:rsid w:val="00616908"/>
    <w:rsid w:val="00616DAE"/>
    <w:rsid w:val="00621225"/>
    <w:rsid w:val="00622435"/>
    <w:rsid w:val="0062302A"/>
    <w:rsid w:val="006234B3"/>
    <w:rsid w:val="00624837"/>
    <w:rsid w:val="006263FC"/>
    <w:rsid w:val="00626614"/>
    <w:rsid w:val="00627375"/>
    <w:rsid w:val="00627F7E"/>
    <w:rsid w:val="0063040B"/>
    <w:rsid w:val="00630AD2"/>
    <w:rsid w:val="00630EE3"/>
    <w:rsid w:val="006312ED"/>
    <w:rsid w:val="00631FA7"/>
    <w:rsid w:val="006323A7"/>
    <w:rsid w:val="00632B35"/>
    <w:rsid w:val="00632D2F"/>
    <w:rsid w:val="006340D8"/>
    <w:rsid w:val="006342C9"/>
    <w:rsid w:val="0063430B"/>
    <w:rsid w:val="00634955"/>
    <w:rsid w:val="0063541E"/>
    <w:rsid w:val="00636559"/>
    <w:rsid w:val="00636598"/>
    <w:rsid w:val="006377CE"/>
    <w:rsid w:val="0064144A"/>
    <w:rsid w:val="00641B18"/>
    <w:rsid w:val="0064298D"/>
    <w:rsid w:val="00642AC0"/>
    <w:rsid w:val="006430A7"/>
    <w:rsid w:val="0064368A"/>
    <w:rsid w:val="0064454F"/>
    <w:rsid w:val="0064473F"/>
    <w:rsid w:val="00644C0D"/>
    <w:rsid w:val="006461C1"/>
    <w:rsid w:val="006465A1"/>
    <w:rsid w:val="00646E05"/>
    <w:rsid w:val="00647093"/>
    <w:rsid w:val="0064735F"/>
    <w:rsid w:val="00647DA0"/>
    <w:rsid w:val="00651D29"/>
    <w:rsid w:val="00653A0C"/>
    <w:rsid w:val="00653D0A"/>
    <w:rsid w:val="00653D82"/>
    <w:rsid w:val="006540AD"/>
    <w:rsid w:val="00654396"/>
    <w:rsid w:val="006545E5"/>
    <w:rsid w:val="0065546D"/>
    <w:rsid w:val="0065546E"/>
    <w:rsid w:val="0065568F"/>
    <w:rsid w:val="00656116"/>
    <w:rsid w:val="006573EC"/>
    <w:rsid w:val="00657727"/>
    <w:rsid w:val="006578D4"/>
    <w:rsid w:val="00660115"/>
    <w:rsid w:val="00661163"/>
    <w:rsid w:val="006616C0"/>
    <w:rsid w:val="00661C31"/>
    <w:rsid w:val="00661E71"/>
    <w:rsid w:val="006630B7"/>
    <w:rsid w:val="00663E05"/>
    <w:rsid w:val="00663F9F"/>
    <w:rsid w:val="006655BB"/>
    <w:rsid w:val="00665A91"/>
    <w:rsid w:val="00665CD0"/>
    <w:rsid w:val="00665EEB"/>
    <w:rsid w:val="00666799"/>
    <w:rsid w:val="006675DA"/>
    <w:rsid w:val="00670977"/>
    <w:rsid w:val="006719FE"/>
    <w:rsid w:val="00671B9A"/>
    <w:rsid w:val="006722F6"/>
    <w:rsid w:val="00672B58"/>
    <w:rsid w:val="006730D7"/>
    <w:rsid w:val="00673318"/>
    <w:rsid w:val="00673807"/>
    <w:rsid w:val="00673C95"/>
    <w:rsid w:val="00673FC1"/>
    <w:rsid w:val="0067441C"/>
    <w:rsid w:val="006744BC"/>
    <w:rsid w:val="00674E73"/>
    <w:rsid w:val="00675AE3"/>
    <w:rsid w:val="00675B40"/>
    <w:rsid w:val="00675EE4"/>
    <w:rsid w:val="00677710"/>
    <w:rsid w:val="006815D6"/>
    <w:rsid w:val="006818C1"/>
    <w:rsid w:val="00682111"/>
    <w:rsid w:val="006831C5"/>
    <w:rsid w:val="00683263"/>
    <w:rsid w:val="00683EA2"/>
    <w:rsid w:val="006842D8"/>
    <w:rsid w:val="00684BD0"/>
    <w:rsid w:val="00684E20"/>
    <w:rsid w:val="00685A6E"/>
    <w:rsid w:val="00685C83"/>
    <w:rsid w:val="00685F47"/>
    <w:rsid w:val="0068648C"/>
    <w:rsid w:val="0068673F"/>
    <w:rsid w:val="00686A3F"/>
    <w:rsid w:val="00687374"/>
    <w:rsid w:val="00687F7C"/>
    <w:rsid w:val="00690326"/>
    <w:rsid w:val="00690339"/>
    <w:rsid w:val="00690480"/>
    <w:rsid w:val="00691A49"/>
    <w:rsid w:val="00691CE7"/>
    <w:rsid w:val="00691DEE"/>
    <w:rsid w:val="0069318B"/>
    <w:rsid w:val="006931AB"/>
    <w:rsid w:val="00693686"/>
    <w:rsid w:val="00693B42"/>
    <w:rsid w:val="006943C2"/>
    <w:rsid w:val="006955CE"/>
    <w:rsid w:val="00696141"/>
    <w:rsid w:val="006966E1"/>
    <w:rsid w:val="00696B4D"/>
    <w:rsid w:val="00696DF7"/>
    <w:rsid w:val="006970C4"/>
    <w:rsid w:val="006A03DA"/>
    <w:rsid w:val="006A0818"/>
    <w:rsid w:val="006A0940"/>
    <w:rsid w:val="006A11CE"/>
    <w:rsid w:val="006A1755"/>
    <w:rsid w:val="006A17A7"/>
    <w:rsid w:val="006A2BED"/>
    <w:rsid w:val="006A2D8E"/>
    <w:rsid w:val="006A35A6"/>
    <w:rsid w:val="006A3653"/>
    <w:rsid w:val="006A44C3"/>
    <w:rsid w:val="006A4FAB"/>
    <w:rsid w:val="006A5261"/>
    <w:rsid w:val="006A5CBA"/>
    <w:rsid w:val="006A5D02"/>
    <w:rsid w:val="006A634F"/>
    <w:rsid w:val="006A7A56"/>
    <w:rsid w:val="006B0593"/>
    <w:rsid w:val="006B0734"/>
    <w:rsid w:val="006B0A46"/>
    <w:rsid w:val="006B21DE"/>
    <w:rsid w:val="006B2AC5"/>
    <w:rsid w:val="006B2DF0"/>
    <w:rsid w:val="006B41AF"/>
    <w:rsid w:val="006B46DF"/>
    <w:rsid w:val="006B4BBD"/>
    <w:rsid w:val="006B5078"/>
    <w:rsid w:val="006B609D"/>
    <w:rsid w:val="006C0087"/>
    <w:rsid w:val="006C05AF"/>
    <w:rsid w:val="006C06C0"/>
    <w:rsid w:val="006C0D91"/>
    <w:rsid w:val="006C13BD"/>
    <w:rsid w:val="006C14B2"/>
    <w:rsid w:val="006C179C"/>
    <w:rsid w:val="006C1E1F"/>
    <w:rsid w:val="006C21BF"/>
    <w:rsid w:val="006C26E4"/>
    <w:rsid w:val="006C27A3"/>
    <w:rsid w:val="006C292A"/>
    <w:rsid w:val="006C4A87"/>
    <w:rsid w:val="006C52F9"/>
    <w:rsid w:val="006C53E6"/>
    <w:rsid w:val="006C53F1"/>
    <w:rsid w:val="006C5489"/>
    <w:rsid w:val="006C60EA"/>
    <w:rsid w:val="006C68CB"/>
    <w:rsid w:val="006D0537"/>
    <w:rsid w:val="006D058C"/>
    <w:rsid w:val="006D087D"/>
    <w:rsid w:val="006D0F11"/>
    <w:rsid w:val="006D0FC3"/>
    <w:rsid w:val="006D10B0"/>
    <w:rsid w:val="006D19A1"/>
    <w:rsid w:val="006D240F"/>
    <w:rsid w:val="006D2F66"/>
    <w:rsid w:val="006D31AD"/>
    <w:rsid w:val="006D34A6"/>
    <w:rsid w:val="006D35DE"/>
    <w:rsid w:val="006D3AEC"/>
    <w:rsid w:val="006D3C96"/>
    <w:rsid w:val="006D476F"/>
    <w:rsid w:val="006D5B46"/>
    <w:rsid w:val="006D5C64"/>
    <w:rsid w:val="006D6EC5"/>
    <w:rsid w:val="006D74D5"/>
    <w:rsid w:val="006D770E"/>
    <w:rsid w:val="006D77A1"/>
    <w:rsid w:val="006D7A39"/>
    <w:rsid w:val="006E0519"/>
    <w:rsid w:val="006E089C"/>
    <w:rsid w:val="006E1352"/>
    <w:rsid w:val="006E1509"/>
    <w:rsid w:val="006E1533"/>
    <w:rsid w:val="006E241E"/>
    <w:rsid w:val="006E249D"/>
    <w:rsid w:val="006E2840"/>
    <w:rsid w:val="006E29BC"/>
    <w:rsid w:val="006E2A6E"/>
    <w:rsid w:val="006E2BFE"/>
    <w:rsid w:val="006E3461"/>
    <w:rsid w:val="006E4AE4"/>
    <w:rsid w:val="006E4CC3"/>
    <w:rsid w:val="006E4DA7"/>
    <w:rsid w:val="006E5D51"/>
    <w:rsid w:val="006E62A1"/>
    <w:rsid w:val="006E73C5"/>
    <w:rsid w:val="006F0750"/>
    <w:rsid w:val="006F0A59"/>
    <w:rsid w:val="006F1180"/>
    <w:rsid w:val="006F1AC5"/>
    <w:rsid w:val="006F2085"/>
    <w:rsid w:val="006F21AA"/>
    <w:rsid w:val="006F293B"/>
    <w:rsid w:val="006F29B1"/>
    <w:rsid w:val="006F2BEF"/>
    <w:rsid w:val="006F36FF"/>
    <w:rsid w:val="006F3C81"/>
    <w:rsid w:val="006F3CFD"/>
    <w:rsid w:val="006F45C3"/>
    <w:rsid w:val="006F50F5"/>
    <w:rsid w:val="006F5706"/>
    <w:rsid w:val="006F5731"/>
    <w:rsid w:val="006F5983"/>
    <w:rsid w:val="006F643F"/>
    <w:rsid w:val="006F7069"/>
    <w:rsid w:val="006F7706"/>
    <w:rsid w:val="006F7B5D"/>
    <w:rsid w:val="006F7B76"/>
    <w:rsid w:val="006F7E2E"/>
    <w:rsid w:val="006F7F53"/>
    <w:rsid w:val="007005D8"/>
    <w:rsid w:val="0070087F"/>
    <w:rsid w:val="00700998"/>
    <w:rsid w:val="00700BD8"/>
    <w:rsid w:val="0070173E"/>
    <w:rsid w:val="007019AA"/>
    <w:rsid w:val="007022F0"/>
    <w:rsid w:val="007028E4"/>
    <w:rsid w:val="00702CBD"/>
    <w:rsid w:val="0070311C"/>
    <w:rsid w:val="00703151"/>
    <w:rsid w:val="00703346"/>
    <w:rsid w:val="00703826"/>
    <w:rsid w:val="00703B73"/>
    <w:rsid w:val="00703D6A"/>
    <w:rsid w:val="00704A6A"/>
    <w:rsid w:val="00706218"/>
    <w:rsid w:val="0070674A"/>
    <w:rsid w:val="00706C0C"/>
    <w:rsid w:val="007079D3"/>
    <w:rsid w:val="00707B93"/>
    <w:rsid w:val="00710976"/>
    <w:rsid w:val="00710DA6"/>
    <w:rsid w:val="007110B0"/>
    <w:rsid w:val="00711B74"/>
    <w:rsid w:val="0071248D"/>
    <w:rsid w:val="00712C47"/>
    <w:rsid w:val="00712E4D"/>
    <w:rsid w:val="00713754"/>
    <w:rsid w:val="00714D62"/>
    <w:rsid w:val="00714EF2"/>
    <w:rsid w:val="007159D8"/>
    <w:rsid w:val="007166F5"/>
    <w:rsid w:val="007178A3"/>
    <w:rsid w:val="00717B2E"/>
    <w:rsid w:val="0072047F"/>
    <w:rsid w:val="00721AC4"/>
    <w:rsid w:val="00721DF0"/>
    <w:rsid w:val="00722A05"/>
    <w:rsid w:val="00722EC5"/>
    <w:rsid w:val="00723880"/>
    <w:rsid w:val="00724715"/>
    <w:rsid w:val="0072491B"/>
    <w:rsid w:val="00724E7B"/>
    <w:rsid w:val="007250A3"/>
    <w:rsid w:val="007258F9"/>
    <w:rsid w:val="00725B23"/>
    <w:rsid w:val="00726323"/>
    <w:rsid w:val="00726EA0"/>
    <w:rsid w:val="00727667"/>
    <w:rsid w:val="007309BB"/>
    <w:rsid w:val="00730A1E"/>
    <w:rsid w:val="00730A99"/>
    <w:rsid w:val="00731248"/>
    <w:rsid w:val="00731B38"/>
    <w:rsid w:val="00732385"/>
    <w:rsid w:val="00732808"/>
    <w:rsid w:val="00732D12"/>
    <w:rsid w:val="0073332C"/>
    <w:rsid w:val="00733E9C"/>
    <w:rsid w:val="00734151"/>
    <w:rsid w:val="00734913"/>
    <w:rsid w:val="00734E2F"/>
    <w:rsid w:val="00735367"/>
    <w:rsid w:val="007354AC"/>
    <w:rsid w:val="007356D0"/>
    <w:rsid w:val="00735978"/>
    <w:rsid w:val="007361C1"/>
    <w:rsid w:val="00736248"/>
    <w:rsid w:val="007400AF"/>
    <w:rsid w:val="007400E7"/>
    <w:rsid w:val="00740575"/>
    <w:rsid w:val="00740693"/>
    <w:rsid w:val="00741B53"/>
    <w:rsid w:val="00742D3B"/>
    <w:rsid w:val="0074423E"/>
    <w:rsid w:val="00744601"/>
    <w:rsid w:val="0074460E"/>
    <w:rsid w:val="0074467B"/>
    <w:rsid w:val="00744ECC"/>
    <w:rsid w:val="00745C19"/>
    <w:rsid w:val="00745D3E"/>
    <w:rsid w:val="00746A2D"/>
    <w:rsid w:val="00746BB5"/>
    <w:rsid w:val="00747221"/>
    <w:rsid w:val="00747BD2"/>
    <w:rsid w:val="00750A2D"/>
    <w:rsid w:val="00751351"/>
    <w:rsid w:val="00752422"/>
    <w:rsid w:val="00752CFB"/>
    <w:rsid w:val="00753C05"/>
    <w:rsid w:val="0075599A"/>
    <w:rsid w:val="00755E3E"/>
    <w:rsid w:val="0075619A"/>
    <w:rsid w:val="007565DE"/>
    <w:rsid w:val="00757111"/>
    <w:rsid w:val="007571C1"/>
    <w:rsid w:val="0075774E"/>
    <w:rsid w:val="00760219"/>
    <w:rsid w:val="00760516"/>
    <w:rsid w:val="00760B06"/>
    <w:rsid w:val="00760BD0"/>
    <w:rsid w:val="00761F59"/>
    <w:rsid w:val="00762EB9"/>
    <w:rsid w:val="0076370D"/>
    <w:rsid w:val="007638C2"/>
    <w:rsid w:val="00763AFE"/>
    <w:rsid w:val="007642E6"/>
    <w:rsid w:val="00764D5A"/>
    <w:rsid w:val="00764F70"/>
    <w:rsid w:val="00765DB1"/>
    <w:rsid w:val="00767360"/>
    <w:rsid w:val="00767449"/>
    <w:rsid w:val="007677E9"/>
    <w:rsid w:val="00767D5C"/>
    <w:rsid w:val="00767D8A"/>
    <w:rsid w:val="00770448"/>
    <w:rsid w:val="007708FF"/>
    <w:rsid w:val="00770B90"/>
    <w:rsid w:val="00770BDC"/>
    <w:rsid w:val="007716E3"/>
    <w:rsid w:val="00771D7D"/>
    <w:rsid w:val="00771DD3"/>
    <w:rsid w:val="00773D30"/>
    <w:rsid w:val="00773DAB"/>
    <w:rsid w:val="00774CE7"/>
    <w:rsid w:val="00775443"/>
    <w:rsid w:val="00775EBC"/>
    <w:rsid w:val="00777094"/>
    <w:rsid w:val="0077768A"/>
    <w:rsid w:val="00777A18"/>
    <w:rsid w:val="0078022E"/>
    <w:rsid w:val="00780AD5"/>
    <w:rsid w:val="00780C27"/>
    <w:rsid w:val="00780DE6"/>
    <w:rsid w:val="00781066"/>
    <w:rsid w:val="007828C4"/>
    <w:rsid w:val="00782CE1"/>
    <w:rsid w:val="0078339B"/>
    <w:rsid w:val="007843F3"/>
    <w:rsid w:val="00785599"/>
    <w:rsid w:val="00785892"/>
    <w:rsid w:val="0078635A"/>
    <w:rsid w:val="007864CA"/>
    <w:rsid w:val="00786C2F"/>
    <w:rsid w:val="0079081F"/>
    <w:rsid w:val="00790D11"/>
    <w:rsid w:val="0079176D"/>
    <w:rsid w:val="007924A3"/>
    <w:rsid w:val="00792D2E"/>
    <w:rsid w:val="00793D15"/>
    <w:rsid w:val="007941B2"/>
    <w:rsid w:val="0079475B"/>
    <w:rsid w:val="00794C8F"/>
    <w:rsid w:val="00796F13"/>
    <w:rsid w:val="00797703"/>
    <w:rsid w:val="007977BE"/>
    <w:rsid w:val="007977FE"/>
    <w:rsid w:val="00797DC9"/>
    <w:rsid w:val="007A04B5"/>
    <w:rsid w:val="007A280A"/>
    <w:rsid w:val="007A32C7"/>
    <w:rsid w:val="007A3512"/>
    <w:rsid w:val="007A3CC9"/>
    <w:rsid w:val="007A3CD3"/>
    <w:rsid w:val="007A3F63"/>
    <w:rsid w:val="007A3FBC"/>
    <w:rsid w:val="007A46D9"/>
    <w:rsid w:val="007A4FCA"/>
    <w:rsid w:val="007A5675"/>
    <w:rsid w:val="007A56B9"/>
    <w:rsid w:val="007A5734"/>
    <w:rsid w:val="007A5819"/>
    <w:rsid w:val="007A5BDF"/>
    <w:rsid w:val="007A66BF"/>
    <w:rsid w:val="007A6AFA"/>
    <w:rsid w:val="007A7402"/>
    <w:rsid w:val="007A7A22"/>
    <w:rsid w:val="007B073E"/>
    <w:rsid w:val="007B0A59"/>
    <w:rsid w:val="007B1474"/>
    <w:rsid w:val="007B1FD9"/>
    <w:rsid w:val="007B2505"/>
    <w:rsid w:val="007B3883"/>
    <w:rsid w:val="007B3AE6"/>
    <w:rsid w:val="007B3FFC"/>
    <w:rsid w:val="007B4444"/>
    <w:rsid w:val="007B6124"/>
    <w:rsid w:val="007B75CA"/>
    <w:rsid w:val="007B7773"/>
    <w:rsid w:val="007B79DF"/>
    <w:rsid w:val="007B7F90"/>
    <w:rsid w:val="007C0C7A"/>
    <w:rsid w:val="007C1317"/>
    <w:rsid w:val="007C1C9C"/>
    <w:rsid w:val="007C1E8A"/>
    <w:rsid w:val="007C2EB3"/>
    <w:rsid w:val="007C2EBC"/>
    <w:rsid w:val="007C3559"/>
    <w:rsid w:val="007C3B28"/>
    <w:rsid w:val="007C411D"/>
    <w:rsid w:val="007C4468"/>
    <w:rsid w:val="007C4593"/>
    <w:rsid w:val="007C4C41"/>
    <w:rsid w:val="007C578D"/>
    <w:rsid w:val="007C5D14"/>
    <w:rsid w:val="007C6B4C"/>
    <w:rsid w:val="007C7039"/>
    <w:rsid w:val="007C70D0"/>
    <w:rsid w:val="007D04BE"/>
    <w:rsid w:val="007D054D"/>
    <w:rsid w:val="007D0935"/>
    <w:rsid w:val="007D0D21"/>
    <w:rsid w:val="007D1271"/>
    <w:rsid w:val="007D18B8"/>
    <w:rsid w:val="007D1A48"/>
    <w:rsid w:val="007D20CB"/>
    <w:rsid w:val="007D2403"/>
    <w:rsid w:val="007D2B8B"/>
    <w:rsid w:val="007D34BF"/>
    <w:rsid w:val="007D3578"/>
    <w:rsid w:val="007D3C40"/>
    <w:rsid w:val="007D3D14"/>
    <w:rsid w:val="007D3F1F"/>
    <w:rsid w:val="007D4DEE"/>
    <w:rsid w:val="007D4F61"/>
    <w:rsid w:val="007D58C7"/>
    <w:rsid w:val="007D5CB4"/>
    <w:rsid w:val="007D5FEB"/>
    <w:rsid w:val="007D6D92"/>
    <w:rsid w:val="007E0012"/>
    <w:rsid w:val="007E02BB"/>
    <w:rsid w:val="007E0B0C"/>
    <w:rsid w:val="007E1308"/>
    <w:rsid w:val="007E158B"/>
    <w:rsid w:val="007E2E93"/>
    <w:rsid w:val="007E56DB"/>
    <w:rsid w:val="007E598B"/>
    <w:rsid w:val="007E5C55"/>
    <w:rsid w:val="007E67E6"/>
    <w:rsid w:val="007E6812"/>
    <w:rsid w:val="007E683E"/>
    <w:rsid w:val="007E6FB1"/>
    <w:rsid w:val="007E7E3E"/>
    <w:rsid w:val="007E7FF0"/>
    <w:rsid w:val="007F01F4"/>
    <w:rsid w:val="007F0400"/>
    <w:rsid w:val="007F0442"/>
    <w:rsid w:val="007F1294"/>
    <w:rsid w:val="007F1846"/>
    <w:rsid w:val="007F19F9"/>
    <w:rsid w:val="007F2007"/>
    <w:rsid w:val="007F2316"/>
    <w:rsid w:val="007F2BA6"/>
    <w:rsid w:val="007F3733"/>
    <w:rsid w:val="007F3899"/>
    <w:rsid w:val="007F5313"/>
    <w:rsid w:val="007F5314"/>
    <w:rsid w:val="007F5A7F"/>
    <w:rsid w:val="007F5D71"/>
    <w:rsid w:val="007F622A"/>
    <w:rsid w:val="007F6242"/>
    <w:rsid w:val="007F6360"/>
    <w:rsid w:val="007F7304"/>
    <w:rsid w:val="007F777F"/>
    <w:rsid w:val="007F787C"/>
    <w:rsid w:val="007F7C71"/>
    <w:rsid w:val="007F7E6F"/>
    <w:rsid w:val="007F7E83"/>
    <w:rsid w:val="00800769"/>
    <w:rsid w:val="00800CDC"/>
    <w:rsid w:val="00800DBB"/>
    <w:rsid w:val="0080140D"/>
    <w:rsid w:val="00801F63"/>
    <w:rsid w:val="00802485"/>
    <w:rsid w:val="00804436"/>
    <w:rsid w:val="00804B6B"/>
    <w:rsid w:val="00804C93"/>
    <w:rsid w:val="0080537B"/>
    <w:rsid w:val="00805396"/>
    <w:rsid w:val="008054BC"/>
    <w:rsid w:val="00805530"/>
    <w:rsid w:val="008058CB"/>
    <w:rsid w:val="00806490"/>
    <w:rsid w:val="00806FDF"/>
    <w:rsid w:val="008073E1"/>
    <w:rsid w:val="00807541"/>
    <w:rsid w:val="00807CF2"/>
    <w:rsid w:val="00807D1E"/>
    <w:rsid w:val="00810698"/>
    <w:rsid w:val="008107CD"/>
    <w:rsid w:val="008108DC"/>
    <w:rsid w:val="008108F3"/>
    <w:rsid w:val="00810D82"/>
    <w:rsid w:val="0081165E"/>
    <w:rsid w:val="00811B46"/>
    <w:rsid w:val="00813313"/>
    <w:rsid w:val="0081355B"/>
    <w:rsid w:val="00813805"/>
    <w:rsid w:val="00813C50"/>
    <w:rsid w:val="00813CDB"/>
    <w:rsid w:val="00813F4E"/>
    <w:rsid w:val="008142D4"/>
    <w:rsid w:val="008143B3"/>
    <w:rsid w:val="00814661"/>
    <w:rsid w:val="00814951"/>
    <w:rsid w:val="00814AE3"/>
    <w:rsid w:val="00815D4C"/>
    <w:rsid w:val="0081668E"/>
    <w:rsid w:val="00816940"/>
    <w:rsid w:val="00816AC7"/>
    <w:rsid w:val="0081718C"/>
    <w:rsid w:val="00817D0B"/>
    <w:rsid w:val="00817E04"/>
    <w:rsid w:val="00820B30"/>
    <w:rsid w:val="00820DD0"/>
    <w:rsid w:val="00821A1D"/>
    <w:rsid w:val="00821A9C"/>
    <w:rsid w:val="00821EBF"/>
    <w:rsid w:val="008222DC"/>
    <w:rsid w:val="00822D10"/>
    <w:rsid w:val="00822E8B"/>
    <w:rsid w:val="00823531"/>
    <w:rsid w:val="00823655"/>
    <w:rsid w:val="00823A13"/>
    <w:rsid w:val="00823A9D"/>
    <w:rsid w:val="00823B34"/>
    <w:rsid w:val="00823BCC"/>
    <w:rsid w:val="00823CC8"/>
    <w:rsid w:val="00823DBF"/>
    <w:rsid w:val="008258DD"/>
    <w:rsid w:val="00825EE0"/>
    <w:rsid w:val="00825F3C"/>
    <w:rsid w:val="008268E7"/>
    <w:rsid w:val="00826AEF"/>
    <w:rsid w:val="00827285"/>
    <w:rsid w:val="008317B1"/>
    <w:rsid w:val="00831B36"/>
    <w:rsid w:val="008323EB"/>
    <w:rsid w:val="00832E05"/>
    <w:rsid w:val="0083330C"/>
    <w:rsid w:val="0083335F"/>
    <w:rsid w:val="0083338C"/>
    <w:rsid w:val="00833CA6"/>
    <w:rsid w:val="00833E44"/>
    <w:rsid w:val="00833F9B"/>
    <w:rsid w:val="008349D1"/>
    <w:rsid w:val="008351C3"/>
    <w:rsid w:val="00835714"/>
    <w:rsid w:val="008366D8"/>
    <w:rsid w:val="00837155"/>
    <w:rsid w:val="00837797"/>
    <w:rsid w:val="00837F00"/>
    <w:rsid w:val="00840731"/>
    <w:rsid w:val="008407EE"/>
    <w:rsid w:val="00840E1F"/>
    <w:rsid w:val="00841196"/>
    <w:rsid w:val="008418C2"/>
    <w:rsid w:val="008424D4"/>
    <w:rsid w:val="00842774"/>
    <w:rsid w:val="0084337B"/>
    <w:rsid w:val="00843C12"/>
    <w:rsid w:val="00843FA9"/>
    <w:rsid w:val="0084537F"/>
    <w:rsid w:val="00845784"/>
    <w:rsid w:val="00846F6C"/>
    <w:rsid w:val="0084722E"/>
    <w:rsid w:val="00847480"/>
    <w:rsid w:val="0084753C"/>
    <w:rsid w:val="008477E0"/>
    <w:rsid w:val="00847E47"/>
    <w:rsid w:val="008501C6"/>
    <w:rsid w:val="00850EEA"/>
    <w:rsid w:val="00851D34"/>
    <w:rsid w:val="00852052"/>
    <w:rsid w:val="00853409"/>
    <w:rsid w:val="00853820"/>
    <w:rsid w:val="00854612"/>
    <w:rsid w:val="00855656"/>
    <w:rsid w:val="00856017"/>
    <w:rsid w:val="00856365"/>
    <w:rsid w:val="00856981"/>
    <w:rsid w:val="00856A0C"/>
    <w:rsid w:val="00856B7E"/>
    <w:rsid w:val="0085734D"/>
    <w:rsid w:val="0085765C"/>
    <w:rsid w:val="00857848"/>
    <w:rsid w:val="00857FAC"/>
    <w:rsid w:val="008606C6"/>
    <w:rsid w:val="00861056"/>
    <w:rsid w:val="0086212D"/>
    <w:rsid w:val="0086243A"/>
    <w:rsid w:val="00863130"/>
    <w:rsid w:val="00864DCC"/>
    <w:rsid w:val="008651DB"/>
    <w:rsid w:val="00865856"/>
    <w:rsid w:val="00865AF5"/>
    <w:rsid w:val="00865CF2"/>
    <w:rsid w:val="00865D91"/>
    <w:rsid w:val="008664E4"/>
    <w:rsid w:val="008666C8"/>
    <w:rsid w:val="0086697D"/>
    <w:rsid w:val="00866DFA"/>
    <w:rsid w:val="008703A2"/>
    <w:rsid w:val="00871A26"/>
    <w:rsid w:val="00871C0A"/>
    <w:rsid w:val="0087219F"/>
    <w:rsid w:val="008726BA"/>
    <w:rsid w:val="0087278B"/>
    <w:rsid w:val="00872A85"/>
    <w:rsid w:val="00872D65"/>
    <w:rsid w:val="00873FF2"/>
    <w:rsid w:val="008745F1"/>
    <w:rsid w:val="0087572A"/>
    <w:rsid w:val="00875C67"/>
    <w:rsid w:val="008765E1"/>
    <w:rsid w:val="00877A60"/>
    <w:rsid w:val="00880445"/>
    <w:rsid w:val="0088185E"/>
    <w:rsid w:val="00882A8D"/>
    <w:rsid w:val="00883018"/>
    <w:rsid w:val="00883624"/>
    <w:rsid w:val="00884E7E"/>
    <w:rsid w:val="00885038"/>
    <w:rsid w:val="0088590D"/>
    <w:rsid w:val="00886808"/>
    <w:rsid w:val="00886D7A"/>
    <w:rsid w:val="008906C9"/>
    <w:rsid w:val="00890F4C"/>
    <w:rsid w:val="008911A4"/>
    <w:rsid w:val="008912E0"/>
    <w:rsid w:val="00891514"/>
    <w:rsid w:val="00892096"/>
    <w:rsid w:val="0089238F"/>
    <w:rsid w:val="008924DB"/>
    <w:rsid w:val="008929EF"/>
    <w:rsid w:val="00892A4A"/>
    <w:rsid w:val="00892D79"/>
    <w:rsid w:val="008933AF"/>
    <w:rsid w:val="008944FC"/>
    <w:rsid w:val="008947B7"/>
    <w:rsid w:val="00894A6C"/>
    <w:rsid w:val="00894ED8"/>
    <w:rsid w:val="00894F2A"/>
    <w:rsid w:val="00895777"/>
    <w:rsid w:val="00895F2A"/>
    <w:rsid w:val="00896195"/>
    <w:rsid w:val="0089624A"/>
    <w:rsid w:val="00896ACF"/>
    <w:rsid w:val="008A123C"/>
    <w:rsid w:val="008A16B5"/>
    <w:rsid w:val="008A22A8"/>
    <w:rsid w:val="008A2484"/>
    <w:rsid w:val="008A262A"/>
    <w:rsid w:val="008A2715"/>
    <w:rsid w:val="008A2E71"/>
    <w:rsid w:val="008A34B9"/>
    <w:rsid w:val="008A3A91"/>
    <w:rsid w:val="008A3F39"/>
    <w:rsid w:val="008A4613"/>
    <w:rsid w:val="008A5024"/>
    <w:rsid w:val="008A5A40"/>
    <w:rsid w:val="008A5C4D"/>
    <w:rsid w:val="008A6E28"/>
    <w:rsid w:val="008A6FDE"/>
    <w:rsid w:val="008A7399"/>
    <w:rsid w:val="008A7B6F"/>
    <w:rsid w:val="008A7C09"/>
    <w:rsid w:val="008A7D29"/>
    <w:rsid w:val="008B21D3"/>
    <w:rsid w:val="008B2403"/>
    <w:rsid w:val="008B24CE"/>
    <w:rsid w:val="008B3464"/>
    <w:rsid w:val="008B3B44"/>
    <w:rsid w:val="008B3D27"/>
    <w:rsid w:val="008B40E7"/>
    <w:rsid w:val="008B7A54"/>
    <w:rsid w:val="008B7E9C"/>
    <w:rsid w:val="008C0282"/>
    <w:rsid w:val="008C02B8"/>
    <w:rsid w:val="008C05C0"/>
    <w:rsid w:val="008C0835"/>
    <w:rsid w:val="008C0839"/>
    <w:rsid w:val="008C14DB"/>
    <w:rsid w:val="008C16C6"/>
    <w:rsid w:val="008C1721"/>
    <w:rsid w:val="008C18AA"/>
    <w:rsid w:val="008C1CB6"/>
    <w:rsid w:val="008C277C"/>
    <w:rsid w:val="008C2ECD"/>
    <w:rsid w:val="008C3522"/>
    <w:rsid w:val="008C3DD3"/>
    <w:rsid w:val="008C4238"/>
    <w:rsid w:val="008C4772"/>
    <w:rsid w:val="008C4C07"/>
    <w:rsid w:val="008C539C"/>
    <w:rsid w:val="008C5B74"/>
    <w:rsid w:val="008C7A55"/>
    <w:rsid w:val="008C7AFF"/>
    <w:rsid w:val="008C7C15"/>
    <w:rsid w:val="008D0665"/>
    <w:rsid w:val="008D0BFA"/>
    <w:rsid w:val="008D2955"/>
    <w:rsid w:val="008D29E8"/>
    <w:rsid w:val="008D2CD9"/>
    <w:rsid w:val="008D34E9"/>
    <w:rsid w:val="008D3689"/>
    <w:rsid w:val="008D38D1"/>
    <w:rsid w:val="008D4212"/>
    <w:rsid w:val="008D427A"/>
    <w:rsid w:val="008D4961"/>
    <w:rsid w:val="008D4B52"/>
    <w:rsid w:val="008D5A3F"/>
    <w:rsid w:val="008D6C6A"/>
    <w:rsid w:val="008D7BFC"/>
    <w:rsid w:val="008E07E3"/>
    <w:rsid w:val="008E0BBA"/>
    <w:rsid w:val="008E11C6"/>
    <w:rsid w:val="008E234C"/>
    <w:rsid w:val="008E296D"/>
    <w:rsid w:val="008E2A57"/>
    <w:rsid w:val="008E32B4"/>
    <w:rsid w:val="008E32FC"/>
    <w:rsid w:val="008E4877"/>
    <w:rsid w:val="008E4B4C"/>
    <w:rsid w:val="008E4CF8"/>
    <w:rsid w:val="008E4FF5"/>
    <w:rsid w:val="008E58EA"/>
    <w:rsid w:val="008E60B1"/>
    <w:rsid w:val="008E63F1"/>
    <w:rsid w:val="008E6ABF"/>
    <w:rsid w:val="008E6F83"/>
    <w:rsid w:val="008E7078"/>
    <w:rsid w:val="008E7144"/>
    <w:rsid w:val="008E7933"/>
    <w:rsid w:val="008E7B38"/>
    <w:rsid w:val="008F0BB3"/>
    <w:rsid w:val="008F0CF7"/>
    <w:rsid w:val="008F111F"/>
    <w:rsid w:val="008F13BF"/>
    <w:rsid w:val="008F1F39"/>
    <w:rsid w:val="008F2A40"/>
    <w:rsid w:val="008F318A"/>
    <w:rsid w:val="008F3649"/>
    <w:rsid w:val="008F376F"/>
    <w:rsid w:val="008F4314"/>
    <w:rsid w:val="008F4B2E"/>
    <w:rsid w:val="008F4C0E"/>
    <w:rsid w:val="008F4E99"/>
    <w:rsid w:val="008F60C4"/>
    <w:rsid w:val="008F664A"/>
    <w:rsid w:val="008F7146"/>
    <w:rsid w:val="00900271"/>
    <w:rsid w:val="009005F4"/>
    <w:rsid w:val="00901092"/>
    <w:rsid w:val="0090133E"/>
    <w:rsid w:val="009015A6"/>
    <w:rsid w:val="009015D4"/>
    <w:rsid w:val="009016B3"/>
    <w:rsid w:val="009017E0"/>
    <w:rsid w:val="009022F9"/>
    <w:rsid w:val="0090298A"/>
    <w:rsid w:val="009029B1"/>
    <w:rsid w:val="00903145"/>
    <w:rsid w:val="009033D3"/>
    <w:rsid w:val="00904C4B"/>
    <w:rsid w:val="00905454"/>
    <w:rsid w:val="00905F56"/>
    <w:rsid w:val="00906487"/>
    <w:rsid w:val="0090675E"/>
    <w:rsid w:val="009069FA"/>
    <w:rsid w:val="00906F8C"/>
    <w:rsid w:val="0090712C"/>
    <w:rsid w:val="0091027A"/>
    <w:rsid w:val="009102E0"/>
    <w:rsid w:val="0091061F"/>
    <w:rsid w:val="009107C8"/>
    <w:rsid w:val="00910841"/>
    <w:rsid w:val="009119BE"/>
    <w:rsid w:val="00911A4C"/>
    <w:rsid w:val="00911D34"/>
    <w:rsid w:val="009140E2"/>
    <w:rsid w:val="00914A78"/>
    <w:rsid w:val="00914B9E"/>
    <w:rsid w:val="00914E1D"/>
    <w:rsid w:val="00914FD4"/>
    <w:rsid w:val="00915620"/>
    <w:rsid w:val="0091582F"/>
    <w:rsid w:val="0091584B"/>
    <w:rsid w:val="00916795"/>
    <w:rsid w:val="00916B50"/>
    <w:rsid w:val="0092020F"/>
    <w:rsid w:val="0092087C"/>
    <w:rsid w:val="00920B35"/>
    <w:rsid w:val="00920D7B"/>
    <w:rsid w:val="009212B0"/>
    <w:rsid w:val="0092264C"/>
    <w:rsid w:val="00922FC4"/>
    <w:rsid w:val="009230EC"/>
    <w:rsid w:val="009240A6"/>
    <w:rsid w:val="00924251"/>
    <w:rsid w:val="00924E4D"/>
    <w:rsid w:val="00924ED4"/>
    <w:rsid w:val="00924F3D"/>
    <w:rsid w:val="00924F54"/>
    <w:rsid w:val="00925626"/>
    <w:rsid w:val="00925F4A"/>
    <w:rsid w:val="00926089"/>
    <w:rsid w:val="009261D6"/>
    <w:rsid w:val="00926EF1"/>
    <w:rsid w:val="009271C6"/>
    <w:rsid w:val="009308F2"/>
    <w:rsid w:val="009317C8"/>
    <w:rsid w:val="00931B4D"/>
    <w:rsid w:val="0093249F"/>
    <w:rsid w:val="009327AA"/>
    <w:rsid w:val="00932959"/>
    <w:rsid w:val="009329F3"/>
    <w:rsid w:val="00932A31"/>
    <w:rsid w:val="00932C80"/>
    <w:rsid w:val="00932FE4"/>
    <w:rsid w:val="009349FA"/>
    <w:rsid w:val="00935995"/>
    <w:rsid w:val="009363CC"/>
    <w:rsid w:val="00936897"/>
    <w:rsid w:val="00936982"/>
    <w:rsid w:val="00936BC2"/>
    <w:rsid w:val="00937B9F"/>
    <w:rsid w:val="009404C9"/>
    <w:rsid w:val="00940832"/>
    <w:rsid w:val="00940FE0"/>
    <w:rsid w:val="0094117B"/>
    <w:rsid w:val="009413FA"/>
    <w:rsid w:val="00941812"/>
    <w:rsid w:val="00942104"/>
    <w:rsid w:val="0094218E"/>
    <w:rsid w:val="0094239C"/>
    <w:rsid w:val="00942438"/>
    <w:rsid w:val="0094343C"/>
    <w:rsid w:val="009452BD"/>
    <w:rsid w:val="00945522"/>
    <w:rsid w:val="00947245"/>
    <w:rsid w:val="00950415"/>
    <w:rsid w:val="009508E5"/>
    <w:rsid w:val="00950BB6"/>
    <w:rsid w:val="00952BA3"/>
    <w:rsid w:val="00953316"/>
    <w:rsid w:val="00953794"/>
    <w:rsid w:val="00953D6E"/>
    <w:rsid w:val="0095446B"/>
    <w:rsid w:val="00955E79"/>
    <w:rsid w:val="009560C1"/>
    <w:rsid w:val="00956177"/>
    <w:rsid w:val="0095751A"/>
    <w:rsid w:val="00957992"/>
    <w:rsid w:val="00957D07"/>
    <w:rsid w:val="00957E58"/>
    <w:rsid w:val="00960711"/>
    <w:rsid w:val="009610F8"/>
    <w:rsid w:val="0096112C"/>
    <w:rsid w:val="009620C3"/>
    <w:rsid w:val="009621A3"/>
    <w:rsid w:val="00962A1F"/>
    <w:rsid w:val="009633B1"/>
    <w:rsid w:val="00963BA6"/>
    <w:rsid w:val="00963F81"/>
    <w:rsid w:val="0096404B"/>
    <w:rsid w:val="0096430F"/>
    <w:rsid w:val="00964515"/>
    <w:rsid w:val="0096471B"/>
    <w:rsid w:val="00966268"/>
    <w:rsid w:val="009662DE"/>
    <w:rsid w:val="0096777F"/>
    <w:rsid w:val="00970C73"/>
    <w:rsid w:val="00971E43"/>
    <w:rsid w:val="009743EA"/>
    <w:rsid w:val="00974A0A"/>
    <w:rsid w:val="00975328"/>
    <w:rsid w:val="00975A93"/>
    <w:rsid w:val="009761EB"/>
    <w:rsid w:val="0097725A"/>
    <w:rsid w:val="00977AC1"/>
    <w:rsid w:val="00980490"/>
    <w:rsid w:val="00980738"/>
    <w:rsid w:val="009809B7"/>
    <w:rsid w:val="00980E12"/>
    <w:rsid w:val="00980EA2"/>
    <w:rsid w:val="009812AF"/>
    <w:rsid w:val="009814F4"/>
    <w:rsid w:val="00982851"/>
    <w:rsid w:val="00982CDF"/>
    <w:rsid w:val="00982F58"/>
    <w:rsid w:val="00983695"/>
    <w:rsid w:val="00983921"/>
    <w:rsid w:val="00983DD5"/>
    <w:rsid w:val="00983ECB"/>
    <w:rsid w:val="0098436D"/>
    <w:rsid w:val="00984A47"/>
    <w:rsid w:val="00985B7E"/>
    <w:rsid w:val="0098731C"/>
    <w:rsid w:val="009875BB"/>
    <w:rsid w:val="009903E3"/>
    <w:rsid w:val="009905B1"/>
    <w:rsid w:val="009906DA"/>
    <w:rsid w:val="00991514"/>
    <w:rsid w:val="009917F2"/>
    <w:rsid w:val="00991C1D"/>
    <w:rsid w:val="00991E88"/>
    <w:rsid w:val="009921FB"/>
    <w:rsid w:val="009922C6"/>
    <w:rsid w:val="0099259B"/>
    <w:rsid w:val="0099267B"/>
    <w:rsid w:val="00992BD2"/>
    <w:rsid w:val="00993055"/>
    <w:rsid w:val="009933E7"/>
    <w:rsid w:val="009959DA"/>
    <w:rsid w:val="00995E5D"/>
    <w:rsid w:val="00995FF5"/>
    <w:rsid w:val="009974D6"/>
    <w:rsid w:val="00997B0C"/>
    <w:rsid w:val="00997D00"/>
    <w:rsid w:val="009A01B2"/>
    <w:rsid w:val="009A0203"/>
    <w:rsid w:val="009A067F"/>
    <w:rsid w:val="009A06BE"/>
    <w:rsid w:val="009A0935"/>
    <w:rsid w:val="009A1CAF"/>
    <w:rsid w:val="009A2E73"/>
    <w:rsid w:val="009A3531"/>
    <w:rsid w:val="009A39BF"/>
    <w:rsid w:val="009A3C6A"/>
    <w:rsid w:val="009A3D51"/>
    <w:rsid w:val="009A3DE3"/>
    <w:rsid w:val="009A46BB"/>
    <w:rsid w:val="009A57F0"/>
    <w:rsid w:val="009A5EBE"/>
    <w:rsid w:val="009A66D3"/>
    <w:rsid w:val="009A6CAC"/>
    <w:rsid w:val="009A78A9"/>
    <w:rsid w:val="009B0EDD"/>
    <w:rsid w:val="009B1120"/>
    <w:rsid w:val="009B17B9"/>
    <w:rsid w:val="009B230D"/>
    <w:rsid w:val="009B29A5"/>
    <w:rsid w:val="009B2B57"/>
    <w:rsid w:val="009B3417"/>
    <w:rsid w:val="009B34DC"/>
    <w:rsid w:val="009B3D22"/>
    <w:rsid w:val="009B4495"/>
    <w:rsid w:val="009B51B1"/>
    <w:rsid w:val="009B5465"/>
    <w:rsid w:val="009B582F"/>
    <w:rsid w:val="009B5E7A"/>
    <w:rsid w:val="009B61B9"/>
    <w:rsid w:val="009B6599"/>
    <w:rsid w:val="009B71C8"/>
    <w:rsid w:val="009B7509"/>
    <w:rsid w:val="009B7780"/>
    <w:rsid w:val="009B79E8"/>
    <w:rsid w:val="009C02C3"/>
    <w:rsid w:val="009C08C0"/>
    <w:rsid w:val="009C0CC3"/>
    <w:rsid w:val="009C0CF9"/>
    <w:rsid w:val="009C0FCB"/>
    <w:rsid w:val="009C1008"/>
    <w:rsid w:val="009C182C"/>
    <w:rsid w:val="009C18FC"/>
    <w:rsid w:val="009C1962"/>
    <w:rsid w:val="009C1BD4"/>
    <w:rsid w:val="009C1F29"/>
    <w:rsid w:val="009C20A6"/>
    <w:rsid w:val="009C302B"/>
    <w:rsid w:val="009C3568"/>
    <w:rsid w:val="009C3679"/>
    <w:rsid w:val="009C473A"/>
    <w:rsid w:val="009C4DB8"/>
    <w:rsid w:val="009C4E11"/>
    <w:rsid w:val="009C57BF"/>
    <w:rsid w:val="009C63F3"/>
    <w:rsid w:val="009C6A20"/>
    <w:rsid w:val="009C6B21"/>
    <w:rsid w:val="009C6CB9"/>
    <w:rsid w:val="009C75C9"/>
    <w:rsid w:val="009D0580"/>
    <w:rsid w:val="009D07C0"/>
    <w:rsid w:val="009D0A25"/>
    <w:rsid w:val="009D1814"/>
    <w:rsid w:val="009D2688"/>
    <w:rsid w:val="009D2A78"/>
    <w:rsid w:val="009D3607"/>
    <w:rsid w:val="009D3968"/>
    <w:rsid w:val="009D3E30"/>
    <w:rsid w:val="009D3EF7"/>
    <w:rsid w:val="009D3FF9"/>
    <w:rsid w:val="009D4621"/>
    <w:rsid w:val="009D4875"/>
    <w:rsid w:val="009D4E85"/>
    <w:rsid w:val="009D4ED3"/>
    <w:rsid w:val="009D6BA7"/>
    <w:rsid w:val="009D6D5A"/>
    <w:rsid w:val="009D74CB"/>
    <w:rsid w:val="009D7FE1"/>
    <w:rsid w:val="009E0150"/>
    <w:rsid w:val="009E058B"/>
    <w:rsid w:val="009E062D"/>
    <w:rsid w:val="009E0D9E"/>
    <w:rsid w:val="009E0FB9"/>
    <w:rsid w:val="009E3055"/>
    <w:rsid w:val="009E3907"/>
    <w:rsid w:val="009E3BF6"/>
    <w:rsid w:val="009E3F21"/>
    <w:rsid w:val="009E3F49"/>
    <w:rsid w:val="009E47C6"/>
    <w:rsid w:val="009E4F0B"/>
    <w:rsid w:val="009E4F4A"/>
    <w:rsid w:val="009E538B"/>
    <w:rsid w:val="009E5392"/>
    <w:rsid w:val="009E5741"/>
    <w:rsid w:val="009E58DA"/>
    <w:rsid w:val="009E5E2C"/>
    <w:rsid w:val="009E6823"/>
    <w:rsid w:val="009E70E6"/>
    <w:rsid w:val="009E72B6"/>
    <w:rsid w:val="009F437F"/>
    <w:rsid w:val="009F4B1D"/>
    <w:rsid w:val="009F53BE"/>
    <w:rsid w:val="009F58CE"/>
    <w:rsid w:val="009F5C2F"/>
    <w:rsid w:val="009F6223"/>
    <w:rsid w:val="009F6413"/>
    <w:rsid w:val="009F753D"/>
    <w:rsid w:val="009F7CE8"/>
    <w:rsid w:val="00A0031D"/>
    <w:rsid w:val="00A007B1"/>
    <w:rsid w:val="00A0180F"/>
    <w:rsid w:val="00A021A5"/>
    <w:rsid w:val="00A023D6"/>
    <w:rsid w:val="00A0275F"/>
    <w:rsid w:val="00A0320F"/>
    <w:rsid w:val="00A0342F"/>
    <w:rsid w:val="00A03567"/>
    <w:rsid w:val="00A0518A"/>
    <w:rsid w:val="00A05534"/>
    <w:rsid w:val="00A05F49"/>
    <w:rsid w:val="00A06382"/>
    <w:rsid w:val="00A06A88"/>
    <w:rsid w:val="00A10833"/>
    <w:rsid w:val="00A11412"/>
    <w:rsid w:val="00A13E90"/>
    <w:rsid w:val="00A144EB"/>
    <w:rsid w:val="00A14BB2"/>
    <w:rsid w:val="00A14DE6"/>
    <w:rsid w:val="00A150BA"/>
    <w:rsid w:val="00A1596F"/>
    <w:rsid w:val="00A15DA8"/>
    <w:rsid w:val="00A16073"/>
    <w:rsid w:val="00A1628E"/>
    <w:rsid w:val="00A16813"/>
    <w:rsid w:val="00A1702F"/>
    <w:rsid w:val="00A1768B"/>
    <w:rsid w:val="00A17ABE"/>
    <w:rsid w:val="00A20270"/>
    <w:rsid w:val="00A21148"/>
    <w:rsid w:val="00A22315"/>
    <w:rsid w:val="00A22513"/>
    <w:rsid w:val="00A23040"/>
    <w:rsid w:val="00A2309F"/>
    <w:rsid w:val="00A2354B"/>
    <w:rsid w:val="00A2368D"/>
    <w:rsid w:val="00A23C8F"/>
    <w:rsid w:val="00A246F5"/>
    <w:rsid w:val="00A252B5"/>
    <w:rsid w:val="00A259B4"/>
    <w:rsid w:val="00A264D8"/>
    <w:rsid w:val="00A264EB"/>
    <w:rsid w:val="00A2651A"/>
    <w:rsid w:val="00A26939"/>
    <w:rsid w:val="00A26F2D"/>
    <w:rsid w:val="00A27905"/>
    <w:rsid w:val="00A279DC"/>
    <w:rsid w:val="00A302F5"/>
    <w:rsid w:val="00A30498"/>
    <w:rsid w:val="00A3060E"/>
    <w:rsid w:val="00A310F8"/>
    <w:rsid w:val="00A316A0"/>
    <w:rsid w:val="00A32D55"/>
    <w:rsid w:val="00A34005"/>
    <w:rsid w:val="00A3401C"/>
    <w:rsid w:val="00A345D7"/>
    <w:rsid w:val="00A34961"/>
    <w:rsid w:val="00A35407"/>
    <w:rsid w:val="00A35673"/>
    <w:rsid w:val="00A359E2"/>
    <w:rsid w:val="00A35CAC"/>
    <w:rsid w:val="00A365BE"/>
    <w:rsid w:val="00A36D7C"/>
    <w:rsid w:val="00A376E6"/>
    <w:rsid w:val="00A40091"/>
    <w:rsid w:val="00A4054D"/>
    <w:rsid w:val="00A4118D"/>
    <w:rsid w:val="00A41966"/>
    <w:rsid w:val="00A41BAA"/>
    <w:rsid w:val="00A41F13"/>
    <w:rsid w:val="00A41FFC"/>
    <w:rsid w:val="00A428B1"/>
    <w:rsid w:val="00A42945"/>
    <w:rsid w:val="00A42C17"/>
    <w:rsid w:val="00A42FC2"/>
    <w:rsid w:val="00A4334A"/>
    <w:rsid w:val="00A4347E"/>
    <w:rsid w:val="00A438BB"/>
    <w:rsid w:val="00A43B19"/>
    <w:rsid w:val="00A43FAE"/>
    <w:rsid w:val="00A44C30"/>
    <w:rsid w:val="00A451BC"/>
    <w:rsid w:val="00A45363"/>
    <w:rsid w:val="00A460C2"/>
    <w:rsid w:val="00A464B6"/>
    <w:rsid w:val="00A46953"/>
    <w:rsid w:val="00A46A46"/>
    <w:rsid w:val="00A5119A"/>
    <w:rsid w:val="00A513F2"/>
    <w:rsid w:val="00A51802"/>
    <w:rsid w:val="00A51898"/>
    <w:rsid w:val="00A52237"/>
    <w:rsid w:val="00A523C1"/>
    <w:rsid w:val="00A52521"/>
    <w:rsid w:val="00A525C1"/>
    <w:rsid w:val="00A53AB1"/>
    <w:rsid w:val="00A53C60"/>
    <w:rsid w:val="00A540FE"/>
    <w:rsid w:val="00A54413"/>
    <w:rsid w:val="00A54892"/>
    <w:rsid w:val="00A54AF1"/>
    <w:rsid w:val="00A565ED"/>
    <w:rsid w:val="00A57654"/>
    <w:rsid w:val="00A579EA"/>
    <w:rsid w:val="00A57CA4"/>
    <w:rsid w:val="00A61342"/>
    <w:rsid w:val="00A6160C"/>
    <w:rsid w:val="00A61C6C"/>
    <w:rsid w:val="00A61F22"/>
    <w:rsid w:val="00A6207B"/>
    <w:rsid w:val="00A62B40"/>
    <w:rsid w:val="00A63A66"/>
    <w:rsid w:val="00A63B88"/>
    <w:rsid w:val="00A63E22"/>
    <w:rsid w:val="00A64532"/>
    <w:rsid w:val="00A64D12"/>
    <w:rsid w:val="00A654A5"/>
    <w:rsid w:val="00A65883"/>
    <w:rsid w:val="00A660DE"/>
    <w:rsid w:val="00A660EA"/>
    <w:rsid w:val="00A6615B"/>
    <w:rsid w:val="00A66466"/>
    <w:rsid w:val="00A66693"/>
    <w:rsid w:val="00A66B1F"/>
    <w:rsid w:val="00A67D82"/>
    <w:rsid w:val="00A700D4"/>
    <w:rsid w:val="00A70A86"/>
    <w:rsid w:val="00A71CAA"/>
    <w:rsid w:val="00A720BF"/>
    <w:rsid w:val="00A720DB"/>
    <w:rsid w:val="00A72A76"/>
    <w:rsid w:val="00A73378"/>
    <w:rsid w:val="00A73C7F"/>
    <w:rsid w:val="00A73F24"/>
    <w:rsid w:val="00A74346"/>
    <w:rsid w:val="00A74574"/>
    <w:rsid w:val="00A754D0"/>
    <w:rsid w:val="00A75DB6"/>
    <w:rsid w:val="00A762E6"/>
    <w:rsid w:val="00A76AC9"/>
    <w:rsid w:val="00A7769C"/>
    <w:rsid w:val="00A7788B"/>
    <w:rsid w:val="00A779E7"/>
    <w:rsid w:val="00A80219"/>
    <w:rsid w:val="00A806EE"/>
    <w:rsid w:val="00A8158B"/>
    <w:rsid w:val="00A81977"/>
    <w:rsid w:val="00A81D1A"/>
    <w:rsid w:val="00A8286F"/>
    <w:rsid w:val="00A82BBE"/>
    <w:rsid w:val="00A82CB3"/>
    <w:rsid w:val="00A8312F"/>
    <w:rsid w:val="00A834AB"/>
    <w:rsid w:val="00A8350F"/>
    <w:rsid w:val="00A836FC"/>
    <w:rsid w:val="00A837EF"/>
    <w:rsid w:val="00A839B5"/>
    <w:rsid w:val="00A83FD2"/>
    <w:rsid w:val="00A84669"/>
    <w:rsid w:val="00A8500D"/>
    <w:rsid w:val="00A860C3"/>
    <w:rsid w:val="00A90778"/>
    <w:rsid w:val="00A912C6"/>
    <w:rsid w:val="00A91475"/>
    <w:rsid w:val="00A91647"/>
    <w:rsid w:val="00A91784"/>
    <w:rsid w:val="00A9194B"/>
    <w:rsid w:val="00A91ED2"/>
    <w:rsid w:val="00A929C2"/>
    <w:rsid w:val="00A929FD"/>
    <w:rsid w:val="00A93AD4"/>
    <w:rsid w:val="00A93B7C"/>
    <w:rsid w:val="00A94581"/>
    <w:rsid w:val="00A94C99"/>
    <w:rsid w:val="00A94E60"/>
    <w:rsid w:val="00A94F87"/>
    <w:rsid w:val="00A96365"/>
    <w:rsid w:val="00A96451"/>
    <w:rsid w:val="00A97130"/>
    <w:rsid w:val="00A9758A"/>
    <w:rsid w:val="00AA028B"/>
    <w:rsid w:val="00AA052C"/>
    <w:rsid w:val="00AA0C06"/>
    <w:rsid w:val="00AA0F70"/>
    <w:rsid w:val="00AA103F"/>
    <w:rsid w:val="00AA316E"/>
    <w:rsid w:val="00AA34B0"/>
    <w:rsid w:val="00AA3BA0"/>
    <w:rsid w:val="00AA3DAF"/>
    <w:rsid w:val="00AA4257"/>
    <w:rsid w:val="00AA463B"/>
    <w:rsid w:val="00AA4F03"/>
    <w:rsid w:val="00AA6BFD"/>
    <w:rsid w:val="00AA79F2"/>
    <w:rsid w:val="00AB02E4"/>
    <w:rsid w:val="00AB068F"/>
    <w:rsid w:val="00AB088F"/>
    <w:rsid w:val="00AB0DC4"/>
    <w:rsid w:val="00AB2199"/>
    <w:rsid w:val="00AB2345"/>
    <w:rsid w:val="00AB2516"/>
    <w:rsid w:val="00AB25B9"/>
    <w:rsid w:val="00AB2B83"/>
    <w:rsid w:val="00AB3044"/>
    <w:rsid w:val="00AB392B"/>
    <w:rsid w:val="00AB3949"/>
    <w:rsid w:val="00AB5111"/>
    <w:rsid w:val="00AB519B"/>
    <w:rsid w:val="00AB648F"/>
    <w:rsid w:val="00AB6F32"/>
    <w:rsid w:val="00AB74E0"/>
    <w:rsid w:val="00AB7D1F"/>
    <w:rsid w:val="00AB7F90"/>
    <w:rsid w:val="00AC035D"/>
    <w:rsid w:val="00AC062B"/>
    <w:rsid w:val="00AC0E2E"/>
    <w:rsid w:val="00AC0E55"/>
    <w:rsid w:val="00AC0EC4"/>
    <w:rsid w:val="00AC0F60"/>
    <w:rsid w:val="00AC123D"/>
    <w:rsid w:val="00AC1A2B"/>
    <w:rsid w:val="00AC1FC7"/>
    <w:rsid w:val="00AC225D"/>
    <w:rsid w:val="00AC3E1C"/>
    <w:rsid w:val="00AC4029"/>
    <w:rsid w:val="00AC4BD1"/>
    <w:rsid w:val="00AC4E41"/>
    <w:rsid w:val="00AC5816"/>
    <w:rsid w:val="00AC5AD3"/>
    <w:rsid w:val="00AC6385"/>
    <w:rsid w:val="00AC6A81"/>
    <w:rsid w:val="00AC720F"/>
    <w:rsid w:val="00AD0197"/>
    <w:rsid w:val="00AD02CC"/>
    <w:rsid w:val="00AD05B8"/>
    <w:rsid w:val="00AD1625"/>
    <w:rsid w:val="00AD18C9"/>
    <w:rsid w:val="00AD1F57"/>
    <w:rsid w:val="00AD211F"/>
    <w:rsid w:val="00AD2290"/>
    <w:rsid w:val="00AD2A4B"/>
    <w:rsid w:val="00AD2F2A"/>
    <w:rsid w:val="00AD32FB"/>
    <w:rsid w:val="00AD347B"/>
    <w:rsid w:val="00AD3B89"/>
    <w:rsid w:val="00AD452B"/>
    <w:rsid w:val="00AD46D9"/>
    <w:rsid w:val="00AD4ACE"/>
    <w:rsid w:val="00AD5307"/>
    <w:rsid w:val="00AD59FB"/>
    <w:rsid w:val="00AD5E55"/>
    <w:rsid w:val="00AD634A"/>
    <w:rsid w:val="00AD6564"/>
    <w:rsid w:val="00AD65C0"/>
    <w:rsid w:val="00AD6A77"/>
    <w:rsid w:val="00AD7259"/>
    <w:rsid w:val="00AD7DED"/>
    <w:rsid w:val="00AD7F25"/>
    <w:rsid w:val="00AE00E3"/>
    <w:rsid w:val="00AE02C2"/>
    <w:rsid w:val="00AE0F26"/>
    <w:rsid w:val="00AE19A8"/>
    <w:rsid w:val="00AE1DA2"/>
    <w:rsid w:val="00AE1F36"/>
    <w:rsid w:val="00AE2D00"/>
    <w:rsid w:val="00AE3133"/>
    <w:rsid w:val="00AE3A07"/>
    <w:rsid w:val="00AE562D"/>
    <w:rsid w:val="00AE574B"/>
    <w:rsid w:val="00AE57F5"/>
    <w:rsid w:val="00AE5BCC"/>
    <w:rsid w:val="00AE67D7"/>
    <w:rsid w:val="00AE6D4B"/>
    <w:rsid w:val="00AE703E"/>
    <w:rsid w:val="00AF0913"/>
    <w:rsid w:val="00AF138D"/>
    <w:rsid w:val="00AF1E75"/>
    <w:rsid w:val="00AF289F"/>
    <w:rsid w:val="00AF2995"/>
    <w:rsid w:val="00AF2C96"/>
    <w:rsid w:val="00AF2DE4"/>
    <w:rsid w:val="00AF341D"/>
    <w:rsid w:val="00AF3F0D"/>
    <w:rsid w:val="00AF3F6C"/>
    <w:rsid w:val="00AF4805"/>
    <w:rsid w:val="00AF4D99"/>
    <w:rsid w:val="00AF4FCC"/>
    <w:rsid w:val="00AF57A0"/>
    <w:rsid w:val="00AF6926"/>
    <w:rsid w:val="00AF7039"/>
    <w:rsid w:val="00AF7872"/>
    <w:rsid w:val="00AF7A8E"/>
    <w:rsid w:val="00AF7F60"/>
    <w:rsid w:val="00B001D1"/>
    <w:rsid w:val="00B00737"/>
    <w:rsid w:val="00B00834"/>
    <w:rsid w:val="00B01347"/>
    <w:rsid w:val="00B01517"/>
    <w:rsid w:val="00B01988"/>
    <w:rsid w:val="00B0305A"/>
    <w:rsid w:val="00B030FE"/>
    <w:rsid w:val="00B03751"/>
    <w:rsid w:val="00B04B86"/>
    <w:rsid w:val="00B058D0"/>
    <w:rsid w:val="00B05F20"/>
    <w:rsid w:val="00B066DF"/>
    <w:rsid w:val="00B07374"/>
    <w:rsid w:val="00B0776A"/>
    <w:rsid w:val="00B077A0"/>
    <w:rsid w:val="00B1066C"/>
    <w:rsid w:val="00B10A5F"/>
    <w:rsid w:val="00B11529"/>
    <w:rsid w:val="00B115FB"/>
    <w:rsid w:val="00B12597"/>
    <w:rsid w:val="00B14875"/>
    <w:rsid w:val="00B14EF9"/>
    <w:rsid w:val="00B1640A"/>
    <w:rsid w:val="00B16604"/>
    <w:rsid w:val="00B16C02"/>
    <w:rsid w:val="00B1763F"/>
    <w:rsid w:val="00B17ABD"/>
    <w:rsid w:val="00B2136A"/>
    <w:rsid w:val="00B226E5"/>
    <w:rsid w:val="00B2289A"/>
    <w:rsid w:val="00B231AB"/>
    <w:rsid w:val="00B23D6D"/>
    <w:rsid w:val="00B23E14"/>
    <w:rsid w:val="00B23E8C"/>
    <w:rsid w:val="00B24253"/>
    <w:rsid w:val="00B24460"/>
    <w:rsid w:val="00B24C45"/>
    <w:rsid w:val="00B25606"/>
    <w:rsid w:val="00B25E05"/>
    <w:rsid w:val="00B26201"/>
    <w:rsid w:val="00B27147"/>
    <w:rsid w:val="00B3117E"/>
    <w:rsid w:val="00B313A7"/>
    <w:rsid w:val="00B314F5"/>
    <w:rsid w:val="00B32085"/>
    <w:rsid w:val="00B32484"/>
    <w:rsid w:val="00B33599"/>
    <w:rsid w:val="00B33E5A"/>
    <w:rsid w:val="00B34636"/>
    <w:rsid w:val="00B3495C"/>
    <w:rsid w:val="00B35958"/>
    <w:rsid w:val="00B35F5B"/>
    <w:rsid w:val="00B35F6C"/>
    <w:rsid w:val="00B3647A"/>
    <w:rsid w:val="00B36820"/>
    <w:rsid w:val="00B36841"/>
    <w:rsid w:val="00B37393"/>
    <w:rsid w:val="00B37720"/>
    <w:rsid w:val="00B37BC5"/>
    <w:rsid w:val="00B40140"/>
    <w:rsid w:val="00B405B4"/>
    <w:rsid w:val="00B40C53"/>
    <w:rsid w:val="00B41C6C"/>
    <w:rsid w:val="00B41D9C"/>
    <w:rsid w:val="00B426AA"/>
    <w:rsid w:val="00B42B6C"/>
    <w:rsid w:val="00B43193"/>
    <w:rsid w:val="00B4347F"/>
    <w:rsid w:val="00B43881"/>
    <w:rsid w:val="00B43DE7"/>
    <w:rsid w:val="00B4410F"/>
    <w:rsid w:val="00B44A71"/>
    <w:rsid w:val="00B45B9D"/>
    <w:rsid w:val="00B45DAE"/>
    <w:rsid w:val="00B45F99"/>
    <w:rsid w:val="00B462D4"/>
    <w:rsid w:val="00B4699A"/>
    <w:rsid w:val="00B46CF5"/>
    <w:rsid w:val="00B47B46"/>
    <w:rsid w:val="00B5027A"/>
    <w:rsid w:val="00B50F8F"/>
    <w:rsid w:val="00B51698"/>
    <w:rsid w:val="00B51B06"/>
    <w:rsid w:val="00B51C42"/>
    <w:rsid w:val="00B52024"/>
    <w:rsid w:val="00B5249E"/>
    <w:rsid w:val="00B52AA8"/>
    <w:rsid w:val="00B5309B"/>
    <w:rsid w:val="00B53228"/>
    <w:rsid w:val="00B53BAB"/>
    <w:rsid w:val="00B5484C"/>
    <w:rsid w:val="00B55D45"/>
    <w:rsid w:val="00B55DB7"/>
    <w:rsid w:val="00B55F15"/>
    <w:rsid w:val="00B5630F"/>
    <w:rsid w:val="00B569A3"/>
    <w:rsid w:val="00B56B2B"/>
    <w:rsid w:val="00B576B1"/>
    <w:rsid w:val="00B60595"/>
    <w:rsid w:val="00B606A3"/>
    <w:rsid w:val="00B60A06"/>
    <w:rsid w:val="00B61862"/>
    <w:rsid w:val="00B6264F"/>
    <w:rsid w:val="00B6292E"/>
    <w:rsid w:val="00B63C57"/>
    <w:rsid w:val="00B63DA3"/>
    <w:rsid w:val="00B640C8"/>
    <w:rsid w:val="00B6455B"/>
    <w:rsid w:val="00B64DBE"/>
    <w:rsid w:val="00B652BA"/>
    <w:rsid w:val="00B65F17"/>
    <w:rsid w:val="00B66D24"/>
    <w:rsid w:val="00B67492"/>
    <w:rsid w:val="00B7045E"/>
    <w:rsid w:val="00B705DE"/>
    <w:rsid w:val="00B7074F"/>
    <w:rsid w:val="00B70839"/>
    <w:rsid w:val="00B717A4"/>
    <w:rsid w:val="00B721E6"/>
    <w:rsid w:val="00B723BE"/>
    <w:rsid w:val="00B7249C"/>
    <w:rsid w:val="00B728B9"/>
    <w:rsid w:val="00B72FF5"/>
    <w:rsid w:val="00B735B9"/>
    <w:rsid w:val="00B73692"/>
    <w:rsid w:val="00B73783"/>
    <w:rsid w:val="00B73FA5"/>
    <w:rsid w:val="00B741DF"/>
    <w:rsid w:val="00B7437B"/>
    <w:rsid w:val="00B7501D"/>
    <w:rsid w:val="00B75752"/>
    <w:rsid w:val="00B7585A"/>
    <w:rsid w:val="00B763B1"/>
    <w:rsid w:val="00B765C0"/>
    <w:rsid w:val="00B768A0"/>
    <w:rsid w:val="00B76FD1"/>
    <w:rsid w:val="00B77921"/>
    <w:rsid w:val="00B77BFF"/>
    <w:rsid w:val="00B77D4B"/>
    <w:rsid w:val="00B77F54"/>
    <w:rsid w:val="00B77FDE"/>
    <w:rsid w:val="00B80E4E"/>
    <w:rsid w:val="00B811FD"/>
    <w:rsid w:val="00B8177D"/>
    <w:rsid w:val="00B81D71"/>
    <w:rsid w:val="00B81E52"/>
    <w:rsid w:val="00B81EB9"/>
    <w:rsid w:val="00B82401"/>
    <w:rsid w:val="00B824C5"/>
    <w:rsid w:val="00B82BB6"/>
    <w:rsid w:val="00B82E92"/>
    <w:rsid w:val="00B835ED"/>
    <w:rsid w:val="00B83976"/>
    <w:rsid w:val="00B849DC"/>
    <w:rsid w:val="00B85245"/>
    <w:rsid w:val="00B85686"/>
    <w:rsid w:val="00B85694"/>
    <w:rsid w:val="00B85F5D"/>
    <w:rsid w:val="00B87491"/>
    <w:rsid w:val="00B87B1F"/>
    <w:rsid w:val="00B90314"/>
    <w:rsid w:val="00B903B2"/>
    <w:rsid w:val="00B91B39"/>
    <w:rsid w:val="00B9340A"/>
    <w:rsid w:val="00B9349B"/>
    <w:rsid w:val="00B93836"/>
    <w:rsid w:val="00B9404E"/>
    <w:rsid w:val="00B9420F"/>
    <w:rsid w:val="00B94B08"/>
    <w:rsid w:val="00B9599C"/>
    <w:rsid w:val="00B95D07"/>
    <w:rsid w:val="00B96157"/>
    <w:rsid w:val="00B96FFB"/>
    <w:rsid w:val="00B97125"/>
    <w:rsid w:val="00B97342"/>
    <w:rsid w:val="00B979A7"/>
    <w:rsid w:val="00BA171B"/>
    <w:rsid w:val="00BA1882"/>
    <w:rsid w:val="00BA1A27"/>
    <w:rsid w:val="00BA2499"/>
    <w:rsid w:val="00BA29AE"/>
    <w:rsid w:val="00BA2C96"/>
    <w:rsid w:val="00BA34C4"/>
    <w:rsid w:val="00BA3ED8"/>
    <w:rsid w:val="00BA433C"/>
    <w:rsid w:val="00BA4E1D"/>
    <w:rsid w:val="00BA5AB1"/>
    <w:rsid w:val="00BA6A8E"/>
    <w:rsid w:val="00BA79C7"/>
    <w:rsid w:val="00BA7D35"/>
    <w:rsid w:val="00BB010E"/>
    <w:rsid w:val="00BB0448"/>
    <w:rsid w:val="00BB0745"/>
    <w:rsid w:val="00BB0F95"/>
    <w:rsid w:val="00BB167D"/>
    <w:rsid w:val="00BB2532"/>
    <w:rsid w:val="00BB27A7"/>
    <w:rsid w:val="00BB3DBB"/>
    <w:rsid w:val="00BB4336"/>
    <w:rsid w:val="00BB4542"/>
    <w:rsid w:val="00BB4CA7"/>
    <w:rsid w:val="00BB4D87"/>
    <w:rsid w:val="00BB50AF"/>
    <w:rsid w:val="00BB5BDC"/>
    <w:rsid w:val="00BB60EA"/>
    <w:rsid w:val="00BB6352"/>
    <w:rsid w:val="00BB6A86"/>
    <w:rsid w:val="00BB7081"/>
    <w:rsid w:val="00BB719E"/>
    <w:rsid w:val="00BB758C"/>
    <w:rsid w:val="00BB7623"/>
    <w:rsid w:val="00BB7712"/>
    <w:rsid w:val="00BB7A25"/>
    <w:rsid w:val="00BB7F93"/>
    <w:rsid w:val="00BC042B"/>
    <w:rsid w:val="00BC0852"/>
    <w:rsid w:val="00BC0D31"/>
    <w:rsid w:val="00BC0EE4"/>
    <w:rsid w:val="00BC167D"/>
    <w:rsid w:val="00BC1776"/>
    <w:rsid w:val="00BC1D1C"/>
    <w:rsid w:val="00BC2A99"/>
    <w:rsid w:val="00BC3302"/>
    <w:rsid w:val="00BC34AD"/>
    <w:rsid w:val="00BC41DC"/>
    <w:rsid w:val="00BC48F8"/>
    <w:rsid w:val="00BC6168"/>
    <w:rsid w:val="00BC6621"/>
    <w:rsid w:val="00BC6FEE"/>
    <w:rsid w:val="00BC72BA"/>
    <w:rsid w:val="00BD026D"/>
    <w:rsid w:val="00BD073E"/>
    <w:rsid w:val="00BD1339"/>
    <w:rsid w:val="00BD1508"/>
    <w:rsid w:val="00BD1514"/>
    <w:rsid w:val="00BD1918"/>
    <w:rsid w:val="00BD21EE"/>
    <w:rsid w:val="00BD2490"/>
    <w:rsid w:val="00BD26FD"/>
    <w:rsid w:val="00BD28DF"/>
    <w:rsid w:val="00BD3F84"/>
    <w:rsid w:val="00BD5794"/>
    <w:rsid w:val="00BD6828"/>
    <w:rsid w:val="00BE0335"/>
    <w:rsid w:val="00BE10AC"/>
    <w:rsid w:val="00BE14FE"/>
    <w:rsid w:val="00BE27AF"/>
    <w:rsid w:val="00BE4996"/>
    <w:rsid w:val="00BE4D7C"/>
    <w:rsid w:val="00BE4EA0"/>
    <w:rsid w:val="00BE6D87"/>
    <w:rsid w:val="00BE7356"/>
    <w:rsid w:val="00BF0677"/>
    <w:rsid w:val="00BF0807"/>
    <w:rsid w:val="00BF0B91"/>
    <w:rsid w:val="00BF1B2C"/>
    <w:rsid w:val="00BF1EE0"/>
    <w:rsid w:val="00BF2900"/>
    <w:rsid w:val="00BF31D5"/>
    <w:rsid w:val="00BF347D"/>
    <w:rsid w:val="00BF3E41"/>
    <w:rsid w:val="00BF41E3"/>
    <w:rsid w:val="00BF453D"/>
    <w:rsid w:val="00BF4966"/>
    <w:rsid w:val="00BF4A62"/>
    <w:rsid w:val="00BF58A6"/>
    <w:rsid w:val="00BF61CA"/>
    <w:rsid w:val="00BF6A8B"/>
    <w:rsid w:val="00BF7509"/>
    <w:rsid w:val="00BF7A9C"/>
    <w:rsid w:val="00BF7C5C"/>
    <w:rsid w:val="00BF7F32"/>
    <w:rsid w:val="00C00E55"/>
    <w:rsid w:val="00C01FBA"/>
    <w:rsid w:val="00C026C3"/>
    <w:rsid w:val="00C0295E"/>
    <w:rsid w:val="00C033A9"/>
    <w:rsid w:val="00C03505"/>
    <w:rsid w:val="00C036A3"/>
    <w:rsid w:val="00C03AF3"/>
    <w:rsid w:val="00C03D3A"/>
    <w:rsid w:val="00C04A6B"/>
    <w:rsid w:val="00C0551E"/>
    <w:rsid w:val="00C05688"/>
    <w:rsid w:val="00C06076"/>
    <w:rsid w:val="00C06258"/>
    <w:rsid w:val="00C06743"/>
    <w:rsid w:val="00C06AF5"/>
    <w:rsid w:val="00C06C72"/>
    <w:rsid w:val="00C06DD6"/>
    <w:rsid w:val="00C07560"/>
    <w:rsid w:val="00C07FDA"/>
    <w:rsid w:val="00C10F10"/>
    <w:rsid w:val="00C113AF"/>
    <w:rsid w:val="00C114B4"/>
    <w:rsid w:val="00C11F33"/>
    <w:rsid w:val="00C12622"/>
    <w:rsid w:val="00C13054"/>
    <w:rsid w:val="00C1324D"/>
    <w:rsid w:val="00C1425D"/>
    <w:rsid w:val="00C15860"/>
    <w:rsid w:val="00C1660B"/>
    <w:rsid w:val="00C170D4"/>
    <w:rsid w:val="00C17512"/>
    <w:rsid w:val="00C17B10"/>
    <w:rsid w:val="00C17D61"/>
    <w:rsid w:val="00C20BEB"/>
    <w:rsid w:val="00C21151"/>
    <w:rsid w:val="00C21421"/>
    <w:rsid w:val="00C216E6"/>
    <w:rsid w:val="00C21D8F"/>
    <w:rsid w:val="00C22B31"/>
    <w:rsid w:val="00C22E6E"/>
    <w:rsid w:val="00C234D4"/>
    <w:rsid w:val="00C23676"/>
    <w:rsid w:val="00C23A7F"/>
    <w:rsid w:val="00C23F0E"/>
    <w:rsid w:val="00C242E9"/>
    <w:rsid w:val="00C24777"/>
    <w:rsid w:val="00C2491B"/>
    <w:rsid w:val="00C26F82"/>
    <w:rsid w:val="00C30F67"/>
    <w:rsid w:val="00C312DA"/>
    <w:rsid w:val="00C31532"/>
    <w:rsid w:val="00C321FE"/>
    <w:rsid w:val="00C322C8"/>
    <w:rsid w:val="00C339EF"/>
    <w:rsid w:val="00C34692"/>
    <w:rsid w:val="00C34702"/>
    <w:rsid w:val="00C35032"/>
    <w:rsid w:val="00C3527C"/>
    <w:rsid w:val="00C3557E"/>
    <w:rsid w:val="00C3562D"/>
    <w:rsid w:val="00C35B9D"/>
    <w:rsid w:val="00C36657"/>
    <w:rsid w:val="00C36CD5"/>
    <w:rsid w:val="00C36DA2"/>
    <w:rsid w:val="00C36E4C"/>
    <w:rsid w:val="00C370EC"/>
    <w:rsid w:val="00C375B9"/>
    <w:rsid w:val="00C37E36"/>
    <w:rsid w:val="00C41CAE"/>
    <w:rsid w:val="00C434A1"/>
    <w:rsid w:val="00C438DD"/>
    <w:rsid w:val="00C44616"/>
    <w:rsid w:val="00C44C57"/>
    <w:rsid w:val="00C44EAD"/>
    <w:rsid w:val="00C454B5"/>
    <w:rsid w:val="00C455E3"/>
    <w:rsid w:val="00C460D6"/>
    <w:rsid w:val="00C4613E"/>
    <w:rsid w:val="00C47460"/>
    <w:rsid w:val="00C4762F"/>
    <w:rsid w:val="00C47B85"/>
    <w:rsid w:val="00C5007B"/>
    <w:rsid w:val="00C50A59"/>
    <w:rsid w:val="00C50A79"/>
    <w:rsid w:val="00C51C59"/>
    <w:rsid w:val="00C52363"/>
    <w:rsid w:val="00C52E0D"/>
    <w:rsid w:val="00C52FB5"/>
    <w:rsid w:val="00C531E9"/>
    <w:rsid w:val="00C53E62"/>
    <w:rsid w:val="00C5476A"/>
    <w:rsid w:val="00C54A0B"/>
    <w:rsid w:val="00C54B00"/>
    <w:rsid w:val="00C55E79"/>
    <w:rsid w:val="00C563B3"/>
    <w:rsid w:val="00C563CD"/>
    <w:rsid w:val="00C56687"/>
    <w:rsid w:val="00C57201"/>
    <w:rsid w:val="00C60AD7"/>
    <w:rsid w:val="00C6239B"/>
    <w:rsid w:val="00C6307D"/>
    <w:rsid w:val="00C630DE"/>
    <w:rsid w:val="00C63967"/>
    <w:rsid w:val="00C63C7B"/>
    <w:rsid w:val="00C646FB"/>
    <w:rsid w:val="00C64E2B"/>
    <w:rsid w:val="00C658F7"/>
    <w:rsid w:val="00C662D2"/>
    <w:rsid w:val="00C66B62"/>
    <w:rsid w:val="00C6723C"/>
    <w:rsid w:val="00C67E13"/>
    <w:rsid w:val="00C706A4"/>
    <w:rsid w:val="00C71655"/>
    <w:rsid w:val="00C7255C"/>
    <w:rsid w:val="00C72828"/>
    <w:rsid w:val="00C72BBB"/>
    <w:rsid w:val="00C731AC"/>
    <w:rsid w:val="00C73D41"/>
    <w:rsid w:val="00C73EFE"/>
    <w:rsid w:val="00C742E8"/>
    <w:rsid w:val="00C75CCF"/>
    <w:rsid w:val="00C76D54"/>
    <w:rsid w:val="00C778D9"/>
    <w:rsid w:val="00C8004D"/>
    <w:rsid w:val="00C80165"/>
    <w:rsid w:val="00C80ACB"/>
    <w:rsid w:val="00C80DAE"/>
    <w:rsid w:val="00C80EB2"/>
    <w:rsid w:val="00C8301D"/>
    <w:rsid w:val="00C83786"/>
    <w:rsid w:val="00C83A31"/>
    <w:rsid w:val="00C83C5E"/>
    <w:rsid w:val="00C8426B"/>
    <w:rsid w:val="00C8451B"/>
    <w:rsid w:val="00C84EEC"/>
    <w:rsid w:val="00C855DA"/>
    <w:rsid w:val="00C858CD"/>
    <w:rsid w:val="00C85BF8"/>
    <w:rsid w:val="00C86FEE"/>
    <w:rsid w:val="00C8749E"/>
    <w:rsid w:val="00C878A7"/>
    <w:rsid w:val="00C8796C"/>
    <w:rsid w:val="00C87B28"/>
    <w:rsid w:val="00C9004B"/>
    <w:rsid w:val="00C90089"/>
    <w:rsid w:val="00C902B8"/>
    <w:rsid w:val="00C91577"/>
    <w:rsid w:val="00C918D2"/>
    <w:rsid w:val="00C91A24"/>
    <w:rsid w:val="00C91C9D"/>
    <w:rsid w:val="00C91D02"/>
    <w:rsid w:val="00C91E59"/>
    <w:rsid w:val="00C91E6C"/>
    <w:rsid w:val="00C92026"/>
    <w:rsid w:val="00C926A9"/>
    <w:rsid w:val="00C92872"/>
    <w:rsid w:val="00C9360E"/>
    <w:rsid w:val="00C9381F"/>
    <w:rsid w:val="00C94572"/>
    <w:rsid w:val="00C950C2"/>
    <w:rsid w:val="00C950D4"/>
    <w:rsid w:val="00C95456"/>
    <w:rsid w:val="00C95994"/>
    <w:rsid w:val="00C970D9"/>
    <w:rsid w:val="00C97EE8"/>
    <w:rsid w:val="00CA0FFC"/>
    <w:rsid w:val="00CA15C0"/>
    <w:rsid w:val="00CA2A86"/>
    <w:rsid w:val="00CA3203"/>
    <w:rsid w:val="00CA37C2"/>
    <w:rsid w:val="00CA41E6"/>
    <w:rsid w:val="00CA472F"/>
    <w:rsid w:val="00CA4A82"/>
    <w:rsid w:val="00CA4C95"/>
    <w:rsid w:val="00CA5035"/>
    <w:rsid w:val="00CA52EC"/>
    <w:rsid w:val="00CA5353"/>
    <w:rsid w:val="00CA5737"/>
    <w:rsid w:val="00CA583F"/>
    <w:rsid w:val="00CA6060"/>
    <w:rsid w:val="00CA6071"/>
    <w:rsid w:val="00CA60F3"/>
    <w:rsid w:val="00CA630A"/>
    <w:rsid w:val="00CA6A09"/>
    <w:rsid w:val="00CA6A34"/>
    <w:rsid w:val="00CA70F2"/>
    <w:rsid w:val="00CA7B80"/>
    <w:rsid w:val="00CB0016"/>
    <w:rsid w:val="00CB0040"/>
    <w:rsid w:val="00CB00D8"/>
    <w:rsid w:val="00CB01DC"/>
    <w:rsid w:val="00CB0225"/>
    <w:rsid w:val="00CB0913"/>
    <w:rsid w:val="00CB0987"/>
    <w:rsid w:val="00CB09F2"/>
    <w:rsid w:val="00CB0AEC"/>
    <w:rsid w:val="00CB241D"/>
    <w:rsid w:val="00CB2B90"/>
    <w:rsid w:val="00CB3B44"/>
    <w:rsid w:val="00CB492C"/>
    <w:rsid w:val="00CB4C0C"/>
    <w:rsid w:val="00CB4E9F"/>
    <w:rsid w:val="00CB5396"/>
    <w:rsid w:val="00CB5FD6"/>
    <w:rsid w:val="00CB6DC2"/>
    <w:rsid w:val="00CB74DC"/>
    <w:rsid w:val="00CB7662"/>
    <w:rsid w:val="00CC00B3"/>
    <w:rsid w:val="00CC0695"/>
    <w:rsid w:val="00CC07AC"/>
    <w:rsid w:val="00CC0C60"/>
    <w:rsid w:val="00CC109B"/>
    <w:rsid w:val="00CC1204"/>
    <w:rsid w:val="00CC127D"/>
    <w:rsid w:val="00CC1D1F"/>
    <w:rsid w:val="00CC1F08"/>
    <w:rsid w:val="00CC2955"/>
    <w:rsid w:val="00CC2F15"/>
    <w:rsid w:val="00CC307C"/>
    <w:rsid w:val="00CC34CE"/>
    <w:rsid w:val="00CC3821"/>
    <w:rsid w:val="00CC3E7B"/>
    <w:rsid w:val="00CC4B4A"/>
    <w:rsid w:val="00CC58A0"/>
    <w:rsid w:val="00CC5A98"/>
    <w:rsid w:val="00CC5F57"/>
    <w:rsid w:val="00CC6614"/>
    <w:rsid w:val="00CC6842"/>
    <w:rsid w:val="00CC693B"/>
    <w:rsid w:val="00CC6CCF"/>
    <w:rsid w:val="00CC6EC5"/>
    <w:rsid w:val="00CC7C54"/>
    <w:rsid w:val="00CC7DD8"/>
    <w:rsid w:val="00CD06DF"/>
    <w:rsid w:val="00CD07A9"/>
    <w:rsid w:val="00CD11C5"/>
    <w:rsid w:val="00CD14E2"/>
    <w:rsid w:val="00CD15F5"/>
    <w:rsid w:val="00CD1CDE"/>
    <w:rsid w:val="00CD20A0"/>
    <w:rsid w:val="00CD3281"/>
    <w:rsid w:val="00CD3608"/>
    <w:rsid w:val="00CD38AF"/>
    <w:rsid w:val="00CD4066"/>
    <w:rsid w:val="00CD41B4"/>
    <w:rsid w:val="00CD455A"/>
    <w:rsid w:val="00CD494A"/>
    <w:rsid w:val="00CD5A1A"/>
    <w:rsid w:val="00CD64E4"/>
    <w:rsid w:val="00CD6B53"/>
    <w:rsid w:val="00CD6B5D"/>
    <w:rsid w:val="00CD754F"/>
    <w:rsid w:val="00CD7560"/>
    <w:rsid w:val="00CD7CD8"/>
    <w:rsid w:val="00CE0C46"/>
    <w:rsid w:val="00CE19E3"/>
    <w:rsid w:val="00CE1D1A"/>
    <w:rsid w:val="00CE2E84"/>
    <w:rsid w:val="00CE39C9"/>
    <w:rsid w:val="00CE39FE"/>
    <w:rsid w:val="00CE3CAC"/>
    <w:rsid w:val="00CE4BF9"/>
    <w:rsid w:val="00CE4CDF"/>
    <w:rsid w:val="00CE4F8D"/>
    <w:rsid w:val="00CE5B7E"/>
    <w:rsid w:val="00CE6471"/>
    <w:rsid w:val="00CE69D7"/>
    <w:rsid w:val="00CE7097"/>
    <w:rsid w:val="00CE70A1"/>
    <w:rsid w:val="00CE70B7"/>
    <w:rsid w:val="00CE7715"/>
    <w:rsid w:val="00CE7802"/>
    <w:rsid w:val="00CE7C28"/>
    <w:rsid w:val="00CF0496"/>
    <w:rsid w:val="00CF078B"/>
    <w:rsid w:val="00CF0D16"/>
    <w:rsid w:val="00CF0D94"/>
    <w:rsid w:val="00CF0DFE"/>
    <w:rsid w:val="00CF0E5F"/>
    <w:rsid w:val="00CF1405"/>
    <w:rsid w:val="00CF1F0D"/>
    <w:rsid w:val="00CF23C4"/>
    <w:rsid w:val="00CF2474"/>
    <w:rsid w:val="00CF24C2"/>
    <w:rsid w:val="00CF24C4"/>
    <w:rsid w:val="00CF26D2"/>
    <w:rsid w:val="00CF2BE1"/>
    <w:rsid w:val="00CF2E6E"/>
    <w:rsid w:val="00CF3E17"/>
    <w:rsid w:val="00CF4056"/>
    <w:rsid w:val="00CF4156"/>
    <w:rsid w:val="00CF47F1"/>
    <w:rsid w:val="00CF54C1"/>
    <w:rsid w:val="00CF5E73"/>
    <w:rsid w:val="00CF638B"/>
    <w:rsid w:val="00CF77AC"/>
    <w:rsid w:val="00D00B70"/>
    <w:rsid w:val="00D01465"/>
    <w:rsid w:val="00D01A41"/>
    <w:rsid w:val="00D01DCE"/>
    <w:rsid w:val="00D02343"/>
    <w:rsid w:val="00D0240C"/>
    <w:rsid w:val="00D032F0"/>
    <w:rsid w:val="00D039A9"/>
    <w:rsid w:val="00D04181"/>
    <w:rsid w:val="00D045A2"/>
    <w:rsid w:val="00D049D9"/>
    <w:rsid w:val="00D04BE0"/>
    <w:rsid w:val="00D05165"/>
    <w:rsid w:val="00D05384"/>
    <w:rsid w:val="00D060F6"/>
    <w:rsid w:val="00D061FB"/>
    <w:rsid w:val="00D06C28"/>
    <w:rsid w:val="00D06C67"/>
    <w:rsid w:val="00D0771A"/>
    <w:rsid w:val="00D07C86"/>
    <w:rsid w:val="00D100A7"/>
    <w:rsid w:val="00D105B3"/>
    <w:rsid w:val="00D1061A"/>
    <w:rsid w:val="00D1071D"/>
    <w:rsid w:val="00D1085D"/>
    <w:rsid w:val="00D1098F"/>
    <w:rsid w:val="00D1159A"/>
    <w:rsid w:val="00D11C4B"/>
    <w:rsid w:val="00D11D53"/>
    <w:rsid w:val="00D11ED0"/>
    <w:rsid w:val="00D121E1"/>
    <w:rsid w:val="00D12388"/>
    <w:rsid w:val="00D13C46"/>
    <w:rsid w:val="00D13F0D"/>
    <w:rsid w:val="00D14122"/>
    <w:rsid w:val="00D14760"/>
    <w:rsid w:val="00D1681C"/>
    <w:rsid w:val="00D16DF5"/>
    <w:rsid w:val="00D20850"/>
    <w:rsid w:val="00D20BAC"/>
    <w:rsid w:val="00D20ED1"/>
    <w:rsid w:val="00D2215E"/>
    <w:rsid w:val="00D22CB9"/>
    <w:rsid w:val="00D24090"/>
    <w:rsid w:val="00D241B7"/>
    <w:rsid w:val="00D24373"/>
    <w:rsid w:val="00D24B6C"/>
    <w:rsid w:val="00D25E65"/>
    <w:rsid w:val="00D278CD"/>
    <w:rsid w:val="00D304E0"/>
    <w:rsid w:val="00D317FD"/>
    <w:rsid w:val="00D321FE"/>
    <w:rsid w:val="00D33430"/>
    <w:rsid w:val="00D3383B"/>
    <w:rsid w:val="00D34E4C"/>
    <w:rsid w:val="00D35052"/>
    <w:rsid w:val="00D353A8"/>
    <w:rsid w:val="00D353FE"/>
    <w:rsid w:val="00D35692"/>
    <w:rsid w:val="00D362DE"/>
    <w:rsid w:val="00D3644B"/>
    <w:rsid w:val="00D3646C"/>
    <w:rsid w:val="00D372DF"/>
    <w:rsid w:val="00D376F2"/>
    <w:rsid w:val="00D403F6"/>
    <w:rsid w:val="00D4043F"/>
    <w:rsid w:val="00D40C7B"/>
    <w:rsid w:val="00D40E71"/>
    <w:rsid w:val="00D4167D"/>
    <w:rsid w:val="00D41782"/>
    <w:rsid w:val="00D42DCD"/>
    <w:rsid w:val="00D4354A"/>
    <w:rsid w:val="00D43769"/>
    <w:rsid w:val="00D447CB"/>
    <w:rsid w:val="00D4488F"/>
    <w:rsid w:val="00D44939"/>
    <w:rsid w:val="00D449D4"/>
    <w:rsid w:val="00D457E1"/>
    <w:rsid w:val="00D45DD3"/>
    <w:rsid w:val="00D45F6C"/>
    <w:rsid w:val="00D4600D"/>
    <w:rsid w:val="00D467A3"/>
    <w:rsid w:val="00D46F77"/>
    <w:rsid w:val="00D47118"/>
    <w:rsid w:val="00D47705"/>
    <w:rsid w:val="00D47A58"/>
    <w:rsid w:val="00D47CD5"/>
    <w:rsid w:val="00D5023D"/>
    <w:rsid w:val="00D521F7"/>
    <w:rsid w:val="00D529FB"/>
    <w:rsid w:val="00D52C67"/>
    <w:rsid w:val="00D52C83"/>
    <w:rsid w:val="00D52DA3"/>
    <w:rsid w:val="00D52E3F"/>
    <w:rsid w:val="00D53168"/>
    <w:rsid w:val="00D536BB"/>
    <w:rsid w:val="00D53AB0"/>
    <w:rsid w:val="00D53CF4"/>
    <w:rsid w:val="00D53EC1"/>
    <w:rsid w:val="00D55863"/>
    <w:rsid w:val="00D565D8"/>
    <w:rsid w:val="00D56956"/>
    <w:rsid w:val="00D56EDA"/>
    <w:rsid w:val="00D57E54"/>
    <w:rsid w:val="00D60448"/>
    <w:rsid w:val="00D60633"/>
    <w:rsid w:val="00D60919"/>
    <w:rsid w:val="00D60D22"/>
    <w:rsid w:val="00D61A81"/>
    <w:rsid w:val="00D62A84"/>
    <w:rsid w:val="00D62B6C"/>
    <w:rsid w:val="00D6318D"/>
    <w:rsid w:val="00D63285"/>
    <w:rsid w:val="00D636F2"/>
    <w:rsid w:val="00D642FA"/>
    <w:rsid w:val="00D65126"/>
    <w:rsid w:val="00D6522E"/>
    <w:rsid w:val="00D6676D"/>
    <w:rsid w:val="00D66BE8"/>
    <w:rsid w:val="00D66D36"/>
    <w:rsid w:val="00D66F58"/>
    <w:rsid w:val="00D704B9"/>
    <w:rsid w:val="00D70E9B"/>
    <w:rsid w:val="00D713F3"/>
    <w:rsid w:val="00D71DEE"/>
    <w:rsid w:val="00D72A51"/>
    <w:rsid w:val="00D72CB0"/>
    <w:rsid w:val="00D72EC2"/>
    <w:rsid w:val="00D7319F"/>
    <w:rsid w:val="00D743AF"/>
    <w:rsid w:val="00D74E9A"/>
    <w:rsid w:val="00D74F99"/>
    <w:rsid w:val="00D75D40"/>
    <w:rsid w:val="00D7670E"/>
    <w:rsid w:val="00D76F1A"/>
    <w:rsid w:val="00D770BE"/>
    <w:rsid w:val="00D77185"/>
    <w:rsid w:val="00D77613"/>
    <w:rsid w:val="00D778CB"/>
    <w:rsid w:val="00D77DED"/>
    <w:rsid w:val="00D80119"/>
    <w:rsid w:val="00D8045B"/>
    <w:rsid w:val="00D8077A"/>
    <w:rsid w:val="00D80A5D"/>
    <w:rsid w:val="00D80D38"/>
    <w:rsid w:val="00D8109D"/>
    <w:rsid w:val="00D81B4A"/>
    <w:rsid w:val="00D81E3C"/>
    <w:rsid w:val="00D81FA3"/>
    <w:rsid w:val="00D82204"/>
    <w:rsid w:val="00D82950"/>
    <w:rsid w:val="00D82BA7"/>
    <w:rsid w:val="00D83413"/>
    <w:rsid w:val="00D83875"/>
    <w:rsid w:val="00D85896"/>
    <w:rsid w:val="00D85B86"/>
    <w:rsid w:val="00D8618D"/>
    <w:rsid w:val="00D86DC6"/>
    <w:rsid w:val="00D87161"/>
    <w:rsid w:val="00D9061C"/>
    <w:rsid w:val="00D90C82"/>
    <w:rsid w:val="00D911DA"/>
    <w:rsid w:val="00D93452"/>
    <w:rsid w:val="00D943EE"/>
    <w:rsid w:val="00D948E6"/>
    <w:rsid w:val="00D95132"/>
    <w:rsid w:val="00D95207"/>
    <w:rsid w:val="00D954BE"/>
    <w:rsid w:val="00D95591"/>
    <w:rsid w:val="00D958A0"/>
    <w:rsid w:val="00D96063"/>
    <w:rsid w:val="00D961DE"/>
    <w:rsid w:val="00D9681D"/>
    <w:rsid w:val="00D96BBA"/>
    <w:rsid w:val="00DA01FC"/>
    <w:rsid w:val="00DA04D7"/>
    <w:rsid w:val="00DA04E1"/>
    <w:rsid w:val="00DA07F6"/>
    <w:rsid w:val="00DA0AA4"/>
    <w:rsid w:val="00DA0B99"/>
    <w:rsid w:val="00DA20CC"/>
    <w:rsid w:val="00DA2479"/>
    <w:rsid w:val="00DA591A"/>
    <w:rsid w:val="00DA61D0"/>
    <w:rsid w:val="00DA64DE"/>
    <w:rsid w:val="00DA657F"/>
    <w:rsid w:val="00DA76E5"/>
    <w:rsid w:val="00DA775B"/>
    <w:rsid w:val="00DB01E4"/>
    <w:rsid w:val="00DB0470"/>
    <w:rsid w:val="00DB04D2"/>
    <w:rsid w:val="00DB0664"/>
    <w:rsid w:val="00DB1BE9"/>
    <w:rsid w:val="00DB1C49"/>
    <w:rsid w:val="00DB484C"/>
    <w:rsid w:val="00DB4C6B"/>
    <w:rsid w:val="00DB6EE2"/>
    <w:rsid w:val="00DB6F73"/>
    <w:rsid w:val="00DB74C2"/>
    <w:rsid w:val="00DC05F5"/>
    <w:rsid w:val="00DC0AF5"/>
    <w:rsid w:val="00DC0CD2"/>
    <w:rsid w:val="00DC1351"/>
    <w:rsid w:val="00DC16BF"/>
    <w:rsid w:val="00DC2774"/>
    <w:rsid w:val="00DC3034"/>
    <w:rsid w:val="00DC322D"/>
    <w:rsid w:val="00DC367A"/>
    <w:rsid w:val="00DC4348"/>
    <w:rsid w:val="00DC4E1D"/>
    <w:rsid w:val="00DC4F04"/>
    <w:rsid w:val="00DC552D"/>
    <w:rsid w:val="00DC5784"/>
    <w:rsid w:val="00DC5968"/>
    <w:rsid w:val="00DC5E35"/>
    <w:rsid w:val="00DC6492"/>
    <w:rsid w:val="00DC6684"/>
    <w:rsid w:val="00DC726A"/>
    <w:rsid w:val="00DC7710"/>
    <w:rsid w:val="00DD0326"/>
    <w:rsid w:val="00DD0D7F"/>
    <w:rsid w:val="00DD17F2"/>
    <w:rsid w:val="00DD195C"/>
    <w:rsid w:val="00DD27CD"/>
    <w:rsid w:val="00DD3342"/>
    <w:rsid w:val="00DD391A"/>
    <w:rsid w:val="00DD4023"/>
    <w:rsid w:val="00DD497D"/>
    <w:rsid w:val="00DD4B4E"/>
    <w:rsid w:val="00DD5CA7"/>
    <w:rsid w:val="00DD694A"/>
    <w:rsid w:val="00DD6C5F"/>
    <w:rsid w:val="00DD6EB1"/>
    <w:rsid w:val="00DD7446"/>
    <w:rsid w:val="00DE018D"/>
    <w:rsid w:val="00DE0957"/>
    <w:rsid w:val="00DE1392"/>
    <w:rsid w:val="00DE161E"/>
    <w:rsid w:val="00DE33B3"/>
    <w:rsid w:val="00DE3545"/>
    <w:rsid w:val="00DE3C3D"/>
    <w:rsid w:val="00DE43F0"/>
    <w:rsid w:val="00DE4C68"/>
    <w:rsid w:val="00DE5866"/>
    <w:rsid w:val="00DE5A38"/>
    <w:rsid w:val="00DE5F5E"/>
    <w:rsid w:val="00DE61C4"/>
    <w:rsid w:val="00DE6813"/>
    <w:rsid w:val="00DE684C"/>
    <w:rsid w:val="00DE6A93"/>
    <w:rsid w:val="00DE6FC6"/>
    <w:rsid w:val="00DE71DE"/>
    <w:rsid w:val="00DE758E"/>
    <w:rsid w:val="00DE78C6"/>
    <w:rsid w:val="00DF0412"/>
    <w:rsid w:val="00DF1A24"/>
    <w:rsid w:val="00DF2223"/>
    <w:rsid w:val="00DF241F"/>
    <w:rsid w:val="00DF2871"/>
    <w:rsid w:val="00DF2D40"/>
    <w:rsid w:val="00DF35DC"/>
    <w:rsid w:val="00DF39CF"/>
    <w:rsid w:val="00DF524B"/>
    <w:rsid w:val="00DF58ED"/>
    <w:rsid w:val="00DF595E"/>
    <w:rsid w:val="00DF5F97"/>
    <w:rsid w:val="00DF6329"/>
    <w:rsid w:val="00DF6910"/>
    <w:rsid w:val="00DF760C"/>
    <w:rsid w:val="00DF7BF7"/>
    <w:rsid w:val="00DF7DFE"/>
    <w:rsid w:val="00E0039D"/>
    <w:rsid w:val="00E0086C"/>
    <w:rsid w:val="00E00A9C"/>
    <w:rsid w:val="00E00B12"/>
    <w:rsid w:val="00E00C7A"/>
    <w:rsid w:val="00E01D52"/>
    <w:rsid w:val="00E022CC"/>
    <w:rsid w:val="00E02340"/>
    <w:rsid w:val="00E026F2"/>
    <w:rsid w:val="00E02715"/>
    <w:rsid w:val="00E03772"/>
    <w:rsid w:val="00E03EAE"/>
    <w:rsid w:val="00E050B9"/>
    <w:rsid w:val="00E059D1"/>
    <w:rsid w:val="00E05E03"/>
    <w:rsid w:val="00E061F8"/>
    <w:rsid w:val="00E06645"/>
    <w:rsid w:val="00E06F0A"/>
    <w:rsid w:val="00E123FA"/>
    <w:rsid w:val="00E12780"/>
    <w:rsid w:val="00E12902"/>
    <w:rsid w:val="00E1314C"/>
    <w:rsid w:val="00E13245"/>
    <w:rsid w:val="00E13EEF"/>
    <w:rsid w:val="00E14AA8"/>
    <w:rsid w:val="00E16198"/>
    <w:rsid w:val="00E16A34"/>
    <w:rsid w:val="00E16F11"/>
    <w:rsid w:val="00E171EF"/>
    <w:rsid w:val="00E173FA"/>
    <w:rsid w:val="00E174E8"/>
    <w:rsid w:val="00E17F76"/>
    <w:rsid w:val="00E205D3"/>
    <w:rsid w:val="00E20869"/>
    <w:rsid w:val="00E20E7E"/>
    <w:rsid w:val="00E21481"/>
    <w:rsid w:val="00E24C54"/>
    <w:rsid w:val="00E24E78"/>
    <w:rsid w:val="00E24ECC"/>
    <w:rsid w:val="00E255E8"/>
    <w:rsid w:val="00E25624"/>
    <w:rsid w:val="00E2567E"/>
    <w:rsid w:val="00E2608F"/>
    <w:rsid w:val="00E26432"/>
    <w:rsid w:val="00E26797"/>
    <w:rsid w:val="00E271A7"/>
    <w:rsid w:val="00E27487"/>
    <w:rsid w:val="00E274AF"/>
    <w:rsid w:val="00E2774F"/>
    <w:rsid w:val="00E27929"/>
    <w:rsid w:val="00E27AB6"/>
    <w:rsid w:val="00E27B5C"/>
    <w:rsid w:val="00E30056"/>
    <w:rsid w:val="00E301E9"/>
    <w:rsid w:val="00E304D1"/>
    <w:rsid w:val="00E31544"/>
    <w:rsid w:val="00E316B5"/>
    <w:rsid w:val="00E32AE7"/>
    <w:rsid w:val="00E33CA2"/>
    <w:rsid w:val="00E3439E"/>
    <w:rsid w:val="00E345AC"/>
    <w:rsid w:val="00E348C5"/>
    <w:rsid w:val="00E3498D"/>
    <w:rsid w:val="00E355FC"/>
    <w:rsid w:val="00E359CE"/>
    <w:rsid w:val="00E35E4C"/>
    <w:rsid w:val="00E35FFD"/>
    <w:rsid w:val="00E36DB1"/>
    <w:rsid w:val="00E37F85"/>
    <w:rsid w:val="00E40B9D"/>
    <w:rsid w:val="00E41D10"/>
    <w:rsid w:val="00E424E7"/>
    <w:rsid w:val="00E42BB2"/>
    <w:rsid w:val="00E4331F"/>
    <w:rsid w:val="00E439B0"/>
    <w:rsid w:val="00E43A83"/>
    <w:rsid w:val="00E4444E"/>
    <w:rsid w:val="00E45F71"/>
    <w:rsid w:val="00E46B07"/>
    <w:rsid w:val="00E47573"/>
    <w:rsid w:val="00E47615"/>
    <w:rsid w:val="00E50086"/>
    <w:rsid w:val="00E51405"/>
    <w:rsid w:val="00E514E9"/>
    <w:rsid w:val="00E530D6"/>
    <w:rsid w:val="00E53E65"/>
    <w:rsid w:val="00E5434A"/>
    <w:rsid w:val="00E547E6"/>
    <w:rsid w:val="00E563D9"/>
    <w:rsid w:val="00E56A8F"/>
    <w:rsid w:val="00E56CB5"/>
    <w:rsid w:val="00E56EF3"/>
    <w:rsid w:val="00E60428"/>
    <w:rsid w:val="00E611F0"/>
    <w:rsid w:val="00E61DD2"/>
    <w:rsid w:val="00E62DA6"/>
    <w:rsid w:val="00E63539"/>
    <w:rsid w:val="00E64488"/>
    <w:rsid w:val="00E650CB"/>
    <w:rsid w:val="00E65BFC"/>
    <w:rsid w:val="00E65F4B"/>
    <w:rsid w:val="00E6653B"/>
    <w:rsid w:val="00E665A1"/>
    <w:rsid w:val="00E66CA6"/>
    <w:rsid w:val="00E6764B"/>
    <w:rsid w:val="00E70408"/>
    <w:rsid w:val="00E70700"/>
    <w:rsid w:val="00E70D69"/>
    <w:rsid w:val="00E70DAA"/>
    <w:rsid w:val="00E7121F"/>
    <w:rsid w:val="00E7128C"/>
    <w:rsid w:val="00E71925"/>
    <w:rsid w:val="00E71D07"/>
    <w:rsid w:val="00E72163"/>
    <w:rsid w:val="00E722CC"/>
    <w:rsid w:val="00E7233D"/>
    <w:rsid w:val="00E72855"/>
    <w:rsid w:val="00E72F57"/>
    <w:rsid w:val="00E7362D"/>
    <w:rsid w:val="00E73CDB"/>
    <w:rsid w:val="00E74419"/>
    <w:rsid w:val="00E74A90"/>
    <w:rsid w:val="00E750EF"/>
    <w:rsid w:val="00E75639"/>
    <w:rsid w:val="00E75792"/>
    <w:rsid w:val="00E761C1"/>
    <w:rsid w:val="00E77A83"/>
    <w:rsid w:val="00E804EC"/>
    <w:rsid w:val="00E80F02"/>
    <w:rsid w:val="00E81099"/>
    <w:rsid w:val="00E81275"/>
    <w:rsid w:val="00E8144A"/>
    <w:rsid w:val="00E8212D"/>
    <w:rsid w:val="00E82783"/>
    <w:rsid w:val="00E82B02"/>
    <w:rsid w:val="00E8319E"/>
    <w:rsid w:val="00E83B70"/>
    <w:rsid w:val="00E8467E"/>
    <w:rsid w:val="00E85079"/>
    <w:rsid w:val="00E86834"/>
    <w:rsid w:val="00E86BBB"/>
    <w:rsid w:val="00E8705A"/>
    <w:rsid w:val="00E87532"/>
    <w:rsid w:val="00E87D8A"/>
    <w:rsid w:val="00E87F08"/>
    <w:rsid w:val="00E907B8"/>
    <w:rsid w:val="00E90D4E"/>
    <w:rsid w:val="00E9110A"/>
    <w:rsid w:val="00E916E9"/>
    <w:rsid w:val="00E91830"/>
    <w:rsid w:val="00E91A39"/>
    <w:rsid w:val="00E92B0B"/>
    <w:rsid w:val="00E934D7"/>
    <w:rsid w:val="00E938A7"/>
    <w:rsid w:val="00E941E8"/>
    <w:rsid w:val="00E94740"/>
    <w:rsid w:val="00E949E6"/>
    <w:rsid w:val="00E94A3D"/>
    <w:rsid w:val="00E9528F"/>
    <w:rsid w:val="00E95B0C"/>
    <w:rsid w:val="00E96957"/>
    <w:rsid w:val="00E96CF6"/>
    <w:rsid w:val="00E9721F"/>
    <w:rsid w:val="00E9798D"/>
    <w:rsid w:val="00E97B43"/>
    <w:rsid w:val="00E97B55"/>
    <w:rsid w:val="00E97E74"/>
    <w:rsid w:val="00EA0B5D"/>
    <w:rsid w:val="00EA0D0A"/>
    <w:rsid w:val="00EA0F18"/>
    <w:rsid w:val="00EA1CBA"/>
    <w:rsid w:val="00EA2CEC"/>
    <w:rsid w:val="00EA403B"/>
    <w:rsid w:val="00EA40B8"/>
    <w:rsid w:val="00EA4660"/>
    <w:rsid w:val="00EA4C96"/>
    <w:rsid w:val="00EA5219"/>
    <w:rsid w:val="00EA5799"/>
    <w:rsid w:val="00EA57D2"/>
    <w:rsid w:val="00EA59D4"/>
    <w:rsid w:val="00EA6067"/>
    <w:rsid w:val="00EA608F"/>
    <w:rsid w:val="00EA60FC"/>
    <w:rsid w:val="00EA6171"/>
    <w:rsid w:val="00EA7097"/>
    <w:rsid w:val="00EA7BF7"/>
    <w:rsid w:val="00EB0818"/>
    <w:rsid w:val="00EB1057"/>
    <w:rsid w:val="00EB1943"/>
    <w:rsid w:val="00EB1A5C"/>
    <w:rsid w:val="00EB1D7F"/>
    <w:rsid w:val="00EB2161"/>
    <w:rsid w:val="00EB2350"/>
    <w:rsid w:val="00EB2A7F"/>
    <w:rsid w:val="00EB3BDF"/>
    <w:rsid w:val="00EB5093"/>
    <w:rsid w:val="00EB587E"/>
    <w:rsid w:val="00EB5880"/>
    <w:rsid w:val="00EB59A9"/>
    <w:rsid w:val="00EB60A8"/>
    <w:rsid w:val="00EB62C2"/>
    <w:rsid w:val="00EB6516"/>
    <w:rsid w:val="00EB65B3"/>
    <w:rsid w:val="00EB6BB7"/>
    <w:rsid w:val="00EB6E92"/>
    <w:rsid w:val="00EB7AAC"/>
    <w:rsid w:val="00EC07A6"/>
    <w:rsid w:val="00EC13F1"/>
    <w:rsid w:val="00EC1607"/>
    <w:rsid w:val="00EC18F3"/>
    <w:rsid w:val="00EC2C3D"/>
    <w:rsid w:val="00EC35B7"/>
    <w:rsid w:val="00EC39CE"/>
    <w:rsid w:val="00EC3CBD"/>
    <w:rsid w:val="00EC4404"/>
    <w:rsid w:val="00EC45E0"/>
    <w:rsid w:val="00EC4AF4"/>
    <w:rsid w:val="00EC5A47"/>
    <w:rsid w:val="00EC5DA8"/>
    <w:rsid w:val="00EC6FA7"/>
    <w:rsid w:val="00EC7650"/>
    <w:rsid w:val="00EC79D1"/>
    <w:rsid w:val="00EC7E03"/>
    <w:rsid w:val="00ED0CF7"/>
    <w:rsid w:val="00ED0D26"/>
    <w:rsid w:val="00ED335F"/>
    <w:rsid w:val="00ED3DEF"/>
    <w:rsid w:val="00ED4233"/>
    <w:rsid w:val="00ED4339"/>
    <w:rsid w:val="00ED49E7"/>
    <w:rsid w:val="00ED54D5"/>
    <w:rsid w:val="00ED555F"/>
    <w:rsid w:val="00ED57E6"/>
    <w:rsid w:val="00ED66AB"/>
    <w:rsid w:val="00ED6891"/>
    <w:rsid w:val="00ED6962"/>
    <w:rsid w:val="00ED75C6"/>
    <w:rsid w:val="00EE1F87"/>
    <w:rsid w:val="00EE2A8D"/>
    <w:rsid w:val="00EE303C"/>
    <w:rsid w:val="00EE3909"/>
    <w:rsid w:val="00EE39F2"/>
    <w:rsid w:val="00EE3B98"/>
    <w:rsid w:val="00EE3CF9"/>
    <w:rsid w:val="00EE4A2E"/>
    <w:rsid w:val="00EE4B56"/>
    <w:rsid w:val="00EE51BB"/>
    <w:rsid w:val="00EE5499"/>
    <w:rsid w:val="00EE6329"/>
    <w:rsid w:val="00EE6F6F"/>
    <w:rsid w:val="00EE727F"/>
    <w:rsid w:val="00EE79BD"/>
    <w:rsid w:val="00EE79E1"/>
    <w:rsid w:val="00EE7A46"/>
    <w:rsid w:val="00EE7AF1"/>
    <w:rsid w:val="00EF0381"/>
    <w:rsid w:val="00EF0989"/>
    <w:rsid w:val="00EF22D4"/>
    <w:rsid w:val="00EF2E03"/>
    <w:rsid w:val="00EF2EE7"/>
    <w:rsid w:val="00EF370F"/>
    <w:rsid w:val="00EF390B"/>
    <w:rsid w:val="00EF3A80"/>
    <w:rsid w:val="00EF3BAE"/>
    <w:rsid w:val="00EF4F04"/>
    <w:rsid w:val="00EF51E1"/>
    <w:rsid w:val="00EF57FB"/>
    <w:rsid w:val="00EF5A93"/>
    <w:rsid w:val="00EF65DA"/>
    <w:rsid w:val="00EF77A0"/>
    <w:rsid w:val="00EF7919"/>
    <w:rsid w:val="00EF793A"/>
    <w:rsid w:val="00EF7CEC"/>
    <w:rsid w:val="00EF7E4E"/>
    <w:rsid w:val="00F00DB3"/>
    <w:rsid w:val="00F0110D"/>
    <w:rsid w:val="00F0154A"/>
    <w:rsid w:val="00F022AC"/>
    <w:rsid w:val="00F02B5B"/>
    <w:rsid w:val="00F04F18"/>
    <w:rsid w:val="00F04FE2"/>
    <w:rsid w:val="00F05034"/>
    <w:rsid w:val="00F05135"/>
    <w:rsid w:val="00F05237"/>
    <w:rsid w:val="00F05292"/>
    <w:rsid w:val="00F072FB"/>
    <w:rsid w:val="00F07311"/>
    <w:rsid w:val="00F07351"/>
    <w:rsid w:val="00F073B0"/>
    <w:rsid w:val="00F075B5"/>
    <w:rsid w:val="00F076B9"/>
    <w:rsid w:val="00F0792E"/>
    <w:rsid w:val="00F07942"/>
    <w:rsid w:val="00F07C58"/>
    <w:rsid w:val="00F102B2"/>
    <w:rsid w:val="00F1140B"/>
    <w:rsid w:val="00F118AF"/>
    <w:rsid w:val="00F1373F"/>
    <w:rsid w:val="00F139CE"/>
    <w:rsid w:val="00F13B61"/>
    <w:rsid w:val="00F15944"/>
    <w:rsid w:val="00F16685"/>
    <w:rsid w:val="00F1732A"/>
    <w:rsid w:val="00F17E9E"/>
    <w:rsid w:val="00F2176B"/>
    <w:rsid w:val="00F21A6C"/>
    <w:rsid w:val="00F21BE4"/>
    <w:rsid w:val="00F21CB3"/>
    <w:rsid w:val="00F2212F"/>
    <w:rsid w:val="00F22375"/>
    <w:rsid w:val="00F231F6"/>
    <w:rsid w:val="00F233D4"/>
    <w:rsid w:val="00F23448"/>
    <w:rsid w:val="00F2374D"/>
    <w:rsid w:val="00F23BC8"/>
    <w:rsid w:val="00F23FA5"/>
    <w:rsid w:val="00F24359"/>
    <w:rsid w:val="00F248BE"/>
    <w:rsid w:val="00F24FC3"/>
    <w:rsid w:val="00F2536B"/>
    <w:rsid w:val="00F25AAC"/>
    <w:rsid w:val="00F26149"/>
    <w:rsid w:val="00F265A2"/>
    <w:rsid w:val="00F267FD"/>
    <w:rsid w:val="00F26C25"/>
    <w:rsid w:val="00F27227"/>
    <w:rsid w:val="00F279F0"/>
    <w:rsid w:val="00F30140"/>
    <w:rsid w:val="00F32642"/>
    <w:rsid w:val="00F32A82"/>
    <w:rsid w:val="00F32E4A"/>
    <w:rsid w:val="00F335FB"/>
    <w:rsid w:val="00F34C28"/>
    <w:rsid w:val="00F351FA"/>
    <w:rsid w:val="00F357F9"/>
    <w:rsid w:val="00F35EEF"/>
    <w:rsid w:val="00F3699B"/>
    <w:rsid w:val="00F37DC2"/>
    <w:rsid w:val="00F40573"/>
    <w:rsid w:val="00F40B40"/>
    <w:rsid w:val="00F40FF1"/>
    <w:rsid w:val="00F42758"/>
    <w:rsid w:val="00F42C30"/>
    <w:rsid w:val="00F42D82"/>
    <w:rsid w:val="00F42FAC"/>
    <w:rsid w:val="00F431C1"/>
    <w:rsid w:val="00F43F92"/>
    <w:rsid w:val="00F4442E"/>
    <w:rsid w:val="00F44C7F"/>
    <w:rsid w:val="00F45472"/>
    <w:rsid w:val="00F46F54"/>
    <w:rsid w:val="00F476D2"/>
    <w:rsid w:val="00F50FD2"/>
    <w:rsid w:val="00F512A8"/>
    <w:rsid w:val="00F51318"/>
    <w:rsid w:val="00F51C59"/>
    <w:rsid w:val="00F54192"/>
    <w:rsid w:val="00F54678"/>
    <w:rsid w:val="00F548D2"/>
    <w:rsid w:val="00F54CE2"/>
    <w:rsid w:val="00F55DC4"/>
    <w:rsid w:val="00F563EE"/>
    <w:rsid w:val="00F56AD6"/>
    <w:rsid w:val="00F56EF3"/>
    <w:rsid w:val="00F56F9A"/>
    <w:rsid w:val="00F571C9"/>
    <w:rsid w:val="00F60333"/>
    <w:rsid w:val="00F60564"/>
    <w:rsid w:val="00F6140E"/>
    <w:rsid w:val="00F6156E"/>
    <w:rsid w:val="00F62114"/>
    <w:rsid w:val="00F62A5A"/>
    <w:rsid w:val="00F63C58"/>
    <w:rsid w:val="00F63FB9"/>
    <w:rsid w:val="00F643CE"/>
    <w:rsid w:val="00F648AE"/>
    <w:rsid w:val="00F654C5"/>
    <w:rsid w:val="00F65C48"/>
    <w:rsid w:val="00F65D24"/>
    <w:rsid w:val="00F660B8"/>
    <w:rsid w:val="00F66540"/>
    <w:rsid w:val="00F667F6"/>
    <w:rsid w:val="00F66934"/>
    <w:rsid w:val="00F67BFF"/>
    <w:rsid w:val="00F67C3D"/>
    <w:rsid w:val="00F70315"/>
    <w:rsid w:val="00F70648"/>
    <w:rsid w:val="00F7088F"/>
    <w:rsid w:val="00F709BD"/>
    <w:rsid w:val="00F71D13"/>
    <w:rsid w:val="00F7239E"/>
    <w:rsid w:val="00F7321D"/>
    <w:rsid w:val="00F73BA3"/>
    <w:rsid w:val="00F744BB"/>
    <w:rsid w:val="00F74670"/>
    <w:rsid w:val="00F75282"/>
    <w:rsid w:val="00F76177"/>
    <w:rsid w:val="00F77407"/>
    <w:rsid w:val="00F77A1E"/>
    <w:rsid w:val="00F77BA1"/>
    <w:rsid w:val="00F77D22"/>
    <w:rsid w:val="00F80222"/>
    <w:rsid w:val="00F805D1"/>
    <w:rsid w:val="00F8104C"/>
    <w:rsid w:val="00F81120"/>
    <w:rsid w:val="00F812B9"/>
    <w:rsid w:val="00F81634"/>
    <w:rsid w:val="00F81C8B"/>
    <w:rsid w:val="00F81FAD"/>
    <w:rsid w:val="00F82CA2"/>
    <w:rsid w:val="00F83520"/>
    <w:rsid w:val="00F8365E"/>
    <w:rsid w:val="00F8465B"/>
    <w:rsid w:val="00F850E1"/>
    <w:rsid w:val="00F851DB"/>
    <w:rsid w:val="00F85389"/>
    <w:rsid w:val="00F85BF1"/>
    <w:rsid w:val="00F85EA9"/>
    <w:rsid w:val="00F85F95"/>
    <w:rsid w:val="00F87029"/>
    <w:rsid w:val="00F872A4"/>
    <w:rsid w:val="00F87904"/>
    <w:rsid w:val="00F900D6"/>
    <w:rsid w:val="00F9029E"/>
    <w:rsid w:val="00F904D4"/>
    <w:rsid w:val="00F907B5"/>
    <w:rsid w:val="00F90F40"/>
    <w:rsid w:val="00F91234"/>
    <w:rsid w:val="00F918FE"/>
    <w:rsid w:val="00F91AAE"/>
    <w:rsid w:val="00F91B65"/>
    <w:rsid w:val="00F925F8"/>
    <w:rsid w:val="00F92D4B"/>
    <w:rsid w:val="00F92DFE"/>
    <w:rsid w:val="00F93B63"/>
    <w:rsid w:val="00F94409"/>
    <w:rsid w:val="00F94ABB"/>
    <w:rsid w:val="00F9535B"/>
    <w:rsid w:val="00F95388"/>
    <w:rsid w:val="00F96D1A"/>
    <w:rsid w:val="00F96F4C"/>
    <w:rsid w:val="00F9779C"/>
    <w:rsid w:val="00F97B23"/>
    <w:rsid w:val="00F97BED"/>
    <w:rsid w:val="00FA0252"/>
    <w:rsid w:val="00FA0D99"/>
    <w:rsid w:val="00FA24F9"/>
    <w:rsid w:val="00FA3930"/>
    <w:rsid w:val="00FA4BA5"/>
    <w:rsid w:val="00FA5266"/>
    <w:rsid w:val="00FA5728"/>
    <w:rsid w:val="00FA623C"/>
    <w:rsid w:val="00FA6FA7"/>
    <w:rsid w:val="00FA72CA"/>
    <w:rsid w:val="00FA7D16"/>
    <w:rsid w:val="00FB01A7"/>
    <w:rsid w:val="00FB1714"/>
    <w:rsid w:val="00FB21B3"/>
    <w:rsid w:val="00FB2891"/>
    <w:rsid w:val="00FB2993"/>
    <w:rsid w:val="00FB37ED"/>
    <w:rsid w:val="00FB393D"/>
    <w:rsid w:val="00FB4224"/>
    <w:rsid w:val="00FB46FD"/>
    <w:rsid w:val="00FB4732"/>
    <w:rsid w:val="00FB54B9"/>
    <w:rsid w:val="00FB5C73"/>
    <w:rsid w:val="00FB622D"/>
    <w:rsid w:val="00FB6265"/>
    <w:rsid w:val="00FB6F06"/>
    <w:rsid w:val="00FC0717"/>
    <w:rsid w:val="00FC095A"/>
    <w:rsid w:val="00FC0A48"/>
    <w:rsid w:val="00FC0D19"/>
    <w:rsid w:val="00FC0E2C"/>
    <w:rsid w:val="00FC101F"/>
    <w:rsid w:val="00FC18E4"/>
    <w:rsid w:val="00FC215E"/>
    <w:rsid w:val="00FC24BE"/>
    <w:rsid w:val="00FC2E67"/>
    <w:rsid w:val="00FC33D8"/>
    <w:rsid w:val="00FC3445"/>
    <w:rsid w:val="00FC3ED6"/>
    <w:rsid w:val="00FC40AE"/>
    <w:rsid w:val="00FC4BD0"/>
    <w:rsid w:val="00FC4CBC"/>
    <w:rsid w:val="00FC543A"/>
    <w:rsid w:val="00FC574E"/>
    <w:rsid w:val="00FC65EC"/>
    <w:rsid w:val="00FC6B8A"/>
    <w:rsid w:val="00FC7408"/>
    <w:rsid w:val="00FD18A0"/>
    <w:rsid w:val="00FD2A95"/>
    <w:rsid w:val="00FD2AF2"/>
    <w:rsid w:val="00FD393D"/>
    <w:rsid w:val="00FD5048"/>
    <w:rsid w:val="00FD57DB"/>
    <w:rsid w:val="00FD61BE"/>
    <w:rsid w:val="00FD77DD"/>
    <w:rsid w:val="00FE0250"/>
    <w:rsid w:val="00FE0B1C"/>
    <w:rsid w:val="00FE152D"/>
    <w:rsid w:val="00FE1A74"/>
    <w:rsid w:val="00FE1AA6"/>
    <w:rsid w:val="00FE1B78"/>
    <w:rsid w:val="00FE1F9C"/>
    <w:rsid w:val="00FE25F6"/>
    <w:rsid w:val="00FE2959"/>
    <w:rsid w:val="00FE2B73"/>
    <w:rsid w:val="00FE2EA7"/>
    <w:rsid w:val="00FE3A32"/>
    <w:rsid w:val="00FE3B7B"/>
    <w:rsid w:val="00FE4701"/>
    <w:rsid w:val="00FE4750"/>
    <w:rsid w:val="00FE58B7"/>
    <w:rsid w:val="00FE5E7A"/>
    <w:rsid w:val="00FE62ED"/>
    <w:rsid w:val="00FE687D"/>
    <w:rsid w:val="00FE6D26"/>
    <w:rsid w:val="00FE7525"/>
    <w:rsid w:val="00FF04A6"/>
    <w:rsid w:val="00FF068B"/>
    <w:rsid w:val="00FF07BE"/>
    <w:rsid w:val="00FF10E5"/>
    <w:rsid w:val="00FF19EB"/>
    <w:rsid w:val="00FF1B67"/>
    <w:rsid w:val="00FF2647"/>
    <w:rsid w:val="00FF266E"/>
    <w:rsid w:val="00FF3C6C"/>
    <w:rsid w:val="00FF3DE1"/>
    <w:rsid w:val="00FF41B2"/>
    <w:rsid w:val="00FF5497"/>
    <w:rsid w:val="00FF62B5"/>
    <w:rsid w:val="00FF72AB"/>
    <w:rsid w:val="5DDAA474"/>
    <w:rsid w:val="5E08D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0FD17"/>
  <w15:chartTrackingRefBased/>
  <w15:docId w15:val="{0C42EA10-8B4A-4EE7-91A2-721A96D1F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744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71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5F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3E9C"/>
    <w:rPr>
      <w:color w:val="0000FF"/>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9933E7"/>
    <w:rPr>
      <w:color w:val="954F72" w:themeColor="followedHyperlink"/>
      <w:u w:val="single"/>
    </w:rPr>
  </w:style>
  <w:style w:type="character" w:customStyle="1" w:styleId="UnresolvedMention">
    <w:name w:val="Unresolved Mention"/>
    <w:basedOn w:val="DefaultParagraphFont"/>
    <w:uiPriority w:val="99"/>
    <w:semiHidden/>
    <w:unhideWhenUsed/>
    <w:rsid w:val="00CF47F1"/>
    <w:rPr>
      <w:color w:val="605E5C"/>
      <w:shd w:val="clear" w:color="auto" w:fill="E1DFDD"/>
    </w:rPr>
  </w:style>
  <w:style w:type="paragraph" w:styleId="ListParagraph">
    <w:name w:val="List Paragraph"/>
    <w:basedOn w:val="Normal"/>
    <w:uiPriority w:val="34"/>
    <w:qFormat/>
    <w:rsid w:val="009B51B1"/>
    <w:pPr>
      <w:ind w:left="720"/>
      <w:contextualSpacing/>
    </w:pPr>
  </w:style>
  <w:style w:type="character" w:styleId="CommentReference">
    <w:name w:val="annotation reference"/>
    <w:basedOn w:val="DefaultParagraphFont"/>
    <w:uiPriority w:val="99"/>
    <w:semiHidden/>
    <w:unhideWhenUsed/>
    <w:rsid w:val="00B77BFF"/>
    <w:rPr>
      <w:sz w:val="16"/>
      <w:szCs w:val="16"/>
    </w:rPr>
  </w:style>
  <w:style w:type="paragraph" w:styleId="CommentText">
    <w:name w:val="annotation text"/>
    <w:basedOn w:val="Normal"/>
    <w:link w:val="CommentTextChar"/>
    <w:uiPriority w:val="99"/>
    <w:semiHidden/>
    <w:unhideWhenUsed/>
    <w:rsid w:val="00B77BFF"/>
    <w:pPr>
      <w:spacing w:line="240" w:lineRule="auto"/>
    </w:pPr>
    <w:rPr>
      <w:sz w:val="20"/>
      <w:szCs w:val="20"/>
    </w:rPr>
  </w:style>
  <w:style w:type="character" w:customStyle="1" w:styleId="CommentTextChar">
    <w:name w:val="Comment Text Char"/>
    <w:basedOn w:val="DefaultParagraphFont"/>
    <w:link w:val="CommentText"/>
    <w:uiPriority w:val="99"/>
    <w:semiHidden/>
    <w:rsid w:val="00B77BFF"/>
    <w:rPr>
      <w:sz w:val="20"/>
      <w:szCs w:val="20"/>
    </w:rPr>
  </w:style>
  <w:style w:type="paragraph" w:styleId="CommentSubject">
    <w:name w:val="annotation subject"/>
    <w:basedOn w:val="CommentText"/>
    <w:next w:val="CommentText"/>
    <w:link w:val="CommentSubjectChar"/>
    <w:uiPriority w:val="99"/>
    <w:semiHidden/>
    <w:unhideWhenUsed/>
    <w:rsid w:val="00B77BFF"/>
    <w:rPr>
      <w:b/>
      <w:bCs/>
    </w:rPr>
  </w:style>
  <w:style w:type="character" w:customStyle="1" w:styleId="CommentSubjectChar">
    <w:name w:val="Comment Subject Char"/>
    <w:basedOn w:val="CommentTextChar"/>
    <w:link w:val="CommentSubject"/>
    <w:uiPriority w:val="99"/>
    <w:semiHidden/>
    <w:rsid w:val="00B77BFF"/>
    <w:rPr>
      <w:b/>
      <w:bCs/>
      <w:sz w:val="20"/>
      <w:szCs w:val="20"/>
    </w:rPr>
  </w:style>
  <w:style w:type="character" w:styleId="Strong">
    <w:name w:val="Strong"/>
    <w:basedOn w:val="DefaultParagraphFont"/>
    <w:uiPriority w:val="22"/>
    <w:qFormat/>
    <w:rsid w:val="002F089F"/>
    <w:rPr>
      <w:b/>
      <w:bCs/>
    </w:rPr>
  </w:style>
  <w:style w:type="character" w:customStyle="1" w:styleId="Heading1Char">
    <w:name w:val="Heading 1 Char"/>
    <w:basedOn w:val="DefaultParagraphFont"/>
    <w:link w:val="Heading1"/>
    <w:uiPriority w:val="9"/>
    <w:rsid w:val="000744F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71D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F5F9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0096F"/>
    <w:pPr>
      <w:outlineLvl w:val="9"/>
    </w:pPr>
    <w:rPr>
      <w:lang w:val="en-US"/>
    </w:rPr>
  </w:style>
  <w:style w:type="paragraph" w:styleId="TOC1">
    <w:name w:val="toc 1"/>
    <w:basedOn w:val="Normal"/>
    <w:next w:val="Normal"/>
    <w:autoRedefine/>
    <w:uiPriority w:val="39"/>
    <w:unhideWhenUsed/>
    <w:rsid w:val="0010096F"/>
    <w:pPr>
      <w:spacing w:after="100"/>
    </w:pPr>
  </w:style>
  <w:style w:type="paragraph" w:styleId="TOC2">
    <w:name w:val="toc 2"/>
    <w:basedOn w:val="Normal"/>
    <w:next w:val="Normal"/>
    <w:autoRedefine/>
    <w:uiPriority w:val="39"/>
    <w:unhideWhenUsed/>
    <w:rsid w:val="0010096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85841">
      <w:bodyDiv w:val="1"/>
      <w:marLeft w:val="0"/>
      <w:marRight w:val="0"/>
      <w:marTop w:val="0"/>
      <w:marBottom w:val="0"/>
      <w:divBdr>
        <w:top w:val="none" w:sz="0" w:space="0" w:color="auto"/>
        <w:left w:val="none" w:sz="0" w:space="0" w:color="auto"/>
        <w:bottom w:val="none" w:sz="0" w:space="0" w:color="auto"/>
        <w:right w:val="none" w:sz="0" w:space="0" w:color="auto"/>
      </w:divBdr>
    </w:div>
    <w:div w:id="399836200">
      <w:bodyDiv w:val="1"/>
      <w:marLeft w:val="0"/>
      <w:marRight w:val="0"/>
      <w:marTop w:val="0"/>
      <w:marBottom w:val="0"/>
      <w:divBdr>
        <w:top w:val="none" w:sz="0" w:space="0" w:color="auto"/>
        <w:left w:val="none" w:sz="0" w:space="0" w:color="auto"/>
        <w:bottom w:val="none" w:sz="0" w:space="0" w:color="auto"/>
        <w:right w:val="none" w:sz="0" w:space="0" w:color="auto"/>
      </w:divBdr>
    </w:div>
    <w:div w:id="407583270">
      <w:bodyDiv w:val="1"/>
      <w:marLeft w:val="0"/>
      <w:marRight w:val="0"/>
      <w:marTop w:val="0"/>
      <w:marBottom w:val="0"/>
      <w:divBdr>
        <w:top w:val="none" w:sz="0" w:space="0" w:color="auto"/>
        <w:left w:val="none" w:sz="0" w:space="0" w:color="auto"/>
        <w:bottom w:val="none" w:sz="0" w:space="0" w:color="auto"/>
        <w:right w:val="none" w:sz="0" w:space="0" w:color="auto"/>
      </w:divBdr>
    </w:div>
    <w:div w:id="516970622">
      <w:bodyDiv w:val="1"/>
      <w:marLeft w:val="0"/>
      <w:marRight w:val="0"/>
      <w:marTop w:val="0"/>
      <w:marBottom w:val="0"/>
      <w:divBdr>
        <w:top w:val="none" w:sz="0" w:space="0" w:color="auto"/>
        <w:left w:val="none" w:sz="0" w:space="0" w:color="auto"/>
        <w:bottom w:val="none" w:sz="0" w:space="0" w:color="auto"/>
        <w:right w:val="none" w:sz="0" w:space="0" w:color="auto"/>
      </w:divBdr>
    </w:div>
    <w:div w:id="609627913">
      <w:bodyDiv w:val="1"/>
      <w:marLeft w:val="0"/>
      <w:marRight w:val="0"/>
      <w:marTop w:val="0"/>
      <w:marBottom w:val="0"/>
      <w:divBdr>
        <w:top w:val="none" w:sz="0" w:space="0" w:color="auto"/>
        <w:left w:val="none" w:sz="0" w:space="0" w:color="auto"/>
        <w:bottom w:val="none" w:sz="0" w:space="0" w:color="auto"/>
        <w:right w:val="none" w:sz="0" w:space="0" w:color="auto"/>
      </w:divBdr>
    </w:div>
    <w:div w:id="658119423">
      <w:bodyDiv w:val="1"/>
      <w:marLeft w:val="0"/>
      <w:marRight w:val="0"/>
      <w:marTop w:val="0"/>
      <w:marBottom w:val="0"/>
      <w:divBdr>
        <w:top w:val="none" w:sz="0" w:space="0" w:color="auto"/>
        <w:left w:val="none" w:sz="0" w:space="0" w:color="auto"/>
        <w:bottom w:val="none" w:sz="0" w:space="0" w:color="auto"/>
        <w:right w:val="none" w:sz="0" w:space="0" w:color="auto"/>
      </w:divBdr>
    </w:div>
    <w:div w:id="683558362">
      <w:bodyDiv w:val="1"/>
      <w:marLeft w:val="0"/>
      <w:marRight w:val="0"/>
      <w:marTop w:val="0"/>
      <w:marBottom w:val="0"/>
      <w:divBdr>
        <w:top w:val="none" w:sz="0" w:space="0" w:color="auto"/>
        <w:left w:val="none" w:sz="0" w:space="0" w:color="auto"/>
        <w:bottom w:val="none" w:sz="0" w:space="0" w:color="auto"/>
        <w:right w:val="none" w:sz="0" w:space="0" w:color="auto"/>
      </w:divBdr>
    </w:div>
    <w:div w:id="789712236">
      <w:bodyDiv w:val="1"/>
      <w:marLeft w:val="0"/>
      <w:marRight w:val="0"/>
      <w:marTop w:val="0"/>
      <w:marBottom w:val="0"/>
      <w:divBdr>
        <w:top w:val="none" w:sz="0" w:space="0" w:color="auto"/>
        <w:left w:val="none" w:sz="0" w:space="0" w:color="auto"/>
        <w:bottom w:val="none" w:sz="0" w:space="0" w:color="auto"/>
        <w:right w:val="none" w:sz="0" w:space="0" w:color="auto"/>
      </w:divBdr>
    </w:div>
    <w:div w:id="800423873">
      <w:bodyDiv w:val="1"/>
      <w:marLeft w:val="0"/>
      <w:marRight w:val="0"/>
      <w:marTop w:val="0"/>
      <w:marBottom w:val="0"/>
      <w:divBdr>
        <w:top w:val="none" w:sz="0" w:space="0" w:color="auto"/>
        <w:left w:val="none" w:sz="0" w:space="0" w:color="auto"/>
        <w:bottom w:val="none" w:sz="0" w:space="0" w:color="auto"/>
        <w:right w:val="none" w:sz="0" w:space="0" w:color="auto"/>
      </w:divBdr>
    </w:div>
    <w:div w:id="842622005">
      <w:bodyDiv w:val="1"/>
      <w:marLeft w:val="0"/>
      <w:marRight w:val="0"/>
      <w:marTop w:val="0"/>
      <w:marBottom w:val="0"/>
      <w:divBdr>
        <w:top w:val="none" w:sz="0" w:space="0" w:color="auto"/>
        <w:left w:val="none" w:sz="0" w:space="0" w:color="auto"/>
        <w:bottom w:val="none" w:sz="0" w:space="0" w:color="auto"/>
        <w:right w:val="none" w:sz="0" w:space="0" w:color="auto"/>
      </w:divBdr>
    </w:div>
    <w:div w:id="851070614">
      <w:bodyDiv w:val="1"/>
      <w:marLeft w:val="0"/>
      <w:marRight w:val="0"/>
      <w:marTop w:val="0"/>
      <w:marBottom w:val="0"/>
      <w:divBdr>
        <w:top w:val="none" w:sz="0" w:space="0" w:color="auto"/>
        <w:left w:val="none" w:sz="0" w:space="0" w:color="auto"/>
        <w:bottom w:val="none" w:sz="0" w:space="0" w:color="auto"/>
        <w:right w:val="none" w:sz="0" w:space="0" w:color="auto"/>
      </w:divBdr>
      <w:divsChild>
        <w:div w:id="378937985">
          <w:marLeft w:val="0"/>
          <w:marRight w:val="0"/>
          <w:marTop w:val="0"/>
          <w:marBottom w:val="0"/>
          <w:divBdr>
            <w:top w:val="none" w:sz="0" w:space="0" w:color="auto"/>
            <w:left w:val="none" w:sz="0" w:space="0" w:color="auto"/>
            <w:bottom w:val="none" w:sz="0" w:space="0" w:color="auto"/>
            <w:right w:val="none" w:sz="0" w:space="0" w:color="auto"/>
          </w:divBdr>
          <w:divsChild>
            <w:div w:id="112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808347">
      <w:bodyDiv w:val="1"/>
      <w:marLeft w:val="0"/>
      <w:marRight w:val="0"/>
      <w:marTop w:val="0"/>
      <w:marBottom w:val="0"/>
      <w:divBdr>
        <w:top w:val="none" w:sz="0" w:space="0" w:color="auto"/>
        <w:left w:val="none" w:sz="0" w:space="0" w:color="auto"/>
        <w:bottom w:val="none" w:sz="0" w:space="0" w:color="auto"/>
        <w:right w:val="none" w:sz="0" w:space="0" w:color="auto"/>
      </w:divBdr>
    </w:div>
    <w:div w:id="892692549">
      <w:bodyDiv w:val="1"/>
      <w:marLeft w:val="0"/>
      <w:marRight w:val="0"/>
      <w:marTop w:val="0"/>
      <w:marBottom w:val="0"/>
      <w:divBdr>
        <w:top w:val="none" w:sz="0" w:space="0" w:color="auto"/>
        <w:left w:val="none" w:sz="0" w:space="0" w:color="auto"/>
        <w:bottom w:val="none" w:sz="0" w:space="0" w:color="auto"/>
        <w:right w:val="none" w:sz="0" w:space="0" w:color="auto"/>
      </w:divBdr>
      <w:divsChild>
        <w:div w:id="411389582">
          <w:marLeft w:val="0"/>
          <w:marRight w:val="0"/>
          <w:marTop w:val="0"/>
          <w:marBottom w:val="0"/>
          <w:divBdr>
            <w:top w:val="single" w:sz="6" w:space="8" w:color="DDDDDD"/>
            <w:left w:val="none" w:sz="0" w:space="15" w:color="DDDDDD"/>
            <w:bottom w:val="none" w:sz="0" w:space="8" w:color="DDDDDD"/>
            <w:right w:val="none" w:sz="0" w:space="15" w:color="DDDDDD"/>
          </w:divBdr>
          <w:divsChild>
            <w:div w:id="582836255">
              <w:marLeft w:val="0"/>
              <w:marRight w:val="240"/>
              <w:marTop w:val="0"/>
              <w:marBottom w:val="0"/>
              <w:divBdr>
                <w:top w:val="none" w:sz="0" w:space="0" w:color="auto"/>
                <w:left w:val="none" w:sz="0" w:space="0" w:color="auto"/>
                <w:bottom w:val="none" w:sz="0" w:space="0" w:color="auto"/>
                <w:right w:val="none" w:sz="0" w:space="0" w:color="auto"/>
              </w:divBdr>
            </w:div>
          </w:divsChild>
        </w:div>
        <w:div w:id="2037340524">
          <w:marLeft w:val="0"/>
          <w:marRight w:val="0"/>
          <w:marTop w:val="0"/>
          <w:marBottom w:val="0"/>
          <w:divBdr>
            <w:top w:val="none" w:sz="0" w:space="0" w:color="auto"/>
            <w:left w:val="none" w:sz="0" w:space="0" w:color="auto"/>
            <w:bottom w:val="none" w:sz="0" w:space="0" w:color="auto"/>
            <w:right w:val="none" w:sz="0" w:space="0" w:color="auto"/>
          </w:divBdr>
          <w:divsChild>
            <w:div w:id="1563909994">
              <w:marLeft w:val="0"/>
              <w:marRight w:val="0"/>
              <w:marTop w:val="0"/>
              <w:marBottom w:val="0"/>
              <w:divBdr>
                <w:top w:val="none" w:sz="0" w:space="0" w:color="auto"/>
                <w:left w:val="none" w:sz="0" w:space="0" w:color="auto"/>
                <w:bottom w:val="none" w:sz="0" w:space="0" w:color="auto"/>
                <w:right w:val="none" w:sz="0" w:space="0" w:color="auto"/>
              </w:divBdr>
              <w:divsChild>
                <w:div w:id="71219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429468">
      <w:bodyDiv w:val="1"/>
      <w:marLeft w:val="0"/>
      <w:marRight w:val="0"/>
      <w:marTop w:val="0"/>
      <w:marBottom w:val="0"/>
      <w:divBdr>
        <w:top w:val="none" w:sz="0" w:space="0" w:color="auto"/>
        <w:left w:val="none" w:sz="0" w:space="0" w:color="auto"/>
        <w:bottom w:val="none" w:sz="0" w:space="0" w:color="auto"/>
        <w:right w:val="none" w:sz="0" w:space="0" w:color="auto"/>
      </w:divBdr>
    </w:div>
    <w:div w:id="960189234">
      <w:bodyDiv w:val="1"/>
      <w:marLeft w:val="0"/>
      <w:marRight w:val="0"/>
      <w:marTop w:val="0"/>
      <w:marBottom w:val="0"/>
      <w:divBdr>
        <w:top w:val="none" w:sz="0" w:space="0" w:color="auto"/>
        <w:left w:val="none" w:sz="0" w:space="0" w:color="auto"/>
        <w:bottom w:val="none" w:sz="0" w:space="0" w:color="auto"/>
        <w:right w:val="none" w:sz="0" w:space="0" w:color="auto"/>
      </w:divBdr>
    </w:div>
    <w:div w:id="965425463">
      <w:bodyDiv w:val="1"/>
      <w:marLeft w:val="0"/>
      <w:marRight w:val="0"/>
      <w:marTop w:val="0"/>
      <w:marBottom w:val="0"/>
      <w:divBdr>
        <w:top w:val="none" w:sz="0" w:space="0" w:color="auto"/>
        <w:left w:val="none" w:sz="0" w:space="0" w:color="auto"/>
        <w:bottom w:val="none" w:sz="0" w:space="0" w:color="auto"/>
        <w:right w:val="none" w:sz="0" w:space="0" w:color="auto"/>
      </w:divBdr>
    </w:div>
    <w:div w:id="993874136">
      <w:bodyDiv w:val="1"/>
      <w:marLeft w:val="0"/>
      <w:marRight w:val="0"/>
      <w:marTop w:val="0"/>
      <w:marBottom w:val="0"/>
      <w:divBdr>
        <w:top w:val="none" w:sz="0" w:space="0" w:color="auto"/>
        <w:left w:val="none" w:sz="0" w:space="0" w:color="auto"/>
        <w:bottom w:val="none" w:sz="0" w:space="0" w:color="auto"/>
        <w:right w:val="none" w:sz="0" w:space="0" w:color="auto"/>
      </w:divBdr>
    </w:div>
    <w:div w:id="1133718314">
      <w:bodyDiv w:val="1"/>
      <w:marLeft w:val="0"/>
      <w:marRight w:val="0"/>
      <w:marTop w:val="0"/>
      <w:marBottom w:val="0"/>
      <w:divBdr>
        <w:top w:val="none" w:sz="0" w:space="0" w:color="auto"/>
        <w:left w:val="none" w:sz="0" w:space="0" w:color="auto"/>
        <w:bottom w:val="none" w:sz="0" w:space="0" w:color="auto"/>
        <w:right w:val="none" w:sz="0" w:space="0" w:color="auto"/>
      </w:divBdr>
      <w:divsChild>
        <w:div w:id="208223603">
          <w:marLeft w:val="0"/>
          <w:marRight w:val="0"/>
          <w:marTop w:val="0"/>
          <w:marBottom w:val="0"/>
          <w:divBdr>
            <w:top w:val="single" w:sz="6" w:space="8" w:color="DDDDDD"/>
            <w:left w:val="none" w:sz="0" w:space="15" w:color="DDDDDD"/>
            <w:bottom w:val="none" w:sz="0" w:space="8" w:color="DDDDDD"/>
            <w:right w:val="none" w:sz="0" w:space="15" w:color="DDDDDD"/>
          </w:divBdr>
          <w:divsChild>
            <w:div w:id="339165569">
              <w:marLeft w:val="0"/>
              <w:marRight w:val="240"/>
              <w:marTop w:val="0"/>
              <w:marBottom w:val="0"/>
              <w:divBdr>
                <w:top w:val="none" w:sz="0" w:space="0" w:color="auto"/>
                <w:left w:val="none" w:sz="0" w:space="0" w:color="auto"/>
                <w:bottom w:val="none" w:sz="0" w:space="0" w:color="auto"/>
                <w:right w:val="none" w:sz="0" w:space="0" w:color="auto"/>
              </w:divBdr>
            </w:div>
          </w:divsChild>
        </w:div>
        <w:div w:id="934944668">
          <w:marLeft w:val="0"/>
          <w:marRight w:val="0"/>
          <w:marTop w:val="0"/>
          <w:marBottom w:val="0"/>
          <w:divBdr>
            <w:top w:val="none" w:sz="0" w:space="0" w:color="auto"/>
            <w:left w:val="none" w:sz="0" w:space="0" w:color="auto"/>
            <w:bottom w:val="none" w:sz="0" w:space="0" w:color="auto"/>
            <w:right w:val="none" w:sz="0" w:space="0" w:color="auto"/>
          </w:divBdr>
          <w:divsChild>
            <w:div w:id="1412119374">
              <w:marLeft w:val="0"/>
              <w:marRight w:val="0"/>
              <w:marTop w:val="0"/>
              <w:marBottom w:val="0"/>
              <w:divBdr>
                <w:top w:val="none" w:sz="0" w:space="0" w:color="auto"/>
                <w:left w:val="none" w:sz="0" w:space="0" w:color="auto"/>
                <w:bottom w:val="none" w:sz="0" w:space="0" w:color="auto"/>
                <w:right w:val="none" w:sz="0" w:space="0" w:color="auto"/>
              </w:divBdr>
              <w:divsChild>
                <w:div w:id="1938559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853359">
      <w:bodyDiv w:val="1"/>
      <w:marLeft w:val="0"/>
      <w:marRight w:val="0"/>
      <w:marTop w:val="0"/>
      <w:marBottom w:val="0"/>
      <w:divBdr>
        <w:top w:val="none" w:sz="0" w:space="0" w:color="auto"/>
        <w:left w:val="none" w:sz="0" w:space="0" w:color="auto"/>
        <w:bottom w:val="none" w:sz="0" w:space="0" w:color="auto"/>
        <w:right w:val="none" w:sz="0" w:space="0" w:color="auto"/>
      </w:divBdr>
      <w:divsChild>
        <w:div w:id="1357733989">
          <w:marLeft w:val="0"/>
          <w:marRight w:val="0"/>
          <w:marTop w:val="0"/>
          <w:marBottom w:val="0"/>
          <w:divBdr>
            <w:top w:val="single" w:sz="6" w:space="8" w:color="DDDDDD"/>
            <w:left w:val="none" w:sz="0" w:space="15" w:color="DDDDDD"/>
            <w:bottom w:val="none" w:sz="0" w:space="8" w:color="DDDDDD"/>
            <w:right w:val="none" w:sz="0" w:space="15" w:color="DDDDDD"/>
          </w:divBdr>
          <w:divsChild>
            <w:div w:id="1985423645">
              <w:marLeft w:val="0"/>
              <w:marRight w:val="240"/>
              <w:marTop w:val="0"/>
              <w:marBottom w:val="0"/>
              <w:divBdr>
                <w:top w:val="none" w:sz="0" w:space="0" w:color="auto"/>
                <w:left w:val="none" w:sz="0" w:space="0" w:color="auto"/>
                <w:bottom w:val="none" w:sz="0" w:space="0" w:color="auto"/>
                <w:right w:val="none" w:sz="0" w:space="0" w:color="auto"/>
              </w:divBdr>
            </w:div>
          </w:divsChild>
        </w:div>
        <w:div w:id="344526991">
          <w:marLeft w:val="0"/>
          <w:marRight w:val="0"/>
          <w:marTop w:val="0"/>
          <w:marBottom w:val="0"/>
          <w:divBdr>
            <w:top w:val="none" w:sz="0" w:space="0" w:color="auto"/>
            <w:left w:val="none" w:sz="0" w:space="0" w:color="auto"/>
            <w:bottom w:val="none" w:sz="0" w:space="0" w:color="auto"/>
            <w:right w:val="none" w:sz="0" w:space="0" w:color="auto"/>
          </w:divBdr>
          <w:divsChild>
            <w:div w:id="1386948087">
              <w:marLeft w:val="0"/>
              <w:marRight w:val="0"/>
              <w:marTop w:val="0"/>
              <w:marBottom w:val="0"/>
              <w:divBdr>
                <w:top w:val="none" w:sz="0" w:space="0" w:color="auto"/>
                <w:left w:val="none" w:sz="0" w:space="0" w:color="auto"/>
                <w:bottom w:val="none" w:sz="0" w:space="0" w:color="auto"/>
                <w:right w:val="none" w:sz="0" w:space="0" w:color="auto"/>
              </w:divBdr>
              <w:divsChild>
                <w:div w:id="70746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491896">
      <w:bodyDiv w:val="1"/>
      <w:marLeft w:val="0"/>
      <w:marRight w:val="0"/>
      <w:marTop w:val="0"/>
      <w:marBottom w:val="0"/>
      <w:divBdr>
        <w:top w:val="none" w:sz="0" w:space="0" w:color="auto"/>
        <w:left w:val="none" w:sz="0" w:space="0" w:color="auto"/>
        <w:bottom w:val="none" w:sz="0" w:space="0" w:color="auto"/>
        <w:right w:val="none" w:sz="0" w:space="0" w:color="auto"/>
      </w:divBdr>
    </w:div>
    <w:div w:id="1236354923">
      <w:bodyDiv w:val="1"/>
      <w:marLeft w:val="0"/>
      <w:marRight w:val="0"/>
      <w:marTop w:val="0"/>
      <w:marBottom w:val="0"/>
      <w:divBdr>
        <w:top w:val="none" w:sz="0" w:space="0" w:color="auto"/>
        <w:left w:val="none" w:sz="0" w:space="0" w:color="auto"/>
        <w:bottom w:val="none" w:sz="0" w:space="0" w:color="auto"/>
        <w:right w:val="none" w:sz="0" w:space="0" w:color="auto"/>
      </w:divBdr>
    </w:div>
    <w:div w:id="1281573809">
      <w:bodyDiv w:val="1"/>
      <w:marLeft w:val="0"/>
      <w:marRight w:val="0"/>
      <w:marTop w:val="0"/>
      <w:marBottom w:val="0"/>
      <w:divBdr>
        <w:top w:val="none" w:sz="0" w:space="0" w:color="auto"/>
        <w:left w:val="none" w:sz="0" w:space="0" w:color="auto"/>
        <w:bottom w:val="none" w:sz="0" w:space="0" w:color="auto"/>
        <w:right w:val="none" w:sz="0" w:space="0" w:color="auto"/>
      </w:divBdr>
    </w:div>
    <w:div w:id="1329597149">
      <w:bodyDiv w:val="1"/>
      <w:marLeft w:val="0"/>
      <w:marRight w:val="0"/>
      <w:marTop w:val="0"/>
      <w:marBottom w:val="0"/>
      <w:divBdr>
        <w:top w:val="none" w:sz="0" w:space="0" w:color="auto"/>
        <w:left w:val="none" w:sz="0" w:space="0" w:color="auto"/>
        <w:bottom w:val="none" w:sz="0" w:space="0" w:color="auto"/>
        <w:right w:val="none" w:sz="0" w:space="0" w:color="auto"/>
      </w:divBdr>
    </w:div>
    <w:div w:id="1376662807">
      <w:bodyDiv w:val="1"/>
      <w:marLeft w:val="0"/>
      <w:marRight w:val="0"/>
      <w:marTop w:val="0"/>
      <w:marBottom w:val="0"/>
      <w:divBdr>
        <w:top w:val="none" w:sz="0" w:space="0" w:color="auto"/>
        <w:left w:val="none" w:sz="0" w:space="0" w:color="auto"/>
        <w:bottom w:val="none" w:sz="0" w:space="0" w:color="auto"/>
        <w:right w:val="none" w:sz="0" w:space="0" w:color="auto"/>
      </w:divBdr>
    </w:div>
    <w:div w:id="1379549301">
      <w:bodyDiv w:val="1"/>
      <w:marLeft w:val="0"/>
      <w:marRight w:val="0"/>
      <w:marTop w:val="0"/>
      <w:marBottom w:val="0"/>
      <w:divBdr>
        <w:top w:val="none" w:sz="0" w:space="0" w:color="auto"/>
        <w:left w:val="none" w:sz="0" w:space="0" w:color="auto"/>
        <w:bottom w:val="none" w:sz="0" w:space="0" w:color="auto"/>
        <w:right w:val="none" w:sz="0" w:space="0" w:color="auto"/>
      </w:divBdr>
    </w:div>
    <w:div w:id="1411998931">
      <w:bodyDiv w:val="1"/>
      <w:marLeft w:val="0"/>
      <w:marRight w:val="0"/>
      <w:marTop w:val="0"/>
      <w:marBottom w:val="0"/>
      <w:divBdr>
        <w:top w:val="none" w:sz="0" w:space="0" w:color="auto"/>
        <w:left w:val="none" w:sz="0" w:space="0" w:color="auto"/>
        <w:bottom w:val="none" w:sz="0" w:space="0" w:color="auto"/>
        <w:right w:val="none" w:sz="0" w:space="0" w:color="auto"/>
      </w:divBdr>
    </w:div>
    <w:div w:id="1459182185">
      <w:bodyDiv w:val="1"/>
      <w:marLeft w:val="0"/>
      <w:marRight w:val="0"/>
      <w:marTop w:val="0"/>
      <w:marBottom w:val="0"/>
      <w:divBdr>
        <w:top w:val="none" w:sz="0" w:space="0" w:color="auto"/>
        <w:left w:val="none" w:sz="0" w:space="0" w:color="auto"/>
        <w:bottom w:val="none" w:sz="0" w:space="0" w:color="auto"/>
        <w:right w:val="none" w:sz="0" w:space="0" w:color="auto"/>
      </w:divBdr>
      <w:divsChild>
        <w:div w:id="1781754974">
          <w:marLeft w:val="0"/>
          <w:marRight w:val="0"/>
          <w:marTop w:val="0"/>
          <w:marBottom w:val="0"/>
          <w:divBdr>
            <w:top w:val="single" w:sz="6" w:space="8" w:color="DDDDDD"/>
            <w:left w:val="none" w:sz="0" w:space="15" w:color="DDDDDD"/>
            <w:bottom w:val="none" w:sz="0" w:space="8" w:color="DDDDDD"/>
            <w:right w:val="none" w:sz="0" w:space="15" w:color="DDDDDD"/>
          </w:divBdr>
          <w:divsChild>
            <w:div w:id="1613704007">
              <w:marLeft w:val="0"/>
              <w:marRight w:val="240"/>
              <w:marTop w:val="0"/>
              <w:marBottom w:val="0"/>
              <w:divBdr>
                <w:top w:val="none" w:sz="0" w:space="0" w:color="auto"/>
                <w:left w:val="none" w:sz="0" w:space="0" w:color="auto"/>
                <w:bottom w:val="none" w:sz="0" w:space="0" w:color="auto"/>
                <w:right w:val="none" w:sz="0" w:space="0" w:color="auto"/>
              </w:divBdr>
            </w:div>
          </w:divsChild>
        </w:div>
        <w:div w:id="1556314169">
          <w:marLeft w:val="0"/>
          <w:marRight w:val="0"/>
          <w:marTop w:val="0"/>
          <w:marBottom w:val="0"/>
          <w:divBdr>
            <w:top w:val="none" w:sz="0" w:space="0" w:color="auto"/>
            <w:left w:val="none" w:sz="0" w:space="0" w:color="auto"/>
            <w:bottom w:val="none" w:sz="0" w:space="0" w:color="auto"/>
            <w:right w:val="none" w:sz="0" w:space="0" w:color="auto"/>
          </w:divBdr>
          <w:divsChild>
            <w:div w:id="979770619">
              <w:marLeft w:val="0"/>
              <w:marRight w:val="0"/>
              <w:marTop w:val="0"/>
              <w:marBottom w:val="0"/>
              <w:divBdr>
                <w:top w:val="none" w:sz="0" w:space="0" w:color="auto"/>
                <w:left w:val="none" w:sz="0" w:space="0" w:color="auto"/>
                <w:bottom w:val="none" w:sz="0" w:space="0" w:color="auto"/>
                <w:right w:val="none" w:sz="0" w:space="0" w:color="auto"/>
              </w:divBdr>
              <w:divsChild>
                <w:div w:id="182524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689260">
      <w:bodyDiv w:val="1"/>
      <w:marLeft w:val="0"/>
      <w:marRight w:val="0"/>
      <w:marTop w:val="0"/>
      <w:marBottom w:val="0"/>
      <w:divBdr>
        <w:top w:val="none" w:sz="0" w:space="0" w:color="auto"/>
        <w:left w:val="none" w:sz="0" w:space="0" w:color="auto"/>
        <w:bottom w:val="none" w:sz="0" w:space="0" w:color="auto"/>
        <w:right w:val="none" w:sz="0" w:space="0" w:color="auto"/>
      </w:divBdr>
    </w:div>
    <w:div w:id="1491092892">
      <w:bodyDiv w:val="1"/>
      <w:marLeft w:val="0"/>
      <w:marRight w:val="0"/>
      <w:marTop w:val="0"/>
      <w:marBottom w:val="0"/>
      <w:divBdr>
        <w:top w:val="none" w:sz="0" w:space="0" w:color="auto"/>
        <w:left w:val="none" w:sz="0" w:space="0" w:color="auto"/>
        <w:bottom w:val="none" w:sz="0" w:space="0" w:color="auto"/>
        <w:right w:val="none" w:sz="0" w:space="0" w:color="auto"/>
      </w:divBdr>
    </w:div>
    <w:div w:id="1493369816">
      <w:bodyDiv w:val="1"/>
      <w:marLeft w:val="0"/>
      <w:marRight w:val="0"/>
      <w:marTop w:val="0"/>
      <w:marBottom w:val="0"/>
      <w:divBdr>
        <w:top w:val="none" w:sz="0" w:space="0" w:color="auto"/>
        <w:left w:val="none" w:sz="0" w:space="0" w:color="auto"/>
        <w:bottom w:val="none" w:sz="0" w:space="0" w:color="auto"/>
        <w:right w:val="none" w:sz="0" w:space="0" w:color="auto"/>
      </w:divBdr>
    </w:div>
    <w:div w:id="1529830901">
      <w:bodyDiv w:val="1"/>
      <w:marLeft w:val="0"/>
      <w:marRight w:val="0"/>
      <w:marTop w:val="0"/>
      <w:marBottom w:val="0"/>
      <w:divBdr>
        <w:top w:val="none" w:sz="0" w:space="0" w:color="auto"/>
        <w:left w:val="none" w:sz="0" w:space="0" w:color="auto"/>
        <w:bottom w:val="none" w:sz="0" w:space="0" w:color="auto"/>
        <w:right w:val="none" w:sz="0" w:space="0" w:color="auto"/>
      </w:divBdr>
    </w:div>
    <w:div w:id="1649675732">
      <w:bodyDiv w:val="1"/>
      <w:marLeft w:val="0"/>
      <w:marRight w:val="0"/>
      <w:marTop w:val="0"/>
      <w:marBottom w:val="0"/>
      <w:divBdr>
        <w:top w:val="none" w:sz="0" w:space="0" w:color="auto"/>
        <w:left w:val="none" w:sz="0" w:space="0" w:color="auto"/>
        <w:bottom w:val="none" w:sz="0" w:space="0" w:color="auto"/>
        <w:right w:val="none" w:sz="0" w:space="0" w:color="auto"/>
      </w:divBdr>
    </w:div>
    <w:div w:id="1694041066">
      <w:bodyDiv w:val="1"/>
      <w:marLeft w:val="0"/>
      <w:marRight w:val="0"/>
      <w:marTop w:val="0"/>
      <w:marBottom w:val="0"/>
      <w:divBdr>
        <w:top w:val="none" w:sz="0" w:space="0" w:color="auto"/>
        <w:left w:val="none" w:sz="0" w:space="0" w:color="auto"/>
        <w:bottom w:val="none" w:sz="0" w:space="0" w:color="auto"/>
        <w:right w:val="none" w:sz="0" w:space="0" w:color="auto"/>
      </w:divBdr>
    </w:div>
    <w:div w:id="1837525580">
      <w:bodyDiv w:val="1"/>
      <w:marLeft w:val="0"/>
      <w:marRight w:val="0"/>
      <w:marTop w:val="0"/>
      <w:marBottom w:val="0"/>
      <w:divBdr>
        <w:top w:val="none" w:sz="0" w:space="0" w:color="auto"/>
        <w:left w:val="none" w:sz="0" w:space="0" w:color="auto"/>
        <w:bottom w:val="none" w:sz="0" w:space="0" w:color="auto"/>
        <w:right w:val="none" w:sz="0" w:space="0" w:color="auto"/>
      </w:divBdr>
    </w:div>
    <w:div w:id="1922175427">
      <w:bodyDiv w:val="1"/>
      <w:marLeft w:val="0"/>
      <w:marRight w:val="0"/>
      <w:marTop w:val="0"/>
      <w:marBottom w:val="0"/>
      <w:divBdr>
        <w:top w:val="none" w:sz="0" w:space="0" w:color="auto"/>
        <w:left w:val="none" w:sz="0" w:space="0" w:color="auto"/>
        <w:bottom w:val="none" w:sz="0" w:space="0" w:color="auto"/>
        <w:right w:val="none" w:sz="0" w:space="0" w:color="auto"/>
      </w:divBdr>
      <w:divsChild>
        <w:div w:id="1606113566">
          <w:marLeft w:val="0"/>
          <w:marRight w:val="0"/>
          <w:marTop w:val="0"/>
          <w:marBottom w:val="0"/>
          <w:divBdr>
            <w:top w:val="single" w:sz="6" w:space="8" w:color="DDDDDD"/>
            <w:left w:val="none" w:sz="0" w:space="15" w:color="DDDDDD"/>
            <w:bottom w:val="none" w:sz="0" w:space="8" w:color="DDDDDD"/>
            <w:right w:val="none" w:sz="0" w:space="15" w:color="DDDDDD"/>
          </w:divBdr>
          <w:divsChild>
            <w:div w:id="1312444197">
              <w:marLeft w:val="0"/>
              <w:marRight w:val="240"/>
              <w:marTop w:val="0"/>
              <w:marBottom w:val="0"/>
              <w:divBdr>
                <w:top w:val="none" w:sz="0" w:space="0" w:color="auto"/>
                <w:left w:val="none" w:sz="0" w:space="0" w:color="auto"/>
                <w:bottom w:val="none" w:sz="0" w:space="0" w:color="auto"/>
                <w:right w:val="none" w:sz="0" w:space="0" w:color="auto"/>
              </w:divBdr>
            </w:div>
          </w:divsChild>
        </w:div>
        <w:div w:id="68307362">
          <w:marLeft w:val="0"/>
          <w:marRight w:val="0"/>
          <w:marTop w:val="0"/>
          <w:marBottom w:val="0"/>
          <w:divBdr>
            <w:top w:val="none" w:sz="0" w:space="0" w:color="auto"/>
            <w:left w:val="none" w:sz="0" w:space="0" w:color="auto"/>
            <w:bottom w:val="none" w:sz="0" w:space="0" w:color="auto"/>
            <w:right w:val="none" w:sz="0" w:space="0" w:color="auto"/>
          </w:divBdr>
          <w:divsChild>
            <w:div w:id="993683677">
              <w:marLeft w:val="0"/>
              <w:marRight w:val="0"/>
              <w:marTop w:val="0"/>
              <w:marBottom w:val="0"/>
              <w:divBdr>
                <w:top w:val="none" w:sz="0" w:space="0" w:color="auto"/>
                <w:left w:val="none" w:sz="0" w:space="0" w:color="auto"/>
                <w:bottom w:val="none" w:sz="0" w:space="0" w:color="auto"/>
                <w:right w:val="none" w:sz="0" w:space="0" w:color="auto"/>
              </w:divBdr>
              <w:divsChild>
                <w:div w:id="173770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20862">
      <w:bodyDiv w:val="1"/>
      <w:marLeft w:val="0"/>
      <w:marRight w:val="0"/>
      <w:marTop w:val="0"/>
      <w:marBottom w:val="0"/>
      <w:divBdr>
        <w:top w:val="none" w:sz="0" w:space="0" w:color="auto"/>
        <w:left w:val="none" w:sz="0" w:space="0" w:color="auto"/>
        <w:bottom w:val="none" w:sz="0" w:space="0" w:color="auto"/>
        <w:right w:val="none" w:sz="0" w:space="0" w:color="auto"/>
      </w:divBdr>
    </w:div>
    <w:div w:id="2146316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sk.com/en-gb/about-us/our-history/"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aft.co/glaxosmithkline/competitor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uk.finance.yahoo.com/news/gsk-profit-takes-a-hit-amid-covid-as-activist-fund-builds-up-stake-122728475.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www.gsk.com/en-gb/about-us/our-history/" TargetMode="Externa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gsk.com/en-gb/sitemap/"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Profitability</a:t>
            </a:r>
            <a:r>
              <a:rPr lang="en-GB" b="1" baseline="0"/>
              <a:t> Ratios of GSK and Rivals  </a:t>
            </a:r>
            <a:endParaRPr lang="en-GB" b="1"/>
          </a:p>
        </c:rich>
      </c:tx>
      <c:layout>
        <c:manualLayout>
          <c:xMode val="edge"/>
          <c:yMode val="edge"/>
          <c:x val="0.2659119496855346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O/P M</c:v>
                </c:pt>
              </c:strCache>
            </c:strRef>
          </c:tx>
          <c:spPr>
            <a:solidFill>
              <a:schemeClr val="accent1"/>
            </a:solidFill>
            <a:ln>
              <a:noFill/>
            </a:ln>
            <a:effectLst/>
          </c:spPr>
          <c:invertIfNegative val="0"/>
          <c:cat>
            <c:strRef>
              <c:f>Sheet1!$B$1:$I$1</c:f>
              <c:strCache>
                <c:ptCount val="8"/>
                <c:pt idx="0">
                  <c:v>2016</c:v>
                </c:pt>
                <c:pt idx="1">
                  <c:v>2017</c:v>
                </c:pt>
                <c:pt idx="2">
                  <c:v>2018</c:v>
                </c:pt>
                <c:pt idx="3">
                  <c:v>2019</c:v>
                </c:pt>
                <c:pt idx="4">
                  <c:v>2020</c:v>
                </c:pt>
                <c:pt idx="5">
                  <c:v>J&amp;J</c:v>
                </c:pt>
                <c:pt idx="6">
                  <c:v>Roche</c:v>
                </c:pt>
                <c:pt idx="7">
                  <c:v>AstraZeneca</c:v>
                </c:pt>
              </c:strCache>
            </c:strRef>
          </c:cat>
          <c:val>
            <c:numRef>
              <c:f>Sheet1!$B$2:$I$2</c:f>
              <c:numCache>
                <c:formatCode>General</c:formatCode>
                <c:ptCount val="8"/>
                <c:pt idx="0">
                  <c:v>0.03</c:v>
                </c:pt>
                <c:pt idx="1">
                  <c:v>0.13</c:v>
                </c:pt>
                <c:pt idx="2">
                  <c:v>0.17</c:v>
                </c:pt>
                <c:pt idx="3">
                  <c:v>0.2</c:v>
                </c:pt>
                <c:pt idx="4">
                  <c:v>0.22</c:v>
                </c:pt>
                <c:pt idx="5">
                  <c:v>0.82</c:v>
                </c:pt>
                <c:pt idx="6">
                  <c:v>0.36</c:v>
                </c:pt>
                <c:pt idx="7">
                  <c:v>0.19</c:v>
                </c:pt>
              </c:numCache>
            </c:numRef>
          </c:val>
          <c:extLst>
            <c:ext xmlns:c16="http://schemas.microsoft.com/office/drawing/2014/chart" uri="{C3380CC4-5D6E-409C-BE32-E72D297353CC}">
              <c16:uniqueId val="{00000000-1028-4419-9F4C-28C9C7E0CC71}"/>
            </c:ext>
          </c:extLst>
        </c:ser>
        <c:ser>
          <c:idx val="1"/>
          <c:order val="1"/>
          <c:tx>
            <c:strRef>
              <c:f>Sheet1!$A$3</c:f>
              <c:strCache>
                <c:ptCount val="1"/>
                <c:pt idx="0">
                  <c:v>G/P M</c:v>
                </c:pt>
              </c:strCache>
            </c:strRef>
          </c:tx>
          <c:spPr>
            <a:solidFill>
              <a:schemeClr val="accent2"/>
            </a:solidFill>
            <a:ln>
              <a:noFill/>
            </a:ln>
            <a:effectLst/>
          </c:spPr>
          <c:invertIfNegative val="0"/>
          <c:cat>
            <c:strRef>
              <c:f>Sheet1!$B$1:$I$1</c:f>
              <c:strCache>
                <c:ptCount val="8"/>
                <c:pt idx="0">
                  <c:v>2016</c:v>
                </c:pt>
                <c:pt idx="1">
                  <c:v>2017</c:v>
                </c:pt>
                <c:pt idx="2">
                  <c:v>2018</c:v>
                </c:pt>
                <c:pt idx="3">
                  <c:v>2019</c:v>
                </c:pt>
                <c:pt idx="4">
                  <c:v>2020</c:v>
                </c:pt>
                <c:pt idx="5">
                  <c:v>J&amp;J</c:v>
                </c:pt>
                <c:pt idx="6">
                  <c:v>Roche</c:v>
                </c:pt>
                <c:pt idx="7">
                  <c:v>AstraZeneca</c:v>
                </c:pt>
              </c:strCache>
            </c:strRef>
          </c:cat>
          <c:val>
            <c:numRef>
              <c:f>Sheet1!$B$3:$I$3</c:f>
              <c:numCache>
                <c:formatCode>General</c:formatCode>
                <c:ptCount val="8"/>
                <c:pt idx="0">
                  <c:v>0.66</c:v>
                </c:pt>
                <c:pt idx="1">
                  <c:v>0.65</c:v>
                </c:pt>
                <c:pt idx="2">
                  <c:v>0.66</c:v>
                </c:pt>
                <c:pt idx="3">
                  <c:v>0.64</c:v>
                </c:pt>
                <c:pt idx="4">
                  <c:v>0.65</c:v>
                </c:pt>
                <c:pt idx="5">
                  <c:v>0.19</c:v>
                </c:pt>
                <c:pt idx="6">
                  <c:v>0.31</c:v>
                </c:pt>
                <c:pt idx="7">
                  <c:v>0.8</c:v>
                </c:pt>
              </c:numCache>
            </c:numRef>
          </c:val>
          <c:extLst>
            <c:ext xmlns:c16="http://schemas.microsoft.com/office/drawing/2014/chart" uri="{C3380CC4-5D6E-409C-BE32-E72D297353CC}">
              <c16:uniqueId val="{00000001-1028-4419-9F4C-28C9C7E0CC71}"/>
            </c:ext>
          </c:extLst>
        </c:ser>
        <c:ser>
          <c:idx val="2"/>
          <c:order val="2"/>
          <c:tx>
            <c:strRef>
              <c:f>Sheet1!$A$4</c:f>
              <c:strCache>
                <c:ptCount val="1"/>
                <c:pt idx="0">
                  <c:v>ROCE(%)</c:v>
                </c:pt>
              </c:strCache>
            </c:strRef>
          </c:tx>
          <c:spPr>
            <a:solidFill>
              <a:schemeClr val="accent3"/>
            </a:solidFill>
            <a:ln>
              <a:noFill/>
            </a:ln>
            <a:effectLst/>
          </c:spPr>
          <c:invertIfNegative val="0"/>
          <c:cat>
            <c:strRef>
              <c:f>Sheet1!$B$1:$I$1</c:f>
              <c:strCache>
                <c:ptCount val="8"/>
                <c:pt idx="0">
                  <c:v>2016</c:v>
                </c:pt>
                <c:pt idx="1">
                  <c:v>2017</c:v>
                </c:pt>
                <c:pt idx="2">
                  <c:v>2018</c:v>
                </c:pt>
                <c:pt idx="3">
                  <c:v>2019</c:v>
                </c:pt>
                <c:pt idx="4">
                  <c:v>2020</c:v>
                </c:pt>
                <c:pt idx="5">
                  <c:v>J&amp;J</c:v>
                </c:pt>
                <c:pt idx="6">
                  <c:v>Roche</c:v>
                </c:pt>
                <c:pt idx="7">
                  <c:v>AstraZeneca</c:v>
                </c:pt>
              </c:strCache>
            </c:strRef>
          </c:cat>
          <c:val>
            <c:numRef>
              <c:f>Sheet1!$B$4:$I$4</c:f>
              <c:numCache>
                <c:formatCode>0.00%</c:formatCode>
                <c:ptCount val="8"/>
                <c:pt idx="0">
                  <c:v>2.5999999999999999E-2</c:v>
                </c:pt>
                <c:pt idx="1">
                  <c:v>7.2999999999999995E-2</c:v>
                </c:pt>
                <c:pt idx="2">
                  <c:v>0.114</c:v>
                </c:pt>
                <c:pt idx="3">
                  <c:v>9.5000000000000001E-2</c:v>
                </c:pt>
                <c:pt idx="4">
                  <c:v>0.109</c:v>
                </c:pt>
                <c:pt idx="5">
                  <c:v>0.11600000000000001</c:v>
                </c:pt>
                <c:pt idx="6">
                  <c:v>0.22900000000000001</c:v>
                </c:pt>
                <c:pt idx="7">
                  <c:v>2.7E-2</c:v>
                </c:pt>
              </c:numCache>
            </c:numRef>
          </c:val>
          <c:extLst>
            <c:ext xmlns:c16="http://schemas.microsoft.com/office/drawing/2014/chart" uri="{C3380CC4-5D6E-409C-BE32-E72D297353CC}">
              <c16:uniqueId val="{00000002-1028-4419-9F4C-28C9C7E0CC71}"/>
            </c:ext>
          </c:extLst>
        </c:ser>
        <c:ser>
          <c:idx val="3"/>
          <c:order val="3"/>
          <c:tx>
            <c:strRef>
              <c:f>Sheet1!$A$5</c:f>
              <c:strCache>
                <c:ptCount val="1"/>
                <c:pt idx="0">
                  <c:v>ROE (%)</c:v>
                </c:pt>
              </c:strCache>
            </c:strRef>
          </c:tx>
          <c:spPr>
            <a:solidFill>
              <a:schemeClr val="accent4"/>
            </a:solidFill>
            <a:ln>
              <a:noFill/>
            </a:ln>
            <a:effectLst/>
          </c:spPr>
          <c:invertIfNegative val="0"/>
          <c:cat>
            <c:strRef>
              <c:f>Sheet1!$B$1:$I$1</c:f>
              <c:strCache>
                <c:ptCount val="8"/>
                <c:pt idx="0">
                  <c:v>2016</c:v>
                </c:pt>
                <c:pt idx="1">
                  <c:v>2017</c:v>
                </c:pt>
                <c:pt idx="2">
                  <c:v>2018</c:v>
                </c:pt>
                <c:pt idx="3">
                  <c:v>2019</c:v>
                </c:pt>
                <c:pt idx="4">
                  <c:v>2020</c:v>
                </c:pt>
                <c:pt idx="5">
                  <c:v>J&amp;J</c:v>
                </c:pt>
                <c:pt idx="6">
                  <c:v>Roche</c:v>
                </c:pt>
                <c:pt idx="7">
                  <c:v>AstraZeneca</c:v>
                </c:pt>
              </c:strCache>
            </c:strRef>
          </c:cat>
          <c:val>
            <c:numRef>
              <c:f>Sheet1!$B$5:$I$5</c:f>
              <c:numCache>
                <c:formatCode>0.00%</c:formatCode>
                <c:ptCount val="8"/>
                <c:pt idx="0">
                  <c:v>1.7999999999999999E-2</c:v>
                </c:pt>
                <c:pt idx="1">
                  <c:v>3.7999999999999999E-2</c:v>
                </c:pt>
                <c:pt idx="2">
                  <c:v>7.0000000000000007E-2</c:v>
                </c:pt>
                <c:pt idx="3">
                  <c:v>6.6000000000000003E-2</c:v>
                </c:pt>
                <c:pt idx="4">
                  <c:v>7.9000000000000001E-2</c:v>
                </c:pt>
                <c:pt idx="5">
                  <c:v>8.3999999999999995E-3</c:v>
                </c:pt>
                <c:pt idx="6">
                  <c:v>1.4999999999999999E-2</c:v>
                </c:pt>
                <c:pt idx="7">
                  <c:v>3.0999999999999999E-3</c:v>
                </c:pt>
              </c:numCache>
            </c:numRef>
          </c:val>
          <c:extLst>
            <c:ext xmlns:c16="http://schemas.microsoft.com/office/drawing/2014/chart" uri="{C3380CC4-5D6E-409C-BE32-E72D297353CC}">
              <c16:uniqueId val="{00000003-1028-4419-9F4C-28C9C7E0CC71}"/>
            </c:ext>
          </c:extLst>
        </c:ser>
        <c:dLbls>
          <c:showLegendKey val="0"/>
          <c:showVal val="0"/>
          <c:showCatName val="0"/>
          <c:showSerName val="0"/>
          <c:showPercent val="0"/>
          <c:showBubbleSize val="0"/>
        </c:dLbls>
        <c:gapWidth val="219"/>
        <c:overlap val="-27"/>
        <c:axId val="577006832"/>
        <c:axId val="577007160"/>
      </c:barChart>
      <c:catAx>
        <c:axId val="577006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007160"/>
        <c:crosses val="autoZero"/>
        <c:auto val="1"/>
        <c:lblAlgn val="ctr"/>
        <c:lblOffset val="100"/>
        <c:noMultiLvlLbl val="0"/>
      </c:catAx>
      <c:valAx>
        <c:axId val="577007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00683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 Ratios in Comparison to Rivals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3914260717410324E-2"/>
          <c:y val="0.1715555555555556"/>
          <c:w val="0.9155301837270341"/>
          <c:h val="0.5184962648899657"/>
        </c:manualLayout>
      </c:layout>
      <c:barChart>
        <c:barDir val="col"/>
        <c:grouping val="clustered"/>
        <c:varyColors val="0"/>
        <c:ser>
          <c:idx val="0"/>
          <c:order val="0"/>
          <c:tx>
            <c:strRef>
              <c:f>Sheet1!$A$2</c:f>
              <c:strCache>
                <c:ptCount val="1"/>
                <c:pt idx="0">
                  <c:v>Current Ratio</c:v>
                </c:pt>
              </c:strCache>
            </c:strRef>
          </c:tx>
          <c:spPr>
            <a:solidFill>
              <a:schemeClr val="accent1"/>
            </a:solidFill>
            <a:ln>
              <a:noFill/>
            </a:ln>
            <a:effectLst/>
          </c:spPr>
          <c:invertIfNegative val="0"/>
          <c:cat>
            <c:strRef>
              <c:f>Sheet1!$B$1:$I$1</c:f>
              <c:strCache>
                <c:ptCount val="8"/>
                <c:pt idx="0">
                  <c:v>2016</c:v>
                </c:pt>
                <c:pt idx="1">
                  <c:v>2017</c:v>
                </c:pt>
                <c:pt idx="2">
                  <c:v>2018</c:v>
                </c:pt>
                <c:pt idx="3">
                  <c:v>2019</c:v>
                </c:pt>
                <c:pt idx="4">
                  <c:v>2020</c:v>
                </c:pt>
                <c:pt idx="5">
                  <c:v>J&amp;J 2020</c:v>
                </c:pt>
                <c:pt idx="6">
                  <c:v>Roche 2020</c:v>
                </c:pt>
                <c:pt idx="7">
                  <c:v>AstraZeneca2020</c:v>
                </c:pt>
              </c:strCache>
            </c:strRef>
          </c:cat>
          <c:val>
            <c:numRef>
              <c:f>Sheet1!$B$2:$I$2</c:f>
              <c:numCache>
                <c:formatCode>General</c:formatCode>
                <c:ptCount val="8"/>
                <c:pt idx="0">
                  <c:v>0.87948000000000004</c:v>
                </c:pt>
                <c:pt idx="1">
                  <c:v>0.59870500000000004</c:v>
                </c:pt>
                <c:pt idx="2">
                  <c:v>0.75261199999999995</c:v>
                </c:pt>
                <c:pt idx="3">
                  <c:v>0.81043699999999996</c:v>
                </c:pt>
                <c:pt idx="4">
                  <c:v>0.91416799999999998</c:v>
                </c:pt>
                <c:pt idx="5">
                  <c:v>0.45904699999999998</c:v>
                </c:pt>
                <c:pt idx="6">
                  <c:v>5.48855</c:v>
                </c:pt>
                <c:pt idx="7">
                  <c:v>1.306081</c:v>
                </c:pt>
              </c:numCache>
            </c:numRef>
          </c:val>
          <c:extLst>
            <c:ext xmlns:c16="http://schemas.microsoft.com/office/drawing/2014/chart" uri="{C3380CC4-5D6E-409C-BE32-E72D297353CC}">
              <c16:uniqueId val="{00000000-DB31-44D5-B32E-EE0B38FBDCF1}"/>
            </c:ext>
          </c:extLst>
        </c:ser>
        <c:ser>
          <c:idx val="1"/>
          <c:order val="1"/>
          <c:tx>
            <c:strRef>
              <c:f>Sheet1!$A$3</c:f>
              <c:strCache>
                <c:ptCount val="1"/>
                <c:pt idx="0">
                  <c:v>Quick Ratio</c:v>
                </c:pt>
              </c:strCache>
            </c:strRef>
          </c:tx>
          <c:spPr>
            <a:solidFill>
              <a:schemeClr val="accent2"/>
            </a:solidFill>
            <a:ln>
              <a:noFill/>
            </a:ln>
            <a:effectLst/>
          </c:spPr>
          <c:invertIfNegative val="0"/>
          <c:cat>
            <c:strRef>
              <c:f>Sheet1!$B$1:$I$1</c:f>
              <c:strCache>
                <c:ptCount val="8"/>
                <c:pt idx="0">
                  <c:v>2016</c:v>
                </c:pt>
                <c:pt idx="1">
                  <c:v>2017</c:v>
                </c:pt>
                <c:pt idx="2">
                  <c:v>2018</c:v>
                </c:pt>
                <c:pt idx="3">
                  <c:v>2019</c:v>
                </c:pt>
                <c:pt idx="4">
                  <c:v>2020</c:v>
                </c:pt>
                <c:pt idx="5">
                  <c:v>J&amp;J 2020</c:v>
                </c:pt>
                <c:pt idx="6">
                  <c:v>Roche 2020</c:v>
                </c:pt>
                <c:pt idx="7">
                  <c:v>AstraZeneca2020</c:v>
                </c:pt>
              </c:strCache>
            </c:strRef>
          </c:cat>
          <c:val>
            <c:numRef>
              <c:f>Sheet1!$B$3:$I$3</c:f>
              <c:numCache>
                <c:formatCode>General</c:formatCode>
                <c:ptCount val="8"/>
                <c:pt idx="0">
                  <c:v>0.61096799999999996</c:v>
                </c:pt>
                <c:pt idx="1">
                  <c:v>0.38955200000000001</c:v>
                </c:pt>
                <c:pt idx="2">
                  <c:v>0.50913699999999995</c:v>
                </c:pt>
                <c:pt idx="3">
                  <c:v>0.56315999999999999</c:v>
                </c:pt>
                <c:pt idx="4">
                  <c:v>0.64344400000000002</c:v>
                </c:pt>
                <c:pt idx="5">
                  <c:v>0.37533100000000003</c:v>
                </c:pt>
                <c:pt idx="6">
                  <c:v>3.2644489999999999</c:v>
                </c:pt>
                <c:pt idx="7">
                  <c:v>1.22732</c:v>
                </c:pt>
              </c:numCache>
            </c:numRef>
          </c:val>
          <c:extLst>
            <c:ext xmlns:c16="http://schemas.microsoft.com/office/drawing/2014/chart" uri="{C3380CC4-5D6E-409C-BE32-E72D297353CC}">
              <c16:uniqueId val="{00000001-DB31-44D5-B32E-EE0B38FBDCF1}"/>
            </c:ext>
          </c:extLst>
        </c:ser>
        <c:dLbls>
          <c:showLegendKey val="0"/>
          <c:showVal val="0"/>
          <c:showCatName val="0"/>
          <c:showSerName val="0"/>
          <c:showPercent val="0"/>
          <c:showBubbleSize val="0"/>
        </c:dLbls>
        <c:gapWidth val="219"/>
        <c:overlap val="-27"/>
        <c:axId val="585324776"/>
        <c:axId val="585322808"/>
      </c:barChart>
      <c:catAx>
        <c:axId val="585324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322808"/>
        <c:crosses val="autoZero"/>
        <c:auto val="1"/>
        <c:lblAlgn val="ctr"/>
        <c:lblOffset val="100"/>
        <c:noMultiLvlLbl val="0"/>
      </c:catAx>
      <c:valAx>
        <c:axId val="5853228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32477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Sheet1!$A$1:$I$1</c:f>
              <c:strCache>
                <c:ptCount val="9"/>
                <c:pt idx="0">
                  <c:v>GSK. GER</c:v>
                </c:pt>
                <c:pt idx="1">
                  <c:v>2016</c:v>
                </c:pt>
                <c:pt idx="2">
                  <c:v>2017</c:v>
                </c:pt>
                <c:pt idx="3">
                  <c:v>2018</c:v>
                </c:pt>
                <c:pt idx="4">
                  <c:v>2019</c:v>
                </c:pt>
                <c:pt idx="5">
                  <c:v>2020</c:v>
                </c:pt>
                <c:pt idx="6">
                  <c:v>J&amp;J 2020</c:v>
                </c:pt>
                <c:pt idx="7">
                  <c:v>Roche 2020</c:v>
                </c:pt>
                <c:pt idx="8">
                  <c:v>A, Zeneca 2020</c:v>
                </c:pt>
              </c:strCache>
            </c:strRef>
          </c:cat>
          <c:val>
            <c:numRef>
              <c:f>Sheet1!$A$2:$I$2</c:f>
              <c:numCache>
                <c:formatCode>0.00%</c:formatCode>
                <c:ptCount val="9"/>
                <c:pt idx="1">
                  <c:v>0.17610000000000001</c:v>
                </c:pt>
                <c:pt idx="2">
                  <c:v>3.0516999999999999</c:v>
                </c:pt>
                <c:pt idx="3">
                  <c:v>6.1699999999999998E-2</c:v>
                </c:pt>
                <c:pt idx="4">
                  <c:v>2.5700000000000001E-2</c:v>
                </c:pt>
                <c:pt idx="5">
                  <c:v>2.0199999999999999E-2</c:v>
                </c:pt>
                <c:pt idx="6">
                  <c:v>4.0000000000000001E-3</c:v>
                </c:pt>
                <c:pt idx="7">
                  <c:v>6.9999999999999999E-4</c:v>
                </c:pt>
                <c:pt idx="8">
                  <c:v>0.82</c:v>
                </c:pt>
              </c:numCache>
            </c:numRef>
          </c:val>
          <c:extLst>
            <c:ext xmlns:c16="http://schemas.microsoft.com/office/drawing/2014/chart" uri="{C3380CC4-5D6E-409C-BE32-E72D297353CC}">
              <c16:uniqueId val="{00000000-A980-4FB9-8979-A01BBBECE8FB}"/>
            </c:ext>
          </c:extLst>
        </c:ser>
        <c:dLbls>
          <c:showLegendKey val="0"/>
          <c:showVal val="0"/>
          <c:showCatName val="0"/>
          <c:showSerName val="0"/>
          <c:showPercent val="0"/>
          <c:showBubbleSize val="0"/>
        </c:dLbls>
        <c:gapWidth val="219"/>
        <c:overlap val="-27"/>
        <c:axId val="585326088"/>
        <c:axId val="585319528"/>
      </c:barChart>
      <c:catAx>
        <c:axId val="585326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319528"/>
        <c:crosses val="autoZero"/>
        <c:auto val="1"/>
        <c:lblAlgn val="ctr"/>
        <c:lblOffset val="100"/>
        <c:noMultiLvlLbl val="0"/>
      </c:catAx>
      <c:valAx>
        <c:axId val="5853195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32608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595D12-1871-49A9-87C5-32F6BAB45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6328</Words>
  <Characters>36070</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Errol Malcolm (1709503)</dc:creator>
  <cp:keywords/>
  <dc:description/>
  <cp:lastModifiedBy>Bart Plange</cp:lastModifiedBy>
  <cp:revision>2</cp:revision>
  <dcterms:created xsi:type="dcterms:W3CDTF">2021-05-18T12:56:00Z</dcterms:created>
  <dcterms:modified xsi:type="dcterms:W3CDTF">2021-05-18T12:56:00Z</dcterms:modified>
</cp:coreProperties>
</file>