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r>
    </w:p>
    <w:p w:rsidR="00000000" w:rsidDel="00000000" w:rsidP="00000000" w:rsidRDefault="00000000" w:rsidRPr="00000000" w14:paraId="00000002">
      <w:pPr>
        <w:pStyle w:val="Title"/>
        <w:rPr/>
      </w:pPr>
      <w:r w:rsidDel="00000000" w:rsidR="00000000" w:rsidRPr="00000000">
        <w:rPr>
          <w:rtl w:val="0"/>
        </w:rPr>
      </w:r>
    </w:p>
    <w:p w:rsidR="00000000" w:rsidDel="00000000" w:rsidP="00000000" w:rsidRDefault="00000000" w:rsidRPr="00000000" w14:paraId="00000003">
      <w:pPr>
        <w:pStyle w:val="Title"/>
        <w:rPr/>
      </w:pPr>
      <w:r w:rsidDel="00000000" w:rsidR="00000000" w:rsidRPr="00000000">
        <w:rPr>
          <w:rtl w:val="0"/>
        </w:rPr>
      </w:r>
    </w:p>
    <w:p w:rsidR="00000000" w:rsidDel="00000000" w:rsidP="00000000" w:rsidRDefault="00000000" w:rsidRPr="00000000" w14:paraId="00000004">
      <w:pPr>
        <w:pStyle w:val="Title"/>
        <w:rPr/>
      </w:pPr>
      <w:r w:rsidDel="00000000" w:rsidR="00000000" w:rsidRPr="00000000">
        <w:rPr>
          <w:rtl w:val="0"/>
        </w:rPr>
      </w:r>
    </w:p>
    <w:p w:rsidR="00000000" w:rsidDel="00000000" w:rsidP="00000000" w:rsidRDefault="00000000" w:rsidRPr="00000000" w14:paraId="00000005">
      <w:pPr>
        <w:pStyle w:val="Title"/>
        <w:rPr/>
      </w:pPr>
      <w:r w:rsidDel="00000000" w:rsidR="00000000" w:rsidRPr="00000000">
        <w:rPr>
          <w:rtl w:val="0"/>
        </w:rPr>
        <w:t xml:space="preserve">An Investigation into Thyroid Disease Management among Adults Aged 25 and above in UK</w:t>
      </w:r>
    </w:p>
    <w:p w:rsidR="00000000" w:rsidDel="00000000" w:rsidP="00000000" w:rsidRDefault="00000000" w:rsidRPr="00000000" w14:paraId="00000006">
      <w:pPr>
        <w:jc w:val="center"/>
        <w:rPr/>
      </w:pPr>
      <w:r w:rsidDel="00000000" w:rsidR="00000000" w:rsidRPr="00000000">
        <w:rPr>
          <w:b w:val="1"/>
          <w:bCs w:val="1"/>
          <w:rtl w:val="0"/>
        </w:rPr>
        <w:t xml:space="preserve">Module:</w:t>
      </w:r>
      <w:r w:rsidDel="00000000" w:rsidR="00000000" w:rsidRPr="00000000">
        <w:rPr>
          <w:rtl w:val="0"/>
        </w:rPr>
        <w:t xml:space="preserve"> Practice-Based Research</w:t>
      </w:r>
    </w:p>
    <w:p w:rsidR="00000000" w:rsidDel="00000000" w:rsidP="00000000" w:rsidRDefault="00000000" w:rsidRPr="00000000" w14:paraId="00000007">
      <w:pPr>
        <w:jc w:val="center"/>
        <w:rPr/>
      </w:pPr>
      <w:r w:rsidDel="00000000" w:rsidR="00000000" w:rsidRPr="00000000">
        <w:rPr>
          <w:rtl w:val="0"/>
        </w:rPr>
        <w:t xml:space="preserve">Module Code: LCHS7008</w:t>
      </w:r>
    </w:p>
    <w:p w:rsidR="00000000" w:rsidDel="00000000" w:rsidP="00000000" w:rsidRDefault="00000000" w:rsidRPr="00000000" w14:paraId="00000008">
      <w:pPr>
        <w:jc w:val="center"/>
        <w:rPr/>
      </w:pPr>
      <w:r w:rsidDel="00000000" w:rsidR="00000000" w:rsidRPr="00000000">
        <w:rPr>
          <w:b w:val="1"/>
          <w:bCs w:val="1"/>
          <w:rtl w:val="0"/>
        </w:rPr>
        <w:t xml:space="preserve">Assignment:</w:t>
      </w:r>
      <w:r w:rsidDel="00000000" w:rsidR="00000000" w:rsidRPr="00000000">
        <w:rPr>
          <w:rtl w:val="0"/>
        </w:rPr>
        <w:t xml:space="preserve"> Component 2 - Written Research Proposal</w:t>
      </w:r>
    </w:p>
    <w:p w:rsidR="00000000" w:rsidDel="00000000" w:rsidP="00000000" w:rsidRDefault="00000000" w:rsidRPr="00000000" w14:paraId="00000009">
      <w:pPr>
        <w:jc w:val="left"/>
        <w:rPr/>
      </w:pPr>
      <w:r w:rsidDel="00000000" w:rsidR="00000000" w:rsidRPr="00000000">
        <w:rPr>
          <w:b w:val="1"/>
          <w:bCs w:val="1"/>
          <w:rtl w:val="0"/>
        </w:rPr>
        <w:t xml:space="preserve">       Student Name - Rikinpuri Swami </w:t>
      </w: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t xml:space="preserve">Student ID: 2503602</w:t>
      </w:r>
    </w:p>
    <w:p w:rsidR="00000000" w:rsidDel="00000000" w:rsidP="00000000" w:rsidRDefault="00000000" w:rsidRPr="00000000" w14:paraId="0000000B">
      <w:pPr>
        <w:jc w:val="center"/>
        <w:rPr>
          <w:b w:val="1"/>
          <w:bCs w:val="1"/>
        </w:rPr>
      </w:pPr>
      <w:r w:rsidDel="00000000" w:rsidR="00000000" w:rsidRPr="00000000">
        <w:rPr>
          <w:b w:val="1"/>
          <w:bCs w:val="1"/>
          <w:rtl w:val="0"/>
        </w:rPr>
        <w:t xml:space="preserve">Supervisor: </w:t>
      </w:r>
      <w:r w:rsidDel="00000000" w:rsidR="00000000" w:rsidRPr="00000000">
        <w:rPr>
          <w:rtl w:val="0"/>
        </w:rPr>
        <w:t xml:space="preserve">Oluwadamilola Tayo</w:t>
      </w:r>
      <w:r w:rsidDel="00000000" w:rsidR="00000000" w:rsidRPr="00000000">
        <w:br w:type="page"/>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Table of Contents</w:t>
      </w:r>
    </w:p>
    <w:sdt>
      <w:sdtPr>
        <w:id w:val="-730005143"/>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3impk1cz88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wnx8w134oi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Literature - Based Background to the Study</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xa56idnaute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Approaches to Thyroid Disease Management in the UK</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ct6nporke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Effects on Health, Wellbeing and Quality of Life</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j3mox2k935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Challenges in Diagnosis, Treatment, Monitoring and Follow-Up</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021ysr0pa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Rationale and Research Gap</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m00wgv4ngd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Critical Synthesis of the Research Gap</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dgpd93a287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Study Rationale and Contribution</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f9x63rk24f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Research Questions, Aim and Objectives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0jr28rqb7j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Research Aim</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u7r7x7xj4c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Research Objectives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6j7xc31lpe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Research Question</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o2h9h6vfjh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Methodology</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14rl5ino3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Methodological Approach and Research Design</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uvz4usaqpxi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Data Sources and Search Strategy</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fbniseppsi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Study Selection, Sampling and Eligibility Criteria</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tra2pef63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Data Collection and Extraction Procedure</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7bupxaqfhx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 Quality Appraisal</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t6j8hacrf5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5.6 Proposed Data Analysis: Thematic Synthesis</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gpkyzy6p7v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Ethical Considerations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hyw61z5gx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Implications of the Proposed Research</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27wgfk6hxlj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Plan of Work and Time Schedule</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eijl2own82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g3impk1cz88n" w:id="0"/>
      <w:bookmarkEnd w:id="0"/>
      <w:r w:rsidDel="00000000" w:rsidR="00000000" w:rsidRPr="00000000">
        <w:rPr>
          <w:rtl w:val="0"/>
        </w:rPr>
        <w:t xml:space="preserve">1. Introduction</w:t>
      </w:r>
    </w:p>
    <w:p w:rsidR="00000000" w:rsidDel="00000000" w:rsidP="00000000" w:rsidRDefault="00000000" w:rsidRPr="00000000" w14:paraId="00000027">
      <w:pPr>
        <w:rPr/>
      </w:pPr>
      <w:r w:rsidDel="00000000" w:rsidR="00000000" w:rsidRPr="00000000">
        <w:rPr>
          <w:rtl w:val="0"/>
        </w:rPr>
        <w:t xml:space="preserve">Thyroid disease in this proposal includes hypothyroidism and hyperthyroidism among UK adults aged 25 years and above, requiring distinct management approaches. Around 1-2% of the population of the UK have spontaneous hypothyroidism and it is about 10 times more common in women than men (NICE, 2024). This prevalence results in ongoing demand for medication review, biochemical monitoring and assessment of symptoms and coordination of follow up across primary and specialist services. Hyperthyroidism is 10 times more likely to occur in women and around four out of every five people with hyperthyroidism suffer from Graves' disease (NHS, 2023). UK practice also shows variation, with 95% of surveyed clinicians preferring antithyroid drugs as first-line Graves’ disease treatment (Atkinson et al., 2025). In the UK, 89% of people with hypothyroidism reported feeling tired, but this figure cannot be extrapolated to the general population given the nature of the self-selected respondents (Grixti et al., 2025). NHS England advises specialist endocrinology review prior to starting liothyronine; and recommends shared decision making for those who have persistent symptoms despite treatment with levothyroxine (NHS England, 2023). Specialist oversight is important because biochemical correction may not completely alleviate symptoms and/or individual treatment preferences. Thus, successful thyroid treatment should include medications, monitoring, patient feedback, communication, support and follow-up.</w:t>
      </w:r>
    </w:p>
    <w:p w:rsidR="00000000" w:rsidDel="00000000" w:rsidP="00000000" w:rsidRDefault="00000000" w:rsidRPr="00000000" w14:paraId="00000028">
      <w:pPr>
        <w:pStyle w:val="Heading1"/>
        <w:rPr/>
      </w:pPr>
      <w:bookmarkStart w:colFirst="0" w:colLast="0" w:name="_fwnx8w134oil" w:id="1"/>
      <w:bookmarkEnd w:id="1"/>
      <w:r w:rsidDel="00000000" w:rsidR="00000000" w:rsidRPr="00000000">
        <w:rPr>
          <w:rtl w:val="0"/>
        </w:rPr>
        <w:t xml:space="preserve">2. Literature - Based Background to the Study</w:t>
      </w:r>
    </w:p>
    <w:p w:rsidR="00000000" w:rsidDel="00000000" w:rsidP="00000000" w:rsidRDefault="00000000" w:rsidRPr="00000000" w14:paraId="00000029">
      <w:pPr>
        <w:pStyle w:val="Heading2"/>
        <w:rPr/>
      </w:pPr>
      <w:bookmarkStart w:colFirst="0" w:colLast="0" w:name="_xa56idnauteg" w:id="2"/>
      <w:bookmarkEnd w:id="2"/>
      <w:r w:rsidDel="00000000" w:rsidR="00000000" w:rsidRPr="00000000">
        <w:rPr>
          <w:rtl w:val="0"/>
        </w:rPr>
        <w:t xml:space="preserve">2.1 Approaches to Thyroid Disease Management in the UK</w:t>
      </w:r>
    </w:p>
    <w:p w:rsidR="00000000" w:rsidDel="00000000" w:rsidP="00000000" w:rsidRDefault="00000000" w:rsidRPr="00000000" w14:paraId="0000002A">
      <w:pPr>
        <w:rPr/>
      </w:pPr>
      <w:r w:rsidDel="00000000" w:rsidR="00000000" w:rsidRPr="00000000">
        <w:rPr>
          <w:rtl w:val="0"/>
        </w:rPr>
        <w:t xml:space="preserve">In the UK, thyroid management is characterised by standardised treatment, and some variation in treatment if symptoms persist or disease returns. Twenty-one percent of endocrinologists in the UK replied to the survey, although 51% of those who did saw combination therapy as an option (Younes et al., 2022). This indicates that biochemical control is not the ultimate solution to all patients' problems, and that specialists' preferences are not the sole measure of effectiveness. Meta-analysis revealed that combination therapy resulted in changes in thyroid hormone levels, but did not consistently result in superior quality-of-life outcomes compared with levothyroxine therapy alone (Nassar et al., 2024). So, when there is a decision to escalate treatment, the justification should be greater than just "because it's not working" or "because it's different biochemically".</w:t>
      </w:r>
    </w:p>
    <w:p w:rsidR="00000000" w:rsidDel="00000000" w:rsidP="00000000" w:rsidRDefault="00000000" w:rsidRPr="00000000" w14:paraId="0000002B">
      <w:pPr>
        <w:rPr/>
      </w:pPr>
      <w:r w:rsidDel="00000000" w:rsidR="00000000" w:rsidRPr="00000000">
        <w:rPr>
          <w:rtl w:val="0"/>
        </w:rPr>
        <w:t xml:space="preserve">Hyperthyroidism requires different options as antithyroid medications, radioactive iodine and surgery have their advantages and disadvantages (Lee and Pearce, 2023). Despite NICE recommendations, 95% of UK practices opted for antithyroid drugs as first-line treatment. This comparison illustrates that even formal recommendations do not necessarily result in uniformity of clinical practice. Patient preference is also a source of complexity in management as 52% of patients preferred combination therapy or desiccated thyroid extract in pooled hypothyroidism trials (Beltrão et al., 2025). In conclusion, it is better to monitor and follow up, involve specialists and make joint decisions in good management than to prescribe indiscriminately across primary care and specialist care.</w:t>
      </w:r>
    </w:p>
    <w:p w:rsidR="00000000" w:rsidDel="00000000" w:rsidP="00000000" w:rsidRDefault="00000000" w:rsidRPr="00000000" w14:paraId="0000002C">
      <w:pPr>
        <w:pStyle w:val="Heading2"/>
        <w:rPr/>
      </w:pPr>
      <w:bookmarkStart w:colFirst="0" w:colLast="0" w:name="_zct6nporkew1" w:id="3"/>
      <w:bookmarkEnd w:id="3"/>
      <w:r w:rsidDel="00000000" w:rsidR="00000000" w:rsidRPr="00000000">
        <w:rPr>
          <w:rtl w:val="0"/>
        </w:rPr>
        <w:t xml:space="preserve">2.2 Effects on Health, Wellbeing and Quality of Life</w:t>
      </w:r>
    </w:p>
    <w:p w:rsidR="00000000" w:rsidDel="00000000" w:rsidP="00000000" w:rsidRDefault="00000000" w:rsidRPr="00000000" w14:paraId="0000002D">
      <w:pPr>
        <w:rPr/>
      </w:pPr>
      <w:r w:rsidDel="00000000" w:rsidR="00000000" w:rsidRPr="00000000">
        <w:rPr>
          <w:rtl w:val="0"/>
        </w:rPr>
        <w:t xml:space="preserve">Treatment of thyroid disease should enhance the quality of life and function rather than just normalise biochemical markers. Treatment outcomes continue to be more encompassing than TSH control due to patient-reported measures which reflect physical, psychological, and daily-life impacts (Ettleson and Papaleontiou, 2022). This contrasts with clinical practice in which laboratory targets may be treated as the main measure of successful management. Molewijk et al. (2024) conducted a Dutch survey where treated patients were more likely to report worse general health and more activity limitations than controls. But it does not provide causal evidence as to whether thyroid treatment actually caused these deficits.</w:t>
      </w:r>
    </w:p>
    <w:p w:rsidR="00000000" w:rsidDel="00000000" w:rsidP="00000000" w:rsidRDefault="00000000" w:rsidRPr="00000000" w14:paraId="0000002E">
      <w:pPr>
        <w:rPr/>
      </w:pPr>
      <w:r w:rsidDel="00000000" w:rsidR="00000000" w:rsidRPr="00000000">
        <w:rPr>
          <w:rtl w:val="0"/>
        </w:rPr>
        <w:t xml:space="preserve">In a UK survey, 89% of treated respondents who selected themselves met criteria for abnormal fatigue (Grixti et al., 2025). This is an important burden, but may overrepresent those who continue to have symptoms because of self-selection. In the female thyroid disorders group, higher levels of perceived social support were correlated with higher quality of life (Kollerits et al., 2023). But the sample of females only restricts generalisation, and does not undermine the notion that management is more than just medication. Patient-reported outcomes (PROs) routinely collected can assess tiredness, mental wellbeing, social impacts, and treatment experience in addition to clinical outcomes (Cramon et al., 2022). Overall, there is evidence for integrated assessment, although there is some doubt as to which parts of the management process would be most beneficial to lived outcomes.</w:t>
      </w:r>
    </w:p>
    <w:p w:rsidR="00000000" w:rsidDel="00000000" w:rsidP="00000000" w:rsidRDefault="00000000" w:rsidRPr="00000000" w14:paraId="0000002F">
      <w:pPr>
        <w:pStyle w:val="Heading2"/>
        <w:rPr/>
      </w:pPr>
      <w:bookmarkStart w:colFirst="0" w:colLast="0" w:name="_7j3mox2k9355" w:id="4"/>
      <w:bookmarkEnd w:id="4"/>
      <w:r w:rsidDel="00000000" w:rsidR="00000000" w:rsidRPr="00000000">
        <w:rPr>
          <w:rtl w:val="0"/>
        </w:rPr>
        <w:t xml:space="preserve">2.3 Challenges in Diagnosis, Treatment, Monitoring and Follow-Up</w:t>
      </w:r>
    </w:p>
    <w:p w:rsidR="00000000" w:rsidDel="00000000" w:rsidP="00000000" w:rsidRDefault="00000000" w:rsidRPr="00000000" w14:paraId="00000030">
      <w:pPr>
        <w:rPr/>
      </w:pPr>
      <w:r w:rsidDel="00000000" w:rsidR="00000000" w:rsidRPr="00000000">
        <w:rPr>
          <w:rtl w:val="0"/>
        </w:rPr>
        <w:t xml:space="preserve">Management problems start before treatment, as symptoms of hypothyroidism are non-specific, and therefore they cannot be reliably used to determine the cause of hypothyroidism (Jansen et al., 2023). This can lead to inappropriate treatment, while delayed diagnosis can cause symptoms caused by thyroid problems to last longer than necessary. Despite having normal thyroid tests, persistent symptoms may be related to the presence of comorbidities, adherence or expectations, making decisions about treatment adjustment challenging (Biondi et al., 2023). As such, automatic dose escalation can miss out on broader causal factors and be a source of unnecessary exposure for patients.</w:t>
      </w:r>
    </w:p>
    <w:p w:rsidR="00000000" w:rsidDel="00000000" w:rsidP="00000000" w:rsidRDefault="00000000" w:rsidRPr="00000000" w14:paraId="00000031">
      <w:pPr>
        <w:rPr/>
      </w:pPr>
      <w:r w:rsidDel="00000000" w:rsidR="00000000" w:rsidRPr="00000000">
        <w:rPr>
          <w:rtl w:val="0"/>
        </w:rPr>
        <w:t xml:space="preserve">A global survey was performed to determine patient misconceptions about symptoms, diagnosis and treatment and in this survey, the knowledge gap was found to be associated with poorer perceived outcomes (Perros et al., 2025). However, there is a reason for a UK-focused qualitative synthesis as UK pathways cannot be fully represented by findings from international work. Qualitative evidence indicates that more in-depth self-management advice and more responsive professional support are required for patients who continue to experience symptoms (de Reuver-Schuurman et al., 2025). Experiences indicate that follow-up quality is not just biochemical testing, but also communication and continuity. Fatigue, forgetfulness and concentration difficulties are other related components of the hypothyroid “brain fog” as described by patients (Ettleson et al., 2022). Thus, along the pathway, diagnostic uncertainty can perpetuate information gaps, failure to achieve symptom resolution, and communication deficits.</w:t>
      </w:r>
    </w:p>
    <w:p w:rsidR="00000000" w:rsidDel="00000000" w:rsidP="00000000" w:rsidRDefault="00000000" w:rsidRPr="00000000" w14:paraId="00000032">
      <w:pPr>
        <w:pStyle w:val="Heading1"/>
        <w:rPr/>
      </w:pPr>
      <w:bookmarkStart w:colFirst="0" w:colLast="0" w:name="_9021ysr0pal" w:id="5"/>
      <w:bookmarkEnd w:id="5"/>
      <w:r w:rsidDel="00000000" w:rsidR="00000000" w:rsidRPr="00000000">
        <w:rPr>
          <w:rtl w:val="0"/>
        </w:rPr>
        <w:t xml:space="preserve">3. Rationale and Research Gap</w:t>
      </w:r>
    </w:p>
    <w:p w:rsidR="00000000" w:rsidDel="00000000" w:rsidP="00000000" w:rsidRDefault="00000000" w:rsidRPr="00000000" w14:paraId="00000033">
      <w:pPr>
        <w:pStyle w:val="Heading2"/>
        <w:rPr/>
      </w:pPr>
      <w:bookmarkStart w:colFirst="0" w:colLast="0" w:name="_jm00wgv4ngdu" w:id="6"/>
      <w:bookmarkEnd w:id="6"/>
      <w:r w:rsidDel="00000000" w:rsidR="00000000" w:rsidRPr="00000000">
        <w:rPr>
          <w:rtl w:val="0"/>
        </w:rPr>
        <w:t xml:space="preserve">3.1 Critical Synthesis of the Research Gap</w:t>
      </w:r>
    </w:p>
    <w:p w:rsidR="00000000" w:rsidDel="00000000" w:rsidP="00000000" w:rsidRDefault="00000000" w:rsidRPr="00000000" w14:paraId="00000034">
      <w:pPr>
        <w:rPr/>
      </w:pPr>
      <w:r w:rsidDel="00000000" w:rsidR="00000000" w:rsidRPr="00000000">
        <w:rPr>
          <w:rtl w:val="0"/>
        </w:rPr>
        <w:t xml:space="preserve">Current evidence demonstrates that thyroid disease management is clinically established, but understanding of the patients' whole journey in managing thyroid disease is still limited. Biochemical control is not necessarily associated with a perceived recovery as approximately 10–15% of levothyroxine-treated patients have persistent symptoms (Hegedüs et al., 2022). But this evidence is a mix of international studies and does not provide an understanding of how services manage treatment, monitoring, follow-up and support in the UK.</w:t>
      </w:r>
    </w:p>
    <w:p w:rsidR="00000000" w:rsidDel="00000000" w:rsidP="00000000" w:rsidRDefault="00000000" w:rsidRPr="00000000" w14:paraId="00000035">
      <w:pPr>
        <w:rPr/>
      </w:pPr>
      <w:r w:rsidDel="00000000" w:rsidR="00000000" w:rsidRPr="00000000">
        <w:rPr>
          <w:rtl w:val="0"/>
        </w:rPr>
        <w:t xml:space="preserve">However, a recent survey is based on endocrinologists' experiences and not patients' experiences across primary, specialist and continuing care (Younes et al., 2022). A recent UK survey identified the relevance of patient-reported outcomes (PROs), with 89% of treated patients meeting criteria for abnormal fatigue, thus reinforcing the importance of PROs (Grixti et al., 2025). However, self-selection and survey data mean that this provides only a partial picture of the reasons for these problems and of patients' experiences of continuing care.</w:t>
      </w:r>
    </w:p>
    <w:p w:rsidR="00000000" w:rsidDel="00000000" w:rsidP="00000000" w:rsidRDefault="00000000" w:rsidRPr="00000000" w14:paraId="00000036">
      <w:pPr>
        <w:pStyle w:val="Heading2"/>
        <w:rPr/>
      </w:pPr>
      <w:bookmarkStart w:colFirst="0" w:colLast="0" w:name="_9dgpd93a2877" w:id="7"/>
      <w:bookmarkEnd w:id="7"/>
      <w:r w:rsidDel="00000000" w:rsidR="00000000" w:rsidRPr="00000000">
        <w:rPr>
          <w:rtl w:val="0"/>
        </w:rPr>
        <w:t xml:space="preserve">3.2 Study Rationale and Contribution</w:t>
      </w:r>
    </w:p>
    <w:p w:rsidR="00000000" w:rsidDel="00000000" w:rsidP="00000000" w:rsidRDefault="00000000" w:rsidRPr="00000000" w14:paraId="00000037">
      <w:pPr>
        <w:rPr/>
      </w:pPr>
      <w:r w:rsidDel="00000000" w:rsidR="00000000" w:rsidRPr="00000000">
        <w:rPr>
          <w:rtl w:val="0"/>
        </w:rPr>
        <w:t xml:space="preserve">Qualitative evidence can overcome this limitation as persistent symptoms are linked with treatment experiences, self-management, information needs and relationships with healthcare professionals. Recent qualitative research highlights unmet self-management and support needs, although the context in which the research was conducted is not UK-based, creating uncertainty about its transferability to UK services (de Reuver-Schuurman et al., 2025). Hence, a secondary qualitative synthesis is warranted to draw links between evidence currently analysed in different management dimensions within the unique context of the United Kingdom.</w:t>
      </w:r>
    </w:p>
    <w:p w:rsidR="00000000" w:rsidDel="00000000" w:rsidP="00000000" w:rsidRDefault="00000000" w:rsidRPr="00000000" w14:paraId="00000038">
      <w:pPr>
        <w:rPr/>
      </w:pPr>
      <w:r w:rsidDel="00000000" w:rsidR="00000000" w:rsidRPr="00000000">
        <w:rPr>
          <w:rtl w:val="0"/>
        </w:rPr>
        <w:t xml:space="preserve">The originality of this synthesis is in the integration, not in claiming that the condition has not previously been explored or that relevant evidence is completely lacking.</w:t>
      </w:r>
    </w:p>
    <w:p w:rsidR="00000000" w:rsidDel="00000000" w:rsidP="00000000" w:rsidRDefault="00000000" w:rsidRPr="00000000" w14:paraId="00000039">
      <w:pPr>
        <w:pStyle w:val="Heading1"/>
        <w:rPr/>
      </w:pPr>
      <w:bookmarkStart w:colFirst="0" w:colLast="0" w:name="_gf9x63rk24fn" w:id="8"/>
      <w:bookmarkEnd w:id="8"/>
      <w:r w:rsidDel="00000000" w:rsidR="00000000" w:rsidRPr="00000000">
        <w:rPr>
          <w:rtl w:val="0"/>
        </w:rPr>
        <w:t xml:space="preserve">4. Research Questions, Aim and Objectives </w:t>
      </w:r>
    </w:p>
    <w:p w:rsidR="00000000" w:rsidDel="00000000" w:rsidP="00000000" w:rsidRDefault="00000000" w:rsidRPr="00000000" w14:paraId="0000003A">
      <w:pPr>
        <w:pStyle w:val="Heading2"/>
        <w:rPr/>
      </w:pPr>
      <w:bookmarkStart w:colFirst="0" w:colLast="0" w:name="_70jr28rqb7jj" w:id="9"/>
      <w:bookmarkEnd w:id="9"/>
      <w:r w:rsidDel="00000000" w:rsidR="00000000" w:rsidRPr="00000000">
        <w:rPr>
          <w:rtl w:val="0"/>
        </w:rPr>
        <w:t xml:space="preserve">4.1 Research Aim </w:t>
      </w:r>
    </w:p>
    <w:p w:rsidR="00000000" w:rsidDel="00000000" w:rsidP="00000000" w:rsidRDefault="00000000" w:rsidRPr="00000000" w14:paraId="0000003B">
      <w:pPr>
        <w:rPr/>
      </w:pPr>
      <w:r w:rsidDel="00000000" w:rsidR="00000000" w:rsidRPr="00000000">
        <w:rPr>
          <w:rtl w:val="0"/>
        </w:rPr>
        <w:t xml:space="preserve">To critically review and synthesise existing qualitative evidence on thyroid disease management among adults aged 25 years and above in the UK, with particular attention to treatment, monitoring, follow-up care and patient support.</w:t>
      </w:r>
    </w:p>
    <w:p w:rsidR="00000000" w:rsidDel="00000000" w:rsidP="00000000" w:rsidRDefault="00000000" w:rsidRPr="00000000" w14:paraId="0000003C">
      <w:pPr>
        <w:pStyle w:val="Heading2"/>
        <w:rPr/>
      </w:pPr>
      <w:bookmarkStart w:colFirst="0" w:colLast="0" w:name="_5u7r7x7xj4c3" w:id="10"/>
      <w:bookmarkEnd w:id="10"/>
      <w:r w:rsidDel="00000000" w:rsidR="00000000" w:rsidRPr="00000000">
        <w:rPr>
          <w:rtl w:val="0"/>
        </w:rPr>
        <w:t xml:space="preserve">4.2 Research Objectives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identify and review existing evidence on methods of thyroid disease management among adults aged 25 years and above in the UK.</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synthesise evidence on how thyroid disease management affects health, wellbeing and quality of life.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identify reported challenges relating to diagnosis, treatment, medication support, monitoring and follow-up care.</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develop evidence-based implications and recommendations for improving thyroid disease management and patient support in UK health and social care services.</w:t>
      </w:r>
    </w:p>
    <w:p w:rsidR="00000000" w:rsidDel="00000000" w:rsidP="00000000" w:rsidRDefault="00000000" w:rsidRPr="00000000" w14:paraId="00000041">
      <w:pPr>
        <w:pStyle w:val="Heading2"/>
        <w:rPr/>
      </w:pPr>
      <w:bookmarkStart w:colFirst="0" w:colLast="0" w:name="_p6j7xc31lpeq" w:id="11"/>
      <w:bookmarkEnd w:id="11"/>
      <w:r w:rsidDel="00000000" w:rsidR="00000000" w:rsidRPr="00000000">
        <w:rPr>
          <w:rtl w:val="0"/>
        </w:rPr>
        <w:t xml:space="preserve">4.3 Research Question</w:t>
      </w:r>
    </w:p>
    <w:p w:rsidR="00000000" w:rsidDel="00000000" w:rsidP="00000000" w:rsidRDefault="00000000" w:rsidRPr="00000000" w14:paraId="00000042">
      <w:pPr>
        <w:rPr/>
      </w:pPr>
      <w:r w:rsidDel="00000000" w:rsidR="00000000" w:rsidRPr="00000000">
        <w:rPr>
          <w:rtl w:val="0"/>
        </w:rPr>
        <w:t xml:space="preserve">What does existing evidence show about how thyroid disease is managed among adults aged 25 years and above in the UK, and what challenges affect effective treatment, follow-up care and patient support?</w:t>
      </w:r>
    </w:p>
    <w:p w:rsidR="00000000" w:rsidDel="00000000" w:rsidP="00000000" w:rsidRDefault="00000000" w:rsidRPr="00000000" w14:paraId="00000043">
      <w:pPr>
        <w:pStyle w:val="Heading1"/>
        <w:rPr/>
      </w:pPr>
      <w:bookmarkStart w:colFirst="0" w:colLast="0" w:name="_4o2h9h6vfjhl" w:id="12"/>
      <w:bookmarkEnd w:id="12"/>
      <w:r w:rsidDel="00000000" w:rsidR="00000000" w:rsidRPr="00000000">
        <w:rPr>
          <w:rtl w:val="0"/>
        </w:rPr>
        <w:t xml:space="preserve">5. Methodology</w:t>
      </w:r>
    </w:p>
    <w:p w:rsidR="00000000" w:rsidDel="00000000" w:rsidP="00000000" w:rsidRDefault="00000000" w:rsidRPr="00000000" w14:paraId="00000044">
      <w:pPr>
        <w:pStyle w:val="Heading2"/>
        <w:rPr/>
      </w:pPr>
      <w:bookmarkStart w:colFirst="0" w:colLast="0" w:name="_f14rl5ino3t" w:id="13"/>
      <w:bookmarkEnd w:id="13"/>
      <w:r w:rsidDel="00000000" w:rsidR="00000000" w:rsidRPr="00000000">
        <w:rPr>
          <w:rtl w:val="0"/>
        </w:rPr>
        <w:t xml:space="preserve">5.1 Methodological Approach and Research Design</w:t>
      </w:r>
    </w:p>
    <w:p w:rsidR="00000000" w:rsidDel="00000000" w:rsidP="00000000" w:rsidRDefault="00000000" w:rsidRPr="00000000" w14:paraId="00000045">
      <w:pPr>
        <w:rPr/>
      </w:pPr>
      <w:r w:rsidDel="00000000" w:rsidR="00000000" w:rsidRPr="00000000">
        <w:rPr>
          <w:rtl w:val="0"/>
        </w:rPr>
        <w:t xml:space="preserve">Qualitative evidence synthesis involves the systematic interpretation and integration of meanings across qualitative studies (Moser and Korstjens, 2023). This study is a secondary qualitative systematic literature review of thyroid disease management in adults in the UK aged twenty-five and over. The design is appropriate for questions about treatment, monitoring, follow-up, support, wellbeing, and barriers which do not ask for effects to be estimated. Aromataris et al. (2022) categorise the different evidence-synthesis methods based on question type and suggest that methodology should follow the nature of the evidence and research question. Pooled treatment effects or statistical associations are not sought in this study and a quantitative meta-analysis approach will therefore not be used. Primary interviews are not appropriate as these would generate new experiences and would not synthesise existing evidence across the UK. </w:t>
      </w:r>
    </w:p>
    <w:p w:rsidR="00000000" w:rsidDel="00000000" w:rsidP="00000000" w:rsidRDefault="00000000" w:rsidRPr="00000000" w14:paraId="00000046">
      <w:pPr>
        <w:pStyle w:val="Heading2"/>
        <w:rPr/>
      </w:pPr>
      <w:bookmarkStart w:colFirst="0" w:colLast="0" w:name="_uvz4usaqpxiv" w:id="14"/>
      <w:bookmarkEnd w:id="14"/>
      <w:r w:rsidDel="00000000" w:rsidR="00000000" w:rsidRPr="00000000">
        <w:rPr>
          <w:rtl w:val="0"/>
        </w:rPr>
        <w:t xml:space="preserve">5.2 Data Sources and Search Strategy</w:t>
      </w:r>
    </w:p>
    <w:p w:rsidR="00000000" w:rsidDel="00000000" w:rsidP="00000000" w:rsidRDefault="00000000" w:rsidRPr="00000000" w14:paraId="00000047">
      <w:pPr>
        <w:rPr/>
      </w:pPr>
      <w:r w:rsidDel="00000000" w:rsidR="00000000" w:rsidRPr="00000000">
        <w:rPr>
          <w:rtl w:val="0"/>
        </w:rPr>
        <w:t xml:space="preserve">A systematic literature search is "a transparently reported, reproducibly described procedure to identify evidence from defined information sources" (Rethlefsen et al., 2021). MEDLINE/PubMed and CINAHL will be searched, and where relevant, searches will include UK sources such as the NICE guidelines, publications from NHS England and the British Thyroid Association, providing evidence directly relevant to thyroid disease management. Where appropriate, grey literature will be taken into account if it comes from recognised health or professional bodies in the UK and if it provides adequate information relevant to the review objectives. </w:t>
      </w:r>
    </w:p>
    <w:p w:rsidR="00000000" w:rsidDel="00000000" w:rsidP="00000000" w:rsidRDefault="00000000" w:rsidRPr="00000000" w14:paraId="00000048">
      <w:pPr>
        <w:rPr/>
      </w:pPr>
      <w:r w:rsidDel="00000000" w:rsidR="00000000" w:rsidRPr="00000000">
        <w:rPr>
          <w:rtl w:val="0"/>
        </w:rPr>
        <w:t xml:space="preserve">Search concepts will include: thyroid disease, hypothyroidism, hyperthyroidism, management, treatment, medication, monitoring, follow-up, patient experience, support, quality of life, adults, and UK. Boolean OR will link synonyms within concepts and AND will link concepts and restrict searches to relevant intersections. In addition to free-text terms, subject headings (MeSH if available) will be used, as the records in the database may be indexed differently. With the current standards of review methodologies being used sometimes inconsistently, systematic reviews can become vulnerable, thus search transparency is crucial (Kolaski et al., 2023). All of these database strategies and the number of records retrieved for each search date and limits applied will be documented. Google Scholar was rejected as a sole database because it has lower reproducibility and less controlled indexing than structured bibliographic databases.</w:t>
      </w:r>
    </w:p>
    <w:p w:rsidR="00000000" w:rsidDel="00000000" w:rsidP="00000000" w:rsidRDefault="00000000" w:rsidRPr="00000000" w14:paraId="00000049">
      <w:pPr>
        <w:pStyle w:val="Heading2"/>
        <w:rPr/>
      </w:pPr>
      <w:bookmarkStart w:colFirst="0" w:colLast="0" w:name="_bfbniseppsij" w:id="15"/>
      <w:bookmarkEnd w:id="15"/>
      <w:r w:rsidDel="00000000" w:rsidR="00000000" w:rsidRPr="00000000">
        <w:rPr>
          <w:rtl w:val="0"/>
        </w:rPr>
        <w:t xml:space="preserve">5.3 Study Selection, Sampling and Eligibility Criteria</w:t>
      </w:r>
    </w:p>
    <w:p w:rsidR="00000000" w:rsidDel="00000000" w:rsidP="00000000" w:rsidRDefault="00000000" w:rsidRPr="00000000" w14:paraId="0000004A">
      <w:pPr>
        <w:rPr/>
      </w:pPr>
      <w:r w:rsidDel="00000000" w:rsidR="00000000" w:rsidRPr="00000000">
        <w:rPr>
          <w:rtl w:val="0"/>
        </w:rPr>
        <w:t xml:space="preserve">Systematic study selection is the clearly reported progression from the identified studies to the screening, eligibility, and inclusion processes (Page et al., 2021). The study-selection process will be reported following PRISMA 2020 and include database identification, duplicate removal, title and abstract screening, full-text eligibility assessment and final study inclusion. Qualitative evidence will focus on the experience of thyroid management, treatment, monitoring, follow-up, support or care among adults (aged 25 years or older) in the UK. The age threshold of 25 years is used to maintain consistency with the approved study population and to focus the review on established adult management experiences. Only studies with younger participants will be cited if there are results for adults (25+ years) that can be isolated from the results of the younger group. Mixed-method studies will be accepted only if the qualitative results can be distinguished from quantitative results. Affengruber et al. (2022) demonstrate that screening errors can result in the exclusion of relevant studies and thus support the justification for predefined criteria and exclusion decisions.</w:t>
      </w:r>
    </w:p>
    <w:tbl>
      <w:tblPr>
        <w:tblStyle w:val="Table1"/>
        <w:tblW w:w="9350.0" w:type="dxa"/>
        <w:jc w:val="left"/>
        <w:tblBorders>
          <w:top w:color="b2a1c7" w:space="0" w:sz="4" w:val="single"/>
          <w:left w:color="b2a1c7" w:space="0" w:sz="4" w:val="single"/>
          <w:bottom w:color="b2a1c7" w:space="0" w:sz="4" w:val="single"/>
          <w:right w:color="b2a1c7" w:space="0" w:sz="4" w:val="single"/>
          <w:insideH w:color="b2a1c7" w:space="0" w:sz="4" w:val="single"/>
          <w:insideV w:color="b2a1c7" w:space="0" w:sz="4" w:val="single"/>
        </w:tblBorders>
        <w:tblLayout w:type="fixed"/>
        <w:tblLook w:val="04A0"/>
      </w:tblPr>
      <w:tblGrid>
        <w:gridCol w:w="1370"/>
        <w:gridCol w:w="4658"/>
        <w:gridCol w:w="3322"/>
        <w:tblGridChange w:id="0">
          <w:tblGrid>
            <w:gridCol w:w="1370"/>
            <w:gridCol w:w="4658"/>
            <w:gridCol w:w="3322"/>
          </w:tblGrid>
        </w:tblGridChange>
      </w:tblGrid>
      <w:tr>
        <w:trPr>
          <w:cantSplit w:val="0"/>
          <w:tblHeader w:val="0"/>
        </w:trPr>
        <w:tc>
          <w:tcPr/>
          <w:p w:rsidR="00000000" w:rsidDel="00000000" w:rsidP="00000000" w:rsidRDefault="00000000" w:rsidRPr="00000000" w14:paraId="0000004B">
            <w:pPr>
              <w:rPr/>
            </w:pPr>
            <w:r w:rsidDel="00000000" w:rsidR="00000000" w:rsidRPr="00000000">
              <w:rPr>
                <w:rtl w:val="0"/>
              </w:rPr>
              <w:t xml:space="preserve">Criterion</w:t>
            </w:r>
          </w:p>
        </w:tc>
        <w:tc>
          <w:tcPr/>
          <w:p w:rsidR="00000000" w:rsidDel="00000000" w:rsidP="00000000" w:rsidRDefault="00000000" w:rsidRPr="00000000" w14:paraId="0000004C">
            <w:pPr>
              <w:rPr/>
            </w:pPr>
            <w:r w:rsidDel="00000000" w:rsidR="00000000" w:rsidRPr="00000000">
              <w:rPr>
                <w:rtl w:val="0"/>
              </w:rPr>
              <w:t xml:space="preserve">Inclusion</w:t>
            </w:r>
          </w:p>
        </w:tc>
        <w:tc>
          <w:tcPr/>
          <w:p w:rsidR="00000000" w:rsidDel="00000000" w:rsidP="00000000" w:rsidRDefault="00000000" w:rsidRPr="00000000" w14:paraId="0000004D">
            <w:pPr>
              <w:rPr/>
            </w:pPr>
            <w:r w:rsidDel="00000000" w:rsidR="00000000" w:rsidRPr="00000000">
              <w:rPr>
                <w:rtl w:val="0"/>
              </w:rPr>
              <w:t xml:space="preserve">Exclusion</w:t>
            </w:r>
          </w:p>
        </w:tc>
      </w:tr>
      <w:tr>
        <w:trPr>
          <w:cantSplit w:val="0"/>
          <w:tblHeader w:val="0"/>
        </w:trPr>
        <w:tc>
          <w:tcPr/>
          <w:p w:rsidR="00000000" w:rsidDel="00000000" w:rsidP="00000000" w:rsidRDefault="00000000" w:rsidRPr="00000000" w14:paraId="0000004E">
            <w:pPr>
              <w:rPr/>
            </w:pPr>
            <w:r w:rsidDel="00000000" w:rsidR="00000000" w:rsidRPr="00000000">
              <w:rPr>
                <w:rtl w:val="0"/>
              </w:rPr>
              <w:t xml:space="preserve">Population</w:t>
            </w:r>
          </w:p>
        </w:tc>
        <w:tc>
          <w:tcPr/>
          <w:p w:rsidR="00000000" w:rsidDel="00000000" w:rsidP="00000000" w:rsidRDefault="00000000" w:rsidRPr="00000000" w14:paraId="0000004F">
            <w:pPr>
              <w:rPr/>
            </w:pPr>
            <w:r w:rsidDel="00000000" w:rsidR="00000000" w:rsidRPr="00000000">
              <w:rPr>
                <w:rtl w:val="0"/>
              </w:rPr>
              <w:t xml:space="preserve">Adults aged 25+</w:t>
            </w:r>
          </w:p>
        </w:tc>
        <w:tc>
          <w:tcPr/>
          <w:p w:rsidR="00000000" w:rsidDel="00000000" w:rsidP="00000000" w:rsidRDefault="00000000" w:rsidRPr="00000000" w14:paraId="00000050">
            <w:pPr>
              <w:rPr/>
            </w:pPr>
            <w:r w:rsidDel="00000000" w:rsidR="00000000" w:rsidRPr="00000000">
              <w:rPr>
                <w:rtl w:val="0"/>
              </w:rPr>
              <w:t xml:space="preserve">Under 25 unless findings are separable</w:t>
            </w:r>
          </w:p>
        </w:tc>
      </w:tr>
      <w:tr>
        <w:trPr>
          <w:cantSplit w:val="0"/>
          <w:tblHeader w:val="0"/>
        </w:trPr>
        <w:tc>
          <w:tcPr/>
          <w:p w:rsidR="00000000" w:rsidDel="00000000" w:rsidP="00000000" w:rsidRDefault="00000000" w:rsidRPr="00000000" w14:paraId="00000051">
            <w:pPr>
              <w:rPr/>
            </w:pPr>
            <w:r w:rsidDel="00000000" w:rsidR="00000000" w:rsidRPr="00000000">
              <w:rPr>
                <w:rtl w:val="0"/>
              </w:rPr>
              <w:t xml:space="preserve">Location</w:t>
            </w:r>
          </w:p>
        </w:tc>
        <w:tc>
          <w:tcPr/>
          <w:p w:rsidR="00000000" w:rsidDel="00000000" w:rsidP="00000000" w:rsidRDefault="00000000" w:rsidRPr="00000000" w14:paraId="00000052">
            <w:pPr>
              <w:rPr/>
            </w:pPr>
            <w:r w:rsidDel="00000000" w:rsidR="00000000" w:rsidRPr="00000000">
              <w:rPr>
                <w:rtl w:val="0"/>
              </w:rPr>
              <w:t xml:space="preserve">UK</w:t>
            </w:r>
          </w:p>
        </w:tc>
        <w:tc>
          <w:tcPr/>
          <w:p w:rsidR="00000000" w:rsidDel="00000000" w:rsidP="00000000" w:rsidRDefault="00000000" w:rsidRPr="00000000" w14:paraId="00000053">
            <w:pPr>
              <w:rPr/>
            </w:pPr>
            <w:r w:rsidDel="00000000" w:rsidR="00000000" w:rsidRPr="00000000">
              <w:rPr>
                <w:rtl w:val="0"/>
              </w:rPr>
              <w:t xml:space="preserve">Non-UK without separable UK evidence</w:t>
            </w:r>
          </w:p>
        </w:tc>
      </w:tr>
      <w:tr>
        <w:trPr>
          <w:cantSplit w:val="0"/>
          <w:tblHeader w:val="0"/>
        </w:trPr>
        <w:tc>
          <w:tcPr/>
          <w:p w:rsidR="00000000" w:rsidDel="00000000" w:rsidP="00000000" w:rsidRDefault="00000000" w:rsidRPr="00000000" w14:paraId="00000054">
            <w:pPr>
              <w:rPr/>
            </w:pPr>
            <w:r w:rsidDel="00000000" w:rsidR="00000000" w:rsidRPr="00000000">
              <w:rPr>
                <w:rtl w:val="0"/>
              </w:rPr>
              <w:t xml:space="preserve">Topic</w:t>
            </w:r>
          </w:p>
        </w:tc>
        <w:tc>
          <w:tcPr/>
          <w:p w:rsidR="00000000" w:rsidDel="00000000" w:rsidP="00000000" w:rsidRDefault="00000000" w:rsidRPr="00000000" w14:paraId="00000055">
            <w:pPr>
              <w:rPr/>
            </w:pPr>
            <w:r w:rsidDel="00000000" w:rsidR="00000000" w:rsidRPr="00000000">
              <w:rPr>
                <w:rtl w:val="0"/>
              </w:rPr>
              <w:t xml:space="preserve">Thyroid disease management</w:t>
            </w:r>
          </w:p>
        </w:tc>
        <w:tc>
          <w:tcPr/>
          <w:p w:rsidR="00000000" w:rsidDel="00000000" w:rsidP="00000000" w:rsidRDefault="00000000" w:rsidRPr="00000000" w14:paraId="00000056">
            <w:pPr>
              <w:rPr/>
            </w:pPr>
            <w:r w:rsidDel="00000000" w:rsidR="00000000" w:rsidRPr="00000000">
              <w:rPr>
                <w:rtl w:val="0"/>
              </w:rPr>
              <w:t xml:space="preserve">Unrelated thyroid topics</w:t>
            </w:r>
          </w:p>
        </w:tc>
      </w:tr>
      <w:tr>
        <w:trPr>
          <w:cantSplit w:val="0"/>
          <w:tblHeader w:val="0"/>
        </w:trPr>
        <w:tc>
          <w:tcPr/>
          <w:p w:rsidR="00000000" w:rsidDel="00000000" w:rsidP="00000000" w:rsidRDefault="00000000" w:rsidRPr="00000000" w14:paraId="00000057">
            <w:pPr>
              <w:rPr/>
            </w:pPr>
            <w:r w:rsidDel="00000000" w:rsidR="00000000" w:rsidRPr="00000000">
              <w:rPr>
                <w:rtl w:val="0"/>
              </w:rPr>
              <w:t xml:space="preserve">Evidence</w:t>
            </w:r>
          </w:p>
        </w:tc>
        <w:tc>
          <w:tcPr/>
          <w:p w:rsidR="00000000" w:rsidDel="00000000" w:rsidP="00000000" w:rsidRDefault="00000000" w:rsidRPr="00000000" w14:paraId="00000058">
            <w:pPr>
              <w:rPr/>
            </w:pPr>
            <w:r w:rsidDel="00000000" w:rsidR="00000000" w:rsidRPr="00000000">
              <w:rPr>
                <w:rtl w:val="0"/>
              </w:rPr>
              <w:t xml:space="preserve">Qualitative findings</w:t>
            </w:r>
          </w:p>
        </w:tc>
        <w:tc>
          <w:tcPr/>
          <w:p w:rsidR="00000000" w:rsidDel="00000000" w:rsidP="00000000" w:rsidRDefault="00000000" w:rsidRPr="00000000" w14:paraId="00000059">
            <w:pPr>
              <w:rPr/>
            </w:pPr>
            <w:r w:rsidDel="00000000" w:rsidR="00000000" w:rsidRPr="00000000">
              <w:rPr>
                <w:rtl w:val="0"/>
              </w:rPr>
              <w:t xml:space="preserve">Purely biomedical evidence</w:t>
            </w:r>
          </w:p>
        </w:tc>
      </w:tr>
      <w:tr>
        <w:trPr>
          <w:cantSplit w:val="0"/>
          <w:tblHeader w:val="0"/>
        </w:trPr>
        <w:tc>
          <w:tcPr/>
          <w:p w:rsidR="00000000" w:rsidDel="00000000" w:rsidP="00000000" w:rsidRDefault="00000000" w:rsidRPr="00000000" w14:paraId="0000005A">
            <w:pPr>
              <w:rPr/>
            </w:pPr>
            <w:r w:rsidDel="00000000" w:rsidR="00000000" w:rsidRPr="00000000">
              <w:rPr>
                <w:rtl w:val="0"/>
              </w:rPr>
              <w:t xml:space="preserve">Design</w:t>
            </w:r>
          </w:p>
        </w:tc>
        <w:tc>
          <w:tcPr/>
          <w:p w:rsidR="00000000" w:rsidDel="00000000" w:rsidP="00000000" w:rsidRDefault="00000000" w:rsidRPr="00000000" w14:paraId="0000005B">
            <w:pPr>
              <w:rPr/>
            </w:pPr>
            <w:r w:rsidDel="00000000" w:rsidR="00000000" w:rsidRPr="00000000">
              <w:rPr>
                <w:rtl w:val="0"/>
              </w:rPr>
              <w:t xml:space="preserve">Qualitative or separable qualitative mixed-method findings</w:t>
            </w:r>
          </w:p>
        </w:tc>
        <w:tc>
          <w:tcPr/>
          <w:p w:rsidR="00000000" w:rsidDel="00000000" w:rsidP="00000000" w:rsidRDefault="00000000" w:rsidRPr="00000000" w14:paraId="0000005C">
            <w:pPr>
              <w:rPr/>
            </w:pPr>
            <w:r w:rsidDel="00000000" w:rsidR="00000000" w:rsidRPr="00000000">
              <w:rPr>
                <w:rtl w:val="0"/>
              </w:rPr>
              <w:t xml:space="preserve">No usable qualitative findings</w:t>
            </w:r>
          </w:p>
        </w:tc>
      </w:tr>
      <w:tr>
        <w:trPr>
          <w:cantSplit w:val="0"/>
          <w:tblHeader w:val="0"/>
        </w:trPr>
        <w:tc>
          <w:tcPr/>
          <w:p w:rsidR="00000000" w:rsidDel="00000000" w:rsidP="00000000" w:rsidRDefault="00000000" w:rsidRPr="00000000" w14:paraId="0000005D">
            <w:pPr>
              <w:rPr/>
            </w:pPr>
            <w:r w:rsidDel="00000000" w:rsidR="00000000" w:rsidRPr="00000000">
              <w:rPr>
                <w:rtl w:val="0"/>
              </w:rPr>
              <w:t xml:space="preserve">Language</w:t>
            </w:r>
          </w:p>
        </w:tc>
        <w:tc>
          <w:tcPr/>
          <w:p w:rsidR="00000000" w:rsidDel="00000000" w:rsidP="00000000" w:rsidRDefault="00000000" w:rsidRPr="00000000" w14:paraId="0000005E">
            <w:pPr>
              <w:rPr/>
            </w:pPr>
            <w:r w:rsidDel="00000000" w:rsidR="00000000" w:rsidRPr="00000000">
              <w:rPr>
                <w:rtl w:val="0"/>
              </w:rPr>
              <w:t xml:space="preserve">English</w:t>
            </w:r>
          </w:p>
        </w:tc>
        <w:tc>
          <w:tcPr/>
          <w:p w:rsidR="00000000" w:rsidDel="00000000" w:rsidP="00000000" w:rsidRDefault="00000000" w:rsidRPr="00000000" w14:paraId="0000005F">
            <w:pPr>
              <w:rPr/>
            </w:pPr>
            <w:r w:rsidDel="00000000" w:rsidR="00000000" w:rsidRPr="00000000">
              <w:rPr>
                <w:rtl w:val="0"/>
              </w:rPr>
              <w:t xml:space="preserve">Non-English</w:t>
            </w:r>
          </w:p>
        </w:tc>
      </w:tr>
      <w:tr>
        <w:trPr>
          <w:cantSplit w:val="0"/>
          <w:tblHeader w:val="0"/>
        </w:trPr>
        <w:tc>
          <w:tcPr/>
          <w:p w:rsidR="00000000" w:rsidDel="00000000" w:rsidP="00000000" w:rsidRDefault="00000000" w:rsidRPr="00000000" w14:paraId="00000060">
            <w:pPr>
              <w:rPr/>
            </w:pPr>
            <w:r w:rsidDel="00000000" w:rsidR="00000000" w:rsidRPr="00000000">
              <w:rPr>
                <w:rtl w:val="0"/>
              </w:rPr>
              <w:t xml:space="preserve">Availability</w:t>
            </w:r>
          </w:p>
        </w:tc>
        <w:tc>
          <w:tcPr/>
          <w:p w:rsidR="00000000" w:rsidDel="00000000" w:rsidP="00000000" w:rsidRDefault="00000000" w:rsidRPr="00000000" w14:paraId="00000061">
            <w:pPr>
              <w:rPr/>
            </w:pPr>
            <w:r w:rsidDel="00000000" w:rsidR="00000000" w:rsidRPr="00000000">
              <w:rPr>
                <w:rtl w:val="0"/>
              </w:rPr>
              <w:t xml:space="preserve">Sufficient accessible information</w:t>
            </w:r>
          </w:p>
        </w:tc>
        <w:tc>
          <w:tcPr/>
          <w:p w:rsidR="00000000" w:rsidDel="00000000" w:rsidP="00000000" w:rsidRDefault="00000000" w:rsidRPr="00000000" w14:paraId="00000062">
            <w:pPr>
              <w:rPr/>
            </w:pPr>
            <w:r w:rsidDel="00000000" w:rsidR="00000000" w:rsidRPr="00000000">
              <w:rPr>
                <w:rtl w:val="0"/>
              </w:rPr>
              <w:t xml:space="preserve">Insufficient usable information</w:t>
            </w:r>
          </w:p>
        </w:tc>
      </w:tr>
    </w:tbl>
    <w:p w:rsidR="00000000" w:rsidDel="00000000" w:rsidP="00000000" w:rsidRDefault="00000000" w:rsidRPr="00000000" w14:paraId="00000063">
      <w:pPr>
        <w:pStyle w:val="Heading5"/>
        <w:rPr/>
      </w:pPr>
      <w:r w:rsidDel="00000000" w:rsidR="00000000" w:rsidRPr="00000000">
        <w:rPr>
          <w:rtl w:val="0"/>
        </w:rPr>
        <w:t xml:space="preserve">Table 1: Inclusion and Exclusion Criteria for Study Selection</w:t>
      </w:r>
    </w:p>
    <w:p w:rsidR="00000000" w:rsidDel="00000000" w:rsidP="00000000" w:rsidRDefault="00000000" w:rsidRPr="00000000" w14:paraId="00000064">
      <w:pPr>
        <w:pStyle w:val="Heading2"/>
        <w:rPr/>
      </w:pPr>
      <w:bookmarkStart w:colFirst="0" w:colLast="0" w:name="_ctra2pef63l" w:id="16"/>
      <w:bookmarkEnd w:id="16"/>
      <w:r w:rsidDel="00000000" w:rsidR="00000000" w:rsidRPr="00000000">
        <w:rPr>
          <w:rtl w:val="0"/>
        </w:rPr>
        <w:t xml:space="preserve">5.4 Data Collection and Extraction Procedure</w:t>
      </w:r>
    </w:p>
    <w:p w:rsidR="00000000" w:rsidDel="00000000" w:rsidP="00000000" w:rsidRDefault="00000000" w:rsidRPr="00000000" w14:paraId="00000065">
      <w:pPr>
        <w:rPr/>
      </w:pPr>
      <w:r w:rsidDel="00000000" w:rsidR="00000000" w:rsidRPr="00000000">
        <w:rPr>
          <w:rtl w:val="0"/>
        </w:rPr>
        <w:t xml:space="preserve">Afifi et al. (2023) define data extraction as the systematic transfer of study information into an organised structure for comparison. Author, year, UK setting, design, sample, age, thyroid condition, management approach, treatment, monitoring, follow-up, support and qualitative findings will be recorded in a standardised extraction table. The use of the same fields across studies will minimise the potential for varying interpretations and facilitate easier comparisons of thyroid-management experiences. </w:t>
      </w:r>
    </w:p>
    <w:p w:rsidR="00000000" w:rsidDel="00000000" w:rsidP="00000000" w:rsidRDefault="00000000" w:rsidRPr="00000000" w14:paraId="00000066">
      <w:pPr>
        <w:pStyle w:val="Heading2"/>
        <w:rPr/>
      </w:pPr>
      <w:bookmarkStart w:colFirst="0" w:colLast="0" w:name="_a7bupxaqfhx4" w:id="17"/>
      <w:bookmarkEnd w:id="17"/>
      <w:r w:rsidDel="00000000" w:rsidR="00000000" w:rsidRPr="00000000">
        <w:rPr>
          <w:rtl w:val="0"/>
        </w:rPr>
        <w:t xml:space="preserve">5.5 Quality Appraisal</w:t>
      </w:r>
    </w:p>
    <w:p w:rsidR="00000000" w:rsidDel="00000000" w:rsidP="00000000" w:rsidRDefault="00000000" w:rsidRPr="00000000" w14:paraId="00000067">
      <w:pPr>
        <w:rPr/>
      </w:pPr>
      <w:r w:rsidDel="00000000" w:rsidR="00000000" w:rsidRPr="00000000">
        <w:rPr>
          <w:rtl w:val="0"/>
        </w:rPr>
        <w:t xml:space="preserve">CASP (2024) states that qualitative appraisal involves organised evaluation of methodological validity, design, recruitment, data collection, reflexivity, ethics, analysis, findings and value. The CASP Qualitative Studies Checklist will therefore be used to evaluate included studies by answering the same questions instead of ranking the studies. Studies with methodological weaknesses will not be excluded, as methodologically limited evidence may also provide insight into patients' experiences. Rather, during synthesis, findings from each appraisal will impact the weight and level of confidence placed in a given finding, rather than allowing weaker evidence to have the same impact as stronger evidence.</w:t>
      </w:r>
    </w:p>
    <w:p w:rsidR="00000000" w:rsidDel="00000000" w:rsidP="00000000" w:rsidRDefault="00000000" w:rsidRPr="00000000" w14:paraId="00000068">
      <w:pPr>
        <w:pStyle w:val="Heading2"/>
        <w:rPr/>
      </w:pPr>
      <w:bookmarkStart w:colFirst="0" w:colLast="0" w:name="_kt6j8hacrf5e" w:id="18"/>
      <w:bookmarkEnd w:id="18"/>
      <w:r w:rsidDel="00000000" w:rsidR="00000000" w:rsidRPr="00000000">
        <w:rPr>
          <w:rtl w:val="0"/>
        </w:rPr>
        <w:t xml:space="preserve">5.6 Proposed Data Analysis: Thematic Synthesis</w:t>
      </w:r>
    </w:p>
    <w:p w:rsidR="00000000" w:rsidDel="00000000" w:rsidP="00000000" w:rsidRDefault="00000000" w:rsidRPr="00000000" w14:paraId="00000069">
      <w:pPr>
        <w:rPr/>
      </w:pPr>
      <w:r w:rsidDel="00000000" w:rsidR="00000000" w:rsidRPr="00000000">
        <w:rPr>
          <w:rtl w:val="0"/>
        </w:rPr>
        <w:t xml:space="preserve">Qualitative evidence synthesis involves combining data from multiple studies to produce meanings that extend beyond the reports, as described by Cardoso et al. (2024). The findings will be extracted and read again, to develop familiarity with treatment, monitoring, follow-up, communication, support and wellbeing experiences. Codes will be given to relevant statements, compared across studies, and grouped into descriptive themes. These themes will be reviewed to see if there are relationships and contradictions and then used to create analytical themes to address the research questions. Booth et al. (2024) stress the need for transparent and reproducible synthesis, rather than a narrative summary. Each study will be linked to findings, codes, descriptive themes and interpretations extracted from the study through an audit trail. Thematic synthesis was chosen instead of framework synthesis and meta-ethnography, as it allows flexible pattern identification without requiring a predefined analytical framework.</w:t>
      </w:r>
    </w:p>
    <w:p w:rsidR="00000000" w:rsidDel="00000000" w:rsidP="00000000" w:rsidRDefault="00000000" w:rsidRPr="00000000" w14:paraId="0000006A">
      <w:pPr>
        <w:pStyle w:val="Heading1"/>
        <w:rPr/>
      </w:pPr>
      <w:bookmarkStart w:colFirst="0" w:colLast="0" w:name="_tgpkyzy6p7vu" w:id="19"/>
      <w:bookmarkEnd w:id="19"/>
      <w:r w:rsidDel="00000000" w:rsidR="00000000" w:rsidRPr="00000000">
        <w:rPr>
          <w:rtl w:val="0"/>
        </w:rPr>
        <w:t xml:space="preserve">6. Ethical Considerations</w:t>
      </w:r>
    </w:p>
    <w:p w:rsidR="00000000" w:rsidDel="00000000" w:rsidP="00000000" w:rsidRDefault="00000000" w:rsidRPr="00000000" w14:paraId="0000006B">
      <w:pPr>
        <w:rPr/>
      </w:pPr>
      <w:r w:rsidDel="00000000" w:rsidR="00000000" w:rsidRPr="00000000">
        <w:rPr>
          <w:rtl w:val="0"/>
        </w:rPr>
        <w:t xml:space="preserve">UWTSD (2025–26) requires research to safeguard quality, researcher well-being, and institutional integrity via proportionate safeguards. The risk to participants in this study is considered to be minimal, since there are no human participants in this study. Study-level research records will be maintained, avoiding identifiable information and removing any need for consent, withdrawal or participant debriefing. The Information Commissioner's Office (2024) highlights the need for greater safeguarding of health-related data, which is particularly sensitive in nature. Search records, appraisal notes, extraction tables and coding files will be kept in password-protected University Office 365 systems. Literature that is copyrighted will be accessed legally, by subscription or open-access without being redistributed. Selective reporting and unsupported interpretation are integrity risks as highlighted by UKRIO (2025) in relation to honesty, accountability and transparency. Structured extraction, quality appraisal, and an audit trail will minimise interpretive bias, while predefined eligibility criteria will reduce the risk of selection bias. Researcher wellbeing will be supported through workload planning, workstation practices and regular breaks during analysis. In line with the approved ethics application, AI will not be used for searching, screening, extraction, coding or thematic synthesis.</w:t>
      </w:r>
    </w:p>
    <w:p w:rsidR="00000000" w:rsidDel="00000000" w:rsidP="00000000" w:rsidRDefault="00000000" w:rsidRPr="00000000" w14:paraId="0000006C">
      <w:pPr>
        <w:pStyle w:val="Heading1"/>
        <w:rPr/>
      </w:pPr>
      <w:bookmarkStart w:colFirst="0" w:colLast="0" w:name="_bhyw61z5gxz2" w:id="20"/>
      <w:bookmarkEnd w:id="20"/>
      <w:r w:rsidDel="00000000" w:rsidR="00000000" w:rsidRPr="00000000">
        <w:rPr>
          <w:rtl w:val="0"/>
        </w:rPr>
        <w:t xml:space="preserve">7. Implications of the Proposed Research</w:t>
      </w:r>
    </w:p>
    <w:p w:rsidR="00000000" w:rsidDel="00000000" w:rsidP="00000000" w:rsidRDefault="00000000" w:rsidRPr="00000000" w14:paraId="0000006D">
      <w:pPr>
        <w:rPr/>
      </w:pPr>
      <w:r w:rsidDel="00000000" w:rsidR="00000000" w:rsidRPr="00000000">
        <w:rPr>
          <w:rtl w:val="0"/>
        </w:rPr>
        <w:t xml:space="preserve">The review can highlight gaps in thyroid care that limit the connection between clinical thyroid care and all aspects of patients' support needs. Results may help to identify potential gaps in medication support, monitoring and follow-up, and communication and coordination between services. This information can be used to effectively and consistently educate patients, to review patients at appropriate times and enhance continuity between primary and specialist care. But recommendations will be made on the basis of the strength and consistency of evidence provided in the inclusion and not necessarily on any assumed deficiencies in services. The synthesis can also reveal any evidence gaps that were not addressed and inform future qualitative research to investigate experiences of adults in the UK aged 25+, which were not representationally captured.</w:t>
      </w:r>
    </w:p>
    <w:p w:rsidR="00000000" w:rsidDel="00000000" w:rsidP="00000000" w:rsidRDefault="00000000" w:rsidRPr="00000000" w14:paraId="0000006E">
      <w:pPr>
        <w:pStyle w:val="Heading1"/>
        <w:rPr/>
      </w:pPr>
      <w:bookmarkStart w:colFirst="0" w:colLast="0" w:name="_27wgfk6hxljl" w:id="21"/>
      <w:bookmarkEnd w:id="21"/>
      <w:r w:rsidDel="00000000" w:rsidR="00000000" w:rsidRPr="00000000">
        <w:rPr>
          <w:rtl w:val="0"/>
        </w:rPr>
        <w:t xml:space="preserve">8. Plan of Work and Time Schedule</w:t>
      </w:r>
    </w:p>
    <w:p w:rsidR="00000000" w:rsidDel="00000000" w:rsidP="00000000" w:rsidRDefault="00000000" w:rsidRPr="00000000" w14:paraId="0000006F">
      <w:pPr>
        <w:rPr/>
      </w:pPr>
      <w:r w:rsidDel="00000000" w:rsidR="00000000" w:rsidRPr="00000000">
        <w:rPr/>
        <w:drawing>
          <wp:inline distB="0" distT="0" distL="0" distR="0">
            <wp:extent cx="5898270" cy="339132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98270" cy="3391327"/>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pStyle w:val="Heading4"/>
        <w:rPr/>
      </w:pPr>
      <w:r w:rsidDel="00000000" w:rsidR="00000000" w:rsidRPr="00000000">
        <w:rPr>
          <w:rtl w:val="0"/>
        </w:rPr>
        <w:t xml:space="preserve">Figure 1: Proposed Gantt Chart</w:t>
      </w:r>
    </w:p>
    <w:p w:rsidR="00000000" w:rsidDel="00000000" w:rsidP="00000000" w:rsidRDefault="00000000" w:rsidRPr="00000000" w14:paraId="00000071">
      <w:pPr>
        <w:jc w:val="center"/>
        <w:rPr/>
      </w:pPr>
      <w:r w:rsidDel="00000000" w:rsidR="00000000" w:rsidRPr="00000000">
        <w:rPr>
          <w:rtl w:val="0"/>
        </w:rPr>
        <w:t xml:space="preserve">(source: self-made)</w:t>
      </w:r>
    </w:p>
    <w:p w:rsidR="00000000" w:rsidDel="00000000" w:rsidP="00000000" w:rsidRDefault="00000000" w:rsidRPr="00000000" w14:paraId="00000072">
      <w:pPr>
        <w:rPr/>
      </w:pPr>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1"/>
        <w:rPr/>
      </w:pPr>
      <w:bookmarkStart w:colFirst="0" w:colLast="0" w:name="_zeijl2own821" w:id="22"/>
      <w:bookmarkEnd w:id="22"/>
      <w:r w:rsidDel="00000000" w:rsidR="00000000" w:rsidRPr="00000000">
        <w:rPr>
          <w:rtl w:val="0"/>
        </w:rPr>
        <w:t xml:space="preserve">References</w:t>
      </w:r>
    </w:p>
    <w:p w:rsidR="00000000" w:rsidDel="00000000" w:rsidP="00000000" w:rsidRDefault="00000000" w:rsidRPr="00000000" w14:paraId="00000074">
      <w:pPr>
        <w:rPr/>
      </w:pPr>
      <w:r w:rsidDel="00000000" w:rsidR="00000000" w:rsidRPr="00000000">
        <w:rPr>
          <w:rtl w:val="0"/>
        </w:rPr>
        <w:t xml:space="preserve">Affengruber, L., Dobrescu, A., Persad, E., Klerings, I., Wagner, G., Sommer, I. and Gartlehner, G. (2022) ‘Characteristics and recovery methods of studies falsely excluded during literature screening—a systematic review’, </w:t>
      </w:r>
      <w:r w:rsidDel="00000000" w:rsidR="00000000" w:rsidRPr="00000000">
        <w:rPr>
          <w:i w:val="1"/>
          <w:iCs w:val="1"/>
          <w:rtl w:val="0"/>
        </w:rPr>
        <w:t xml:space="preserve">Systematic Reviews</w:t>
      </w:r>
      <w:r w:rsidDel="00000000" w:rsidR="00000000" w:rsidRPr="00000000">
        <w:rPr>
          <w:rtl w:val="0"/>
        </w:rPr>
        <w:t xml:space="preserve">, 11, 236. Available at: </w:t>
      </w:r>
      <w:hyperlink r:id="rId7">
        <w:r w:rsidDel="00000000" w:rsidR="00000000" w:rsidRPr="00000000">
          <w:rPr>
            <w:color w:val="0000ff"/>
            <w:u w:val="single"/>
            <w:rtl w:val="0"/>
          </w:rPr>
          <w:t xml:space="preserve">https://doi.org/10.1186/s13643-022-02109-w</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Afifi, M., Stryhn, H. and Sanchez, J. (2023) ‘Data extraction and comparison for complex systematic reviews: a step-by-step guideline and an implementation example using open-source software’, </w:t>
      </w:r>
      <w:r w:rsidDel="00000000" w:rsidR="00000000" w:rsidRPr="00000000">
        <w:rPr>
          <w:i w:val="1"/>
          <w:iCs w:val="1"/>
          <w:rtl w:val="0"/>
        </w:rPr>
        <w:t xml:space="preserve">Systematic Reviews</w:t>
      </w:r>
      <w:r w:rsidDel="00000000" w:rsidR="00000000" w:rsidRPr="00000000">
        <w:rPr>
          <w:rtl w:val="0"/>
        </w:rPr>
        <w:t xml:space="preserve">, 12, 226. Available at: </w:t>
      </w:r>
      <w:hyperlink r:id="rId8">
        <w:r w:rsidDel="00000000" w:rsidR="00000000" w:rsidRPr="00000000">
          <w:rPr>
            <w:color w:val="0000ff"/>
            <w:u w:val="single"/>
            <w:rtl w:val="0"/>
          </w:rPr>
          <w:t xml:space="preserve">https://doi.org/10.1186/s13643-023-02322-1</w:t>
        </w:r>
      </w:hyperlink>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Aromataris, E. </w:t>
      </w:r>
      <w:r w:rsidDel="00000000" w:rsidR="00000000" w:rsidRPr="00000000">
        <w:rPr>
          <w:i w:val="1"/>
          <w:iCs w:val="1"/>
          <w:rtl w:val="0"/>
        </w:rPr>
        <w:t xml:space="preserve">et al.</w:t>
      </w:r>
      <w:r w:rsidDel="00000000" w:rsidR="00000000" w:rsidRPr="00000000">
        <w:rPr>
          <w:rtl w:val="0"/>
        </w:rPr>
        <w:t xml:space="preserve"> (2022) ‘JBI series paper 2: tailored evidence synthesis approaches are required to answer diverse questions: a pragmatic evidence synthesis toolkit from JBI’, </w:t>
      </w:r>
      <w:r w:rsidDel="00000000" w:rsidR="00000000" w:rsidRPr="00000000">
        <w:rPr>
          <w:i w:val="1"/>
          <w:iCs w:val="1"/>
          <w:rtl w:val="0"/>
        </w:rPr>
        <w:t xml:space="preserve">Journal of Clinical Epidemiology</w:t>
      </w:r>
      <w:r w:rsidDel="00000000" w:rsidR="00000000" w:rsidRPr="00000000">
        <w:rPr>
          <w:rtl w:val="0"/>
        </w:rPr>
        <w:t xml:space="preserve">, 150, pp. 196–202. Available at: </w:t>
      </w:r>
      <w:hyperlink r:id="rId9">
        <w:r w:rsidDel="00000000" w:rsidR="00000000" w:rsidRPr="00000000">
          <w:rPr>
            <w:color w:val="0000ff"/>
            <w:u w:val="single"/>
            <w:rtl w:val="0"/>
          </w:rPr>
          <w:t xml:space="preserve">https://doi.org/10.1016/j.jclinepi.2022.04.006</w:t>
        </w:r>
      </w:hyperlink>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Atkinson, M., Agrawal, M., Muralidhara, K., Abraham, P., Vaidya, B. and Okosieme, O.E. (2025) ‘British Thyroid Association Survey of Graves’ Disease Management in the UK’, </w:t>
      </w:r>
      <w:r w:rsidDel="00000000" w:rsidR="00000000" w:rsidRPr="00000000">
        <w:rPr>
          <w:i w:val="1"/>
          <w:iCs w:val="1"/>
          <w:rtl w:val="0"/>
        </w:rPr>
        <w:t xml:space="preserve">Clinical Endocrinology</w:t>
      </w:r>
      <w:r w:rsidDel="00000000" w:rsidR="00000000" w:rsidRPr="00000000">
        <w:rPr>
          <w:rtl w:val="0"/>
        </w:rPr>
        <w:t xml:space="preserve">, 103(3), pp. 376–384. Available at: </w:t>
      </w:r>
      <w:hyperlink r:id="rId10">
        <w:r w:rsidDel="00000000" w:rsidR="00000000" w:rsidRPr="00000000">
          <w:rPr>
            <w:color w:val="0000ff"/>
            <w:u w:val="single"/>
            <w:rtl w:val="0"/>
          </w:rPr>
          <w:t xml:space="preserve">https://doi.org/10.1111/cen.15266</w:t>
        </w:r>
      </w:hyperlink>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Beltrão, F.E. de L. </w:t>
      </w:r>
      <w:r w:rsidDel="00000000" w:rsidR="00000000" w:rsidRPr="00000000">
        <w:rPr>
          <w:i w:val="1"/>
          <w:iCs w:val="1"/>
          <w:rtl w:val="0"/>
        </w:rPr>
        <w:t xml:space="preserve">et al.</w:t>
      </w:r>
      <w:r w:rsidDel="00000000" w:rsidR="00000000" w:rsidRPr="00000000">
        <w:rPr>
          <w:rtl w:val="0"/>
        </w:rPr>
        <w:t xml:space="preserve"> (2025) ‘Treatment preferences in patients with hypothyroidism’, </w:t>
      </w:r>
      <w:r w:rsidDel="00000000" w:rsidR="00000000" w:rsidRPr="00000000">
        <w:rPr>
          <w:i w:val="1"/>
          <w:iCs w:val="1"/>
          <w:rtl w:val="0"/>
        </w:rPr>
        <w:t xml:space="preserve">The Journal of Clinical Endocrinology &amp; Metabolism</w:t>
      </w:r>
      <w:r w:rsidDel="00000000" w:rsidR="00000000" w:rsidRPr="00000000">
        <w:rPr>
          <w:rtl w:val="0"/>
        </w:rPr>
        <w:t xml:space="preserve">, 110(3), pp. 887–900. Available at: </w:t>
      </w:r>
      <w:hyperlink r:id="rId11">
        <w:r w:rsidDel="00000000" w:rsidR="00000000" w:rsidRPr="00000000">
          <w:rPr>
            <w:color w:val="0000ff"/>
            <w:u w:val="single"/>
            <w:rtl w:val="0"/>
          </w:rPr>
          <w:t xml:space="preserve">https://doi.org/10.1210/clinem/dgae651</w:t>
        </w:r>
      </w:hyperlink>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Biondi, B., Celi, F.S. and McAninch, E.A. (2023) ‘Critical approach to hypothyroid patients with persistent symptoms’, </w:t>
      </w:r>
      <w:r w:rsidDel="00000000" w:rsidR="00000000" w:rsidRPr="00000000">
        <w:rPr>
          <w:i w:val="1"/>
          <w:iCs w:val="1"/>
          <w:rtl w:val="0"/>
        </w:rPr>
        <w:t xml:space="preserve">The Journal of Clinical Endocrinology &amp; Metabolism</w:t>
      </w:r>
      <w:r w:rsidDel="00000000" w:rsidR="00000000" w:rsidRPr="00000000">
        <w:rPr>
          <w:rtl w:val="0"/>
        </w:rPr>
        <w:t xml:space="preserve">, 108(10), pp. 2708–2716. Available at: </w:t>
      </w:r>
      <w:hyperlink r:id="rId12">
        <w:r w:rsidDel="00000000" w:rsidR="00000000" w:rsidRPr="00000000">
          <w:rPr>
            <w:color w:val="0000ff"/>
            <w:u w:val="single"/>
            <w:rtl w:val="0"/>
          </w:rPr>
          <w:t xml:space="preserve">https://doi.org/10.1210/clinem/dgad224</w:t>
        </w:r>
      </w:hyperlink>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Booth, A., Sommer, I., Noyes, J., Houghton, C. and Campbell, F. (2024) ‘Rapid reviews methods series: guidance on rapid qualitative evidence synthesis’, </w:t>
      </w:r>
      <w:r w:rsidDel="00000000" w:rsidR="00000000" w:rsidRPr="00000000">
        <w:rPr>
          <w:i w:val="1"/>
          <w:iCs w:val="1"/>
          <w:rtl w:val="0"/>
        </w:rPr>
        <w:t xml:space="preserve">BMJ Evidence-Based Medicine</w:t>
      </w:r>
      <w:r w:rsidDel="00000000" w:rsidR="00000000" w:rsidRPr="00000000">
        <w:rPr>
          <w:rtl w:val="0"/>
        </w:rPr>
        <w:t xml:space="preserve">, 29(3), pp. 194–200. Available at: </w:t>
      </w:r>
      <w:hyperlink r:id="rId13">
        <w:r w:rsidDel="00000000" w:rsidR="00000000" w:rsidRPr="00000000">
          <w:rPr>
            <w:color w:val="0000ff"/>
            <w:u w:val="single"/>
            <w:rtl w:val="0"/>
          </w:rPr>
          <w:t xml:space="preserve">https://doi.org/10.1136/bmjebm-2023-112620</w:t>
        </w:r>
      </w:hyperlink>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Cardoso, M.M.A., Marques, R.T., Machado-Rugolo, J. </w:t>
      </w:r>
      <w:r w:rsidDel="00000000" w:rsidR="00000000" w:rsidRPr="00000000">
        <w:rPr>
          <w:i w:val="1"/>
          <w:iCs w:val="1"/>
          <w:rtl w:val="0"/>
        </w:rPr>
        <w:t xml:space="preserve">et al.</w:t>
      </w:r>
      <w:r w:rsidDel="00000000" w:rsidR="00000000" w:rsidRPr="00000000">
        <w:rPr>
          <w:rtl w:val="0"/>
        </w:rPr>
        <w:t xml:space="preserve"> (2024) ‘Mapping frameworks for synthesizing qualitative evidence in health technology assessment’, </w:t>
      </w:r>
      <w:r w:rsidDel="00000000" w:rsidR="00000000" w:rsidRPr="00000000">
        <w:rPr>
          <w:i w:val="1"/>
          <w:iCs w:val="1"/>
          <w:rtl w:val="0"/>
        </w:rPr>
        <w:t xml:space="preserve">International Journal of Technology Assessment in Health Care</w:t>
      </w:r>
      <w:r w:rsidDel="00000000" w:rsidR="00000000" w:rsidRPr="00000000">
        <w:rPr>
          <w:rtl w:val="0"/>
        </w:rPr>
        <w:t xml:space="preserve">, 40(1), e53. Available at: </w:t>
      </w:r>
      <w:hyperlink r:id="rId14">
        <w:r w:rsidDel="00000000" w:rsidR="00000000" w:rsidRPr="00000000">
          <w:rPr>
            <w:color w:val="0000ff"/>
            <w:u w:val="single"/>
            <w:rtl w:val="0"/>
          </w:rPr>
          <w:t xml:space="preserve">https://doi.org/10.1017/S0266462324000369</w:t>
        </w:r>
      </w:hyperlink>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Cramon, P.K., Bjorner, J.B., Groenvold, M., Boesen, V.B., Bonnema, S.J., Hegedüs, L., Feldt-Rasmussen, U., Rasmussen, Å.K. and Watt, T. (2022) ‘Implementation of thyroid-related patient-reported outcomes in routine clinical practice’, </w:t>
      </w:r>
      <w:r w:rsidDel="00000000" w:rsidR="00000000" w:rsidRPr="00000000">
        <w:rPr>
          <w:i w:val="1"/>
          <w:iCs w:val="1"/>
          <w:rtl w:val="0"/>
        </w:rPr>
        <w:t xml:space="preserve">Frontiers in Endocrinology</w:t>
      </w:r>
      <w:r w:rsidDel="00000000" w:rsidR="00000000" w:rsidRPr="00000000">
        <w:rPr>
          <w:rtl w:val="0"/>
        </w:rPr>
        <w:t xml:space="preserve">, 13, 1000682. Available at: </w:t>
      </w:r>
      <w:hyperlink r:id="rId15">
        <w:r w:rsidDel="00000000" w:rsidR="00000000" w:rsidRPr="00000000">
          <w:rPr>
            <w:color w:val="0000ff"/>
            <w:u w:val="single"/>
            <w:rtl w:val="0"/>
          </w:rPr>
          <w:t xml:space="preserve">https://doi.org/10.3389/fendo.2022.1000682</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Critical Appraisal Skills Programme (2024) </w:t>
      </w:r>
      <w:r w:rsidDel="00000000" w:rsidR="00000000" w:rsidRPr="00000000">
        <w:rPr>
          <w:i w:val="1"/>
          <w:iCs w:val="1"/>
          <w:rtl w:val="0"/>
        </w:rPr>
        <w:t xml:space="preserve">CASP checklist: for qualitative research</w:t>
      </w:r>
      <w:r w:rsidDel="00000000" w:rsidR="00000000" w:rsidRPr="00000000">
        <w:rPr>
          <w:rtl w:val="0"/>
        </w:rPr>
        <w:t xml:space="preserve">. Available at: </w:t>
      </w:r>
      <w:hyperlink r:id="rId16">
        <w:r w:rsidDel="00000000" w:rsidR="00000000" w:rsidRPr="00000000">
          <w:rPr>
            <w:color w:val="0000ff"/>
            <w:u w:val="single"/>
            <w:rtl w:val="0"/>
          </w:rPr>
          <w:t xml:space="preserve">https://casp-uk.net/casp-checklists/CASP-checklist-qualitative-2024.pdf</w:t>
        </w:r>
      </w:hyperlink>
      <w:r w:rsidDel="00000000" w:rsidR="00000000" w:rsidRPr="00000000">
        <w:rPr>
          <w:rtl w:val="0"/>
        </w:rPr>
        <w:t xml:space="preserve"> (Accessed: 17 August 2026).</w:t>
      </w:r>
    </w:p>
    <w:p w:rsidR="00000000" w:rsidDel="00000000" w:rsidP="00000000" w:rsidRDefault="00000000" w:rsidRPr="00000000" w14:paraId="0000007E">
      <w:pPr>
        <w:rPr/>
      </w:pPr>
      <w:r w:rsidDel="00000000" w:rsidR="00000000" w:rsidRPr="00000000">
        <w:rPr>
          <w:rtl w:val="0"/>
        </w:rPr>
        <w:t xml:space="preserve">de Reuver-Schuurman, M., Bakker, E.C., Lechner, L. and van Dijk, L. (2025) ‘Self-management and support needs of patients experiencing persistent symptoms consistent with hypothyroidism: a qualitative study’, </w:t>
      </w:r>
      <w:r w:rsidDel="00000000" w:rsidR="00000000" w:rsidRPr="00000000">
        <w:rPr>
          <w:i w:val="1"/>
          <w:iCs w:val="1"/>
          <w:rtl w:val="0"/>
        </w:rPr>
        <w:t xml:space="preserve">Journal of Patient-Centered Research and Reviews</w:t>
      </w:r>
      <w:r w:rsidDel="00000000" w:rsidR="00000000" w:rsidRPr="00000000">
        <w:rPr>
          <w:rtl w:val="0"/>
        </w:rPr>
        <w:t xml:space="preserve">, 12(4), pp. 223–233. Available at: </w:t>
      </w:r>
      <w:hyperlink r:id="rId17">
        <w:r w:rsidDel="00000000" w:rsidR="00000000" w:rsidRPr="00000000">
          <w:rPr>
            <w:color w:val="0000ff"/>
            <w:u w:val="single"/>
            <w:rtl w:val="0"/>
          </w:rPr>
          <w:t xml:space="preserve">https://doi.org/10.17294/2330-0698.2144</w:t>
        </w:r>
      </w:hyperlink>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Ettleson, M.D. and Papaleontiou, M. (2022) ‘Evaluating health outcomes in the treatment of hypothyroidism’, </w:t>
      </w:r>
      <w:r w:rsidDel="00000000" w:rsidR="00000000" w:rsidRPr="00000000">
        <w:rPr>
          <w:i w:val="1"/>
          <w:iCs w:val="1"/>
          <w:rtl w:val="0"/>
        </w:rPr>
        <w:t xml:space="preserve">Frontiers in Endocrinology</w:t>
      </w:r>
      <w:r w:rsidDel="00000000" w:rsidR="00000000" w:rsidRPr="00000000">
        <w:rPr>
          <w:rtl w:val="0"/>
        </w:rPr>
        <w:t xml:space="preserve">, 13, 1026262. Available at: </w:t>
      </w:r>
      <w:hyperlink r:id="rId18">
        <w:r w:rsidDel="00000000" w:rsidR="00000000" w:rsidRPr="00000000">
          <w:rPr>
            <w:color w:val="0000ff"/>
            <w:u w:val="single"/>
            <w:rtl w:val="0"/>
          </w:rPr>
          <w:t xml:space="preserve">https://doi.org/10.3389/fendo.2022.1026262</w:t>
        </w:r>
      </w:hyperlink>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Ettleson, M.D., Raine, A., Batistuzzo, A. </w:t>
      </w:r>
      <w:r w:rsidDel="00000000" w:rsidR="00000000" w:rsidRPr="00000000">
        <w:rPr>
          <w:i w:val="1"/>
          <w:iCs w:val="1"/>
          <w:rtl w:val="0"/>
        </w:rPr>
        <w:t xml:space="preserve">et al.</w:t>
      </w:r>
      <w:r w:rsidDel="00000000" w:rsidR="00000000" w:rsidRPr="00000000">
        <w:rPr>
          <w:rtl w:val="0"/>
        </w:rPr>
        <w:t xml:space="preserve"> (2022) ‘Brain fog in hypothyroidism: understanding the patient’s perspective’, </w:t>
      </w:r>
      <w:r w:rsidDel="00000000" w:rsidR="00000000" w:rsidRPr="00000000">
        <w:rPr>
          <w:i w:val="1"/>
          <w:iCs w:val="1"/>
          <w:rtl w:val="0"/>
        </w:rPr>
        <w:t xml:space="preserve">Endocrine Practice</w:t>
      </w:r>
      <w:r w:rsidDel="00000000" w:rsidR="00000000" w:rsidRPr="00000000">
        <w:rPr>
          <w:rtl w:val="0"/>
        </w:rPr>
        <w:t xml:space="preserve">, 28(3), pp. 257–264. Available at: </w:t>
      </w:r>
      <w:hyperlink r:id="rId19">
        <w:r w:rsidDel="00000000" w:rsidR="00000000" w:rsidRPr="00000000">
          <w:rPr>
            <w:color w:val="0000ff"/>
            <w:u w:val="single"/>
            <w:rtl w:val="0"/>
          </w:rPr>
          <w:t xml:space="preserve">https://doi.org/10.1016/j.eprac.2021.12.003</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Grixti, L., Fisher, H., Priestley, J., McMullan, C., Woollven, A., Perros, P., Mitchell, A.L., Gan, E.H. and Pearce, S.H. (2025) ‘Prevalence and severity of fatigue in treated hypothyroidism: results of a UK survey’, </w:t>
      </w:r>
      <w:r w:rsidDel="00000000" w:rsidR="00000000" w:rsidRPr="00000000">
        <w:rPr>
          <w:i w:val="1"/>
          <w:iCs w:val="1"/>
          <w:rtl w:val="0"/>
        </w:rPr>
        <w:t xml:space="preserve">European Thyroid Journal</w:t>
      </w:r>
      <w:r w:rsidDel="00000000" w:rsidR="00000000" w:rsidRPr="00000000">
        <w:rPr>
          <w:rtl w:val="0"/>
        </w:rPr>
        <w:t xml:space="preserve">, 14(3), e250044. Available at: </w:t>
      </w:r>
      <w:hyperlink r:id="rId20">
        <w:r w:rsidDel="00000000" w:rsidR="00000000" w:rsidRPr="00000000">
          <w:rPr>
            <w:color w:val="0000ff"/>
            <w:u w:val="single"/>
            <w:rtl w:val="0"/>
          </w:rPr>
          <w:t xml:space="preserve">https://doi.org/10.1530/ETJ-25-0044</w:t>
        </w:r>
      </w:hyperlink>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Hegedüs, L., Bianco, A.C., Jonklaas, J., Pearce, S.H., Weetman, A.P. and Perros, P. (2022) ‘Primary hypothyroidism and quality of life’, </w:t>
      </w:r>
      <w:r w:rsidDel="00000000" w:rsidR="00000000" w:rsidRPr="00000000">
        <w:rPr>
          <w:i w:val="1"/>
          <w:iCs w:val="1"/>
          <w:rtl w:val="0"/>
        </w:rPr>
        <w:t xml:space="preserve">Nature Reviews Endocrinology</w:t>
      </w:r>
      <w:r w:rsidDel="00000000" w:rsidR="00000000" w:rsidRPr="00000000">
        <w:rPr>
          <w:rtl w:val="0"/>
        </w:rPr>
        <w:t xml:space="preserve">, 18(4), pp. 230–242. Available at: </w:t>
      </w:r>
      <w:hyperlink r:id="rId21">
        <w:r w:rsidDel="00000000" w:rsidR="00000000" w:rsidRPr="00000000">
          <w:rPr>
            <w:color w:val="0000ff"/>
            <w:u w:val="single"/>
            <w:rtl w:val="0"/>
          </w:rPr>
          <w:t xml:space="preserve">https://doi.org/10.1038/s41574-021-00625-8</w:t>
        </w:r>
      </w:hyperlink>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Information Commissioner’s Office (2024) </w:t>
      </w:r>
      <w:r w:rsidDel="00000000" w:rsidR="00000000" w:rsidRPr="00000000">
        <w:rPr>
          <w:i w:val="1"/>
          <w:iCs w:val="1"/>
          <w:rtl w:val="0"/>
        </w:rPr>
        <w:t xml:space="preserve">What is special category data?</w:t>
      </w:r>
      <w:r w:rsidDel="00000000" w:rsidR="00000000" w:rsidRPr="00000000">
        <w:rPr>
          <w:rtl w:val="0"/>
        </w:rPr>
        <w:t xml:space="preserve"> Updated 9 April 2024. Available at: </w:t>
      </w:r>
      <w:hyperlink r:id="rId22">
        <w:r w:rsidDel="00000000" w:rsidR="00000000" w:rsidRPr="00000000">
          <w:rPr>
            <w:color w:val="0000ff"/>
            <w:u w:val="single"/>
            <w:rtl w:val="0"/>
          </w:rPr>
          <w:t xml:space="preserve">https://ico.org.uk/for-organisations/uk-gdpr-guidance-and-resources/lawful-basis/special-category-data/what-is-special-category-data/</w:t>
        </w:r>
      </w:hyperlink>
      <w:r w:rsidDel="00000000" w:rsidR="00000000" w:rsidRPr="00000000">
        <w:rPr>
          <w:rtl w:val="0"/>
        </w:rPr>
        <w:t xml:space="preserve"> (Accessed: 17 August 2026).</w:t>
      </w:r>
    </w:p>
    <w:p w:rsidR="00000000" w:rsidDel="00000000" w:rsidP="00000000" w:rsidRDefault="00000000" w:rsidRPr="00000000" w14:paraId="00000084">
      <w:pPr>
        <w:rPr/>
      </w:pPr>
      <w:r w:rsidDel="00000000" w:rsidR="00000000" w:rsidRPr="00000000">
        <w:rPr>
          <w:rtl w:val="0"/>
        </w:rPr>
        <w:t xml:space="preserve">Jansen, H.I., Boelen, A., Heijboer, A.C., Bruinstroop, E. and Fliers, E. (2023) ‘Hypothyroidism: the difficulty in attributing symptoms to their underlying cause’, </w:t>
      </w:r>
      <w:r w:rsidDel="00000000" w:rsidR="00000000" w:rsidRPr="00000000">
        <w:rPr>
          <w:i w:val="1"/>
          <w:iCs w:val="1"/>
          <w:rtl w:val="0"/>
        </w:rPr>
        <w:t xml:space="preserve">Frontiers in Endocrinology</w:t>
      </w:r>
      <w:r w:rsidDel="00000000" w:rsidR="00000000" w:rsidRPr="00000000">
        <w:rPr>
          <w:rtl w:val="0"/>
        </w:rPr>
        <w:t xml:space="preserve">, 14, 1130661. Available at: </w:t>
      </w:r>
      <w:hyperlink r:id="rId23">
        <w:r w:rsidDel="00000000" w:rsidR="00000000" w:rsidRPr="00000000">
          <w:rPr>
            <w:color w:val="0000ff"/>
            <w:u w:val="single"/>
            <w:rtl w:val="0"/>
          </w:rPr>
          <w:t xml:space="preserve">https://doi.org/10.3389/fendo.2023.1130661</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Kolaski, K. </w:t>
      </w:r>
      <w:r w:rsidDel="00000000" w:rsidR="00000000" w:rsidRPr="00000000">
        <w:rPr>
          <w:i w:val="1"/>
          <w:iCs w:val="1"/>
          <w:rtl w:val="0"/>
        </w:rPr>
        <w:t xml:space="preserve">et al.</w:t>
      </w:r>
      <w:r w:rsidDel="00000000" w:rsidR="00000000" w:rsidRPr="00000000">
        <w:rPr>
          <w:rtl w:val="0"/>
        </w:rPr>
        <w:t xml:space="preserve"> (2023) ‘Guidance to best tools and practices for systematic reviews’, </w:t>
      </w:r>
      <w:r w:rsidDel="00000000" w:rsidR="00000000" w:rsidRPr="00000000">
        <w:rPr>
          <w:i w:val="1"/>
          <w:iCs w:val="1"/>
          <w:rtl w:val="0"/>
        </w:rPr>
        <w:t xml:space="preserve">Systematic Reviews</w:t>
      </w:r>
      <w:r w:rsidDel="00000000" w:rsidR="00000000" w:rsidRPr="00000000">
        <w:rPr>
          <w:rtl w:val="0"/>
        </w:rPr>
        <w:t xml:space="preserve">, 12, 96. Available at: </w:t>
      </w:r>
      <w:hyperlink r:id="rId24">
        <w:r w:rsidDel="00000000" w:rsidR="00000000" w:rsidRPr="00000000">
          <w:rPr>
            <w:color w:val="0000ff"/>
            <w:u w:val="single"/>
            <w:rtl w:val="0"/>
          </w:rPr>
          <w:t xml:space="preserve">https://doi.org/10.1186/s13643-023-02255-9</w:t>
        </w:r>
      </w:hyperlink>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Kollerits, E., Zsila, Á. and Matuszka, B. (2023) ‘Quality of life, social support, and adherence in female patients with thyroid disorders’, </w:t>
      </w:r>
      <w:r w:rsidDel="00000000" w:rsidR="00000000" w:rsidRPr="00000000">
        <w:rPr>
          <w:i w:val="1"/>
          <w:iCs w:val="1"/>
          <w:rtl w:val="0"/>
        </w:rPr>
        <w:t xml:space="preserve">BMC Women’s Health</w:t>
      </w:r>
      <w:r w:rsidDel="00000000" w:rsidR="00000000" w:rsidRPr="00000000">
        <w:rPr>
          <w:rtl w:val="0"/>
        </w:rPr>
        <w:t xml:space="preserve">, 23, 567. Available at: </w:t>
      </w:r>
      <w:hyperlink r:id="rId25">
        <w:r w:rsidDel="00000000" w:rsidR="00000000" w:rsidRPr="00000000">
          <w:rPr>
            <w:color w:val="0000ff"/>
            <w:u w:val="single"/>
            <w:rtl w:val="0"/>
          </w:rPr>
          <w:t xml:space="preserve">https://doi.org/10.1186/s12905-023-02718-0</w:t>
        </w:r>
      </w:hyperlink>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Lee, S.Y. and Pearce, E.N. (2023) ‘Hyperthyroidism: a review’, </w:t>
      </w:r>
      <w:r w:rsidDel="00000000" w:rsidR="00000000" w:rsidRPr="00000000">
        <w:rPr>
          <w:i w:val="1"/>
          <w:iCs w:val="1"/>
          <w:rtl w:val="0"/>
        </w:rPr>
        <w:t xml:space="preserve">JAMA</w:t>
      </w:r>
      <w:r w:rsidDel="00000000" w:rsidR="00000000" w:rsidRPr="00000000">
        <w:rPr>
          <w:rtl w:val="0"/>
        </w:rPr>
        <w:t xml:space="preserve">, 330(15), pp. 1472–1483. Available at: </w:t>
      </w:r>
      <w:hyperlink r:id="rId26">
        <w:r w:rsidDel="00000000" w:rsidR="00000000" w:rsidRPr="00000000">
          <w:rPr>
            <w:color w:val="0000ff"/>
            <w:u w:val="single"/>
            <w:rtl w:val="0"/>
          </w:rPr>
          <w:t xml:space="preserve">https://doi.org/10.1001/jama.2023.19052</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Molewijk, E., Fliers, E., Dreijerink, K., van Dooren, A. and Heerdink, R. (2024) ‘Quality of life, daily functioning, and symptoms in hypothyroid patients on thyroid replacement therapy: a Dutch survey’, </w:t>
      </w:r>
      <w:r w:rsidDel="00000000" w:rsidR="00000000" w:rsidRPr="00000000">
        <w:rPr>
          <w:i w:val="1"/>
          <w:iCs w:val="1"/>
          <w:rtl w:val="0"/>
        </w:rPr>
        <w:t xml:space="preserve">Journal of Clinical &amp; Translational Endocrinology</w:t>
      </w:r>
      <w:r w:rsidDel="00000000" w:rsidR="00000000" w:rsidRPr="00000000">
        <w:rPr>
          <w:rtl w:val="0"/>
        </w:rPr>
        <w:t xml:space="preserve">, 35, 100330. Available at: </w:t>
      </w:r>
      <w:hyperlink r:id="rId27">
        <w:r w:rsidDel="00000000" w:rsidR="00000000" w:rsidRPr="00000000">
          <w:rPr>
            <w:color w:val="0000ff"/>
            <w:u w:val="single"/>
            <w:rtl w:val="0"/>
          </w:rPr>
          <w:t xml:space="preserve">https://doi.org/10.1016/j.jcte.2024.100330</w:t>
        </w:r>
      </w:hyperlink>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Moser, A. and Korstjens, I. (2023) ‘Series: Practical guidance to qualitative research. Part 7: qualitative evidence synthesis for emerging themes in primary care research: scoping review, meta-ethnography and rapid realist review’, </w:t>
      </w:r>
      <w:r w:rsidDel="00000000" w:rsidR="00000000" w:rsidRPr="00000000">
        <w:rPr>
          <w:i w:val="1"/>
          <w:iCs w:val="1"/>
          <w:rtl w:val="0"/>
        </w:rPr>
        <w:t xml:space="preserve">European Journal of General Practice</w:t>
      </w:r>
      <w:r w:rsidDel="00000000" w:rsidR="00000000" w:rsidRPr="00000000">
        <w:rPr>
          <w:rtl w:val="0"/>
        </w:rPr>
        <w:t xml:space="preserve">, 29(1), 2274467. Available at: </w:t>
      </w:r>
      <w:hyperlink r:id="rId28">
        <w:r w:rsidDel="00000000" w:rsidR="00000000" w:rsidRPr="00000000">
          <w:rPr>
            <w:color w:val="0000ff"/>
            <w:u w:val="single"/>
            <w:rtl w:val="0"/>
          </w:rPr>
          <w:t xml:space="preserve">https://doi.org/10.1080/13814788.2023.2274467</w:t>
        </w:r>
      </w:hyperlink>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Nassar, M., Hassan, A., Ramadan, S., Desouki, M.T., Hassan, M.A. and Chaudhuri, A. (2024) ‘Evaluating the effectiveness of combined T4 and T3 therapy or desiccated thyroid versus T4 monotherapy in hypothyroidism: a systematic review and meta-analysis’, </w:t>
      </w:r>
      <w:r w:rsidDel="00000000" w:rsidR="00000000" w:rsidRPr="00000000">
        <w:rPr>
          <w:i w:val="1"/>
          <w:iCs w:val="1"/>
          <w:rtl w:val="0"/>
        </w:rPr>
        <w:t xml:space="preserve">BMC Endocrine Disorders</w:t>
      </w:r>
      <w:r w:rsidDel="00000000" w:rsidR="00000000" w:rsidRPr="00000000">
        <w:rPr>
          <w:rtl w:val="0"/>
        </w:rPr>
        <w:t xml:space="preserve">, 24, 90. Available at: </w:t>
      </w:r>
      <w:hyperlink r:id="rId29">
        <w:r w:rsidDel="00000000" w:rsidR="00000000" w:rsidRPr="00000000">
          <w:rPr>
            <w:color w:val="0000ff"/>
            <w:u w:val="single"/>
            <w:rtl w:val="0"/>
          </w:rPr>
          <w:t xml:space="preserve">https://doi.org/10.1186/s12902-024-01612-6</w:t>
        </w:r>
      </w:hyperlink>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National Institute for Health and Care Excellence (NICE) (2024) </w:t>
      </w:r>
      <w:r w:rsidDel="00000000" w:rsidR="00000000" w:rsidRPr="00000000">
        <w:rPr>
          <w:i w:val="1"/>
          <w:iCs w:val="1"/>
          <w:rtl w:val="0"/>
        </w:rPr>
        <w:t xml:space="preserve">Hypothyroidism: prevalence</w:t>
      </w:r>
      <w:r w:rsidDel="00000000" w:rsidR="00000000" w:rsidRPr="00000000">
        <w:rPr>
          <w:rtl w:val="0"/>
        </w:rPr>
        <w:t xml:space="preserve">. Clinical Knowledge Summaries. Last revised November 2024. Available at: </w:t>
      </w:r>
      <w:hyperlink r:id="rId30">
        <w:r w:rsidDel="00000000" w:rsidR="00000000" w:rsidRPr="00000000">
          <w:rPr>
            <w:color w:val="0000ff"/>
            <w:u w:val="single"/>
            <w:rtl w:val="0"/>
          </w:rPr>
          <w:t xml:space="preserve">https://cks.nice.org.uk/topics/hypothyroidism/background-information/prevalence/</w:t>
        </w:r>
      </w:hyperlink>
      <w:r w:rsidDel="00000000" w:rsidR="00000000" w:rsidRPr="00000000">
        <w:rPr>
          <w:rtl w:val="0"/>
        </w:rPr>
        <w:t xml:space="preserve"> (Accessed: 17 August 2026).</w:t>
      </w:r>
    </w:p>
    <w:p w:rsidR="00000000" w:rsidDel="00000000" w:rsidP="00000000" w:rsidRDefault="00000000" w:rsidRPr="00000000" w14:paraId="0000008C">
      <w:pPr>
        <w:rPr/>
      </w:pPr>
      <w:r w:rsidDel="00000000" w:rsidR="00000000" w:rsidRPr="00000000">
        <w:rPr>
          <w:rtl w:val="0"/>
        </w:rPr>
        <w:t xml:space="preserve">NHS (2023) </w:t>
      </w:r>
      <w:r w:rsidDel="00000000" w:rsidR="00000000" w:rsidRPr="00000000">
        <w:rPr>
          <w:i w:val="1"/>
          <w:iCs w:val="1"/>
          <w:rtl w:val="0"/>
        </w:rPr>
        <w:t xml:space="preserve">Overactive thyroid (hyperthyroidism)</w:t>
      </w:r>
      <w:r w:rsidDel="00000000" w:rsidR="00000000" w:rsidRPr="00000000">
        <w:rPr>
          <w:rtl w:val="0"/>
        </w:rPr>
        <w:t xml:space="preserve">. Last reviewed 11 April 2023. Available at: </w:t>
      </w:r>
      <w:hyperlink r:id="rId31">
        <w:r w:rsidDel="00000000" w:rsidR="00000000" w:rsidRPr="00000000">
          <w:rPr>
            <w:color w:val="0000ff"/>
            <w:u w:val="single"/>
            <w:rtl w:val="0"/>
          </w:rPr>
          <w:t xml:space="preserve">https://www.nhs.uk/conditions/overactive-thyroid-hyperthyroidism/</w:t>
        </w:r>
      </w:hyperlink>
      <w:r w:rsidDel="00000000" w:rsidR="00000000" w:rsidRPr="00000000">
        <w:rPr>
          <w:rtl w:val="0"/>
        </w:rPr>
        <w:t xml:space="preserve"> (Accessed: 17 August 2026).</w:t>
      </w:r>
    </w:p>
    <w:p w:rsidR="00000000" w:rsidDel="00000000" w:rsidP="00000000" w:rsidRDefault="00000000" w:rsidRPr="00000000" w14:paraId="0000008D">
      <w:pPr>
        <w:rPr/>
      </w:pPr>
      <w:r w:rsidDel="00000000" w:rsidR="00000000" w:rsidRPr="00000000">
        <w:rPr>
          <w:rtl w:val="0"/>
        </w:rPr>
        <w:t xml:space="preserve">NHS England (2023) </w:t>
      </w:r>
      <w:r w:rsidDel="00000000" w:rsidR="00000000" w:rsidRPr="00000000">
        <w:rPr>
          <w:i w:val="1"/>
          <w:iCs w:val="1"/>
          <w:rtl w:val="0"/>
        </w:rPr>
        <w:t xml:space="preserve">Liothyronine – advice for prescribers</w:t>
      </w:r>
      <w:r w:rsidDel="00000000" w:rsidR="00000000" w:rsidRPr="00000000">
        <w:rPr>
          <w:rtl w:val="0"/>
        </w:rPr>
        <w:t xml:space="preserve">. Published 3 August 2023. Available at: </w:t>
      </w:r>
      <w:hyperlink r:id="rId32">
        <w:r w:rsidDel="00000000" w:rsidR="00000000" w:rsidRPr="00000000">
          <w:rPr>
            <w:color w:val="0000ff"/>
            <w:u w:val="single"/>
            <w:rtl w:val="0"/>
          </w:rPr>
          <w:t xml:space="preserve">https://www.england.nhs.uk/long-read/liothyronine-advice-for-prescribers/</w:t>
        </w:r>
      </w:hyperlink>
      <w:r w:rsidDel="00000000" w:rsidR="00000000" w:rsidRPr="00000000">
        <w:rPr>
          <w:rtl w:val="0"/>
        </w:rPr>
        <w:t xml:space="preserve"> (Accessed: 17 August 2026)</w:t>
      </w:r>
    </w:p>
    <w:p w:rsidR="00000000" w:rsidDel="00000000" w:rsidP="00000000" w:rsidRDefault="00000000" w:rsidRPr="00000000" w14:paraId="0000008E">
      <w:pPr>
        <w:rPr/>
      </w:pPr>
      <w:r w:rsidDel="00000000" w:rsidR="00000000" w:rsidRPr="00000000">
        <w:rPr>
          <w:rtl w:val="0"/>
        </w:rPr>
        <w:t xml:space="preserve">Page, M.J., McKenzie, J.E., Bossuyt, P.M. </w:t>
      </w:r>
      <w:r w:rsidDel="00000000" w:rsidR="00000000" w:rsidRPr="00000000">
        <w:rPr>
          <w:i w:val="1"/>
          <w:iCs w:val="1"/>
          <w:rtl w:val="0"/>
        </w:rPr>
        <w:t xml:space="preserve">et al.</w:t>
      </w:r>
      <w:r w:rsidDel="00000000" w:rsidR="00000000" w:rsidRPr="00000000">
        <w:rPr>
          <w:rtl w:val="0"/>
        </w:rPr>
        <w:t xml:space="preserve"> (2021) ‘The PRISMA 2020 statement: an updated guideline for reporting systematic reviews’, </w:t>
      </w:r>
      <w:r w:rsidDel="00000000" w:rsidR="00000000" w:rsidRPr="00000000">
        <w:rPr>
          <w:i w:val="1"/>
          <w:iCs w:val="1"/>
          <w:rtl w:val="0"/>
        </w:rPr>
        <w:t xml:space="preserve">BMJ</w:t>
      </w:r>
      <w:r w:rsidDel="00000000" w:rsidR="00000000" w:rsidRPr="00000000">
        <w:rPr>
          <w:rtl w:val="0"/>
        </w:rPr>
        <w:t xml:space="preserve">, 372, n71. Available at: </w:t>
      </w:r>
      <w:hyperlink r:id="rId33">
        <w:r w:rsidDel="00000000" w:rsidR="00000000" w:rsidRPr="00000000">
          <w:rPr>
            <w:color w:val="0000ff"/>
            <w:u w:val="single"/>
            <w:rtl w:val="0"/>
          </w:rPr>
          <w:t xml:space="preserve">https://doi.org/10.1136/bmj.n71</w:t>
        </w:r>
      </w:hyperlink>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Perros, P., Poots, A., Nagy, E.V., Papini, E., Hay, H., Abad-Madroñero, J., Tallett, A., Lakwijk, P. and Hegedüs, L. (2025) ‘Knowledge gaps about the diagnosis and treatment of hypothyroidism: an international patient survey’, </w:t>
      </w:r>
      <w:r w:rsidDel="00000000" w:rsidR="00000000" w:rsidRPr="00000000">
        <w:rPr>
          <w:i w:val="1"/>
          <w:iCs w:val="1"/>
          <w:rtl w:val="0"/>
        </w:rPr>
        <w:t xml:space="preserve">Frontiers in Endocrinology</w:t>
      </w:r>
      <w:r w:rsidDel="00000000" w:rsidR="00000000" w:rsidRPr="00000000">
        <w:rPr>
          <w:rtl w:val="0"/>
        </w:rPr>
        <w:t xml:space="preserve">, 16, 1663497. Available at: </w:t>
      </w:r>
      <w:hyperlink r:id="rId34">
        <w:r w:rsidDel="00000000" w:rsidR="00000000" w:rsidRPr="00000000">
          <w:rPr>
            <w:color w:val="0000ff"/>
            <w:u w:val="single"/>
            <w:rtl w:val="0"/>
          </w:rPr>
          <w:t xml:space="preserve">https://doi.org/10.3389/fendo.2025.1663497</w:t>
        </w:r>
      </w:hyperlink>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Rethlefsen, M.L., Kirtley, S., Waffenschmidt, S., Ayala, A.P., Moher, D., Page, M.J. and Koffel, J.B. (2021) ‘PRISMA-S: an extension to the PRISMA Statement for Reporting Literature Searches in Systematic Reviews’, </w:t>
      </w:r>
      <w:r w:rsidDel="00000000" w:rsidR="00000000" w:rsidRPr="00000000">
        <w:rPr>
          <w:i w:val="1"/>
          <w:iCs w:val="1"/>
          <w:rtl w:val="0"/>
        </w:rPr>
        <w:t xml:space="preserve">Systematic Reviews</w:t>
      </w:r>
      <w:r w:rsidDel="00000000" w:rsidR="00000000" w:rsidRPr="00000000">
        <w:rPr>
          <w:rtl w:val="0"/>
        </w:rPr>
        <w:t xml:space="preserve">, 10, 39. Available at: </w:t>
      </w:r>
      <w:hyperlink r:id="rId35">
        <w:r w:rsidDel="00000000" w:rsidR="00000000" w:rsidRPr="00000000">
          <w:rPr>
            <w:color w:val="0000ff"/>
            <w:u w:val="single"/>
            <w:rtl w:val="0"/>
          </w:rPr>
          <w:t xml:space="preserve">https://doi.org/10.1186/s13643-020-01542-z</w:t>
        </w:r>
      </w:hyperlink>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UK Research Integrity Office (UKRIO) (2025) </w:t>
      </w:r>
      <w:r w:rsidDel="00000000" w:rsidR="00000000" w:rsidRPr="00000000">
        <w:rPr>
          <w:i w:val="1"/>
          <w:iCs w:val="1"/>
          <w:rtl w:val="0"/>
        </w:rPr>
        <w:t xml:space="preserve">Code of Practice for Research</w:t>
      </w:r>
      <w:r w:rsidDel="00000000" w:rsidR="00000000" w:rsidRPr="00000000">
        <w:rPr>
          <w:rtl w:val="0"/>
        </w:rPr>
        <w:t xml:space="preserve">. Version 3.5. London: UK Research Integrity Office. Available at: </w:t>
      </w:r>
      <w:hyperlink r:id="rId36">
        <w:r w:rsidDel="00000000" w:rsidR="00000000" w:rsidRPr="00000000">
          <w:rPr>
            <w:color w:val="0000ff"/>
            <w:u w:val="single"/>
            <w:rtl w:val="0"/>
          </w:rPr>
          <w:t xml:space="preserve">https://ukrio.org/ukrio-resources/publications/code-of-practice-for-research/</w:t>
        </w:r>
      </w:hyperlink>
      <w:r w:rsidDel="00000000" w:rsidR="00000000" w:rsidRPr="00000000">
        <w:rPr>
          <w:rtl w:val="0"/>
        </w:rPr>
        <w:t xml:space="preserve"> (Accessed: 17 August 2026).</w:t>
      </w:r>
    </w:p>
    <w:p w:rsidR="00000000" w:rsidDel="00000000" w:rsidP="00000000" w:rsidRDefault="00000000" w:rsidRPr="00000000" w14:paraId="00000092">
      <w:pPr>
        <w:rPr/>
      </w:pPr>
      <w:r w:rsidDel="00000000" w:rsidR="00000000" w:rsidRPr="00000000">
        <w:rPr>
          <w:rtl w:val="0"/>
        </w:rPr>
        <w:t xml:space="preserve">University of Wales Trinity Saint David (UWTSD) (2025–26) </w:t>
      </w:r>
      <w:r w:rsidDel="00000000" w:rsidR="00000000" w:rsidRPr="00000000">
        <w:rPr>
          <w:i w:val="1"/>
          <w:iCs w:val="1"/>
          <w:rtl w:val="0"/>
        </w:rPr>
        <w:t xml:space="preserve">Research Ethics and Integrity Policy 2025–26</w:t>
      </w:r>
      <w:r w:rsidDel="00000000" w:rsidR="00000000" w:rsidRPr="00000000">
        <w:rPr>
          <w:rtl w:val="0"/>
        </w:rPr>
        <w:t xml:space="preserve">. Carmarthen: University of Wales Trinity Saint David. Available at: </w:t>
      </w:r>
      <w:hyperlink r:id="rId37">
        <w:r w:rsidDel="00000000" w:rsidR="00000000" w:rsidRPr="00000000">
          <w:rPr>
            <w:color w:val="0000ff"/>
            <w:u w:val="single"/>
            <w:rtl w:val="0"/>
          </w:rPr>
          <w:t xml:space="preserve">https://www.uwtsd.ac.uk/research/research-integrity-and-ethics</w:t>
        </w:r>
      </w:hyperlink>
      <w:r w:rsidDel="00000000" w:rsidR="00000000" w:rsidRPr="00000000">
        <w:rPr>
          <w:rtl w:val="0"/>
        </w:rPr>
        <w:t xml:space="preserve"> (Accessed: 17 August 2026).</w:t>
      </w:r>
    </w:p>
    <w:p w:rsidR="00000000" w:rsidDel="00000000" w:rsidP="00000000" w:rsidRDefault="00000000" w:rsidRPr="00000000" w14:paraId="00000093">
      <w:pPr>
        <w:rPr/>
      </w:pPr>
      <w:r w:rsidDel="00000000" w:rsidR="00000000" w:rsidRPr="00000000">
        <w:rPr>
          <w:rtl w:val="0"/>
        </w:rPr>
        <w:t xml:space="preserve">Younes, Y. R., Perros, P., Hegedüs, L., Papini, E., Nagy, E. V., Attanasio, R., Negro, R., and Field, B. C. T. (2022). Use of thyroid hormones in hypothyroid and euthyroid patients: A THESIS questionnaire survey of UK endocrinologists. </w:t>
      </w:r>
      <w:r w:rsidDel="00000000" w:rsidR="00000000" w:rsidRPr="00000000">
        <w:rPr>
          <w:i w:val="1"/>
          <w:iCs w:val="1"/>
          <w:rtl w:val="0"/>
        </w:rPr>
        <w:t xml:space="preserve">Clinical Endocrinology</w:t>
      </w:r>
      <w:r w:rsidDel="00000000" w:rsidR="00000000" w:rsidRPr="00000000">
        <w:rPr>
          <w:rtl w:val="0"/>
        </w:rPr>
        <w:t xml:space="preserve">, </w:t>
      </w:r>
      <w:r w:rsidDel="00000000" w:rsidR="00000000" w:rsidRPr="00000000">
        <w:rPr>
          <w:i w:val="1"/>
          <w:iCs w:val="1"/>
          <w:rtl w:val="0"/>
        </w:rPr>
        <w:t xml:space="preserve">98</w:t>
      </w:r>
      <w:r w:rsidDel="00000000" w:rsidR="00000000" w:rsidRPr="00000000">
        <w:rPr>
          <w:rtl w:val="0"/>
        </w:rPr>
        <w:t xml:space="preserve">(2), 238–248. </w:t>
      </w:r>
      <w:hyperlink r:id="rId38">
        <w:r w:rsidDel="00000000" w:rsidR="00000000" w:rsidRPr="00000000">
          <w:rPr>
            <w:color w:val="0000ff"/>
            <w:u w:val="single"/>
            <w:rtl w:val="0"/>
          </w:rPr>
          <w:t xml:space="preserve">https://doi.org/10.1111/cen.14812</w:t>
        </w:r>
      </w:hyperlink>
      <w:r w:rsidDel="00000000" w:rsidR="00000000" w:rsidRPr="00000000">
        <w:rPr>
          <w:rtl w:val="0"/>
        </w:rPr>
      </w:r>
    </w:p>
    <w:sectPr>
      <w:footerReference r:id="rId39" w:type="default"/>
      <w:pgSz w:h="15840" w:w="12240"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jc w:val="left"/>
    </w:pPr>
    <w:rPr>
      <w:b w:val="1"/>
      <w:bCs w:val="1"/>
      <w:sz w:val="28"/>
      <w:szCs w:val="28"/>
    </w:rPr>
  </w:style>
  <w:style w:type="paragraph" w:styleId="Heading2">
    <w:name w:val="heading 2"/>
    <w:basedOn w:val="Normal"/>
    <w:next w:val="Normal"/>
    <w:pPr>
      <w:jc w:val="left"/>
    </w:pPr>
    <w:rPr>
      <w:b w:val="1"/>
      <w:bCs w:val="1"/>
      <w:sz w:val="26"/>
      <w:szCs w:val="26"/>
    </w:rPr>
  </w:style>
  <w:style w:type="paragraph" w:styleId="Heading3">
    <w:name w:val="heading 3"/>
    <w:basedOn w:val="Normal"/>
    <w:next w:val="Normal"/>
    <w:pPr>
      <w:jc w:val="left"/>
    </w:pPr>
    <w:rPr>
      <w:b w:val="1"/>
      <w:bCs w:val="1"/>
      <w:sz w:val="24"/>
      <w:szCs w:val="24"/>
    </w:rPr>
  </w:style>
  <w:style w:type="paragraph" w:styleId="Heading4">
    <w:name w:val="heading 4"/>
    <w:basedOn w:val="Normal"/>
    <w:next w:val="Normal"/>
    <w:pPr>
      <w:jc w:val="center"/>
    </w:pPr>
    <w:rPr>
      <w:b w:val="1"/>
      <w:bCs w:val="1"/>
    </w:rPr>
  </w:style>
  <w:style w:type="paragraph" w:styleId="Heading5">
    <w:name w:val="heading 5"/>
    <w:basedOn w:val="Normal"/>
    <w:next w:val="Normal"/>
    <w:pPr>
      <w:jc w:val="center"/>
    </w:pPr>
    <w:rPr>
      <w:b w:val="1"/>
      <w:bCs w:val="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jc w:val="center"/>
    </w:pPr>
    <w:rPr>
      <w:b w:val="1"/>
      <w:bCs w:val="1"/>
      <w:sz w:val="32"/>
      <w:szCs w:val="32"/>
    </w:rPr>
  </w:style>
  <w:style w:type="paragraph" w:styleId="Subtitle">
    <w:name w:val="Subtitle"/>
    <w:basedOn w:val="Normal"/>
    <w:next w:val="Normal"/>
    <w:pPr>
      <w:spacing w:after="160" w:lineRule="auto"/>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5dfec" w:val="clear"/>
      </w:tcPr>
    </w:tblStylePr>
    <w:tblStylePr w:type="band1Vert">
      <w:tcPr>
        <w:shd w:fill="e5dfec" w:val="clear"/>
      </w:tcPr>
    </w:tblStylePr>
    <w:tblStylePr w:type="firstCol">
      <w:rPr>
        <w:b w:val="1"/>
        <w:bCs w:val="1"/>
      </w:rPr>
    </w:tblStylePr>
    <w:tblStylePr w:type="firstRow">
      <w:rPr>
        <w:b w:val="1"/>
        <w:bCs w:val="1"/>
        <w:color w:val="ffffff"/>
      </w:rPr>
      <w:tcPr>
        <w:tcBorders>
          <w:top w:color="8064a2" w:space="0" w:sz="4" w:val="single"/>
          <w:left w:color="8064a2" w:space="0" w:sz="4" w:val="single"/>
          <w:bottom w:color="8064a2" w:space="0" w:sz="4" w:val="single"/>
          <w:right w:color="8064a2" w:space="0" w:sz="4" w:val="single"/>
          <w:insideH w:color="000000" w:space="0" w:sz="0" w:val="nil"/>
          <w:insideV w:color="000000" w:space="0" w:sz="0" w:val="nil"/>
        </w:tcBorders>
        <w:shd w:fill="8064a2" w:val="clear"/>
      </w:tcPr>
    </w:tblStylePr>
    <w:tblStylePr w:type="lastCol">
      <w:rPr>
        <w:b w:val="1"/>
        <w:bCs w:val="1"/>
      </w:rPr>
    </w:tblStylePr>
    <w:tblStylePr w:type="lastRow">
      <w:rPr>
        <w:b w:val="1"/>
        <w:bCs w:val="1"/>
      </w:rPr>
      <w:tcPr>
        <w:tcBorders>
          <w:top w:color="8064a2"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530/ETJ-25-0044" TargetMode="External"/><Relationship Id="rId22" Type="http://schemas.openxmlformats.org/officeDocument/2006/relationships/hyperlink" Target="https://ico.org.uk/for-organisations/uk-gdpr-guidance-and-resources/lawful-basis/special-category-data/what-is-special-category-data/" TargetMode="External"/><Relationship Id="rId21" Type="http://schemas.openxmlformats.org/officeDocument/2006/relationships/hyperlink" Target="https://doi.org/10.1038/s41574-021-00625-8" TargetMode="External"/><Relationship Id="rId24" Type="http://schemas.openxmlformats.org/officeDocument/2006/relationships/hyperlink" Target="https://doi.org/10.1186/s13643-023-02255-9" TargetMode="External"/><Relationship Id="rId23" Type="http://schemas.openxmlformats.org/officeDocument/2006/relationships/hyperlink" Target="https://doi.org/10.3389/fendo.2023.113066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jclinepi.2022.04.006" TargetMode="External"/><Relationship Id="rId26" Type="http://schemas.openxmlformats.org/officeDocument/2006/relationships/hyperlink" Target="https://doi.org/10.1001/jama.2023.19052" TargetMode="External"/><Relationship Id="rId25" Type="http://schemas.openxmlformats.org/officeDocument/2006/relationships/hyperlink" Target="https://doi.org/10.1186/s12905-023-02718-0" TargetMode="External"/><Relationship Id="rId28" Type="http://schemas.openxmlformats.org/officeDocument/2006/relationships/hyperlink" Target="https://doi.org/10.1080/13814788.2023.2274467" TargetMode="External"/><Relationship Id="rId27" Type="http://schemas.openxmlformats.org/officeDocument/2006/relationships/hyperlink" Target="https://doi.org/10.1016/j.jcte.2024.100330"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186/s12902-024-01612-6" TargetMode="External"/><Relationship Id="rId7" Type="http://schemas.openxmlformats.org/officeDocument/2006/relationships/hyperlink" Target="https://doi.org/10.1186/s13643-022-02109-w" TargetMode="External"/><Relationship Id="rId8" Type="http://schemas.openxmlformats.org/officeDocument/2006/relationships/hyperlink" Target="https://doi.org/10.1186/s13643-023-02322-1" TargetMode="External"/><Relationship Id="rId31" Type="http://schemas.openxmlformats.org/officeDocument/2006/relationships/hyperlink" Target="https://www.nhs.uk/conditions/overactive-thyroid-hyperthyroidism/" TargetMode="External"/><Relationship Id="rId30" Type="http://schemas.openxmlformats.org/officeDocument/2006/relationships/hyperlink" Target="https://cks.nice.org.uk/topics/hypothyroidism/background-information/prevalence/" TargetMode="External"/><Relationship Id="rId11" Type="http://schemas.openxmlformats.org/officeDocument/2006/relationships/hyperlink" Target="https://doi.org/10.1210/clinem/dgae651" TargetMode="External"/><Relationship Id="rId33" Type="http://schemas.openxmlformats.org/officeDocument/2006/relationships/hyperlink" Target="https://doi.org/10.1136/bmj.n71" TargetMode="External"/><Relationship Id="rId10" Type="http://schemas.openxmlformats.org/officeDocument/2006/relationships/hyperlink" Target="https://doi.org/10.1111/cen.15266" TargetMode="External"/><Relationship Id="rId32" Type="http://schemas.openxmlformats.org/officeDocument/2006/relationships/hyperlink" Target="https://www.england.nhs.uk/long-read/liothyronine-advice-for-prescribers/" TargetMode="External"/><Relationship Id="rId13" Type="http://schemas.openxmlformats.org/officeDocument/2006/relationships/hyperlink" Target="https://doi.org/10.1136/bmjebm-2023-112620" TargetMode="External"/><Relationship Id="rId35" Type="http://schemas.openxmlformats.org/officeDocument/2006/relationships/hyperlink" Target="https://doi.org/10.1186/s13643-020-01542-z" TargetMode="External"/><Relationship Id="rId12" Type="http://schemas.openxmlformats.org/officeDocument/2006/relationships/hyperlink" Target="https://doi.org/10.1210/clinem/dgad224" TargetMode="External"/><Relationship Id="rId34" Type="http://schemas.openxmlformats.org/officeDocument/2006/relationships/hyperlink" Target="https://doi.org/10.3389/fendo.2025.1663497" TargetMode="External"/><Relationship Id="rId15" Type="http://schemas.openxmlformats.org/officeDocument/2006/relationships/hyperlink" Target="https://doi.org/10.3389/fendo.2022.1000682" TargetMode="External"/><Relationship Id="rId37" Type="http://schemas.openxmlformats.org/officeDocument/2006/relationships/hyperlink" Target="https://www.uwtsd.ac.uk/research/research-integrity-and-ethics" TargetMode="External"/><Relationship Id="rId14" Type="http://schemas.openxmlformats.org/officeDocument/2006/relationships/hyperlink" Target="https://doi.org/10.1017/S0266462324000369" TargetMode="External"/><Relationship Id="rId36" Type="http://schemas.openxmlformats.org/officeDocument/2006/relationships/hyperlink" Target="https://ukrio.org/ukrio-resources/publications/code-of-practice-for-research/" TargetMode="External"/><Relationship Id="rId17" Type="http://schemas.openxmlformats.org/officeDocument/2006/relationships/hyperlink" Target="https://doi.org/10.17294/2330-0698.2144" TargetMode="External"/><Relationship Id="rId39" Type="http://schemas.openxmlformats.org/officeDocument/2006/relationships/footer" Target="footer1.xml"/><Relationship Id="rId16" Type="http://schemas.openxmlformats.org/officeDocument/2006/relationships/hyperlink" Target="https://casp-uk.net/casp-checklists/CASP-checklist-qualitative-2024.pdf" TargetMode="External"/><Relationship Id="rId38" Type="http://schemas.openxmlformats.org/officeDocument/2006/relationships/hyperlink" Target="https://doi.org/10.1111/cen.14812" TargetMode="External"/><Relationship Id="rId19" Type="http://schemas.openxmlformats.org/officeDocument/2006/relationships/hyperlink" Target="https://doi.org/10.1016/j.eprac.2021.12.003" TargetMode="External"/><Relationship Id="rId18" Type="http://schemas.openxmlformats.org/officeDocument/2006/relationships/hyperlink" Target="https://doi.org/10.3389/fendo.2022.10262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