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BA2A84" wp14:paraId="5068EFA7" wp14:textId="21A08922">
      <w:pPr>
        <w:spacing w:before="0" w:beforeAutospacing="off" w:after="160" w:afterAutospacing="off"/>
        <w:jc w:val="center"/>
      </w:pPr>
      <w:r w:rsidR="667D61F3">
        <w:drawing>
          <wp:inline xmlns:wp14="http://schemas.microsoft.com/office/word/2010/wordprocessingDrawing" wp14:editId="637B596F" wp14:anchorId="799C536A">
            <wp:extent cx="2819400" cy="676275"/>
            <wp:effectExtent l="0" t="0" r="0" b="0"/>
            <wp:docPr id="16001051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0105170" name="Picture 1600105170"/>
                    <pic:cNvPicPr/>
                  </pic:nvPicPr>
                  <pic:blipFill>
                    <a:blip xmlns:r="http://schemas.openxmlformats.org/officeDocument/2006/relationships" r:embed="rId1847479693">
                      <a:extLst>
                        <a:ext uri="{28A0092B-C50C-407E-A947-70E740481C1C}">
                          <a14:useLocalDpi xmlns:a14="http://schemas.microsoft.com/office/drawing/2010/main"/>
                        </a:ext>
                      </a:extLst>
                    </a:blip>
                    <a:stretch>
                      <a:fillRect/>
                    </a:stretch>
                  </pic:blipFill>
                  <pic:spPr>
                    <a:xfrm>
                      <a:off x="0" y="0"/>
                      <a:ext cx="2819400" cy="676275"/>
                    </a:xfrm>
                    <a:prstGeom prst="rect">
                      <a:avLst/>
                    </a:prstGeom>
                  </pic:spPr>
                </pic:pic>
              </a:graphicData>
            </a:graphic>
          </wp:inline>
        </w:drawing>
      </w:r>
    </w:p>
    <w:p xmlns:wp14="http://schemas.microsoft.com/office/word/2010/wordml" w:rsidP="74BA2A84" wp14:paraId="6F6FB79A" wp14:textId="21759102">
      <w:pPr>
        <w:spacing w:before="0" w:beforeAutospacing="off" w:after="160" w:afterAutospacing="off"/>
        <w:jc w:val="center"/>
      </w:pPr>
      <w:r w:rsidRPr="74BA2A84" w:rsidR="667D61F3">
        <w:rPr>
          <w:rFonts w:ascii="Aptos" w:hAnsi="Aptos" w:eastAsia="Aptos" w:cs="Aptos"/>
          <w:b w:val="0"/>
          <w:bCs w:val="0"/>
          <w:i w:val="0"/>
          <w:iCs w:val="0"/>
          <w:strike w:val="0"/>
          <w:dstrike w:val="0"/>
          <w:noProof w:val="0"/>
          <w:color w:val="000000" w:themeColor="text1" w:themeTint="FF" w:themeShade="FF"/>
          <w:sz w:val="38"/>
          <w:szCs w:val="38"/>
          <w:u w:val="none"/>
          <w:lang w:val="en-US"/>
        </w:rPr>
        <w:t>Master of Business Administration</w:t>
      </w:r>
    </w:p>
    <w:p xmlns:wp14="http://schemas.microsoft.com/office/word/2010/wordml" w:rsidP="74BA2A84" wp14:paraId="1A0C9689" wp14:textId="60B0180D">
      <w:pPr>
        <w:spacing w:before="0" w:beforeAutospacing="off" w:after="160" w:afterAutospacing="off"/>
        <w:jc w:val="center"/>
      </w:pPr>
      <w:r w:rsidRPr="74BA2A84" w:rsidR="667D61F3">
        <w:rPr>
          <w:rFonts w:ascii="Aptos" w:hAnsi="Aptos" w:eastAsia="Aptos" w:cs="Aptos"/>
          <w:b w:val="0"/>
          <w:bCs w:val="0"/>
          <w:i w:val="0"/>
          <w:iCs w:val="0"/>
          <w:strike w:val="0"/>
          <w:dstrike w:val="0"/>
          <w:noProof w:val="0"/>
          <w:color w:val="000000" w:themeColor="text1" w:themeTint="FF" w:themeShade="FF"/>
          <w:sz w:val="32"/>
          <w:szCs w:val="32"/>
          <w:u w:val="none"/>
          <w:lang w:val="en-US"/>
        </w:rPr>
        <w:t>International Business pathway</w:t>
      </w:r>
    </w:p>
    <w:p xmlns:wp14="http://schemas.microsoft.com/office/word/2010/wordml" w:rsidP="74BA2A84" wp14:paraId="6086B373" wp14:textId="792A1619">
      <w:pPr>
        <w:spacing w:before="0" w:beforeAutospacing="off" w:after="0" w:afterAutospacing="off"/>
      </w:pPr>
    </w:p>
    <w:p xmlns:wp14="http://schemas.microsoft.com/office/word/2010/wordml" w:rsidP="74BA2A84" wp14:paraId="5CCD269C" wp14:textId="542DFE55">
      <w:pPr>
        <w:spacing w:before="0" w:beforeAutospacing="off" w:after="160" w:afterAutospacing="off"/>
      </w:pPr>
      <w:r w:rsidRPr="74BA2A84" w:rsidR="52E9B1F6">
        <w:rPr>
          <w:rFonts w:ascii="Aptos" w:hAnsi="Aptos" w:eastAsia="Aptos" w:cs="Aptos"/>
          <w:b w:val="1"/>
          <w:bCs w:val="1"/>
          <w:i w:val="0"/>
          <w:iCs w:val="0"/>
          <w:strike w:val="0"/>
          <w:dstrike w:val="0"/>
          <w:noProof w:val="0"/>
          <w:color w:val="000000" w:themeColor="text1" w:themeTint="FF" w:themeShade="FF"/>
          <w:sz w:val="28"/>
          <w:szCs w:val="28"/>
          <w:u w:val="none"/>
          <w:lang w:val="en-US"/>
        </w:rPr>
        <w:t xml:space="preserve"> </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 xml:space="preserve">Module name: Marketing Management </w:t>
      </w:r>
    </w:p>
    <w:p xmlns:wp14="http://schemas.microsoft.com/office/word/2010/wordml" w:rsidP="74BA2A84" wp14:paraId="69E996A6" wp14:textId="2FA03F10">
      <w:pPr>
        <w:spacing w:before="0" w:beforeAutospacing="off" w:after="160" w:afterAutospacing="off"/>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Module code</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(LCMB7024_LON)</w:t>
      </w:r>
    </w:p>
    <w:p xmlns:wp14="http://schemas.microsoft.com/office/word/2010/wordml" w:rsidP="74BA2A84" wp14:paraId="624A9B11" wp14:textId="7676B042">
      <w:pPr>
        <w:spacing w:before="0" w:beforeAutospacing="off" w:after="160" w:afterAutospacing="off"/>
        <w:rPr>
          <w:rFonts w:ascii="Arial" w:hAnsi="Arial" w:eastAsia="Arial" w:cs="Arial"/>
          <w:b w:val="1"/>
          <w:bCs w:val="1"/>
          <w:i w:val="0"/>
          <w:iCs w:val="0"/>
          <w:strike w:val="0"/>
          <w:dstrike w:val="0"/>
          <w:noProof w:val="0"/>
          <w:color w:val="242130"/>
          <w:sz w:val="24"/>
          <w:szCs w:val="24"/>
          <w:u w:val="none"/>
          <w:lang w:val="en-US"/>
        </w:rPr>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Lecturer name</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 xml:space="preserve">: </w:t>
      </w:r>
      <w:r w:rsidRPr="74BA2A84" w:rsidR="667D61F3">
        <w:rPr>
          <w:rFonts w:ascii="Arial" w:hAnsi="Arial" w:eastAsia="Arial" w:cs="Arial"/>
          <w:b w:val="1"/>
          <w:bCs w:val="1"/>
          <w:i w:val="0"/>
          <w:iCs w:val="0"/>
          <w:strike w:val="0"/>
          <w:dstrike w:val="0"/>
          <w:noProof w:val="0"/>
          <w:color w:val="242130"/>
          <w:sz w:val="24"/>
          <w:szCs w:val="24"/>
          <w:u w:val="none"/>
          <w:lang w:val="en-US"/>
        </w:rPr>
        <w:t>Sinan He</w:t>
      </w:r>
    </w:p>
    <w:p xmlns:wp14="http://schemas.microsoft.com/office/word/2010/wordml" w:rsidP="74BA2A84" wp14:paraId="679BE353" wp14:textId="6C3D7FA6">
      <w:pPr>
        <w:spacing w:before="0" w:beforeAutospacing="off" w:after="160" w:afterAutospacing="off"/>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Student name</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 xml:space="preserve">: </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Nehal Chekhalia</w:t>
      </w:r>
    </w:p>
    <w:p xmlns:wp14="http://schemas.microsoft.com/office/word/2010/wordml" w:rsidP="74BA2A84" wp14:paraId="7DC582A8" wp14:textId="300E1F9D">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28"/>
          <w:szCs w:val="28"/>
          <w:u w:val="none"/>
          <w:lang w:val="en-US"/>
        </w:rPr>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Student ID</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2545212</w:t>
      </w:r>
    </w:p>
    <w:p xmlns:wp14="http://schemas.microsoft.com/office/word/2010/wordml" w:rsidP="74BA2A84" wp14:paraId="374D4CCA" wp14:textId="55B0A16F">
      <w:pPr>
        <w:spacing w:before="0" w:beforeAutospacing="off" w:after="0" w:afterAutospacing="off"/>
      </w:pPr>
    </w:p>
    <w:p xmlns:wp14="http://schemas.microsoft.com/office/word/2010/wordml" w:rsidP="74BA2A84" wp14:paraId="469A254B" wp14:textId="5DB3586D">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28"/>
          <w:szCs w:val="28"/>
          <w:u w:val="none"/>
          <w:lang w:val="en-US"/>
        </w:rPr>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Word count</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2500</w:t>
      </w:r>
    </w:p>
    <w:p xmlns:wp14="http://schemas.microsoft.com/office/word/2010/wordml" w:rsidP="74BA2A84" wp14:paraId="20971D15" wp14:textId="5E1643EA">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28"/>
          <w:szCs w:val="28"/>
          <w:u w:val="none"/>
          <w:lang w:val="en-US"/>
        </w:rPr>
      </w:pP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Submission date</w:t>
      </w:r>
      <w:r w:rsidRPr="74BA2A84" w:rsidR="667D61F3">
        <w:rPr>
          <w:rFonts w:ascii="Aptos" w:hAnsi="Aptos" w:eastAsia="Aptos" w:cs="Aptos"/>
          <w:b w:val="0"/>
          <w:bCs w:val="0"/>
          <w:i w:val="0"/>
          <w:iCs w:val="0"/>
          <w:strike w:val="0"/>
          <w:dstrike w:val="0"/>
          <w:noProof w:val="0"/>
          <w:color w:val="000000" w:themeColor="text1" w:themeTint="FF" w:themeShade="FF"/>
          <w:sz w:val="28"/>
          <w:szCs w:val="28"/>
          <w:u w:val="none"/>
          <w:lang w:val="en-US"/>
        </w:rPr>
        <w:t>:</w:t>
      </w:r>
      <w:r w:rsidRPr="74BA2A84" w:rsidR="667D61F3">
        <w:rPr>
          <w:rFonts w:ascii="Aptos" w:hAnsi="Aptos" w:eastAsia="Aptos" w:cs="Aptos"/>
          <w:b w:val="1"/>
          <w:bCs w:val="1"/>
          <w:i w:val="0"/>
          <w:iCs w:val="0"/>
          <w:strike w:val="0"/>
          <w:dstrike w:val="0"/>
          <w:noProof w:val="0"/>
          <w:color w:val="000000" w:themeColor="text1" w:themeTint="FF" w:themeShade="FF"/>
          <w:sz w:val="28"/>
          <w:szCs w:val="28"/>
          <w:u w:val="none"/>
          <w:lang w:val="en-US"/>
        </w:rPr>
        <w:t>23-July -2026</w:t>
      </w:r>
    </w:p>
    <w:p xmlns:wp14="http://schemas.microsoft.com/office/word/2010/wordml" w:rsidP="74BA2A84" wp14:paraId="2CB7C2A4" wp14:textId="77D2AF27">
      <w:pPr>
        <w:spacing w:before="0" w:beforeAutospacing="off" w:after="0" w:afterAutospacing="off"/>
      </w:pPr>
    </w:p>
    <w:p xmlns:wp14="http://schemas.microsoft.com/office/word/2010/wordml" w:rsidP="74BA2A84" wp14:paraId="3A95F97D" wp14:textId="40B484F6">
      <w:pPr>
        <w:pStyle w:val="Normal"/>
        <w:rPr>
          <w:noProof w:val="0"/>
          <w:lang w:val="en-US"/>
        </w:rPr>
      </w:pPr>
    </w:p>
    <w:p w:rsidR="1CEC47A0" w:rsidRDefault="1CEC47A0" w14:paraId="6BD4D5B2" w14:textId="50179C35">
      <w:r>
        <w:br w:type="page"/>
      </w:r>
    </w:p>
    <w:sdt>
      <w:sdtPr>
        <w:id w:val="1800403527"/>
        <w:docPartObj>
          <w:docPartGallery w:val="Table of Contents"/>
          <w:docPartUnique/>
        </w:docPartObj>
      </w:sdtPr>
      <w:sdtContent>
        <w:p w:rsidR="74BA2A84" w:rsidP="74BA2A84" w:rsidRDefault="74BA2A84" w14:paraId="527BAF67" w14:textId="5085FC11">
          <w:pPr>
            <w:pStyle w:val="TOC1"/>
            <w:tabs>
              <w:tab w:val="right" w:leader="dot" w:pos="9360"/>
            </w:tabs>
            <w:bidi w:val="0"/>
            <w:rPr>
              <w:rStyle w:val="Hyperlink"/>
            </w:rPr>
          </w:pPr>
          <w:r>
            <w:fldChar w:fldCharType="begin"/>
          </w:r>
          <w:r>
            <w:instrText xml:space="preserve">TOC \o \z \u \h</w:instrText>
          </w:r>
          <w:r>
            <w:fldChar w:fldCharType="separate"/>
          </w:r>
          <w:r>
            <w:fldChar w:fldCharType="begin"/>
          </w:r>
          <w:r>
            <w:instrText xml:space="preserve">HYPERLINK  \l  "_Toc132856185" </w:instrText>
          </w:r>
          <w:r>
            <w:fldChar w:fldCharType="separate"/>
          </w:r>
          <w:r w:rsidRPr="74BA2A84" w:rsidR="74BA2A84">
            <w:rPr>
              <w:rStyle w:val="Hyperlink"/>
            </w:rPr>
            <w:t>Strategic Marketing Report: Decarbonisation, Growth Strategies, and Competitive Positioning at BHP Group Limited</w:t>
          </w:r>
          <w:r>
            <w:tab/>
          </w:r>
          <w:r>
            <w:fldChar w:fldCharType="begin"/>
          </w:r>
          <w:r>
            <w:instrText xml:space="preserve">PAGEREF _Toc132856185 \h</w:instrText>
          </w:r>
          <w:r>
            <w:fldChar w:fldCharType="separate"/>
          </w:r>
          <w:r w:rsidRPr="74BA2A84" w:rsidR="74BA2A84">
            <w:rPr>
              <w:rStyle w:val="Hyperlink"/>
            </w:rPr>
            <w:t>3</w:t>
          </w:r>
          <w:r>
            <w:fldChar w:fldCharType="end"/>
          </w:r>
          <w:r>
            <w:fldChar w:fldCharType="end"/>
          </w:r>
        </w:p>
        <w:p w:rsidR="74BA2A84" w:rsidP="74BA2A84" w:rsidRDefault="74BA2A84" w14:paraId="42AE9D36" w14:textId="13DCD0B9">
          <w:pPr>
            <w:pStyle w:val="TOC2"/>
            <w:tabs>
              <w:tab w:val="right" w:leader="dot" w:pos="9360"/>
            </w:tabs>
            <w:bidi w:val="0"/>
            <w:rPr>
              <w:rStyle w:val="Hyperlink"/>
            </w:rPr>
          </w:pPr>
          <w:r>
            <w:fldChar w:fldCharType="begin"/>
          </w:r>
          <w:r>
            <w:instrText xml:space="preserve">HYPERLINK  \l  "_Toc826510941" </w:instrText>
          </w:r>
          <w:r>
            <w:fldChar w:fldCharType="separate"/>
          </w:r>
          <w:r w:rsidRPr="74BA2A84" w:rsidR="74BA2A84">
            <w:rPr>
              <w:rStyle w:val="Hyperlink"/>
            </w:rPr>
            <w:t>Task 1: Marketing Environment Analysis (1,000 words)</w:t>
          </w:r>
          <w:r>
            <w:tab/>
          </w:r>
          <w:r>
            <w:fldChar w:fldCharType="begin"/>
          </w:r>
          <w:r>
            <w:instrText xml:space="preserve">PAGEREF _Toc826510941 \h</w:instrText>
          </w:r>
          <w:r>
            <w:fldChar w:fldCharType="separate"/>
          </w:r>
          <w:r w:rsidRPr="74BA2A84" w:rsidR="74BA2A84">
            <w:rPr>
              <w:rStyle w:val="Hyperlink"/>
            </w:rPr>
            <w:t>3</w:t>
          </w:r>
          <w:r>
            <w:fldChar w:fldCharType="end"/>
          </w:r>
          <w:r>
            <w:fldChar w:fldCharType="end"/>
          </w:r>
        </w:p>
        <w:p w:rsidR="74BA2A84" w:rsidP="74BA2A84" w:rsidRDefault="74BA2A84" w14:paraId="5E2F2A9D" w14:textId="363D9B4B">
          <w:pPr>
            <w:pStyle w:val="TOC3"/>
            <w:tabs>
              <w:tab w:val="right" w:leader="dot" w:pos="9360"/>
            </w:tabs>
            <w:bidi w:val="0"/>
            <w:rPr>
              <w:rStyle w:val="Hyperlink"/>
            </w:rPr>
          </w:pPr>
          <w:r>
            <w:fldChar w:fldCharType="begin"/>
          </w:r>
          <w:r>
            <w:instrText xml:space="preserve">HYPERLINK  \l  "_Toc1715410265" </w:instrText>
          </w:r>
          <w:r>
            <w:fldChar w:fldCharType="separate"/>
          </w:r>
          <w:r w:rsidRPr="74BA2A84" w:rsidR="74BA2A84">
            <w:rPr>
              <w:rStyle w:val="Hyperlink"/>
            </w:rPr>
            <w:t>1.1 Introduction and Context of BHP Group Limited</w:t>
          </w:r>
          <w:r>
            <w:tab/>
          </w:r>
          <w:r>
            <w:fldChar w:fldCharType="begin"/>
          </w:r>
          <w:r>
            <w:instrText xml:space="preserve">PAGEREF _Toc1715410265 \h</w:instrText>
          </w:r>
          <w:r>
            <w:fldChar w:fldCharType="separate"/>
          </w:r>
          <w:r w:rsidRPr="74BA2A84" w:rsidR="74BA2A84">
            <w:rPr>
              <w:rStyle w:val="Hyperlink"/>
            </w:rPr>
            <w:t>3</w:t>
          </w:r>
          <w:r>
            <w:fldChar w:fldCharType="end"/>
          </w:r>
          <w:r>
            <w:fldChar w:fldCharType="end"/>
          </w:r>
        </w:p>
        <w:p w:rsidR="74BA2A84" w:rsidP="74BA2A84" w:rsidRDefault="74BA2A84" w14:paraId="0A5D9FD0" w14:textId="302C8B08">
          <w:pPr>
            <w:pStyle w:val="TOC3"/>
            <w:tabs>
              <w:tab w:val="right" w:leader="dot" w:pos="9360"/>
            </w:tabs>
            <w:bidi w:val="0"/>
            <w:rPr>
              <w:rStyle w:val="Hyperlink"/>
            </w:rPr>
          </w:pPr>
          <w:r>
            <w:fldChar w:fldCharType="begin"/>
          </w:r>
          <w:r>
            <w:instrText xml:space="preserve">HYPERLINK  \l  "_Toc528156732" </w:instrText>
          </w:r>
          <w:r>
            <w:fldChar w:fldCharType="separate"/>
          </w:r>
          <w:r w:rsidRPr="74BA2A84" w:rsidR="74BA2A84">
            <w:rPr>
              <w:rStyle w:val="Hyperlink"/>
            </w:rPr>
            <w:t>1.2 Actor 1: The Natural Environment</w:t>
          </w:r>
          <w:r>
            <w:tab/>
          </w:r>
          <w:r>
            <w:fldChar w:fldCharType="begin"/>
          </w:r>
          <w:r>
            <w:instrText xml:space="preserve">PAGEREF _Toc528156732 \h</w:instrText>
          </w:r>
          <w:r>
            <w:fldChar w:fldCharType="separate"/>
          </w:r>
          <w:r w:rsidRPr="74BA2A84" w:rsidR="74BA2A84">
            <w:rPr>
              <w:rStyle w:val="Hyperlink"/>
            </w:rPr>
            <w:t>3</w:t>
          </w:r>
          <w:r>
            <w:fldChar w:fldCharType="end"/>
          </w:r>
          <w:r>
            <w:fldChar w:fldCharType="end"/>
          </w:r>
        </w:p>
        <w:p w:rsidR="74BA2A84" w:rsidP="74BA2A84" w:rsidRDefault="74BA2A84" w14:paraId="06393329" w14:textId="4E89023D">
          <w:pPr>
            <w:pStyle w:val="TOC4"/>
            <w:tabs>
              <w:tab w:val="right" w:leader="dot" w:pos="9360"/>
            </w:tabs>
            <w:bidi w:val="0"/>
            <w:rPr>
              <w:rStyle w:val="Hyperlink"/>
            </w:rPr>
          </w:pPr>
          <w:r>
            <w:fldChar w:fldCharType="begin"/>
          </w:r>
          <w:r>
            <w:instrText xml:space="preserve">HYPERLINK  \l  "_Toc1146985026" </w:instrText>
          </w:r>
          <w:r>
            <w:fldChar w:fldCharType="separate"/>
          </w:r>
          <w:r w:rsidRPr="74BA2A84" w:rsidR="74BA2A84">
            <w:rPr>
              <w:rStyle w:val="Hyperlink"/>
            </w:rPr>
            <w:t>Physical Climate Risks and Resource Scarcity</w:t>
          </w:r>
          <w:r>
            <w:tab/>
          </w:r>
          <w:r>
            <w:fldChar w:fldCharType="begin"/>
          </w:r>
          <w:r>
            <w:instrText xml:space="preserve">PAGEREF _Toc1146985026 \h</w:instrText>
          </w:r>
          <w:r>
            <w:fldChar w:fldCharType="separate"/>
          </w:r>
          <w:r w:rsidRPr="74BA2A84" w:rsidR="74BA2A84">
            <w:rPr>
              <w:rStyle w:val="Hyperlink"/>
            </w:rPr>
            <w:t>4</w:t>
          </w:r>
          <w:r>
            <w:fldChar w:fldCharType="end"/>
          </w:r>
          <w:r>
            <w:fldChar w:fldCharType="end"/>
          </w:r>
        </w:p>
        <w:p w:rsidR="74BA2A84" w:rsidP="74BA2A84" w:rsidRDefault="74BA2A84" w14:paraId="14E000DF" w14:textId="0EA773F8">
          <w:pPr>
            <w:pStyle w:val="TOC4"/>
            <w:tabs>
              <w:tab w:val="right" w:leader="dot" w:pos="9360"/>
            </w:tabs>
            <w:bidi w:val="0"/>
            <w:rPr>
              <w:rStyle w:val="Hyperlink"/>
            </w:rPr>
          </w:pPr>
          <w:r>
            <w:fldChar w:fldCharType="begin"/>
          </w:r>
          <w:r>
            <w:instrText xml:space="preserve">HYPERLINK  \l  "_Toc1082385539" </w:instrText>
          </w:r>
          <w:r>
            <w:fldChar w:fldCharType="separate"/>
          </w:r>
          <w:r w:rsidRPr="74BA2A84" w:rsidR="74BA2A84">
            <w:rPr>
              <w:rStyle w:val="Hyperlink"/>
            </w:rPr>
            <w:t>The Shift to "Future-Facing Commodities"</w:t>
          </w:r>
          <w:r>
            <w:tab/>
          </w:r>
          <w:r>
            <w:fldChar w:fldCharType="begin"/>
          </w:r>
          <w:r>
            <w:instrText xml:space="preserve">PAGEREF _Toc1082385539 \h</w:instrText>
          </w:r>
          <w:r>
            <w:fldChar w:fldCharType="separate"/>
          </w:r>
          <w:r w:rsidRPr="74BA2A84" w:rsidR="74BA2A84">
            <w:rPr>
              <w:rStyle w:val="Hyperlink"/>
            </w:rPr>
            <w:t>4</w:t>
          </w:r>
          <w:r>
            <w:fldChar w:fldCharType="end"/>
          </w:r>
          <w:r>
            <w:fldChar w:fldCharType="end"/>
          </w:r>
        </w:p>
        <w:p w:rsidR="74BA2A84" w:rsidP="74BA2A84" w:rsidRDefault="74BA2A84" w14:paraId="6AE247B4" w14:textId="0BE7F736">
          <w:pPr>
            <w:pStyle w:val="TOC4"/>
            <w:tabs>
              <w:tab w:val="right" w:leader="dot" w:pos="9360"/>
            </w:tabs>
            <w:bidi w:val="0"/>
            <w:rPr>
              <w:rStyle w:val="Hyperlink"/>
            </w:rPr>
          </w:pPr>
          <w:r>
            <w:fldChar w:fldCharType="begin"/>
          </w:r>
          <w:r>
            <w:instrText xml:space="preserve">HYPERLINK  \l  "_Toc1086604687" </w:instrText>
          </w:r>
          <w:r>
            <w:fldChar w:fldCharType="separate"/>
          </w:r>
          <w:r w:rsidRPr="74BA2A84" w:rsidR="74BA2A84">
            <w:rPr>
              <w:rStyle w:val="Hyperlink"/>
            </w:rPr>
            <w:t>Decarbonisation of Value Chains and Scope 3 Pressures</w:t>
          </w:r>
          <w:r>
            <w:tab/>
          </w:r>
          <w:r>
            <w:fldChar w:fldCharType="begin"/>
          </w:r>
          <w:r>
            <w:instrText xml:space="preserve">PAGEREF _Toc1086604687 \h</w:instrText>
          </w:r>
          <w:r>
            <w:fldChar w:fldCharType="separate"/>
          </w:r>
          <w:r w:rsidRPr="74BA2A84" w:rsidR="74BA2A84">
            <w:rPr>
              <w:rStyle w:val="Hyperlink"/>
            </w:rPr>
            <w:t>4</w:t>
          </w:r>
          <w:r>
            <w:fldChar w:fldCharType="end"/>
          </w:r>
          <w:r>
            <w:fldChar w:fldCharType="end"/>
          </w:r>
        </w:p>
        <w:p w:rsidR="74BA2A84" w:rsidP="74BA2A84" w:rsidRDefault="74BA2A84" w14:paraId="303AB5D4" w14:textId="65EEFC2D">
          <w:pPr>
            <w:pStyle w:val="TOC3"/>
            <w:tabs>
              <w:tab w:val="right" w:leader="dot" w:pos="9360"/>
            </w:tabs>
            <w:bidi w:val="0"/>
            <w:rPr>
              <w:rStyle w:val="Hyperlink"/>
            </w:rPr>
          </w:pPr>
          <w:r>
            <w:fldChar w:fldCharType="begin"/>
          </w:r>
          <w:r>
            <w:instrText xml:space="preserve">HYPERLINK  \l  "_Toc859814883" </w:instrText>
          </w:r>
          <w:r>
            <w:fldChar w:fldCharType="separate"/>
          </w:r>
          <w:r w:rsidRPr="74BA2A84" w:rsidR="74BA2A84">
            <w:rPr>
              <w:rStyle w:val="Hyperlink"/>
            </w:rPr>
            <w:t>1.3 Actor 2: The Political, Legal, and Regulatory Environment</w:t>
          </w:r>
          <w:r>
            <w:tab/>
          </w:r>
          <w:r>
            <w:fldChar w:fldCharType="begin"/>
          </w:r>
          <w:r>
            <w:instrText xml:space="preserve">PAGEREF _Toc859814883 \h</w:instrText>
          </w:r>
          <w:r>
            <w:fldChar w:fldCharType="separate"/>
          </w:r>
          <w:r w:rsidRPr="74BA2A84" w:rsidR="74BA2A84">
            <w:rPr>
              <w:rStyle w:val="Hyperlink"/>
            </w:rPr>
            <w:t>4</w:t>
          </w:r>
          <w:r>
            <w:fldChar w:fldCharType="end"/>
          </w:r>
          <w:r>
            <w:fldChar w:fldCharType="end"/>
          </w:r>
        </w:p>
        <w:p w:rsidR="74BA2A84" w:rsidP="74BA2A84" w:rsidRDefault="74BA2A84" w14:paraId="63E24E12" w14:textId="4C9F457C">
          <w:pPr>
            <w:pStyle w:val="TOC4"/>
            <w:tabs>
              <w:tab w:val="right" w:leader="dot" w:pos="9360"/>
            </w:tabs>
            <w:bidi w:val="0"/>
            <w:rPr>
              <w:rStyle w:val="Hyperlink"/>
            </w:rPr>
          </w:pPr>
          <w:r>
            <w:fldChar w:fldCharType="begin"/>
          </w:r>
          <w:r>
            <w:instrText xml:space="preserve">HYPERLINK  \l  "_Toc104151608" </w:instrText>
          </w:r>
          <w:r>
            <w:fldChar w:fldCharType="separate"/>
          </w:r>
          <w:r w:rsidRPr="74BA2A84" w:rsidR="74BA2A84">
            <w:rPr>
              <w:rStyle w:val="Hyperlink"/>
            </w:rPr>
            <w:t>Domestic Regulatory Pressures: Australia’s Safeguard Mechanism</w:t>
          </w:r>
          <w:r>
            <w:tab/>
          </w:r>
          <w:r>
            <w:fldChar w:fldCharType="begin"/>
          </w:r>
          <w:r>
            <w:instrText xml:space="preserve">PAGEREF _Toc104151608 \h</w:instrText>
          </w:r>
          <w:r>
            <w:fldChar w:fldCharType="separate"/>
          </w:r>
          <w:r w:rsidRPr="74BA2A84" w:rsidR="74BA2A84">
            <w:rPr>
              <w:rStyle w:val="Hyperlink"/>
            </w:rPr>
            <w:t>5</w:t>
          </w:r>
          <w:r>
            <w:fldChar w:fldCharType="end"/>
          </w:r>
          <w:r>
            <w:fldChar w:fldCharType="end"/>
          </w:r>
        </w:p>
        <w:p w:rsidR="74BA2A84" w:rsidP="74BA2A84" w:rsidRDefault="74BA2A84" w14:paraId="0CAAF911" w14:textId="2118CD55">
          <w:pPr>
            <w:pStyle w:val="TOC4"/>
            <w:tabs>
              <w:tab w:val="right" w:leader="dot" w:pos="9360"/>
            </w:tabs>
            <w:bidi w:val="0"/>
            <w:rPr>
              <w:rStyle w:val="Hyperlink"/>
            </w:rPr>
          </w:pPr>
          <w:r>
            <w:fldChar w:fldCharType="begin"/>
          </w:r>
          <w:r>
            <w:instrText xml:space="preserve">HYPERLINK  \l  "_Toc559989585" </w:instrText>
          </w:r>
          <w:r>
            <w:fldChar w:fldCharType="separate"/>
          </w:r>
          <w:r w:rsidRPr="74BA2A84" w:rsidR="74BA2A84">
            <w:rPr>
              <w:rStyle w:val="Hyperlink"/>
            </w:rPr>
            <w:t>International Trade Policies and Carbon Border Adjustments</w:t>
          </w:r>
          <w:r>
            <w:tab/>
          </w:r>
          <w:r>
            <w:fldChar w:fldCharType="begin"/>
          </w:r>
          <w:r>
            <w:instrText xml:space="preserve">PAGEREF _Toc559989585 \h</w:instrText>
          </w:r>
          <w:r>
            <w:fldChar w:fldCharType="separate"/>
          </w:r>
          <w:r w:rsidRPr="74BA2A84" w:rsidR="74BA2A84">
            <w:rPr>
              <w:rStyle w:val="Hyperlink"/>
            </w:rPr>
            <w:t>5</w:t>
          </w:r>
          <w:r>
            <w:fldChar w:fldCharType="end"/>
          </w:r>
          <w:r>
            <w:fldChar w:fldCharType="end"/>
          </w:r>
        </w:p>
        <w:p w:rsidR="74BA2A84" w:rsidP="74BA2A84" w:rsidRDefault="74BA2A84" w14:paraId="7AB80BF2" w14:textId="6D3CE8AF">
          <w:pPr>
            <w:pStyle w:val="TOC4"/>
            <w:tabs>
              <w:tab w:val="right" w:leader="dot" w:pos="9360"/>
            </w:tabs>
            <w:bidi w:val="0"/>
            <w:rPr>
              <w:rStyle w:val="Hyperlink"/>
            </w:rPr>
          </w:pPr>
          <w:r>
            <w:fldChar w:fldCharType="begin"/>
          </w:r>
          <w:r>
            <w:instrText xml:space="preserve">HYPERLINK  \l  "_Toc840375122" </w:instrText>
          </w:r>
          <w:r>
            <w:fldChar w:fldCharType="separate"/>
          </w:r>
          <w:r w:rsidRPr="74BA2A84" w:rsidR="74BA2A84">
            <w:rPr>
              <w:rStyle w:val="Hyperlink"/>
            </w:rPr>
            <w:t>Policy Uncertainty and Tax Frameworks</w:t>
          </w:r>
          <w:r>
            <w:tab/>
          </w:r>
          <w:r>
            <w:fldChar w:fldCharType="begin"/>
          </w:r>
          <w:r>
            <w:instrText xml:space="preserve">PAGEREF _Toc840375122 \h</w:instrText>
          </w:r>
          <w:r>
            <w:fldChar w:fldCharType="separate"/>
          </w:r>
          <w:r w:rsidRPr="74BA2A84" w:rsidR="74BA2A84">
            <w:rPr>
              <w:rStyle w:val="Hyperlink"/>
            </w:rPr>
            <w:t>5</w:t>
          </w:r>
          <w:r>
            <w:fldChar w:fldCharType="end"/>
          </w:r>
          <w:r>
            <w:fldChar w:fldCharType="end"/>
          </w:r>
        </w:p>
        <w:p w:rsidR="74BA2A84" w:rsidP="74BA2A84" w:rsidRDefault="74BA2A84" w14:paraId="1A3B769E" w14:textId="03A6F454">
          <w:pPr>
            <w:pStyle w:val="TOC3"/>
            <w:tabs>
              <w:tab w:val="right" w:leader="dot" w:pos="9360"/>
            </w:tabs>
            <w:bidi w:val="0"/>
            <w:rPr>
              <w:rStyle w:val="Hyperlink"/>
            </w:rPr>
          </w:pPr>
          <w:r>
            <w:fldChar w:fldCharType="begin"/>
          </w:r>
          <w:r>
            <w:instrText xml:space="preserve">HYPERLINK  \l  "_Toc797353024" </w:instrText>
          </w:r>
          <w:r>
            <w:fldChar w:fldCharType="separate"/>
          </w:r>
          <w:r w:rsidRPr="74BA2A84" w:rsidR="74BA2A84">
            <w:rPr>
              <w:rStyle w:val="Hyperlink"/>
            </w:rPr>
            <w:t>1.4 Synthesis of Marketing Environment Interactions</w:t>
          </w:r>
          <w:r>
            <w:tab/>
          </w:r>
          <w:r>
            <w:fldChar w:fldCharType="begin"/>
          </w:r>
          <w:r>
            <w:instrText xml:space="preserve">PAGEREF _Toc797353024 \h</w:instrText>
          </w:r>
          <w:r>
            <w:fldChar w:fldCharType="separate"/>
          </w:r>
          <w:r w:rsidRPr="74BA2A84" w:rsidR="74BA2A84">
            <w:rPr>
              <w:rStyle w:val="Hyperlink"/>
            </w:rPr>
            <w:t>6</w:t>
          </w:r>
          <w:r>
            <w:fldChar w:fldCharType="end"/>
          </w:r>
          <w:r>
            <w:fldChar w:fldCharType="end"/>
          </w:r>
        </w:p>
        <w:p w:rsidR="74BA2A84" w:rsidP="74BA2A84" w:rsidRDefault="74BA2A84" w14:paraId="64ADA779" w14:textId="0F4B220E">
          <w:pPr>
            <w:pStyle w:val="TOC2"/>
            <w:tabs>
              <w:tab w:val="right" w:leader="dot" w:pos="9360"/>
            </w:tabs>
            <w:bidi w:val="0"/>
            <w:rPr>
              <w:rStyle w:val="Hyperlink"/>
            </w:rPr>
          </w:pPr>
          <w:r>
            <w:fldChar w:fldCharType="begin"/>
          </w:r>
          <w:r>
            <w:instrText xml:space="preserve">HYPERLINK  \l  "_Toc289574395" </w:instrText>
          </w:r>
          <w:r>
            <w:fldChar w:fldCharType="separate"/>
          </w:r>
          <w:r w:rsidRPr="74BA2A84" w:rsidR="74BA2A84">
            <w:rPr>
              <w:rStyle w:val="Hyperlink"/>
            </w:rPr>
            <w:t>Task 2: Strategic Growth and Competitive Positioning (1,000 words)</w:t>
          </w:r>
          <w:r>
            <w:tab/>
          </w:r>
          <w:r>
            <w:fldChar w:fldCharType="begin"/>
          </w:r>
          <w:r>
            <w:instrText xml:space="preserve">PAGEREF _Toc289574395 \h</w:instrText>
          </w:r>
          <w:r>
            <w:fldChar w:fldCharType="separate"/>
          </w:r>
          <w:r w:rsidRPr="74BA2A84" w:rsidR="74BA2A84">
            <w:rPr>
              <w:rStyle w:val="Hyperlink"/>
            </w:rPr>
            <w:t>6</w:t>
          </w:r>
          <w:r>
            <w:fldChar w:fldCharType="end"/>
          </w:r>
          <w:r>
            <w:fldChar w:fldCharType="end"/>
          </w:r>
        </w:p>
        <w:p w:rsidR="74BA2A84" w:rsidP="74BA2A84" w:rsidRDefault="74BA2A84" w14:paraId="63136EC0" w14:textId="25F91D63">
          <w:pPr>
            <w:pStyle w:val="TOC3"/>
            <w:tabs>
              <w:tab w:val="right" w:leader="dot" w:pos="9360"/>
            </w:tabs>
            <w:bidi w:val="0"/>
            <w:rPr>
              <w:rStyle w:val="Hyperlink"/>
            </w:rPr>
          </w:pPr>
          <w:r>
            <w:fldChar w:fldCharType="begin"/>
          </w:r>
          <w:r>
            <w:instrText xml:space="preserve">HYPERLINK  \l  "_Toc1240721635" </w:instrText>
          </w:r>
          <w:r>
            <w:fldChar w:fldCharType="separate"/>
          </w:r>
          <w:r w:rsidRPr="74BA2A84" w:rsidR="74BA2A84">
            <w:rPr>
              <w:rStyle w:val="Hyperlink"/>
            </w:rPr>
            <w:t>2.1 Strategic Growth Analysis Using the Ansoff Matrix</w:t>
          </w:r>
          <w:r>
            <w:tab/>
          </w:r>
          <w:r>
            <w:fldChar w:fldCharType="begin"/>
          </w:r>
          <w:r>
            <w:instrText xml:space="preserve">PAGEREF _Toc1240721635 \h</w:instrText>
          </w:r>
          <w:r>
            <w:fldChar w:fldCharType="separate"/>
          </w:r>
          <w:r w:rsidRPr="74BA2A84" w:rsidR="74BA2A84">
            <w:rPr>
              <w:rStyle w:val="Hyperlink"/>
            </w:rPr>
            <w:t>6</w:t>
          </w:r>
          <w:r>
            <w:fldChar w:fldCharType="end"/>
          </w:r>
          <w:r>
            <w:fldChar w:fldCharType="end"/>
          </w:r>
        </w:p>
        <w:p w:rsidR="74BA2A84" w:rsidP="74BA2A84" w:rsidRDefault="74BA2A84" w14:paraId="45A84BD7" w14:textId="4007952A">
          <w:pPr>
            <w:pStyle w:val="TOC4"/>
            <w:tabs>
              <w:tab w:val="right" w:leader="dot" w:pos="9360"/>
            </w:tabs>
            <w:bidi w:val="0"/>
            <w:rPr>
              <w:rStyle w:val="Hyperlink"/>
            </w:rPr>
          </w:pPr>
          <w:r>
            <w:fldChar w:fldCharType="begin"/>
          </w:r>
          <w:r>
            <w:instrText xml:space="preserve">HYPERLINK  \l  "_Toc30942581" </w:instrText>
          </w:r>
          <w:r>
            <w:fldChar w:fldCharType="separate"/>
          </w:r>
          <w:r w:rsidRPr="74BA2A84" w:rsidR="74BA2A84">
            <w:rPr>
              <w:rStyle w:val="Hyperlink"/>
            </w:rPr>
            <w:t>2.1.1 Market Penetration (Existing Products, Existing Markets)</w:t>
          </w:r>
          <w:r>
            <w:tab/>
          </w:r>
          <w:r>
            <w:fldChar w:fldCharType="begin"/>
          </w:r>
          <w:r>
            <w:instrText xml:space="preserve">PAGEREF _Toc30942581 \h</w:instrText>
          </w:r>
          <w:r>
            <w:fldChar w:fldCharType="separate"/>
          </w:r>
          <w:r w:rsidRPr="74BA2A84" w:rsidR="74BA2A84">
            <w:rPr>
              <w:rStyle w:val="Hyperlink"/>
            </w:rPr>
            <w:t>6</w:t>
          </w:r>
          <w:r>
            <w:fldChar w:fldCharType="end"/>
          </w:r>
          <w:r>
            <w:fldChar w:fldCharType="end"/>
          </w:r>
        </w:p>
        <w:p w:rsidR="74BA2A84" w:rsidP="74BA2A84" w:rsidRDefault="74BA2A84" w14:paraId="596C5CD8" w14:textId="64E17622">
          <w:pPr>
            <w:pStyle w:val="TOC4"/>
            <w:tabs>
              <w:tab w:val="right" w:leader="dot" w:pos="9360"/>
            </w:tabs>
            <w:bidi w:val="0"/>
            <w:rPr>
              <w:rStyle w:val="Hyperlink"/>
            </w:rPr>
          </w:pPr>
          <w:r>
            <w:fldChar w:fldCharType="begin"/>
          </w:r>
          <w:r>
            <w:instrText xml:space="preserve">HYPERLINK  \l  "_Toc1923495594" </w:instrText>
          </w:r>
          <w:r>
            <w:fldChar w:fldCharType="separate"/>
          </w:r>
          <w:r w:rsidRPr="74BA2A84" w:rsidR="74BA2A84">
            <w:rPr>
              <w:rStyle w:val="Hyperlink"/>
            </w:rPr>
            <w:t>2.1.2 Product Development (New/Modified Products, Existing Markets)</w:t>
          </w:r>
          <w:r>
            <w:tab/>
          </w:r>
          <w:r>
            <w:fldChar w:fldCharType="begin"/>
          </w:r>
          <w:r>
            <w:instrText xml:space="preserve">PAGEREF _Toc1923495594 \h</w:instrText>
          </w:r>
          <w:r>
            <w:fldChar w:fldCharType="separate"/>
          </w:r>
          <w:r w:rsidRPr="74BA2A84" w:rsidR="74BA2A84">
            <w:rPr>
              <w:rStyle w:val="Hyperlink"/>
            </w:rPr>
            <w:t>7</w:t>
          </w:r>
          <w:r>
            <w:fldChar w:fldCharType="end"/>
          </w:r>
          <w:r>
            <w:fldChar w:fldCharType="end"/>
          </w:r>
        </w:p>
        <w:p w:rsidR="74BA2A84" w:rsidP="74BA2A84" w:rsidRDefault="74BA2A84" w14:paraId="5C681BAE" w14:textId="37E7E7F7">
          <w:pPr>
            <w:pStyle w:val="TOC4"/>
            <w:tabs>
              <w:tab w:val="right" w:leader="dot" w:pos="9360"/>
            </w:tabs>
            <w:bidi w:val="0"/>
            <w:rPr>
              <w:rStyle w:val="Hyperlink"/>
            </w:rPr>
          </w:pPr>
          <w:r>
            <w:fldChar w:fldCharType="begin"/>
          </w:r>
          <w:r>
            <w:instrText xml:space="preserve">HYPERLINK  \l  "_Toc1263805757" </w:instrText>
          </w:r>
          <w:r>
            <w:fldChar w:fldCharType="separate"/>
          </w:r>
          <w:r w:rsidRPr="74BA2A84" w:rsidR="74BA2A84">
            <w:rPr>
              <w:rStyle w:val="Hyperlink"/>
            </w:rPr>
            <w:t>2.1.3 Market Development (Existing Products, New Markets)</w:t>
          </w:r>
          <w:r>
            <w:tab/>
          </w:r>
          <w:r>
            <w:fldChar w:fldCharType="begin"/>
          </w:r>
          <w:r>
            <w:instrText xml:space="preserve">PAGEREF _Toc1263805757 \h</w:instrText>
          </w:r>
          <w:r>
            <w:fldChar w:fldCharType="separate"/>
          </w:r>
          <w:r w:rsidRPr="74BA2A84" w:rsidR="74BA2A84">
            <w:rPr>
              <w:rStyle w:val="Hyperlink"/>
            </w:rPr>
            <w:t>7</w:t>
          </w:r>
          <w:r>
            <w:fldChar w:fldCharType="end"/>
          </w:r>
          <w:r>
            <w:fldChar w:fldCharType="end"/>
          </w:r>
        </w:p>
        <w:p w:rsidR="74BA2A84" w:rsidP="74BA2A84" w:rsidRDefault="74BA2A84" w14:paraId="446EE29A" w14:textId="524F4DA6">
          <w:pPr>
            <w:pStyle w:val="TOC4"/>
            <w:tabs>
              <w:tab w:val="right" w:leader="dot" w:pos="9360"/>
            </w:tabs>
            <w:bidi w:val="0"/>
            <w:rPr>
              <w:rStyle w:val="Hyperlink"/>
            </w:rPr>
          </w:pPr>
          <w:r>
            <w:fldChar w:fldCharType="begin"/>
          </w:r>
          <w:r>
            <w:instrText xml:space="preserve">HYPERLINK  \l  "_Toc515876402" </w:instrText>
          </w:r>
          <w:r>
            <w:fldChar w:fldCharType="separate"/>
          </w:r>
          <w:r w:rsidRPr="74BA2A84" w:rsidR="74BA2A84">
            <w:rPr>
              <w:rStyle w:val="Hyperlink"/>
            </w:rPr>
            <w:t>2.1.4 Diversification (New Products, New Markets)</w:t>
          </w:r>
          <w:r>
            <w:tab/>
          </w:r>
          <w:r>
            <w:fldChar w:fldCharType="begin"/>
          </w:r>
          <w:r>
            <w:instrText xml:space="preserve">PAGEREF _Toc515876402 \h</w:instrText>
          </w:r>
          <w:r>
            <w:fldChar w:fldCharType="separate"/>
          </w:r>
          <w:r w:rsidRPr="74BA2A84" w:rsidR="74BA2A84">
            <w:rPr>
              <w:rStyle w:val="Hyperlink"/>
            </w:rPr>
            <w:t>7</w:t>
          </w:r>
          <w:r>
            <w:fldChar w:fldCharType="end"/>
          </w:r>
          <w:r>
            <w:fldChar w:fldCharType="end"/>
          </w:r>
        </w:p>
        <w:p w:rsidR="74BA2A84" w:rsidP="74BA2A84" w:rsidRDefault="74BA2A84" w14:paraId="39D8067D" w14:textId="650FE28E">
          <w:pPr>
            <w:pStyle w:val="TOC3"/>
            <w:tabs>
              <w:tab w:val="right" w:leader="dot" w:pos="9360"/>
            </w:tabs>
            <w:bidi w:val="0"/>
            <w:rPr>
              <w:rStyle w:val="Hyperlink"/>
            </w:rPr>
          </w:pPr>
          <w:r>
            <w:fldChar w:fldCharType="begin"/>
          </w:r>
          <w:r>
            <w:instrText xml:space="preserve">HYPERLINK  \l  "_Toc1391878632" </w:instrText>
          </w:r>
          <w:r>
            <w:fldChar w:fldCharType="separate"/>
          </w:r>
          <w:r w:rsidRPr="74BA2A84" w:rsidR="74BA2A84">
            <w:rPr>
              <w:rStyle w:val="Hyperlink"/>
            </w:rPr>
            <w:t>2.2 Recommended Primary Growth Vector</w:t>
          </w:r>
          <w:r>
            <w:tab/>
          </w:r>
          <w:r>
            <w:fldChar w:fldCharType="begin"/>
          </w:r>
          <w:r>
            <w:instrText xml:space="preserve">PAGEREF _Toc1391878632 \h</w:instrText>
          </w:r>
          <w:r>
            <w:fldChar w:fldCharType="separate"/>
          </w:r>
          <w:r w:rsidRPr="74BA2A84" w:rsidR="74BA2A84">
            <w:rPr>
              <w:rStyle w:val="Hyperlink"/>
            </w:rPr>
            <w:t>8</w:t>
          </w:r>
          <w:r>
            <w:fldChar w:fldCharType="end"/>
          </w:r>
          <w:r>
            <w:fldChar w:fldCharType="end"/>
          </w:r>
        </w:p>
        <w:p w:rsidR="74BA2A84" w:rsidP="74BA2A84" w:rsidRDefault="74BA2A84" w14:paraId="47DDFBCB" w14:textId="2C01187F">
          <w:pPr>
            <w:pStyle w:val="TOC3"/>
            <w:tabs>
              <w:tab w:val="right" w:leader="dot" w:pos="9360"/>
            </w:tabs>
            <w:bidi w:val="0"/>
            <w:rPr>
              <w:rStyle w:val="Hyperlink"/>
            </w:rPr>
          </w:pPr>
          <w:r>
            <w:fldChar w:fldCharType="begin"/>
          </w:r>
          <w:r>
            <w:instrText xml:space="preserve">HYPERLINK  \l  "_Toc1353319900" </w:instrText>
          </w:r>
          <w:r>
            <w:fldChar w:fldCharType="separate"/>
          </w:r>
          <w:r w:rsidRPr="74BA2A84" w:rsidR="74BA2A84">
            <w:rPr>
              <w:rStyle w:val="Hyperlink"/>
            </w:rPr>
            <w:t>2.3 Achieving Competitive Advantage in a Low-Carbon Model</w:t>
          </w:r>
          <w:r>
            <w:tab/>
          </w:r>
          <w:r>
            <w:fldChar w:fldCharType="begin"/>
          </w:r>
          <w:r>
            <w:instrText xml:space="preserve">PAGEREF _Toc1353319900 \h</w:instrText>
          </w:r>
          <w:r>
            <w:fldChar w:fldCharType="separate"/>
          </w:r>
          <w:r w:rsidRPr="74BA2A84" w:rsidR="74BA2A84">
            <w:rPr>
              <w:rStyle w:val="Hyperlink"/>
            </w:rPr>
            <w:t>8</w:t>
          </w:r>
          <w:r>
            <w:fldChar w:fldCharType="end"/>
          </w:r>
          <w:r>
            <w:fldChar w:fldCharType="end"/>
          </w:r>
        </w:p>
        <w:p w:rsidR="74BA2A84" w:rsidP="74BA2A84" w:rsidRDefault="74BA2A84" w14:paraId="17F4139A" w14:textId="502011D4">
          <w:pPr>
            <w:pStyle w:val="TOC4"/>
            <w:tabs>
              <w:tab w:val="right" w:leader="dot" w:pos="9360"/>
            </w:tabs>
            <w:bidi w:val="0"/>
            <w:rPr>
              <w:rStyle w:val="Hyperlink"/>
            </w:rPr>
          </w:pPr>
          <w:r>
            <w:fldChar w:fldCharType="begin"/>
          </w:r>
          <w:r>
            <w:instrText xml:space="preserve">HYPERLINK  \l  "_Toc478133684" </w:instrText>
          </w:r>
          <w:r>
            <w:fldChar w:fldCharType="separate"/>
          </w:r>
          <w:r w:rsidRPr="74BA2A84" w:rsidR="74BA2A84">
            <w:rPr>
              <w:rStyle w:val="Hyperlink"/>
            </w:rPr>
            <w:t>2.3.1 Porter’s Generic Strategy: Focused Differentiation</w:t>
          </w:r>
          <w:r>
            <w:tab/>
          </w:r>
          <w:r>
            <w:fldChar w:fldCharType="begin"/>
          </w:r>
          <w:r>
            <w:instrText xml:space="preserve">PAGEREF _Toc478133684 \h</w:instrText>
          </w:r>
          <w:r>
            <w:fldChar w:fldCharType="separate"/>
          </w:r>
          <w:r w:rsidRPr="74BA2A84" w:rsidR="74BA2A84">
            <w:rPr>
              <w:rStyle w:val="Hyperlink"/>
            </w:rPr>
            <w:t>8</w:t>
          </w:r>
          <w:r>
            <w:fldChar w:fldCharType="end"/>
          </w:r>
          <w:r>
            <w:fldChar w:fldCharType="end"/>
          </w:r>
        </w:p>
        <w:p w:rsidR="74BA2A84" w:rsidP="74BA2A84" w:rsidRDefault="74BA2A84" w14:paraId="6BC88510" w14:textId="5A8C63F4">
          <w:pPr>
            <w:pStyle w:val="TOC4"/>
            <w:tabs>
              <w:tab w:val="right" w:leader="dot" w:pos="9360"/>
            </w:tabs>
            <w:bidi w:val="0"/>
            <w:rPr>
              <w:rStyle w:val="Hyperlink"/>
            </w:rPr>
          </w:pPr>
          <w:r>
            <w:fldChar w:fldCharType="begin"/>
          </w:r>
          <w:r>
            <w:instrText xml:space="preserve">HYPERLINK  \l  "_Toc1314732488" </w:instrText>
          </w:r>
          <w:r>
            <w:fldChar w:fldCharType="separate"/>
          </w:r>
          <w:r w:rsidRPr="74BA2A84" w:rsidR="74BA2A84">
            <w:rPr>
              <w:rStyle w:val="Hyperlink"/>
            </w:rPr>
            <w:t>2.3.2 Resource-Based View (RBV) and VRIO Framework</w:t>
          </w:r>
          <w:r>
            <w:tab/>
          </w:r>
          <w:r>
            <w:fldChar w:fldCharType="begin"/>
          </w:r>
          <w:r>
            <w:instrText xml:space="preserve">PAGEREF _Toc1314732488 \h</w:instrText>
          </w:r>
          <w:r>
            <w:fldChar w:fldCharType="separate"/>
          </w:r>
          <w:r w:rsidRPr="74BA2A84" w:rsidR="74BA2A84">
            <w:rPr>
              <w:rStyle w:val="Hyperlink"/>
            </w:rPr>
            <w:t>8</w:t>
          </w:r>
          <w:r>
            <w:fldChar w:fldCharType="end"/>
          </w:r>
          <w:r>
            <w:fldChar w:fldCharType="end"/>
          </w:r>
        </w:p>
        <w:p w:rsidR="74BA2A84" w:rsidP="74BA2A84" w:rsidRDefault="74BA2A84" w14:paraId="79CD20C6" w14:textId="62A25203">
          <w:pPr>
            <w:pStyle w:val="TOC2"/>
            <w:tabs>
              <w:tab w:val="right" w:leader="dot" w:pos="9360"/>
            </w:tabs>
            <w:bidi w:val="0"/>
            <w:rPr>
              <w:rStyle w:val="Hyperlink"/>
            </w:rPr>
          </w:pPr>
          <w:r>
            <w:fldChar w:fldCharType="begin"/>
          </w:r>
          <w:r>
            <w:instrText xml:space="preserve">HYPERLINK  \l  "_Toc620021622" </w:instrText>
          </w:r>
          <w:r>
            <w:fldChar w:fldCharType="separate"/>
          </w:r>
          <w:r w:rsidRPr="74BA2A84" w:rsidR="74BA2A84">
            <w:rPr>
              <w:rStyle w:val="Hyperlink"/>
            </w:rPr>
            <w:t>Task 3: Critical Reflection on AI Usage (500 words)</w:t>
          </w:r>
          <w:r>
            <w:tab/>
          </w:r>
          <w:r>
            <w:fldChar w:fldCharType="begin"/>
          </w:r>
          <w:r>
            <w:instrText xml:space="preserve">PAGEREF _Toc620021622 \h</w:instrText>
          </w:r>
          <w:r>
            <w:fldChar w:fldCharType="separate"/>
          </w:r>
          <w:r w:rsidRPr="74BA2A84" w:rsidR="74BA2A84">
            <w:rPr>
              <w:rStyle w:val="Hyperlink"/>
            </w:rPr>
            <w:t>10</w:t>
          </w:r>
          <w:r>
            <w:fldChar w:fldCharType="end"/>
          </w:r>
          <w:r>
            <w:fldChar w:fldCharType="end"/>
          </w:r>
        </w:p>
        <w:p w:rsidR="74BA2A84" w:rsidP="74BA2A84" w:rsidRDefault="74BA2A84" w14:paraId="0A7C045B" w14:textId="146C1A3A">
          <w:pPr>
            <w:pStyle w:val="TOC3"/>
            <w:tabs>
              <w:tab w:val="right" w:leader="dot" w:pos="9360"/>
            </w:tabs>
            <w:bidi w:val="0"/>
            <w:rPr>
              <w:rStyle w:val="Hyperlink"/>
            </w:rPr>
          </w:pPr>
          <w:r>
            <w:fldChar w:fldCharType="begin"/>
          </w:r>
          <w:r>
            <w:instrText xml:space="preserve">HYPERLINK  \l  "_Toc171424816" </w:instrText>
          </w:r>
          <w:r>
            <w:fldChar w:fldCharType="separate"/>
          </w:r>
          <w:r w:rsidRPr="74BA2A84" w:rsidR="74BA2A84">
            <w:rPr>
              <w:rStyle w:val="Hyperlink"/>
            </w:rPr>
            <w:t>3.1 Tool Disclosure Statement</w:t>
          </w:r>
          <w:r>
            <w:tab/>
          </w:r>
          <w:r>
            <w:fldChar w:fldCharType="begin"/>
          </w:r>
          <w:r>
            <w:instrText xml:space="preserve">PAGEREF _Toc171424816 \h</w:instrText>
          </w:r>
          <w:r>
            <w:fldChar w:fldCharType="separate"/>
          </w:r>
          <w:r w:rsidRPr="74BA2A84" w:rsidR="74BA2A84">
            <w:rPr>
              <w:rStyle w:val="Hyperlink"/>
            </w:rPr>
            <w:t>10</w:t>
          </w:r>
          <w:r>
            <w:fldChar w:fldCharType="end"/>
          </w:r>
          <w:r>
            <w:fldChar w:fldCharType="end"/>
          </w:r>
        </w:p>
        <w:p w:rsidR="74BA2A84" w:rsidP="74BA2A84" w:rsidRDefault="74BA2A84" w14:paraId="260A883D" w14:textId="2BC683C9">
          <w:pPr>
            <w:pStyle w:val="TOC3"/>
            <w:tabs>
              <w:tab w:val="right" w:leader="dot" w:pos="9360"/>
            </w:tabs>
            <w:bidi w:val="0"/>
            <w:rPr>
              <w:rStyle w:val="Hyperlink"/>
            </w:rPr>
          </w:pPr>
          <w:r>
            <w:fldChar w:fldCharType="begin"/>
          </w:r>
          <w:r>
            <w:instrText xml:space="preserve">HYPERLINK  \l  "_Toc912425539" </w:instrText>
          </w:r>
          <w:r>
            <w:fldChar w:fldCharType="separate"/>
          </w:r>
          <w:r w:rsidRPr="74BA2A84" w:rsidR="74BA2A84">
            <w:rPr>
              <w:rStyle w:val="Hyperlink"/>
            </w:rPr>
            <w:t>3.2 Critical Evaluation of AI Output and Fact-Verification Methods</w:t>
          </w:r>
          <w:r>
            <w:tab/>
          </w:r>
          <w:r>
            <w:fldChar w:fldCharType="begin"/>
          </w:r>
          <w:r>
            <w:instrText xml:space="preserve">PAGEREF _Toc912425539 \h</w:instrText>
          </w:r>
          <w:r>
            <w:fldChar w:fldCharType="separate"/>
          </w:r>
          <w:r w:rsidRPr="74BA2A84" w:rsidR="74BA2A84">
            <w:rPr>
              <w:rStyle w:val="Hyperlink"/>
            </w:rPr>
            <w:t>10</w:t>
          </w:r>
          <w:r>
            <w:fldChar w:fldCharType="end"/>
          </w:r>
          <w:r>
            <w:fldChar w:fldCharType="end"/>
          </w:r>
        </w:p>
        <w:p w:rsidR="74BA2A84" w:rsidP="74BA2A84" w:rsidRDefault="74BA2A84" w14:paraId="6A1CF78C" w14:textId="2B7E40B6">
          <w:pPr>
            <w:pStyle w:val="TOC4"/>
            <w:tabs>
              <w:tab w:val="right" w:leader="dot" w:pos="9360"/>
            </w:tabs>
            <w:bidi w:val="0"/>
            <w:rPr>
              <w:rStyle w:val="Hyperlink"/>
            </w:rPr>
          </w:pPr>
          <w:r>
            <w:fldChar w:fldCharType="begin"/>
          </w:r>
          <w:r>
            <w:instrText xml:space="preserve">HYPERLINK  \l  "_Toc1490597153" </w:instrText>
          </w:r>
          <w:r>
            <w:fldChar w:fldCharType="separate"/>
          </w:r>
          <w:r w:rsidRPr="74BA2A84" w:rsidR="74BA2A84">
            <w:rPr>
              <w:rStyle w:val="Hyperlink"/>
            </w:rPr>
            <w:t>Verification Protocols</w:t>
          </w:r>
          <w:r>
            <w:tab/>
          </w:r>
          <w:r>
            <w:fldChar w:fldCharType="begin"/>
          </w:r>
          <w:r>
            <w:instrText xml:space="preserve">PAGEREF _Toc1490597153 \h</w:instrText>
          </w:r>
          <w:r>
            <w:fldChar w:fldCharType="separate"/>
          </w:r>
          <w:r w:rsidRPr="74BA2A84" w:rsidR="74BA2A84">
            <w:rPr>
              <w:rStyle w:val="Hyperlink"/>
            </w:rPr>
            <w:t>10</w:t>
          </w:r>
          <w:r>
            <w:fldChar w:fldCharType="end"/>
          </w:r>
          <w:r>
            <w:fldChar w:fldCharType="end"/>
          </w:r>
        </w:p>
        <w:p w:rsidR="74BA2A84" w:rsidP="74BA2A84" w:rsidRDefault="74BA2A84" w14:paraId="3494772B" w14:textId="07F6F546">
          <w:pPr>
            <w:pStyle w:val="TOC4"/>
            <w:tabs>
              <w:tab w:val="right" w:leader="dot" w:pos="9360"/>
            </w:tabs>
            <w:bidi w:val="0"/>
            <w:rPr>
              <w:rStyle w:val="Hyperlink"/>
            </w:rPr>
          </w:pPr>
          <w:r>
            <w:fldChar w:fldCharType="begin"/>
          </w:r>
          <w:r>
            <w:instrText xml:space="preserve">HYPERLINK  \l  "_Toc533591671" </w:instrText>
          </w:r>
          <w:r>
            <w:fldChar w:fldCharType="separate"/>
          </w:r>
          <w:r w:rsidRPr="74BA2A84" w:rsidR="74BA2A84">
            <w:rPr>
              <w:rStyle w:val="Hyperlink"/>
            </w:rPr>
            <w:t>Identification and Correction of AI Errors and Hallucinations</w:t>
          </w:r>
          <w:r>
            <w:tab/>
          </w:r>
          <w:r>
            <w:fldChar w:fldCharType="begin"/>
          </w:r>
          <w:r>
            <w:instrText xml:space="preserve">PAGEREF _Toc533591671 \h</w:instrText>
          </w:r>
          <w:r>
            <w:fldChar w:fldCharType="separate"/>
          </w:r>
          <w:r w:rsidRPr="74BA2A84" w:rsidR="74BA2A84">
            <w:rPr>
              <w:rStyle w:val="Hyperlink"/>
            </w:rPr>
            <w:t>10</w:t>
          </w:r>
          <w:r>
            <w:fldChar w:fldCharType="end"/>
          </w:r>
          <w:r>
            <w:fldChar w:fldCharType="end"/>
          </w:r>
        </w:p>
        <w:p w:rsidR="74BA2A84" w:rsidP="74BA2A84" w:rsidRDefault="74BA2A84" w14:paraId="6F71CF2A" w14:textId="39DB796B">
          <w:pPr>
            <w:pStyle w:val="TOC3"/>
            <w:tabs>
              <w:tab w:val="right" w:leader="dot" w:pos="9360"/>
            </w:tabs>
            <w:bidi w:val="0"/>
            <w:rPr>
              <w:rStyle w:val="Hyperlink"/>
            </w:rPr>
          </w:pPr>
          <w:r>
            <w:fldChar w:fldCharType="begin"/>
          </w:r>
          <w:r>
            <w:instrText xml:space="preserve">HYPERLINK  \l  "_Toc1168293143" </w:instrText>
          </w:r>
          <w:r>
            <w:fldChar w:fldCharType="separate"/>
          </w:r>
          <w:r w:rsidRPr="74BA2A84" w:rsidR="74BA2A84">
            <w:rPr>
              <w:rStyle w:val="Hyperlink"/>
            </w:rPr>
            <w:t>3.3 Contribution Analysis: Distinguishing AI Assistance vs Original Analysis</w:t>
          </w:r>
          <w:r>
            <w:tab/>
          </w:r>
          <w:r>
            <w:fldChar w:fldCharType="begin"/>
          </w:r>
          <w:r>
            <w:instrText xml:space="preserve">PAGEREF _Toc1168293143 \h</w:instrText>
          </w:r>
          <w:r>
            <w:fldChar w:fldCharType="separate"/>
          </w:r>
          <w:r w:rsidRPr="74BA2A84" w:rsidR="74BA2A84">
            <w:rPr>
              <w:rStyle w:val="Hyperlink"/>
            </w:rPr>
            <w:t>11</w:t>
          </w:r>
          <w:r>
            <w:fldChar w:fldCharType="end"/>
          </w:r>
          <w:r>
            <w:fldChar w:fldCharType="end"/>
          </w:r>
        </w:p>
        <w:p w:rsidR="74BA2A84" w:rsidP="74BA2A84" w:rsidRDefault="74BA2A84" w14:paraId="3D9E8EAE" w14:textId="3C418632">
          <w:pPr>
            <w:pStyle w:val="TOC3"/>
            <w:tabs>
              <w:tab w:val="right" w:leader="dot" w:pos="9360"/>
            </w:tabs>
            <w:bidi w:val="0"/>
            <w:rPr>
              <w:rStyle w:val="Hyperlink"/>
            </w:rPr>
          </w:pPr>
          <w:r>
            <w:fldChar w:fldCharType="begin"/>
          </w:r>
          <w:r>
            <w:instrText xml:space="preserve">HYPERLINK  \l  "_Toc781448813" </w:instrText>
          </w:r>
          <w:r>
            <w:fldChar w:fldCharType="separate"/>
          </w:r>
          <w:r w:rsidRPr="74BA2A84" w:rsidR="74BA2A84">
            <w:rPr>
              <w:rStyle w:val="Hyperlink"/>
            </w:rPr>
            <w:t>3.4 Ethical and Professional Reflection</w:t>
          </w:r>
          <w:r>
            <w:tab/>
          </w:r>
          <w:r>
            <w:fldChar w:fldCharType="begin"/>
          </w:r>
          <w:r>
            <w:instrText xml:space="preserve">PAGEREF _Toc781448813 \h</w:instrText>
          </w:r>
          <w:r>
            <w:fldChar w:fldCharType="separate"/>
          </w:r>
          <w:r w:rsidRPr="74BA2A84" w:rsidR="74BA2A84">
            <w:rPr>
              <w:rStyle w:val="Hyperlink"/>
            </w:rPr>
            <w:t>12</w:t>
          </w:r>
          <w:r>
            <w:fldChar w:fldCharType="end"/>
          </w:r>
          <w:r>
            <w:fldChar w:fldCharType="end"/>
          </w:r>
        </w:p>
        <w:p w:rsidR="74BA2A84" w:rsidP="74BA2A84" w:rsidRDefault="74BA2A84" w14:paraId="360E5673" w14:textId="411F9D6B">
          <w:pPr>
            <w:pStyle w:val="TOC4"/>
            <w:tabs>
              <w:tab w:val="right" w:leader="dot" w:pos="9360"/>
            </w:tabs>
            <w:bidi w:val="0"/>
            <w:rPr>
              <w:rStyle w:val="Hyperlink"/>
            </w:rPr>
          </w:pPr>
          <w:r>
            <w:fldChar w:fldCharType="begin"/>
          </w:r>
          <w:r>
            <w:instrText xml:space="preserve">HYPERLINK  \l  "_Toc1750249562" </w:instrText>
          </w:r>
          <w:r>
            <w:fldChar w:fldCharType="separate"/>
          </w:r>
          <w:r w:rsidRPr="74BA2A84" w:rsidR="74BA2A84">
            <w:rPr>
              <w:rStyle w:val="Hyperlink"/>
            </w:rPr>
            <w:t>Epistemic Responsibility and Hallucination Risks</w:t>
          </w:r>
          <w:r>
            <w:tab/>
          </w:r>
          <w:r>
            <w:fldChar w:fldCharType="begin"/>
          </w:r>
          <w:r>
            <w:instrText xml:space="preserve">PAGEREF _Toc1750249562 \h</w:instrText>
          </w:r>
          <w:r>
            <w:fldChar w:fldCharType="separate"/>
          </w:r>
          <w:r w:rsidRPr="74BA2A84" w:rsidR="74BA2A84">
            <w:rPr>
              <w:rStyle w:val="Hyperlink"/>
            </w:rPr>
            <w:t>12</w:t>
          </w:r>
          <w:r>
            <w:fldChar w:fldCharType="end"/>
          </w:r>
          <w:r>
            <w:fldChar w:fldCharType="end"/>
          </w:r>
        </w:p>
        <w:p w:rsidR="74BA2A84" w:rsidP="74BA2A84" w:rsidRDefault="74BA2A84" w14:paraId="5C07167F" w14:textId="0F51C58F">
          <w:pPr>
            <w:pStyle w:val="TOC4"/>
            <w:tabs>
              <w:tab w:val="right" w:leader="dot" w:pos="9360"/>
            </w:tabs>
            <w:bidi w:val="0"/>
            <w:rPr>
              <w:rStyle w:val="Hyperlink"/>
            </w:rPr>
          </w:pPr>
          <w:r>
            <w:fldChar w:fldCharType="begin"/>
          </w:r>
          <w:r>
            <w:instrText xml:space="preserve">HYPERLINK  \l  "_Toc609755770" </w:instrText>
          </w:r>
          <w:r>
            <w:fldChar w:fldCharType="separate"/>
          </w:r>
          <w:r w:rsidRPr="74BA2A84" w:rsidR="74BA2A84">
            <w:rPr>
              <w:rStyle w:val="Hyperlink"/>
            </w:rPr>
            <w:t>Intellectual Ownership and Critical Thinking</w:t>
          </w:r>
          <w:r>
            <w:tab/>
          </w:r>
          <w:r>
            <w:fldChar w:fldCharType="begin"/>
          </w:r>
          <w:r>
            <w:instrText xml:space="preserve">PAGEREF _Toc609755770 \h</w:instrText>
          </w:r>
          <w:r>
            <w:fldChar w:fldCharType="separate"/>
          </w:r>
          <w:r w:rsidRPr="74BA2A84" w:rsidR="74BA2A84">
            <w:rPr>
              <w:rStyle w:val="Hyperlink"/>
            </w:rPr>
            <w:t>12</w:t>
          </w:r>
          <w:r>
            <w:fldChar w:fldCharType="end"/>
          </w:r>
          <w:r>
            <w:fldChar w:fldCharType="end"/>
          </w:r>
        </w:p>
        <w:p w:rsidR="74BA2A84" w:rsidP="74BA2A84" w:rsidRDefault="74BA2A84" w14:paraId="72E44EE8" w14:textId="3311E6AE">
          <w:pPr>
            <w:pStyle w:val="TOC2"/>
            <w:tabs>
              <w:tab w:val="right" w:leader="dot" w:pos="9360"/>
            </w:tabs>
            <w:bidi w:val="0"/>
            <w:rPr>
              <w:rStyle w:val="Hyperlink"/>
            </w:rPr>
          </w:pPr>
          <w:r>
            <w:fldChar w:fldCharType="begin"/>
          </w:r>
          <w:r>
            <w:instrText xml:space="preserve">HYPERLINK  \l  "_Toc1871036242" </w:instrText>
          </w:r>
          <w:r>
            <w:fldChar w:fldCharType="separate"/>
          </w:r>
          <w:r w:rsidRPr="74BA2A84" w:rsidR="74BA2A84">
            <w:rPr>
              <w:rStyle w:val="Hyperlink"/>
            </w:rPr>
            <w:t>References</w:t>
          </w:r>
          <w:r>
            <w:tab/>
          </w:r>
          <w:r>
            <w:fldChar w:fldCharType="begin"/>
          </w:r>
          <w:r>
            <w:instrText xml:space="preserve">PAGEREF _Toc1871036242 \h</w:instrText>
          </w:r>
          <w:r>
            <w:fldChar w:fldCharType="separate"/>
          </w:r>
          <w:r w:rsidRPr="74BA2A84" w:rsidR="74BA2A84">
            <w:rPr>
              <w:rStyle w:val="Hyperlink"/>
            </w:rPr>
            <w:t>12</w:t>
          </w:r>
          <w:r>
            <w:fldChar w:fldCharType="end"/>
          </w:r>
          <w:r>
            <w:fldChar w:fldCharType="end"/>
          </w:r>
        </w:p>
        <w:p w:rsidR="74BA2A84" w:rsidRDefault="74BA2A84" w14:paraId="74328DFE" w14:textId="4A573CC2">
          <w:r>
            <w:fldChar w:fldCharType="end"/>
          </w:r>
        </w:p>
      </w:sdtContent>
    </w:sdt>
    <w:p w:rsidR="1CEC47A0" w:rsidP="1CEC47A0" w:rsidRDefault="1CEC47A0" w14:paraId="330536BA" w14:textId="5421939C">
      <w:pPr>
        <w:pStyle w:val="Heading1"/>
        <w:spacing w:before="0" w:beforeAutospacing="off" w:after="0" w:afterAutospacing="off"/>
        <w:rPr>
          <w:rFonts w:ascii="Google Sans" w:hAnsi="Google Sans" w:eastAsia="Google Sans" w:cs="Google Sans"/>
          <w:b w:val="1"/>
          <w:bCs w:val="1"/>
          <w:i w:val="0"/>
          <w:iCs w:val="0"/>
          <w:strike w:val="0"/>
          <w:dstrike w:val="0"/>
          <w:noProof w:val="0"/>
          <w:color w:val="1F1F1F"/>
          <w:sz w:val="48"/>
          <w:szCs w:val="48"/>
          <w:u w:val="none"/>
          <w:lang w:val="en-US"/>
        </w:rPr>
      </w:pPr>
    </w:p>
    <w:p w:rsidR="1CEC47A0" w:rsidRDefault="1CEC47A0" w14:paraId="400BDC94" w14:textId="327E7A52">
      <w:r>
        <w:br w:type="page"/>
      </w:r>
    </w:p>
    <w:p w:rsidR="1CEC47A0" w:rsidP="1CEC47A0" w:rsidRDefault="1CEC47A0" w14:paraId="2F48A991" w14:textId="4715C3A0">
      <w:pPr>
        <w:pStyle w:val="Heading1"/>
        <w:spacing w:before="0" w:beforeAutospacing="off" w:after="0" w:afterAutospacing="off"/>
        <w:rPr>
          <w:rFonts w:ascii="Google Sans" w:hAnsi="Google Sans" w:eastAsia="Google Sans" w:cs="Google Sans"/>
          <w:b w:val="1"/>
          <w:bCs w:val="1"/>
          <w:i w:val="0"/>
          <w:iCs w:val="0"/>
          <w:strike w:val="0"/>
          <w:dstrike w:val="0"/>
          <w:noProof w:val="0"/>
          <w:color w:val="1F1F1F"/>
          <w:sz w:val="48"/>
          <w:szCs w:val="48"/>
          <w:u w:val="none"/>
          <w:lang w:val="en-US"/>
        </w:rPr>
      </w:pPr>
    </w:p>
    <w:p xmlns:wp14="http://schemas.microsoft.com/office/word/2010/wordml" w:rsidP="74BA2A84" wp14:paraId="38D52CF0" wp14:textId="4B815A01">
      <w:pPr>
        <w:pStyle w:val="Heading1"/>
        <w:spacing w:before="0" w:beforeAutospacing="off" w:after="0" w:afterAutospacing="off"/>
        <w:rPr>
          <w:rFonts w:ascii="Google Sans" w:hAnsi="Google Sans" w:eastAsia="Google Sans" w:cs="Google Sans"/>
          <w:b w:val="1"/>
          <w:bCs w:val="1"/>
          <w:i w:val="0"/>
          <w:iCs w:val="0"/>
          <w:strike w:val="0"/>
          <w:dstrike w:val="0"/>
          <w:noProof w:val="0"/>
          <w:color w:val="1F1F1F"/>
          <w:sz w:val="48"/>
          <w:szCs w:val="48"/>
          <w:u w:val="none"/>
          <w:lang w:val="en-US"/>
        </w:rPr>
      </w:pPr>
      <w:bookmarkStart w:name="_Toc132856185" w:id="2095697711"/>
      <w:r w:rsidRPr="74BA2A84" w:rsidR="2BC9186F">
        <w:rPr>
          <w:rFonts w:ascii="Google Sans" w:hAnsi="Google Sans" w:eastAsia="Google Sans" w:cs="Google Sans"/>
          <w:b w:val="1"/>
          <w:bCs w:val="1"/>
          <w:i w:val="0"/>
          <w:iCs w:val="0"/>
          <w:strike w:val="0"/>
          <w:dstrike w:val="0"/>
          <w:noProof w:val="0"/>
          <w:color w:val="1F1F1F"/>
          <w:sz w:val="48"/>
          <w:szCs w:val="48"/>
          <w:u w:val="none"/>
          <w:lang w:val="en-US"/>
        </w:rPr>
        <w:t xml:space="preserve">Strategic Marketing Report: </w:t>
      </w:r>
      <w:r w:rsidRPr="74BA2A84" w:rsidR="6B2C22D3">
        <w:rPr>
          <w:rFonts w:ascii="Google Sans" w:hAnsi="Google Sans" w:eastAsia="Google Sans" w:cs="Google Sans"/>
          <w:b w:val="1"/>
          <w:bCs w:val="1"/>
          <w:i w:val="0"/>
          <w:iCs w:val="0"/>
          <w:strike w:val="0"/>
          <w:dstrike w:val="0"/>
          <w:noProof w:val="0"/>
          <w:color w:val="1F1F1F"/>
          <w:sz w:val="48"/>
          <w:szCs w:val="48"/>
          <w:u w:val="none"/>
          <w:lang w:val="en-US"/>
        </w:rPr>
        <w:t>Decarbonization</w:t>
      </w:r>
      <w:r w:rsidRPr="74BA2A84" w:rsidR="2BC9186F">
        <w:rPr>
          <w:rFonts w:ascii="Google Sans" w:hAnsi="Google Sans" w:eastAsia="Google Sans" w:cs="Google Sans"/>
          <w:b w:val="1"/>
          <w:bCs w:val="1"/>
          <w:i w:val="0"/>
          <w:iCs w:val="0"/>
          <w:strike w:val="0"/>
          <w:dstrike w:val="0"/>
          <w:noProof w:val="0"/>
          <w:color w:val="1F1F1F"/>
          <w:sz w:val="48"/>
          <w:szCs w:val="48"/>
          <w:u w:val="none"/>
          <w:lang w:val="en-US"/>
        </w:rPr>
        <w:t>, Growth Strategies, and Competitive Positioning at BHP Group Limited</w:t>
      </w:r>
      <w:bookmarkEnd w:id="2095697711"/>
    </w:p>
    <w:p xmlns:wp14="http://schemas.microsoft.com/office/word/2010/wordml" w:rsidP="74BA2A84" wp14:paraId="01B81014" wp14:textId="6803AA3D">
      <w:pPr>
        <w:pStyle w:val="Heading2"/>
        <w:spacing w:before="0" w:beforeAutospacing="off" w:after="0" w:afterAutospacing="off"/>
        <w:rPr>
          <w:rFonts w:ascii="Google Sans" w:hAnsi="Google Sans" w:eastAsia="Google Sans" w:cs="Google Sans"/>
          <w:b w:val="1"/>
          <w:bCs w:val="1"/>
          <w:i w:val="0"/>
          <w:iCs w:val="0"/>
          <w:strike w:val="0"/>
          <w:dstrike w:val="0"/>
          <w:noProof w:val="0"/>
          <w:color w:val="1F1F1F"/>
          <w:sz w:val="36"/>
          <w:szCs w:val="36"/>
          <w:u w:val="none"/>
          <w:lang w:val="en-US"/>
        </w:rPr>
      </w:pPr>
      <w:bookmarkStart w:name="_Toc826510941" w:id="1027035943"/>
      <w:r w:rsidRPr="74BA2A84" w:rsidR="2BC9186F">
        <w:rPr>
          <w:rFonts w:ascii="Google Sans" w:hAnsi="Google Sans" w:eastAsia="Google Sans" w:cs="Google Sans"/>
          <w:b w:val="1"/>
          <w:bCs w:val="1"/>
          <w:i w:val="0"/>
          <w:iCs w:val="0"/>
          <w:strike w:val="0"/>
          <w:dstrike w:val="0"/>
          <w:noProof w:val="0"/>
          <w:color w:val="1F1F1F"/>
          <w:sz w:val="36"/>
          <w:szCs w:val="36"/>
          <w:u w:val="none"/>
          <w:lang w:val="en-US"/>
        </w:rPr>
        <w:t>Task 1: Marketing Environment Analysis (1,000 words)</w:t>
      </w:r>
      <w:bookmarkEnd w:id="1027035943"/>
    </w:p>
    <w:p xmlns:wp14="http://schemas.microsoft.com/office/word/2010/wordml" w:rsidP="74BA2A84" wp14:paraId="7CB4BE80" wp14:textId="0570FB70">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1715410265" w:id="908325433"/>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1.1 Introduction and Context of BHP Group Limited</w:t>
      </w:r>
      <w:bookmarkEnd w:id="908325433"/>
    </w:p>
    <w:p xmlns:wp14="http://schemas.microsoft.com/office/word/2010/wordml" w:rsidP="33C96986" wp14:paraId="0E00FCC5" wp14:textId="53D63C83">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The global metals and mining sector operates at a critical crossroads in the transition to a low-carbon economy. While the extraction and processing of mineral resources are essential for enabling global infrastructure and renewable energy systems, the sector is responsible for approximately 25% of all reported greenhouse gas (GHG) emissions generated by the world’s 12,000 largest corporations. BHP Group Limited (BHP), headquartered in Melbourne, Australia, is the world’s largest diversified mining company by market capitalisation. Its operations span major global jurisdictions, with primary assets in iron ore and metallurgical coal in Australia, copper in Chile and South Australia, and potash development in Canada.</w:t>
      </w:r>
    </w:p>
    <w:p xmlns:wp14="http://schemas.microsoft.com/office/word/2010/wordml" w:rsidP="33C96986" wp14:paraId="28E987DC" wp14:textId="6AEA1E06">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As highlighted by Kotler et al. (2024, pp. 115–117), organisations do not operate in an isolated vacuum; their strategic decision-making and marketing capabilities are continually shaped and constrained by the external marketing environment. For BHP, shifting stakeholder expectations, tightening carbon regulations, and changing customer preferences have elevated sustainability from a peripheral corporate social responsibility (CSR) obligation to a core strategic imperative. To maintain its market leadership and societal license to operate, BHP must align its product portfolio and operational processes with global net-zero ambitions. This section critically analyses two major external marketing environment actors influencing BHP’s transition toward lower-carbon products: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The Natural Environment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(primary actor) and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The Political, Legal, and Regulatory Environment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(secondary actor).</w:t>
      </w:r>
    </w:p>
    <w:p xmlns:wp14="http://schemas.microsoft.com/office/word/2010/wordml" w:rsidP="74BA2A84" wp14:paraId="16D885CA" wp14:textId="6136791D">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528156732" w:id="98275279"/>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1.2 Actor 1: The Natural Environment</w:t>
      </w:r>
      <w:bookmarkEnd w:id="98275279"/>
    </w:p>
    <w:p xmlns:wp14="http://schemas.microsoft.com/office/word/2010/wordml" w:rsidP="33C96986" wp14:paraId="36E0CB79" wp14:textId="2D32E6FA">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The natural environment actor within the marketing macro-environment encompasses the physical environment, natural resources, weather patterns, and ecological factors that impact marketing inputs, production processes, and market demand (Kotler et al., 2024). In the mining sector, the natural environment is both the source of business value and the origin of severe operational and physical risks.</w:t>
      </w:r>
    </w:p>
    <w:p xmlns:wp14="http://schemas.microsoft.com/office/word/2010/wordml" wp14:paraId="2368C5D4" wp14:textId="77112D52"/>
    <w:p xmlns:wp14="http://schemas.microsoft.com/office/word/2010/wordml" wp14:paraId="25C3B849" wp14:textId="33F377C6"/>
    <w:p xmlns:wp14="http://schemas.microsoft.com/office/word/2010/wordml" w:rsidP="33C96986" wp14:paraId="63400989" wp14:textId="49F305D3">
      <w:pPr>
        <w:spacing w:before="0" w:beforeAutospacing="off" w:after="0" w:afterAutospacing="off"/>
        <w:ind w:left="480" w:right="0"/>
      </w:pPr>
    </w:p>
    <w:p xmlns:wp14="http://schemas.microsoft.com/office/word/2010/wordml" w:rsidP="33C96986" wp14:paraId="4685B619" wp14:textId="5F71EDF3">
      <w:pPr>
        <w:spacing w:before="0" w:beforeAutospacing="off" w:after="0" w:afterAutospacing="off"/>
        <w:ind w:left="480" w:right="0"/>
      </w:pPr>
    </w:p>
    <w:p xmlns:wp14="http://schemas.microsoft.com/office/word/2010/wordml" w:rsidP="74BA2A84" wp14:paraId="69BA313C" wp14:textId="141483B5">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146985026" w:id="1711782957"/>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Physical Climate Risks and Resource Scarcity</w:t>
      </w:r>
      <w:bookmarkEnd w:id="1711782957"/>
    </w:p>
    <w:p xmlns:wp14="http://schemas.microsoft.com/office/word/2010/wordml" w:rsidP="33C96986" wp14:paraId="2021EE26" wp14:textId="07723DA0">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Physical climate change presents immediate threats to BHP’s global operations. Mining infrastructure is highly vulnerable to extreme weather events, including intense rainfall, flooding, prolonged droughts, and rising ambient temperatures. For instance, BHP’s copper operations at Escondida and Spence in the Atacama Desert of Chile operate in one of the driest environments on Earth. Water scarcity directly threatens processing capacity, forcing BHP to invest billions in ocean water desalination plants to eliminate reliance on continental freshwater aquifers. Similarly, extreme heat and tropical cyclones in Western Australia’s Pilbara region regularly disrupt iron ore rail and port logistics. These physical constraints demonstrate that deterioration in the natural environment directly impairs operational reliability, increases capital expenditures, and alters the cost structure of raw materials (BHP, 2024).</w:t>
      </w:r>
    </w:p>
    <w:p xmlns:wp14="http://schemas.microsoft.com/office/word/2010/wordml" w:rsidP="74BA2A84" wp14:paraId="6A3D82C2" wp14:textId="48352EBE">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082385539" w:id="1122763947"/>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The Shift to "Future-Facing Commodities"</w:t>
      </w:r>
      <w:bookmarkEnd w:id="1122763947"/>
    </w:p>
    <w:p xmlns:wp14="http://schemas.microsoft.com/office/word/2010/wordml" w:rsidP="33C96986" wp14:paraId="65EFD549" wp14:textId="01412969">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The global imperative to mitigate climate change has fundamentally altered commodity market demand drivers. The transition toward clean energy systems—such as electric vehicles (EVs), solar photovoltaics, wind turbines, and grid-scale battery storage—requires vast quantities of critical minerals. According to international energy benchmarks, an electric passenger car requires roughly three times more copper than a conventional internal combustion engine vehicle.</w:t>
      </w:r>
    </w:p>
    <w:p xmlns:wp14="http://schemas.microsoft.com/office/word/2010/wordml" w:rsidP="33C96986" wp14:paraId="36AB1485" wp14:textId="59553F07">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In response to these ecological shifts, BHP has systematically restructured its product portfolio around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"future-facing commodities"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—specifically copper, nickel, and potash—while divesting from energy-intensive fossil fuel assets like thermal coal. This strategic realignment represents a direct response to natural environment dynamics: as traditional fossil fuel markets face secular decline, demand for low-carbon enabling materials expands rapidly.</w:t>
      </w:r>
    </w:p>
    <w:p xmlns:wp14="http://schemas.microsoft.com/office/word/2010/wordml" w:rsidP="74BA2A84" wp14:paraId="548ADE74" wp14:textId="67EED846">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086604687" w:id="866590526"/>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Decarbonisation of Value Chains and Scope 3 Pressures</w:t>
      </w:r>
      <w:bookmarkEnd w:id="866590526"/>
    </w:p>
    <w:p xmlns:wp14="http://schemas.microsoft.com/office/word/2010/wordml" w:rsidP="33C96986" wp14:paraId="0E5F5E1B" wp14:textId="738291A6">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The natural environment actor also exerts indirect pressure through customer supply chains. Downstream industrial buyers, such as automotive original equipment manufacturers (OEMs like Tesla, BMW, and Ford) and steelmakers (such as China Baowu and South Korea’s POSCO), face stringent pressure from end-consumers and investors to reduce the embodied carbon footprint of their raw materials.</w:t>
      </w:r>
    </w:p>
    <w:p xmlns:wp14="http://schemas.microsoft.com/office/word/2010/wordml" w:rsidP="33C96986" wp14:paraId="34CB7C87" wp14:textId="288B5F1C">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BHP’s Scope 3 emissions—emissions generated in its value chain, predominantly during the carbon-intensive smelting and refining of iron ore into steel—account for over 95% of the group’s total carbon footprint. Consequently, the degradation of global ecosystems has transformed low-carbon product attributes into essential sources of customer value. BHP can no longer market raw iron ore or copper solely on price and grade; it must offer products that enable downstream customers to lower their own Scope 1 and 2 emissions.</w:t>
      </w:r>
    </w:p>
    <w:p xmlns:wp14="http://schemas.microsoft.com/office/word/2010/wordml" w:rsidP="74BA2A84" wp14:paraId="38B58726" wp14:textId="4E199596">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859814883" w:id="137947524"/>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1.3 Actor 2: The Political, Legal, and Regulatory Environment</w:t>
      </w:r>
      <w:bookmarkEnd w:id="137947524"/>
    </w:p>
    <w:p xmlns:wp14="http://schemas.microsoft.com/office/word/2010/wordml" w:rsidP="33C96986" wp14:paraId="5ED02E01" wp14:textId="5CF47AA7">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The political, legal, and regulatory environment consists of laws, government agencies, policy frameworks, and regulatory mechanisms that constrain or incentivize corporate behavior within a given society (Kotler et al., 2024). As governments worldwide escalate policy interventions to comply with the Paris Agreement, regulatory mandates have become a primary catalyst for BHP’s decarbonisation investment.</w:t>
      </w:r>
    </w:p>
    <w:p xmlns:wp14="http://schemas.microsoft.com/office/word/2010/wordml" w:rsidP="74BA2A84" wp14:paraId="5D39EE6F" wp14:textId="30CCEB4F">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04151608" w:id="999961198"/>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Domestic Regulatory Pressures: Australia’s Safeguard Mechanism</w:t>
      </w:r>
      <w:bookmarkEnd w:id="999961198"/>
    </w:p>
    <w:p xmlns:wp14="http://schemas.microsoft.com/office/word/2010/wordml" w:rsidP="33C96986" wp14:paraId="1CD79FF1" wp14:textId="3C67D14D">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In Australia, BHP’s largest operational jurisdiction, the federal government’s reformed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Safeguard Mechanism</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imposes legally binding carbon reduction obligations on industrial facilities emitting over 100,000 tonnes of carbon dioxide equivalent ($\text{CO}_2\text{-e}$) per year. Under this statutory framework, covered facilities—including BHP’s Pilbara iron ore operations, Olympic Dam, and Queensland metallurgical coal mines—must reduce their net emissions intensity by 4.9% annually through 2030.</w:t>
      </w:r>
    </w:p>
    <w:p xmlns:wp14="http://schemas.microsoft.com/office/word/2010/wordml" w:rsidP="33C96986" wp14:paraId="1EA9BA8E" wp14:textId="28248878">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Failure to meet these declining baselines incurs direct financial penalties or requires the purchase of Australian Carbon Credit Units (ACCUs) or Safeguard Mechanism Credits (SMCs). This legal constraint transforms carbon emissions from an unpriced environmental externality into a direct operational liability, compelling BHP to accelerate investments in renewable Power Purchase Agreements (PPAs), fleet electrification, and operational energy efficiency.</w:t>
      </w:r>
    </w:p>
    <w:p xmlns:wp14="http://schemas.microsoft.com/office/word/2010/wordml" wp14:paraId="0AD6CB94" wp14:textId="36416487"/>
    <w:p xmlns:wp14="http://schemas.microsoft.com/office/word/2010/wordml" wp14:paraId="02E7129F" wp14:textId="243C2915"/>
    <w:p xmlns:wp14="http://schemas.microsoft.com/office/word/2010/wordml" wp14:paraId="401BE304" wp14:textId="496741A0"/>
    <w:p xmlns:wp14="http://schemas.microsoft.com/office/word/2010/wordml" w:rsidP="33C96986" wp14:paraId="7A0E2841" wp14:textId="1CE2B0F6">
      <w:pPr>
        <w:spacing w:before="0" w:beforeAutospacing="off" w:after="0" w:afterAutospacing="off"/>
        <w:ind w:left="480" w:right="0"/>
      </w:pPr>
    </w:p>
    <w:p xmlns:wp14="http://schemas.microsoft.com/office/word/2010/wordml" w:rsidP="33C96986" wp14:paraId="27F3392F" wp14:textId="052EB12F">
      <w:pPr>
        <w:spacing w:before="0" w:beforeAutospacing="off" w:after="0" w:afterAutospacing="off"/>
        <w:ind w:left="480" w:right="0"/>
      </w:pPr>
    </w:p>
    <w:p xmlns:wp14="http://schemas.microsoft.com/office/word/2010/wordml" w:rsidP="74BA2A84" wp14:paraId="28437FC9" wp14:textId="010B03DD">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559989585" w:id="747039082"/>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International Trade Policies and Carbon Border Adjustments</w:t>
      </w:r>
      <w:bookmarkEnd w:id="747039082"/>
    </w:p>
    <w:p xmlns:wp14="http://schemas.microsoft.com/office/word/2010/wordml" w:rsidP="33C96986" wp14:paraId="6468C3D4" wp14:textId="1EB63951">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On the global stage, trade policy instruments are increasingly tied to climate targets. The European Union’s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Carbon Border Adjustment Mechanism (CBAM)</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imposes tariffs on carbon-intensive goods entering the EU market based on their embedded emissions intensity. Although initial CBAM coverage focuses on direct inputs like steel, aluminium, and fertilisers, its expansion will encompass raw metal imports and downstream manufactured products.</w:t>
      </w:r>
    </w:p>
    <w:p xmlns:wp14="http://schemas.microsoft.com/office/word/2010/wordml" w:rsidP="33C96986" wp14:paraId="1F5DA6AC" wp14:textId="251D1FF7">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Similar carbon border adjustments under consideration in the United States, Japan, and East Asia threaten to restrict market access for high-emission mineral producers. To preserve market access in premium importing jurisdictions, BHP must proactively certify and lower the carbon intensity of its mineral exports.</w:t>
      </w:r>
    </w:p>
    <w:p xmlns:wp14="http://schemas.microsoft.com/office/word/2010/wordml" w:rsidP="74BA2A84" wp14:paraId="4B997F96" wp14:textId="3DD0DF84">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840375122" w:id="1015408740"/>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Policy Uncertainty and Tax Frameworks</w:t>
      </w:r>
      <w:bookmarkEnd w:id="1015408740"/>
    </w:p>
    <w:p xmlns:wp14="http://schemas.microsoft.com/office/word/2010/wordml" w:rsidP="33C96986" wp14:paraId="299F2637" wp14:textId="6673CB96">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Political instability and evolving tax regimes introduce significant strategy risks. In Australia, discussions regarding fossil fuel subsidies—such as the Fuel Tax Credit scheme, which subsidises off-road diesel usage for heavy mining equipment—pose structural financial threats. If political pressure leads to the removal of these tax concessions, BHP’s diesel-powered haulage costs would escalate rapidly. This regulatory threat reinforces the financial rationale for BHP to replace diesel-powered haul fleets with battery-electric and trolley-assist alternatives.</w:t>
      </w:r>
    </w:p>
    <w:p xmlns:wp14="http://schemas.microsoft.com/office/word/2010/wordml" w:rsidP="74BA2A84" wp14:paraId="7D2426EC" wp14:textId="6616CDB8">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797353024" w:id="556516250"/>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1.4 Synthesis of Marketing Environment Interactions</w:t>
      </w:r>
      <w:bookmarkEnd w:id="556516250"/>
    </w:p>
    <w:p xmlns:wp14="http://schemas.microsoft.com/office/word/2010/wordml" w:rsidP="33C96986" wp14:paraId="7F60BA88" wp14:textId="648FE0BB">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The intersection between the Natural Environment and the Political/Regulatory Environment creates a compounding force that reshapes BHP’s commercial strategy. Physical ecological realities dictate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where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what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 can mine, while political and regulatory frameworks define the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cost of compliance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terms of market access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w:t>
      </w:r>
    </w:p>
    <w:p xmlns:wp14="http://schemas.microsoft.com/office/word/2010/wordml" w:rsidP="33C96986" wp14:paraId="3DD98439" wp14:textId="7FA3428D">
      <w:pPr>
        <w:spacing w:before="0" w:beforeAutospacing="off" w:after="0" w:afterAutospacing="off"/>
      </w:pPr>
    </w:p>
    <w:p xmlns:wp14="http://schemas.microsoft.com/office/word/2010/wordml" w:rsidP="33C96986" wp14:paraId="5B2B38C0" wp14:textId="2E78E295">
      <w:pPr>
        <w:spacing w:before="0" w:beforeAutospacing="off" w:after="0" w:afterAutospacing="off"/>
      </w:pPr>
    </w:p>
    <w:p xmlns:wp14="http://schemas.microsoft.com/office/word/2010/wordml" w:rsidP="33C96986" wp14:paraId="4FA1884E" wp14:textId="411B8B62">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As downstream commercial buyers demand verifiable, sustainable inputs to satisfy their own regulatory constraints, BHP’s capability to deliver lower-carbon products becomes a core marketing differentiator. Consequently, BHP’s climate strategy—outlined in its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Climate Transition Action Plan (CTAP)</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—is not merely an operational adjustment, but a fundamental repositioning of its market offering in response to macro-environmental pressures.</w:t>
      </w:r>
    </w:p>
    <w:p xmlns:wp14="http://schemas.microsoft.com/office/word/2010/wordml" w:rsidP="74BA2A84" wp14:paraId="04C21C40" wp14:textId="4E99DD01">
      <w:pPr>
        <w:pStyle w:val="Heading2"/>
        <w:spacing w:before="0" w:beforeAutospacing="off" w:after="0" w:afterAutospacing="off"/>
        <w:rPr>
          <w:rFonts w:ascii="Google Sans" w:hAnsi="Google Sans" w:eastAsia="Google Sans" w:cs="Google Sans"/>
          <w:b w:val="1"/>
          <w:bCs w:val="1"/>
          <w:i w:val="0"/>
          <w:iCs w:val="0"/>
          <w:strike w:val="0"/>
          <w:dstrike w:val="0"/>
          <w:noProof w:val="0"/>
          <w:color w:val="1F1F1F"/>
          <w:sz w:val="36"/>
          <w:szCs w:val="36"/>
          <w:u w:val="none"/>
          <w:lang w:val="en-US"/>
        </w:rPr>
      </w:pPr>
      <w:bookmarkStart w:name="_Toc289574395" w:id="1569207834"/>
      <w:r w:rsidRPr="74BA2A84" w:rsidR="2BC9186F">
        <w:rPr>
          <w:rFonts w:ascii="Google Sans" w:hAnsi="Google Sans" w:eastAsia="Google Sans" w:cs="Google Sans"/>
          <w:b w:val="1"/>
          <w:bCs w:val="1"/>
          <w:i w:val="0"/>
          <w:iCs w:val="0"/>
          <w:strike w:val="0"/>
          <w:dstrike w:val="0"/>
          <w:noProof w:val="0"/>
          <w:color w:val="1F1F1F"/>
          <w:sz w:val="36"/>
          <w:szCs w:val="36"/>
          <w:u w:val="none"/>
          <w:lang w:val="en-US"/>
        </w:rPr>
        <w:t>Task 2: Strategic Growth and Competitive Positioning (1,000 words)</w:t>
      </w:r>
      <w:bookmarkEnd w:id="1569207834"/>
    </w:p>
    <w:p xmlns:wp14="http://schemas.microsoft.com/office/word/2010/wordml" w:rsidP="74BA2A84" wp14:paraId="347FF631" wp14:textId="64C4ABC5">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1240721635" w:id="1501237155"/>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2.1 Strategic Growth Analysis Using the Ansoff Matrix</w:t>
      </w:r>
      <w:bookmarkEnd w:id="1501237155"/>
    </w:p>
    <w:p xmlns:wp14="http://schemas.microsoft.com/office/word/2010/wordml" w:rsidP="33C96986" wp14:paraId="1175731A" wp14:textId="2CA159C4">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To maintain market leadership during the global energy transition, BHP must align its growth strategies with dynamic market demands. Igor Ansoff’s Growth Matrix provides a structured framework for evaluating strategic growth options across four quadrants: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Market Penetration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Product Development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Market Development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Diversification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(Kotler et al., 2024).</w:t>
      </w:r>
    </w:p>
    <w:p xmlns:wp14="http://schemas.microsoft.com/office/word/2010/wordml" wp14:paraId="73570CAB" wp14:textId="2496FA99"/>
    <w:p xmlns:wp14="http://schemas.microsoft.com/office/word/2010/wordml" wp14:paraId="3B16A6F0" wp14:textId="2C816405"/>
    <w:p xmlns:wp14="http://schemas.microsoft.com/office/word/2010/wordml" w:rsidP="74BA2A84" wp14:paraId="0959B1D5" wp14:textId="081B3B16">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30942581" w:id="1519772777"/>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2.1.1 Market Penetration (Existing Products, Existing Markets)</w:t>
      </w:r>
      <w:bookmarkEnd w:id="1519772777"/>
    </w:p>
    <w:p xmlns:wp14="http://schemas.microsoft.com/office/word/2010/wordml" w:rsidP="33C96986" wp14:paraId="5AC42B4D" wp14:textId="43E80F60">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Market penetration involves maximizing sales of current products within existing customer segments by improving operational efficiency, cost competitiveness, and brand reputation (Kotler et al., 2024).</w:t>
      </w:r>
    </w:p>
    <w:p xmlns:wp14="http://schemas.microsoft.com/office/word/2010/wordml" w:rsidP="33C96986" wp14:paraId="29C337B8" wp14:textId="159B25D3">
      <w:pPr>
        <w:pStyle w:val="ListParagraph"/>
        <w:numPr>
          <w:ilvl w:val="0"/>
          <w:numId w:val="1"/>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Operational Decarbonisation of Core Assets: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 applies market penetration by aggressive operational decarbonisation across its core iron ore and copper operations. By securing long-term renewable Power Purchase Agreements (PPAs) for its Escondida and Spence copper mines in Chile and Copper South Australia (Olympic Dam), BHP has eliminated Scope 2 emissions across key operating facilities.</w:t>
      </w:r>
    </w:p>
    <w:p xmlns:wp14="http://schemas.microsoft.com/office/word/2010/wordml" w:rsidP="33C96986" wp14:paraId="1D8A56B3" wp14:textId="752B1C46">
      <w:pPr>
        <w:pStyle w:val="ListParagraph"/>
        <w:numPr>
          <w:ilvl w:val="0"/>
          <w:numId w:val="1"/>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Haul Fleet Electrification: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In Western Australia’s Pilbara region, BHP is replacing conventional diesel haul trucks with battery-electric and trolley-assist systems in collaboration with original equipment manufacturers like Caterpillar and Komatsu.</w:t>
      </w:r>
    </w:p>
    <w:p xmlns:wp14="http://schemas.microsoft.com/office/word/2010/wordml" w:rsidP="33C96986" wp14:paraId="2A95C94A" wp14:textId="43B57E3F">
      <w:pPr>
        <w:pStyle w:val="ListParagraph"/>
        <w:numPr>
          <w:ilvl w:val="0"/>
          <w:numId w:val="1"/>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Strategic Rationale: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Penetrating existing steelmaking and copper refining markets with progressively lower embedded carbon intensity enables BHP to defend its current market share against low-cost, high-emissions competitors without altering its core commodity mix.</w:t>
      </w:r>
    </w:p>
    <w:p xmlns:wp14="http://schemas.microsoft.com/office/word/2010/wordml" w:rsidP="74BA2A84" wp14:paraId="75384B56" wp14:textId="44CF093A">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923495594" w:id="208283801"/>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2.1.2 Product Development (New/Modified Products, Existing Markets)</w:t>
      </w:r>
      <w:bookmarkEnd w:id="208283801"/>
    </w:p>
    <w:p xmlns:wp14="http://schemas.microsoft.com/office/word/2010/wordml" w:rsidP="33C96986" wp14:paraId="2DF106D2" wp14:textId="4DB49066">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Product development entails creating modified, enhanced, or eco-certified products to satisfy evolving needs within existing market segments (Kotler et al., 2024).</w:t>
      </w:r>
    </w:p>
    <w:p xmlns:wp14="http://schemas.microsoft.com/office/word/2010/wordml" w:rsidP="33C96986" wp14:paraId="0E91E47A" wp14:textId="6FE42C37">
      <w:pPr>
        <w:spacing w:before="0" w:beforeAutospacing="off" w:after="0" w:afterAutospacing="off"/>
      </w:pPr>
    </w:p>
    <w:p xmlns:wp14="http://schemas.microsoft.com/office/word/2010/wordml" w:rsidP="33C96986" wp14:paraId="4FFFC0A3" wp14:textId="22562BD9">
      <w:pPr>
        <w:spacing w:before="0" w:beforeAutospacing="off" w:after="0" w:afterAutospacing="off"/>
      </w:pPr>
    </w:p>
    <w:p xmlns:wp14="http://schemas.microsoft.com/office/word/2010/wordml" w:rsidP="33C96986" wp14:paraId="371AED0E" wp14:textId="7C42DBC9">
      <w:pPr>
        <w:pStyle w:val="ListParagraph"/>
        <w:numPr>
          <w:ilvl w:val="0"/>
          <w:numId w:val="2"/>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Certified "Green Copper" and Low-Carbon Nickel:</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 is developing differentiated, low-carbon variants of its primary metals. By pairing zero-carbon renewable power with zero-groundwater desalination processing, BHP produces copper cathode and nickel briquettes with a verifiably lower carbon footprint than global industry averages.</w:t>
      </w:r>
    </w:p>
    <w:p xmlns:wp14="http://schemas.microsoft.com/office/word/2010/wordml" w:rsidP="33C96986" wp14:paraId="260D17E0" wp14:textId="28290177">
      <w:pPr>
        <w:pStyle w:val="ListParagraph"/>
        <w:numPr>
          <w:ilvl w:val="0"/>
          <w:numId w:val="2"/>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High-Grade Iron Ore Feedstocks for Green Steelmaking:</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Traditional steel production via coal-fired Blast Furnace–Basic Oxygen Furnace (BF-BOF) routes accounts for massive global emissions. To support customer transitions toward lower-emission Direct Reduced Iron–Electric Smelting Furnace (DRI-ESF) routes, BHP is modifying its iron ore processing to yield premium, low-impurity lump ores and pellets suited for green hydrogen-based reduction.</w:t>
      </w:r>
    </w:p>
    <w:p xmlns:wp14="http://schemas.microsoft.com/office/word/2010/wordml" w:rsidP="33C96986" wp14:paraId="20BE79A7" wp14:textId="5478C863">
      <w:pPr>
        <w:pStyle w:val="ListParagraph"/>
        <w:numPr>
          <w:ilvl w:val="0"/>
          <w:numId w:val="2"/>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Strategic Rationale: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Offering technical product innovations allows BHP to capture potential "green premiums," secure long-term off-take contracts, and build customer switching costs among premium European and Asian buyers.</w:t>
      </w:r>
    </w:p>
    <w:p xmlns:wp14="http://schemas.microsoft.com/office/word/2010/wordml" w:rsidP="74BA2A84" wp14:paraId="52EF574B" wp14:textId="7B311489">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263805757" w:id="162960056"/>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2.1.3 Market Development (Existing Products, New Markets)</w:t>
      </w:r>
      <w:bookmarkEnd w:id="162960056"/>
    </w:p>
    <w:p xmlns:wp14="http://schemas.microsoft.com/office/word/2010/wordml" w:rsidP="33C96986" wp14:paraId="288169E0" wp14:textId="5AD33DD6">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Market development focuses on introducing existing products into new geographical, industrial, or downstream market segments (Kotler et al., 2024).</w:t>
      </w:r>
    </w:p>
    <w:p xmlns:wp14="http://schemas.microsoft.com/office/word/2010/wordml" w:rsidP="33C96986" wp14:paraId="2AE2B71C" wp14:textId="198B3652">
      <w:pPr>
        <w:pStyle w:val="ListParagraph"/>
        <w:numPr>
          <w:ilvl w:val="0"/>
          <w:numId w:val="3"/>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Supplying Automotive EV Value Chains: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Traditionally, BHP sold refined nickel and copper primarily to industrial metal traders, stainless steel manufacturers, and general construction distributors. Under its market development initiative, BHP sells directly to automotive battery supply chains.</w:t>
      </w:r>
    </w:p>
    <w:p xmlns:wp14="http://schemas.microsoft.com/office/word/2010/wordml" w:rsidP="33C96986" wp14:paraId="370272B1" wp14:textId="04A80616">
      <w:pPr>
        <w:pStyle w:val="ListParagraph"/>
        <w:numPr>
          <w:ilvl w:val="0"/>
          <w:numId w:val="3"/>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Strategic Off-take Partnerships: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 has forged direct strategic supply agreements with electric vehicle manufacturers (such as Tesla and Ford) and battery precursor producers.</w:t>
      </w:r>
    </w:p>
    <w:p xmlns:wp14="http://schemas.microsoft.com/office/word/2010/wordml" w:rsidP="33C96986" wp14:paraId="7932FBA7" wp14:textId="74642343">
      <w:pPr>
        <w:pStyle w:val="ListParagraph"/>
        <w:numPr>
          <w:ilvl w:val="0"/>
          <w:numId w:val="3"/>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Strategic Rationale: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Entering the EV manufacturing sector positions BHP directly within high-growth, clean-technology value chains, reducing commercial reliance on traditional industrial construction markets.</w:t>
      </w:r>
    </w:p>
    <w:p xmlns:wp14="http://schemas.microsoft.com/office/word/2010/wordml" w:rsidP="74BA2A84" wp14:paraId="6816B065" wp14:textId="18005393">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515876402" w:id="2019203868"/>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2.1.4 Diversification (New Products, New Markets)</w:t>
      </w:r>
      <w:bookmarkEnd w:id="2019203868"/>
    </w:p>
    <w:p xmlns:wp14="http://schemas.microsoft.com/office/word/2010/wordml" w:rsidP="33C96986" wp14:paraId="0D7185AE" wp14:textId="05C7C410">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Diversification involves entering entirely new product categories and market segments outside current operational domains (Kotler et al., 2024).</w:t>
      </w:r>
    </w:p>
    <w:p xmlns:wp14="http://schemas.microsoft.com/office/word/2010/wordml" w:rsidP="33C96986" wp14:paraId="2CB272EB" wp14:textId="00CA7118">
      <w:pPr>
        <w:pStyle w:val="ListParagraph"/>
        <w:numPr>
          <w:ilvl w:val="0"/>
          <w:numId w:val="4"/>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The Jansen Potash Project (Saskatchewan, Canada):</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BHP’s major strategic diversification vector is its multi-billion-dollar investment in the Jansen Potash Project. Potash (potassium chloride) is an essential agricultural nutrient used to improve crop yields, soil health, and land-use efficiency.</w:t>
      </w:r>
    </w:p>
    <w:p xmlns:wp14="http://schemas.microsoft.com/office/word/2010/wordml" w:rsidP="33C96986" wp14:paraId="298FED07" wp14:textId="443841CF">
      <w:pPr>
        <w:pStyle w:val="ListParagraph"/>
        <w:numPr>
          <w:ilvl w:val="0"/>
          <w:numId w:val="4"/>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Strategic Rationale: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Entering the global agricultural fertilizer market provides BHP with a non-cyclical, lower-carbon growth vector. Potash mining generates significantly lower Scope 1 and 2 emissions than traditional metal smelting and exhibits zero Scope 3 combustion emissions. This strategic move decouples a portion of BHP’s long-term earnings from heavy industrial carbon cycles, positioning the group to benefit from global food security megatrends.</w:t>
      </w:r>
    </w:p>
    <w:p xmlns:wp14="http://schemas.microsoft.com/office/word/2010/wordml" w:rsidP="74BA2A84" wp14:paraId="17BA8D64" wp14:textId="789D20B5">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1391878632" w:id="679324278"/>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2.2 Recommended Primary Growth Vector</w:t>
      </w:r>
      <w:bookmarkEnd w:id="679324278"/>
    </w:p>
    <w:p xmlns:wp14="http://schemas.microsoft.com/office/word/2010/wordml" wp14:paraId="20A8F8B4" wp14:textId="11972004"/>
    <w:p xmlns:wp14="http://schemas.microsoft.com/office/word/2010/wordml" w:rsidP="33C96986" wp14:paraId="0517D919" wp14:textId="2CBBBF39">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While all four quadrants contribute to portfolio resilience, BHP should prioritize a combined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Product Development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Market Development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approach as its core strategic growth trajectory. Developing certified low-carbon copper, nickel, and DRI-grade iron ore directly resolves the Scope 3 emissions bottleneck of BHP's industrial customer base. Simultaneously, developing direct supply relationships with clean-tech OEMs establishes long-term customer lock-in and protects margins against market volatility.</w:t>
      </w:r>
    </w:p>
    <w:p xmlns:wp14="http://schemas.microsoft.com/office/word/2010/wordml" w:rsidP="74BA2A84" wp14:paraId="6BCE8438" wp14:textId="47C379AF">
      <w:pPr>
        <w:pStyle w:val="Heading3"/>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1353319900" w:id="1935548168"/>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2.3 Achieving Competitive Advantage in a Low-Carbon Model</w:t>
      </w:r>
      <w:bookmarkEnd w:id="1935548168"/>
    </w:p>
    <w:p xmlns:wp14="http://schemas.microsoft.com/office/word/2010/wordml" w:rsidP="33C96986" wp14:paraId="4680B70E" wp14:textId="443837D8">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To successfully transition toward a lower-carbon business model, BHP must establish a sustainable competitive advantage. This can be evaluated through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Porter’s Generic Strategies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the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Resource-Based View (RBV)</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framework.</w:t>
      </w:r>
    </w:p>
    <w:p xmlns:wp14="http://schemas.microsoft.com/office/word/2010/wordml" w:rsidP="74BA2A84" wp14:paraId="672550C3" wp14:textId="2E02D0E0">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478133684" w:id="755890380"/>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2.3.1 Porter’s Generic Strategy: Focused Differentiation</w:t>
      </w:r>
      <w:bookmarkEnd w:id="755890380"/>
    </w:p>
    <w:p xmlns:wp14="http://schemas.microsoft.com/office/word/2010/wordml" w:rsidP="33C96986" wp14:paraId="776E5D7C" wp14:textId="4C7AA28D">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Under Michael Porter’s framework, mining companies historically competed as cost leaders, given the homogeneous nature of bulk commodities. However, the global energy transition enables a strategy of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Focused Differentiation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based on carbon performance, product quality, and supply chain traceability.</w:t>
      </w:r>
    </w:p>
    <w:p xmlns:wp14="http://schemas.microsoft.com/office/word/2010/wordml" wp14:paraId="5E3CADD3" wp14:textId="10AA70B7"/>
    <w:p xmlns:wp14="http://schemas.microsoft.com/office/word/2010/wordml" w:rsidP="33C96986" wp14:paraId="6BBDC9CF" wp14:textId="23E95294">
      <w:pPr>
        <w:spacing w:before="0" w:beforeAutospacing="off" w:after="0" w:afterAutospacing="off"/>
      </w:pPr>
    </w:p>
    <w:p xmlns:wp14="http://schemas.microsoft.com/office/word/2010/wordml" w:rsidP="33C96986" wp14:paraId="71E0D53F" wp14:textId="5BCCAD3F">
      <w:pPr>
        <w:spacing w:before="0" w:beforeAutospacing="off" w:after="0" w:afterAutospacing="off"/>
      </w:pPr>
    </w:p>
    <w:p xmlns:wp14="http://schemas.microsoft.com/office/word/2010/wordml" w:rsidP="33C96986" wp14:paraId="4DDFF854" wp14:textId="6D039CF6">
      <w:pPr>
        <w:pStyle w:val="ListParagraph"/>
        <w:numPr>
          <w:ilvl w:val="0"/>
          <w:numId w:val="5"/>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Carbon Provenance and Traceability:</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By integrating digital traceability platforms (such as blockchain-enabled carbon footprint tracking), BHP provides commercial buyers with auditable, real-time emissions data for every shipment of copper and iron ore.</w:t>
      </w:r>
    </w:p>
    <w:p xmlns:wp14="http://schemas.microsoft.com/office/word/2010/wordml" w:rsidP="33C96986" wp14:paraId="091BD26D" wp14:textId="6225F5EA">
      <w:pPr>
        <w:pStyle w:val="ListParagraph"/>
        <w:numPr>
          <w:ilvl w:val="0"/>
          <w:numId w:val="5"/>
        </w:numPr>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Premium Quality &amp; Lower Processing Costs: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High-grade iron ore and ultra-pure copper cathodes reduce processing energy requirements and slag generation for downstream smelters. This provides buyers with measurable operational cost savings, justifying commercial loyalty and long-term contract structures.</w:t>
      </w:r>
    </w:p>
    <w:p xmlns:wp14="http://schemas.microsoft.com/office/word/2010/wordml" w:rsidP="74BA2A84" wp14:paraId="65BB5D3F" wp14:textId="06062177">
      <w:pPr>
        <w:pStyle w:val="Heading4"/>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314732488" w:id="1196820830"/>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2.3.2 Resource-Based View (RBV) and VRIO Framework</w:t>
      </w:r>
      <w:bookmarkEnd w:id="1196820830"/>
    </w:p>
    <w:p xmlns:wp14="http://schemas.microsoft.com/office/word/2010/wordml" w:rsidP="33C96986" wp14:paraId="5274BF3F" wp14:textId="7D2042DA">
      <w:pPr>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According to the Resource-Based View, an organisation achieves sustainable competitive advantage when its internal resources and capabilities are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Valuable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Rare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Inimitable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and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Organisationally supported</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(VRIO framework).</w:t>
      </w:r>
    </w:p>
    <w:tbl>
      <w:tblPr>
        <w:tblStyle w:val="TableNormal"/>
        <w:bidiVisual w:val="0"/>
        <w:tblW w:w="0" w:type="auto"/>
        <w:tblLook w:val="06A0" w:firstRow="1" w:lastRow="0" w:firstColumn="1" w:lastColumn="0" w:noHBand="1" w:noVBand="1"/>
      </w:tblPr>
      <w:tblGrid>
        <w:gridCol w:w="1774"/>
        <w:gridCol w:w="1185"/>
        <w:gridCol w:w="1185"/>
        <w:gridCol w:w="1185"/>
        <w:gridCol w:w="1185"/>
        <w:gridCol w:w="1679"/>
      </w:tblGrid>
      <w:tr w:rsidR="33C96986" w:rsidTr="33C96986" w14:paraId="66220D04">
        <w:trPr>
          <w:trHeight w:val="300"/>
        </w:trPr>
        <w:tc>
          <w:tcPr>
            <w:tcW w:w="177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198A752" w14:textId="4F2737A3">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Resource / Capability</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34631521" w14:textId="240E9F2B">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Valuable (V)</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8C5463E" w14:textId="50D5B7A4">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Rare (R)</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56CB674" w14:textId="6EB0F36D">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Inimitable (I)</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75BAC11D" w14:textId="7677EAAD">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Organised (O)</w:t>
            </w:r>
          </w:p>
        </w:tc>
        <w:tc>
          <w:tcPr>
            <w:tcW w:w="1679"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7C500B67" w14:textId="0AB28098">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Strategic Implications</w:t>
            </w:r>
          </w:p>
        </w:tc>
      </w:tr>
      <w:tr w:rsidR="33C96986" w:rsidTr="33C96986" w14:paraId="061694E4">
        <w:trPr>
          <w:trHeight w:val="300"/>
        </w:trPr>
        <w:tc>
          <w:tcPr>
            <w:tcW w:w="177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473374E" w14:textId="6D9245D2">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Tier-1 Low-Cost Long-Life Assets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738B7AD" w14:textId="54428A53">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D83877F" w14:textId="0DC4CDA6">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18D3A28D" w14:textId="221D0424">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E7FCF1C" w14:textId="146101D8">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679"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1C020349" w14:textId="447C828E">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Sustainable Competitive Advantage:</w:t>
            </w:r>
            <w:r w:rsidRPr="33C96986" w:rsidR="33C96986">
              <w:rPr>
                <w:rFonts w:ascii="Google Sans" w:hAnsi="Google Sans" w:eastAsia="Google Sans" w:cs="Google Sans"/>
                <w:b w:val="0"/>
                <w:bCs w:val="0"/>
                <w:i w:val="0"/>
                <w:iCs w:val="0"/>
                <w:strike w:val="0"/>
                <w:dstrike w:val="0"/>
                <w:color w:val="1F1F1F"/>
                <w:sz w:val="22"/>
                <w:szCs w:val="22"/>
                <w:u w:val="none"/>
              </w:rPr>
              <w:t xml:space="preserve"> Provides superior cash flow to fund capital-intensive decarbonisation.</w:t>
            </w:r>
          </w:p>
        </w:tc>
      </w:tr>
      <w:tr w:rsidR="33C96986" w:rsidTr="33C96986" w14:paraId="221349C5">
        <w:trPr>
          <w:trHeight w:val="300"/>
        </w:trPr>
        <w:tc>
          <w:tcPr>
            <w:tcW w:w="177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2288BA3" w14:textId="151BA509">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Renewable PPA Infrastructure</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088761E" w14:textId="24A937A2">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0B18698" w14:textId="4B452C55">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929A8B0" w14:textId="2B87DA26">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No</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D6818BC" w14:textId="5189AEA5">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679"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9BFCB26" w14:textId="5059A1E5">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Competitive Parity / Temporary Advantage:</w:t>
            </w:r>
            <w:r w:rsidRPr="33C96986" w:rsidR="33C96986">
              <w:rPr>
                <w:rFonts w:ascii="Google Sans" w:hAnsi="Google Sans" w:eastAsia="Google Sans" w:cs="Google Sans"/>
                <w:b w:val="0"/>
                <w:bCs w:val="0"/>
                <w:i w:val="0"/>
                <w:iCs w:val="0"/>
                <w:strike w:val="0"/>
                <w:dstrike w:val="0"/>
                <w:color w:val="1F1F1F"/>
                <w:sz w:val="22"/>
                <w:szCs w:val="22"/>
                <w:u w:val="none"/>
              </w:rPr>
              <w:t xml:space="preserve"> Secures zero-carbon power at scale in Chile and Australia.</w:t>
            </w:r>
          </w:p>
        </w:tc>
      </w:tr>
      <w:tr w:rsidR="33C96986" w:rsidTr="33C96986" w14:paraId="6D91DD4F">
        <w:trPr>
          <w:trHeight w:val="300"/>
        </w:trPr>
        <w:tc>
          <w:tcPr>
            <w:tcW w:w="177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3FC27CA9" w14:textId="0FE22945">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Steelmaker Decarbonisation Partnerships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B36707D" w14:textId="4D93DE75">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3A3E510F" w14:textId="3113A3B6">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E478955" w14:textId="42E2855E">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73928187" w14:textId="5465B066">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679"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CDFE1A6" w14:textId="483185D6">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Sustainable Competitive Advantage:</w:t>
            </w:r>
            <w:r w:rsidRPr="33C96986" w:rsidR="33C96986">
              <w:rPr>
                <w:rFonts w:ascii="Google Sans" w:hAnsi="Google Sans" w:eastAsia="Google Sans" w:cs="Google Sans"/>
                <w:b w:val="0"/>
                <w:bCs w:val="0"/>
                <w:i w:val="0"/>
                <w:iCs w:val="0"/>
                <w:strike w:val="0"/>
                <w:dstrike w:val="0"/>
                <w:color w:val="1F1F1F"/>
                <w:sz w:val="22"/>
                <w:szCs w:val="22"/>
                <w:u w:val="none"/>
              </w:rPr>
              <w:t xml:space="preserve"> Deep technological joint ventures with Baowu, HBIS, and POSCO lock in Scope 3 solutions.</w:t>
            </w:r>
          </w:p>
        </w:tc>
      </w:tr>
      <w:tr w:rsidR="33C96986" w:rsidTr="33C96986" w14:paraId="6CB5115E">
        <w:trPr>
          <w:trHeight w:val="300"/>
        </w:trPr>
        <w:tc>
          <w:tcPr>
            <w:tcW w:w="1774"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DC3D52A" w14:textId="0896F9E3">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Capital Allocation Flexibility</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C80811E" w14:textId="1FF1F8F0">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B5D47B5" w14:textId="74E15794">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1704CA5" w14:textId="56721D18">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18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EF5F0F9" w14:textId="5B0DD9A2">
            <w:pPr>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Yes</w:t>
            </w:r>
          </w:p>
        </w:tc>
        <w:tc>
          <w:tcPr>
            <w:tcW w:w="1679"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E180485" w14:textId="0363D9E0">
            <w:pPr>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Sustainable Competitive Advantage:</w:t>
            </w:r>
            <w:r w:rsidRPr="33C96986" w:rsidR="33C96986">
              <w:rPr>
                <w:rFonts w:ascii="Google Sans" w:hAnsi="Google Sans" w:eastAsia="Google Sans" w:cs="Google Sans"/>
                <w:b w:val="0"/>
                <w:bCs w:val="0"/>
                <w:i w:val="0"/>
                <w:iCs w:val="0"/>
                <w:strike w:val="0"/>
                <w:dstrike w:val="0"/>
                <w:color w:val="1F1F1F"/>
                <w:sz w:val="22"/>
                <w:szCs w:val="22"/>
                <w:u w:val="none"/>
              </w:rPr>
              <w:t xml:space="preserve"> Strong balance sheet allows multi-billion investment in Jansen potash and copper acquisitions.</w:t>
            </w:r>
          </w:p>
        </w:tc>
      </w:tr>
    </w:tbl>
    <w:p xmlns:wp14="http://schemas.microsoft.com/office/word/2010/wordml" w:rsidP="33C96986" wp14:paraId="4355C4C3" wp14:textId="31761ABD">
      <w:pPr>
        <w:pStyle w:val="ListParagraph"/>
        <w:numPr>
          <w:ilvl w:val="0"/>
          <w:numId w:val="6"/>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Tier-1 Asset Base: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BHP’s long-life, low-cost Tier-1 assets (e.g., Escondida, Western Australia Iron Ore) cannot be duplicated by competitors. High operating margins from these assets generate the free cash flow required to fund capital-intensive decarbonisation projects—such as haul fleet electrification and renewable energy grid integration—without compromising shareholder returns.</w:t>
      </w:r>
    </w:p>
    <w:p xmlns:wp14="http://schemas.microsoft.com/office/word/2010/wordml" w:rsidP="33C96986" wp14:paraId="431CE037" wp14:textId="41FE0C00">
      <w:pPr>
        <w:pStyle w:val="ListParagraph"/>
        <w:numPr>
          <w:ilvl w:val="0"/>
          <w:numId w:val="6"/>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Relational Resources and Value Co-Creation: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BHP’s collaborative partnerships with major Asian steel producers (representing ~20% of global steel output) create joint technology platforms for low-carbon steelmaking. These collaborative technical capabilities are difficult for smaller or single-commodity miners to imitate, yielding a durable competitive barrier.</w:t>
      </w:r>
    </w:p>
    <w:p xmlns:wp14="http://schemas.microsoft.com/office/word/2010/wordml" w:rsidP="74BA2A84" wp14:paraId="0C5A07D0" wp14:textId="642ACD0E">
      <w:pPr>
        <w:pStyle w:val="Heading2"/>
        <w:bidi w:val="0"/>
        <w:spacing w:before="0" w:beforeAutospacing="off" w:after="0" w:afterAutospacing="off"/>
        <w:rPr>
          <w:rFonts w:ascii="Google Sans" w:hAnsi="Google Sans" w:eastAsia="Google Sans" w:cs="Google Sans"/>
          <w:b w:val="1"/>
          <w:bCs w:val="1"/>
          <w:i w:val="0"/>
          <w:iCs w:val="0"/>
          <w:strike w:val="0"/>
          <w:dstrike w:val="0"/>
          <w:noProof w:val="0"/>
          <w:color w:val="1F1F1F"/>
          <w:sz w:val="36"/>
          <w:szCs w:val="36"/>
          <w:u w:val="none"/>
          <w:lang w:val="en-US"/>
        </w:rPr>
      </w:pPr>
      <w:bookmarkStart w:name="_Toc620021622" w:id="1818978810"/>
      <w:r w:rsidRPr="74BA2A84" w:rsidR="2BC9186F">
        <w:rPr>
          <w:rFonts w:ascii="Google Sans" w:hAnsi="Google Sans" w:eastAsia="Google Sans" w:cs="Google Sans"/>
          <w:b w:val="1"/>
          <w:bCs w:val="1"/>
          <w:i w:val="0"/>
          <w:iCs w:val="0"/>
          <w:strike w:val="0"/>
          <w:dstrike w:val="0"/>
          <w:noProof w:val="0"/>
          <w:color w:val="1F1F1F"/>
          <w:sz w:val="36"/>
          <w:szCs w:val="36"/>
          <w:u w:val="none"/>
          <w:lang w:val="en-US"/>
        </w:rPr>
        <w:t>Task 3: Critical Reflection on AI Usage (500 words)</w:t>
      </w:r>
      <w:bookmarkEnd w:id="1818978810"/>
    </w:p>
    <w:p xmlns:wp14="http://schemas.microsoft.com/office/word/2010/wordml" w:rsidP="74BA2A84" wp14:paraId="1123444C" wp14:textId="5C1CF838">
      <w:pPr>
        <w:pStyle w:val="Heading3"/>
        <w:bidi w:val="0"/>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171424816" w:id="687187108"/>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3.1 Tool Disclosure Statement</w:t>
      </w:r>
      <w:bookmarkEnd w:id="687187108"/>
    </w:p>
    <w:p xmlns:wp14="http://schemas.microsoft.com/office/word/2010/wordml" w:rsidP="33C96986" wp14:paraId="019885DC" wp14:textId="18C26B85">
      <w:pPr>
        <w:bidi w:val="0"/>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In accordance with academic integrity guidelines, it is formally disclosed that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AI was only used for proofreading this assessment, and for research purpose only</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AI tools were not utilized to generate original critical analysis, construct core academic arguments, or draft report conclusions. All strategic frameworks, contextual syntheses, and critical evaluations represent the independent work of the author.</w:t>
      </w:r>
    </w:p>
    <w:p xmlns:wp14="http://schemas.microsoft.com/office/word/2010/wordml" w:rsidP="74BA2A84" wp14:paraId="6919F270" wp14:textId="69CBD073">
      <w:pPr>
        <w:pStyle w:val="Heading3"/>
        <w:bidi w:val="0"/>
        <w:spacing w:before="0" w:beforeAutospacing="off" w:after="240" w:afterAutospacing="off"/>
        <w:rPr>
          <w:rFonts w:ascii="Google Sans" w:hAnsi="Google Sans" w:eastAsia="Google Sans" w:cs="Google Sans"/>
          <w:b w:val="1"/>
          <w:bCs w:val="1"/>
          <w:i w:val="0"/>
          <w:iCs w:val="0"/>
          <w:strike w:val="0"/>
          <w:dstrike w:val="0"/>
          <w:noProof w:val="0"/>
          <w:color w:val="1F1F1F"/>
          <w:sz w:val="28"/>
          <w:szCs w:val="28"/>
          <w:u w:val="none"/>
          <w:lang w:val="en-US"/>
        </w:rPr>
      </w:pPr>
      <w:bookmarkStart w:name="_Toc912425539" w:id="1870472961"/>
      <w:r w:rsidRPr="74BA2A84" w:rsidR="2BC9186F">
        <w:rPr>
          <w:rFonts w:ascii="Google Sans" w:hAnsi="Google Sans" w:eastAsia="Google Sans" w:cs="Google Sans"/>
          <w:b w:val="1"/>
          <w:bCs w:val="1"/>
          <w:i w:val="0"/>
          <w:iCs w:val="0"/>
          <w:strike w:val="0"/>
          <w:dstrike w:val="0"/>
          <w:noProof w:val="0"/>
          <w:color w:val="1F1F1F"/>
          <w:sz w:val="28"/>
          <w:szCs w:val="28"/>
          <w:u w:val="none"/>
          <w:lang w:val="en-US"/>
        </w:rPr>
        <w:t>3.2 Critical Evaluation of AI Output and Fact-Verification Methods</w:t>
      </w:r>
      <w:bookmarkEnd w:id="1870472961"/>
    </w:p>
    <w:p xmlns:wp14="http://schemas.microsoft.com/office/word/2010/wordml" w:rsidP="74BA2A84" wp14:paraId="77ACB3B7" wp14:textId="61844A6E">
      <w:pPr>
        <w:pStyle w:val="Heading4"/>
        <w:bidi w:val="0"/>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1490597153" w:id="1761909289"/>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Verification Protocols</w:t>
      </w:r>
      <w:bookmarkEnd w:id="1761909289"/>
    </w:p>
    <w:p xmlns:wp14="http://schemas.microsoft.com/office/word/2010/wordml" w:rsidP="33C96986" wp14:paraId="65144831" wp14:textId="1DEFF79F">
      <w:pPr>
        <w:bidi w:val="0"/>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To ensure academic rigour and factual accuracy, all preliminary information gathered during AI-assisted research was subjected to systematic cross-verification against primary source documents and peer-reviewed academic literature.</w:t>
      </w:r>
    </w:p>
    <w:p xmlns:wp14="http://schemas.microsoft.com/office/word/2010/wordml" wp14:paraId="6E5ABFA7" wp14:textId="20EA5D9B"/>
    <w:p xmlns:wp14="http://schemas.microsoft.com/office/word/2010/wordml" wp14:paraId="6C04E0AD" wp14:textId="70056E65"/>
    <w:p xmlns:wp14="http://schemas.microsoft.com/office/word/2010/wordml" wp14:paraId="3039B014" wp14:textId="0995A38C"/>
    <w:p xmlns:wp14="http://schemas.microsoft.com/office/word/2010/wordml" w:rsidP="74BA2A84" wp14:paraId="6BBE4D08" wp14:textId="55C39500">
      <w:pPr>
        <w:pStyle w:val="Heading4"/>
        <w:bidi w:val="0"/>
        <w:spacing w:before="0" w:beforeAutospacing="off" w:after="255" w:afterAutospacing="off"/>
        <w:rPr>
          <w:rFonts w:ascii="Google Sans" w:hAnsi="Google Sans" w:eastAsia="Google Sans" w:cs="Google Sans"/>
          <w:b w:val="1"/>
          <w:bCs w:val="1"/>
          <w:i w:val="0"/>
          <w:iCs w:val="0"/>
          <w:strike w:val="0"/>
          <w:dstrike w:val="0"/>
          <w:noProof w:val="0"/>
          <w:color w:val="1F1F1F"/>
          <w:sz w:val="24"/>
          <w:szCs w:val="24"/>
          <w:u w:val="none"/>
          <w:lang w:val="en-US"/>
        </w:rPr>
      </w:pPr>
      <w:bookmarkStart w:name="_Toc533591671" w:id="572230456"/>
      <w:r w:rsidRPr="74BA2A84" w:rsidR="2BC9186F">
        <w:rPr>
          <w:rFonts w:ascii="Google Sans" w:hAnsi="Google Sans" w:eastAsia="Google Sans" w:cs="Google Sans"/>
          <w:b w:val="1"/>
          <w:bCs w:val="1"/>
          <w:i w:val="0"/>
          <w:iCs w:val="0"/>
          <w:strike w:val="0"/>
          <w:dstrike w:val="0"/>
          <w:noProof w:val="0"/>
          <w:color w:val="1F1F1F"/>
          <w:sz w:val="24"/>
          <w:szCs w:val="24"/>
          <w:u w:val="none"/>
          <w:lang w:val="en-US"/>
        </w:rPr>
        <w:t>Identification and Correction of AI Errors and Hallucinations</w:t>
      </w:r>
      <w:bookmarkEnd w:id="572230456"/>
    </w:p>
    <w:p xmlns:wp14="http://schemas.microsoft.com/office/word/2010/wordml" w:rsidP="33C96986" wp14:paraId="6EC8E318" wp14:textId="1CAEE69E">
      <w:pPr>
        <w:bidi w:val="0"/>
        <w:spacing w:before="0" w:beforeAutospacing="off" w:after="0" w:afterAutospacing="off"/>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During initial exploratory inquiries, several factual inconsistencies and oversights in AI-generated research summaries were identified and corrected:</w:t>
      </w:r>
    </w:p>
    <w:p xmlns:wp14="http://schemas.microsoft.com/office/word/2010/wordml" w:rsidP="33C96986" wp14:paraId="2060AC41" wp14:textId="2354F70D">
      <w:pPr>
        <w:pStyle w:val="ListParagraph"/>
        <w:numPr>
          <w:ilvl w:val="0"/>
          <w:numId w:val="7"/>
        </w:numPr>
        <w:bidi w:val="0"/>
        <w:spacing w:before="0" w:beforeAutospacing="off" w:after="0" w:afterAutospacing="off"/>
        <w:ind w:left="-12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Overstatement of Technology Readiness: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Initial research outputs overstated the commercial availability of 100% green hydrogen-based Direct Reduced Iron (DRI) steelmaking, presenting it as a currently deployable technology. Verification against BHP’s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Climate Transition Action Plan (CTAP 2024)</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revealed that full commercial-scale hydrogen DRI-ESF systems remain in pilot and demonstration phases, requiring ongoing R&amp;D through 2030+. The report text was updated to reflect actual technology readiness levels.</w:t>
      </w:r>
    </w:p>
    <w:p xmlns:wp14="http://schemas.microsoft.com/office/word/2010/wordml" w:rsidP="33C96986" wp14:paraId="4121403A" wp14:textId="259FB433">
      <w:pPr>
        <w:pStyle w:val="ListParagraph"/>
        <w:numPr>
          <w:ilvl w:val="0"/>
          <w:numId w:val="7"/>
        </w:numPr>
        <w:bidi w:val="0"/>
        <w:spacing w:before="0" w:beforeAutospacing="off" w:after="0" w:afterAutospacing="off"/>
        <w:ind w:left="-12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Regulatory Misinterpretation: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Preliminary AI summaries confused Australia’s baseline carbon mechanisms, implying that the Safeguard Mechanism imposes absolute emissions caps on individual facilities regardless of production volume. Primary reference to the Clean Energy Regulator legislation confirmed that the mechanism regulates </w:t>
      </w:r>
      <w:r w:rsidRPr="33C96986" w:rsidR="77A1A493">
        <w:rPr>
          <w:rFonts w:ascii="Google Sans" w:hAnsi="Google Sans" w:eastAsia="Google Sans" w:cs="Google Sans"/>
          <w:b w:val="1"/>
          <w:bCs w:val="1"/>
          <w:i w:val="0"/>
          <w:iCs w:val="0"/>
          <w:strike w:val="0"/>
          <w:dstrike w:val="0"/>
          <w:noProof w:val="0"/>
          <w:color w:val="1F1F1F"/>
          <w:sz w:val="22"/>
          <w:szCs w:val="22"/>
          <w:u w:val="none"/>
          <w:lang w:val="en-US"/>
        </w:rPr>
        <w:t>emissions intensity</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per unit of production, with facility baselines declining at 4.9% per annum.</w:t>
      </w:r>
    </w:p>
    <w:p xmlns:wp14="http://schemas.microsoft.com/office/word/2010/wordml" w:rsidP="33C96986" wp14:paraId="245C7E74" wp14:textId="1E49A8C8">
      <w:pPr>
        <w:pStyle w:val="ListParagraph"/>
        <w:numPr>
          <w:ilvl w:val="0"/>
          <w:numId w:val="7"/>
        </w:numPr>
        <w:bidi w:val="0"/>
        <w:spacing w:before="0" w:beforeAutospacing="off" w:after="0" w:afterAutospacing="off"/>
        <w:ind w:left="-120" w:right="0"/>
        <w:rPr>
          <w:rFonts w:ascii="Google Sans" w:hAnsi="Google Sans" w:eastAsia="Google Sans" w:cs="Google Sans"/>
          <w:b w:val="0"/>
          <w:bCs w:val="0"/>
          <w:i w:val="0"/>
          <w:iCs w:val="0"/>
          <w:strike w:val="0"/>
          <w:dstrike w:val="0"/>
          <w:noProof w:val="0"/>
          <w:color w:val="1F1F1F"/>
          <w:sz w:val="22"/>
          <w:szCs w:val="22"/>
          <w:u w:val="none"/>
          <w:lang w:val="en-US"/>
        </w:rPr>
      </w:pPr>
      <w:r w:rsidRPr="74BA2A84" w:rsidR="2BC9186F">
        <w:rPr>
          <w:rFonts w:ascii="Google Sans" w:hAnsi="Google Sans" w:eastAsia="Google Sans" w:cs="Google Sans"/>
          <w:b w:val="1"/>
          <w:bCs w:val="1"/>
          <w:i w:val="0"/>
          <w:iCs w:val="0"/>
          <w:strike w:val="0"/>
          <w:dstrike w:val="0"/>
          <w:noProof w:val="0"/>
          <w:color w:val="1F1F1F"/>
          <w:sz w:val="22"/>
          <w:szCs w:val="22"/>
          <w:u w:val="none"/>
          <w:lang w:val="en-US"/>
        </w:rPr>
        <w:t>Timeline Discrepancies:</w:t>
      </w:r>
      <w:r w:rsidRPr="74BA2A84" w:rsidR="2BC9186F">
        <w:rPr>
          <w:rFonts w:ascii="Google Sans" w:hAnsi="Google Sans" w:eastAsia="Google Sans" w:cs="Google Sans"/>
          <w:b w:val="0"/>
          <w:bCs w:val="0"/>
          <w:i w:val="0"/>
          <w:iCs w:val="0"/>
          <w:strike w:val="0"/>
          <w:dstrike w:val="0"/>
          <w:noProof w:val="0"/>
          <w:color w:val="1F1F1F"/>
          <w:sz w:val="22"/>
          <w:szCs w:val="22"/>
          <w:u w:val="none"/>
          <w:lang w:val="en-US"/>
        </w:rPr>
        <w:t xml:space="preserve"> AI research notes suggested that BHP’s entire Pilbara haulage fleet would be 100% battery-electric by 2028. Cross-referencing company disclosures clarified that 2028–2029 marks the trial implementation of diesel-electric trolley-assist systems at Chilean copper sites (Escondida/Spence), with full battery-electric haul fleet deployment planned progressively through the 2030s.</w:t>
      </w:r>
    </w:p>
    <w:p w:rsidR="1CC309FD" w:rsidP="74BA2A84" w:rsidRDefault="1CC309FD" w14:paraId="42263998" w14:textId="7E7D48A6">
      <w:pPr>
        <w:pStyle w:val="Heading2"/>
        <w:bidi w:val="0"/>
        <w:spacing w:before="299" w:beforeAutospacing="off" w:after="299" w:afterAutospacing="off"/>
      </w:pPr>
      <w:r w:rsidRPr="74BA2A84" w:rsidR="1CC309FD">
        <w:rPr>
          <w:rFonts w:ascii="Google Sans" w:hAnsi="Google Sans" w:eastAsia="Google Sans" w:cs="Google Sans"/>
          <w:b w:val="1"/>
          <w:bCs w:val="1"/>
          <w:noProof w:val="0"/>
          <w:sz w:val="36"/>
          <w:szCs w:val="36"/>
          <w:lang w:val="en-US"/>
        </w:rPr>
        <w:t>3.3 Contribution Analysis: Distinguishing AI Assistance vs Original Analysis</w:t>
      </w:r>
    </w:p>
    <w:p w:rsidR="1CC309FD" w:rsidP="74BA2A84" w:rsidRDefault="1CC309FD" w14:paraId="7A94E439" w14:textId="5BFA2A3C">
      <w:pPr>
        <w:bidi w:val="0"/>
        <w:spacing w:before="240" w:beforeAutospacing="off" w:after="240" w:afterAutospacing="off"/>
      </w:pPr>
      <w:r w:rsidRPr="74BA2A84" w:rsidR="1CC309FD">
        <w:rPr>
          <w:rFonts w:ascii="Google Sans" w:hAnsi="Google Sans" w:eastAsia="Google Sans" w:cs="Google Sans"/>
          <w:noProof w:val="0"/>
          <w:sz w:val="22"/>
          <w:szCs w:val="22"/>
          <w:lang w:val="en-US"/>
        </w:rPr>
        <w:t>To ensure transparency, the division between AI support and original student work is outlined below. AI contributed mainly to general literature discovery and proofreading support, while the student retained responsibility for all analytical and strategic decisions.</w:t>
      </w:r>
    </w:p>
    <w:p w:rsidR="74BA2A84" w:rsidP="74BA2A84" w:rsidRDefault="74BA2A84" w14:paraId="77789891" w14:textId="49CE16AB">
      <w:pPr>
        <w:bidi w:val="0"/>
        <w:spacing w:before="0" w:beforeAutospacing="off" w:after="0" w:afterAutospacing="off"/>
        <w:rPr>
          <w:rFonts w:ascii="Google Sans" w:hAnsi="Google Sans" w:eastAsia="Google Sans" w:cs="Google Sans"/>
          <w:b w:val="0"/>
          <w:bCs w:val="0"/>
          <w:i w:val="0"/>
          <w:iCs w:val="0"/>
          <w:strike w:val="0"/>
          <w:dstrike w:val="0"/>
          <w:noProof w:val="0"/>
          <w:color w:val="1F1F1F"/>
          <w:sz w:val="22"/>
          <w:szCs w:val="22"/>
          <w:u w:val="none"/>
          <w:lang w:val="en-US"/>
        </w:rPr>
      </w:pPr>
    </w:p>
    <w:tbl>
      <w:tblPr>
        <w:tblStyle w:val="TableNormal"/>
        <w:bidiVisual w:val="0"/>
        <w:tblW w:w="0" w:type="auto"/>
        <w:tblLook w:val="06A0" w:firstRow="1" w:lastRow="0" w:firstColumn="1" w:lastColumn="0" w:noHBand="1" w:noVBand="1"/>
      </w:tblPr>
      <w:tblGrid>
        <w:gridCol w:w="3045"/>
        <w:gridCol w:w="3045"/>
        <w:gridCol w:w="3045"/>
      </w:tblGrid>
      <w:tr w:rsidR="33C96986" w:rsidTr="74BA2A84" w14:paraId="04062037">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155D4F5" w14:textId="013CD9D2">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Work Component</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43B91F66" w14:textId="4E0C7E83">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AI Assistance Role</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DAA3985" w14:textId="567410D2">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Original Student Contribution</w:t>
            </w:r>
          </w:p>
        </w:tc>
      </w:tr>
      <w:tr w:rsidR="33C96986" w:rsidTr="74BA2A84" w14:paraId="7888F867">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1EA8D264" w14:textId="05662993">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Literature &amp; Fact Searching</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B097CA0" w14:textId="758B7AAD">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Expedited discovery of general sustainability themes and news summaries.</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39759B8" w14:textId="6B5D6166">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Selected, verified, and filtered relevant corporate reports (BHP CTAP 2024, Annual Report) and academic texts.</w:t>
            </w:r>
          </w:p>
        </w:tc>
      </w:tr>
      <w:tr w:rsidR="33C96986" w:rsidTr="74BA2A84" w14:paraId="57F5E94C">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5FCC37E3" w14:textId="7CEF2B66">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Proofreading &amp; Syntax</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C480F73" w14:textId="623CE8E8">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Provided structural suggestions for grammar, punctuation, and conciseness.</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6EFF265" w14:textId="4BD51C1D">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Reviewed all stylistic recommendations, ensuring appropriate academic tone and vocabulary.</w:t>
            </w:r>
          </w:p>
        </w:tc>
      </w:tr>
      <w:tr w:rsidR="33C96986" w:rsidTr="74BA2A84" w14:paraId="1BD6DB00">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6A849FF3" w14:textId="0DD5EFD3">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Environmental Analysis (Task 1)</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96C1530" w14:textId="59B79E2F">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None.</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1C6E98C" w14:textId="4D144E99">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Conducted independent analysis of Natural and Regulatory actors using Kotler et al. (2024) frameworks.</w:t>
            </w:r>
          </w:p>
        </w:tc>
      </w:tr>
      <w:tr w:rsidR="33C96986" w:rsidTr="74BA2A84" w14:paraId="4E117990">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6C5C3D0" w14:textId="4FDFA72E">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Strategic Growth &amp; Positioning (Task 2)</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08BFCE4C" w14:textId="1A3A1F33">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None.</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DBF7B60" w14:textId="7FA5EE46">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Applied Ansoff Matrix and VRIO frameworks, constructed strategic matrices, and formulated competitive recommendations.</w:t>
            </w:r>
          </w:p>
        </w:tc>
      </w:tr>
      <w:tr w:rsidR="33C96986" w:rsidTr="74BA2A84" w14:paraId="31FFA233">
        <w:trPr>
          <w:trHeight w:val="300"/>
        </w:trPr>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392C20AA" w14:textId="450DC6AB">
            <w:pPr>
              <w:bidi w:val="0"/>
              <w:spacing w:before="120" w:beforeAutospacing="off" w:after="120" w:afterAutospacing="off"/>
            </w:pPr>
            <w:r w:rsidRPr="33C96986" w:rsidR="33C96986">
              <w:rPr>
                <w:rFonts w:ascii="Google Sans" w:hAnsi="Google Sans" w:eastAsia="Google Sans" w:cs="Google Sans"/>
                <w:b w:val="1"/>
                <w:bCs w:val="1"/>
                <w:i w:val="0"/>
                <w:iCs w:val="0"/>
                <w:strike w:val="0"/>
                <w:dstrike w:val="0"/>
                <w:color w:val="1F1F1F"/>
                <w:sz w:val="22"/>
                <w:szCs w:val="22"/>
                <w:u w:val="none"/>
              </w:rPr>
              <w:t>Report Structure &amp; Synthesis</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2F38690" w14:textId="18F5F630">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None.</w:t>
            </w:r>
          </w:p>
        </w:tc>
        <w:tc>
          <w:tcPr>
            <w:tcW w:w="304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top"/>
          </w:tcPr>
          <w:p w:rsidR="33C96986" w:rsidP="33C96986" w:rsidRDefault="33C96986" w14:paraId="29B19765" w14:textId="294EAD61">
            <w:pPr>
              <w:bidi w:val="0"/>
              <w:spacing w:before="120" w:beforeAutospacing="off" w:after="120" w:afterAutospacing="off"/>
            </w:pPr>
            <w:r w:rsidRPr="33C96986" w:rsidR="33C96986">
              <w:rPr>
                <w:rFonts w:ascii="Google Sans" w:hAnsi="Google Sans" w:eastAsia="Google Sans" w:cs="Google Sans"/>
                <w:b w:val="0"/>
                <w:bCs w:val="0"/>
                <w:i w:val="0"/>
                <w:iCs w:val="0"/>
                <w:strike w:val="0"/>
                <w:dstrike w:val="0"/>
                <w:color w:val="1F1F1F"/>
                <w:sz w:val="22"/>
                <w:szCs w:val="22"/>
                <w:u w:val="none"/>
              </w:rPr>
              <w:t>Developed overall logical argument flow, report headings, conceptual diagrams, and final synthesis.</w:t>
            </w:r>
          </w:p>
        </w:tc>
      </w:tr>
    </w:tbl>
    <w:p w:rsidR="17403F83" w:rsidP="74BA2A84" w:rsidRDefault="17403F83" w14:paraId="6F55F0B6" w14:textId="6A8ABD92">
      <w:pPr>
        <w:pStyle w:val="Heading2"/>
        <w:bidi w:val="0"/>
        <w:spacing w:before="299" w:beforeAutospacing="off" w:after="299" w:afterAutospacing="off"/>
      </w:pPr>
      <w:r w:rsidRPr="74BA2A84" w:rsidR="17403F83">
        <w:rPr>
          <w:rFonts w:ascii="Google Sans" w:hAnsi="Google Sans" w:eastAsia="Google Sans" w:cs="Google Sans"/>
          <w:b w:val="1"/>
          <w:bCs w:val="1"/>
          <w:noProof w:val="0"/>
          <w:sz w:val="36"/>
          <w:szCs w:val="36"/>
          <w:lang w:val="en-US"/>
        </w:rPr>
        <w:t>3.4 Ethical and Professional Reflection</w:t>
      </w:r>
    </w:p>
    <w:p w:rsidR="17403F83" w:rsidP="74BA2A84" w:rsidRDefault="17403F83" w14:paraId="6B835CEC" w14:textId="6607F189">
      <w:pPr>
        <w:bidi w:val="0"/>
        <w:spacing w:before="240" w:beforeAutospacing="off" w:after="240" w:afterAutospacing="off"/>
      </w:pPr>
      <w:r w:rsidRPr="74BA2A84" w:rsidR="17403F83">
        <w:rPr>
          <w:rFonts w:ascii="Google Sans" w:hAnsi="Google Sans" w:eastAsia="Google Sans" w:cs="Google Sans"/>
          <w:noProof w:val="0"/>
          <w:sz w:val="22"/>
          <w:szCs w:val="22"/>
          <w:lang w:val="en-US"/>
        </w:rPr>
        <w:t>The use of generative AI in strategic marketing analysis raises important ethical issues. One major concern is epistemic responsibility. AI systems can produce confident but inaccurate statements, misrepresent statistics, or rely on outdated material. In a corporate sustainability context, using unverified claims can also contribute to greenwashing, which creates a misleading impression of environmental performance. For this reason, analysts have a responsibility to ensure that every factual claim is supported by credible and verifiable evidence.</w:t>
      </w:r>
    </w:p>
    <w:p w:rsidR="17403F83" w:rsidP="74BA2A84" w:rsidRDefault="17403F83" w14:paraId="1BE0FAC5" w14:textId="0F0EF945">
      <w:pPr>
        <w:bidi w:val="0"/>
        <w:spacing w:before="240" w:beforeAutospacing="off" w:after="240" w:afterAutospacing="off"/>
      </w:pPr>
      <w:r w:rsidRPr="74BA2A84" w:rsidR="17403F83">
        <w:rPr>
          <w:rFonts w:ascii="Google Sans" w:hAnsi="Google Sans" w:eastAsia="Google Sans" w:cs="Google Sans"/>
          <w:noProof w:val="0"/>
          <w:sz w:val="22"/>
          <w:szCs w:val="22"/>
          <w:lang w:val="en-US"/>
        </w:rPr>
        <w:t>A second concern is intellectual ownership and critical thinking. Over-reliance on AI can weaken the analytical judgment needed in strategic work, especially where decisions involve uncertainty, regulation, and market trade-offs. If structural thinking is delegated too heavily to automated systems, the quality of independent analysis may decline. Limiting AI to proofreading and background research helps preserve intellectual agency and ensures that strategic conclusions remain genuinely human-authored.</w:t>
      </w:r>
    </w:p>
    <w:p w:rsidR="74BA2A84" w:rsidP="74BA2A84" w:rsidRDefault="74BA2A84" w14:paraId="5886CCD9" w14:textId="55E06B7B">
      <w:pPr>
        <w:bidi w:val="0"/>
        <w:spacing w:before="0" w:beforeAutospacing="off" w:after="0" w:afterAutospacing="off"/>
        <w:rPr>
          <w:rFonts w:ascii="Google Sans" w:hAnsi="Google Sans" w:eastAsia="Google Sans" w:cs="Google Sans"/>
          <w:b w:val="0"/>
          <w:bCs w:val="0"/>
          <w:i w:val="0"/>
          <w:iCs w:val="0"/>
          <w:strike w:val="0"/>
          <w:dstrike w:val="0"/>
          <w:noProof w:val="0"/>
          <w:color w:val="1F1F1F"/>
          <w:sz w:val="22"/>
          <w:szCs w:val="22"/>
          <w:u w:val="none"/>
          <w:lang w:val="en-US"/>
        </w:rPr>
      </w:pPr>
    </w:p>
    <w:p xmlns:wp14="http://schemas.microsoft.com/office/word/2010/wordml" w:rsidP="74BA2A84" wp14:paraId="055BFF51" wp14:textId="227F777A">
      <w:pPr>
        <w:pStyle w:val="Heading2"/>
        <w:bidi w:val="0"/>
        <w:spacing w:before="0" w:beforeAutospacing="off" w:after="0" w:afterAutospacing="off"/>
        <w:rPr>
          <w:rFonts w:ascii="Google Sans" w:hAnsi="Google Sans" w:eastAsia="Google Sans" w:cs="Google Sans"/>
          <w:b w:val="1"/>
          <w:bCs w:val="1"/>
          <w:i w:val="0"/>
          <w:iCs w:val="0"/>
          <w:strike w:val="0"/>
          <w:dstrike w:val="0"/>
          <w:noProof w:val="0"/>
          <w:color w:val="1F1F1F"/>
          <w:sz w:val="36"/>
          <w:szCs w:val="36"/>
          <w:u w:val="none"/>
          <w:lang w:val="en-US"/>
        </w:rPr>
      </w:pPr>
      <w:bookmarkStart w:name="_Toc1871036242" w:id="1490902041"/>
      <w:r w:rsidRPr="74BA2A84" w:rsidR="2BC9186F">
        <w:rPr>
          <w:rFonts w:ascii="Google Sans" w:hAnsi="Google Sans" w:eastAsia="Google Sans" w:cs="Google Sans"/>
          <w:b w:val="1"/>
          <w:bCs w:val="1"/>
          <w:i w:val="0"/>
          <w:iCs w:val="0"/>
          <w:strike w:val="0"/>
          <w:dstrike w:val="0"/>
          <w:noProof w:val="0"/>
          <w:color w:val="1F1F1F"/>
          <w:sz w:val="36"/>
          <w:szCs w:val="36"/>
          <w:u w:val="none"/>
          <w:lang w:val="en-US"/>
        </w:rPr>
        <w:t>References</w:t>
      </w:r>
      <w:bookmarkEnd w:id="1490902041"/>
    </w:p>
    <w:p xmlns:wp14="http://schemas.microsoft.com/office/word/2010/wordml" w:rsidP="33C96986" wp14:paraId="1B455220" wp14:textId="32BD951B">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BHP (2023)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BHP Annual Report 2023</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Melbourne: BHP Group Limited.</w:t>
      </w:r>
    </w:p>
    <w:p xmlns:wp14="http://schemas.microsoft.com/office/word/2010/wordml" w:rsidP="33C96986" wp14:paraId="7AF6E030" wp14:textId="7288CC03">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000000" w:themeColor="text1" w:themeTint="FF" w:themeShade="F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BHP (2024)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Climate Transition Action Plan 2024 (CTAP)</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Melbourne: BHP Group Limited. Available at: </w:t>
      </w:r>
      <w:hyperlink r:id="R6b2cf53d0d46463d">
        <w:r w:rsidRPr="33C96986" w:rsidR="77A1A493">
          <w:rPr>
            <w:rStyle w:val="Hyperlink"/>
            <w:b w:val="0"/>
            <w:bCs w:val="0"/>
            <w:i w:val="0"/>
            <w:iCs w:val="0"/>
            <w:strike w:val="0"/>
            <w:dstrike w:val="0"/>
            <w:noProof w:val="0"/>
            <w:color w:val="000000" w:themeColor="text1" w:themeTint="FF" w:themeShade="FF"/>
            <w:u w:val="none"/>
            <w:lang w:val="en-US"/>
          </w:rPr>
          <w:t>https://www.bhp.com/sustainability/climate-change/climate-transition-action-plan</w:t>
        </w:r>
      </w:hyperlink>
    </w:p>
    <w:p xmlns:wp14="http://schemas.microsoft.com/office/word/2010/wordml" w:rsidP="33C96986" wp14:paraId="6A4F787B" wp14:textId="5A23D3DB">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000000" w:themeColor="text1" w:themeTint="FF" w:themeShade="F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BHP (2025)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BHP Annual Report 2025: Operating and Financial Review</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Melbourne: BHP Group Limited. Available at: </w:t>
      </w:r>
      <w:hyperlink r:id="R3d3a5a157928428e">
        <w:r w:rsidRPr="33C96986" w:rsidR="77A1A493">
          <w:rPr>
            <w:rStyle w:val="Hyperlink"/>
            <w:b w:val="0"/>
            <w:bCs w:val="0"/>
            <w:i w:val="0"/>
            <w:iCs w:val="0"/>
            <w:strike w:val="0"/>
            <w:dstrike w:val="0"/>
            <w:noProof w:val="0"/>
            <w:color w:val="000000" w:themeColor="text1" w:themeTint="FF" w:themeShade="FF"/>
            <w:u w:val="none"/>
            <w:lang w:val="en-US"/>
          </w:rPr>
          <w:t>https://www.bhp.com/investors/annual-reporting</w:t>
        </w:r>
      </w:hyperlink>
    </w:p>
    <w:p xmlns:wp14="http://schemas.microsoft.com/office/word/2010/wordml" w:rsidP="33C96986" wp14:paraId="076DC8C0" wp14:textId="4D809270">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Clean Energy Regulator (2024)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The Safeguard Mechanism: Baseline Adjustments and Compliance Guidelines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Canberra: Australian Government.</w:t>
      </w:r>
    </w:p>
    <w:p xmlns:wp14="http://schemas.microsoft.com/office/word/2010/wordml" w:rsidP="33C96986" wp14:paraId="092E4AF8" wp14:textId="73F7E9E1">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000000" w:themeColor="text1" w:themeTint="FF" w:themeShade="F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Climate Action 100+ (2025)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BHP Group Net Zero Company Benchmark Assessment</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Available at: </w:t>
      </w:r>
      <w:hyperlink r:id="Rb08d088a1fa24dcf">
        <w:r w:rsidRPr="33C96986" w:rsidR="77A1A493">
          <w:rPr>
            <w:rStyle w:val="Hyperlink"/>
            <w:b w:val="0"/>
            <w:bCs w:val="0"/>
            <w:i w:val="0"/>
            <w:iCs w:val="0"/>
            <w:strike w:val="0"/>
            <w:dstrike w:val="0"/>
            <w:noProof w:val="0"/>
            <w:color w:val="000000" w:themeColor="text1" w:themeTint="FF" w:themeShade="FF"/>
            <w:u w:val="none"/>
            <w:lang w:val="en-US"/>
          </w:rPr>
          <w:t>http://www.climateaction100.org/company-assessments/bhp-group/</w:t>
        </w:r>
      </w:hyperlink>
    </w:p>
    <w:p xmlns:wp14="http://schemas.microsoft.com/office/word/2010/wordml" w:rsidP="33C96986" wp14:paraId="0E9888B1" wp14:textId="5145F026">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International Energy Agency (IEA) (2024)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The Role of Critical Minerals in Clean Energy Transitions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Paris: IEA Publishing.</w:t>
      </w:r>
    </w:p>
    <w:p xmlns:wp14="http://schemas.microsoft.com/office/word/2010/wordml" w:rsidP="33C96986" wp14:paraId="42B7454A" wp14:textId="37632B08">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Kotler, P., Armstrong, G., Harris, L.C. and He, H. (2024)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Principles of Marketing</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19th edn. Harlow: Pearson.</w:t>
      </w:r>
    </w:p>
    <w:p xmlns:wp14="http://schemas.microsoft.com/office/word/2010/wordml" w:rsidP="33C96986" wp14:paraId="0A125393" wp14:textId="5774DB94">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1F1F1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Porter, M.E. (1985)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Competitive Advantage: Creating and Sustaining Superior Performance</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New York: Free Press.</w:t>
      </w:r>
    </w:p>
    <w:p xmlns:wp14="http://schemas.microsoft.com/office/word/2010/wordml" w:rsidP="33C96986" wp14:paraId="763A539B" wp14:textId="4E0F0643">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000000" w:themeColor="text1" w:themeTint="FF" w:themeShade="F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Skarn Associates (2024)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BHP Decarbonisation Roadmap and Mining Asset Intensity Analysis</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Available at: </w:t>
      </w:r>
      <w:hyperlink r:id="R6e458feb386e4b0b">
        <w:r w:rsidRPr="33C96986" w:rsidR="77A1A493">
          <w:rPr>
            <w:rStyle w:val="Hyperlink"/>
            <w:b w:val="0"/>
            <w:bCs w:val="0"/>
            <w:i w:val="0"/>
            <w:iCs w:val="0"/>
            <w:strike w:val="0"/>
            <w:dstrike w:val="0"/>
            <w:noProof w:val="0"/>
            <w:color w:val="000000" w:themeColor="text1" w:themeTint="FF" w:themeShade="FF"/>
            <w:u w:val="none"/>
            <w:lang w:val="en-US"/>
          </w:rPr>
          <w:t>https://www.skarnassociates.com/insights/bhp-decarbonisation-roadmap</w:t>
        </w:r>
      </w:hyperlink>
    </w:p>
    <w:p xmlns:wp14="http://schemas.microsoft.com/office/word/2010/wordml" w:rsidP="33C96986" wp14:paraId="5881F7C4" wp14:textId="1E5A2484">
      <w:pPr>
        <w:pStyle w:val="ListParagraph"/>
        <w:numPr>
          <w:ilvl w:val="0"/>
          <w:numId w:val="8"/>
        </w:numPr>
        <w:bidi w:val="0"/>
        <w:spacing w:before="0" w:beforeAutospacing="off" w:after="0" w:afterAutospacing="off"/>
        <w:ind w:left="-130" w:right="0"/>
        <w:rPr>
          <w:rFonts w:ascii="Google Sans" w:hAnsi="Google Sans" w:eastAsia="Google Sans" w:cs="Google Sans"/>
          <w:b w:val="0"/>
          <w:bCs w:val="0"/>
          <w:i w:val="0"/>
          <w:iCs w:val="0"/>
          <w:strike w:val="0"/>
          <w:dstrike w:val="0"/>
          <w:noProof w:val="0"/>
          <w:color w:val="000000" w:themeColor="text1" w:themeTint="FF" w:themeShade="FF"/>
          <w:sz w:val="22"/>
          <w:szCs w:val="22"/>
          <w:u w:val="none"/>
          <w:lang w:val="en-US"/>
        </w:rPr>
      </w:pP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The Business Research Company (2026) </w:t>
      </w:r>
      <w:r w:rsidRPr="33C96986" w:rsidR="77A1A493">
        <w:rPr>
          <w:rFonts w:ascii="Google Sans" w:hAnsi="Google Sans" w:eastAsia="Google Sans" w:cs="Google Sans"/>
          <w:b w:val="0"/>
          <w:bCs w:val="0"/>
          <w:i w:val="1"/>
          <w:iCs w:val="1"/>
          <w:strike w:val="0"/>
          <w:dstrike w:val="0"/>
          <w:noProof w:val="0"/>
          <w:color w:val="1F1F1F"/>
          <w:sz w:val="22"/>
          <w:szCs w:val="22"/>
          <w:u w:val="none"/>
          <w:lang w:val="en-US"/>
        </w:rPr>
        <w:t>Low-Carbon Copper Market Global Report 2026: Competitive Strategies Shaping Industry Direction</w:t>
      </w:r>
      <w:r w:rsidRPr="33C96986" w:rsidR="77A1A493">
        <w:rPr>
          <w:rFonts w:ascii="Google Sans" w:hAnsi="Google Sans" w:eastAsia="Google Sans" w:cs="Google Sans"/>
          <w:b w:val="0"/>
          <w:bCs w:val="0"/>
          <w:i w:val="0"/>
          <w:iCs w:val="0"/>
          <w:strike w:val="0"/>
          <w:dstrike w:val="0"/>
          <w:noProof w:val="0"/>
          <w:color w:val="1F1F1F"/>
          <w:sz w:val="22"/>
          <w:szCs w:val="22"/>
          <w:u w:val="none"/>
          <w:lang w:val="en-US"/>
        </w:rPr>
        <w:t xml:space="preserve">. Available at: </w:t>
      </w:r>
      <w:hyperlink r:id="R7c0901886c5a4839">
        <w:r w:rsidRPr="33C96986" w:rsidR="77A1A493">
          <w:rPr>
            <w:rStyle w:val="Hyperlink"/>
            <w:b w:val="0"/>
            <w:bCs w:val="0"/>
            <w:i w:val="0"/>
            <w:iCs w:val="0"/>
            <w:strike w:val="0"/>
            <w:dstrike w:val="0"/>
            <w:noProof w:val="0"/>
            <w:color w:val="000000" w:themeColor="text1" w:themeTint="FF" w:themeShade="FF"/>
            <w:u w:val="none"/>
            <w:lang w:val="en-US"/>
          </w:rPr>
          <w:t>https://www.thebusinessresearchcompany.com</w:t>
        </w:r>
      </w:hyperlink>
    </w:p>
    <w:p xmlns:wp14="http://schemas.microsoft.com/office/word/2010/wordml" wp14:paraId="2C078E63" wp14:textId="627CB07E"/>
    <w:p w:rsidR="33C96986" w:rsidRDefault="33C96986" w14:paraId="77AA51AE" w14:textId="3AF36DEB">
      <w:r>
        <w:br w:type="page"/>
      </w:r>
    </w:p>
    <w:p w:rsidR="33C96986" w:rsidP="33C96986" w:rsidRDefault="33C96986" w14:paraId="34301A74" w14:textId="22335961">
      <w:pPr>
        <w:pStyle w:val="Normal"/>
      </w:pPr>
    </w:p>
    <w:sectPr>
      <w:pgSz w:w="12240" w:h="15840" w:orient="portrait"/>
      <w:pgMar w:top="1440" w:right="1440" w:bottom="1440" w:left="1440" w:header="720" w:footer="720" w:gutter="0"/>
      <w:cols w:space="720"/>
      <w:docGrid w:linePitch="360"/>
      <w:headerReference w:type="default" r:id="Rab60fdfd9f504f86"/>
      <w:footerReference w:type="default" r:id="R97d32a7986df42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w:rsidR="33C96986" w:rsidTr="33C96986" w14:paraId="13BD3BCB">
      <w:trPr>
        <w:trHeight w:val="300"/>
      </w:trPr>
      <w:tc>
        <w:tcPr>
          <w:tcW w:w="3120" w:type="dxa"/>
          <w:tcMar/>
        </w:tcPr>
        <w:p w:rsidR="33C96986" w:rsidP="33C96986" w:rsidRDefault="33C96986" w14:paraId="2B86589C" w14:textId="794EE55A">
          <w:pPr>
            <w:pStyle w:val="Header"/>
            <w:bidi w:val="0"/>
            <w:ind w:left="-115"/>
            <w:jc w:val="left"/>
          </w:pPr>
        </w:p>
      </w:tc>
      <w:tc>
        <w:tcPr>
          <w:tcW w:w="3120" w:type="dxa"/>
          <w:tcMar/>
        </w:tcPr>
        <w:p w:rsidR="33C96986" w:rsidP="33C96986" w:rsidRDefault="33C96986" w14:paraId="4D14F4BD" w14:textId="19006D96">
          <w:pPr>
            <w:pStyle w:val="Header"/>
            <w:bidi w:val="0"/>
            <w:jc w:val="center"/>
          </w:pPr>
        </w:p>
      </w:tc>
      <w:tc>
        <w:tcPr>
          <w:tcW w:w="3120" w:type="dxa"/>
          <w:tcMar/>
        </w:tcPr>
        <w:p w:rsidR="33C96986" w:rsidP="33C96986" w:rsidRDefault="33C96986" w14:paraId="4CFAEF3E" w14:textId="7D93CA4E">
          <w:pPr>
            <w:pStyle w:val="Header"/>
            <w:bidi w:val="0"/>
            <w:ind w:right="-115"/>
            <w:jc w:val="right"/>
          </w:pPr>
        </w:p>
      </w:tc>
    </w:tr>
  </w:tbl>
  <w:p w:rsidR="33C96986" w:rsidRDefault="33C96986" w14:paraId="64D5EDDB" w14:textId="095DABBC"/>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w:rsidR="33C96986" w:rsidTr="61A7BB67" w14:paraId="5BF908AB">
      <w:trPr>
        <w:trHeight w:val="300"/>
      </w:trPr>
      <w:tc>
        <w:tcPr>
          <w:tcW w:w="3120" w:type="dxa"/>
          <w:tcMar/>
        </w:tcPr>
        <w:p w:rsidR="33C96986" w:rsidP="33C96986" w:rsidRDefault="33C96986" w14:paraId="539EFED8" w14:noSpellErr="1" w14:textId="1E470923">
          <w:pPr>
            <w:pStyle w:val="Header"/>
            <w:bidi w:val="0"/>
            <w:ind w:left="-115"/>
            <w:jc w:val="left"/>
          </w:pPr>
        </w:p>
      </w:tc>
      <w:tc>
        <w:tcPr>
          <w:tcW w:w="3120" w:type="dxa"/>
          <w:tcMar/>
        </w:tcPr>
        <w:p w:rsidR="33C96986" w:rsidP="33C96986" w:rsidRDefault="33C96986" w14:paraId="67E95BD9" w14:textId="333D80D9">
          <w:pPr>
            <w:pStyle w:val="Header"/>
            <w:bidi w:val="0"/>
            <w:jc w:val="center"/>
          </w:pPr>
        </w:p>
      </w:tc>
      <w:tc>
        <w:tcPr>
          <w:tcW w:w="3120" w:type="dxa"/>
          <w:tcMar/>
        </w:tcPr>
        <w:p w:rsidR="33C96986" w:rsidP="33C96986" w:rsidRDefault="33C96986" w14:paraId="299D7949" w14:textId="3C7054A0">
          <w:pPr>
            <w:pStyle w:val="Header"/>
            <w:bidi w:val="0"/>
            <w:ind w:right="-115"/>
            <w:jc w:val="right"/>
          </w:pPr>
        </w:p>
      </w:tc>
    </w:tr>
  </w:tbl>
  <w:p w:rsidR="33C96986" w:rsidP="33C96986" w:rsidRDefault="33C96986" w14:paraId="0E64E107" w14:textId="6AF564D1">
    <w:pPr>
      <w:pStyle w:val="Header"/>
      <w:bidi w:val="0"/>
    </w:pPr>
  </w:p>
</w:hdr>
</file>

<file path=word/numbering.xml><?xml version="1.0" encoding="utf-8"?>
<w:numbering xmlns:w="http://schemas.openxmlformats.org/wordprocessingml/2006/main">
  <w:abstractNum xmlns:w="http://schemas.openxmlformats.org/wordprocessingml/2006/main" w:abstractNumId="8">
    <w:nsid w:val="7212d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5d9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e7d2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99e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2e6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4c5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a63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478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B954D2"/>
    <w:rsid w:val="0310CEC6"/>
    <w:rsid w:val="0635C667"/>
    <w:rsid w:val="0EB954D2"/>
    <w:rsid w:val="0ECD3FB0"/>
    <w:rsid w:val="17403F83"/>
    <w:rsid w:val="1B2ABCB2"/>
    <w:rsid w:val="1CC309FD"/>
    <w:rsid w:val="1CEC47A0"/>
    <w:rsid w:val="1D4625DD"/>
    <w:rsid w:val="292763A1"/>
    <w:rsid w:val="2BC9186F"/>
    <w:rsid w:val="2DFF9DA5"/>
    <w:rsid w:val="30C01955"/>
    <w:rsid w:val="33C96986"/>
    <w:rsid w:val="431900AD"/>
    <w:rsid w:val="52E9B1F6"/>
    <w:rsid w:val="5E999B29"/>
    <w:rsid w:val="61A7BB67"/>
    <w:rsid w:val="63706869"/>
    <w:rsid w:val="63706869"/>
    <w:rsid w:val="667D61F3"/>
    <w:rsid w:val="6B2C22D3"/>
    <w:rsid w:val="6F312FF0"/>
    <w:rsid w:val="7147AF88"/>
    <w:rsid w:val="714B592F"/>
    <w:rsid w:val="7290FADC"/>
    <w:rsid w:val="74294B22"/>
    <w:rsid w:val="74BA2A84"/>
    <w:rsid w:val="77A1A4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3918"/>
  <w15:chartTrackingRefBased/>
  <w15:docId w15:val="{45C6C81C-87DB-4B77-A7AF-AA73CCF59D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3C969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3C969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C9698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3C9698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33C96986"/>
    <w:pPr>
      <w:spacing/>
      <w:ind w:left="720"/>
      <w:contextualSpacing/>
    </w:pPr>
  </w:style>
  <w:style w:type="character" w:styleId="Hyperlink">
    <w:uiPriority w:val="99"/>
    <w:name w:val="Hyperlink"/>
    <w:basedOn w:val="DefaultParagraphFont"/>
    <w:unhideWhenUsed/>
    <w:rsid w:val="33C96986"/>
    <w:rPr>
      <w:color w:val="467886"/>
      <w:u w:val="single"/>
    </w:rPr>
  </w:style>
  <w:style w:type="paragraph" w:styleId="Header">
    <w:uiPriority w:val="99"/>
    <w:name w:val="header"/>
    <w:basedOn w:val="Normal"/>
    <w:unhideWhenUsed/>
    <w:rsid w:val="33C96986"/>
    <w:pPr>
      <w:tabs>
        <w:tab w:val="center" w:leader="none" w:pos="4680"/>
        <w:tab w:val="right" w:leader="none" w:pos="9360"/>
      </w:tabs>
      <w:spacing w:after="0" w:line="240" w:lineRule="auto"/>
    </w:pPr>
  </w:style>
  <w:style w:type="paragraph" w:styleId="TOC1">
    <w:uiPriority w:val="39"/>
    <w:name w:val="toc 1"/>
    <w:basedOn w:val="Normal"/>
    <w:next w:val="Normal"/>
    <w:unhideWhenUsed/>
    <w:rsid w:val="33C96986"/>
    <w:pPr>
      <w:spacing w:after="100"/>
    </w:pPr>
  </w:style>
  <w:style w:type="paragraph" w:styleId="TOC2">
    <w:uiPriority w:val="39"/>
    <w:name w:val="toc 2"/>
    <w:basedOn w:val="Normal"/>
    <w:next w:val="Normal"/>
    <w:unhideWhenUsed/>
    <w:rsid w:val="33C96986"/>
    <w:pPr>
      <w:spacing w:after="100"/>
      <w:ind w:left="220"/>
    </w:pPr>
  </w:style>
  <w:style w:type="paragraph" w:styleId="TOC3">
    <w:uiPriority w:val="39"/>
    <w:name w:val="toc 3"/>
    <w:basedOn w:val="Normal"/>
    <w:next w:val="Normal"/>
    <w:unhideWhenUsed/>
    <w:rsid w:val="33C96986"/>
    <w:pPr>
      <w:spacing w:after="100"/>
      <w:ind w:left="440"/>
    </w:pPr>
  </w:style>
  <w:style w:type="paragraph" w:styleId="TOC4">
    <w:uiPriority w:val="39"/>
    <w:name w:val="toc 4"/>
    <w:basedOn w:val="Normal"/>
    <w:next w:val="Normal"/>
    <w:unhideWhenUsed/>
    <w:rsid w:val="33C96986"/>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p.com/sustainability/climate-change/climate-transition-action-plan" TargetMode="External" Id="R6b2cf53d0d46463d" /><Relationship Type="http://schemas.openxmlformats.org/officeDocument/2006/relationships/hyperlink" Target="https://www.bhp.com/investors/annual-reporting" TargetMode="External" Id="R3d3a5a157928428e" /><Relationship Type="http://schemas.openxmlformats.org/officeDocument/2006/relationships/hyperlink" Target="http://www.climateaction100.org/company-assessments/bhp-group/" TargetMode="External" Id="Rb08d088a1fa24dcf" /><Relationship Type="http://schemas.openxmlformats.org/officeDocument/2006/relationships/hyperlink" Target="https://www.skarnassociates.com/insights/bhp-decarbonisation-roadmap" TargetMode="External" Id="R6e458feb386e4b0b" /><Relationship Type="http://schemas.openxmlformats.org/officeDocument/2006/relationships/hyperlink" Target="https://www.thebusinessresearchcompany.com/" TargetMode="External" Id="R7c0901886c5a4839" /><Relationship Type="http://schemas.openxmlformats.org/officeDocument/2006/relationships/header" Target="header.xml" Id="Rab60fdfd9f504f86" /><Relationship Type="http://schemas.openxmlformats.org/officeDocument/2006/relationships/footer" Target="footer.xml" Id="R97d32a7986df424e" /><Relationship Type="http://schemas.openxmlformats.org/officeDocument/2006/relationships/numbering" Target="numbering.xml" Id="R653e98911b2f4f66" /><Relationship Type="http://schemas.openxmlformats.org/officeDocument/2006/relationships/image" Target="/media/image.png" Id="rId18474796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2026-07-23T13:25:39.5666547Z</dcterms:created>
  <dcterms:modified xsi:type="dcterms:W3CDTF">2026-07-23T14:51:22.0395266Z</dcterms:modified>
  <dc:creator>Nehal Chekhalia (2545212)</dc:creator>
  <lastModifiedBy>Nehal Chekhalia (2545212)</lastModifiedBy>
</coreProperties>
</file>