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00"/>
        <w:ind w:firstLine="720"/>
        <w:jc w:val="center"/>
        <w:rPr>
          <w:rFonts w:cs="Arial"/>
          <w:b/>
          <w:sz w:val="22"/>
          <w:szCs w:val="22"/>
        </w:rPr>
      </w:pPr>
      <w:r>
        <w:rPr>
          <w:rFonts w:cs="Arial"/>
          <w:b/>
          <w:sz w:val="22"/>
          <w:szCs w:val="22"/>
        </w:rPr>
        <w:t>PG1 - MINI RESEARCH PROPOSAL</w:t>
      </w:r>
    </w:p>
    <w:p>
      <w:pPr>
        <w:rPr>
          <w:rFonts w:cs="Arial"/>
          <w:b/>
          <w:sz w:val="22"/>
          <w:szCs w:val="22"/>
        </w:rPr>
      </w:pPr>
    </w:p>
    <w:tbl>
      <w:tblPr>
        <w:tblStyle w:val="14"/>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76" w:type="dxa"/>
          </w:tcPr>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cs="Arial"/>
                <w:sz w:val="22"/>
                <w:szCs w:val="22"/>
              </w:rPr>
            </w:pPr>
            <w:r>
              <w:rPr>
                <w:rFonts w:cs="Arial"/>
                <w:sz w:val="22"/>
                <w:szCs w:val="22"/>
              </w:rPr>
              <w:t xml:space="preserve">This form is to be completed by both the student and supervisory team within </w:t>
            </w:r>
            <w:r>
              <w:rPr>
                <w:rFonts w:cs="Arial"/>
                <w:b/>
                <w:sz w:val="22"/>
                <w:szCs w:val="22"/>
              </w:rPr>
              <w:t>THREE</w:t>
            </w:r>
            <w:r>
              <w:rPr>
                <w:rFonts w:cs="Arial"/>
                <w:sz w:val="22"/>
                <w:szCs w:val="22"/>
              </w:rPr>
              <w:t xml:space="preserve"> months for full-time students and </w:t>
            </w:r>
            <w:r>
              <w:rPr>
                <w:rFonts w:cs="Arial"/>
                <w:b/>
                <w:sz w:val="22"/>
                <w:szCs w:val="22"/>
              </w:rPr>
              <w:t xml:space="preserve">SIX </w:t>
            </w:r>
            <w:r>
              <w:rPr>
                <w:rFonts w:cs="Arial"/>
                <w:sz w:val="22"/>
                <w:szCs w:val="22"/>
              </w:rPr>
              <w:t xml:space="preserve">months for part time students, after the commencement of the research degree or Part Two. </w:t>
            </w:r>
            <w:r>
              <w:rPr>
                <w:rFonts w:cs="Arial"/>
                <w:bCs/>
                <w:sz w:val="22"/>
                <w:szCs w:val="22"/>
              </w:rPr>
              <w:t xml:space="preserve">Return the completed form to the </w:t>
            </w:r>
            <w:r>
              <w:rPr>
                <w:rFonts w:cs="Arial"/>
                <w:b/>
                <w:bCs/>
                <w:sz w:val="22"/>
                <w:szCs w:val="22"/>
              </w:rPr>
              <w:t xml:space="preserve">Academic Office </w:t>
            </w:r>
            <w:r>
              <w:fldChar w:fldCharType="begin"/>
            </w:r>
            <w:r>
              <w:instrText xml:space="preserve"> HYPERLINK "mailto:pgresearch@uwtsd.ac.uk" </w:instrText>
            </w:r>
            <w:r>
              <w:fldChar w:fldCharType="separate"/>
            </w:r>
            <w:r>
              <w:rPr>
                <w:rStyle w:val="18"/>
                <w:rFonts w:cs="Arial"/>
                <w:sz w:val="22"/>
                <w:szCs w:val="22"/>
              </w:rPr>
              <w:t>pgresearch@uwtsd.ac.uk</w:t>
            </w:r>
            <w:r>
              <w:rPr>
                <w:rStyle w:val="18"/>
                <w:rFonts w:cs="Arial"/>
                <w:sz w:val="22"/>
                <w:szCs w:val="22"/>
              </w:rPr>
              <w:fldChar w:fldCharType="end"/>
            </w:r>
            <w:r>
              <w:rPr>
                <w:rFonts w:cs="Arial"/>
                <w:b/>
                <w:bCs/>
                <w:sz w:val="22"/>
                <w:szCs w:val="22"/>
              </w:rPr>
              <w:t xml:space="preserve">. </w:t>
            </w:r>
          </w:p>
        </w:tc>
      </w:tr>
    </w:tbl>
    <w:p>
      <w:pPr>
        <w:rPr>
          <w:rFonts w:cs="Arial"/>
          <w:b/>
          <w:sz w:val="22"/>
          <w:szCs w:val="22"/>
        </w:rPr>
      </w:pPr>
    </w:p>
    <w:p>
      <w:pPr>
        <w:spacing w:before="240"/>
        <w:rPr>
          <w:rFonts w:cs="Arial"/>
          <w:b/>
          <w:sz w:val="22"/>
          <w:szCs w:val="22"/>
        </w:rPr>
      </w:pPr>
      <w:r>
        <w:rPr>
          <w:rFonts w:cs="Arial"/>
          <w:b/>
          <w:sz w:val="22"/>
          <w:szCs w:val="22"/>
        </w:rPr>
        <w:t xml:space="preserve">Student Details </w:t>
      </w: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1"/>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1" w:type="dxa"/>
            <w:shd w:val="clear" w:color="auto" w:fill="F1F1F1" w:themeFill="background1" w:themeFillShade="F2"/>
          </w:tcPr>
          <w:p>
            <w:pPr>
              <w:tabs>
                <w:tab w:val="center" w:pos="2202"/>
              </w:tabs>
              <w:rPr>
                <w:rFonts w:cs="Arial"/>
                <w:sz w:val="22"/>
                <w:szCs w:val="22"/>
              </w:rPr>
            </w:pPr>
            <w:r>
              <w:rPr>
                <w:rFonts w:cs="Arial"/>
                <w:sz w:val="22"/>
                <w:szCs w:val="22"/>
              </w:rPr>
              <w:t>Student Family / Surname:</w:t>
            </w:r>
          </w:p>
          <w:p>
            <w:pPr>
              <w:rPr>
                <w:rFonts w:cs="Arial"/>
                <w:sz w:val="22"/>
                <w:szCs w:val="22"/>
              </w:rPr>
            </w:pPr>
          </w:p>
        </w:tc>
        <w:tc>
          <w:tcPr>
            <w:tcW w:w="5670" w:type="dxa"/>
            <w:shd w:val="clear" w:color="auto" w:fill="auto"/>
          </w:tcPr>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YU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1" w:type="dxa"/>
            <w:shd w:val="clear" w:color="auto" w:fill="F1F1F1" w:themeFill="background1" w:themeFillShade="F2"/>
          </w:tcPr>
          <w:p>
            <w:pPr>
              <w:rPr>
                <w:rFonts w:cs="Arial"/>
                <w:sz w:val="22"/>
                <w:szCs w:val="22"/>
              </w:rPr>
            </w:pPr>
            <w:r>
              <w:rPr>
                <w:rFonts w:cs="Arial"/>
                <w:sz w:val="22"/>
                <w:szCs w:val="22"/>
              </w:rPr>
              <w:t>Student Given / First name:</w:t>
            </w:r>
          </w:p>
          <w:p>
            <w:pPr>
              <w:rPr>
                <w:rFonts w:cs="Arial"/>
                <w:sz w:val="22"/>
                <w:szCs w:val="22"/>
              </w:rPr>
            </w:pPr>
          </w:p>
        </w:tc>
        <w:tc>
          <w:tcPr>
            <w:tcW w:w="5670" w:type="dxa"/>
            <w:shd w:val="clear" w:color="auto" w:fill="auto"/>
          </w:tcPr>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BOWEN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1" w:type="dxa"/>
            <w:shd w:val="clear" w:color="auto" w:fill="F1F1F1" w:themeFill="background1" w:themeFillShade="F2"/>
          </w:tcPr>
          <w:p>
            <w:pPr>
              <w:rPr>
                <w:rFonts w:cs="Arial"/>
                <w:sz w:val="22"/>
                <w:szCs w:val="22"/>
              </w:rPr>
            </w:pPr>
            <w:r>
              <w:rPr>
                <w:rFonts w:cs="Arial"/>
                <w:sz w:val="22"/>
                <w:szCs w:val="22"/>
              </w:rPr>
              <w:t>Student Number</w:t>
            </w:r>
          </w:p>
          <w:p>
            <w:pPr>
              <w:tabs>
                <w:tab w:val="center" w:pos="2202"/>
              </w:tabs>
              <w:rPr>
                <w:rFonts w:cs="Arial"/>
                <w:sz w:val="22"/>
                <w:szCs w:val="22"/>
              </w:rPr>
            </w:pPr>
          </w:p>
        </w:tc>
        <w:tc>
          <w:tcPr>
            <w:tcW w:w="5670" w:type="dxa"/>
            <w:shd w:val="clear" w:color="auto" w:fill="auto"/>
          </w:tcPr>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2008848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4111" w:type="dxa"/>
            <w:shd w:val="clear" w:color="auto" w:fill="F1F1F1" w:themeFill="background1" w:themeFillShade="F2"/>
          </w:tcPr>
          <w:p>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Institute</w:t>
            </w:r>
          </w:p>
        </w:tc>
        <w:tc>
          <w:tcPr>
            <w:tcW w:w="5670" w:type="dxa"/>
            <w:shd w:val="clear" w:color="auto" w:fill="auto"/>
          </w:tcPr>
          <w:p>
            <w:pPr>
              <w:rPr>
                <w:rFonts w:hint="default" w:ascii="Times New Roman" w:hAnsi="Times New Roman" w:cs="Times New Roman"/>
                <w:sz w:val="24"/>
                <w:szCs w:val="24"/>
              </w:rPr>
            </w:pPr>
            <w:r>
              <w:rPr>
                <w:rFonts w:hint="default" w:ascii="Times New Roman" w:hAnsi="Times New Roman" w:eastAsia="Helvetica" w:cs="Times New Roman"/>
                <w:i w:val="0"/>
                <w:iCs w:val="0"/>
                <w:caps w:val="0"/>
                <w:color w:val="333333"/>
                <w:spacing w:val="0"/>
                <w:sz w:val="24"/>
                <w:szCs w:val="24"/>
                <w:shd w:val="clear" w:fill="F0F3F4"/>
              </w:rPr>
              <w:t>Institute of Management and Health</w:t>
            </w:r>
          </w:p>
        </w:tc>
      </w:tr>
    </w:tbl>
    <w:p>
      <w:pPr>
        <w:ind w:left="180" w:hanging="270"/>
        <w:rPr>
          <w:rFonts w:cs="Arial"/>
          <w:b/>
          <w:sz w:val="22"/>
          <w:szCs w:val="22"/>
        </w:rPr>
      </w:pPr>
    </w:p>
    <w:p>
      <w:pPr>
        <w:rPr>
          <w:rFonts w:cs="Arial"/>
          <w:sz w:val="22"/>
          <w:szCs w:val="22"/>
        </w:rPr>
      </w:pPr>
    </w:p>
    <w:p>
      <w:pPr>
        <w:ind w:left="-142"/>
        <w:rPr>
          <w:rFonts w:hint="eastAsia" w:eastAsia="宋体" w:cs="Arial"/>
          <w:bCs/>
          <w:sz w:val="22"/>
          <w:szCs w:val="22"/>
          <w:lang w:eastAsia="zh-CN"/>
        </w:rPr>
      </w:pPr>
      <w:r>
        <w:rPr>
          <w:rFonts w:cs="Arial"/>
          <w:b/>
          <w:bCs/>
          <w:sz w:val="22"/>
          <w:szCs w:val="22"/>
        </w:rPr>
        <w:t>Proposed Research</w:t>
      </w:r>
    </w:p>
    <w:p>
      <w:pPr>
        <w:rPr>
          <w:rFonts w:cs="Arial"/>
          <w:sz w:val="22"/>
          <w:szCs w:val="22"/>
        </w:rPr>
      </w:pP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Current Proposed Title (20 / 30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pPr>
              <w:pStyle w:val="2"/>
              <w:bidi w:val="0"/>
              <w:rPr>
                <w:rFonts w:cs="Arial"/>
                <w:sz w:val="22"/>
                <w:szCs w:val="22"/>
              </w:rPr>
            </w:pPr>
            <w:r>
              <w:rPr>
                <w:rFonts w:hint="default" w:ascii="Times New Roman" w:hAnsi="Times New Roman" w:cs="Times New Roman"/>
                <w:sz w:val="24"/>
                <w:szCs w:val="24"/>
                <w:lang w:val="en-US" w:eastAsia="zh-CN"/>
              </w:rPr>
              <w:t>Research on Crisis Management of SMEs: Integration of the Steps and Process of Corporate Crisis Countermeasures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 xml:space="preserve"> </w:t>
            </w:r>
          </w:p>
          <w:p>
            <w:pPr>
              <w:rPr>
                <w:rFonts w:cs="Arial"/>
                <w:sz w:val="22"/>
                <w:szCs w:val="22"/>
              </w:rPr>
            </w:pPr>
            <w:r>
              <w:rPr>
                <w:rFonts w:cs="Arial"/>
                <w:sz w:val="22"/>
                <w:szCs w:val="22"/>
              </w:rPr>
              <w:t>Background &amp; Context (approx. 250 words)</w:t>
            </w:r>
          </w:p>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pPr>
              <w:rPr>
                <w:rFonts w:cs="Arial"/>
                <w:sz w:val="22"/>
                <w:szCs w:val="22"/>
              </w:rPr>
            </w:pPr>
          </w:p>
          <w:p>
            <w:pPr>
              <w:pStyle w:val="26"/>
              <w:autoSpaceDE w:val="0"/>
              <w:autoSpaceDN w:val="0"/>
              <w:adjustRightInd w:val="0"/>
              <w:contextualSpacing/>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 xml:space="preserve">We know that an </w:t>
            </w:r>
            <w:r>
              <w:rPr>
                <w:rFonts w:hint="default" w:ascii="Times New Roman" w:hAnsi="Times New Roman" w:cs="Times New Roman"/>
                <w:sz w:val="24"/>
                <w:szCs w:val="24"/>
                <w:lang w:val="en-US"/>
              </w:rPr>
              <w:t>corporate</w:t>
            </w:r>
            <w:r>
              <w:rPr>
                <w:rFonts w:hint="default" w:ascii="Times New Roman" w:hAnsi="Times New Roman" w:cs="Times New Roman"/>
                <w:sz w:val="24"/>
                <w:szCs w:val="24"/>
              </w:rPr>
              <w:t xml:space="preserve"> crisis is very serious because it hits organizations from all sides. It has a high threat and needs to be dealt with immediately. It poses a threat to</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organization's reputation and viability.</w:t>
            </w:r>
            <w:r>
              <w:rPr>
                <w:rFonts w:hint="default" w:ascii="Times New Roman" w:hAnsi="Times New Roman" w:eastAsia="宋体" w:cs="Times New Roman"/>
                <w:sz w:val="24"/>
                <w:szCs w:val="24"/>
                <w:lang w:val="en-US" w:eastAsia="zh-CN"/>
              </w:rPr>
              <w:t>(Buran et al, 2021.Spillan and Hough, 2003. Preble,1997)</w:t>
            </w:r>
          </w:p>
          <w:p>
            <w:pPr>
              <w:pStyle w:val="26"/>
              <w:autoSpaceDE w:val="0"/>
              <w:autoSpaceDN w:val="0"/>
              <w:adjustRightInd w:val="0"/>
              <w:contextualSpacing/>
              <w:rPr>
                <w:rFonts w:hint="default" w:ascii="Times New Roman" w:hAnsi="Times New Roman" w:cs="Times New Roman"/>
                <w:sz w:val="24"/>
                <w:szCs w:val="24"/>
              </w:rPr>
            </w:pPr>
          </w:p>
          <w:p>
            <w:pPr>
              <w:pStyle w:val="26"/>
              <w:autoSpaceDE w:val="0"/>
              <w:autoSpaceDN w:val="0"/>
              <w:adjustRightInd w:val="0"/>
              <w:contextualSpacing/>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 xml:space="preserve">We also know that SMEs are now a very important part of </w:t>
            </w:r>
            <w:r>
              <w:rPr>
                <w:rFonts w:hint="default" w:ascii="Times New Roman" w:hAnsi="Times New Roman" w:cs="Times New Roman"/>
                <w:sz w:val="24"/>
                <w:szCs w:val="24"/>
                <w:lang w:val="en-US"/>
              </w:rPr>
              <w:t>corporate</w:t>
            </w:r>
            <w:r>
              <w:rPr>
                <w:rFonts w:hint="default" w:ascii="Times New Roman" w:hAnsi="Times New Roman" w:cs="Times New Roman"/>
                <w:sz w:val="24"/>
                <w:szCs w:val="24"/>
              </w:rPr>
              <w:t>. Take China’s SMEs as an example: in 2019, there were more than 38 million SMEs in China. At present, SMEs in China account for more than 90% of the total number of enterprises in the country. SMEs contribute more than 60% of China's GDP and provide 70% of patent profits. Not only that, China's small and medium-sized enterprises provide 80% of the country's employment.</w:t>
            </w:r>
            <w:r>
              <w:rPr>
                <w:rFonts w:hint="default" w:ascii="Times New Roman" w:hAnsi="Times New Roman" w:eastAsia="宋体" w:cs="Times New Roman"/>
                <w:sz w:val="24"/>
                <w:szCs w:val="24"/>
                <w:lang w:val="en-US" w:eastAsia="zh-CN"/>
              </w:rPr>
              <w:t xml:space="preserve"> (Statista, 2021)</w:t>
            </w:r>
          </w:p>
          <w:p>
            <w:pPr>
              <w:pStyle w:val="26"/>
              <w:autoSpaceDE w:val="0"/>
              <w:autoSpaceDN w:val="0"/>
              <w:adjustRightInd w:val="0"/>
              <w:contextualSpacing/>
              <w:rPr>
                <w:rFonts w:hint="default" w:ascii="Times New Roman" w:hAnsi="Times New Roman" w:cs="Times New Roman"/>
                <w:sz w:val="24"/>
                <w:szCs w:val="24"/>
              </w:rPr>
            </w:pPr>
          </w:p>
          <w:p>
            <w:pPr>
              <w:pStyle w:val="26"/>
              <w:autoSpaceDE w:val="0"/>
              <w:autoSpaceDN w:val="0"/>
              <w:adjustRightInd w:val="0"/>
              <w:contextualSpacing/>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However, despite the growing importance of SMEs, today's SMEs remain highly vulnerable. Unlike large enterprises, SMEs have very little ability to respond to crises, which makes them vulnerable to destruction or irreparable losses. For example, due to COVID19, small and medium-sized businesses in the U.S. have seen a 39% reduction in active employment since January 2020, with employment in retail, arts, entertainment, personal services, food and hospitality all falling by more than 50%.</w:t>
            </w:r>
            <w:r>
              <w:rPr>
                <w:rFonts w:hint="default" w:ascii="Times New Roman" w:hAnsi="Times New Roman" w:eastAsia="宋体" w:cs="Times New Roman"/>
                <w:sz w:val="24"/>
                <w:szCs w:val="24"/>
                <w:lang w:val="en-US" w:eastAsia="zh-CN"/>
              </w:rPr>
              <w:t>(Bartik et al, 2020)</w:t>
            </w:r>
          </w:p>
          <w:p>
            <w:pPr>
              <w:pStyle w:val="26"/>
              <w:autoSpaceDE w:val="0"/>
              <w:autoSpaceDN w:val="0"/>
              <w:adjustRightInd w:val="0"/>
              <w:contextualSpacing/>
              <w:rPr>
                <w:rFonts w:hint="default" w:ascii="Times New Roman" w:hAnsi="Times New Roman" w:cs="Times New Roman"/>
                <w:sz w:val="24"/>
                <w:szCs w:val="24"/>
              </w:rPr>
            </w:pPr>
          </w:p>
          <w:p>
            <w:pPr>
              <w:pStyle w:val="26"/>
              <w:autoSpaceDE w:val="0"/>
              <w:autoSpaceDN w:val="0"/>
              <w:adjustRightInd w:val="0"/>
              <w:contextualSpacing/>
              <w:rPr>
                <w:rFonts w:hint="default" w:ascii="Times New Roman" w:hAnsi="Times New Roman" w:cs="Times New Roman"/>
                <w:sz w:val="24"/>
                <w:szCs w:val="24"/>
              </w:rPr>
            </w:pPr>
            <w:r>
              <w:rPr>
                <w:rFonts w:hint="default" w:ascii="Times New Roman" w:hAnsi="Times New Roman" w:cs="Times New Roman"/>
                <w:sz w:val="24"/>
                <w:szCs w:val="24"/>
              </w:rPr>
              <w:t>The importance of crisis management can be found from the above cases. Since the 1980s, scholars' analysis of crisis management has become more comprehensive and in-depth. Simply put, crisis management is the rescue action taken during and after a crisis.</w:t>
            </w:r>
            <w:r>
              <w:rPr>
                <w:rFonts w:hint="default" w:ascii="Times New Roman" w:hAnsi="Times New Roman" w:eastAsia="宋体" w:cs="Times New Roman"/>
                <w:sz w:val="24"/>
                <w:szCs w:val="24"/>
                <w:lang w:val="en-US" w:eastAsia="zh-CN"/>
              </w:rPr>
              <w:t>(Brahim, 2013. Pearson and Mittrof, 1993. Burhan et al, 2021. Mittrof, Shrivastava and Udwadia, 1987. Preble, 1997.)</w:t>
            </w:r>
            <w:r>
              <w:rPr>
                <w:rFonts w:hint="default" w:ascii="Times New Roman" w:hAnsi="Times New Roman" w:cs="Times New Roman"/>
                <w:sz w:val="24"/>
                <w:szCs w:val="24"/>
              </w:rPr>
              <w:t xml:space="preserve"> It is committed to minimizing the impact of the crisis. Scholars such as Pearson</w:t>
            </w:r>
            <w:r>
              <w:rPr>
                <w:rFonts w:hint="default" w:ascii="Times New Roman" w:hAnsi="Times New Roman" w:eastAsia="宋体" w:cs="Times New Roman"/>
                <w:sz w:val="24"/>
                <w:szCs w:val="24"/>
                <w:lang w:val="en-US" w:eastAsia="zh-CN"/>
              </w:rPr>
              <w:t>(1993)</w:t>
            </w:r>
            <w:r>
              <w:rPr>
                <w:rFonts w:hint="default" w:ascii="Times New Roman" w:hAnsi="Times New Roman" w:cs="Times New Roman"/>
                <w:sz w:val="24"/>
                <w:szCs w:val="24"/>
              </w:rPr>
              <w:t>, mittrof</w:t>
            </w:r>
            <w:r>
              <w:rPr>
                <w:rFonts w:hint="default" w:ascii="Times New Roman" w:hAnsi="Times New Roman" w:eastAsia="宋体" w:cs="Times New Roman"/>
                <w:sz w:val="24"/>
                <w:szCs w:val="24"/>
                <w:lang w:val="en-US" w:eastAsia="zh-CN"/>
              </w:rPr>
              <w:t>(1987, 1993)</w:t>
            </w:r>
            <w:r>
              <w:rPr>
                <w:rFonts w:hint="default" w:ascii="Times New Roman" w:hAnsi="Times New Roman" w:cs="Times New Roman"/>
                <w:sz w:val="24"/>
                <w:szCs w:val="24"/>
              </w:rPr>
              <w:t>, and shrivastava</w:t>
            </w:r>
            <w:r>
              <w:rPr>
                <w:rFonts w:hint="default" w:ascii="Times New Roman" w:hAnsi="Times New Roman" w:eastAsia="宋体" w:cs="Times New Roman"/>
                <w:sz w:val="24"/>
                <w:szCs w:val="24"/>
                <w:lang w:val="en-US" w:eastAsia="zh-CN"/>
              </w:rPr>
              <w:t>(1987)</w:t>
            </w:r>
            <w:r>
              <w:rPr>
                <w:rFonts w:hint="default" w:ascii="Times New Roman" w:hAnsi="Times New Roman" w:cs="Times New Roman"/>
                <w:sz w:val="24"/>
                <w:szCs w:val="24"/>
              </w:rPr>
              <w:t xml:space="preserve"> have outlined and integrated the response steps and application procedures of crisis management, forming a relatively complete crisis response mechanism. Through these crisis management frameworks, managers can learn how crisis management works in the face of organizational crisis: early warning, response, prevention, and so on.</w:t>
            </w:r>
          </w:p>
          <w:p>
            <w:pPr>
              <w:pStyle w:val="26"/>
              <w:autoSpaceDE w:val="0"/>
              <w:autoSpaceDN w:val="0"/>
              <w:adjustRightInd w:val="0"/>
              <w:contextualSpacing/>
              <w:rPr>
                <w:rFonts w:hint="default" w:ascii="Times New Roman" w:hAnsi="Times New Roman" w:cs="Times New Roman"/>
                <w:sz w:val="24"/>
                <w:szCs w:val="24"/>
              </w:rPr>
            </w:pPr>
          </w:p>
          <w:p>
            <w:pPr>
              <w:pStyle w:val="26"/>
              <w:autoSpaceDE w:val="0"/>
              <w:autoSpaceDN w:val="0"/>
              <w:adjustRightInd w:val="0"/>
              <w:contextualSpacing/>
              <w:rPr>
                <w:rFonts w:cs="Arial"/>
                <w:sz w:val="22"/>
                <w:szCs w:val="22"/>
              </w:rPr>
            </w:pPr>
            <w:r>
              <w:rPr>
                <w:rFonts w:hint="default" w:ascii="Times New Roman" w:hAnsi="Times New Roman" w:cs="Times New Roman"/>
                <w:sz w:val="24"/>
                <w:szCs w:val="24"/>
              </w:rPr>
              <w:t>However, I think current crisis managemen</w:t>
            </w:r>
            <w:r>
              <w:rPr>
                <w:rFonts w:hint="default" w:ascii="Times New Roman" w:hAnsi="Times New Roman" w:cs="Times New Roman"/>
                <w:sz w:val="24"/>
                <w:szCs w:val="24"/>
                <w:lang w:val="en-US"/>
              </w:rPr>
              <w:t xml:space="preserve">t </w:t>
            </w:r>
            <w:r>
              <w:rPr>
                <w:rFonts w:hint="default" w:ascii="Times New Roman" w:hAnsi="Times New Roman" w:cs="Times New Roman"/>
                <w:sz w:val="24"/>
                <w:szCs w:val="24"/>
              </w:rPr>
              <w:t xml:space="preserve">still has some room for improvement: First, previous scholars' descriptions of crisis management response mechanisms, frameworks, and countermeasures are general. In short, there are still few elaborations and analyses on crisis management of SMEs. Therefore, in this part, I think it is necessary to combine the existing crisis management theories and frameworks with the vulnerability of </w:t>
            </w:r>
            <w:r>
              <w:rPr>
                <w:rFonts w:hint="default" w:ascii="Times New Roman" w:hAnsi="Times New Roman" w:cs="Times New Roman"/>
                <w:sz w:val="24"/>
                <w:szCs w:val="24"/>
                <w:lang w:val="en-US"/>
              </w:rPr>
              <w:t>SMEs</w:t>
            </w:r>
            <w:r>
              <w:rPr>
                <w:rFonts w:hint="default" w:ascii="Times New Roman" w:hAnsi="Times New Roman" w:cs="Times New Roman"/>
                <w:sz w:val="24"/>
                <w:szCs w:val="24"/>
              </w:rPr>
              <w:t xml:space="preserve"> in the face of </w:t>
            </w:r>
            <w:r>
              <w:rPr>
                <w:rFonts w:hint="default" w:ascii="Times New Roman" w:hAnsi="Times New Roman" w:cs="Times New Roman"/>
                <w:sz w:val="24"/>
                <w:szCs w:val="24"/>
                <w:lang w:val="en-US"/>
              </w:rPr>
              <w:t>corporate</w:t>
            </w:r>
            <w:r>
              <w:rPr>
                <w:rFonts w:hint="default" w:ascii="Times New Roman" w:hAnsi="Times New Roman" w:cs="Times New Roman"/>
                <w:sz w:val="24"/>
                <w:szCs w:val="24"/>
              </w:rPr>
              <w:t xml:space="preserve"> crisis, to test whether the current crisis management theory can be applied to the current SMEs. Not only that, although many scholars have summarized crisis management theories well and made crisis management response frameworks and operational mechanisms, </w:t>
            </w:r>
            <w:r>
              <w:rPr>
                <w:rFonts w:hint="default" w:ascii="Times New Roman" w:hAnsi="Times New Roman" w:cs="Times New Roman"/>
                <w:sz w:val="24"/>
                <w:szCs w:val="24"/>
                <w:lang w:val="en-US"/>
              </w:rPr>
              <w:t xml:space="preserve">but </w:t>
            </w:r>
            <w:r>
              <w:rPr>
                <w:rFonts w:hint="default" w:ascii="Times New Roman" w:hAnsi="Times New Roman" w:cs="Times New Roman"/>
                <w:sz w:val="24"/>
                <w:szCs w:val="24"/>
              </w:rPr>
              <w:t>few literature have explained the details of each unit in these frameworks. The reason for this situation also includes the huge scope of application of crisis management theory: crisis communication</w:t>
            </w:r>
            <w:r>
              <w:rPr>
                <w:rFonts w:hint="default" w:ascii="Times New Roman" w:hAnsi="Times New Roman" w:eastAsia="宋体" w:cs="Times New Roman"/>
                <w:sz w:val="24"/>
                <w:szCs w:val="24"/>
                <w:lang w:val="en-US" w:eastAsia="zh-CN"/>
              </w:rPr>
              <w:t>(Barton, 2007)</w:t>
            </w:r>
            <w:r>
              <w:rPr>
                <w:rFonts w:hint="default" w:ascii="Times New Roman" w:hAnsi="Times New Roman" w:cs="Times New Roman"/>
                <w:sz w:val="24"/>
                <w:szCs w:val="24"/>
              </w:rPr>
              <w:t>, crisis leadership</w:t>
            </w:r>
            <w:r>
              <w:rPr>
                <w:rFonts w:hint="default" w:ascii="Times New Roman" w:hAnsi="Times New Roman" w:eastAsia="宋体" w:cs="Times New Roman"/>
                <w:sz w:val="24"/>
                <w:szCs w:val="24"/>
                <w:lang w:val="en-US" w:eastAsia="zh-CN"/>
              </w:rPr>
              <w:t>(Bowers and Srinivasan, 2017)</w:t>
            </w:r>
            <w:r>
              <w:rPr>
                <w:rFonts w:hint="default" w:ascii="Times New Roman" w:hAnsi="Times New Roman" w:cs="Times New Roman"/>
                <w:sz w:val="24"/>
                <w:szCs w:val="24"/>
              </w:rPr>
              <w:t>, crisis prevention</w:t>
            </w:r>
            <w:r>
              <w:rPr>
                <w:rFonts w:hint="default" w:ascii="Times New Roman" w:hAnsi="Times New Roman" w:eastAsia="宋体" w:cs="Times New Roman"/>
                <w:sz w:val="24"/>
                <w:szCs w:val="24"/>
                <w:lang w:val="en-US" w:eastAsia="zh-CN"/>
              </w:rPr>
              <w:t>(Preble, 1997)</w:t>
            </w:r>
            <w:r>
              <w:rPr>
                <w:rFonts w:hint="default" w:ascii="Times New Roman" w:hAnsi="Times New Roman" w:cs="Times New Roman"/>
                <w:sz w:val="24"/>
                <w:szCs w:val="24"/>
              </w:rPr>
              <w:t>, crisis rescue</w:t>
            </w:r>
            <w:r>
              <w:rPr>
                <w:rFonts w:hint="default" w:ascii="Times New Roman" w:hAnsi="Times New Roman" w:eastAsia="宋体" w:cs="Times New Roman"/>
                <w:sz w:val="24"/>
                <w:szCs w:val="24"/>
                <w:lang w:val="en-US" w:eastAsia="zh-CN"/>
              </w:rPr>
              <w:t>(Gaertner, 1990)</w:t>
            </w:r>
            <w:r>
              <w:rPr>
                <w:rFonts w:hint="default" w:ascii="Times New Roman" w:hAnsi="Times New Roman" w:cs="Times New Roman"/>
                <w:sz w:val="24"/>
                <w:szCs w:val="24"/>
              </w:rPr>
              <w:t xml:space="preserve"> and so on. This situation is also the main reason why the current crisis management theory is still relatively loose, and there is no centralized statistics and management. Therefore, I think it is necessary to summarize a series of crisis management applications that have been obtained so far, and provide </w:t>
            </w:r>
            <w:r>
              <w:rPr>
                <w:rFonts w:hint="default" w:ascii="Times New Roman" w:hAnsi="Times New Roman" w:cs="Times New Roman"/>
                <w:sz w:val="24"/>
                <w:szCs w:val="24"/>
                <w:lang w:val="en-US"/>
              </w:rPr>
              <w:t>SME</w:t>
            </w:r>
            <w:r>
              <w:rPr>
                <w:rFonts w:hint="default" w:ascii="Times New Roman" w:hAnsi="Times New Roman" w:cs="Times New Roman"/>
                <w:sz w:val="24"/>
                <w:szCs w:val="24"/>
              </w:rPr>
              <w:t xml:space="preserve"> with a more complete and detailed crisis management application mechanism to face </w:t>
            </w:r>
            <w:r>
              <w:rPr>
                <w:rFonts w:hint="default" w:ascii="Times New Roman" w:hAnsi="Times New Roman" w:cs="Times New Roman"/>
                <w:sz w:val="24"/>
                <w:szCs w:val="24"/>
                <w:lang w:val="en-US"/>
              </w:rPr>
              <w:t>corporate</w:t>
            </w:r>
            <w:r>
              <w:rPr>
                <w:rFonts w:hint="default" w:ascii="Times New Roman" w:hAnsi="Times New Roman" w:cs="Times New Roman"/>
                <w:sz w:val="24"/>
                <w:szCs w:val="24"/>
              </w:rPr>
              <w:t xml:space="preserve"> crises.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pPr>
              <w:rPr>
                <w:rFonts w:cs="Arial"/>
                <w:sz w:val="22"/>
                <w:szCs w:val="22"/>
              </w:rPr>
            </w:pPr>
          </w:p>
          <w:p>
            <w:pPr>
              <w:rPr>
                <w:rFonts w:cs="Arial"/>
                <w:sz w:val="22"/>
                <w:szCs w:val="22"/>
              </w:rPr>
            </w:pPr>
            <w:r>
              <w:rPr>
                <w:rFonts w:cs="Arial"/>
                <w:sz w:val="22"/>
                <w:szCs w:val="22"/>
              </w:rPr>
              <w:t>Aims and Objectives (approx.. 250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pPr>
              <w:pStyle w:val="26"/>
              <w:numPr>
                <w:ilvl w:val="0"/>
                <w:numId w:val="0"/>
              </w:numPr>
              <w:autoSpaceDE w:val="0"/>
              <w:autoSpaceDN w:val="0"/>
              <w:adjustRightInd w:val="0"/>
              <w:ind w:left="360" w:leftChars="0"/>
              <w:contextualSpacing/>
              <w:rPr>
                <w:rFonts w:hint="default" w:ascii="Times New Roman" w:hAnsi="Times New Roman" w:cs="Times New Roman"/>
                <w:sz w:val="24"/>
                <w:szCs w:val="24"/>
              </w:rPr>
            </w:pPr>
            <w:r>
              <w:rPr>
                <w:rFonts w:hint="default" w:ascii="Times New Roman" w:hAnsi="Times New Roman" w:cs="Times New Roman"/>
                <w:sz w:val="24"/>
                <w:szCs w:val="24"/>
              </w:rPr>
              <w:t>I hope to address the following research questions through this study, which are also my research goals</w:t>
            </w:r>
          </w:p>
          <w:p>
            <w:pPr>
              <w:pStyle w:val="26"/>
              <w:numPr>
                <w:ilvl w:val="0"/>
                <w:numId w:val="0"/>
              </w:numPr>
              <w:autoSpaceDE w:val="0"/>
              <w:autoSpaceDN w:val="0"/>
              <w:adjustRightInd w:val="0"/>
              <w:ind w:left="360" w:leftChars="0"/>
              <w:contextualSpacing/>
              <w:rPr>
                <w:rFonts w:hint="default" w:ascii="Times New Roman" w:hAnsi="Times New Roman" w:cs="Times New Roman"/>
                <w:sz w:val="24"/>
                <w:szCs w:val="24"/>
              </w:rPr>
            </w:pPr>
            <w:r>
              <w:rPr>
                <w:rFonts w:hint="default" w:ascii="Times New Roman" w:hAnsi="Times New Roman" w:cs="Times New Roman"/>
                <w:sz w:val="24"/>
                <w:szCs w:val="24"/>
              </w:rPr>
              <w:t>:</w:t>
            </w:r>
          </w:p>
          <w:p>
            <w:pPr>
              <w:pStyle w:val="26"/>
              <w:numPr>
                <w:ilvl w:val="0"/>
                <w:numId w:val="1"/>
              </w:numPr>
              <w:autoSpaceDE w:val="0"/>
              <w:autoSpaceDN w:val="0"/>
              <w:adjustRightInd w:val="0"/>
              <w:contextualSpacing/>
              <w:rPr>
                <w:rFonts w:hint="default" w:ascii="Times New Roman" w:hAnsi="Times New Roman" w:cs="Times New Roman"/>
                <w:sz w:val="24"/>
                <w:szCs w:val="24"/>
              </w:rPr>
            </w:pPr>
            <w:r>
              <w:rPr>
                <w:rFonts w:hint="default" w:ascii="Times New Roman" w:hAnsi="Times New Roman" w:cs="Times New Roman"/>
                <w:sz w:val="24"/>
                <w:szCs w:val="24"/>
              </w:rPr>
              <w:t xml:space="preserve">Are SMEs equipped to deal with </w:t>
            </w:r>
            <w:r>
              <w:rPr>
                <w:rFonts w:hint="default" w:ascii="Times New Roman" w:hAnsi="Times New Roman" w:cs="Times New Roman"/>
                <w:sz w:val="24"/>
                <w:szCs w:val="24"/>
                <w:lang w:val="en-US"/>
              </w:rPr>
              <w:t>corporate</w:t>
            </w:r>
            <w:r>
              <w:rPr>
                <w:rFonts w:hint="default" w:ascii="Times New Roman" w:hAnsi="Times New Roman" w:cs="Times New Roman"/>
                <w:sz w:val="24"/>
                <w:szCs w:val="24"/>
              </w:rPr>
              <w:t xml:space="preserve"> crises </w:t>
            </w:r>
            <w:r>
              <w:rPr>
                <w:rFonts w:hint="default" w:ascii="Times New Roman" w:hAnsi="Times New Roman" w:cs="Times New Roman"/>
                <w:sz w:val="24"/>
                <w:szCs w:val="24"/>
                <w:lang w:val="en-US"/>
              </w:rPr>
              <w:t>in</w:t>
            </w:r>
            <w:r>
              <w:rPr>
                <w:rFonts w:hint="default" w:ascii="Times New Roman" w:hAnsi="Times New Roman" w:cs="Times New Roman"/>
                <w:sz w:val="24"/>
                <w:szCs w:val="24"/>
              </w:rPr>
              <w:t xml:space="preserve"> all shapes and sizes?</w:t>
            </w:r>
          </w:p>
          <w:p>
            <w:pPr>
              <w:pStyle w:val="26"/>
              <w:numPr>
                <w:ilvl w:val="0"/>
                <w:numId w:val="1"/>
              </w:numPr>
              <w:autoSpaceDE w:val="0"/>
              <w:autoSpaceDN w:val="0"/>
              <w:adjustRightInd w:val="0"/>
              <w:contextualSpacing/>
              <w:rPr>
                <w:rFonts w:hint="default" w:ascii="Times New Roman" w:hAnsi="Times New Roman" w:cs="Times New Roman"/>
                <w:sz w:val="24"/>
                <w:szCs w:val="24"/>
              </w:rPr>
            </w:pPr>
            <w:r>
              <w:rPr>
                <w:rFonts w:hint="default" w:ascii="Times New Roman" w:hAnsi="Times New Roman" w:cs="Times New Roman"/>
                <w:sz w:val="24"/>
                <w:szCs w:val="24"/>
              </w:rPr>
              <w:t>Are SME</w:t>
            </w:r>
            <w:r>
              <w:rPr>
                <w:rFonts w:hint="default" w:ascii="Times New Roman" w:hAnsi="Times New Roman" w:eastAsia="宋体" w:cs="Times New Roman"/>
                <w:sz w:val="24"/>
                <w:szCs w:val="24"/>
                <w:lang w:val="en-US" w:eastAsia="zh-CN"/>
              </w:rPr>
              <w:t>s</w:t>
            </w:r>
            <w:r>
              <w:rPr>
                <w:rFonts w:hint="default" w:ascii="Times New Roman" w:hAnsi="Times New Roman" w:cs="Times New Roman"/>
                <w:sz w:val="24"/>
                <w:szCs w:val="24"/>
              </w:rPr>
              <w:t xml:space="preserve"> crisis management mechanisms different? What changes need to be made?</w:t>
            </w:r>
          </w:p>
          <w:p>
            <w:pPr>
              <w:pStyle w:val="26"/>
              <w:numPr>
                <w:ilvl w:val="0"/>
                <w:numId w:val="1"/>
              </w:numPr>
              <w:autoSpaceDE w:val="0"/>
              <w:autoSpaceDN w:val="0"/>
              <w:adjustRightInd w:val="0"/>
              <w:contextualSpacing/>
              <w:rPr>
                <w:rFonts w:hint="default" w:ascii="Times New Roman" w:hAnsi="Times New Roman" w:cs="Times New Roman"/>
                <w:sz w:val="24"/>
                <w:szCs w:val="24"/>
              </w:rPr>
            </w:pPr>
            <w:r>
              <w:rPr>
                <w:rFonts w:hint="default" w:ascii="Times New Roman" w:hAnsi="Times New Roman" w:cs="Times New Roman"/>
                <w:sz w:val="24"/>
                <w:szCs w:val="24"/>
              </w:rPr>
              <w:t xml:space="preserve">How to implement </w:t>
            </w:r>
            <w:r>
              <w:rPr>
                <w:rFonts w:hint="default" w:ascii="Times New Roman" w:hAnsi="Times New Roman" w:cs="Times New Roman"/>
                <w:sz w:val="24"/>
                <w:szCs w:val="24"/>
                <w:lang w:val="en-US"/>
              </w:rPr>
              <w:t>corporate</w:t>
            </w:r>
            <w:r>
              <w:rPr>
                <w:rFonts w:hint="default" w:ascii="Times New Roman" w:hAnsi="Times New Roman" w:cs="Times New Roman"/>
                <w:sz w:val="24"/>
                <w:szCs w:val="24"/>
              </w:rPr>
              <w:t xml:space="preserve"> crisis c</w:t>
            </w:r>
            <w:bookmarkStart w:id="0" w:name="_GoBack"/>
            <w:bookmarkEnd w:id="0"/>
            <w:r>
              <w:rPr>
                <w:rFonts w:hint="default" w:ascii="Times New Roman" w:hAnsi="Times New Roman" w:cs="Times New Roman"/>
                <w:sz w:val="24"/>
                <w:szCs w:val="24"/>
              </w:rPr>
              <w:t xml:space="preserve">ountermeasures for </w:t>
            </w:r>
            <w:r>
              <w:rPr>
                <w:rFonts w:hint="default" w:ascii="Times New Roman" w:hAnsi="Times New Roman" w:eastAsia="宋体" w:cs="Times New Roman"/>
                <w:sz w:val="24"/>
                <w:szCs w:val="24"/>
                <w:lang w:val="en-US" w:eastAsia="zh-CN"/>
              </w:rPr>
              <w:t>SMEs</w:t>
            </w:r>
            <w:r>
              <w:rPr>
                <w:rFonts w:hint="default" w:ascii="Times New Roman" w:hAnsi="Times New Roman" w:cs="Times New Roman"/>
                <w:sz w:val="24"/>
                <w:szCs w:val="24"/>
              </w:rPr>
              <w:t>?</w:t>
            </w:r>
          </w:p>
          <w:p>
            <w:pPr>
              <w:pStyle w:val="26"/>
              <w:numPr>
                <w:numId w:val="0"/>
              </w:numPr>
              <w:autoSpaceDE w:val="0"/>
              <w:autoSpaceDN w:val="0"/>
              <w:adjustRightInd w:val="0"/>
              <w:ind w:left="360" w:leftChars="0"/>
              <w:contextualSpacing/>
              <w:rPr>
                <w:rFonts w:hint="default" w:ascii="Times New Roman" w:hAnsi="Times New Roman" w:cs="Times New Roman"/>
                <w:sz w:val="24"/>
                <w:szCs w:val="24"/>
              </w:rPr>
            </w:pPr>
          </w:p>
          <w:p>
            <w:pPr>
              <w:pStyle w:val="26"/>
              <w:numPr>
                <w:numId w:val="0"/>
              </w:numPr>
              <w:autoSpaceDE w:val="0"/>
              <w:autoSpaceDN w:val="0"/>
              <w:adjustRightInd w:val="0"/>
              <w:ind w:left="360" w:leftChars="0"/>
              <w:contextualSpacing/>
              <w:rPr>
                <w:rFonts w:cs="Arial"/>
                <w:sz w:val="22"/>
                <w:szCs w:val="22"/>
              </w:rPr>
            </w:pPr>
            <w:r>
              <w:rPr>
                <w:rFonts w:hint="default" w:ascii="Times New Roman" w:hAnsi="Times New Roman" w:cs="Times New Roman"/>
                <w:sz w:val="24"/>
                <w:szCs w:val="24"/>
              </w:rPr>
              <w:t xml:space="preserve">At the end of the study, I hope my research will address a range of issues raised by SMEs in the face of </w:t>
            </w:r>
            <w:r>
              <w:rPr>
                <w:rFonts w:hint="default" w:ascii="Times New Roman" w:hAnsi="Times New Roman" w:cs="Times New Roman"/>
                <w:sz w:val="24"/>
                <w:szCs w:val="24"/>
                <w:lang w:val="en-US"/>
              </w:rPr>
              <w:t>corporate</w:t>
            </w:r>
            <w:r>
              <w:rPr>
                <w:rFonts w:hint="default" w:ascii="Times New Roman" w:hAnsi="Times New Roman" w:cs="Times New Roman"/>
                <w:sz w:val="24"/>
                <w:szCs w:val="24"/>
              </w:rPr>
              <w:t xml:space="preserve"> crises. I hope that </w:t>
            </w:r>
            <w:r>
              <w:rPr>
                <w:rFonts w:hint="default" w:ascii="Times New Roman" w:hAnsi="Times New Roman" w:eastAsia="宋体" w:cs="Times New Roman"/>
                <w:sz w:val="24"/>
                <w:szCs w:val="24"/>
                <w:lang w:val="en-US" w:eastAsia="zh-CN"/>
              </w:rPr>
              <w:t>SME</w:t>
            </w:r>
            <w:r>
              <w:rPr>
                <w:rFonts w:hint="default" w:ascii="Times New Roman" w:hAnsi="Times New Roman" w:cs="Times New Roman"/>
                <w:sz w:val="24"/>
                <w:szCs w:val="24"/>
              </w:rPr>
              <w:t xml:space="preserve">s can know how to use </w:t>
            </w:r>
            <w:r>
              <w:rPr>
                <w:rFonts w:hint="default" w:ascii="Times New Roman" w:hAnsi="Times New Roman" w:cs="Times New Roman"/>
                <w:sz w:val="24"/>
                <w:szCs w:val="24"/>
                <w:lang w:val="en-US"/>
              </w:rPr>
              <w:t>corporate</w:t>
            </w:r>
            <w:r>
              <w:rPr>
                <w:rFonts w:hint="default" w:ascii="Times New Roman" w:hAnsi="Times New Roman" w:cs="Times New Roman"/>
                <w:sz w:val="24"/>
                <w:szCs w:val="24"/>
              </w:rPr>
              <w:t xml:space="preserve"> crisis to prevent, solve and summarize various </w:t>
            </w:r>
            <w:r>
              <w:rPr>
                <w:rFonts w:hint="default" w:ascii="Times New Roman" w:hAnsi="Times New Roman" w:cs="Times New Roman"/>
                <w:sz w:val="24"/>
                <w:szCs w:val="24"/>
                <w:lang w:val="en-US"/>
              </w:rPr>
              <w:t>corporate</w:t>
            </w:r>
            <w:r>
              <w:rPr>
                <w:rFonts w:hint="default" w:ascii="Times New Roman" w:hAnsi="Times New Roman" w:cs="Times New Roman"/>
                <w:sz w:val="24"/>
                <w:szCs w:val="24"/>
              </w:rPr>
              <w:t xml:space="preserve"> crises, and have a clearer solution to the vulnerability of </w:t>
            </w:r>
            <w:r>
              <w:rPr>
                <w:rFonts w:hint="default" w:ascii="Times New Roman" w:hAnsi="Times New Roman" w:eastAsia="宋体" w:cs="Times New Roman"/>
                <w:sz w:val="24"/>
                <w:szCs w:val="24"/>
                <w:lang w:val="en-US" w:eastAsia="zh-CN"/>
              </w:rPr>
              <w:t>SMEs</w:t>
            </w:r>
            <w:r>
              <w:rPr>
                <w:rFonts w:hint="default" w:ascii="Times New Roman" w:hAnsi="Times New Roman" w:cs="Times New Roman"/>
                <w:sz w:val="24"/>
                <w:szCs w:val="24"/>
              </w:rPr>
              <w:t xml:space="preserve"> in the face of </w:t>
            </w:r>
            <w:r>
              <w:rPr>
                <w:rFonts w:hint="default" w:ascii="Times New Roman" w:hAnsi="Times New Roman" w:cs="Times New Roman"/>
                <w:sz w:val="24"/>
                <w:szCs w:val="24"/>
                <w:lang w:val="en-US"/>
              </w:rPr>
              <w:t>corporate</w:t>
            </w:r>
            <w:r>
              <w:rPr>
                <w:rFonts w:hint="default" w:ascii="Times New Roman" w:hAnsi="Times New Roman" w:cs="Times New Roman"/>
                <w:sz w:val="24"/>
                <w:szCs w:val="24"/>
              </w:rPr>
              <w:t xml:space="preserve"> crisis.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pPr>
              <w:rPr>
                <w:rFonts w:cs="Arial"/>
                <w:sz w:val="22"/>
                <w:szCs w:val="22"/>
              </w:rPr>
            </w:pPr>
          </w:p>
          <w:p>
            <w:pPr>
              <w:rPr>
                <w:rFonts w:cs="Arial"/>
                <w:sz w:val="22"/>
                <w:szCs w:val="22"/>
              </w:rPr>
            </w:pPr>
            <w:r>
              <w:rPr>
                <w:rFonts w:cs="Arial"/>
                <w:sz w:val="22"/>
                <w:szCs w:val="22"/>
              </w:rPr>
              <w:t xml:space="preserve">Proposed plan of work including timetable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tcPr>
          <w:p>
            <w:pPr>
              <w:rPr>
                <w:rFonts w:cs="Arial"/>
                <w:i/>
                <w:sz w:val="22"/>
                <w:szCs w:val="22"/>
              </w:rPr>
            </w:pPr>
            <w:r>
              <w:rPr>
                <w:rFonts w:cs="Arial"/>
                <w:i/>
                <w:sz w:val="22"/>
                <w:szCs w:val="22"/>
              </w:rPr>
              <w:t>Proposed plan of work</w:t>
            </w:r>
          </w:p>
          <w:p>
            <w:pPr>
              <w:rPr>
                <w:rFonts w:cs="Arial"/>
                <w:sz w:val="22"/>
                <w:szCs w:val="22"/>
              </w:rPr>
            </w:pPr>
          </w:p>
          <w:p>
            <w:pPr>
              <w:rPr>
                <w:rFonts w:cs="Arial"/>
                <w:sz w:val="22"/>
                <w:szCs w:val="22"/>
              </w:rPr>
            </w:pPr>
            <w:r>
              <w:rPr>
                <w:rFonts w:cs="Arial"/>
                <w:sz w:val="22"/>
                <w:szCs w:val="22"/>
              </w:rPr>
              <w:t xml:space="preserve">In this section you will need to complete a proposed plan of your work explaining the timeline for key elements of the thesis. </w:t>
            </w:r>
          </w:p>
          <w:p>
            <w:pPr>
              <w:rPr>
                <w:rFonts w:cs="Arial"/>
                <w:sz w:val="22"/>
                <w:szCs w:val="22"/>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7"/>
              <w:gridCol w:w="47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cs="Arial"/>
                      <w:sz w:val="22"/>
                      <w:szCs w:val="22"/>
                    </w:rPr>
                  </w:pPr>
                  <w:r>
                    <w:rPr>
                      <w:rFonts w:cs="Arial"/>
                      <w:sz w:val="22"/>
                      <w:szCs w:val="22"/>
                    </w:rPr>
                    <w:t>Planned Development (e.g. submission of form, completion of chapter, submission of thesis)</w:t>
                  </w:r>
                </w:p>
              </w:tc>
              <w:tc>
                <w:tcPr>
                  <w:tcW w:w="4778" w:type="dxa"/>
                </w:tcPr>
                <w:p>
                  <w:pPr>
                    <w:rPr>
                      <w:rFonts w:cs="Arial"/>
                      <w:sz w:val="22"/>
                      <w:szCs w:val="22"/>
                    </w:rPr>
                  </w:pPr>
                  <w:r>
                    <w:rPr>
                      <w:rFonts w:cs="Arial"/>
                      <w:sz w:val="22"/>
                      <w:szCs w:val="22"/>
                    </w:rPr>
                    <w:t>Target 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hint="default" w:eastAsia="宋体" w:cs="Arial"/>
                      <w:sz w:val="22"/>
                      <w:szCs w:val="22"/>
                      <w:lang w:val="en-US" w:eastAsia="zh-CN"/>
                    </w:rPr>
                  </w:pPr>
                  <w:r>
                    <w:rPr>
                      <w:rFonts w:hint="eastAsia" w:eastAsia="宋体" w:cs="Arial"/>
                      <w:sz w:val="22"/>
                      <w:szCs w:val="22"/>
                      <w:lang w:val="en-US" w:eastAsia="zh-CN"/>
                    </w:rPr>
                    <w:t>Research Start</w:t>
                  </w:r>
                </w:p>
              </w:tc>
              <w:tc>
                <w:tcPr>
                  <w:tcW w:w="4778" w:type="dxa"/>
                </w:tcPr>
                <w:p>
                  <w:pPr>
                    <w:rPr>
                      <w:rFonts w:hint="default" w:eastAsia="宋体" w:cs="Arial"/>
                      <w:sz w:val="22"/>
                      <w:szCs w:val="22"/>
                      <w:lang w:val="en-US" w:eastAsia="zh-CN"/>
                    </w:rPr>
                  </w:pPr>
                  <w:r>
                    <w:rPr>
                      <w:rFonts w:hint="eastAsia" w:eastAsia="宋体" w:cs="Arial"/>
                      <w:sz w:val="22"/>
                      <w:szCs w:val="22"/>
                      <w:lang w:val="en-US" w:eastAsia="zh-CN"/>
                    </w:rPr>
                    <w:t>2022.5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hint="default" w:eastAsia="宋体" w:cs="Arial"/>
                      <w:sz w:val="22"/>
                      <w:szCs w:val="22"/>
                      <w:lang w:val="en-US" w:eastAsia="zh-CN"/>
                    </w:rPr>
                  </w:pPr>
                  <w:r>
                    <w:rPr>
                      <w:rFonts w:hint="eastAsia" w:eastAsia="宋体" w:cs="Arial"/>
                      <w:sz w:val="22"/>
                      <w:szCs w:val="22"/>
                      <w:lang w:val="en-US" w:eastAsia="zh-CN"/>
                    </w:rPr>
                    <w:t>Collect Literature</w:t>
                  </w:r>
                </w:p>
              </w:tc>
              <w:tc>
                <w:tcPr>
                  <w:tcW w:w="4778" w:type="dxa"/>
                </w:tcPr>
                <w:p>
                  <w:pPr>
                    <w:rPr>
                      <w:rFonts w:hint="default" w:eastAsia="宋体" w:cs="Arial"/>
                      <w:sz w:val="22"/>
                      <w:szCs w:val="22"/>
                      <w:lang w:val="en-US" w:eastAsia="zh-CN"/>
                    </w:rPr>
                  </w:pPr>
                  <w:r>
                    <w:rPr>
                      <w:rFonts w:hint="eastAsia" w:eastAsia="宋体" w:cs="Arial"/>
                      <w:sz w:val="22"/>
                      <w:szCs w:val="22"/>
                      <w:lang w:val="en-US" w:eastAsia="zh-CN"/>
                    </w:rPr>
                    <w:t>2022.5 - 2022.8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hint="default" w:eastAsia="宋体" w:cs="Arial"/>
                      <w:sz w:val="22"/>
                      <w:szCs w:val="22"/>
                      <w:lang w:val="en-US" w:eastAsia="zh-CN"/>
                    </w:rPr>
                  </w:pPr>
                  <w:r>
                    <w:rPr>
                      <w:rFonts w:hint="eastAsia" w:eastAsia="宋体" w:cs="Arial"/>
                      <w:sz w:val="22"/>
                      <w:szCs w:val="22"/>
                      <w:lang w:val="en-US" w:eastAsia="zh-CN"/>
                    </w:rPr>
                    <w:t xml:space="preserve">Literature Review </w:t>
                  </w:r>
                </w:p>
              </w:tc>
              <w:tc>
                <w:tcPr>
                  <w:tcW w:w="4778" w:type="dxa"/>
                </w:tcPr>
                <w:p>
                  <w:pPr>
                    <w:rPr>
                      <w:rFonts w:hint="default" w:eastAsia="宋体" w:cs="Arial"/>
                      <w:sz w:val="22"/>
                      <w:szCs w:val="22"/>
                      <w:lang w:val="en-US" w:eastAsia="zh-CN"/>
                    </w:rPr>
                  </w:pPr>
                  <w:r>
                    <w:rPr>
                      <w:rFonts w:hint="eastAsia" w:eastAsia="宋体" w:cs="Arial"/>
                      <w:sz w:val="22"/>
                      <w:szCs w:val="22"/>
                      <w:lang w:val="en-US" w:eastAsia="zh-CN"/>
                    </w:rPr>
                    <w:t>2022.7-2022.12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hint="default" w:eastAsia="宋体" w:cs="Arial"/>
                      <w:sz w:val="22"/>
                      <w:szCs w:val="22"/>
                      <w:lang w:val="en-US" w:eastAsia="zh-CN"/>
                    </w:rPr>
                  </w:pPr>
                  <w:r>
                    <w:rPr>
                      <w:rFonts w:hint="eastAsia" w:eastAsia="宋体" w:cs="Arial"/>
                      <w:sz w:val="22"/>
                      <w:szCs w:val="22"/>
                      <w:lang w:val="en-US" w:eastAsia="zh-CN"/>
                    </w:rPr>
                    <w:t>Main Contents</w:t>
                  </w:r>
                </w:p>
              </w:tc>
              <w:tc>
                <w:tcPr>
                  <w:tcW w:w="4778" w:type="dxa"/>
                </w:tcPr>
                <w:p>
                  <w:pPr>
                    <w:rPr>
                      <w:rFonts w:hint="default" w:eastAsia="宋体" w:cs="Arial"/>
                      <w:sz w:val="22"/>
                      <w:szCs w:val="22"/>
                      <w:lang w:val="en-US" w:eastAsia="zh-CN"/>
                    </w:rPr>
                  </w:pPr>
                  <w:r>
                    <w:rPr>
                      <w:rFonts w:hint="eastAsia" w:eastAsia="宋体" w:cs="Arial"/>
                      <w:sz w:val="22"/>
                      <w:szCs w:val="22"/>
                      <w:lang w:val="en-US" w:eastAsia="zh-CN"/>
                    </w:rPr>
                    <w:t>2023.1-2024.1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hint="default" w:eastAsia="宋体" w:cs="Arial"/>
                      <w:sz w:val="22"/>
                      <w:szCs w:val="22"/>
                      <w:lang w:val="en-US" w:eastAsia="zh-CN"/>
                    </w:rPr>
                  </w:pPr>
                  <w:r>
                    <w:rPr>
                      <w:rFonts w:hint="eastAsia" w:eastAsia="宋体" w:cs="Arial"/>
                      <w:sz w:val="22"/>
                      <w:szCs w:val="22"/>
                      <w:lang w:val="en-US" w:eastAsia="zh-CN"/>
                    </w:rPr>
                    <w:t>Double Check and other Activities</w:t>
                  </w:r>
                </w:p>
              </w:tc>
              <w:tc>
                <w:tcPr>
                  <w:tcW w:w="4778" w:type="dxa"/>
                </w:tcPr>
                <w:p>
                  <w:pPr>
                    <w:rPr>
                      <w:rFonts w:hint="default" w:eastAsia="宋体" w:cs="Arial"/>
                      <w:sz w:val="22"/>
                      <w:szCs w:val="22"/>
                      <w:lang w:val="en-US" w:eastAsia="zh-CN"/>
                    </w:rPr>
                  </w:pPr>
                  <w:r>
                    <w:rPr>
                      <w:rFonts w:hint="eastAsia" w:eastAsia="宋体" w:cs="Arial"/>
                      <w:sz w:val="22"/>
                      <w:szCs w:val="22"/>
                      <w:lang w:val="en-US" w:eastAsia="zh-CN"/>
                    </w:rPr>
                    <w:t>2024.1- 2024.5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hint="default" w:eastAsia="宋体" w:cs="Arial"/>
                      <w:sz w:val="22"/>
                      <w:szCs w:val="22"/>
                      <w:lang w:val="en-US" w:eastAsia="zh-CN"/>
                    </w:rPr>
                  </w:pPr>
                  <w:r>
                    <w:rPr>
                      <w:rFonts w:hint="eastAsia" w:eastAsia="宋体" w:cs="Arial"/>
                      <w:sz w:val="22"/>
                      <w:szCs w:val="22"/>
                      <w:lang w:val="en-US" w:eastAsia="zh-CN"/>
                    </w:rPr>
                    <w:t>Research Close</w:t>
                  </w:r>
                </w:p>
              </w:tc>
              <w:tc>
                <w:tcPr>
                  <w:tcW w:w="4778" w:type="dxa"/>
                </w:tcPr>
                <w:p>
                  <w:pPr>
                    <w:rPr>
                      <w:rFonts w:hint="default" w:eastAsia="宋体" w:cs="Arial"/>
                      <w:sz w:val="22"/>
                      <w:szCs w:val="22"/>
                      <w:lang w:val="en-US" w:eastAsia="zh-CN"/>
                    </w:rPr>
                  </w:pPr>
                  <w:r>
                    <w:rPr>
                      <w:rFonts w:hint="eastAsia" w:eastAsia="宋体" w:cs="Arial"/>
                      <w:sz w:val="22"/>
                      <w:szCs w:val="22"/>
                      <w:lang w:val="en-US" w:eastAsia="zh-CN"/>
                    </w:rPr>
                    <w:t>2024.7</w:t>
                  </w:r>
                </w:p>
              </w:tc>
            </w:tr>
          </w:tbl>
          <w:p>
            <w:pPr>
              <w:rPr>
                <w:rFonts w:cs="Arial"/>
                <w:sz w:val="22"/>
                <w:szCs w:val="22"/>
              </w:rPr>
            </w:pPr>
          </w:p>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Proposed methodology (approx. 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pPr>
              <w:rPr>
                <w:rFonts w:hint="default" w:ascii="Times New Roman" w:hAnsi="Times New Roman" w:cs="Times New Roman"/>
                <w:sz w:val="24"/>
                <w:szCs w:val="24"/>
              </w:rPr>
            </w:pPr>
            <w:r>
              <w:rPr>
                <w:rFonts w:hint="default" w:ascii="Times New Roman" w:hAnsi="Times New Roman" w:cs="Times New Roman"/>
                <w:sz w:val="24"/>
                <w:szCs w:val="24"/>
              </w:rPr>
              <w:t>I will use ontology as the core theoretical support for this research.</w:t>
            </w:r>
          </w:p>
          <w:p>
            <w:pPr>
              <w:rPr>
                <w:rFonts w:hint="default" w:ascii="Times New Roman" w:hAnsi="Times New Roman" w:cs="Times New Roman"/>
                <w:sz w:val="24"/>
                <w:szCs w:val="24"/>
              </w:rPr>
            </w:pPr>
          </w:p>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The ontological scholar will try to determine what one or more categories are, how they are formed, and what are the properties, relationships, states of affairs, and events between categories.</w:t>
            </w:r>
            <w:r>
              <w:rPr>
                <w:rFonts w:hint="default" w:ascii="Times New Roman" w:hAnsi="Times New Roman" w:eastAsia="宋体" w:cs="Times New Roman"/>
                <w:sz w:val="24"/>
                <w:szCs w:val="24"/>
                <w:lang w:val="en-US" w:eastAsia="zh-CN"/>
              </w:rPr>
              <w:t>(Thomas,2021)</w:t>
            </w:r>
          </w:p>
          <w:p>
            <w:pPr>
              <w:rPr>
                <w:rFonts w:hint="default" w:ascii="Times New Roman" w:hAnsi="Times New Roman" w:cs="Times New Roman"/>
                <w:sz w:val="24"/>
                <w:szCs w:val="24"/>
              </w:rPr>
            </w:pPr>
            <w:r>
              <w:rPr>
                <w:rFonts w:hint="default" w:ascii="Times New Roman" w:hAnsi="Times New Roman" w:cs="Times New Roman"/>
                <w:sz w:val="24"/>
                <w:szCs w:val="24"/>
              </w:rPr>
              <w:t>Generally, the research of ontology has the following research areas:</w:t>
            </w:r>
          </w:p>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1. The research entity promised by the ontology.</w:t>
            </w:r>
            <w:r>
              <w:rPr>
                <w:rFonts w:hint="default" w:ascii="Times New Roman" w:hAnsi="Times New Roman" w:eastAsia="宋体" w:cs="Times New Roman"/>
                <w:sz w:val="24"/>
                <w:szCs w:val="24"/>
                <w:lang w:val="en-US" w:eastAsia="zh-CN"/>
              </w:rPr>
              <w:t xml:space="preserve"> (Thomas,2021)</w:t>
            </w:r>
          </w:p>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2. What is this study about.</w:t>
            </w:r>
            <w:r>
              <w:rPr>
                <w:rFonts w:hint="default" w:ascii="Times New Roman" w:hAnsi="Times New Roman" w:eastAsia="宋体" w:cs="Times New Roman"/>
                <w:sz w:val="24"/>
                <w:szCs w:val="24"/>
                <w:lang w:val="en-US" w:eastAsia="zh-CN"/>
              </w:rPr>
              <w:t xml:space="preserve"> (Thomas,2021)</w:t>
            </w:r>
          </w:p>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3. What are the most general characteristics of this research entity and how it relates to things that exist in a general way.</w:t>
            </w:r>
            <w:r>
              <w:rPr>
                <w:rFonts w:hint="default" w:ascii="Times New Roman" w:hAnsi="Times New Roman" w:eastAsia="宋体" w:cs="Times New Roman"/>
                <w:sz w:val="24"/>
                <w:szCs w:val="24"/>
                <w:lang w:val="en-US" w:eastAsia="zh-CN"/>
              </w:rPr>
              <w:t xml:space="preserve"> (Thomas,2021)</w:t>
            </w:r>
          </w:p>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4. What kind of task should this ontological research accomplish, how should it be understood, and how should it be answered.</w:t>
            </w:r>
            <w:r>
              <w:rPr>
                <w:rFonts w:hint="default" w:ascii="Times New Roman" w:hAnsi="Times New Roman" w:eastAsia="宋体" w:cs="Times New Roman"/>
                <w:sz w:val="24"/>
                <w:szCs w:val="24"/>
                <w:lang w:val="en-US" w:eastAsia="zh-CN"/>
              </w:rPr>
              <w:t xml:space="preserve"> (Thomas,2021)</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In this study, I will take SMEs, organizational crisis and crisis management as research entities, and conduct research and analysis on the connection between these three entities. I will elaborate on the basic principles and concepts of SMEs, organizational crises and crisis management, and analyze the plight and vulnerabilities of SMEs in the face of organizational crises. After that, I will elaborate on crisis management and </w:t>
            </w:r>
            <w:r>
              <w:rPr>
                <w:rFonts w:hint="default" w:ascii="Times New Roman" w:hAnsi="Times New Roman" w:eastAsia="宋体" w:cs="Times New Roman"/>
                <w:sz w:val="24"/>
                <w:szCs w:val="24"/>
                <w:lang w:val="en-US" w:eastAsia="zh-CN"/>
              </w:rPr>
              <w:t>corporate</w:t>
            </w:r>
            <w:r>
              <w:rPr>
                <w:rFonts w:hint="default" w:ascii="Times New Roman" w:hAnsi="Times New Roman" w:cs="Times New Roman"/>
                <w:sz w:val="24"/>
                <w:szCs w:val="24"/>
              </w:rPr>
              <w:t xml:space="preserve"> crisis countermeasures, combined with the dilemma of small and medium-sized enterprises in the face of </w:t>
            </w:r>
            <w:r>
              <w:rPr>
                <w:rFonts w:hint="default" w:ascii="Times New Roman" w:hAnsi="Times New Roman" w:eastAsia="宋体" w:cs="Times New Roman"/>
                <w:sz w:val="24"/>
                <w:szCs w:val="24"/>
                <w:lang w:val="en-US" w:eastAsia="zh-CN"/>
              </w:rPr>
              <w:t>corporate</w:t>
            </w:r>
            <w:r>
              <w:rPr>
                <w:rFonts w:hint="default" w:ascii="Times New Roman" w:hAnsi="Times New Roman" w:cs="Times New Roman"/>
                <w:sz w:val="24"/>
                <w:szCs w:val="24"/>
              </w:rPr>
              <w:t xml:space="preserve"> crisis, and summarize the crisis management mechanism suitable for</w:t>
            </w:r>
            <w:r>
              <w:rPr>
                <w:rFonts w:hint="default" w:ascii="Times New Roman" w:hAnsi="Times New Roman" w:eastAsia="宋体" w:cs="Times New Roman"/>
                <w:sz w:val="24"/>
                <w:szCs w:val="24"/>
                <w:lang w:val="en-US" w:eastAsia="zh-CN"/>
              </w:rPr>
              <w:t xml:space="preserve"> SMEs</w:t>
            </w:r>
            <w:r>
              <w:rPr>
                <w:rFonts w:hint="default" w:ascii="Times New Roman" w:hAnsi="Times New Roman" w:cs="Times New Roman"/>
                <w:sz w:val="24"/>
                <w:szCs w:val="24"/>
              </w:rPr>
              <w:t xml:space="preserve"> to solve various organizational crises.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 will use qualitative analysis as the main research method of this research project. The main reason for choosing qualitative analysis is that this research will search a large amount of literature and data, find breakthroughs in research problems from the known literature, and draw new conclusions based on the literature information.</w:t>
            </w:r>
          </w:p>
          <w:p>
            <w:pPr>
              <w:rPr>
                <w:rFonts w:hint="default" w:ascii="Times New Roman" w:hAnsi="Times New Roman" w:cs="Times New Roman"/>
                <w:sz w:val="24"/>
                <w:szCs w:val="24"/>
              </w:rPr>
            </w:pPr>
          </w:p>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I will use hermeneutic phenomenology as a specific qualitative analysis methodology for my research. Simply put,hermeneutic phenomenology refers to the fact that our experience of the world is already full of meaning, and they are all phenomena. The purpose of hermeneutic phenomenology is to reveal and reflect on these life phenomena. In hermeneutic phenomenology, researchers identify phenomena as research goals and conduct research through gathering experience and reflection. It should be noted that phenomenology is not the study of how to do it, but the interpretation and analysis of a phenomenon that already exists. Before conducting actual research activities, we cannot carry out the action of explaining phenomenology, so I need to identify and collect empirical materials on existing social phenomena, and reflect on them to draw conclusions.</w:t>
            </w:r>
            <w:r>
              <w:rPr>
                <w:rFonts w:hint="default" w:ascii="Times New Roman" w:hAnsi="Times New Roman" w:eastAsia="宋体" w:cs="Times New Roman"/>
                <w:sz w:val="24"/>
                <w:szCs w:val="24"/>
                <w:lang w:val="en-US" w:eastAsia="zh-CN"/>
              </w:rPr>
              <w:t xml:space="preserve"> (Elida and Guillen, 2019. Kakkori, 2009)</w:t>
            </w:r>
          </w:p>
          <w:p>
            <w:pPr>
              <w:rPr>
                <w:rFonts w:hint="default" w:ascii="Times New Roman" w:hAnsi="Times New Roman" w:cs="Times New Roman"/>
                <w:sz w:val="24"/>
                <w:szCs w:val="24"/>
              </w:rPr>
            </w:pPr>
          </w:p>
          <w:p>
            <w:pPr>
              <w:rPr>
                <w:rFonts w:cs="Arial"/>
                <w:sz w:val="22"/>
                <w:szCs w:val="22"/>
              </w:rPr>
            </w:pPr>
            <w:r>
              <w:rPr>
                <w:rFonts w:hint="default" w:ascii="Times New Roman" w:hAnsi="Times New Roman" w:cs="Times New Roman"/>
                <w:sz w:val="24"/>
                <w:szCs w:val="24"/>
              </w:rPr>
              <w:t xml:space="preserve">Qualitative analysis and hermeneutic phenomenology will help me develop an overall research framework for my research proposal. I will collect numerous literature on SMEs and </w:t>
            </w:r>
            <w:r>
              <w:rPr>
                <w:rFonts w:hint="default" w:ascii="Times New Roman" w:hAnsi="Times New Roman" w:eastAsia="宋体" w:cs="Times New Roman"/>
                <w:sz w:val="24"/>
                <w:szCs w:val="24"/>
                <w:lang w:val="en-US" w:eastAsia="zh-CN"/>
              </w:rPr>
              <w:t>corporate crisis</w:t>
            </w:r>
            <w:r>
              <w:rPr>
                <w:rFonts w:hint="default" w:ascii="Times New Roman" w:hAnsi="Times New Roman" w:cs="Times New Roman"/>
                <w:sz w:val="24"/>
                <w:szCs w:val="24"/>
              </w:rPr>
              <w:t xml:space="preserve"> to illustrate the dilemmas and vulnerabilities that SMEs face in the face of organizational crises. At the same time, I will also elaborate on the currently known crisis management theories and frameworks. The purpose of doing this is that I will take these research cores as the investigation goal, investigate existing phenomena, such as theories, frameworks, and real-life cases, etc., find out the specificity and uniqueness related to the research question, and finally draw my own</w:t>
            </w:r>
            <w:r>
              <w:rPr>
                <w:rFonts w:hint="default" w:ascii="Times New Roman" w:hAnsi="Times New Roman" w:eastAsia="宋体" w:cs="Times New Roman"/>
                <w:sz w:val="24"/>
                <w:szCs w:val="24"/>
                <w:lang w:val="en-US" w:eastAsia="zh-CN"/>
              </w:rPr>
              <w:t xml:space="preserve"> </w:t>
            </w:r>
            <w:r>
              <w:rPr>
                <w:rFonts w:hint="default" w:ascii="Times New Roman" w:hAnsi="Times New Roman" w:cs="Times New Roman"/>
                <w:sz w:val="24"/>
                <w:szCs w:val="24"/>
              </w:rPr>
              <w:t>argument.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Introductory bibliography: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Anand, P. and Forshner, C., 1995. Of Mad Cows and Marmosets: From Rational Choice to Organizational Behaviour in Crisis Management. </w:t>
            </w:r>
            <w:r>
              <w:rPr>
                <w:rFonts w:ascii="Times New Roman" w:hAnsi="Times New Roman"/>
                <w:i/>
                <w:color w:val="000000"/>
              </w:rPr>
              <w:t>British Journal of Management</w:t>
            </w:r>
            <w:r>
              <w:rPr>
                <w:rFonts w:ascii="Times New Roman" w:hAnsi="Times New Roman"/>
                <w:color w:val="000000"/>
              </w:rPr>
              <w:t>, 6, pp.221- 233.</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Antonacopoulou, E. and Sheaffer, Z., 2014. Learning in Crisis: Rethinking the Relationship Between Organizational Learning and Crisis Management. </w:t>
            </w:r>
            <w:r>
              <w:rPr>
                <w:rFonts w:ascii="Times New Roman" w:hAnsi="Times New Roman"/>
                <w:i/>
                <w:color w:val="000000"/>
              </w:rPr>
              <w:t>Journal of Management Inquiry</w:t>
            </w:r>
            <w:r>
              <w:rPr>
                <w:rFonts w:ascii="Times New Roman" w:hAnsi="Times New Roman"/>
                <w:color w:val="000000"/>
              </w:rPr>
              <w:t>, 23(1), pp.5- 21.</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Avnet, T. and Laufer, D., 2015. Exploring the effectiveness of creating regulatory fit in crisis communications: Can it change perceptions of media coverage during a crisis?. </w:t>
            </w:r>
            <w:r>
              <w:rPr>
                <w:rFonts w:ascii="Times New Roman" w:hAnsi="Times New Roman"/>
                <w:i/>
                <w:color w:val="000000"/>
              </w:rPr>
              <w:t>Business Horizons</w:t>
            </w:r>
            <w:r>
              <w:rPr>
                <w:rFonts w:ascii="Times New Roman" w:hAnsi="Times New Roman"/>
                <w:color w:val="000000"/>
              </w:rPr>
              <w:t>, 2015(58), pp.149- 156.</w:t>
            </w:r>
          </w:p>
          <w:p>
            <w:pPr>
              <w:pStyle w:val="11"/>
              <w:widowControl/>
              <w:numPr>
                <w:ilvl w:val="0"/>
                <w:numId w:val="2"/>
              </w:numPr>
              <w:spacing w:before="0" w:beforeAutospacing="0" w:after="144" w:afterAutospacing="0"/>
              <w:jc w:val="both"/>
              <w:rPr>
                <w:rFonts w:ascii="Times New Roman" w:hAnsi="Times New Roman"/>
                <w:color w:val="000000"/>
              </w:rPr>
            </w:pPr>
            <w:r>
              <w:rPr>
                <w:rFonts w:hint="eastAsia" w:ascii="Times New Roman" w:hAnsi="Times New Roman" w:eastAsia="宋体"/>
                <w:color w:val="000000"/>
                <w:lang w:val="en-US" w:eastAsia="zh-CN"/>
              </w:rPr>
              <w:t>Burhan et al., 2021.</w:t>
            </w:r>
            <w:r>
              <w:rPr>
                <w:rFonts w:hint="default" w:ascii="Times New Roman" w:hAnsi="Times New Roman" w:eastAsia="宋体" w:cs="Times New Roman"/>
                <w:color w:val="2F2A2B"/>
                <w:kern w:val="0"/>
                <w:sz w:val="24"/>
                <w:szCs w:val="24"/>
                <w:lang w:val="en-US" w:eastAsia="zh-CN" w:bidi="ar"/>
              </w:rPr>
              <w:t>Crisis management in the hospitality sector SMEs in Pakistan during COVID-1</w:t>
            </w:r>
            <w:r>
              <w:rPr>
                <w:rFonts w:hint="eastAsia" w:ascii="Times New Roman" w:hAnsi="Times New Roman" w:eastAsia="宋体" w:cs="Times New Roman"/>
                <w:color w:val="2F2A2B"/>
                <w:kern w:val="0"/>
                <w:sz w:val="24"/>
                <w:szCs w:val="24"/>
                <w:lang w:val="en-US" w:eastAsia="zh-CN" w:bidi="ar"/>
              </w:rPr>
              <w:t>9</w:t>
            </w:r>
            <w:r>
              <w:rPr>
                <w:rFonts w:hint="eastAsia" w:ascii="Times New Roman" w:hAnsi="Times New Roman" w:eastAsia="宋体" w:cs="Times New Roman"/>
                <w:i/>
                <w:iCs/>
                <w:color w:val="2F2A2B"/>
                <w:kern w:val="0"/>
                <w:sz w:val="24"/>
                <w:szCs w:val="24"/>
                <w:lang w:val="en-US" w:eastAsia="zh-CN" w:bidi="ar"/>
              </w:rPr>
              <w:t>.</w:t>
            </w:r>
            <w:r>
              <w:rPr>
                <w:rFonts w:hint="default" w:ascii="Times New Roman" w:hAnsi="Times New Roman" w:eastAsia="宋体" w:cs="Times New Roman"/>
                <w:i/>
                <w:iCs/>
                <w:color w:val="2F2A2B"/>
                <w:kern w:val="0"/>
                <w:sz w:val="24"/>
                <w:szCs w:val="24"/>
                <w:lang w:val="en-US" w:eastAsia="zh-CN" w:bidi="ar"/>
              </w:rPr>
              <w:t>International Journal of Hospitality Managemen</w:t>
            </w:r>
            <w:r>
              <w:rPr>
                <w:rFonts w:hint="eastAsia" w:ascii="Times New Roman" w:hAnsi="Times New Roman" w:eastAsia="宋体" w:cs="Times New Roman"/>
                <w:i/>
                <w:iCs/>
                <w:color w:val="2F2A2B"/>
                <w:kern w:val="0"/>
                <w:sz w:val="24"/>
                <w:szCs w:val="24"/>
                <w:lang w:val="en-US" w:eastAsia="zh-CN" w:bidi="ar"/>
              </w:rPr>
              <w:t xml:space="preserve">t, </w:t>
            </w:r>
            <w:r>
              <w:rPr>
                <w:rFonts w:hint="eastAsia" w:ascii="Times New Roman" w:hAnsi="Times New Roman" w:eastAsia="宋体" w:cs="Times New Roman"/>
                <w:i w:val="0"/>
                <w:iCs w:val="0"/>
                <w:color w:val="2F2A2B"/>
                <w:kern w:val="0"/>
                <w:sz w:val="24"/>
                <w:szCs w:val="24"/>
                <w:lang w:val="en-US" w:eastAsia="zh-CN" w:bidi="ar"/>
              </w:rPr>
              <w:t>98(2021).</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Barton, L., 2007. Crisis Management: Selecting Communications Strategy. </w:t>
            </w:r>
            <w:r>
              <w:rPr>
                <w:rFonts w:ascii="Times New Roman" w:hAnsi="Times New Roman"/>
                <w:i/>
                <w:color w:val="000000"/>
              </w:rPr>
              <w:t>Management Decision</w:t>
            </w:r>
            <w:r>
              <w:rPr>
                <w:rFonts w:ascii="Times New Roman" w:hAnsi="Times New Roman"/>
                <w:color w:val="000000"/>
              </w:rPr>
              <w:t>, 28(6).</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Blumenthal, J., 1995. Crisis Management in University Environments. </w:t>
            </w:r>
            <w:r>
              <w:rPr>
                <w:rFonts w:ascii="Times New Roman" w:hAnsi="Times New Roman"/>
                <w:i/>
                <w:color w:val="000000"/>
              </w:rPr>
              <w:t>Journal of Management Inquiry</w:t>
            </w:r>
            <w:r>
              <w:rPr>
                <w:rFonts w:ascii="Times New Roman" w:hAnsi="Times New Roman"/>
                <w:color w:val="000000"/>
              </w:rPr>
              <w:t>, 4(3), pp.248- 254.</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Bowers, M., Hall, J. and Srinivasan, M., 2017. Organizational Culture and Leadership Style: The Missing Combination for Selecting the Right Leader for Effective Crisis Management. </w:t>
            </w:r>
            <w:r>
              <w:rPr>
                <w:rFonts w:ascii="Times New Roman" w:hAnsi="Times New Roman"/>
                <w:i/>
                <w:color w:val="000000"/>
              </w:rPr>
              <w:t>Business Horizons</w:t>
            </w:r>
            <w:r>
              <w:rPr>
                <w:rFonts w:ascii="Times New Roman" w:hAnsi="Times New Roman"/>
                <w:color w:val="000000"/>
              </w:rPr>
              <w:t>, 2017(60), pp.551- 563.</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Bundy, J., Pfarrer, M., Short, C. and Coombs, W., 2016. Crises and Crisis Management: Integration, Interpretation, and Research Development. </w:t>
            </w:r>
            <w:r>
              <w:rPr>
                <w:rFonts w:ascii="Times New Roman" w:hAnsi="Times New Roman"/>
                <w:i/>
                <w:color w:val="000000"/>
              </w:rPr>
              <w:t>Journal of Management</w:t>
            </w:r>
            <w:r>
              <w:rPr>
                <w:rFonts w:ascii="Times New Roman" w:hAnsi="Times New Roman"/>
                <w:color w:val="000000"/>
              </w:rPr>
              <w:t>, 43(6), pp.1661-1692.</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Christensen, S. and Kohls, J., 2003. Ethical Decision Making in Times of Organizational Crisis: A Framework for Analysis. </w:t>
            </w:r>
            <w:r>
              <w:rPr>
                <w:rFonts w:ascii="Times New Roman" w:hAnsi="Times New Roman"/>
                <w:i/>
                <w:color w:val="000000"/>
              </w:rPr>
              <w:t>Business &amp; Society</w:t>
            </w:r>
            <w:r>
              <w:rPr>
                <w:rFonts w:ascii="Times New Roman" w:hAnsi="Times New Roman"/>
                <w:color w:val="000000"/>
              </w:rPr>
              <w:t>, 42(3), pp.328- 358.</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Chi, D. and Hung, H., 2011. Crisis management of the pricing mistakes committed by Dell. </w:t>
            </w:r>
            <w:r>
              <w:rPr>
                <w:rFonts w:ascii="Times New Roman" w:hAnsi="Times New Roman"/>
                <w:i/>
                <w:color w:val="000000"/>
              </w:rPr>
              <w:t>Management Decision</w:t>
            </w:r>
            <w:r>
              <w:rPr>
                <w:rFonts w:ascii="Times New Roman" w:hAnsi="Times New Roman"/>
                <w:color w:val="000000"/>
              </w:rPr>
              <w:t>, 49(6), pp.860-873.</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Dutton, J., 1986. The Processing of Crisis and Non- Crisis Strategic Issues. </w:t>
            </w:r>
            <w:r>
              <w:rPr>
                <w:rFonts w:ascii="Times New Roman" w:hAnsi="Times New Roman"/>
                <w:i/>
                <w:color w:val="000000"/>
              </w:rPr>
              <w:t>Journal of Management Studies</w:t>
            </w:r>
            <w:r>
              <w:rPr>
                <w:rFonts w:ascii="Times New Roman" w:hAnsi="Times New Roman"/>
                <w:color w:val="000000"/>
              </w:rPr>
              <w:t>, 23(5), pp.501- 517.</w:t>
            </w:r>
          </w:p>
          <w:p>
            <w:pPr>
              <w:pStyle w:val="11"/>
              <w:widowControl/>
              <w:numPr>
                <w:ilvl w:val="0"/>
                <w:numId w:val="2"/>
              </w:numPr>
              <w:spacing w:before="0" w:beforeAutospacing="0" w:after="144" w:afterAutospacing="0"/>
              <w:jc w:val="both"/>
              <w:rPr>
                <w:rFonts w:ascii="Times New Roman" w:hAnsi="Times New Roman"/>
                <w:color w:val="000000"/>
              </w:rPr>
            </w:pPr>
            <w:r>
              <w:rPr>
                <w:rFonts w:hint="default" w:ascii="Times New Roman" w:hAnsi="Times New Roman" w:eastAsia="宋体" w:cs="Times New Roman"/>
                <w:color w:val="2F2A2B"/>
                <w:kern w:val="0"/>
                <w:sz w:val="24"/>
                <w:szCs w:val="24"/>
                <w:lang w:val="en-US" w:eastAsia="zh-CN" w:bidi="ar"/>
              </w:rPr>
              <w:t xml:space="preserve">Fuster, D. (2019). </w:t>
            </w:r>
            <w:r>
              <w:rPr>
                <w:rFonts w:hint="default" w:ascii="Times New Roman" w:hAnsi="Times New Roman" w:eastAsia="宋体" w:cs="Times New Roman"/>
                <w:color w:val="000000"/>
                <w:kern w:val="0"/>
                <w:sz w:val="24"/>
                <w:szCs w:val="24"/>
                <w:lang w:val="en-US" w:eastAsia="zh-CN" w:bidi="ar"/>
              </w:rPr>
              <w:t xml:space="preserve">Qualitative Research: Hermeneutical Phenomenological Method. </w:t>
            </w:r>
            <w:r>
              <w:rPr>
                <w:rFonts w:hint="default" w:ascii="Times New Roman" w:hAnsi="Times New Roman" w:eastAsia="TimesNewRomanPS-ItalicMT" w:cs="Times New Roman"/>
                <w:i/>
                <w:iCs/>
                <w:color w:val="000000"/>
                <w:kern w:val="0"/>
                <w:sz w:val="24"/>
                <w:szCs w:val="24"/>
                <w:lang w:val="en-US" w:eastAsia="zh-CN" w:bidi="ar"/>
              </w:rPr>
              <w:t xml:space="preserve">Propósitos y Representaciones, </w:t>
            </w:r>
            <w:r>
              <w:rPr>
                <w:rFonts w:hint="default" w:ascii="Times New Roman" w:hAnsi="Times New Roman" w:eastAsia="TimesNewRomanPS-ItalicMT" w:cs="Times New Roman"/>
                <w:i/>
                <w:iCs/>
                <w:color w:val="2F2A2B"/>
                <w:kern w:val="0"/>
                <w:sz w:val="24"/>
                <w:szCs w:val="24"/>
                <w:lang w:val="en-US" w:eastAsia="zh-CN" w:bidi="ar"/>
              </w:rPr>
              <w:t>7</w:t>
            </w:r>
            <w:r>
              <w:rPr>
                <w:rFonts w:hint="default" w:ascii="Times New Roman" w:hAnsi="Times New Roman" w:eastAsia="宋体" w:cs="Times New Roman"/>
                <w:color w:val="2F2A2B"/>
                <w:kern w:val="0"/>
                <w:sz w:val="24"/>
                <w:szCs w:val="24"/>
                <w:lang w:val="en-US" w:eastAsia="zh-CN" w:bidi="ar"/>
              </w:rPr>
              <w:t>(1), 201-22</w:t>
            </w:r>
            <w:r>
              <w:rPr>
                <w:rFonts w:hint="eastAsia" w:ascii="Times New Roman" w:hAnsi="Times New Roman" w:eastAsia="宋体" w:cs="Times New Roman"/>
                <w:color w:val="2F2A2B"/>
                <w:kern w:val="0"/>
                <w:sz w:val="24"/>
                <w:szCs w:val="24"/>
                <w:lang w:val="en-US" w:eastAsia="zh-CN" w:bidi="ar"/>
              </w:rPr>
              <w:t>9.</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Faulds, D. and Raju, P., 2019. Crisis management: An interview with Melissa Agnes. </w:t>
            </w:r>
            <w:r>
              <w:rPr>
                <w:rFonts w:ascii="Times New Roman" w:hAnsi="Times New Roman"/>
                <w:i/>
                <w:color w:val="000000"/>
              </w:rPr>
              <w:t>Business Horizons</w:t>
            </w:r>
            <w:r>
              <w:rPr>
                <w:rFonts w:ascii="Times New Roman" w:hAnsi="Times New Roman"/>
                <w:color w:val="000000"/>
              </w:rPr>
              <w:t>, 62(4), pp.421-426.</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Gaertner, K., 1990. Book Review: Crucial Decisions: Leadership in Policymaking and Crisis Management. </w:t>
            </w:r>
            <w:r>
              <w:rPr>
                <w:rFonts w:ascii="Times New Roman" w:hAnsi="Times New Roman"/>
                <w:i/>
                <w:color w:val="000000"/>
              </w:rPr>
              <w:t>Journal of Management</w:t>
            </w:r>
            <w:r>
              <w:rPr>
                <w:rFonts w:ascii="Times New Roman" w:hAnsi="Times New Roman"/>
                <w:color w:val="000000"/>
              </w:rPr>
              <w:t>, 16(3), pp.684-685.</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Greeing, D. and Johnson, R., 1997. Managing Industrial and Environmental Crises: The Role of Heterogeneous Top Management Teams. </w:t>
            </w:r>
            <w:r>
              <w:rPr>
                <w:rFonts w:ascii="Times New Roman" w:hAnsi="Times New Roman"/>
                <w:i/>
                <w:color w:val="000000"/>
              </w:rPr>
              <w:t>Business &amp; Society</w:t>
            </w:r>
            <w:r>
              <w:rPr>
                <w:rFonts w:ascii="Times New Roman" w:hAnsi="Times New Roman"/>
                <w:color w:val="000000"/>
              </w:rPr>
              <w:t>, 36(4), pp.334- 361.</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Gruber, D., Smerek, R., Thomas- Hunt, M. and James, E., 2015. The real-time power of Twitter: Crisis management and leadership in an age of social media. </w:t>
            </w:r>
            <w:r>
              <w:rPr>
                <w:rFonts w:ascii="Times New Roman" w:hAnsi="Times New Roman"/>
                <w:i/>
                <w:color w:val="000000"/>
              </w:rPr>
              <w:t>Business Horizons</w:t>
            </w:r>
            <w:r>
              <w:rPr>
                <w:rFonts w:ascii="Times New Roman" w:hAnsi="Times New Roman"/>
                <w:color w:val="000000"/>
              </w:rPr>
              <w:t>, 2015(58), pp.163- 172.</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Kahn, W., Barton, M. and Fellows, S., 2013. Organizational Crises and the Disturbance of Relational Systems. </w:t>
            </w:r>
            <w:r>
              <w:rPr>
                <w:rFonts w:ascii="Times New Roman" w:hAnsi="Times New Roman"/>
                <w:i/>
                <w:color w:val="000000"/>
              </w:rPr>
              <w:t>Academy of Management Review</w:t>
            </w:r>
            <w:r>
              <w:rPr>
                <w:rFonts w:ascii="Times New Roman" w:hAnsi="Times New Roman"/>
                <w:color w:val="000000"/>
              </w:rPr>
              <w:t>, 38(3), pp.377- 396.</w:t>
            </w:r>
          </w:p>
          <w:p>
            <w:pPr>
              <w:pStyle w:val="11"/>
              <w:widowControl/>
              <w:numPr>
                <w:ilvl w:val="0"/>
                <w:numId w:val="2"/>
              </w:numPr>
              <w:spacing w:before="0" w:beforeAutospacing="0" w:after="144" w:afterAutospacing="0"/>
              <w:jc w:val="both"/>
              <w:rPr>
                <w:rFonts w:ascii="Times New Roman" w:hAnsi="Times New Roman"/>
                <w:color w:val="000000"/>
              </w:rPr>
            </w:pPr>
            <w:r>
              <w:rPr>
                <w:rFonts w:hint="eastAsia" w:ascii="Times New Roman" w:hAnsi="Times New Roman" w:eastAsia="宋体"/>
                <w:color w:val="000000"/>
                <w:lang w:val="en-US" w:eastAsia="zh-CN"/>
              </w:rPr>
              <w:t xml:space="preserve">Kakkori, L., 2009. </w:t>
            </w:r>
            <w:r>
              <w:rPr>
                <w:rFonts w:hint="default" w:ascii="Times New Roman" w:hAnsi="Times New Roman" w:eastAsia="宋体" w:cs="Times New Roman"/>
                <w:color w:val="2F2A2B"/>
                <w:kern w:val="0"/>
                <w:sz w:val="24"/>
                <w:szCs w:val="24"/>
                <w:lang w:val="en-US" w:eastAsia="zh-CN" w:bidi="ar"/>
              </w:rPr>
              <w:t>Hermeneutics and Phenomenology Problems When Applying Hermeneutic</w:t>
            </w:r>
            <w:r>
              <w:rPr>
                <w:rFonts w:hint="eastAsia" w:ascii="Times New Roman" w:hAnsi="Times New Roman" w:eastAsia="宋体" w:cs="Times New Roman"/>
                <w:color w:val="2F2A2B"/>
                <w:kern w:val="0"/>
                <w:sz w:val="24"/>
                <w:szCs w:val="24"/>
                <w:lang w:val="en-US" w:eastAsia="zh-CN" w:bidi="ar"/>
              </w:rPr>
              <w:t xml:space="preserve"> </w:t>
            </w:r>
            <w:r>
              <w:rPr>
                <w:rFonts w:hint="default" w:ascii="Times New Roman" w:hAnsi="Times New Roman" w:eastAsia="宋体" w:cs="Times New Roman"/>
                <w:color w:val="2F2A2B"/>
                <w:kern w:val="0"/>
                <w:sz w:val="24"/>
                <w:szCs w:val="24"/>
                <w:lang w:val="en-US" w:eastAsia="zh-CN" w:bidi="ar"/>
              </w:rPr>
              <w:t>Phenomenological Method in Educational Qualitative Researc</w:t>
            </w:r>
            <w:r>
              <w:rPr>
                <w:rFonts w:hint="eastAsia" w:ascii="Times New Roman" w:hAnsi="Times New Roman" w:eastAsia="宋体" w:cs="Times New Roman"/>
                <w:color w:val="2F2A2B"/>
                <w:kern w:val="0"/>
                <w:sz w:val="24"/>
                <w:szCs w:val="24"/>
                <w:lang w:val="en-US" w:eastAsia="zh-CN" w:bidi="ar"/>
              </w:rPr>
              <w:t xml:space="preserve">h. </w:t>
            </w:r>
            <w:r>
              <w:rPr>
                <w:rFonts w:hint="eastAsia" w:ascii="Times New Roman" w:hAnsi="Times New Roman" w:eastAsia="宋体" w:cs="Times New Roman"/>
                <w:i/>
                <w:iCs/>
                <w:color w:val="2F2A2B"/>
                <w:kern w:val="0"/>
                <w:sz w:val="24"/>
                <w:szCs w:val="24"/>
                <w:lang w:val="en-US" w:eastAsia="zh-CN" w:bidi="ar"/>
              </w:rPr>
              <w:t xml:space="preserve">Paideusis, </w:t>
            </w:r>
            <w:r>
              <w:rPr>
                <w:rFonts w:hint="eastAsia" w:ascii="Times New Roman" w:hAnsi="Times New Roman" w:eastAsia="宋体" w:cs="Times New Roman"/>
                <w:i w:val="0"/>
                <w:iCs w:val="0"/>
                <w:color w:val="2F2A2B"/>
                <w:kern w:val="0"/>
                <w:sz w:val="24"/>
                <w:szCs w:val="24"/>
                <w:lang w:val="en-US" w:eastAsia="zh-CN" w:bidi="ar"/>
              </w:rPr>
              <w:t>18(2), pp.19-27.</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Lacerda, T., 2019. Crisis leadership in economic recession: A three-barrier approach to offset external constraints. </w:t>
            </w:r>
            <w:r>
              <w:rPr>
                <w:rFonts w:ascii="Times New Roman" w:hAnsi="Times New Roman"/>
                <w:i/>
                <w:color w:val="000000"/>
              </w:rPr>
              <w:t>Business Horizons</w:t>
            </w:r>
            <w:r>
              <w:rPr>
                <w:rFonts w:ascii="Times New Roman" w:hAnsi="Times New Roman"/>
                <w:color w:val="000000"/>
              </w:rPr>
              <w:t>, 62(2), pp.185-197.</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Mitroff, I., Shrivastava, P. and Udwadia, F., 1987. Effective Crisis Management. </w:t>
            </w:r>
            <w:r>
              <w:rPr>
                <w:rFonts w:ascii="Times New Roman" w:hAnsi="Times New Roman"/>
                <w:i/>
                <w:color w:val="000000"/>
              </w:rPr>
              <w:t>The Academy of Management Executive</w:t>
            </w:r>
            <w:r>
              <w:rPr>
                <w:rFonts w:ascii="Times New Roman" w:hAnsi="Times New Roman"/>
                <w:color w:val="000000"/>
              </w:rPr>
              <w:t>, 1(3), pp.283-292.</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McCray, J., Gonzalez, J. and Darling, J., 2011. Crisis management in smart phones: the case of Nokia vs Apple. </w:t>
            </w:r>
            <w:r>
              <w:rPr>
                <w:rFonts w:ascii="Times New Roman" w:hAnsi="Times New Roman"/>
                <w:i/>
                <w:color w:val="000000"/>
              </w:rPr>
              <w:t>European Business Review</w:t>
            </w:r>
            <w:r>
              <w:rPr>
                <w:rFonts w:ascii="Times New Roman" w:hAnsi="Times New Roman"/>
                <w:color w:val="000000"/>
              </w:rPr>
              <w:t>, 23(3), pp.240-255.</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Metcalfe, J., 1982. Self Regulation, Crisis Management and Prevention Medicine: The Evolution of U.K. Bank Supervision. </w:t>
            </w:r>
            <w:r>
              <w:rPr>
                <w:rFonts w:ascii="Times New Roman" w:hAnsi="Times New Roman"/>
                <w:i/>
                <w:color w:val="000000"/>
              </w:rPr>
              <w:t>Journal of Management Studies</w:t>
            </w:r>
            <w:r>
              <w:rPr>
                <w:rFonts w:ascii="Times New Roman" w:hAnsi="Times New Roman"/>
                <w:color w:val="000000"/>
              </w:rPr>
              <w:t>, 19(1), pp.75- 90.</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Pearson, C. and Mitroff, I., 1993. From crisis prone to CrIsis prepared: a framework for crlsis management. </w:t>
            </w:r>
            <w:r>
              <w:rPr>
                <w:rFonts w:ascii="Times New Roman" w:hAnsi="Times New Roman"/>
                <w:i/>
                <w:color w:val="000000"/>
              </w:rPr>
              <w:t>Academy of Management Executive</w:t>
            </w:r>
            <w:r>
              <w:rPr>
                <w:rFonts w:ascii="Times New Roman" w:hAnsi="Times New Roman"/>
                <w:color w:val="000000"/>
              </w:rPr>
              <w:t>, 7(1), pp.48- 59.</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Preble, J., 1997. Integrating the Crisis Management Perspective into the Strategic Management Process. </w:t>
            </w:r>
            <w:r>
              <w:rPr>
                <w:rFonts w:ascii="Times New Roman" w:hAnsi="Times New Roman"/>
                <w:i/>
                <w:color w:val="000000"/>
              </w:rPr>
              <w:t>Journal of Management Studies</w:t>
            </w:r>
            <w:r>
              <w:rPr>
                <w:rFonts w:ascii="Times New Roman" w:hAnsi="Times New Roman"/>
                <w:color w:val="000000"/>
              </w:rPr>
              <w:t>, 34(5), pp.769- 791.</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Probs, G. and Raisch, S., 2005. Organizational crisis: The logic of failure. </w:t>
            </w:r>
            <w:r>
              <w:rPr>
                <w:rFonts w:ascii="Times New Roman" w:hAnsi="Times New Roman"/>
                <w:i/>
                <w:color w:val="000000"/>
              </w:rPr>
              <w:t>Academy of Management Executive</w:t>
            </w:r>
            <w:r>
              <w:rPr>
                <w:rFonts w:ascii="Times New Roman" w:hAnsi="Times New Roman"/>
                <w:color w:val="000000"/>
              </w:rPr>
              <w:t>, 19(1), pp.90- 105.</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Pearson, C. and Clair, J., 1998. Reframing Crisis Management. </w:t>
            </w:r>
            <w:r>
              <w:rPr>
                <w:rFonts w:ascii="Times New Roman" w:hAnsi="Times New Roman"/>
                <w:i/>
                <w:color w:val="000000"/>
              </w:rPr>
              <w:t>Academy of Management Review</w:t>
            </w:r>
            <w:r>
              <w:rPr>
                <w:rFonts w:ascii="Times New Roman" w:hAnsi="Times New Roman"/>
                <w:color w:val="000000"/>
              </w:rPr>
              <w:t>, 23(1), pp.59- 76.</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Pollard, D. and Hotho, S., 2006. Crises, scenarios and the strategic management process. </w:t>
            </w:r>
            <w:r>
              <w:rPr>
                <w:rFonts w:ascii="Times New Roman" w:hAnsi="Times New Roman"/>
                <w:i/>
                <w:color w:val="000000"/>
              </w:rPr>
              <w:t>Management Decision</w:t>
            </w:r>
            <w:r>
              <w:rPr>
                <w:rFonts w:ascii="Times New Roman" w:hAnsi="Times New Roman"/>
                <w:color w:val="000000"/>
              </w:rPr>
              <w:t>, 44(6), pp.721-736.</w:t>
            </w:r>
          </w:p>
          <w:p>
            <w:pPr>
              <w:pStyle w:val="11"/>
              <w:widowControl/>
              <w:numPr>
                <w:ilvl w:val="0"/>
                <w:numId w:val="2"/>
              </w:numPr>
              <w:spacing w:before="0" w:beforeAutospacing="0" w:after="144" w:afterAutospacing="0"/>
              <w:jc w:val="both"/>
              <w:rPr>
                <w:rFonts w:ascii="Times New Roman" w:hAnsi="Times New Roman" w:eastAsia="Arial"/>
                <w:color w:val="000000"/>
                <w:shd w:val="clear" w:color="auto" w:fill="FFFFFF"/>
              </w:rPr>
            </w:pPr>
            <w:r>
              <w:rPr>
                <w:rFonts w:ascii="Times New Roman" w:hAnsi="Times New Roman"/>
                <w:color w:val="000000"/>
              </w:rPr>
              <w:t>Paraskevas, A., 2006. Crisis management or crisis response system?. Management Decision, 44(7), pp.892-907.</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Quarantelli, E., 1988. Disaster Crisis Management: A Summary of Research Findings. </w:t>
            </w:r>
            <w:r>
              <w:rPr>
                <w:rFonts w:ascii="Times New Roman" w:hAnsi="Times New Roman"/>
                <w:i/>
                <w:color w:val="000000"/>
              </w:rPr>
              <w:t>Journal of Management Studies</w:t>
            </w:r>
            <w:r>
              <w:rPr>
                <w:rFonts w:ascii="Times New Roman" w:hAnsi="Times New Roman"/>
                <w:color w:val="000000"/>
              </w:rPr>
              <w:t>, 26(4), pp.373-385.</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Sheaffer, Z. and Mano-Negrin, R., 2003. Executives’ Orientations as Indicators of Crisis Management Policies and Practices. </w:t>
            </w:r>
            <w:r>
              <w:rPr>
                <w:rFonts w:ascii="Times New Roman" w:hAnsi="Times New Roman"/>
                <w:i/>
                <w:color w:val="000000"/>
              </w:rPr>
              <w:t>Journal of Management Studies</w:t>
            </w:r>
            <w:r>
              <w:rPr>
                <w:rFonts w:ascii="Times New Roman" w:hAnsi="Times New Roman"/>
                <w:color w:val="000000"/>
              </w:rPr>
              <w:t>, 40(2), pp.573- 605.</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Spillan, J. and Hough, M., 2003. Crisis Planning in Small Businesses: Importance, Impetus and Indifference. </w:t>
            </w:r>
            <w:r>
              <w:rPr>
                <w:rFonts w:ascii="Times New Roman" w:hAnsi="Times New Roman"/>
                <w:i/>
                <w:color w:val="000000"/>
              </w:rPr>
              <w:t>European Management Journal</w:t>
            </w:r>
            <w:r>
              <w:rPr>
                <w:rFonts w:ascii="Times New Roman" w:hAnsi="Times New Roman"/>
                <w:color w:val="000000"/>
              </w:rPr>
              <w:t>, 21(3), pp.398-407.</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Scott, W., 1993. The Management of Crisis and Tribulations. </w:t>
            </w:r>
            <w:r>
              <w:rPr>
                <w:rFonts w:ascii="Times New Roman" w:hAnsi="Times New Roman"/>
                <w:i/>
                <w:color w:val="000000"/>
              </w:rPr>
              <w:t>Journal of Management Inquiry</w:t>
            </w:r>
            <w:r>
              <w:rPr>
                <w:rFonts w:ascii="Times New Roman" w:hAnsi="Times New Roman"/>
                <w:color w:val="000000"/>
              </w:rPr>
              <w:t>, 2(2), pp.184- 189.</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Shrivastava, P., Mitroff, I., Miller, D. and Miclani, A., 1988. UNDERSTANDING INDUSTRIAL CRISES[1]. </w:t>
            </w:r>
            <w:r>
              <w:rPr>
                <w:rFonts w:ascii="Times New Roman" w:hAnsi="Times New Roman"/>
                <w:i/>
                <w:color w:val="000000"/>
              </w:rPr>
              <w:t>Journal of Management Studies</w:t>
            </w:r>
            <w:r>
              <w:rPr>
                <w:rFonts w:ascii="Times New Roman" w:hAnsi="Times New Roman"/>
                <w:color w:val="000000"/>
              </w:rPr>
              <w:t>, 25(4), pp.285-303.</w:t>
            </w:r>
          </w:p>
          <w:p>
            <w:pPr>
              <w:pStyle w:val="11"/>
              <w:widowControl/>
              <w:numPr>
                <w:ilvl w:val="0"/>
                <w:numId w:val="2"/>
              </w:numPr>
              <w:spacing w:before="0" w:beforeAutospacing="0" w:after="144" w:afterAutospacing="0"/>
              <w:jc w:val="both"/>
              <w:rPr>
                <w:rFonts w:ascii="Times New Roman" w:hAnsi="Times New Roman"/>
                <w:color w:val="000000"/>
              </w:rPr>
            </w:pPr>
            <w:r>
              <w:rPr>
                <w:rFonts w:ascii="Times New Roman" w:hAnsi="Times New Roman"/>
                <w:color w:val="000000"/>
              </w:rPr>
              <w:t>Yehya, N. and Coombs, W., 2017. Catalytic defiance as a crisis communication strategy: The risk of pursuing long-term objectives. </w:t>
            </w:r>
            <w:r>
              <w:rPr>
                <w:rFonts w:ascii="Times New Roman" w:hAnsi="Times New Roman"/>
                <w:i/>
                <w:color w:val="000000"/>
              </w:rPr>
              <w:t>Business Horizons</w:t>
            </w:r>
            <w:r>
              <w:rPr>
                <w:rFonts w:ascii="Times New Roman" w:hAnsi="Times New Roman"/>
                <w:color w:val="000000"/>
              </w:rPr>
              <w:t>, 2017(60), pp.463- 472.</w:t>
            </w:r>
          </w:p>
          <w:p>
            <w:pPr>
              <w:rPr>
                <w:rFonts w:cs="Arial"/>
                <w:sz w:val="22"/>
                <w:szCs w:val="22"/>
              </w:rPr>
            </w:pPr>
          </w:p>
          <w:p>
            <w:pPr>
              <w:rPr>
                <w:rFonts w:cs="Arial"/>
                <w:sz w:val="22"/>
                <w:szCs w:val="22"/>
              </w:rPr>
            </w:pPr>
          </w:p>
        </w:tc>
      </w:tr>
    </w:tbl>
    <w:p>
      <w:pPr>
        <w:rPr>
          <w:rFonts w:cs="Arial"/>
          <w:sz w:val="22"/>
          <w:szCs w:val="22"/>
        </w:rPr>
      </w:pPr>
    </w:p>
    <w:p>
      <w:pPr>
        <w:rPr>
          <w:rFonts w:cs="Arial"/>
          <w:sz w:val="22"/>
          <w:szCs w:val="22"/>
        </w:rPr>
      </w:pPr>
    </w:p>
    <w:p>
      <w:pPr>
        <w:rPr>
          <w:rFonts w:cs="Arial"/>
          <w:sz w:val="22"/>
          <w:szCs w:val="22"/>
        </w:rPr>
      </w:pPr>
    </w:p>
    <w:p>
      <w:pPr>
        <w:rPr>
          <w:rFonts w:cs="Arial"/>
          <w:sz w:val="22"/>
          <w:szCs w:val="22"/>
        </w:rPr>
      </w:pPr>
    </w:p>
    <w:tbl>
      <w:tblPr>
        <w:tblStyle w:val="14"/>
        <w:tblW w:w="9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7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747" w:type="dxa"/>
          </w:tcPr>
          <w:p>
            <w:pPr>
              <w:rPr>
                <w:rFonts w:cs="Arial"/>
                <w:sz w:val="22"/>
                <w:szCs w:val="22"/>
              </w:rPr>
            </w:pPr>
          </w:p>
          <w:p>
            <w:pPr>
              <w:rPr>
                <w:rFonts w:cs="Arial"/>
                <w:b/>
                <w:sz w:val="22"/>
                <w:szCs w:val="22"/>
              </w:rPr>
            </w:pPr>
            <w:r>
              <w:rPr>
                <w:rFonts w:cs="Arial"/>
                <w:b/>
                <w:sz w:val="22"/>
                <w:szCs w:val="22"/>
              </w:rPr>
              <w:t>Student Signature</w:t>
            </w:r>
          </w:p>
          <w:p>
            <w:pPr>
              <w:rPr>
                <w:rFonts w:cs="Arial"/>
                <w:sz w:val="22"/>
                <w:szCs w:val="22"/>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0"/>
              <w:gridCol w:w="5901"/>
              <w:gridCol w:w="1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4" w:type="dxa"/>
                  <w:shd w:val="clear" w:color="auto" w:fill="F1F1F1" w:themeFill="background1" w:themeFillShade="F2"/>
                </w:tcPr>
                <w:p>
                  <w:pPr>
                    <w:rPr>
                      <w:rFonts w:cs="Arial"/>
                      <w:sz w:val="22"/>
                      <w:szCs w:val="22"/>
                    </w:rPr>
                  </w:pPr>
                </w:p>
                <w:p>
                  <w:pPr>
                    <w:rPr>
                      <w:rFonts w:cs="Arial"/>
                      <w:sz w:val="22"/>
                      <w:szCs w:val="22"/>
                    </w:rPr>
                  </w:pPr>
                  <w:r>
                    <w:rPr>
                      <w:rFonts w:cs="Arial"/>
                      <w:sz w:val="22"/>
                      <w:szCs w:val="22"/>
                    </w:rPr>
                    <w:t>Signature or Print Name:</w:t>
                  </w:r>
                </w:p>
                <w:p>
                  <w:pPr>
                    <w:rPr>
                      <w:rFonts w:cs="Arial"/>
                      <w:sz w:val="22"/>
                      <w:szCs w:val="22"/>
                    </w:rPr>
                  </w:pPr>
                </w:p>
              </w:tc>
              <w:tc>
                <w:tcPr>
                  <w:tcW w:w="6265" w:type="dxa"/>
                </w:tcPr>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Bowen Yu</w:t>
                  </w:r>
                </w:p>
              </w:tc>
              <w:tc>
                <w:tcPr>
                  <w:tcW w:w="1417" w:type="dxa"/>
                </w:tcPr>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Date:</w:t>
                  </w:r>
                  <w:r>
                    <w:rPr>
                      <w:rFonts w:hint="default" w:ascii="Times New Roman" w:hAnsi="Times New Roman" w:eastAsia="宋体" w:cs="Times New Roman"/>
                      <w:sz w:val="24"/>
                      <w:szCs w:val="24"/>
                      <w:lang w:val="en-US" w:eastAsia="zh-CN"/>
                    </w:rPr>
                    <w:t>1/8/2022</w:t>
                  </w:r>
                </w:p>
              </w:tc>
            </w:tr>
          </w:tbl>
          <w:p>
            <w:pPr>
              <w:rPr>
                <w:rFonts w:cs="Arial"/>
                <w:sz w:val="22"/>
                <w:szCs w:val="22"/>
              </w:rPr>
            </w:pPr>
          </w:p>
          <w:p>
            <w:pPr>
              <w:rPr>
                <w:rFonts w:cs="Arial"/>
                <w:sz w:val="22"/>
                <w:szCs w:val="22"/>
              </w:rPr>
            </w:pPr>
          </w:p>
        </w:tc>
      </w:tr>
    </w:tbl>
    <w:p>
      <w:pPr>
        <w:rPr>
          <w:rFonts w:cs="Arial"/>
          <w:sz w:val="22"/>
          <w:szCs w:val="22"/>
        </w:rPr>
      </w:pPr>
    </w:p>
    <w:p>
      <w:pPr>
        <w:rPr>
          <w:rFonts w:cs="Arial"/>
          <w:sz w:val="22"/>
          <w:szCs w:val="22"/>
        </w:rPr>
      </w:pPr>
      <w:r>
        <w:rPr>
          <w:rFonts w:cs="Arial"/>
          <w:sz w:val="22"/>
          <w:szCs w:val="22"/>
        </w:rPr>
        <w:br w:type="page"/>
      </w:r>
    </w:p>
    <w:p>
      <w:pPr>
        <w:rPr>
          <w:rFonts w:cs="Arial"/>
          <w:sz w:val="22"/>
          <w:szCs w:val="22"/>
        </w:rPr>
      </w:pPr>
    </w:p>
    <w:p>
      <w:pPr>
        <w:rPr>
          <w:rFonts w:cs="Arial"/>
          <w:sz w:val="22"/>
          <w:szCs w:val="22"/>
        </w:rPr>
      </w:pPr>
    </w:p>
    <w:p>
      <w:pPr>
        <w:ind w:left="-142"/>
        <w:rPr>
          <w:rFonts w:cs="Arial"/>
          <w:sz w:val="22"/>
          <w:szCs w:val="22"/>
        </w:rPr>
      </w:pPr>
      <w:r>
        <w:rPr>
          <w:rFonts w:cs="Arial"/>
          <w:b/>
          <w:bCs/>
          <w:sz w:val="22"/>
          <w:szCs w:val="22"/>
        </w:rPr>
        <w:t>Supervisory Team</w:t>
      </w:r>
    </w:p>
    <w:p>
      <w:pPr>
        <w:rPr>
          <w:rFonts w:cs="Arial"/>
          <w:sz w:val="22"/>
          <w:szCs w:val="22"/>
        </w:rPr>
      </w:pPr>
    </w:p>
    <w:p>
      <w:pPr>
        <w:ind w:left="180"/>
        <w:rPr>
          <w:rFonts w:cs="Arial"/>
          <w:b/>
          <w:sz w:val="22"/>
          <w:szCs w:val="22"/>
        </w:rPr>
      </w:pPr>
    </w:p>
    <w:tbl>
      <w:tblPr>
        <w:tblStyle w:val="1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7" w:type="dxa"/>
            <w:shd w:val="clear" w:color="auto" w:fill="F1F1F1" w:themeFill="background1" w:themeFillShade="F2"/>
          </w:tcPr>
          <w:p>
            <w:pPr>
              <w:rPr>
                <w:rFonts w:cs="Arial"/>
                <w:b/>
                <w:sz w:val="22"/>
                <w:szCs w:val="22"/>
              </w:rPr>
            </w:pPr>
            <w:r>
              <w:rPr>
                <w:rFonts w:cs="Arial"/>
                <w:szCs w:val="22"/>
              </w:rPr>
              <w:t xml:space="preserve">Has the student proposed a viable research project that is appropriate for this programme that should be supported by the Institute?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7" w:type="dxa"/>
          </w:tcPr>
          <w:p>
            <w:pPr>
              <w:rPr>
                <w:rFonts w:cs="Arial"/>
                <w:b/>
                <w:sz w:val="22"/>
                <w:szCs w:val="22"/>
              </w:rPr>
            </w:pPr>
          </w:p>
          <w:p>
            <w:pPr>
              <w:rPr>
                <w:rFonts w:cs="Arial"/>
                <w:b/>
                <w:sz w:val="22"/>
                <w:szCs w:val="22"/>
              </w:rPr>
            </w:pPr>
            <w:r>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EndPr>
                <w:rPr>
                  <w:rFonts w:cs="Arial"/>
                  <w:b/>
                  <w:sz w:val="22"/>
                  <w:szCs w:val="22"/>
                </w:rPr>
              </w:sdtEndPr>
              <w:sdtContent>
                <w:r>
                  <w:rPr>
                    <w:rFonts w:ascii="MS Gothic" w:hAnsi="MS Gothic" w:eastAsia="MS Gothic" w:cs="Arial"/>
                    <w:b/>
                    <w:sz w:val="22"/>
                    <w:szCs w:val="22"/>
                  </w:rPr>
                  <w:t>☐</w:t>
                </w:r>
              </w:sdtContent>
            </w:sdt>
            <w:r>
              <w:rPr>
                <w:rFonts w:cs="Arial"/>
                <w:b/>
                <w:sz w:val="22"/>
                <w:szCs w:val="22"/>
              </w:rPr>
              <w:t xml:space="preserve">                                                     Not Supported:  </w:t>
            </w:r>
            <w:sdt>
              <w:sdtPr>
                <w:rPr>
                  <w:rFonts w:cs="Arial"/>
                  <w:b/>
                  <w:sz w:val="22"/>
                  <w:szCs w:val="22"/>
                </w:rPr>
                <w:id w:val="-1591067938"/>
                <w14:checkbox>
                  <w14:checked w14:val="0"/>
                  <w14:checkedState w14:val="2612" w14:font="MS Gothic"/>
                  <w14:uncheckedState w14:val="2610" w14:font="MS Gothic"/>
                </w14:checkbox>
              </w:sdtPr>
              <w:sdtEndPr>
                <w:rPr>
                  <w:rFonts w:cs="Arial"/>
                  <w:b/>
                  <w:sz w:val="22"/>
                  <w:szCs w:val="22"/>
                </w:rPr>
              </w:sdtEndPr>
              <w:sdtContent>
                <w:r>
                  <w:rPr>
                    <w:rFonts w:ascii="MS Gothic" w:hAnsi="MS Gothic" w:eastAsia="MS Gothic" w:cs="MS Gothic"/>
                    <w:b/>
                    <w:sz w:val="22"/>
                    <w:szCs w:val="22"/>
                  </w:rPr>
                  <w:t>☐</w:t>
                </w:r>
              </w:sdtContent>
            </w:sdt>
          </w:p>
          <w:p>
            <w:pPr>
              <w:rPr>
                <w:rFonts w:cs="Arial"/>
                <w:b/>
                <w:sz w:val="22"/>
                <w:szCs w:val="22"/>
              </w:rPr>
            </w:pPr>
          </w:p>
          <w:p>
            <w:pPr>
              <w:rPr>
                <w:rFonts w:cs="Arial"/>
                <w:b/>
                <w:sz w:val="22"/>
                <w:szCs w:val="22"/>
              </w:rPr>
            </w:pPr>
          </w:p>
        </w:tc>
      </w:tr>
    </w:tbl>
    <w:p>
      <w:pPr>
        <w:rPr>
          <w:rFonts w:cs="Arial"/>
          <w:sz w:val="22"/>
          <w:szCs w:val="22"/>
        </w:rPr>
      </w:pPr>
    </w:p>
    <w:p>
      <w:pPr>
        <w:rPr>
          <w:rFonts w:cs="Arial"/>
          <w:b/>
          <w:sz w:val="22"/>
          <w:szCs w:val="22"/>
        </w:rPr>
      </w:pPr>
      <w:r>
        <w:rPr>
          <w:rFonts w:cs="Arial"/>
          <w:b/>
          <w:sz w:val="22"/>
          <w:szCs w:val="22"/>
        </w:rPr>
        <w:t>Authorisation</w:t>
      </w:r>
    </w:p>
    <w:p>
      <w:pPr>
        <w:rPr>
          <w:rFonts w:cs="Arial"/>
          <w:sz w:val="22"/>
          <w:szCs w:val="22"/>
        </w:rPr>
      </w:pPr>
    </w:p>
    <w:tbl>
      <w:tblPr>
        <w:tblStyle w:val="14"/>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2"/>
        <w:gridCol w:w="5387"/>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shd w:val="clear" w:color="auto" w:fill="F1F1F1" w:themeFill="background1" w:themeFillShade="F2"/>
          </w:tcPr>
          <w:p>
            <w:pPr>
              <w:rPr>
                <w:rFonts w:cs="Arial"/>
                <w:sz w:val="22"/>
                <w:szCs w:val="22"/>
              </w:rPr>
            </w:pPr>
            <w:r>
              <w:rPr>
                <w:rFonts w:cs="Arial"/>
                <w:sz w:val="22"/>
                <w:szCs w:val="22"/>
              </w:rPr>
              <w:t>Director of Studies</w:t>
            </w:r>
          </w:p>
        </w:tc>
        <w:tc>
          <w:tcPr>
            <w:tcW w:w="5387" w:type="dxa"/>
          </w:tcPr>
          <w:p>
            <w:pPr>
              <w:rPr>
                <w:rFonts w:cs="Arial"/>
                <w:sz w:val="22"/>
                <w:szCs w:val="22"/>
              </w:rPr>
            </w:pPr>
            <w:r>
              <w:rPr>
                <w:rFonts w:cs="Arial"/>
                <w:sz w:val="22"/>
                <w:szCs w:val="22"/>
              </w:rPr>
              <w:t>Signature or Print Name:</w:t>
            </w:r>
          </w:p>
          <w:p>
            <w:pPr>
              <w:rPr>
                <w:rFonts w:cs="Arial"/>
                <w:sz w:val="22"/>
                <w:szCs w:val="22"/>
              </w:rPr>
            </w:pPr>
          </w:p>
          <w:p>
            <w:pPr>
              <w:rPr>
                <w:rFonts w:cs="Arial"/>
                <w:sz w:val="22"/>
                <w:szCs w:val="22"/>
              </w:rPr>
            </w:pPr>
          </w:p>
          <w:p>
            <w:pPr>
              <w:rPr>
                <w:rFonts w:cs="Arial"/>
                <w:sz w:val="22"/>
                <w:szCs w:val="22"/>
              </w:rPr>
            </w:pPr>
          </w:p>
        </w:tc>
        <w:tc>
          <w:tcPr>
            <w:tcW w:w="1842" w:type="dxa"/>
          </w:tcPr>
          <w:p>
            <w:pPr>
              <w:rPr>
                <w:rFonts w:cs="Arial"/>
                <w:sz w:val="22"/>
                <w:szCs w:val="22"/>
              </w:rPr>
            </w:pPr>
            <w:r>
              <w:rPr>
                <w:rFonts w:cs="Arial"/>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shd w:val="clear" w:color="auto" w:fill="F1F1F1" w:themeFill="background1" w:themeFillShade="F2"/>
          </w:tcPr>
          <w:p>
            <w:pPr>
              <w:rPr>
                <w:rFonts w:cs="Arial"/>
                <w:sz w:val="22"/>
                <w:szCs w:val="22"/>
              </w:rPr>
            </w:pPr>
            <w:r>
              <w:rPr>
                <w:rFonts w:cs="Arial"/>
                <w:sz w:val="22"/>
                <w:szCs w:val="22"/>
              </w:rPr>
              <w:t>Institute Manager of Research Degrees</w:t>
            </w:r>
          </w:p>
          <w:p>
            <w:pPr>
              <w:rPr>
                <w:rFonts w:cs="Arial"/>
                <w:sz w:val="22"/>
                <w:szCs w:val="22"/>
              </w:rPr>
            </w:pPr>
          </w:p>
        </w:tc>
        <w:tc>
          <w:tcPr>
            <w:tcW w:w="5387" w:type="dxa"/>
          </w:tcPr>
          <w:p>
            <w:pPr>
              <w:rPr>
                <w:rFonts w:cs="Arial"/>
                <w:sz w:val="22"/>
                <w:szCs w:val="22"/>
              </w:rPr>
            </w:pPr>
            <w:r>
              <w:rPr>
                <w:rFonts w:cs="Arial"/>
                <w:sz w:val="22"/>
                <w:szCs w:val="22"/>
              </w:rPr>
              <w:t>Signature or Print Name:</w:t>
            </w:r>
          </w:p>
          <w:p>
            <w:pPr>
              <w:rPr>
                <w:rFonts w:cs="Arial"/>
                <w:sz w:val="22"/>
                <w:szCs w:val="22"/>
              </w:rPr>
            </w:pPr>
          </w:p>
          <w:p>
            <w:pPr>
              <w:rPr>
                <w:rFonts w:cs="Arial"/>
                <w:sz w:val="22"/>
                <w:szCs w:val="22"/>
              </w:rPr>
            </w:pPr>
          </w:p>
          <w:p>
            <w:pPr>
              <w:rPr>
                <w:rFonts w:cs="Arial"/>
                <w:sz w:val="22"/>
                <w:szCs w:val="22"/>
              </w:rPr>
            </w:pPr>
          </w:p>
        </w:tc>
        <w:tc>
          <w:tcPr>
            <w:tcW w:w="1842" w:type="dxa"/>
          </w:tcPr>
          <w:p>
            <w:pPr>
              <w:rPr>
                <w:rFonts w:cs="Arial"/>
                <w:sz w:val="22"/>
                <w:szCs w:val="22"/>
              </w:rPr>
            </w:pPr>
            <w:r>
              <w:rPr>
                <w:rFonts w:cs="Arial"/>
                <w:sz w:val="22"/>
                <w:szCs w:val="22"/>
              </w:rPr>
              <w:t>Date:</w:t>
            </w:r>
          </w:p>
        </w:tc>
      </w:tr>
    </w:tbl>
    <w:p>
      <w:pPr>
        <w:rPr>
          <w:rFonts w:cs="Arial"/>
          <w:sz w:val="22"/>
          <w:szCs w:val="22"/>
        </w:rPr>
      </w:pPr>
    </w:p>
    <w:sectPr>
      <w:headerReference r:id="rId3" w:type="default"/>
      <w:footerReference r:id="rId4" w:type="default"/>
      <w:pgSz w:w="11906" w:h="16838"/>
      <w:pgMar w:top="1440" w:right="1440" w:bottom="1440" w:left="1440" w:header="284" w:footer="709"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imesNewRomanPS-Italic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dobe Gothic Std B">
    <w:panose1 w:val="020B0800000000000000"/>
    <w:charset w:val="80"/>
    <w:family w:val="auto"/>
    <w:pitch w:val="default"/>
    <w:sig w:usb0="00000001" w:usb1="21D72C10" w:usb2="00000010" w:usb3="00000000" w:csb0="602A0005" w:csb1="00000000"/>
  </w:font>
  <w:font w:name="Adobe Garamond Pro Bold">
    <w:panose1 w:val="02020702060506020403"/>
    <w:charset w:val="00"/>
    <w:family w:val="auto"/>
    <w:pitch w:val="default"/>
    <w:sig w:usb0="00000007" w:usb1="00000001" w:usb2="00000000" w:usb3="00000000" w:csb0="20000093" w:csb1="00000000"/>
  </w:font>
  <w:font w:name="Adobe 宋体 Std L">
    <w:panose1 w:val="02020300000000000000"/>
    <w:charset w:val="86"/>
    <w:family w:val="auto"/>
    <w:pitch w:val="default"/>
    <w:sig w:usb0="00000001" w:usb1="0A0F1810" w:usb2="00000016" w:usb3="00000000" w:csb0="00060007"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1110303"/>
      <w:docPartObj>
        <w:docPartGallery w:val="autotext"/>
      </w:docPartObj>
    </w:sdtPr>
    <w:sdtContent>
      <w:p>
        <w:pPr>
          <w:pStyle w:val="8"/>
          <w:jc w:val="center"/>
        </w:pPr>
        <w:r>
          <w:fldChar w:fldCharType="begin"/>
        </w:r>
        <w:r>
          <w:instrText xml:space="preserve"> PAGE   \* MERGEFORMAT </w:instrText>
        </w:r>
        <w:r>
          <w:fldChar w:fldCharType="separate"/>
        </w:r>
        <w:r>
          <w:t>1</w:t>
        </w:r>
        <w:r>
          <w:fldChar w:fldCharType="end"/>
        </w:r>
      </w:p>
    </w:sdtContent>
  </w:sdt>
  <w:p>
    <w:pPr>
      <w:pStyle w:val="8"/>
      <w:tabs>
        <w:tab w:val="center" w:pos="4536"/>
        <w:tab w:val="left" w:pos="7371"/>
        <w:tab w:val="clear" w:pos="4320"/>
      </w:tabs>
      <w:ind w:right="-755"/>
    </w:pPr>
    <w:r>
      <w:t>November 2020                                                                                                  PG1 Full Research Proposal</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drawing>
        <wp:anchor distT="0" distB="0" distL="114300" distR="114300" simplePos="0" relativeHeight="251659264" behindDoc="0" locked="0" layoutInCell="1" allowOverlap="1">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p>
  <w:p>
    <w:pPr>
      <w:pStyle w:val="9"/>
      <w:jc w:val="right"/>
    </w:pPr>
    <w:r>
      <w:tab/>
    </w:r>
    <w:r>
      <w:tab/>
    </w:r>
    <w:r>
      <w:tab/>
    </w:r>
    <w:r>
      <w:tab/>
    </w:r>
    <w:r>
      <w:t>Appendix PG1</w:t>
    </w:r>
  </w:p>
  <w:p>
    <w:pPr>
      <w:pStyle w:val="9"/>
    </w:pPr>
  </w:p>
  <w:p>
    <w:pPr>
      <w:pStyle w:val="9"/>
    </w:pPr>
  </w:p>
  <w:p>
    <w:pPr>
      <w:pStyle w:val="9"/>
    </w:pPr>
  </w:p>
  <w:p>
    <w:pPr>
      <w:pStyle w:val="9"/>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2B538D"/>
    <w:multiLevelType w:val="singleLevel"/>
    <w:tmpl w:val="AF2B538D"/>
    <w:lvl w:ilvl="0" w:tentative="0">
      <w:start w:val="1"/>
      <w:numFmt w:val="decimal"/>
      <w:lvlText w:val="%1."/>
      <w:lvlJc w:val="left"/>
      <w:pPr>
        <w:ind w:left="425" w:hanging="425"/>
      </w:pPr>
      <w:rPr>
        <w:rFonts w:hint="default"/>
      </w:rPr>
    </w:lvl>
  </w:abstractNum>
  <w:abstractNum w:abstractNumId="1">
    <w:nsid w:val="375F017F"/>
    <w:multiLevelType w:val="multilevel"/>
    <w:tmpl w:val="375F017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isplayHorizontalDrawingGridEvery w:val="1"/>
  <w:displayVerticalDrawingGridEvery w:val="1"/>
  <w:doNotUseMarginsForDrawingGridOrigin w:val="1"/>
  <w:drawingGridHorizontalOrigin w:val="1800"/>
  <w:drawingGridVerticalOrigin w:val="1440"/>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4D"/>
    <w:rsid w:val="0000503B"/>
    <w:rsid w:val="00005E62"/>
    <w:rsid w:val="00013F62"/>
    <w:rsid w:val="00015367"/>
    <w:rsid w:val="00016D31"/>
    <w:rsid w:val="00027160"/>
    <w:rsid w:val="00030DDF"/>
    <w:rsid w:val="00037AFB"/>
    <w:rsid w:val="00041A6B"/>
    <w:rsid w:val="00047225"/>
    <w:rsid w:val="00054BFD"/>
    <w:rsid w:val="00055046"/>
    <w:rsid w:val="00056718"/>
    <w:rsid w:val="00095F33"/>
    <w:rsid w:val="000B43A7"/>
    <w:rsid w:val="000C1D53"/>
    <w:rsid w:val="000C4198"/>
    <w:rsid w:val="000C6D22"/>
    <w:rsid w:val="000D166A"/>
    <w:rsid w:val="000F5B56"/>
    <w:rsid w:val="0010084E"/>
    <w:rsid w:val="001217FD"/>
    <w:rsid w:val="00121AC3"/>
    <w:rsid w:val="001400B5"/>
    <w:rsid w:val="00141DF3"/>
    <w:rsid w:val="0015311B"/>
    <w:rsid w:val="00154D0F"/>
    <w:rsid w:val="00157905"/>
    <w:rsid w:val="00165D23"/>
    <w:rsid w:val="00166B83"/>
    <w:rsid w:val="00172F4C"/>
    <w:rsid w:val="00173CC3"/>
    <w:rsid w:val="00185554"/>
    <w:rsid w:val="001B1EEF"/>
    <w:rsid w:val="001C367F"/>
    <w:rsid w:val="001C6B27"/>
    <w:rsid w:val="001D074C"/>
    <w:rsid w:val="001F47B0"/>
    <w:rsid w:val="001F5E3E"/>
    <w:rsid w:val="002114E6"/>
    <w:rsid w:val="0022098F"/>
    <w:rsid w:val="00221A9E"/>
    <w:rsid w:val="00222D05"/>
    <w:rsid w:val="0022643E"/>
    <w:rsid w:val="002370BA"/>
    <w:rsid w:val="00246903"/>
    <w:rsid w:val="00261C5C"/>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5CBE"/>
    <w:rsid w:val="003275B0"/>
    <w:rsid w:val="003317EE"/>
    <w:rsid w:val="00332B43"/>
    <w:rsid w:val="00335D74"/>
    <w:rsid w:val="0034191A"/>
    <w:rsid w:val="00353C75"/>
    <w:rsid w:val="00363F74"/>
    <w:rsid w:val="00370831"/>
    <w:rsid w:val="00376A02"/>
    <w:rsid w:val="00391D2C"/>
    <w:rsid w:val="003A11E9"/>
    <w:rsid w:val="003A748D"/>
    <w:rsid w:val="003B4AF0"/>
    <w:rsid w:val="003C062E"/>
    <w:rsid w:val="003C5892"/>
    <w:rsid w:val="003C7969"/>
    <w:rsid w:val="003D62AF"/>
    <w:rsid w:val="003E5663"/>
    <w:rsid w:val="003E7D6B"/>
    <w:rsid w:val="003F4C86"/>
    <w:rsid w:val="003F7948"/>
    <w:rsid w:val="003F7D77"/>
    <w:rsid w:val="00404C72"/>
    <w:rsid w:val="004262CD"/>
    <w:rsid w:val="00430E87"/>
    <w:rsid w:val="004310AE"/>
    <w:rsid w:val="004375FD"/>
    <w:rsid w:val="004448A0"/>
    <w:rsid w:val="0045240A"/>
    <w:rsid w:val="00452942"/>
    <w:rsid w:val="00474F13"/>
    <w:rsid w:val="00475B50"/>
    <w:rsid w:val="00476E74"/>
    <w:rsid w:val="004971D4"/>
    <w:rsid w:val="004B251B"/>
    <w:rsid w:val="004B2A69"/>
    <w:rsid w:val="004C4376"/>
    <w:rsid w:val="004E363A"/>
    <w:rsid w:val="004F22A4"/>
    <w:rsid w:val="00512288"/>
    <w:rsid w:val="005140FB"/>
    <w:rsid w:val="005302A6"/>
    <w:rsid w:val="005363FE"/>
    <w:rsid w:val="005419D3"/>
    <w:rsid w:val="00541CFE"/>
    <w:rsid w:val="005513E3"/>
    <w:rsid w:val="0055230D"/>
    <w:rsid w:val="00556BFF"/>
    <w:rsid w:val="00557BD7"/>
    <w:rsid w:val="005608A4"/>
    <w:rsid w:val="00595F5B"/>
    <w:rsid w:val="00595FC4"/>
    <w:rsid w:val="005B0886"/>
    <w:rsid w:val="005C0918"/>
    <w:rsid w:val="005C59F8"/>
    <w:rsid w:val="005D3C0C"/>
    <w:rsid w:val="005E0345"/>
    <w:rsid w:val="005E3CF6"/>
    <w:rsid w:val="005E60A7"/>
    <w:rsid w:val="005E73D5"/>
    <w:rsid w:val="00605A69"/>
    <w:rsid w:val="006151C5"/>
    <w:rsid w:val="00616987"/>
    <w:rsid w:val="00623825"/>
    <w:rsid w:val="006239B1"/>
    <w:rsid w:val="0063119B"/>
    <w:rsid w:val="0063456A"/>
    <w:rsid w:val="00635A88"/>
    <w:rsid w:val="00643766"/>
    <w:rsid w:val="00654638"/>
    <w:rsid w:val="00654D91"/>
    <w:rsid w:val="006551B2"/>
    <w:rsid w:val="00660727"/>
    <w:rsid w:val="006731F3"/>
    <w:rsid w:val="00677F77"/>
    <w:rsid w:val="00682636"/>
    <w:rsid w:val="0069594C"/>
    <w:rsid w:val="006B20A7"/>
    <w:rsid w:val="006B582D"/>
    <w:rsid w:val="006C0F0D"/>
    <w:rsid w:val="006C170C"/>
    <w:rsid w:val="006C45FB"/>
    <w:rsid w:val="006D04D5"/>
    <w:rsid w:val="006D05CF"/>
    <w:rsid w:val="006D503F"/>
    <w:rsid w:val="006D7C2A"/>
    <w:rsid w:val="006F1BDC"/>
    <w:rsid w:val="00702A7E"/>
    <w:rsid w:val="00703A24"/>
    <w:rsid w:val="0071332A"/>
    <w:rsid w:val="00717DFA"/>
    <w:rsid w:val="00753EDE"/>
    <w:rsid w:val="00763457"/>
    <w:rsid w:val="00795C79"/>
    <w:rsid w:val="007A0692"/>
    <w:rsid w:val="007A3641"/>
    <w:rsid w:val="007C2A63"/>
    <w:rsid w:val="007C755A"/>
    <w:rsid w:val="007E550E"/>
    <w:rsid w:val="007F6FC1"/>
    <w:rsid w:val="00802E0D"/>
    <w:rsid w:val="00816ED8"/>
    <w:rsid w:val="00820E04"/>
    <w:rsid w:val="00825E70"/>
    <w:rsid w:val="0083144B"/>
    <w:rsid w:val="00831EF8"/>
    <w:rsid w:val="00832FEA"/>
    <w:rsid w:val="008422EE"/>
    <w:rsid w:val="00844D37"/>
    <w:rsid w:val="00855925"/>
    <w:rsid w:val="008571F8"/>
    <w:rsid w:val="00877A6B"/>
    <w:rsid w:val="008812C3"/>
    <w:rsid w:val="008859B3"/>
    <w:rsid w:val="0088683F"/>
    <w:rsid w:val="008876C0"/>
    <w:rsid w:val="008944DE"/>
    <w:rsid w:val="00896244"/>
    <w:rsid w:val="008A397A"/>
    <w:rsid w:val="008C0ACE"/>
    <w:rsid w:val="008C1EE6"/>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803A2"/>
    <w:rsid w:val="009905BC"/>
    <w:rsid w:val="00994CF9"/>
    <w:rsid w:val="009A0D4E"/>
    <w:rsid w:val="009A2302"/>
    <w:rsid w:val="009A654D"/>
    <w:rsid w:val="009A7385"/>
    <w:rsid w:val="009C7898"/>
    <w:rsid w:val="009E1467"/>
    <w:rsid w:val="009F3BE4"/>
    <w:rsid w:val="00A048DE"/>
    <w:rsid w:val="00A15A7C"/>
    <w:rsid w:val="00A17E0A"/>
    <w:rsid w:val="00A26705"/>
    <w:rsid w:val="00A27F4D"/>
    <w:rsid w:val="00A4205A"/>
    <w:rsid w:val="00A45333"/>
    <w:rsid w:val="00A47731"/>
    <w:rsid w:val="00A62C1D"/>
    <w:rsid w:val="00A67160"/>
    <w:rsid w:val="00A80816"/>
    <w:rsid w:val="00A830D5"/>
    <w:rsid w:val="00AB0FB7"/>
    <w:rsid w:val="00AC147B"/>
    <w:rsid w:val="00AC4DCF"/>
    <w:rsid w:val="00AC6903"/>
    <w:rsid w:val="00AD4651"/>
    <w:rsid w:val="00AD516F"/>
    <w:rsid w:val="00AD5A94"/>
    <w:rsid w:val="00AF2941"/>
    <w:rsid w:val="00AF2AA3"/>
    <w:rsid w:val="00AF7BA9"/>
    <w:rsid w:val="00B12AB0"/>
    <w:rsid w:val="00B273A5"/>
    <w:rsid w:val="00B3408B"/>
    <w:rsid w:val="00B65D5E"/>
    <w:rsid w:val="00B70B7E"/>
    <w:rsid w:val="00B718D3"/>
    <w:rsid w:val="00B84A54"/>
    <w:rsid w:val="00B95514"/>
    <w:rsid w:val="00BB2F10"/>
    <w:rsid w:val="00BD2727"/>
    <w:rsid w:val="00BD589F"/>
    <w:rsid w:val="00BD7EF3"/>
    <w:rsid w:val="00BE24D4"/>
    <w:rsid w:val="00BF0916"/>
    <w:rsid w:val="00C037ED"/>
    <w:rsid w:val="00C14717"/>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C4AC2"/>
    <w:rsid w:val="00CC5FEA"/>
    <w:rsid w:val="00CD0196"/>
    <w:rsid w:val="00CD2785"/>
    <w:rsid w:val="00CD5B6B"/>
    <w:rsid w:val="00D01434"/>
    <w:rsid w:val="00D03BB7"/>
    <w:rsid w:val="00D122D0"/>
    <w:rsid w:val="00D215F0"/>
    <w:rsid w:val="00D25A52"/>
    <w:rsid w:val="00D46D22"/>
    <w:rsid w:val="00D56242"/>
    <w:rsid w:val="00D60565"/>
    <w:rsid w:val="00D63189"/>
    <w:rsid w:val="00D70714"/>
    <w:rsid w:val="00D732FC"/>
    <w:rsid w:val="00D81082"/>
    <w:rsid w:val="00D83BB1"/>
    <w:rsid w:val="00DC2AE7"/>
    <w:rsid w:val="00DD1E66"/>
    <w:rsid w:val="00DE3885"/>
    <w:rsid w:val="00DE54F9"/>
    <w:rsid w:val="00DF2827"/>
    <w:rsid w:val="00DF3FF2"/>
    <w:rsid w:val="00DF7459"/>
    <w:rsid w:val="00E03A7C"/>
    <w:rsid w:val="00E17B09"/>
    <w:rsid w:val="00E26E40"/>
    <w:rsid w:val="00E60894"/>
    <w:rsid w:val="00E800B4"/>
    <w:rsid w:val="00E90E39"/>
    <w:rsid w:val="00E90FFB"/>
    <w:rsid w:val="00EA4DDB"/>
    <w:rsid w:val="00EB29E8"/>
    <w:rsid w:val="00EC2239"/>
    <w:rsid w:val="00ED34D1"/>
    <w:rsid w:val="00EE3F65"/>
    <w:rsid w:val="00EE4E91"/>
    <w:rsid w:val="00F02051"/>
    <w:rsid w:val="00F20553"/>
    <w:rsid w:val="00F26723"/>
    <w:rsid w:val="00F274DA"/>
    <w:rsid w:val="00F41F11"/>
    <w:rsid w:val="00F50670"/>
    <w:rsid w:val="00F51AC9"/>
    <w:rsid w:val="00F6356A"/>
    <w:rsid w:val="00F65BA4"/>
    <w:rsid w:val="00F65ECA"/>
    <w:rsid w:val="00F678E5"/>
    <w:rsid w:val="00F7569E"/>
    <w:rsid w:val="00F77B80"/>
    <w:rsid w:val="00F8710D"/>
    <w:rsid w:val="00F901BB"/>
    <w:rsid w:val="00F9606E"/>
    <w:rsid w:val="00FD60D8"/>
    <w:rsid w:val="00FD70D5"/>
    <w:rsid w:val="00FE3258"/>
    <w:rsid w:val="00FF5FBE"/>
    <w:rsid w:val="14D03019"/>
    <w:rsid w:val="2B565052"/>
    <w:rsid w:val="620F582C"/>
    <w:rsid w:val="7C3875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Times New Roman" w:cs="Times New Roman"/>
      <w:lang w:val="en-GB" w:eastAsia="en-GB" w:bidi="ar-SA"/>
    </w:rPr>
  </w:style>
  <w:style w:type="paragraph" w:styleId="2">
    <w:name w:val="heading 1"/>
    <w:basedOn w:val="1"/>
    <w:next w:val="1"/>
    <w:qFormat/>
    <w:uiPriority w:val="0"/>
    <w:pPr>
      <w:keepNext/>
      <w:outlineLvl w:val="0"/>
    </w:pPr>
    <w:rPr>
      <w:b/>
    </w:rPr>
  </w:style>
  <w:style w:type="paragraph" w:styleId="3">
    <w:name w:val="heading 2"/>
    <w:basedOn w:val="1"/>
    <w:next w:val="1"/>
    <w:qFormat/>
    <w:uiPriority w:val="0"/>
    <w:pPr>
      <w:keepNext/>
      <w:spacing w:before="240" w:after="60"/>
      <w:outlineLvl w:val="1"/>
    </w:pPr>
    <w:rPr>
      <w:b/>
      <w:i/>
      <w:sz w:val="24"/>
    </w:rPr>
  </w:style>
  <w:style w:type="character" w:default="1" w:styleId="15">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3"/>
    <w:semiHidden/>
    <w:unhideWhenUsed/>
    <w:qFormat/>
    <w:uiPriority w:val="99"/>
    <w:rPr>
      <w:lang w:val="zh-CN" w:eastAsia="zh-CN"/>
    </w:rPr>
  </w:style>
  <w:style w:type="paragraph" w:styleId="5">
    <w:name w:val="Body Text"/>
    <w:basedOn w:val="1"/>
    <w:qFormat/>
    <w:uiPriority w:val="0"/>
    <w:pPr>
      <w:jc w:val="both"/>
    </w:pPr>
    <w:rPr>
      <w:b/>
    </w:rPr>
  </w:style>
  <w:style w:type="paragraph" w:styleId="6">
    <w:name w:val="Block Text"/>
    <w:basedOn w:val="1"/>
    <w:qFormat/>
    <w:uiPriority w:val="0"/>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7">
    <w:name w:val="Balloon Text"/>
    <w:basedOn w:val="1"/>
    <w:semiHidden/>
    <w:qFormat/>
    <w:uiPriority w:val="0"/>
    <w:rPr>
      <w:rFonts w:ascii="Tahoma" w:hAnsi="Tahoma" w:cs="Tahoma"/>
      <w:sz w:val="16"/>
      <w:szCs w:val="16"/>
    </w:rPr>
  </w:style>
  <w:style w:type="paragraph" w:styleId="8">
    <w:name w:val="footer"/>
    <w:basedOn w:val="1"/>
    <w:link w:val="25"/>
    <w:qFormat/>
    <w:uiPriority w:val="99"/>
    <w:pPr>
      <w:tabs>
        <w:tab w:val="center" w:pos="4320"/>
        <w:tab w:val="right" w:pos="8640"/>
      </w:tabs>
    </w:pPr>
  </w:style>
  <w:style w:type="paragraph" w:styleId="9">
    <w:name w:val="header"/>
    <w:basedOn w:val="1"/>
    <w:qFormat/>
    <w:uiPriority w:val="0"/>
    <w:pPr>
      <w:tabs>
        <w:tab w:val="center" w:pos="4320"/>
        <w:tab w:val="right" w:pos="8640"/>
      </w:tabs>
    </w:pPr>
  </w:style>
  <w:style w:type="paragraph" w:styleId="10">
    <w:name w:val="footnote text"/>
    <w:basedOn w:val="1"/>
    <w:semiHidden/>
    <w:qFormat/>
    <w:uiPriority w:val="0"/>
  </w:style>
  <w:style w:type="paragraph" w:styleId="11">
    <w:name w:val="Normal (Web)"/>
    <w:basedOn w:val="1"/>
    <w:semiHidden/>
    <w:unhideWhenUsed/>
    <w:qFormat/>
    <w:uiPriority w:val="99"/>
    <w:pPr>
      <w:spacing w:before="100" w:beforeAutospacing="1" w:after="100" w:afterAutospacing="1"/>
    </w:pPr>
    <w:rPr>
      <w:rFonts w:ascii="Times New Roman" w:hAnsi="Times New Roman"/>
      <w:sz w:val="24"/>
      <w:szCs w:val="24"/>
    </w:rPr>
  </w:style>
  <w:style w:type="paragraph" w:styleId="12">
    <w:name w:val="annotation subject"/>
    <w:basedOn w:val="4"/>
    <w:next w:val="4"/>
    <w:link w:val="24"/>
    <w:semiHidden/>
    <w:unhideWhenUsed/>
    <w:qFormat/>
    <w:uiPriority w:val="99"/>
    <w:rPr>
      <w:b/>
      <w:bCs/>
    </w:r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qFormat/>
    <w:uiPriority w:val="22"/>
    <w:rPr>
      <w:b/>
      <w:bCs/>
    </w:rPr>
  </w:style>
  <w:style w:type="character" w:styleId="17">
    <w:name w:val="FollowedHyperlink"/>
    <w:qFormat/>
    <w:uiPriority w:val="0"/>
    <w:rPr>
      <w:color w:val="800080"/>
      <w:u w:val="single"/>
    </w:rPr>
  </w:style>
  <w:style w:type="character" w:styleId="18">
    <w:name w:val="Hyperlink"/>
    <w:qFormat/>
    <w:uiPriority w:val="0"/>
    <w:rPr>
      <w:color w:val="0000FF"/>
      <w:u w:val="single"/>
    </w:rPr>
  </w:style>
  <w:style w:type="character" w:styleId="19">
    <w:name w:val="annotation reference"/>
    <w:semiHidden/>
    <w:unhideWhenUsed/>
    <w:qFormat/>
    <w:uiPriority w:val="99"/>
    <w:rPr>
      <w:sz w:val="16"/>
      <w:szCs w:val="16"/>
    </w:rPr>
  </w:style>
  <w:style w:type="character" w:styleId="20">
    <w:name w:val="footnote reference"/>
    <w:semiHidden/>
    <w:qFormat/>
    <w:uiPriority w:val="0"/>
    <w:rPr>
      <w:vertAlign w:val="superscript"/>
    </w:rPr>
  </w:style>
  <w:style w:type="paragraph" w:customStyle="1" w:styleId="21">
    <w:name w:val="Heading Erasmod"/>
    <w:basedOn w:val="3"/>
    <w:qFormat/>
    <w:uiPriority w:val="0"/>
    <w:pPr>
      <w:pBdr>
        <w:top w:val="single" w:color="auto" w:sz="6" w:space="1"/>
        <w:left w:val="single" w:color="auto" w:sz="6" w:space="1"/>
        <w:bottom w:val="single" w:color="auto" w:sz="6" w:space="1"/>
        <w:right w:val="single" w:color="auto" w:sz="6" w:space="1"/>
      </w:pBdr>
      <w:spacing w:before="0" w:after="120"/>
    </w:pPr>
    <w:rPr>
      <w:i w:val="0"/>
      <w:caps/>
      <w:sz w:val="28"/>
    </w:rPr>
  </w:style>
  <w:style w:type="paragraph" w:customStyle="1" w:styleId="22">
    <w:name w:val="Medium List 2 - Accent 21"/>
    <w:hidden/>
    <w:semiHidden/>
    <w:qFormat/>
    <w:uiPriority w:val="99"/>
    <w:rPr>
      <w:rFonts w:ascii="Arial" w:hAnsi="Arial" w:eastAsia="Times New Roman" w:cs="Times New Roman"/>
      <w:lang w:val="en-GB" w:eastAsia="en-GB" w:bidi="ar-SA"/>
    </w:rPr>
  </w:style>
  <w:style w:type="character" w:customStyle="1" w:styleId="23">
    <w:name w:val="Comment Text Char"/>
    <w:link w:val="4"/>
    <w:semiHidden/>
    <w:qFormat/>
    <w:uiPriority w:val="99"/>
    <w:rPr>
      <w:rFonts w:ascii="Arial" w:hAnsi="Arial"/>
    </w:rPr>
  </w:style>
  <w:style w:type="character" w:customStyle="1" w:styleId="24">
    <w:name w:val="Comment Subject Char"/>
    <w:link w:val="12"/>
    <w:semiHidden/>
    <w:qFormat/>
    <w:uiPriority w:val="99"/>
    <w:rPr>
      <w:rFonts w:ascii="Arial" w:hAnsi="Arial"/>
      <w:b/>
      <w:bCs/>
    </w:rPr>
  </w:style>
  <w:style w:type="character" w:customStyle="1" w:styleId="25">
    <w:name w:val="Footer Char"/>
    <w:link w:val="8"/>
    <w:qFormat/>
    <w:uiPriority w:val="99"/>
    <w:rPr>
      <w:rFonts w:ascii="Arial" w:hAnsi="Arial"/>
    </w:rPr>
  </w:style>
  <w:style w:type="paragraph" w:styleId="26">
    <w:name w:val="List Paragraph"/>
    <w:basedOn w:val="1"/>
    <w:qFormat/>
    <w:uiPriority w:val="99"/>
    <w:pPr>
      <w:ind w:left="720"/>
    </w:pPr>
  </w:style>
  <w:style w:type="paragraph" w:customStyle="1" w:styleId="27">
    <w:name w:val="Revision"/>
    <w:hidden/>
    <w:semiHidden/>
    <w:qFormat/>
    <w:uiPriority w:val="99"/>
    <w:rPr>
      <w:rFonts w:ascii="Arial" w:hAnsi="Arial" w:eastAsia="Times New Roman" w:cs="Times New Roman"/>
      <w:lang w:val="en-GB" w:eastAsia="en-GB" w:bidi="ar-SA"/>
    </w:rPr>
  </w:style>
  <w:style w:type="paragraph" w:styleId="28">
    <w:name w:val="No Spacing"/>
    <w:qFormat/>
    <w:uiPriority w:val="99"/>
    <w:pPr>
      <w:overflowPunct w:val="0"/>
      <w:autoSpaceDE w:val="0"/>
      <w:autoSpaceDN w:val="0"/>
      <w:adjustRightInd w:val="0"/>
    </w:pPr>
    <w:rPr>
      <w:rFonts w:ascii="Calibri" w:hAnsi="Calibri" w:eastAsia="Times New Roman" w:cs="Times New Roman"/>
      <w:sz w:val="22"/>
      <w:lang w:val="en-GB" w:eastAsia="en-US" w:bidi="ar-SA"/>
    </w:rPr>
  </w:style>
  <w:style w:type="character" w:customStyle="1" w:styleId="29">
    <w:name w:val="Unresolved Mention1"/>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BD700F-E940-4EA7-840B-E4CA6E2DCB78}">
  <ds:schemaRefs/>
</ds:datastoreItem>
</file>

<file path=customXml/itemProps3.xml><?xml version="1.0" encoding="utf-8"?>
<ds:datastoreItem xmlns:ds="http://schemas.openxmlformats.org/officeDocument/2006/customXml" ds:itemID="{7C9116D7-58DE-4138-A50B-08F928853FA1}">
  <ds:schemaRefs/>
</ds:datastoreItem>
</file>

<file path=customXml/itemProps4.xml><?xml version="1.0" encoding="utf-8"?>
<ds:datastoreItem xmlns:ds="http://schemas.openxmlformats.org/officeDocument/2006/customXml" ds:itemID="{02655603-7A5C-43BD-94BB-3D3F3BC556FB}">
  <ds:schemaRefs/>
</ds:datastoreItem>
</file>

<file path=customXml/itemProps5.xml><?xml version="1.0" encoding="utf-8"?>
<ds:datastoreItem xmlns:ds="http://schemas.openxmlformats.org/officeDocument/2006/customXml" ds:itemID="{88A92C39-0D44-4B1F-9FF7-E597C6F47FDA}">
  <ds:schemaRefs/>
</ds:datastoreItem>
</file>

<file path=docProps/app.xml><?xml version="1.0" encoding="utf-8"?>
<Properties xmlns="http://schemas.openxmlformats.org/officeDocument/2006/extended-properties" xmlns:vt="http://schemas.openxmlformats.org/officeDocument/2006/docPropsVTypes">
  <Template>Normal</Template>
  <Company>UWTSD</Company>
  <Pages>3</Pages>
  <Words>336</Words>
  <Characters>2080</Characters>
  <Lines>17</Lines>
  <Paragraphs>4</Paragraphs>
  <TotalTime>7</TotalTime>
  <ScaleCrop>false</ScaleCrop>
  <LinksUpToDate>false</LinksUpToDate>
  <CharactersWithSpaces>2412</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2021-12-07T11:25:00Z</dcterms:created>
  <dc:creator>Academic Office</dc:creator>
  <cp:lastModifiedBy>Semper_Fidelis</cp:lastModifiedBy>
  <cp:lastPrinted>2016-11-02T14:01:00Z</cp:lastPrinted>
  <dcterms:modified xsi:type="dcterms:W3CDTF">2022-01-18T14:18:11Z</dcterms:modified>
  <dc:title>PG1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0x0101008CBEBE1B5A18CA4D82AA3EC25D86BF17</vt:lpwstr>
  </property>
  <property fmtid="{D5CDD505-2E9C-101B-9397-08002B2CF9AE}" pid="6" name="KSOProductBuildVer">
    <vt:lpwstr>2052-11.1.0.11294</vt:lpwstr>
  </property>
  <property fmtid="{D5CDD505-2E9C-101B-9397-08002B2CF9AE}" pid="7" name="ICV">
    <vt:lpwstr>CEE0A9609FA34D8FA17211D2A2A14CCF</vt:lpwstr>
  </property>
</Properties>
</file>