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ind w:firstLine="0"/>
        <w:jc w:val="center"/>
        <w:rPr>
          <w:rFonts w:eastAsia="华文行楷"/>
          <w:sz w:val="84"/>
          <w:szCs w:val="84"/>
        </w:rPr>
      </w:pPr>
      <w:r>
        <w:rPr>
          <w:rFonts w:eastAsia="华文行楷"/>
          <w:sz w:val="84"/>
          <w:szCs w:val="84"/>
        </w:rPr>
        <w:t>UWTSD University</w:t>
      </w:r>
    </w:p>
    <w:p>
      <w:pPr>
        <w:spacing w:line="360" w:lineRule="auto"/>
        <w:ind w:firstLine="0"/>
        <w:jc w:val="center"/>
        <w:rPr>
          <w:spacing w:val="60"/>
          <w:sz w:val="72"/>
          <w:szCs w:val="72"/>
        </w:rPr>
      </w:pPr>
      <w:r>
        <w:rPr>
          <w:spacing w:val="60"/>
          <w:sz w:val="72"/>
          <w:szCs w:val="72"/>
        </w:rPr>
        <w:t xml:space="preserve">7025 Managing People in the Organizations </w:t>
      </w:r>
    </w:p>
    <w:p>
      <w:pPr>
        <w:spacing w:line="360" w:lineRule="auto"/>
      </w:pPr>
    </w:p>
    <w:p>
      <w:pPr>
        <w:spacing w:line="360" w:lineRule="auto"/>
      </w:pPr>
    </w:p>
    <w:p>
      <w:pPr>
        <w:spacing w:line="360" w:lineRule="auto"/>
      </w:pPr>
    </w:p>
    <w:p>
      <w:pPr>
        <w:spacing w:line="360" w:lineRule="auto"/>
        <w:ind w:firstLine="0"/>
        <w:jc w:val="center"/>
        <w:rPr>
          <w:sz w:val="48"/>
          <w:szCs w:val="48"/>
        </w:rPr>
      </w:pPr>
      <w:r>
        <w:rPr>
          <w:sz w:val="48"/>
          <w:szCs w:val="48"/>
        </w:rPr>
        <w:t>Comparison between lifetime employment system adopted by CETC and Japan's seniority-based system adopted by Honda</w:t>
      </w: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jc w:val="center"/>
      </w:pPr>
      <w:r>
        <w:t>Author: Xun Zhou</w:t>
      </w:r>
    </w:p>
    <w:p>
      <w:pPr>
        <w:widowControl w:val="0"/>
        <w:tabs>
          <w:tab w:val="left" w:pos="312"/>
        </w:tabs>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t>Student ID:2227421</w:t>
      </w:r>
    </w:p>
    <w:p>
      <w:pPr>
        <w:spacing w:line="360" w:lineRule="auto"/>
        <w:jc w:val="center"/>
      </w:pPr>
      <w:bookmarkStart w:id="39" w:name="_GoBack"/>
      <w:bookmarkEnd w:id="39"/>
    </w:p>
    <w:p>
      <w:pPr>
        <w:spacing w:line="360" w:lineRule="auto"/>
      </w:pPr>
    </w:p>
    <w:p>
      <w:pPr>
        <w:spacing w:line="360" w:lineRule="auto"/>
        <w:ind w:firstLine="0"/>
        <w:jc w:val="center"/>
        <w:rPr>
          <w:sz w:val="36"/>
        </w:rPr>
        <w:sectPr>
          <w:headerReference r:id="rId5" w:type="default"/>
          <w:footerReference r:id="rId7" w:type="default"/>
          <w:headerReference r:id="rId6" w:type="even"/>
          <w:footerReference r:id="rId8" w:type="even"/>
          <w:pgSz w:w="11906" w:h="16838"/>
          <w:pgMar w:top="1418" w:right="1134" w:bottom="1418" w:left="1701" w:header="851" w:footer="992" w:gutter="0"/>
          <w:cols w:space="425" w:num="1"/>
          <w:docGrid w:type="lines" w:linePitch="326" w:charSpace="0"/>
        </w:sectPr>
      </w:pPr>
      <w:r>
        <w:rPr>
          <w:sz w:val="30"/>
          <w:szCs w:val="30"/>
        </w:rPr>
        <w:t>2024.3.1</w:t>
      </w:r>
    </w:p>
    <w:p>
      <w:pPr>
        <w:pStyle w:val="2"/>
        <w:numPr>
          <w:ilvl w:val="0"/>
          <w:numId w:val="0"/>
        </w:numPr>
        <w:spacing w:line="360" w:lineRule="auto"/>
      </w:pPr>
      <w:bookmarkStart w:id="0" w:name="_Toc21130"/>
      <w:r>
        <w:t>Executive Summary</w:t>
      </w:r>
      <w:bookmarkEnd w:id="0"/>
    </w:p>
    <w:p>
      <w:r>
        <w:t>In the second half of the last century, both China and Japan have achieved world-renowned development achievements. From 1961 to 2000, the average annual GDP growth rates of China and Japan were 7.76% and 4.98% respectively. (</w:t>
      </w:r>
      <w:r>
        <w:rPr>
          <w:rFonts w:hint="eastAsia"/>
        </w:rPr>
        <w:t>World-bank,2022</w:t>
      </w:r>
      <w:r>
        <w:t>) (</w:t>
      </w:r>
      <w:r>
        <w:fldChar w:fldCharType="begin"/>
      </w:r>
      <w:r>
        <w:instrText xml:space="preserve"> HYPERLINK \l "world17" </w:instrText>
      </w:r>
      <w:r>
        <w:fldChar w:fldCharType="separate"/>
      </w:r>
      <w:r>
        <w:rPr>
          <w:rStyle w:val="11"/>
        </w:rPr>
        <w:t>World Bank Open Data</w:t>
      </w:r>
      <w:r>
        <w:rPr>
          <w:rStyle w:val="11"/>
          <w:rFonts w:hint="eastAsia"/>
        </w:rPr>
        <w:t xml:space="preserve"> CN</w:t>
      </w:r>
      <w:r>
        <w:rPr>
          <w:rStyle w:val="11"/>
          <w:rFonts w:hint="eastAsia"/>
        </w:rPr>
        <w:fldChar w:fldCharType="end"/>
      </w:r>
      <w:r>
        <w:rPr>
          <w:rFonts w:hint="eastAsia"/>
        </w:rPr>
        <w:t>)</w:t>
      </w:r>
      <w:r>
        <w:t>(</w:t>
      </w:r>
      <w:r>
        <w:fldChar w:fldCharType="begin"/>
      </w:r>
      <w:r>
        <w:instrText xml:space="preserve"> HYPERLINK \l "world19" </w:instrText>
      </w:r>
      <w:r>
        <w:fldChar w:fldCharType="separate"/>
      </w:r>
      <w:r>
        <w:rPr>
          <w:rStyle w:val="11"/>
        </w:rPr>
        <w:t>World Bank Open Data</w:t>
      </w:r>
      <w:r>
        <w:rPr>
          <w:rStyle w:val="11"/>
          <w:rFonts w:hint="eastAsia"/>
        </w:rPr>
        <w:t xml:space="preserve"> JP</w:t>
      </w:r>
      <w:r>
        <w:rPr>
          <w:rStyle w:val="11"/>
          <w:rFonts w:hint="eastAsia"/>
        </w:rPr>
        <w:fldChar w:fldCharType="end"/>
      </w:r>
      <w:r>
        <w:rPr>
          <w:rFonts w:hint="eastAsia"/>
        </w:rPr>
        <w:t>)</w:t>
      </w:r>
      <w:r>
        <w:t>During this period, the different lifetime employment systems adopted by the two countries were widely considered to be an important boost to the economic development of both countries. But after the real estate bubble burst in the 1990s, Japan's economy fell into a 30-year stagnation cycle. The seniroity-system widely adopted by Japanese companies during this period is considered to be one of the main reasons for Japan's stagnation. During the same period of time, China learned from Japan's experience and made targeted adjustments to the lifetime employment system of state-owned enterprises. This human resources system reform, coupled with other institutional reforms, increased the total market value of China's state-owned enterprises from 12,497.5 billion in 1997 to 154,914.2 billion in 2016 (a growth rate of 11.4 times) (</w:t>
      </w:r>
      <w:r>
        <w:fldChar w:fldCharType="begin"/>
      </w:r>
      <w:r>
        <w:instrText xml:space="preserve"> HYPERLINK \l "lin1" </w:instrText>
      </w:r>
      <w:r>
        <w:fldChar w:fldCharType="separate"/>
      </w:r>
      <w:r>
        <w:rPr>
          <w:rStyle w:val="11"/>
        </w:rPr>
        <w:t>Lin et al., 2020</w:t>
      </w:r>
      <w:r>
        <w:rPr>
          <w:rStyle w:val="11"/>
        </w:rPr>
        <w:fldChar w:fldCharType="end"/>
      </w:r>
      <w:r>
        <w:t>) During the same period, China's total GDP increased from 9,616 billion increased to 12.31 trillion. (Growth rate is 12.8 times) (</w:t>
      </w:r>
      <w:r>
        <w:fldChar w:fldCharType="begin"/>
      </w:r>
      <w:r>
        <w:instrText xml:space="preserve"> HYPERLINK \l "world2" </w:instrText>
      </w:r>
      <w:r>
        <w:fldChar w:fldCharType="separate"/>
      </w:r>
      <w:r>
        <w:rPr>
          <w:rStyle w:val="11"/>
          <w:rFonts w:hint="eastAsia"/>
        </w:rPr>
        <w:t>World-bank,2022</w:t>
      </w:r>
      <w:r>
        <w:rPr>
          <w:rStyle w:val="11"/>
          <w:rFonts w:hint="eastAsia"/>
        </w:rPr>
        <w:fldChar w:fldCharType="end"/>
      </w:r>
      <w:r>
        <w:t>) As a former employee of CETC which is an SOE of China I can say that the human resources reform of Chinese state-owned enterprises has successfully greatly alleviated the corporate rigidity problem caused by the Japanese-style lifetime employment system without changing the lifetime employment system. The main purpose of this article is to use Honda and CETC as cases to analyze the reasons for the formation of the lifetime employment system in China and Japan, the similarities and differences, advantages and disadvantages of the systems, the shaping of corporate culture and the employment system reform of Chinese SOEs in the later period and its impact.</w:t>
      </w:r>
    </w:p>
    <w:p>
      <w:r>
        <w:rPr>
          <w:b/>
        </w:rPr>
        <w:t>KEY WORD：</w:t>
      </w:r>
      <w:r>
        <w:rPr>
          <w:bCs/>
        </w:rPr>
        <w:t>S</w:t>
      </w:r>
      <w:r>
        <w:t>eniority-based system; China's state-owned enterprises; lifetime employment system</w:t>
      </w:r>
    </w:p>
    <w:p/>
    <w:p/>
    <w:p/>
    <w:p/>
    <w:p/>
    <w:p/>
    <w:p>
      <w:pPr>
        <w:pStyle w:val="2"/>
        <w:numPr>
          <w:ilvl w:val="0"/>
          <w:numId w:val="0"/>
        </w:numPr>
        <w:spacing w:line="360" w:lineRule="auto"/>
      </w:pPr>
      <w:bookmarkStart w:id="1" w:name="_Toc29213"/>
      <w:r>
        <w:t>Table of Contents</w:t>
      </w:r>
      <w:bookmarkEnd w:id="1"/>
    </w:p>
    <w:p>
      <w:pPr>
        <w:pStyle w:val="6"/>
        <w:tabs>
          <w:tab w:val="right" w:leader="dot" w:pos="8306"/>
        </w:tabs>
      </w:pPr>
      <w:r>
        <w:fldChar w:fldCharType="begin"/>
      </w:r>
      <w:r>
        <w:instrText xml:space="preserve">TOC \o "1-3" \h \u </w:instrText>
      </w:r>
      <w:r>
        <w:fldChar w:fldCharType="separate"/>
      </w:r>
      <w:r>
        <w:fldChar w:fldCharType="begin"/>
      </w:r>
      <w:r>
        <w:instrText xml:space="preserve"> HYPERLINK \l "_Toc21130" </w:instrText>
      </w:r>
      <w:r>
        <w:fldChar w:fldCharType="separate"/>
      </w:r>
      <w:r>
        <w:t>Executive Summary</w:t>
      </w:r>
      <w:r>
        <w:tab/>
      </w:r>
      <w:r>
        <w:fldChar w:fldCharType="begin"/>
      </w:r>
      <w:r>
        <w:instrText xml:space="preserve"> PAGEREF _Toc21130 \h </w:instrText>
      </w:r>
      <w:r>
        <w:fldChar w:fldCharType="separate"/>
      </w:r>
      <w:r>
        <w:t>2</w:t>
      </w:r>
      <w:r>
        <w:fldChar w:fldCharType="end"/>
      </w:r>
      <w:r>
        <w:fldChar w:fldCharType="end"/>
      </w:r>
    </w:p>
    <w:p>
      <w:pPr>
        <w:pStyle w:val="6"/>
        <w:tabs>
          <w:tab w:val="right" w:leader="dot" w:pos="8306"/>
        </w:tabs>
      </w:pPr>
      <w:r>
        <w:fldChar w:fldCharType="begin"/>
      </w:r>
      <w:r>
        <w:instrText xml:space="preserve"> HYPERLINK \l "_Toc29213" </w:instrText>
      </w:r>
      <w:r>
        <w:fldChar w:fldCharType="separate"/>
      </w:r>
      <w:r>
        <w:t>Table of Contents</w:t>
      </w:r>
      <w:r>
        <w:tab/>
      </w:r>
      <w:r>
        <w:fldChar w:fldCharType="begin"/>
      </w:r>
      <w:r>
        <w:instrText xml:space="preserve"> PAGEREF _Toc29213 \h </w:instrText>
      </w:r>
      <w:r>
        <w:fldChar w:fldCharType="separate"/>
      </w:r>
      <w:r>
        <w:t>3</w:t>
      </w:r>
      <w:r>
        <w:fldChar w:fldCharType="end"/>
      </w:r>
      <w:r>
        <w:fldChar w:fldCharType="end"/>
      </w:r>
    </w:p>
    <w:p>
      <w:pPr>
        <w:pStyle w:val="6"/>
        <w:tabs>
          <w:tab w:val="right" w:leader="dot" w:pos="8306"/>
        </w:tabs>
      </w:pPr>
      <w:r>
        <w:fldChar w:fldCharType="begin"/>
      </w:r>
      <w:r>
        <w:instrText xml:space="preserve"> HYPERLINK \l "_Toc14110" </w:instrText>
      </w:r>
      <w:r>
        <w:fldChar w:fldCharType="separate"/>
      </w:r>
      <w:r>
        <w:t>Introduction</w:t>
      </w:r>
      <w:r>
        <w:tab/>
      </w:r>
      <w:r>
        <w:fldChar w:fldCharType="begin"/>
      </w:r>
      <w:r>
        <w:instrText xml:space="preserve"> PAGEREF _Toc14110 \h </w:instrText>
      </w:r>
      <w:r>
        <w:fldChar w:fldCharType="separate"/>
      </w:r>
      <w:r>
        <w:t>4</w:t>
      </w:r>
      <w:r>
        <w:fldChar w:fldCharType="end"/>
      </w:r>
      <w:r>
        <w:fldChar w:fldCharType="end"/>
      </w:r>
    </w:p>
    <w:p>
      <w:pPr>
        <w:pStyle w:val="6"/>
        <w:tabs>
          <w:tab w:val="right" w:leader="dot" w:pos="8306"/>
        </w:tabs>
      </w:pPr>
      <w:r>
        <w:fldChar w:fldCharType="begin"/>
      </w:r>
      <w:r>
        <w:instrText xml:space="preserve"> HYPERLINK \l "_Toc14490" </w:instrText>
      </w:r>
      <w:r>
        <w:fldChar w:fldCharType="separate"/>
      </w:r>
      <w:r>
        <w:rPr>
          <w:bCs/>
          <w:iCs/>
          <w:szCs w:val="24"/>
        </w:rPr>
        <w:t>Main discussion</w:t>
      </w:r>
      <w:r>
        <w:tab/>
      </w:r>
      <w:r>
        <w:fldChar w:fldCharType="begin"/>
      </w:r>
      <w:r>
        <w:instrText xml:space="preserve"> PAGEREF _Toc14490 \h </w:instrText>
      </w:r>
      <w:r>
        <w:fldChar w:fldCharType="separate"/>
      </w:r>
      <w:r>
        <w:t>5</w:t>
      </w:r>
      <w:r>
        <w:fldChar w:fldCharType="end"/>
      </w:r>
      <w:r>
        <w:fldChar w:fldCharType="end"/>
      </w:r>
    </w:p>
    <w:p>
      <w:pPr>
        <w:pStyle w:val="7"/>
        <w:tabs>
          <w:tab w:val="right" w:leader="dot" w:pos="8306"/>
        </w:tabs>
        <w:ind w:left="480"/>
      </w:pPr>
      <w:r>
        <w:fldChar w:fldCharType="begin"/>
      </w:r>
      <w:r>
        <w:instrText xml:space="preserve"> HYPERLINK \l "_Toc20378" </w:instrText>
      </w:r>
      <w:r>
        <w:fldChar w:fldCharType="separate"/>
      </w:r>
      <w:r>
        <w:t>Culture background of East Asia</w:t>
      </w:r>
      <w:r>
        <w:tab/>
      </w:r>
      <w:r>
        <w:fldChar w:fldCharType="begin"/>
      </w:r>
      <w:r>
        <w:instrText xml:space="preserve"> PAGEREF _Toc20378 \h </w:instrText>
      </w:r>
      <w:r>
        <w:fldChar w:fldCharType="separate"/>
      </w:r>
      <w:r>
        <w:t>5</w:t>
      </w:r>
      <w:r>
        <w:fldChar w:fldCharType="end"/>
      </w:r>
      <w:r>
        <w:fldChar w:fldCharType="end"/>
      </w:r>
    </w:p>
    <w:p>
      <w:pPr>
        <w:pStyle w:val="7"/>
        <w:tabs>
          <w:tab w:val="right" w:leader="dot" w:pos="8306"/>
        </w:tabs>
        <w:ind w:left="480"/>
      </w:pPr>
      <w:r>
        <w:fldChar w:fldCharType="begin"/>
      </w:r>
      <w:r>
        <w:instrText xml:space="preserve"> HYPERLINK \l "_Toc20846" </w:instrText>
      </w:r>
      <w:r>
        <w:fldChar w:fldCharType="separate"/>
      </w:r>
      <w:r>
        <w:t>Honda’s HR system and reasons for its formation</w:t>
      </w:r>
      <w:r>
        <w:tab/>
      </w:r>
      <w:r>
        <w:fldChar w:fldCharType="begin"/>
      </w:r>
      <w:r>
        <w:instrText xml:space="preserve"> PAGEREF _Toc20846 \h </w:instrText>
      </w:r>
      <w:r>
        <w:fldChar w:fldCharType="separate"/>
      </w:r>
      <w:r>
        <w:t>5</w:t>
      </w:r>
      <w:r>
        <w:fldChar w:fldCharType="end"/>
      </w:r>
      <w:r>
        <w:fldChar w:fldCharType="end"/>
      </w:r>
    </w:p>
    <w:p>
      <w:pPr>
        <w:pStyle w:val="7"/>
        <w:tabs>
          <w:tab w:val="right" w:leader="dot" w:pos="8306"/>
        </w:tabs>
        <w:ind w:left="480"/>
      </w:pPr>
      <w:r>
        <w:fldChar w:fldCharType="begin"/>
      </w:r>
      <w:r>
        <w:instrText xml:space="preserve"> HYPERLINK \l "_Toc27627" </w:instrText>
      </w:r>
      <w:r>
        <w:fldChar w:fldCharType="separate"/>
      </w:r>
      <w:r>
        <w:t>CETC’s HR system and reasons for its formation</w:t>
      </w:r>
      <w:r>
        <w:tab/>
      </w:r>
      <w:r>
        <w:fldChar w:fldCharType="begin"/>
      </w:r>
      <w:r>
        <w:instrText xml:space="preserve"> PAGEREF _Toc27627 \h </w:instrText>
      </w:r>
      <w:r>
        <w:fldChar w:fldCharType="separate"/>
      </w:r>
      <w:r>
        <w:t>6</w:t>
      </w:r>
      <w:r>
        <w:fldChar w:fldCharType="end"/>
      </w:r>
      <w:r>
        <w:fldChar w:fldCharType="end"/>
      </w:r>
    </w:p>
    <w:p>
      <w:pPr>
        <w:pStyle w:val="6"/>
        <w:tabs>
          <w:tab w:val="right" w:leader="dot" w:pos="8306"/>
        </w:tabs>
      </w:pPr>
      <w:r>
        <w:fldChar w:fldCharType="begin"/>
      </w:r>
      <w:r>
        <w:instrText xml:space="preserve"> HYPERLINK \l "_Toc7993" </w:instrText>
      </w:r>
      <w:r>
        <w:fldChar w:fldCharType="separate"/>
      </w:r>
      <w:r>
        <w:t>China SOE’s HR revolution</w:t>
      </w:r>
      <w:r>
        <w:tab/>
      </w:r>
      <w:r>
        <w:fldChar w:fldCharType="begin"/>
      </w:r>
      <w:r>
        <w:instrText xml:space="preserve"> PAGEREF _Toc7993 \h </w:instrText>
      </w:r>
      <w:r>
        <w:fldChar w:fldCharType="separate"/>
      </w:r>
      <w:r>
        <w:t>7</w:t>
      </w:r>
      <w:r>
        <w:fldChar w:fldCharType="end"/>
      </w:r>
      <w:r>
        <w:fldChar w:fldCharType="end"/>
      </w:r>
    </w:p>
    <w:p>
      <w:pPr>
        <w:pStyle w:val="6"/>
        <w:tabs>
          <w:tab w:val="right" w:leader="dot" w:pos="8306"/>
        </w:tabs>
      </w:pPr>
      <w:r>
        <w:fldChar w:fldCharType="begin"/>
      </w:r>
      <w:r>
        <w:instrText xml:space="preserve"> HYPERLINK \l "_Toc5359" </w:instrText>
      </w:r>
      <w:r>
        <w:fldChar w:fldCharType="separate"/>
      </w:r>
      <w:r>
        <w:rPr>
          <w:rFonts w:hint="eastAsia"/>
        </w:rPr>
        <w:t>Problems that Honda encounter due to its HR system</w:t>
      </w:r>
      <w:r>
        <w:tab/>
      </w:r>
      <w:r>
        <w:fldChar w:fldCharType="begin"/>
      </w:r>
      <w:r>
        <w:instrText xml:space="preserve"> PAGEREF _Toc5359 \h </w:instrText>
      </w:r>
      <w:r>
        <w:fldChar w:fldCharType="separate"/>
      </w:r>
      <w:r>
        <w:t>8</w:t>
      </w:r>
      <w:r>
        <w:fldChar w:fldCharType="end"/>
      </w:r>
      <w:r>
        <w:fldChar w:fldCharType="end"/>
      </w:r>
    </w:p>
    <w:p>
      <w:pPr>
        <w:pStyle w:val="6"/>
        <w:tabs>
          <w:tab w:val="right" w:leader="dot" w:pos="8306"/>
        </w:tabs>
      </w:pPr>
      <w:r>
        <w:fldChar w:fldCharType="begin"/>
      </w:r>
      <w:r>
        <w:instrText xml:space="preserve"> HYPERLINK \l "_Toc32027" </w:instrText>
      </w:r>
      <w:r>
        <w:fldChar w:fldCharType="separate"/>
      </w:r>
      <w:r>
        <w:rPr>
          <w:rFonts w:hint="eastAsia"/>
        </w:rPr>
        <w:t>Problems that CETC encounter due to its HR system</w:t>
      </w:r>
      <w:r>
        <w:tab/>
      </w:r>
      <w:r>
        <w:fldChar w:fldCharType="begin"/>
      </w:r>
      <w:r>
        <w:instrText xml:space="preserve"> PAGEREF _Toc32027 \h </w:instrText>
      </w:r>
      <w:r>
        <w:fldChar w:fldCharType="separate"/>
      </w:r>
      <w:r>
        <w:t>9</w:t>
      </w:r>
      <w:r>
        <w:fldChar w:fldCharType="end"/>
      </w:r>
      <w:r>
        <w:fldChar w:fldCharType="end"/>
      </w:r>
    </w:p>
    <w:p>
      <w:pPr>
        <w:pStyle w:val="6"/>
        <w:tabs>
          <w:tab w:val="right" w:leader="dot" w:pos="8306"/>
        </w:tabs>
      </w:pPr>
      <w:r>
        <w:fldChar w:fldCharType="begin"/>
      </w:r>
      <w:r>
        <w:instrText xml:space="preserve"> HYPERLINK \l "_Toc16410" </w:instrText>
      </w:r>
      <w:r>
        <w:fldChar w:fldCharType="separate"/>
      </w:r>
      <w:r>
        <w:rPr>
          <w:rFonts w:hint="eastAsia"/>
        </w:rPr>
        <w:t xml:space="preserve">Conclusion &amp; </w:t>
      </w:r>
      <w:r>
        <w:t>Recommendations</w:t>
      </w:r>
      <w:r>
        <w:tab/>
      </w:r>
      <w:r>
        <w:fldChar w:fldCharType="begin"/>
      </w:r>
      <w:r>
        <w:instrText xml:space="preserve"> PAGEREF _Toc16410 \h </w:instrText>
      </w:r>
      <w:r>
        <w:fldChar w:fldCharType="separate"/>
      </w:r>
      <w:r>
        <w:t>9</w:t>
      </w:r>
      <w:r>
        <w:fldChar w:fldCharType="end"/>
      </w:r>
      <w:r>
        <w:fldChar w:fldCharType="end"/>
      </w:r>
    </w:p>
    <w:p>
      <w:pPr>
        <w:pStyle w:val="6"/>
        <w:tabs>
          <w:tab w:val="right" w:leader="dot" w:pos="8306"/>
        </w:tabs>
      </w:pPr>
      <w:r>
        <w:fldChar w:fldCharType="begin"/>
      </w:r>
      <w:r>
        <w:instrText xml:space="preserve"> HYPERLINK \l "_Toc15940" </w:instrText>
      </w:r>
      <w:r>
        <w:fldChar w:fldCharType="separate"/>
      </w:r>
      <w:r>
        <w:t>Reference</w:t>
      </w:r>
      <w:r>
        <w:tab/>
      </w:r>
      <w:r>
        <w:fldChar w:fldCharType="begin"/>
      </w:r>
      <w:r>
        <w:instrText xml:space="preserve"> PAGEREF _Toc15940 \h </w:instrText>
      </w:r>
      <w:r>
        <w:fldChar w:fldCharType="separate"/>
      </w:r>
      <w:r>
        <w:t>10</w:t>
      </w:r>
      <w:r>
        <w:fldChar w:fldCharType="end"/>
      </w:r>
      <w:r>
        <w:fldChar w:fldCharType="end"/>
      </w:r>
    </w:p>
    <w:p>
      <w:r>
        <w:fldChar w:fldCharType="end"/>
      </w:r>
    </w:p>
    <w:p/>
    <w:p/>
    <w:p/>
    <w:p/>
    <w:p/>
    <w:p/>
    <w:p/>
    <w:p/>
    <w:p/>
    <w:p/>
    <w:p/>
    <w:p/>
    <w:p/>
    <w:p/>
    <w:p/>
    <w:p/>
    <w:p/>
    <w:p/>
    <w:p/>
    <w:p/>
    <w:p/>
    <w:p>
      <w:pPr>
        <w:pStyle w:val="2"/>
        <w:numPr>
          <w:ilvl w:val="0"/>
          <w:numId w:val="0"/>
        </w:numPr>
        <w:spacing w:line="360" w:lineRule="auto"/>
        <w:rPr>
          <w:iCs/>
          <w:szCs w:val="24"/>
        </w:rPr>
      </w:pPr>
      <w:bookmarkStart w:id="2" w:name="_Toc14110"/>
      <w:r>
        <w:t>Introduction</w:t>
      </w:r>
      <w:bookmarkEnd w:id="2"/>
    </w:p>
    <w:p>
      <w:r>
        <w:t>As a region with a long historical process independent of the Western world, the Confucian cultural circle in East Asia has a very different historical and cultural background. In this context, the HR system of East Asian companies is naturally very different from the HR system of companies in Western countries. This difference has led Japan's large enterprises represented by Honda and China's SOEs represented by CETC, two of the country's economic pillar enterprises, to adopt the lifelong employment system. This employment system is very different from the liberal employment system in the West. The advantages of the lifetime employment system brought great help to the reconstruction of China and Japan after World War II. It also enabled the two countries to maintain long-term macroeconomic growth during the early and middle stages of the Cold War. However, the inherent shortcomings of the lifetime employment system also caused the two countries to fall into economic stagnation at the end of the Cold War. The response measures adopted by China and Japan after the issue of lifetime employment became apparent will also determine the economic development of China and Japan in the next few decades.</w:t>
      </w:r>
    </w:p>
    <w:p/>
    <w:p/>
    <w:p/>
    <w:p/>
    <w:p/>
    <w:p/>
    <w:p/>
    <w:p/>
    <w:p/>
    <w:p/>
    <w:p/>
    <w:p/>
    <w:p/>
    <w:p/>
    <w:p/>
    <w:p/>
    <w:p>
      <w:pPr>
        <w:ind w:firstLine="0"/>
      </w:pPr>
    </w:p>
    <w:p>
      <w:pPr>
        <w:ind w:firstLine="0"/>
      </w:pPr>
    </w:p>
    <w:p>
      <w:pPr>
        <w:pStyle w:val="2"/>
        <w:numPr>
          <w:ilvl w:val="0"/>
          <w:numId w:val="0"/>
        </w:numPr>
        <w:spacing w:line="360" w:lineRule="auto"/>
        <w:rPr>
          <w:iCs/>
          <w:szCs w:val="24"/>
        </w:rPr>
      </w:pPr>
      <w:bookmarkStart w:id="3" w:name="_Toc14490"/>
      <w:r>
        <w:rPr>
          <w:iCs/>
          <w:szCs w:val="24"/>
        </w:rPr>
        <w:t>Main discussion</w:t>
      </w:r>
      <w:bookmarkEnd w:id="3"/>
    </w:p>
    <w:p/>
    <w:p>
      <w:pPr>
        <w:pStyle w:val="3"/>
        <w:ind w:firstLine="0"/>
        <w:rPr>
          <w:rFonts w:ascii="Times New Roman" w:hAnsi="Times New Roman"/>
        </w:rPr>
      </w:pPr>
      <w:bookmarkStart w:id="4" w:name="_Toc20378"/>
      <w:r>
        <w:rPr>
          <w:rFonts w:ascii="Times New Roman" w:hAnsi="Times New Roman"/>
        </w:rPr>
        <w:t>Culture background of East Asia</w:t>
      </w:r>
      <w:bookmarkEnd w:id="4"/>
    </w:p>
    <w:p>
      <w:pPr>
        <w:tabs>
          <w:tab w:val="left" w:pos="0"/>
        </w:tabs>
        <w:spacing w:line="360" w:lineRule="auto"/>
        <w:ind w:firstLine="0"/>
        <w:jc w:val="left"/>
      </w:pPr>
      <w:r>
        <w:t>Confucian culture is the core of the culture and social systems of East Asian countries such as China, Japan, and South Korea. As a culture that emphasizes loyalty and collectivism, Confucian culture gives countries that adopt it as core values a strong sense of stability and collectivism. This is very different from the Western world that emphasizes freedom and individualism.</w:t>
      </w:r>
      <w:r>
        <w:tab/>
      </w:r>
    </w:p>
    <w:p>
      <w:pPr>
        <w:pStyle w:val="3"/>
        <w:ind w:firstLine="0"/>
        <w:jc w:val="left"/>
        <w:rPr>
          <w:rFonts w:ascii="Times New Roman" w:hAnsi="Times New Roman"/>
        </w:rPr>
      </w:pPr>
      <w:bookmarkStart w:id="5" w:name="_Toc20846"/>
      <w:r>
        <w:rPr>
          <w:rFonts w:ascii="Times New Roman" w:hAnsi="Times New Roman"/>
        </w:rPr>
        <w:t>Honda’s HR system and reasons for its formation</w:t>
      </w:r>
      <w:bookmarkEnd w:id="5"/>
    </w:p>
    <w:p>
      <w:r>
        <w:t>Honda, Japan's second largest automaker and the world's fifth largest automaker, has more than 200,000 employees and total assets of nearly US$</w:t>
      </w:r>
      <w:r>
        <w:rPr>
          <w:rFonts w:hint="eastAsia"/>
        </w:rPr>
        <w:t>60</w:t>
      </w:r>
      <w:r>
        <w:t xml:space="preserve"> billion. (</w:t>
      </w:r>
      <w:r>
        <w:fldChar w:fldCharType="begin"/>
      </w:r>
      <w:r>
        <w:instrText xml:space="preserve"> HYPERLINK \l "yahoo16" </w:instrText>
      </w:r>
      <w:r>
        <w:fldChar w:fldCharType="separate"/>
      </w:r>
      <w:r>
        <w:rPr>
          <w:rStyle w:val="11"/>
        </w:rPr>
        <w:t>Yahoo, 2024</w:t>
      </w:r>
      <w:r>
        <w:rPr>
          <w:rStyle w:val="11"/>
        </w:rPr>
        <w:fldChar w:fldCharType="end"/>
      </w:r>
      <w:r>
        <w:t>)</w:t>
      </w:r>
      <w:r>
        <w:rPr>
          <w:rFonts w:hint="eastAsia"/>
        </w:rPr>
        <w:t xml:space="preserve"> Such a technology-intensive enterprise with production as its core business naturally requires a large number of skilled workers and experienced managers who have a full understanding of the entire production process.</w:t>
      </w:r>
      <w:r>
        <w:t xml:space="preserve"> It can be regarded as one of the typical representatives of Japanese manufacturing companies. As a typical Japanese manufacturing company, Honda's personnel system naturally needs to meet two main requirements. The first is to meet the requirements of manufacturing enterprises for stable production organization and environment. The second is the requirement of mutual loyalty and understanding between individuals and organizations that meets the requirements of Confucian culture, which is close to feudalism. (</w:t>
      </w:r>
      <w:r>
        <w:fldChar w:fldCharType="begin"/>
      </w:r>
      <w:r>
        <w:instrText xml:space="preserve"> HYPERLINK \l "hara4" </w:instrText>
      </w:r>
      <w:r>
        <w:fldChar w:fldCharType="separate"/>
      </w:r>
      <w:r>
        <w:rPr>
          <w:rStyle w:val="11"/>
        </w:rPr>
        <w:t>Harada, 2001</w:t>
      </w:r>
      <w:r>
        <w:rPr>
          <w:rStyle w:val="11"/>
        </w:rPr>
        <w:fldChar w:fldCharType="end"/>
      </w:r>
      <w:r>
        <w:t xml:space="preserve">) The seniroity-system commonly used by Japanese companies satisfies this requirement very well. First, as a lifelong employment system, the </w:t>
      </w:r>
      <w:r>
        <w:rPr>
          <w:rFonts w:hint="eastAsia"/>
        </w:rPr>
        <w:t>Honda</w:t>
      </w:r>
      <w:r>
        <w:t xml:space="preserve"> as a whole is considered obligated to ensure the steady improvement of the living standards of its employees. Since employees are certain that they will be employed by the company for life, they also believe that they have the obligation to continuously contribute to the </w:t>
      </w:r>
      <w:r>
        <w:rPr>
          <w:rFonts w:hint="eastAsia"/>
        </w:rPr>
        <w:t>Honda</w:t>
      </w:r>
      <w:r>
        <w:t xml:space="preserve">. This forms a model in which </w:t>
      </w:r>
      <w:r>
        <w:rPr>
          <w:rFonts w:hint="eastAsia"/>
        </w:rPr>
        <w:t>Honda</w:t>
      </w:r>
      <w:r>
        <w:t xml:space="preserve"> dare to invest a large amount of resources in employees</w:t>
      </w:r>
      <w:r>
        <w:rPr>
          <w:rFonts w:hint="eastAsia"/>
        </w:rPr>
        <w:t>. So that Honda</w:t>
      </w:r>
      <w:r>
        <w:t xml:space="preserve"> increase profits by increasing the unit output of employees. This highly dependent employment system satisfies Japanese culture's cultural needs for mutual loyalty and understanding between individuals and collective organizations. Secondly, the most important assets for the industrial production process are skilled workers and engineers who are familiar with the entire production process. These valuable human resources are a prerequisite for ensuring that the factory can produce products of stable quality with extremely high efficiency. The </w:t>
      </w:r>
      <w:r>
        <w:rPr>
          <w:rFonts w:hint="eastAsia"/>
        </w:rPr>
        <w:t>human resources</w:t>
      </w:r>
      <w:r>
        <w:t xml:space="preserve"> system adopted by </w:t>
      </w:r>
      <w:r>
        <w:rPr>
          <w:rFonts w:hint="eastAsia"/>
        </w:rPr>
        <w:t>Honda and its fellow Japanese companies</w:t>
      </w:r>
      <w:r>
        <w:t xml:space="preserve"> ensures an extremely low turnover rate for such important employees. Because under the lifetime employment system, casual resignation is often regarded by the entire industry as a betrayal of the original employer rather than a personal choice. This cultural environment gives Honda employees both a sense of job security from the environment and pressure from the environment that prevents them from resigning at will. The low employee turnover rate caused by the latter ensures that </w:t>
      </w:r>
      <w:r>
        <w:rPr>
          <w:rFonts w:hint="eastAsia"/>
        </w:rPr>
        <w:t xml:space="preserve">Honda </w:t>
      </w:r>
      <w:r>
        <w:t>can ensure the stability of production through HR management to the greatest extent. This created the quality myth of Japanese manufacturing that began in the second half of the last century. Finally, it is different from Western countries that have completed industrialization with free capital. As</w:t>
      </w:r>
      <w:r>
        <w:rPr>
          <w:rFonts w:hint="eastAsia"/>
        </w:rPr>
        <w:t xml:space="preserve"> </w:t>
      </w:r>
      <w:r>
        <w:t>a late-developing country, Japan's industrialization process is completed by national capital led by the government. This makes the Japanese government a hidden shareholder of its industry. Even the Allied occupation after World War II failed to change this system. Like all governments, stability is what the Japanese government pursues. Therefore, the lifelong employment system and the culture that the companies it represents should take care of all aspects of their employees' lives are also hidden shareholder requirements of all Japanese pillar companies like Honda.</w:t>
      </w:r>
    </w:p>
    <w:p/>
    <w:p>
      <w:pPr>
        <w:pStyle w:val="3"/>
        <w:ind w:firstLine="0"/>
        <w:jc w:val="left"/>
        <w:rPr>
          <w:rFonts w:ascii="Times New Roman" w:hAnsi="Times New Roman"/>
        </w:rPr>
      </w:pPr>
      <w:bookmarkStart w:id="6" w:name="_Toc27627"/>
      <w:r>
        <w:rPr>
          <w:rFonts w:ascii="Times New Roman" w:hAnsi="Times New Roman"/>
        </w:rPr>
        <w:t>CETC’s HR system and reasons for its formation</w:t>
      </w:r>
      <w:bookmarkEnd w:id="6"/>
    </w:p>
    <w:p>
      <w:r>
        <w:t>CETC is an SOE mainly engaged in the electronics industry with more than 140,000 employees and total assets of more than 70 billion US dollars.</w:t>
      </w:r>
      <w:r>
        <w:rPr>
          <w:rFonts w:hint="eastAsia"/>
        </w:rPr>
        <w:t>(</w:t>
      </w:r>
      <w:r>
        <w:fldChar w:fldCharType="begin"/>
      </w:r>
      <w:r>
        <w:instrText xml:space="preserve"> HYPERLINK \l "sina23" </w:instrText>
      </w:r>
      <w:r>
        <w:fldChar w:fldCharType="separate"/>
      </w:r>
      <w:r>
        <w:rPr>
          <w:rStyle w:val="11"/>
          <w:rFonts w:hint="eastAsia"/>
        </w:rPr>
        <w:t>Sina,2022</w:t>
      </w:r>
      <w:r>
        <w:rPr>
          <w:rStyle w:val="11"/>
          <w:rFonts w:hint="eastAsia"/>
        </w:rPr>
        <w:fldChar w:fldCharType="end"/>
      </w:r>
      <w:r>
        <w:rPr>
          <w:rFonts w:hint="eastAsia"/>
        </w:rPr>
        <w:t>) Similar to Honda, CETC is also a technology-intensive production company.</w:t>
      </w:r>
      <w:r>
        <w:t xml:space="preserve"> It is also a typical representative of China's SOE. As a state-owned enterprise fully funded by the Chinese government, it dispatches personnel to manage, provide raw materials, production means, and production technology. There is no doubt that the most important factor affecting CETC's HR system is the external factor of shareholder pressure.</w:t>
      </w:r>
      <w:r>
        <w:rPr>
          <w:rFonts w:hint="eastAsia"/>
        </w:rPr>
        <w:t xml:space="preserve"> In the electronics industry, this has not fundamentally changed even today.</w:t>
      </w:r>
      <w:r>
        <w:t xml:space="preserve"> (</w:t>
      </w:r>
      <w:r>
        <w:fldChar w:fldCharType="begin"/>
      </w:r>
      <w:r>
        <w:instrText xml:space="preserve"> HYPERLINK \l "car15" </w:instrText>
      </w:r>
      <w:r>
        <w:fldChar w:fldCharType="separate"/>
      </w:r>
      <w:r>
        <w:rPr>
          <w:rStyle w:val="11"/>
        </w:rPr>
        <w:t>Carney, 2019</w:t>
      </w:r>
      <w:r>
        <w:rPr>
          <w:rStyle w:val="11"/>
        </w:rPr>
        <w:fldChar w:fldCharType="end"/>
      </w:r>
      <w:r>
        <w:t>)</w:t>
      </w:r>
      <w:r>
        <w:rPr>
          <w:rFonts w:hint="eastAsia"/>
        </w:rPr>
        <w:t xml:space="preserve"> </w:t>
      </w:r>
      <w:r>
        <w:t>Therefore, the employment system used by the predecessor of CETC before the reform of the HR system of state-owned enterprises in the 1990s first met the following requirements.</w:t>
      </w:r>
    </w:p>
    <w:p>
      <w:r>
        <w:t>1. Provide large quantities of high-quality electronic equipment to ensure the construction of national defense and key projects.</w:t>
      </w:r>
    </w:p>
    <w:p>
      <w:r>
        <w:t>2. Ensure that highly educated talents assigned to CETC by the state can be put to good use in the long term. After all, before the 1990s, China's illiteracy rate had always exceeded 20%. In 1949, China's illiteracy rate was 80%. The highly educated labor force was the most valuable resource in China at that time. (</w:t>
      </w:r>
      <w:r>
        <w:fldChar w:fldCharType="begin"/>
      </w:r>
      <w:r>
        <w:instrText xml:space="preserve"> HYPERLINK \l "china17" </w:instrText>
      </w:r>
      <w:r>
        <w:fldChar w:fldCharType="separate"/>
      </w:r>
      <w:r>
        <w:rPr>
          <w:rStyle w:val="11"/>
        </w:rPr>
        <w:t>China: Adult Literacy | Statista, 2023</w:t>
      </w:r>
      <w:r>
        <w:rPr>
          <w:rStyle w:val="11"/>
        </w:rPr>
        <w:fldChar w:fldCharType="end"/>
      </w:r>
      <w:r>
        <w:t>)</w:t>
      </w:r>
      <w:r>
        <w:rPr>
          <w:rFonts w:hint="eastAsia"/>
        </w:rPr>
        <w:t xml:space="preserve"> </w:t>
      </w:r>
    </w:p>
    <w:p>
      <w:r>
        <w:t>3. Be able to concentrate efforts to deal with a war that may break out at any time.</w:t>
      </w:r>
    </w:p>
    <w:p>
      <w:r>
        <w:t>From the above requirements, it can be seen that lifetime employment, an HR management system that can achieve the greatest degree of control over employees and maintain the stability of the production process to a large extent, became the first choice of the predecessor of CETC. However, different from Japan, China’s education system was fully financed by the government before the education reform in the end of 1980s.</w:t>
      </w:r>
      <w:r>
        <w:rPr>
          <w:rFonts w:hint="eastAsia"/>
        </w:rPr>
        <w:t xml:space="preserve"> </w:t>
      </w:r>
      <w:r>
        <w:t>(</w:t>
      </w:r>
      <w:r>
        <w:fldChar w:fldCharType="begin"/>
      </w:r>
      <w:r>
        <w:instrText xml:space="preserve"> HYPERLINK \l "hu5" </w:instrText>
      </w:r>
      <w:r>
        <w:fldChar w:fldCharType="separate"/>
      </w:r>
      <w:r>
        <w:rPr>
          <w:rStyle w:val="11"/>
        </w:rPr>
        <w:t>Hu, 1994</w:t>
      </w:r>
      <w:r>
        <w:rPr>
          <w:rStyle w:val="11"/>
        </w:rPr>
        <w:fldChar w:fldCharType="end"/>
      </w:r>
      <w:r>
        <w:t>) So that the employees of Honda choose to enter their career by themselves. While the employees of CETC at mean time are assigned to their job by the government. That caused a major difference between two lifetime employment system. As you can tell that the lifetime employment system in Japan provide more freedom to its employees to a degree that their initiative can be inspired. The lifetime employees in Japan are more enthusiastic about work. (</w:t>
      </w:r>
      <w:r>
        <w:fldChar w:fldCharType="begin"/>
      </w:r>
      <w:r>
        <w:instrText xml:space="preserve"> HYPERLINK \l "lin1" </w:instrText>
      </w:r>
      <w:r>
        <w:fldChar w:fldCharType="separate"/>
      </w:r>
      <w:r>
        <w:rPr>
          <w:rStyle w:val="11"/>
        </w:rPr>
        <w:t>Lin et al., 2020</w:t>
      </w:r>
      <w:r>
        <w:rPr>
          <w:rStyle w:val="11"/>
        </w:rPr>
        <w:fldChar w:fldCharType="end"/>
      </w:r>
      <w:r>
        <w:t>)</w:t>
      </w:r>
      <w:r>
        <w:rPr>
          <w:rFonts w:hint="eastAsia"/>
        </w:rPr>
        <w:t xml:space="preserve"> </w:t>
      </w:r>
      <w:r>
        <w:t>It can be seen from the above that the seniority-based system Honda and many other Japan companies used fit the idea of “Train people well enough so they can leave, treat them well enough so they don’t want to.” (</w:t>
      </w:r>
      <w:r>
        <w:fldChar w:fldCharType="begin"/>
      </w:r>
      <w:r>
        <w:instrText xml:space="preserve"> HYPERLINK \l "whit24" </w:instrText>
      </w:r>
      <w:r>
        <w:fldChar w:fldCharType="separate"/>
      </w:r>
      <w:r>
        <w:rPr>
          <w:rStyle w:val="11"/>
        </w:rPr>
        <w:t>Whitcroft, 2021</w:t>
      </w:r>
      <w:r>
        <w:rPr>
          <w:rStyle w:val="11"/>
        </w:rPr>
        <w:fldChar w:fldCharType="end"/>
      </w:r>
      <w:r>
        <w:t>)</w:t>
      </w:r>
      <w:r>
        <w:rPr>
          <w:rFonts w:hint="eastAsia"/>
        </w:rPr>
        <w:t xml:space="preserve"> </w:t>
      </w:r>
      <w:r>
        <w:t>However, China's lifetime employment system does not provide employees with enough freedom, so it is difficult for employees to feel that they are "treat well enough" when the input costs are similar.</w:t>
      </w:r>
    </w:p>
    <w:p>
      <w:r>
        <w:t>But considering that both are lifetime employment systems, companies tend to have a greater bargain power. And because employment contracts are longer, companies will be more cautious when hiring. This often results in companies being reluctant to hire people with whom they are unfamiliar or who possess controversial traits. For example, you can hardly see any immigration especially the race with a deeper color skin in both two kinds of companies. It is a result of the system. This may also be an important reason why Japan missed the Internet revolution.</w:t>
      </w:r>
    </w:p>
    <w:p>
      <w:pPr>
        <w:pStyle w:val="2"/>
        <w:numPr>
          <w:ilvl w:val="0"/>
          <w:numId w:val="0"/>
        </w:numPr>
        <w:spacing w:line="360" w:lineRule="auto"/>
        <w:rPr>
          <w:iCs/>
          <w:szCs w:val="24"/>
        </w:rPr>
      </w:pPr>
      <w:bookmarkStart w:id="7" w:name="_Toc7993"/>
      <w:r>
        <w:t>China SOE’s HR revolution</w:t>
      </w:r>
      <w:bookmarkEnd w:id="7"/>
    </w:p>
    <w:p>
      <w:r>
        <w:t>After China implemented the reform and opening up policy in the 1980s, CETC's HR system was also reformed</w:t>
      </w:r>
      <w:r>
        <w:rPr>
          <w:rFonts w:hint="eastAsia"/>
        </w:rPr>
        <w:t xml:space="preserve"> like many other SOEs in China</w:t>
      </w:r>
      <w:r>
        <w:t>. For graduates with outstanding performance who can be hired for life, priority will be given to employment contracts of 3 to 5 years. During this period, as long as you pass the KPI assessment, you can get a second, longer employment contract. If you can continue to pass the KPI assessment during the second contract, you will be employed for life. For graduates with poor performance or those applying for non-core positions such as security guards and cleaners, a labor dispatch employment model will be adopted. In this case, unless they have made very outstanding contributions, the dispatched employees will sign a labor contract with CETC every three years. It can be seen that this employment model not only ensures a high degree of stability in the core production and R&amp;D departments, but also ensures to a large extent that employees can freely plan their careers. (</w:t>
      </w:r>
      <w:r>
        <w:fldChar w:fldCharType="begin"/>
      </w:r>
      <w:r>
        <w:instrText xml:space="preserve"> HYPERLINK \l "naug16" </w:instrText>
      </w:r>
      <w:r>
        <w:fldChar w:fldCharType="separate"/>
      </w:r>
      <w:r>
        <w:rPr>
          <w:rStyle w:val="11"/>
        </w:rPr>
        <w:t>Naughton &amp; Tsai, 2015</w:t>
      </w:r>
      <w:r>
        <w:rPr>
          <w:rStyle w:val="11"/>
        </w:rPr>
        <w:fldChar w:fldCharType="end"/>
      </w:r>
      <w:r>
        <w:t>)</w:t>
      </w:r>
      <w:r>
        <w:rPr>
          <w:rFonts w:hint="eastAsia"/>
        </w:rPr>
        <w:t xml:space="preserve"> </w:t>
      </w:r>
    </w:p>
    <w:p/>
    <w:p>
      <w:pPr>
        <w:pStyle w:val="2"/>
        <w:numPr>
          <w:ilvl w:val="0"/>
          <w:numId w:val="0"/>
        </w:numPr>
        <w:spacing w:line="360" w:lineRule="auto"/>
      </w:pPr>
      <w:bookmarkStart w:id="8" w:name="_Toc5359"/>
      <w:r>
        <w:rPr>
          <w:rFonts w:hint="eastAsia"/>
        </w:rPr>
        <w:t>Problems that Honda encounter due to its HR system</w:t>
      </w:r>
      <w:bookmarkEnd w:id="8"/>
    </w:p>
    <w:p>
      <w:r>
        <w:t>As can be seen from the above, the operation of Honda's HR system is highly dependent on Japan's unique cultural and social background. However, with the deepening of globalization, Honda's production department has also had to start building factories overseas in pursuit of cheaper production factors. (</w:t>
      </w:r>
      <w:r>
        <w:fldChar w:fldCharType="begin"/>
      </w:r>
      <w:r>
        <w:instrText xml:space="preserve"> HYPERLINK \l "sin9" </w:instrText>
      </w:r>
      <w:r>
        <w:fldChar w:fldCharType="separate"/>
      </w:r>
      <w:r>
        <w:rPr>
          <w:rStyle w:val="11"/>
        </w:rPr>
        <w:t>Singh &amp; Srivastava, 2019</w:t>
      </w:r>
      <w:r>
        <w:rPr>
          <w:rStyle w:val="11"/>
        </w:rPr>
        <w:fldChar w:fldCharType="end"/>
      </w:r>
      <w:r>
        <w:t>) This means that if Honda's HR system cannot adapt to local conditions, it will cause serious problems. Its recent labor disputes in India are a manifestation of this problem. (</w:t>
      </w:r>
      <w:r>
        <w:fldChar w:fldCharType="begin"/>
      </w:r>
      <w:r>
        <w:instrText xml:space="preserve"> HYPERLINK \l "nit8" </w:instrText>
      </w:r>
      <w:r>
        <w:fldChar w:fldCharType="separate"/>
      </w:r>
      <w:r>
        <w:rPr>
          <w:rStyle w:val="11"/>
        </w:rPr>
        <w:t>Nitin et al., 2023</w:t>
      </w:r>
      <w:r>
        <w:rPr>
          <w:rStyle w:val="11"/>
        </w:rPr>
        <w:fldChar w:fldCharType="end"/>
      </w:r>
      <w:r>
        <w:t>) Because the seniroity-based system adopted by Honda is not in line with India’s employment tradition, and Honda has not formed an effective cooperative relationship with India’s labor unions. (</w:t>
      </w:r>
      <w:r>
        <w:fldChar w:fldCharType="begin"/>
      </w:r>
      <w:r>
        <w:instrText xml:space="preserve"> HYPERLINK \l "kri12" </w:instrText>
      </w:r>
      <w:r>
        <w:fldChar w:fldCharType="separate"/>
      </w:r>
      <w:r>
        <w:rPr>
          <w:rStyle w:val="11"/>
        </w:rPr>
        <w:t>Krishnan, 2020</w:t>
      </w:r>
      <w:r>
        <w:rPr>
          <w:rStyle w:val="11"/>
        </w:rPr>
        <w:fldChar w:fldCharType="end"/>
      </w:r>
      <w:r>
        <w:t xml:space="preserve">) As a result, its Indian workers were </w:t>
      </w:r>
      <w:r>
        <w:rPr>
          <w:rFonts w:hint="eastAsia"/>
        </w:rPr>
        <w:t>p</w:t>
      </w:r>
      <w:r>
        <w:t>rompted by a prolonged strike. (</w:t>
      </w:r>
      <w:r>
        <w:fldChar w:fldCharType="begin"/>
      </w:r>
      <w:r>
        <w:instrText xml:space="preserve"> HYPERLINK \l "ray6" </w:instrText>
      </w:r>
      <w:r>
        <w:fldChar w:fldCharType="separate"/>
      </w:r>
      <w:r>
        <w:rPr>
          <w:rStyle w:val="11"/>
        </w:rPr>
        <w:t>Rayat Bahra University &amp; Mohali, 2021</w:t>
      </w:r>
      <w:r>
        <w:rPr>
          <w:rStyle w:val="11"/>
        </w:rPr>
        <w:fldChar w:fldCharType="end"/>
      </w:r>
      <w:r>
        <w:t>)This kind of problem could have been avoided by introducing an HR system that adapts to foreign cultural and social backgrounds. (</w:t>
      </w:r>
      <w:r>
        <w:fldChar w:fldCharType="begin"/>
      </w:r>
      <w:r>
        <w:instrText xml:space="preserve"> HYPERLINK \l "sub13" </w:instrText>
      </w:r>
      <w:r>
        <w:fldChar w:fldCharType="separate"/>
      </w:r>
      <w:r>
        <w:rPr>
          <w:rStyle w:val="11"/>
        </w:rPr>
        <w:t>Subramanian et al., 2020</w:t>
      </w:r>
      <w:r>
        <w:rPr>
          <w:rStyle w:val="11"/>
        </w:rPr>
        <w:fldChar w:fldCharType="end"/>
      </w:r>
      <w:r>
        <w:t>) Specific to the case of India, this can be accomplished by “creating components for tending to laborer issues, like complaints and amassed complaints of representatives (</w:t>
      </w:r>
      <w:r>
        <w:fldChar w:fldCharType="begin"/>
      </w:r>
      <w:r>
        <w:instrText xml:space="preserve">HYPERLINK  \l "haral7"</w:instrText>
      </w:r>
      <w:r>
        <w:fldChar w:fldCharType="separate"/>
      </w:r>
      <w:r>
        <w:rPr>
          <w:rStyle w:val="11"/>
        </w:rPr>
        <w:t>Haralayya, 2022</w:t>
      </w:r>
      <w:r>
        <w:fldChar w:fldCharType="end"/>
      </w:r>
      <w:r>
        <w:t>)” or establishing smooth communication between management and production levels. Information exchange channels to solve. (</w:t>
      </w:r>
      <w:r>
        <w:fldChar w:fldCharType="begin"/>
      </w:r>
      <w:r>
        <w:instrText xml:space="preserve"> HYPERLINK \l "us10" </w:instrText>
      </w:r>
      <w:r>
        <w:fldChar w:fldCharType="separate"/>
      </w:r>
      <w:r>
        <w:rPr>
          <w:rStyle w:val="11"/>
        </w:rPr>
        <w:t>Us, 2021</w:t>
      </w:r>
      <w:r>
        <w:rPr>
          <w:rStyle w:val="11"/>
        </w:rPr>
        <w:fldChar w:fldCharType="end"/>
      </w:r>
      <w:r>
        <w:t>) (</w:t>
      </w:r>
      <w:r>
        <w:fldChar w:fldCharType="begin"/>
      </w:r>
      <w:r>
        <w:instrText xml:space="preserve">HYPERLINK  \l "nik11"</w:instrText>
      </w:r>
      <w:r>
        <w:fldChar w:fldCharType="separate"/>
      </w:r>
      <w:r>
        <w:rPr>
          <w:rStyle w:val="11"/>
        </w:rPr>
        <w:t>Nikmah et al., 2022</w:t>
      </w:r>
      <w:r>
        <w:fldChar w:fldCharType="end"/>
      </w:r>
      <w:r>
        <w:t>)</w:t>
      </w:r>
      <w:r>
        <w:rPr>
          <w:rFonts w:hint="eastAsia"/>
        </w:rPr>
        <w:t xml:space="preserve"> CETC has avoided similar problems when handling overseas business due to its dual-standard employment system. The labor dispatch system it adopts for non-core employees is basically the same as the internationally accepted employment system. This makes except for a few managers, almost all employees in its overseas projects are labor dispatch employees, and even many employees and managers dispatched from its China headquarters are also dispatched.</w:t>
      </w:r>
    </w:p>
    <w:p/>
    <w:p>
      <w:pPr>
        <w:pStyle w:val="2"/>
        <w:numPr>
          <w:ilvl w:val="0"/>
          <w:numId w:val="0"/>
        </w:numPr>
        <w:spacing w:line="360" w:lineRule="auto"/>
      </w:pPr>
      <w:bookmarkStart w:id="9" w:name="_Toc32027"/>
      <w:r>
        <w:rPr>
          <w:rFonts w:hint="eastAsia"/>
        </w:rPr>
        <w:t>Problems that CETC encounter due to its HR system</w:t>
      </w:r>
      <w:bookmarkEnd w:id="9"/>
    </w:p>
    <w:p>
      <w:r>
        <w:rPr>
          <w:rFonts w:hint="eastAsia"/>
        </w:rPr>
        <w:t>Being single does not mean that CETC's HR system is perfect. At least in my opinion, its HR system still has the following two flaws. First of all, whether an employee can be hired for life still largely depends on his academic qualifications and school performance. This leaves graduates who are good at problem-solving but poor at exams facing huge inequities throughout the system. Secondly, its practice of only providing labor dispatch contracts to foreign employees also has huge hidden dangers. Currently, CETC's overseas projects are limited to providing products and project construction to foreign customers. This leaves its overseas employees largely relegated to short-term contracts in the home country's labor market as construction workers, security guards, support staff and translators. But in the future CETC may also need to establish overseas production and R&amp;D centers. Then this obviously discriminatory policy will inevitably cause serious labor conflicts like Honda. However, as an SOE, CETC cannot provide a large number of lifetime employment contracts to foreign employees.</w:t>
      </w:r>
    </w:p>
    <w:p/>
    <w:p>
      <w:pPr>
        <w:pStyle w:val="2"/>
        <w:numPr>
          <w:ilvl w:val="0"/>
          <w:numId w:val="0"/>
        </w:numPr>
        <w:spacing w:line="360" w:lineRule="auto"/>
      </w:pPr>
      <w:bookmarkStart w:id="10" w:name="_Toc16410"/>
      <w:r>
        <w:rPr>
          <w:rFonts w:hint="eastAsia"/>
        </w:rPr>
        <w:t xml:space="preserve">Conclusion &amp; </w:t>
      </w:r>
      <w:r>
        <w:t>Recommendations</w:t>
      </w:r>
      <w:bookmarkEnd w:id="10"/>
    </w:p>
    <w:p>
      <w:r>
        <w:t>The suggestion for Honda is to follow the human resources system reform adopted by China's SOE in the 1980s and 1990s. Reduce the proportion of tenured employees on the workforce to increase labor turnover and employee motivation. China's proposal is completely different. In addition to the restrictions on the proportion of dispatched employees, the opportunities for dispatched employees to be converted into lifelong employees should also be increased. In addition, if possible, labor dispatch contracts should be given to all fresh graduates equally when recruiting them. After several years of assessment, a decision will be made based on the assessment results whether to provide a lifetime employment contract. On the other hand, HR managers should also be given certain discretion. To ensure that the concept of collectivism goes too far and infringes on the autonomy of employees. Such changes should avoid conflicts between different types of employees. After all, if the proportion of dispatched employees is too high, tenured employees may look down on dispatched employees. And because companies do not trust dispatched employees, they are unlikely to allow dispatched employees to participate in core tasks. This limits the use of human resources. As for CETC's future HR system overseas, I think we can establish a wholly-owned subsidiary for overseas business and adopt a comprehensive contract employment system in the subsidiary. For employees with lifetime employment who are dispatched to manage subsidiaries, they can retain their employment relationship with the CETC parent company and use their positions in the subsidiaries as part-time jobs. This ensures that these individuals will not lose their lifetime employment contracts and that all employees of the subsidiary will be non-tenure-time employed.</w:t>
      </w:r>
    </w:p>
    <w:p>
      <w:pPr>
        <w:pStyle w:val="2"/>
        <w:numPr>
          <w:ilvl w:val="0"/>
          <w:numId w:val="0"/>
        </w:numPr>
        <w:spacing w:line="360" w:lineRule="auto"/>
      </w:pPr>
      <w:bookmarkStart w:id="11" w:name="_Toc15940"/>
      <w:r>
        <w:t>Reference</w:t>
      </w:r>
      <w:bookmarkEnd w:id="11"/>
    </w:p>
    <w:p>
      <w:pPr>
        <w:widowControl/>
        <w:spacing w:line="360" w:lineRule="auto"/>
        <w:ind w:left="360" w:hanging="360" w:hangingChars="150"/>
        <w:jc w:val="left"/>
        <w:rPr>
          <w:rFonts w:eastAsiaTheme="minorEastAsia"/>
          <w:kern w:val="0"/>
          <w:szCs w:val="24"/>
        </w:rPr>
      </w:pPr>
      <w:bookmarkStart w:id="12" w:name="car15"/>
      <w:r>
        <w:rPr>
          <w:rFonts w:eastAsia="Times New Roman"/>
          <w:kern w:val="0"/>
          <w:szCs w:val="24"/>
          <w:lang w:eastAsia="en-GB"/>
        </w:rPr>
        <w:t xml:space="preserve">Carney, R. W. (2019). China’s State Enterprises: Changing role in a rapidly transforming economy. </w:t>
      </w:r>
      <w:r>
        <w:rPr>
          <w:rFonts w:eastAsia="Times New Roman"/>
          <w:i/>
          <w:iCs/>
          <w:kern w:val="0"/>
          <w:szCs w:val="24"/>
          <w:lang w:eastAsia="en-GB"/>
        </w:rPr>
        <w:t>Journal of Contemporary Asia</w:t>
      </w:r>
      <w:r>
        <w:rPr>
          <w:rFonts w:eastAsia="Times New Roman"/>
          <w:kern w:val="0"/>
          <w:szCs w:val="24"/>
          <w:lang w:eastAsia="en-GB"/>
        </w:rPr>
        <w:t xml:space="preserve">, </w:t>
      </w:r>
      <w:r>
        <w:rPr>
          <w:rFonts w:eastAsia="Times New Roman"/>
          <w:i/>
          <w:iCs/>
          <w:kern w:val="0"/>
          <w:szCs w:val="24"/>
          <w:lang w:eastAsia="en-GB"/>
        </w:rPr>
        <w:t>50</w:t>
      </w:r>
      <w:r>
        <w:rPr>
          <w:rFonts w:eastAsia="Times New Roman"/>
          <w:kern w:val="0"/>
          <w:szCs w:val="24"/>
          <w:lang w:eastAsia="en-GB"/>
        </w:rPr>
        <w:t xml:space="preserve">(3), 484–487. </w:t>
      </w:r>
      <w:r>
        <w:fldChar w:fldCharType="begin"/>
      </w:r>
      <w:r>
        <w:instrText xml:space="preserve"> HYPERLINK "https://doi.org/10.1080/00472336.2019.1622146" </w:instrText>
      </w:r>
      <w:r>
        <w:fldChar w:fldCharType="separate"/>
      </w:r>
      <w:r>
        <w:rPr>
          <w:rStyle w:val="11"/>
          <w:rFonts w:eastAsia="Times New Roman"/>
          <w:kern w:val="0"/>
          <w:szCs w:val="24"/>
          <w:lang w:eastAsia="en-GB"/>
        </w:rPr>
        <w:t>https://doi.org/10.1080/00472336.2019.1622146</w:t>
      </w:r>
      <w:r>
        <w:rPr>
          <w:rStyle w:val="11"/>
          <w:rFonts w:eastAsia="Times New Roman"/>
          <w:kern w:val="0"/>
          <w:szCs w:val="24"/>
          <w:lang w:eastAsia="en-GB"/>
        </w:rPr>
        <w:fldChar w:fldCharType="end"/>
      </w:r>
    </w:p>
    <w:bookmarkEnd w:id="12"/>
    <w:p>
      <w:pPr>
        <w:widowControl/>
        <w:spacing w:line="360" w:lineRule="auto"/>
        <w:ind w:left="360" w:hanging="360" w:hangingChars="150"/>
        <w:jc w:val="left"/>
        <w:rPr>
          <w:rFonts w:eastAsiaTheme="minorEastAsia"/>
          <w:kern w:val="0"/>
          <w:szCs w:val="24"/>
        </w:rPr>
      </w:pPr>
      <w:bookmarkStart w:id="13" w:name="china17"/>
      <w:r>
        <w:rPr>
          <w:rFonts w:eastAsia="Times New Roman"/>
          <w:i/>
          <w:iCs/>
          <w:kern w:val="0"/>
          <w:szCs w:val="24"/>
          <w:lang w:eastAsia="en-GB"/>
        </w:rPr>
        <w:t>China: adult literacy | Statista</w:t>
      </w:r>
      <w:r>
        <w:rPr>
          <w:rFonts w:eastAsia="Times New Roman"/>
          <w:kern w:val="0"/>
          <w:szCs w:val="24"/>
          <w:lang w:eastAsia="en-GB"/>
        </w:rPr>
        <w:t xml:space="preserve">. (2023, June 19). Statista. </w:t>
      </w:r>
      <w:r>
        <w:fldChar w:fldCharType="begin"/>
      </w:r>
      <w:r>
        <w:instrText xml:space="preserve"> HYPERLINK "https://www.statista.com/statistics/271336/literacy-in-china/" </w:instrText>
      </w:r>
      <w:r>
        <w:fldChar w:fldCharType="separate"/>
      </w:r>
      <w:r>
        <w:rPr>
          <w:rStyle w:val="11"/>
          <w:rFonts w:eastAsia="Times New Roman"/>
          <w:kern w:val="0"/>
          <w:szCs w:val="24"/>
          <w:lang w:eastAsia="en-GB"/>
        </w:rPr>
        <w:t>https://www.statista.com/statistics/271336/literacy-in-china/</w:t>
      </w:r>
      <w:r>
        <w:rPr>
          <w:rStyle w:val="11"/>
          <w:rFonts w:eastAsia="Times New Roman"/>
          <w:kern w:val="0"/>
          <w:szCs w:val="24"/>
          <w:lang w:eastAsia="en-GB"/>
        </w:rPr>
        <w:fldChar w:fldCharType="end"/>
      </w:r>
    </w:p>
    <w:bookmarkEnd w:id="13"/>
    <w:p>
      <w:pPr>
        <w:widowControl/>
        <w:spacing w:line="360" w:lineRule="auto"/>
        <w:ind w:left="360" w:hanging="360" w:hangingChars="150"/>
        <w:jc w:val="left"/>
        <w:rPr>
          <w:rFonts w:eastAsiaTheme="minorEastAsia"/>
          <w:kern w:val="0"/>
          <w:szCs w:val="24"/>
        </w:rPr>
      </w:pPr>
      <w:bookmarkStart w:id="14" w:name="hara4"/>
      <w:r>
        <w:rPr>
          <w:rFonts w:eastAsia="Times New Roman"/>
          <w:kern w:val="0"/>
          <w:szCs w:val="24"/>
          <w:lang w:eastAsia="en-GB"/>
        </w:rPr>
        <w:t xml:space="preserve">Harada, Y. (2001). </w:t>
      </w:r>
      <w:r>
        <w:rPr>
          <w:rFonts w:hint="eastAsia" w:ascii="SimSun" w:hAnsi="SimSun" w:cs="SimSun"/>
          <w:i/>
          <w:iCs/>
          <w:kern w:val="0"/>
          <w:szCs w:val="24"/>
          <w:lang w:eastAsia="en-GB"/>
        </w:rPr>
        <w:t>人口減少の経済学</w:t>
      </w:r>
      <w:r>
        <w:rPr>
          <w:rFonts w:eastAsia="Times New Roman"/>
          <w:i/>
          <w:iCs/>
          <w:kern w:val="0"/>
          <w:szCs w:val="24"/>
          <w:lang w:eastAsia="en-GB"/>
        </w:rPr>
        <w:t xml:space="preserve">: </w:t>
      </w:r>
      <w:r>
        <w:rPr>
          <w:rFonts w:hint="eastAsia" w:ascii="SimSun" w:hAnsi="SimSun" w:cs="SimSun"/>
          <w:i/>
          <w:iCs/>
          <w:kern w:val="0"/>
          <w:szCs w:val="24"/>
          <w:lang w:eastAsia="en-GB"/>
        </w:rPr>
        <w:t>少子高齢化がニッポンを救う</w:t>
      </w:r>
      <w:r>
        <w:rPr>
          <w:rFonts w:eastAsia="Times New Roman"/>
          <w:i/>
          <w:iCs/>
          <w:kern w:val="0"/>
          <w:szCs w:val="24"/>
          <w:lang w:eastAsia="en-GB"/>
        </w:rPr>
        <w:t>!</w:t>
      </w:r>
      <w:r>
        <w:rPr>
          <w:rFonts w:eastAsia="Times New Roman"/>
          <w:kern w:val="0"/>
          <w:szCs w:val="24"/>
          <w:lang w:eastAsia="en-GB"/>
        </w:rPr>
        <w:t xml:space="preserve"> PHP</w:t>
      </w:r>
      <w:r>
        <w:rPr>
          <w:rFonts w:hint="eastAsia" w:ascii="SimSun" w:hAnsi="SimSun" w:cs="SimSun"/>
          <w:kern w:val="0"/>
          <w:szCs w:val="24"/>
          <w:lang w:eastAsia="en-GB"/>
        </w:rPr>
        <w:t>研究所</w:t>
      </w:r>
      <w:r>
        <w:rPr>
          <w:rFonts w:eastAsia="Times New Roman"/>
          <w:kern w:val="0"/>
          <w:szCs w:val="24"/>
          <w:lang w:eastAsia="en-GB"/>
        </w:rPr>
        <w:t>.</w:t>
      </w:r>
    </w:p>
    <w:bookmarkEnd w:id="14"/>
    <w:p>
      <w:pPr>
        <w:widowControl/>
        <w:spacing w:line="360" w:lineRule="auto"/>
        <w:ind w:left="360" w:hanging="360" w:hangingChars="150"/>
        <w:jc w:val="left"/>
        <w:rPr>
          <w:rFonts w:eastAsiaTheme="minorEastAsia"/>
          <w:kern w:val="0"/>
          <w:szCs w:val="24"/>
        </w:rPr>
      </w:pPr>
      <w:bookmarkStart w:id="15" w:name="haral7"/>
      <w:r>
        <w:rPr>
          <w:rFonts w:eastAsia="Times New Roman"/>
          <w:kern w:val="0"/>
          <w:szCs w:val="24"/>
          <w:lang w:eastAsia="en-GB"/>
        </w:rPr>
        <w:t xml:space="preserve">Haralayya, B. (2022). Consumer buying behavior at Kailash Motors Bidar BHADRAPPA HARALAYYA. </w:t>
      </w:r>
      <w:r>
        <w:rPr>
          <w:rFonts w:eastAsia="Times New Roman"/>
          <w:i/>
          <w:iCs/>
          <w:kern w:val="0"/>
          <w:szCs w:val="24"/>
          <w:lang w:eastAsia="en-GB"/>
        </w:rPr>
        <w:t>ResearchGate</w:t>
      </w:r>
      <w:r>
        <w:rPr>
          <w:rFonts w:eastAsia="Times New Roman"/>
          <w:kern w:val="0"/>
          <w:szCs w:val="24"/>
          <w:lang w:eastAsia="en-GB"/>
        </w:rPr>
        <w:t xml:space="preserve">, </w:t>
      </w:r>
      <w:r>
        <w:rPr>
          <w:rFonts w:eastAsia="Times New Roman"/>
          <w:i/>
          <w:iCs/>
          <w:kern w:val="0"/>
          <w:szCs w:val="24"/>
          <w:lang w:eastAsia="en-GB"/>
        </w:rPr>
        <w:t>5(9), 128-137.</w:t>
      </w:r>
      <w:r>
        <w:rPr>
          <w:rFonts w:eastAsia="Times New Roman"/>
          <w:kern w:val="0"/>
          <w:szCs w:val="24"/>
          <w:lang w:eastAsia="en-GB"/>
        </w:rPr>
        <w:t xml:space="preserve"> </w:t>
      </w:r>
      <w:bookmarkEnd w:id="15"/>
      <w:r>
        <w:rPr>
          <w:rFonts w:eastAsia="Times New Roman"/>
          <w:kern w:val="0"/>
          <w:szCs w:val="24"/>
          <w:lang w:eastAsia="en-GB"/>
        </w:rPr>
        <w:fldChar w:fldCharType="begin"/>
      </w:r>
      <w:r>
        <w:rPr>
          <w:rFonts w:eastAsia="Times New Roman"/>
          <w:kern w:val="0"/>
          <w:szCs w:val="24"/>
          <w:lang w:eastAsia="en-GB"/>
        </w:rPr>
        <w:instrText xml:space="preserve">HYPERLINK "https://www.researchgate.net/publication/359187122_Consumer_Buying_Behavior_at_Kailash_Motors_Bidar_BHADRAPPA_HARALAYYA"</w:instrText>
      </w:r>
      <w:r>
        <w:rPr>
          <w:rFonts w:eastAsia="Times New Roman"/>
          <w:kern w:val="0"/>
          <w:szCs w:val="24"/>
          <w:lang w:eastAsia="en-GB"/>
        </w:rPr>
        <w:fldChar w:fldCharType="separate"/>
      </w:r>
      <w:r>
        <w:rPr>
          <w:rStyle w:val="11"/>
          <w:rFonts w:eastAsia="Times New Roman"/>
          <w:kern w:val="0"/>
          <w:szCs w:val="24"/>
          <w:lang w:eastAsia="en-GB"/>
        </w:rPr>
        <w:t>https://www.researchgate.net/publication/359187122_</w:t>
      </w:r>
      <w:bookmarkStart w:id="16" w:name="_Hlk163591093"/>
      <w:r>
        <w:rPr>
          <w:rStyle w:val="11"/>
          <w:rFonts w:eastAsia="Times New Roman"/>
          <w:kern w:val="0"/>
          <w:szCs w:val="24"/>
          <w:lang w:eastAsia="en-GB"/>
        </w:rPr>
        <w:t>Consumer_Buying_Behavio</w:t>
      </w:r>
      <w:bookmarkEnd w:id="16"/>
      <w:r>
        <w:rPr>
          <w:rStyle w:val="11"/>
          <w:rFonts w:eastAsia="Times New Roman"/>
          <w:kern w:val="0"/>
          <w:szCs w:val="24"/>
          <w:lang w:eastAsia="en-GB"/>
        </w:rPr>
        <w:t>r_at_Kailash_Motors_Bidar_BHADRAPPA_HARALAYYA</w:t>
      </w:r>
      <w:r>
        <w:rPr>
          <w:rFonts w:eastAsia="Times New Roman"/>
          <w:kern w:val="0"/>
          <w:szCs w:val="24"/>
          <w:lang w:eastAsia="en-GB"/>
        </w:rPr>
        <w:fldChar w:fldCharType="end"/>
      </w:r>
    </w:p>
    <w:p>
      <w:pPr>
        <w:widowControl/>
        <w:spacing w:line="360" w:lineRule="auto"/>
        <w:ind w:left="360" w:hanging="360" w:hangingChars="150"/>
        <w:jc w:val="left"/>
        <w:rPr>
          <w:rFonts w:eastAsiaTheme="minorEastAsia"/>
          <w:kern w:val="0"/>
          <w:szCs w:val="24"/>
        </w:rPr>
      </w:pPr>
      <w:bookmarkStart w:id="17" w:name="hond22"/>
      <w:r>
        <w:rPr>
          <w:rFonts w:eastAsiaTheme="minorEastAsia"/>
          <w:kern w:val="0"/>
          <w:szCs w:val="24"/>
        </w:rPr>
        <w:t xml:space="preserve">Honda Motor Co., Ltd., 2023. FY2023 Q4 Financial Presentation. Honda. </w:t>
      </w:r>
      <w:r>
        <w:fldChar w:fldCharType="begin"/>
      </w:r>
      <w:r>
        <w:instrText xml:space="preserve"> HYPERLINK "https://global.honda/content/dam/site/global-en/investors/cq_img/library/financialresult/FY202303_4Q_financial_presentation_e_2.pdf" </w:instrText>
      </w:r>
      <w:r>
        <w:fldChar w:fldCharType="separate"/>
      </w:r>
      <w:r>
        <w:rPr>
          <w:rStyle w:val="11"/>
          <w:rFonts w:eastAsiaTheme="minorEastAsia"/>
          <w:kern w:val="0"/>
          <w:szCs w:val="24"/>
        </w:rPr>
        <w:t>https://global.honda/content/dam/site/global-en/investors/cq_img/library/financialresult/FY202303_4Q_financial_presentation_e_2.pdf</w:t>
      </w:r>
      <w:r>
        <w:rPr>
          <w:rStyle w:val="11"/>
          <w:rFonts w:eastAsiaTheme="minorEastAsia"/>
          <w:kern w:val="0"/>
          <w:szCs w:val="24"/>
        </w:rPr>
        <w:fldChar w:fldCharType="end"/>
      </w:r>
    </w:p>
    <w:bookmarkEnd w:id="17"/>
    <w:p>
      <w:pPr>
        <w:widowControl/>
        <w:spacing w:line="360" w:lineRule="auto"/>
        <w:ind w:left="360" w:hanging="360" w:hangingChars="150"/>
        <w:jc w:val="left"/>
        <w:rPr>
          <w:rFonts w:eastAsiaTheme="minorEastAsia"/>
          <w:kern w:val="0"/>
          <w:szCs w:val="24"/>
        </w:rPr>
      </w:pPr>
      <w:bookmarkStart w:id="18" w:name="hu5"/>
      <w:r>
        <w:rPr>
          <w:rFonts w:eastAsia="Times New Roman"/>
          <w:kern w:val="0"/>
          <w:szCs w:val="24"/>
          <w:lang w:eastAsia="en-GB"/>
        </w:rPr>
        <w:t xml:space="preserve">Hu, Z. (1994). Social protection, labor market rigidity, and enterprise restructuring in China. </w:t>
      </w:r>
      <w:r>
        <w:rPr>
          <w:rFonts w:eastAsia="Times New Roman"/>
          <w:i/>
          <w:iCs/>
          <w:kern w:val="0"/>
          <w:szCs w:val="24"/>
          <w:lang w:eastAsia="en-GB"/>
        </w:rPr>
        <w:t>IMF Policy Discussion Paper</w:t>
      </w:r>
      <w:r>
        <w:rPr>
          <w:rFonts w:eastAsia="Times New Roman"/>
          <w:kern w:val="0"/>
          <w:szCs w:val="24"/>
          <w:lang w:eastAsia="en-GB"/>
        </w:rPr>
        <w:t xml:space="preserve">, </w:t>
      </w:r>
      <w:r>
        <w:rPr>
          <w:rFonts w:eastAsia="Times New Roman"/>
          <w:i/>
          <w:iCs/>
          <w:kern w:val="0"/>
          <w:szCs w:val="24"/>
          <w:lang w:eastAsia="en-GB"/>
        </w:rPr>
        <w:t>1994</w:t>
      </w:r>
      <w:r>
        <w:rPr>
          <w:rFonts w:eastAsia="Times New Roman"/>
          <w:kern w:val="0"/>
          <w:szCs w:val="24"/>
          <w:lang w:eastAsia="en-GB"/>
        </w:rPr>
        <w:t xml:space="preserve">(022), 1. </w:t>
      </w:r>
      <w:r>
        <w:fldChar w:fldCharType="begin"/>
      </w:r>
      <w:r>
        <w:instrText xml:space="preserve"> HYPERLINK "https://doi.org/10.5089/9781451962628.003" </w:instrText>
      </w:r>
      <w:r>
        <w:fldChar w:fldCharType="separate"/>
      </w:r>
      <w:r>
        <w:rPr>
          <w:rStyle w:val="11"/>
          <w:rFonts w:eastAsia="Times New Roman"/>
          <w:kern w:val="0"/>
          <w:szCs w:val="24"/>
          <w:lang w:eastAsia="en-GB"/>
        </w:rPr>
        <w:t>https://doi.org/10.5089/9781451962628.003</w:t>
      </w:r>
      <w:r>
        <w:rPr>
          <w:rStyle w:val="11"/>
          <w:rFonts w:eastAsia="Times New Roman"/>
          <w:kern w:val="0"/>
          <w:szCs w:val="24"/>
          <w:lang w:eastAsia="en-GB"/>
        </w:rPr>
        <w:fldChar w:fldCharType="end"/>
      </w:r>
    </w:p>
    <w:bookmarkEnd w:id="18"/>
    <w:p>
      <w:pPr>
        <w:widowControl/>
        <w:spacing w:line="360" w:lineRule="auto"/>
        <w:ind w:left="360" w:hanging="360" w:hangingChars="150"/>
        <w:jc w:val="left"/>
        <w:rPr>
          <w:rFonts w:eastAsiaTheme="minorEastAsia"/>
          <w:kern w:val="0"/>
          <w:szCs w:val="24"/>
        </w:rPr>
      </w:pPr>
      <w:bookmarkStart w:id="19" w:name="kri12"/>
      <w:r>
        <w:rPr>
          <w:rFonts w:eastAsia="Times New Roman"/>
          <w:kern w:val="0"/>
          <w:szCs w:val="24"/>
          <w:lang w:eastAsia="en-GB"/>
        </w:rPr>
        <w:t xml:space="preserve">Krishnan, R. T. (2020, August 13). Indian Motorcycle industry: a role model for Atmanirbhar Bharat? </w:t>
      </w:r>
      <w:r>
        <w:rPr>
          <w:rFonts w:eastAsia="Times New Roman"/>
          <w:i/>
          <w:iCs/>
          <w:kern w:val="0"/>
          <w:szCs w:val="24"/>
          <w:lang w:eastAsia="en-GB"/>
        </w:rPr>
        <w:t>Founding Fuel</w:t>
      </w:r>
      <w:r>
        <w:rPr>
          <w:rFonts w:eastAsia="Times New Roman"/>
          <w:kern w:val="0"/>
          <w:szCs w:val="24"/>
          <w:lang w:eastAsia="en-GB"/>
        </w:rPr>
        <w:t xml:space="preserve">. </w:t>
      </w:r>
      <w:r>
        <w:fldChar w:fldCharType="begin"/>
      </w:r>
      <w:r>
        <w:instrText xml:space="preserve"> HYPERLINK "https://www.foundingfuel.com/article/indian-motorcycle-industry-a-role-model-for-atmanirbhar-bharat/" </w:instrText>
      </w:r>
      <w:r>
        <w:fldChar w:fldCharType="separate"/>
      </w:r>
      <w:r>
        <w:rPr>
          <w:rStyle w:val="11"/>
          <w:rFonts w:eastAsia="Times New Roman"/>
          <w:kern w:val="0"/>
          <w:szCs w:val="24"/>
          <w:lang w:eastAsia="en-GB"/>
        </w:rPr>
        <w:t>https://www.foundingfuel.com/article/indian-motorcycle-industry-a-role-model-for-atmanirbhar-bharat/</w:t>
      </w:r>
      <w:r>
        <w:rPr>
          <w:rStyle w:val="11"/>
          <w:rFonts w:eastAsia="Times New Roman"/>
          <w:kern w:val="0"/>
          <w:szCs w:val="24"/>
          <w:lang w:eastAsia="en-GB"/>
        </w:rPr>
        <w:fldChar w:fldCharType="end"/>
      </w:r>
    </w:p>
    <w:bookmarkEnd w:id="19"/>
    <w:p>
      <w:pPr>
        <w:widowControl/>
        <w:spacing w:line="360" w:lineRule="auto"/>
        <w:ind w:left="360" w:hanging="360" w:hangingChars="150"/>
        <w:jc w:val="left"/>
        <w:rPr>
          <w:rFonts w:eastAsiaTheme="minorEastAsia"/>
          <w:kern w:val="0"/>
          <w:szCs w:val="24"/>
        </w:rPr>
      </w:pPr>
      <w:bookmarkStart w:id="20" w:name="lin1and20"/>
      <w:bookmarkStart w:id="21" w:name="lin1"/>
      <w:r>
        <w:rPr>
          <w:rFonts w:eastAsia="Times New Roman"/>
          <w:kern w:val="0"/>
          <w:szCs w:val="24"/>
          <w:lang w:eastAsia="en-GB"/>
        </w:rPr>
        <w:t xml:space="preserve">Lin, K. J., Lu, X., Zhang, J., &amp; Zheng, Y. (2020). State-owned enterprises in China: A review of 40 years of research and practice. </w:t>
      </w:r>
      <w:r>
        <w:rPr>
          <w:rFonts w:eastAsia="Times New Roman"/>
          <w:i/>
          <w:iCs/>
          <w:kern w:val="0"/>
          <w:szCs w:val="24"/>
          <w:lang w:eastAsia="en-GB"/>
        </w:rPr>
        <w:t>China Journal of Accounting Research</w:t>
      </w:r>
      <w:r>
        <w:rPr>
          <w:rFonts w:eastAsia="Times New Roman"/>
          <w:kern w:val="0"/>
          <w:szCs w:val="24"/>
          <w:lang w:eastAsia="en-GB"/>
        </w:rPr>
        <w:t xml:space="preserve">, </w:t>
      </w:r>
      <w:r>
        <w:rPr>
          <w:rFonts w:eastAsia="Times New Roman"/>
          <w:i/>
          <w:iCs/>
          <w:kern w:val="0"/>
          <w:szCs w:val="24"/>
          <w:lang w:eastAsia="en-GB"/>
        </w:rPr>
        <w:t>13</w:t>
      </w:r>
      <w:r>
        <w:rPr>
          <w:rFonts w:eastAsia="Times New Roman"/>
          <w:kern w:val="0"/>
          <w:szCs w:val="24"/>
          <w:lang w:eastAsia="en-GB"/>
        </w:rPr>
        <w:t xml:space="preserve">(1), 31–55. </w:t>
      </w:r>
      <w:r>
        <w:fldChar w:fldCharType="begin"/>
      </w:r>
      <w:r>
        <w:instrText xml:space="preserve"> HYPERLINK "https://doi.org/10.1016/j.cjar.2019.12.001" </w:instrText>
      </w:r>
      <w:r>
        <w:fldChar w:fldCharType="separate"/>
      </w:r>
      <w:r>
        <w:rPr>
          <w:rStyle w:val="11"/>
          <w:rFonts w:eastAsia="Times New Roman"/>
          <w:kern w:val="0"/>
          <w:szCs w:val="24"/>
          <w:lang w:eastAsia="en-GB"/>
        </w:rPr>
        <w:t>https://doi.org/10.1016/j.cjar.2019.12.001</w:t>
      </w:r>
      <w:r>
        <w:rPr>
          <w:rStyle w:val="11"/>
          <w:rFonts w:eastAsia="Times New Roman"/>
          <w:kern w:val="0"/>
          <w:szCs w:val="24"/>
          <w:lang w:eastAsia="en-GB"/>
        </w:rPr>
        <w:fldChar w:fldCharType="end"/>
      </w:r>
    </w:p>
    <w:bookmarkEnd w:id="20"/>
    <w:bookmarkEnd w:id="21"/>
    <w:p>
      <w:pPr>
        <w:widowControl/>
        <w:spacing w:line="360" w:lineRule="auto"/>
        <w:ind w:left="360" w:hanging="360" w:hangingChars="150"/>
        <w:jc w:val="left"/>
        <w:rPr>
          <w:rFonts w:eastAsiaTheme="minorEastAsia"/>
          <w:kern w:val="0"/>
          <w:szCs w:val="24"/>
        </w:rPr>
      </w:pPr>
      <w:bookmarkStart w:id="22" w:name="naug16"/>
    </w:p>
    <w:p>
      <w:pPr>
        <w:widowControl/>
        <w:spacing w:line="360" w:lineRule="auto"/>
        <w:ind w:left="360" w:hanging="360" w:hangingChars="150"/>
        <w:jc w:val="left"/>
        <w:rPr>
          <w:rFonts w:eastAsiaTheme="minorEastAsia"/>
          <w:kern w:val="0"/>
          <w:szCs w:val="24"/>
        </w:rPr>
      </w:pPr>
      <w:r>
        <w:rPr>
          <w:rFonts w:eastAsia="Times New Roman"/>
          <w:kern w:val="0"/>
          <w:szCs w:val="24"/>
          <w:lang w:eastAsia="en-GB"/>
        </w:rPr>
        <w:t xml:space="preserve">Naughton, B., &amp; Tsai, K. S. (2015a). State capitalism, institutional adaptation, and the Chinese Miracle. In </w:t>
      </w:r>
      <w:r>
        <w:rPr>
          <w:rFonts w:eastAsia="Times New Roman"/>
          <w:i/>
          <w:iCs/>
          <w:kern w:val="0"/>
          <w:szCs w:val="24"/>
          <w:lang w:eastAsia="en-GB"/>
        </w:rPr>
        <w:t>Cambridge University Press eBooks</w:t>
      </w:r>
      <w:r>
        <w:rPr>
          <w:rFonts w:eastAsia="Times New Roman"/>
          <w:kern w:val="0"/>
          <w:szCs w:val="24"/>
          <w:lang w:eastAsia="en-GB"/>
        </w:rPr>
        <w:t xml:space="preserve">. </w:t>
      </w:r>
      <w:r>
        <w:fldChar w:fldCharType="begin"/>
      </w:r>
      <w:r>
        <w:instrText xml:space="preserve"> HYPERLINK "https://doi.org/10.1017/cbo9781139962858" </w:instrText>
      </w:r>
      <w:r>
        <w:fldChar w:fldCharType="separate"/>
      </w:r>
      <w:r>
        <w:rPr>
          <w:rStyle w:val="11"/>
          <w:rFonts w:eastAsia="Times New Roman"/>
          <w:kern w:val="0"/>
          <w:szCs w:val="24"/>
          <w:lang w:eastAsia="en-GB"/>
        </w:rPr>
        <w:t>https://doi.org/10.1017/cbo9781139962858</w:t>
      </w:r>
      <w:r>
        <w:rPr>
          <w:rStyle w:val="11"/>
          <w:rFonts w:eastAsia="Times New Roman"/>
          <w:kern w:val="0"/>
          <w:szCs w:val="24"/>
          <w:lang w:eastAsia="en-GB"/>
        </w:rPr>
        <w:fldChar w:fldCharType="end"/>
      </w:r>
    </w:p>
    <w:bookmarkEnd w:id="22"/>
    <w:p>
      <w:pPr>
        <w:widowControl/>
        <w:spacing w:line="360" w:lineRule="auto"/>
        <w:ind w:left="360" w:hanging="360" w:hangingChars="150"/>
        <w:jc w:val="left"/>
        <w:rPr>
          <w:rFonts w:eastAsiaTheme="minorEastAsia"/>
          <w:kern w:val="0"/>
          <w:szCs w:val="24"/>
        </w:rPr>
      </w:pPr>
      <w:bookmarkStart w:id="23" w:name="nik11"/>
      <w:r>
        <w:rPr>
          <w:rFonts w:eastAsia="Times New Roman"/>
          <w:kern w:val="0"/>
          <w:szCs w:val="24"/>
          <w:lang w:eastAsia="en-GB"/>
        </w:rPr>
        <w:t xml:space="preserve">Nikmah, H., Susbiyani, A., Martini, N. N. P., &amp; Qomariah, N. (2022). The Role of Price, Promotion And Quality Of Service in Improving Honda Motorcycle Customer Satisfaction and Loyalty. </w:t>
      </w:r>
      <w:r>
        <w:rPr>
          <w:rFonts w:eastAsia="Times New Roman"/>
          <w:i/>
          <w:iCs/>
          <w:kern w:val="0"/>
          <w:szCs w:val="24"/>
          <w:lang w:eastAsia="en-GB"/>
        </w:rPr>
        <w:t>International Journal of Economics and Management Studies</w:t>
      </w:r>
      <w:r>
        <w:rPr>
          <w:rFonts w:eastAsia="Times New Roman"/>
          <w:kern w:val="0"/>
          <w:szCs w:val="24"/>
          <w:lang w:eastAsia="en-GB"/>
        </w:rPr>
        <w:t xml:space="preserve">, </w:t>
      </w:r>
      <w:r>
        <w:rPr>
          <w:rFonts w:eastAsia="Times New Roman"/>
          <w:i/>
          <w:iCs/>
          <w:kern w:val="0"/>
          <w:szCs w:val="24"/>
          <w:lang w:eastAsia="en-GB"/>
        </w:rPr>
        <w:t>9</w:t>
      </w:r>
      <w:r>
        <w:rPr>
          <w:rFonts w:eastAsia="Times New Roman"/>
          <w:kern w:val="0"/>
          <w:szCs w:val="24"/>
          <w:lang w:eastAsia="en-GB"/>
        </w:rPr>
        <w:t xml:space="preserve">(1), 14–23. </w:t>
      </w:r>
      <w:r>
        <w:fldChar w:fldCharType="begin"/>
      </w:r>
      <w:r>
        <w:instrText xml:space="preserve"> HYPERLINK "https://doi.org/10.14445/23939125/ijems-v9i1p103" </w:instrText>
      </w:r>
      <w:r>
        <w:fldChar w:fldCharType="separate"/>
      </w:r>
      <w:r>
        <w:rPr>
          <w:rStyle w:val="11"/>
          <w:rFonts w:eastAsia="Times New Roman"/>
          <w:kern w:val="0"/>
          <w:szCs w:val="24"/>
          <w:lang w:eastAsia="en-GB"/>
        </w:rPr>
        <w:t>https://doi.org/10.14445/23</w:t>
      </w:r>
      <w:bookmarkStart w:id="24" w:name="_Hlk163592487"/>
      <w:r>
        <w:rPr>
          <w:rStyle w:val="11"/>
          <w:rFonts w:eastAsia="Times New Roman"/>
          <w:kern w:val="0"/>
          <w:szCs w:val="24"/>
          <w:lang w:eastAsia="en-GB"/>
        </w:rPr>
        <w:t>939125/ijems-v9i1p103</w:t>
      </w:r>
      <w:bookmarkEnd w:id="24"/>
      <w:r>
        <w:rPr>
          <w:rStyle w:val="11"/>
          <w:rFonts w:eastAsia="Times New Roman"/>
          <w:kern w:val="0"/>
          <w:szCs w:val="24"/>
          <w:lang w:eastAsia="en-GB"/>
        </w:rPr>
        <w:fldChar w:fldCharType="end"/>
      </w:r>
    </w:p>
    <w:bookmarkEnd w:id="23"/>
    <w:p>
      <w:pPr>
        <w:widowControl/>
        <w:spacing w:line="360" w:lineRule="auto"/>
        <w:ind w:left="360" w:hanging="360" w:hangingChars="150"/>
        <w:jc w:val="left"/>
        <w:rPr>
          <w:rFonts w:eastAsiaTheme="minorEastAsia"/>
          <w:kern w:val="0"/>
          <w:szCs w:val="24"/>
        </w:rPr>
      </w:pPr>
      <w:bookmarkStart w:id="25" w:name="nit8"/>
      <w:r>
        <w:rPr>
          <w:rFonts w:eastAsia="Times New Roman"/>
          <w:kern w:val="0"/>
          <w:szCs w:val="24"/>
          <w:lang w:eastAsia="en-GB"/>
        </w:rPr>
        <w:t xml:space="preserve">Nitin, S., Ramesh, R., &amp; Joseph, K. (2023). An analysis of human resource practices: A comparison between the hospitality industry and other sectors. </w:t>
      </w:r>
      <w:r>
        <w:rPr>
          <w:rFonts w:eastAsia="Times New Roman"/>
          <w:i/>
          <w:iCs/>
          <w:kern w:val="0"/>
          <w:szCs w:val="24"/>
          <w:lang w:eastAsia="en-GB"/>
        </w:rPr>
        <w:t>I-manager’s Journal on Management</w:t>
      </w:r>
      <w:r>
        <w:rPr>
          <w:rFonts w:eastAsia="Times New Roman"/>
          <w:kern w:val="0"/>
          <w:szCs w:val="24"/>
          <w:lang w:eastAsia="en-GB"/>
        </w:rPr>
        <w:t xml:space="preserve">, </w:t>
      </w:r>
      <w:r>
        <w:rPr>
          <w:rFonts w:eastAsia="Times New Roman"/>
          <w:i/>
          <w:iCs/>
          <w:kern w:val="0"/>
          <w:szCs w:val="24"/>
          <w:lang w:eastAsia="en-GB"/>
        </w:rPr>
        <w:t>17</w:t>
      </w:r>
      <w:r>
        <w:rPr>
          <w:rFonts w:eastAsia="Times New Roman"/>
          <w:kern w:val="0"/>
          <w:szCs w:val="24"/>
          <w:lang w:eastAsia="en-GB"/>
        </w:rPr>
        <w:t xml:space="preserve">(3), 30. </w:t>
      </w:r>
      <w:r>
        <w:fldChar w:fldCharType="begin"/>
      </w:r>
      <w:r>
        <w:instrText xml:space="preserve"> HYPERLINK "https://doi.org/10.26634/jmgt.17.3.19415" </w:instrText>
      </w:r>
      <w:r>
        <w:fldChar w:fldCharType="separate"/>
      </w:r>
      <w:r>
        <w:rPr>
          <w:rStyle w:val="11"/>
          <w:rFonts w:eastAsia="Times New Roman"/>
          <w:kern w:val="0"/>
          <w:szCs w:val="24"/>
          <w:lang w:eastAsia="en-GB"/>
        </w:rPr>
        <w:t>https://doi.org/10.26634/jmgt.17.3.19415</w:t>
      </w:r>
      <w:r>
        <w:rPr>
          <w:rStyle w:val="11"/>
          <w:rFonts w:eastAsia="Times New Roman"/>
          <w:kern w:val="0"/>
          <w:szCs w:val="24"/>
          <w:lang w:eastAsia="en-GB"/>
        </w:rPr>
        <w:fldChar w:fldCharType="end"/>
      </w:r>
    </w:p>
    <w:bookmarkEnd w:id="25"/>
    <w:p>
      <w:pPr>
        <w:widowControl/>
        <w:spacing w:line="360" w:lineRule="auto"/>
        <w:ind w:left="360" w:hanging="360" w:hangingChars="150"/>
        <w:jc w:val="left"/>
        <w:rPr>
          <w:rFonts w:eastAsiaTheme="minorEastAsia"/>
          <w:kern w:val="0"/>
          <w:szCs w:val="24"/>
        </w:rPr>
      </w:pPr>
      <w:bookmarkStart w:id="26" w:name="oec3"/>
      <w:r>
        <w:rPr>
          <w:rFonts w:eastAsia="Times New Roman"/>
          <w:i/>
          <w:iCs/>
          <w:kern w:val="0"/>
          <w:szCs w:val="24"/>
          <w:lang w:eastAsia="en-GB"/>
        </w:rPr>
        <w:t>OECD Economic Survey: Japan 2019 (overview)</w:t>
      </w:r>
      <w:r>
        <w:rPr>
          <w:rFonts w:eastAsia="Times New Roman"/>
          <w:kern w:val="0"/>
          <w:szCs w:val="24"/>
          <w:lang w:eastAsia="en-GB"/>
        </w:rPr>
        <w:t xml:space="preserve">. (2019, April 23). Issuu. </w:t>
      </w:r>
      <w:r>
        <w:fldChar w:fldCharType="begin"/>
      </w:r>
      <w:r>
        <w:instrText xml:space="preserve"> HYPERLINK "https://issuu.com/oecd.publishing/docs/economic_survey_japan_april_2019/21" </w:instrText>
      </w:r>
      <w:r>
        <w:fldChar w:fldCharType="separate"/>
      </w:r>
      <w:r>
        <w:rPr>
          <w:rStyle w:val="11"/>
          <w:rFonts w:eastAsia="Times New Roman"/>
          <w:kern w:val="0"/>
          <w:szCs w:val="24"/>
          <w:lang w:eastAsia="en-GB"/>
        </w:rPr>
        <w:t>https://issuu.com/oecd.publishing/docs/economic_survey_japan_april_2019/21</w:t>
      </w:r>
      <w:r>
        <w:rPr>
          <w:rStyle w:val="11"/>
          <w:rFonts w:eastAsia="Times New Roman"/>
          <w:kern w:val="0"/>
          <w:szCs w:val="24"/>
          <w:lang w:eastAsia="en-GB"/>
        </w:rPr>
        <w:fldChar w:fldCharType="end"/>
      </w:r>
    </w:p>
    <w:bookmarkEnd w:id="26"/>
    <w:p>
      <w:pPr>
        <w:widowControl/>
        <w:spacing w:line="360" w:lineRule="auto"/>
        <w:ind w:left="360" w:hanging="360" w:hangingChars="150"/>
        <w:jc w:val="left"/>
        <w:rPr>
          <w:rFonts w:eastAsiaTheme="minorEastAsia"/>
          <w:kern w:val="0"/>
          <w:szCs w:val="24"/>
        </w:rPr>
      </w:pPr>
      <w:bookmarkStart w:id="27" w:name="ray6"/>
      <w:r>
        <w:rPr>
          <w:rFonts w:eastAsia="Times New Roman"/>
          <w:kern w:val="0"/>
          <w:szCs w:val="24"/>
          <w:lang w:eastAsia="en-GB"/>
        </w:rPr>
        <w:t xml:space="preserve">Rayat Bahra University, &amp; Mohali. (2021). Rayat Bahra International Journal of Multidisciplinary Research. </w:t>
      </w:r>
      <w:r>
        <w:rPr>
          <w:rFonts w:eastAsia="Times New Roman"/>
          <w:i/>
          <w:iCs/>
          <w:kern w:val="0"/>
          <w:szCs w:val="24"/>
          <w:lang w:eastAsia="en-GB"/>
        </w:rPr>
        <w:t>Rayat Bahra International Journal</w:t>
      </w:r>
      <w:r>
        <w:rPr>
          <w:rFonts w:eastAsia="Times New Roman"/>
          <w:kern w:val="0"/>
          <w:szCs w:val="24"/>
          <w:lang w:eastAsia="en-GB"/>
        </w:rPr>
        <w:t xml:space="preserve">. </w:t>
      </w:r>
      <w:r>
        <w:fldChar w:fldCharType="begin"/>
      </w:r>
      <w:r>
        <w:instrText xml:space="preserve"> HYPERLINK "https://publications.rayatbahrauniversity.edu.in/wp-content/uploads/2022/03/Corporate-Social-Responsibility-in-Haryana-State.pdf" </w:instrText>
      </w:r>
      <w:r>
        <w:fldChar w:fldCharType="separate"/>
      </w:r>
      <w:r>
        <w:rPr>
          <w:rStyle w:val="11"/>
          <w:rFonts w:eastAsia="Times New Roman"/>
          <w:kern w:val="0"/>
          <w:szCs w:val="24"/>
          <w:lang w:eastAsia="en-GB"/>
        </w:rPr>
        <w:t>https://publications.rayatbahrauniversity.edu.in/wp-content/uploads/2022/03/Corporate-Social-Responsibility-in-Haryana-State.pdf</w:t>
      </w:r>
      <w:r>
        <w:rPr>
          <w:rStyle w:val="11"/>
          <w:rFonts w:eastAsia="Times New Roman"/>
          <w:kern w:val="0"/>
          <w:szCs w:val="24"/>
          <w:lang w:eastAsia="en-GB"/>
        </w:rPr>
        <w:fldChar w:fldCharType="end"/>
      </w:r>
    </w:p>
    <w:bookmarkEnd w:id="27"/>
    <w:p>
      <w:pPr>
        <w:widowControl/>
        <w:spacing w:line="360" w:lineRule="auto"/>
        <w:ind w:left="360" w:hanging="360" w:hangingChars="150"/>
        <w:jc w:val="left"/>
        <w:rPr>
          <w:rFonts w:eastAsiaTheme="minorEastAsia"/>
          <w:kern w:val="0"/>
          <w:szCs w:val="24"/>
        </w:rPr>
      </w:pPr>
      <w:bookmarkStart w:id="28" w:name="sin9"/>
      <w:r>
        <w:rPr>
          <w:rFonts w:eastAsia="Times New Roman"/>
          <w:kern w:val="0"/>
          <w:szCs w:val="24"/>
          <w:lang w:eastAsia="en-GB"/>
        </w:rPr>
        <w:t xml:space="preserve">Singh, R., &amp; Srivastava, A. K. (2019). Make in India Programme: an analysis in various sectors. </w:t>
      </w:r>
      <w:r>
        <w:rPr>
          <w:rFonts w:eastAsia="Times New Roman"/>
          <w:i/>
          <w:iCs/>
          <w:kern w:val="0"/>
          <w:szCs w:val="24"/>
          <w:lang w:eastAsia="en-GB"/>
        </w:rPr>
        <w:t>ResearchGate</w:t>
      </w:r>
      <w:r>
        <w:rPr>
          <w:rFonts w:eastAsia="Times New Roman"/>
          <w:kern w:val="0"/>
          <w:szCs w:val="24"/>
          <w:lang w:eastAsia="en-GB"/>
        </w:rPr>
        <w:t xml:space="preserve">, 133-142. </w:t>
      </w:r>
      <w:r>
        <w:fldChar w:fldCharType="begin"/>
      </w:r>
      <w:r>
        <w:instrText xml:space="preserve"> HYPERLINK "https://www.researchgate.net/publication/334416457_Make_in_India_Programme_An_Analysis_in_Various_Sectors" </w:instrText>
      </w:r>
      <w:r>
        <w:fldChar w:fldCharType="separate"/>
      </w:r>
      <w:r>
        <w:rPr>
          <w:rStyle w:val="11"/>
          <w:rFonts w:eastAsia="Times New Roman"/>
          <w:kern w:val="0"/>
          <w:szCs w:val="24"/>
          <w:lang w:eastAsia="en-GB"/>
        </w:rPr>
        <w:t>https://www.researchgate.net/publication/334416457_Make_in_India_Programme_An_Analysis_in_Various_Sectors</w:t>
      </w:r>
      <w:r>
        <w:rPr>
          <w:rStyle w:val="11"/>
          <w:rFonts w:eastAsia="Times New Roman"/>
          <w:kern w:val="0"/>
          <w:szCs w:val="24"/>
          <w:lang w:eastAsia="en-GB"/>
        </w:rPr>
        <w:fldChar w:fldCharType="end"/>
      </w:r>
    </w:p>
    <w:bookmarkEnd w:id="28"/>
    <w:p>
      <w:pPr>
        <w:widowControl/>
        <w:spacing w:line="360" w:lineRule="auto"/>
        <w:ind w:left="360" w:hanging="360" w:hangingChars="150"/>
        <w:jc w:val="left"/>
        <w:rPr>
          <w:rFonts w:eastAsiaTheme="minorEastAsia"/>
          <w:kern w:val="0"/>
          <w:szCs w:val="24"/>
        </w:rPr>
      </w:pPr>
      <w:bookmarkStart w:id="29" w:name="sub13"/>
      <w:r>
        <w:rPr>
          <w:rFonts w:eastAsia="Times New Roman"/>
          <w:kern w:val="0"/>
          <w:szCs w:val="24"/>
          <w:lang w:eastAsia="en-GB"/>
        </w:rPr>
        <w:t xml:space="preserve">Subramanian, K. R. V., Othman, M. N., Sokkalingam, R., &amp; Thangarasu, G. (2020). A Statistical Analysis on Automobile Sales Performance in India. </w:t>
      </w:r>
      <w:r>
        <w:rPr>
          <w:rFonts w:eastAsia="Times New Roman"/>
          <w:i/>
          <w:iCs/>
          <w:kern w:val="0"/>
          <w:szCs w:val="24"/>
          <w:lang w:eastAsia="en-GB"/>
        </w:rPr>
        <w:t>Journal of Computational and Theoretical Nanoscience</w:t>
      </w:r>
      <w:r>
        <w:rPr>
          <w:rFonts w:eastAsia="Times New Roman"/>
          <w:kern w:val="0"/>
          <w:szCs w:val="24"/>
          <w:lang w:eastAsia="en-GB"/>
        </w:rPr>
        <w:t xml:space="preserve">, </w:t>
      </w:r>
      <w:r>
        <w:rPr>
          <w:rFonts w:eastAsia="Times New Roman"/>
          <w:i/>
          <w:iCs/>
          <w:kern w:val="0"/>
          <w:szCs w:val="24"/>
          <w:lang w:eastAsia="en-GB"/>
        </w:rPr>
        <w:t>17</w:t>
      </w:r>
      <w:r>
        <w:rPr>
          <w:rFonts w:eastAsia="Times New Roman"/>
          <w:kern w:val="0"/>
          <w:szCs w:val="24"/>
          <w:lang w:eastAsia="en-GB"/>
        </w:rPr>
        <w:t xml:space="preserve">(2), 778–782. </w:t>
      </w:r>
      <w:r>
        <w:fldChar w:fldCharType="begin"/>
      </w:r>
      <w:r>
        <w:instrText xml:space="preserve"> HYPERLINK "https://doi.org/10.1166/jctn.2020.8719" </w:instrText>
      </w:r>
      <w:r>
        <w:fldChar w:fldCharType="separate"/>
      </w:r>
      <w:r>
        <w:rPr>
          <w:rStyle w:val="11"/>
          <w:rFonts w:eastAsia="Times New Roman"/>
          <w:kern w:val="0"/>
          <w:szCs w:val="24"/>
          <w:lang w:eastAsia="en-GB"/>
        </w:rPr>
        <w:t>https://doi.org/10.1166/jctn.2020.8719</w:t>
      </w:r>
      <w:r>
        <w:rPr>
          <w:rStyle w:val="11"/>
          <w:rFonts w:eastAsia="Times New Roman"/>
          <w:kern w:val="0"/>
          <w:szCs w:val="24"/>
          <w:lang w:eastAsia="en-GB"/>
        </w:rPr>
        <w:fldChar w:fldCharType="end"/>
      </w:r>
    </w:p>
    <w:bookmarkEnd w:id="29"/>
    <w:p>
      <w:pPr>
        <w:widowControl/>
        <w:spacing w:line="360" w:lineRule="auto"/>
        <w:ind w:left="360" w:hanging="360" w:hangingChars="150"/>
        <w:jc w:val="left"/>
        <w:rPr>
          <w:rFonts w:eastAsiaTheme="minorEastAsia"/>
          <w:kern w:val="0"/>
          <w:szCs w:val="24"/>
        </w:rPr>
      </w:pPr>
      <w:bookmarkStart w:id="30" w:name="tik25"/>
      <w:r>
        <w:rPr>
          <w:rFonts w:eastAsia="Times New Roman"/>
          <w:kern w:val="0"/>
          <w:szCs w:val="24"/>
          <w:lang w:eastAsia="en-GB"/>
        </w:rPr>
        <w:t xml:space="preserve">Tokoro, M. (2005). The shift towards American-style human resource management systems and the transformation of workers’ attitudes at Japanese firms. </w:t>
      </w:r>
      <w:r>
        <w:rPr>
          <w:rFonts w:eastAsia="Times New Roman"/>
          <w:i/>
          <w:iCs/>
          <w:kern w:val="0"/>
          <w:szCs w:val="24"/>
          <w:lang w:eastAsia="en-GB"/>
        </w:rPr>
        <w:t>Asian Business &amp; Management</w:t>
      </w:r>
      <w:r>
        <w:rPr>
          <w:rFonts w:eastAsia="Times New Roman"/>
          <w:kern w:val="0"/>
          <w:szCs w:val="24"/>
          <w:lang w:eastAsia="en-GB"/>
        </w:rPr>
        <w:t xml:space="preserve">, </w:t>
      </w:r>
      <w:r>
        <w:rPr>
          <w:rFonts w:eastAsia="Times New Roman"/>
          <w:i/>
          <w:iCs/>
          <w:kern w:val="0"/>
          <w:szCs w:val="24"/>
          <w:lang w:eastAsia="en-GB"/>
        </w:rPr>
        <w:t>4</w:t>
      </w:r>
      <w:r>
        <w:rPr>
          <w:rFonts w:eastAsia="Times New Roman"/>
          <w:kern w:val="0"/>
          <w:szCs w:val="24"/>
          <w:lang w:eastAsia="en-GB"/>
        </w:rPr>
        <w:t xml:space="preserve">(1), 23–44. </w:t>
      </w:r>
      <w:r>
        <w:fldChar w:fldCharType="begin"/>
      </w:r>
      <w:r>
        <w:instrText xml:space="preserve"> HYPERLINK "https://doi.org/10.1057/palgrave.abm.9200118" </w:instrText>
      </w:r>
      <w:r>
        <w:fldChar w:fldCharType="separate"/>
      </w:r>
      <w:r>
        <w:rPr>
          <w:rStyle w:val="11"/>
          <w:rFonts w:eastAsia="Times New Roman"/>
          <w:kern w:val="0"/>
          <w:szCs w:val="24"/>
          <w:lang w:eastAsia="en-GB"/>
        </w:rPr>
        <w:t>https://doi.org/10.1057/palgrave.abm.9200118</w:t>
      </w:r>
      <w:r>
        <w:rPr>
          <w:rStyle w:val="11"/>
          <w:rFonts w:eastAsia="Times New Roman"/>
          <w:kern w:val="0"/>
          <w:szCs w:val="24"/>
          <w:lang w:eastAsia="en-GB"/>
        </w:rPr>
        <w:fldChar w:fldCharType="end"/>
      </w:r>
    </w:p>
    <w:bookmarkEnd w:id="30"/>
    <w:p>
      <w:pPr>
        <w:widowControl/>
        <w:spacing w:line="360" w:lineRule="auto"/>
        <w:ind w:left="360" w:hanging="360" w:hangingChars="150"/>
        <w:jc w:val="left"/>
        <w:rPr>
          <w:rFonts w:eastAsiaTheme="minorEastAsia"/>
          <w:kern w:val="0"/>
          <w:szCs w:val="24"/>
        </w:rPr>
      </w:pPr>
      <w:bookmarkStart w:id="31" w:name="us10"/>
      <w:r>
        <w:rPr>
          <w:rFonts w:eastAsia="Times New Roman"/>
          <w:kern w:val="0"/>
          <w:szCs w:val="24"/>
          <w:lang w:eastAsia="en-GB"/>
        </w:rPr>
        <w:t xml:space="preserve">Us, I. (2021). BUILDING CUSTOMER-CENTRIC ORGANIZATIONS-AN EVOLVING ROLE OF HR. </w:t>
      </w:r>
      <w:r>
        <w:rPr>
          <w:rFonts w:eastAsia="Times New Roman"/>
          <w:i/>
          <w:iCs/>
          <w:kern w:val="0"/>
          <w:szCs w:val="24"/>
          <w:lang w:eastAsia="en-GB"/>
        </w:rPr>
        <w:t>Iaset</w:t>
      </w:r>
      <w:r>
        <w:rPr>
          <w:rFonts w:eastAsia="Times New Roman"/>
          <w:kern w:val="0"/>
          <w:szCs w:val="24"/>
          <w:lang w:eastAsia="en-GB"/>
        </w:rPr>
        <w:t xml:space="preserve">. </w:t>
      </w:r>
      <w:r>
        <w:fldChar w:fldCharType="begin"/>
      </w:r>
      <w:r>
        <w:instrText xml:space="preserve"> HYPERLINK "https://www.academia.edu/50852675/BUILDING_CUSTOMER_CENTRIC_ORGANIZATIONS_AN_EVOLVING_ROLE_OF_HR" </w:instrText>
      </w:r>
      <w:r>
        <w:fldChar w:fldCharType="separate"/>
      </w:r>
      <w:r>
        <w:rPr>
          <w:rStyle w:val="11"/>
          <w:rFonts w:eastAsia="Times New Roman"/>
          <w:kern w:val="0"/>
          <w:szCs w:val="24"/>
          <w:lang w:eastAsia="en-GB"/>
        </w:rPr>
        <w:t>https://www.academia.edu/50852675/BUILDING_CUSTOMER_CENTRIC_ORGANIZATIONS_AN_EVOLVING_ROLE_OF_HR</w:t>
      </w:r>
      <w:r>
        <w:rPr>
          <w:rStyle w:val="11"/>
          <w:rFonts w:eastAsia="Times New Roman"/>
          <w:kern w:val="0"/>
          <w:szCs w:val="24"/>
          <w:lang w:eastAsia="en-GB"/>
        </w:rPr>
        <w:fldChar w:fldCharType="end"/>
      </w:r>
    </w:p>
    <w:bookmarkEnd w:id="31"/>
    <w:p>
      <w:pPr>
        <w:widowControl/>
        <w:spacing w:line="360" w:lineRule="auto"/>
        <w:ind w:left="360" w:hanging="360" w:hangingChars="150"/>
        <w:jc w:val="left"/>
        <w:rPr>
          <w:rFonts w:eastAsiaTheme="minorEastAsia"/>
          <w:kern w:val="0"/>
          <w:szCs w:val="24"/>
        </w:rPr>
      </w:pPr>
      <w:bookmarkStart w:id="32" w:name="ver14"/>
      <w:r>
        <w:rPr>
          <w:rFonts w:eastAsia="Times New Roman"/>
          <w:kern w:val="0"/>
          <w:szCs w:val="24"/>
          <w:lang w:eastAsia="en-GB"/>
        </w:rPr>
        <w:t xml:space="preserve">Verma, A., &amp; Author_Id, N. (2021). Market Structure of Scooter Segment of Two Wheeler Industry in India. </w:t>
      </w:r>
      <w:r>
        <w:rPr>
          <w:rFonts w:eastAsia="Times New Roman"/>
          <w:i/>
          <w:iCs/>
          <w:kern w:val="0"/>
          <w:szCs w:val="24"/>
          <w:lang w:eastAsia="en-GB"/>
        </w:rPr>
        <w:t>Ymer</w:t>
      </w:r>
      <w:r>
        <w:rPr>
          <w:rFonts w:eastAsia="Times New Roman"/>
          <w:kern w:val="0"/>
          <w:szCs w:val="24"/>
          <w:lang w:eastAsia="en-GB"/>
        </w:rPr>
        <w:t xml:space="preserve">, </w:t>
      </w:r>
      <w:r>
        <w:rPr>
          <w:rFonts w:eastAsia="Times New Roman"/>
          <w:i/>
          <w:iCs/>
          <w:kern w:val="0"/>
          <w:szCs w:val="24"/>
          <w:lang w:eastAsia="en-GB"/>
        </w:rPr>
        <w:t>20</w:t>
      </w:r>
      <w:r>
        <w:rPr>
          <w:rFonts w:eastAsia="Times New Roman"/>
          <w:kern w:val="0"/>
          <w:szCs w:val="24"/>
          <w:lang w:eastAsia="en-GB"/>
        </w:rPr>
        <w:t xml:space="preserve">(12), 215–229. </w:t>
      </w:r>
      <w:r>
        <w:fldChar w:fldCharType="begin"/>
      </w:r>
      <w:r>
        <w:instrText xml:space="preserve"> HYPERLINK "https://doi.org/10.37896/ymer20.12/20" </w:instrText>
      </w:r>
      <w:r>
        <w:fldChar w:fldCharType="separate"/>
      </w:r>
      <w:r>
        <w:rPr>
          <w:rStyle w:val="11"/>
          <w:rFonts w:eastAsia="Times New Roman"/>
          <w:kern w:val="0"/>
          <w:szCs w:val="24"/>
          <w:lang w:eastAsia="en-GB"/>
        </w:rPr>
        <w:t>https://doi.org/10.37896/ymer20.12/20</w:t>
      </w:r>
      <w:r>
        <w:rPr>
          <w:rStyle w:val="11"/>
          <w:rFonts w:eastAsia="Times New Roman"/>
          <w:kern w:val="0"/>
          <w:szCs w:val="24"/>
          <w:lang w:eastAsia="en-GB"/>
        </w:rPr>
        <w:fldChar w:fldCharType="end"/>
      </w:r>
    </w:p>
    <w:bookmarkEnd w:id="32"/>
    <w:p>
      <w:pPr>
        <w:widowControl/>
        <w:spacing w:line="360" w:lineRule="auto"/>
        <w:ind w:left="360" w:hanging="360" w:hangingChars="150"/>
        <w:jc w:val="left"/>
        <w:rPr>
          <w:rFonts w:eastAsiaTheme="minorEastAsia"/>
          <w:kern w:val="0"/>
          <w:szCs w:val="24"/>
        </w:rPr>
      </w:pPr>
      <w:bookmarkStart w:id="33" w:name="whit24"/>
      <w:r>
        <w:rPr>
          <w:rFonts w:eastAsia="Times New Roman"/>
          <w:kern w:val="0"/>
          <w:szCs w:val="24"/>
          <w:lang w:eastAsia="en-GB"/>
        </w:rPr>
        <w:t xml:space="preserve">Whitcroft, G. (2021, March 31). “Train people well enough so they can leave. treat them well enough so they don’t have to.” - Sir Richard. </w:t>
      </w:r>
      <w:r>
        <w:rPr>
          <w:rFonts w:eastAsia="Times New Roman"/>
          <w:i/>
          <w:iCs/>
          <w:kern w:val="0"/>
          <w:szCs w:val="24"/>
          <w:lang w:eastAsia="en-GB"/>
        </w:rPr>
        <w:t>Business Fitness</w:t>
      </w:r>
      <w:r>
        <w:rPr>
          <w:rFonts w:eastAsia="Times New Roman"/>
          <w:kern w:val="0"/>
          <w:szCs w:val="24"/>
          <w:lang w:eastAsia="en-GB"/>
        </w:rPr>
        <w:t xml:space="preserve">. </w:t>
      </w:r>
      <w:r>
        <w:fldChar w:fldCharType="begin"/>
      </w:r>
      <w:r>
        <w:instrText xml:space="preserve"> HYPERLINK "https://businessfitness.biz/train-people-well-enough-so-they-can-leave/" </w:instrText>
      </w:r>
      <w:r>
        <w:fldChar w:fldCharType="separate"/>
      </w:r>
      <w:r>
        <w:rPr>
          <w:rStyle w:val="11"/>
          <w:rFonts w:eastAsia="Times New Roman"/>
          <w:kern w:val="0"/>
          <w:szCs w:val="24"/>
          <w:lang w:eastAsia="en-GB"/>
        </w:rPr>
        <w:t>https://businessfitness.biz/train-people-well-enough-so-they-can-leave/</w:t>
      </w:r>
      <w:r>
        <w:rPr>
          <w:rStyle w:val="11"/>
          <w:rFonts w:eastAsia="Times New Roman"/>
          <w:kern w:val="0"/>
          <w:szCs w:val="24"/>
          <w:lang w:eastAsia="en-GB"/>
        </w:rPr>
        <w:fldChar w:fldCharType="end"/>
      </w:r>
    </w:p>
    <w:bookmarkEnd w:id="33"/>
    <w:p>
      <w:pPr>
        <w:widowControl/>
        <w:spacing w:line="360" w:lineRule="auto"/>
        <w:ind w:left="360" w:hanging="360" w:hangingChars="150"/>
        <w:jc w:val="left"/>
        <w:rPr>
          <w:rFonts w:eastAsiaTheme="minorEastAsia"/>
          <w:kern w:val="0"/>
          <w:szCs w:val="24"/>
        </w:rPr>
      </w:pPr>
      <w:bookmarkStart w:id="34" w:name="world19"/>
      <w:r>
        <w:rPr>
          <w:rFonts w:eastAsia="Times New Roman"/>
          <w:i/>
          <w:iCs/>
          <w:kern w:val="0"/>
          <w:szCs w:val="24"/>
          <w:lang w:eastAsia="en-GB"/>
        </w:rPr>
        <w:t>World Bank Open Data</w:t>
      </w:r>
      <w:r>
        <w:rPr>
          <w:rFonts w:eastAsia="Times New Roman"/>
          <w:kern w:val="0"/>
          <w:szCs w:val="24"/>
          <w:lang w:eastAsia="en-GB"/>
        </w:rPr>
        <w:t xml:space="preserve">. (n.d.). World Bank Open Data. </w:t>
      </w:r>
      <w:r>
        <w:fldChar w:fldCharType="begin"/>
      </w:r>
      <w:r>
        <w:instrText xml:space="preserve"> HYPERLINK "https://data.worldbank.org/indicator/NY.GDP.MKTP.KD.ZG?locations=JP" </w:instrText>
      </w:r>
      <w:r>
        <w:fldChar w:fldCharType="separate"/>
      </w:r>
      <w:r>
        <w:rPr>
          <w:rStyle w:val="11"/>
          <w:rFonts w:eastAsia="Times New Roman"/>
          <w:kern w:val="0"/>
          <w:szCs w:val="24"/>
          <w:lang w:eastAsia="en-GB"/>
        </w:rPr>
        <w:t>https://data.worldbank.org/indicator/NY.GDP.MKTP.KD.ZG?locations=JP</w:t>
      </w:r>
      <w:r>
        <w:rPr>
          <w:rStyle w:val="11"/>
          <w:rFonts w:eastAsia="Times New Roman"/>
          <w:kern w:val="0"/>
          <w:szCs w:val="24"/>
          <w:lang w:eastAsia="en-GB"/>
        </w:rPr>
        <w:fldChar w:fldCharType="end"/>
      </w:r>
    </w:p>
    <w:bookmarkEnd w:id="34"/>
    <w:p>
      <w:pPr>
        <w:widowControl/>
        <w:spacing w:line="360" w:lineRule="auto"/>
        <w:ind w:left="360" w:hanging="360" w:hangingChars="150"/>
        <w:jc w:val="left"/>
        <w:rPr>
          <w:rFonts w:eastAsiaTheme="minorEastAsia"/>
          <w:kern w:val="0"/>
          <w:szCs w:val="24"/>
        </w:rPr>
      </w:pPr>
      <w:bookmarkStart w:id="35" w:name="world17"/>
      <w:r>
        <w:rPr>
          <w:rFonts w:eastAsia="Times New Roman"/>
          <w:i/>
          <w:iCs/>
          <w:kern w:val="0"/>
          <w:szCs w:val="24"/>
          <w:lang w:eastAsia="en-GB"/>
        </w:rPr>
        <w:t>World Bank Open Data</w:t>
      </w:r>
      <w:r>
        <w:rPr>
          <w:rFonts w:eastAsia="Times New Roman"/>
          <w:kern w:val="0"/>
          <w:szCs w:val="24"/>
          <w:lang w:eastAsia="en-GB"/>
        </w:rPr>
        <w:t xml:space="preserve">. (2015, June). World Bank Open Data. </w:t>
      </w:r>
      <w:r>
        <w:fldChar w:fldCharType="begin"/>
      </w:r>
      <w:r>
        <w:instrText xml:space="preserve"> HYPERLINK "https://data.worldbank.org/indicator/NY.GDP.MKTP.KD.ZG?locations=CN" </w:instrText>
      </w:r>
      <w:r>
        <w:fldChar w:fldCharType="separate"/>
      </w:r>
      <w:r>
        <w:rPr>
          <w:rStyle w:val="11"/>
          <w:rFonts w:eastAsia="Times New Roman"/>
          <w:kern w:val="0"/>
          <w:szCs w:val="24"/>
          <w:lang w:eastAsia="en-GB"/>
        </w:rPr>
        <w:t>https://data.worldbank.org/indicator/NY.GDP.MKTP.KD.ZG?locations=CN</w:t>
      </w:r>
      <w:r>
        <w:rPr>
          <w:rStyle w:val="11"/>
          <w:rFonts w:eastAsia="Times New Roman"/>
          <w:kern w:val="0"/>
          <w:szCs w:val="24"/>
          <w:lang w:eastAsia="en-GB"/>
        </w:rPr>
        <w:fldChar w:fldCharType="end"/>
      </w:r>
    </w:p>
    <w:bookmarkEnd w:id="35"/>
    <w:p>
      <w:pPr>
        <w:widowControl/>
        <w:spacing w:line="360" w:lineRule="auto"/>
        <w:ind w:left="360" w:hanging="360" w:hangingChars="150"/>
        <w:jc w:val="left"/>
        <w:rPr>
          <w:rFonts w:eastAsiaTheme="minorEastAsia"/>
          <w:kern w:val="0"/>
          <w:szCs w:val="24"/>
        </w:rPr>
      </w:pPr>
      <w:bookmarkStart w:id="36" w:name="world2"/>
      <w:r>
        <w:rPr>
          <w:rFonts w:eastAsia="Times New Roman"/>
          <w:i/>
          <w:iCs/>
          <w:kern w:val="0"/>
          <w:szCs w:val="24"/>
          <w:lang w:eastAsia="en-GB"/>
        </w:rPr>
        <w:t>World Bank Open Data</w:t>
      </w:r>
      <w:r>
        <w:rPr>
          <w:rFonts w:eastAsia="Times New Roman"/>
          <w:kern w:val="0"/>
          <w:szCs w:val="24"/>
          <w:lang w:eastAsia="en-GB"/>
        </w:rPr>
        <w:t xml:space="preserve">. (2022). World Bank Open Data. </w:t>
      </w:r>
      <w:r>
        <w:fldChar w:fldCharType="begin"/>
      </w:r>
      <w:r>
        <w:instrText xml:space="preserve"> HYPERLINK "https://data.worldbank.org/indicator/NY.GDP.MKTP.CD?locations=CN" </w:instrText>
      </w:r>
      <w:r>
        <w:fldChar w:fldCharType="separate"/>
      </w:r>
      <w:r>
        <w:rPr>
          <w:rStyle w:val="11"/>
          <w:rFonts w:eastAsia="Times New Roman"/>
          <w:kern w:val="0"/>
          <w:szCs w:val="24"/>
          <w:lang w:eastAsia="en-GB"/>
        </w:rPr>
        <w:t>https://data.worldbank.org/indicator/NY.GDP.MKTP.CD?locations=CN</w:t>
      </w:r>
      <w:r>
        <w:rPr>
          <w:rStyle w:val="11"/>
          <w:rFonts w:eastAsia="Times New Roman"/>
          <w:kern w:val="0"/>
          <w:szCs w:val="24"/>
          <w:lang w:eastAsia="en-GB"/>
        </w:rPr>
        <w:fldChar w:fldCharType="end"/>
      </w:r>
    </w:p>
    <w:bookmarkEnd w:id="36"/>
    <w:p>
      <w:pPr>
        <w:widowControl/>
        <w:spacing w:line="360" w:lineRule="auto"/>
        <w:ind w:left="360" w:hanging="360" w:hangingChars="150"/>
        <w:jc w:val="left"/>
        <w:rPr>
          <w:rFonts w:eastAsiaTheme="minorEastAsia"/>
          <w:kern w:val="0"/>
          <w:szCs w:val="24"/>
        </w:rPr>
      </w:pPr>
      <w:bookmarkStart w:id="37" w:name="yahoo16"/>
      <w:r>
        <w:rPr>
          <w:rFonts w:eastAsia="Times New Roman"/>
          <w:kern w:val="0"/>
          <w:szCs w:val="24"/>
          <w:lang w:eastAsia="en-GB"/>
        </w:rPr>
        <w:t xml:space="preserve">Yahoo. (2024). </w:t>
      </w:r>
      <w:r>
        <w:rPr>
          <w:rFonts w:eastAsia="Times New Roman"/>
          <w:i/>
          <w:iCs/>
          <w:kern w:val="0"/>
          <w:szCs w:val="24"/>
          <w:lang w:eastAsia="en-GB"/>
        </w:rPr>
        <w:t>Yahoo is part of the Yahoo family of brands</w:t>
      </w:r>
      <w:r>
        <w:rPr>
          <w:rFonts w:eastAsia="Times New Roman"/>
          <w:kern w:val="0"/>
          <w:szCs w:val="24"/>
          <w:lang w:eastAsia="en-GB"/>
        </w:rPr>
        <w:t xml:space="preserve">. </w:t>
      </w:r>
      <w:r>
        <w:fldChar w:fldCharType="begin"/>
      </w:r>
      <w:r>
        <w:instrText xml:space="preserve"> HYPERLINK "https://finance.yahoo.com/quote/HMC/" </w:instrText>
      </w:r>
      <w:r>
        <w:fldChar w:fldCharType="separate"/>
      </w:r>
      <w:r>
        <w:rPr>
          <w:rStyle w:val="11"/>
          <w:rFonts w:eastAsia="Times New Roman"/>
          <w:kern w:val="0"/>
          <w:szCs w:val="24"/>
          <w:lang w:eastAsia="en-GB"/>
        </w:rPr>
        <w:t>https://finance.yahoo.com/quote/HMC/</w:t>
      </w:r>
      <w:r>
        <w:rPr>
          <w:rStyle w:val="11"/>
          <w:rFonts w:eastAsia="Times New Roman"/>
          <w:kern w:val="0"/>
          <w:szCs w:val="24"/>
          <w:lang w:eastAsia="en-GB"/>
        </w:rPr>
        <w:fldChar w:fldCharType="end"/>
      </w:r>
      <w:bookmarkEnd w:id="37"/>
      <w:bookmarkStart w:id="38" w:name="sina23"/>
    </w:p>
    <w:p>
      <w:pPr>
        <w:widowControl/>
        <w:spacing w:line="360" w:lineRule="auto"/>
        <w:ind w:left="360" w:hanging="360" w:hangingChars="150"/>
        <w:jc w:val="left"/>
        <w:rPr>
          <w:rFonts w:eastAsiaTheme="minorEastAsia"/>
          <w:kern w:val="0"/>
          <w:szCs w:val="24"/>
        </w:rPr>
      </w:pPr>
      <w:r>
        <w:rPr>
          <w:rFonts w:eastAsiaTheme="minorEastAsia"/>
          <w:kern w:val="0"/>
          <w:szCs w:val="24"/>
        </w:rPr>
        <w:t>S</w:t>
      </w:r>
      <w:r>
        <w:rPr>
          <w:rFonts w:hint="eastAsia" w:eastAsiaTheme="minorEastAsia"/>
          <w:kern w:val="0"/>
          <w:szCs w:val="24"/>
        </w:rPr>
        <w:t>ina. (2019)</w:t>
      </w:r>
      <w:r>
        <w:rPr>
          <w:rFonts w:ascii="SimSun" w:hAnsi="SimSun" w:cs="SimSun"/>
          <w:i/>
          <w:iCs/>
          <w:kern w:val="0"/>
          <w:szCs w:val="24"/>
        </w:rPr>
        <w:t xml:space="preserve">"Breaking News! The Full List of China's Top 500 Enterprises in 2019 Released </w:t>
      </w:r>
      <w:r>
        <w:fldChar w:fldCharType="begin"/>
      </w:r>
      <w:r>
        <w:instrText xml:space="preserve"> HYPERLINK "https://finance.sina.com.cn/zt_d/2019_zq500qbd/" </w:instrText>
      </w:r>
      <w:r>
        <w:fldChar w:fldCharType="separate"/>
      </w:r>
      <w:r>
        <w:rPr>
          <w:rStyle w:val="11"/>
          <w:rFonts w:eastAsia="Times New Roman"/>
          <w:kern w:val="0"/>
          <w:szCs w:val="24"/>
          <w:lang w:eastAsia="en-GB"/>
        </w:rPr>
        <w:t>https://finance.sina.com.cn/zt_d/2019_zq500qbd/</w:t>
      </w:r>
      <w:r>
        <w:rPr>
          <w:rStyle w:val="11"/>
          <w:rFonts w:eastAsia="Times New Roman"/>
          <w:kern w:val="0"/>
          <w:szCs w:val="24"/>
          <w:lang w:eastAsia="en-GB"/>
        </w:rPr>
        <w:fldChar w:fldCharType="end"/>
      </w:r>
      <w:bookmarkEnd w:id="38"/>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华文行楷">
    <w:altName w:val="Microsoft YaHei"/>
    <w:panose1 w:val="02010800040101010101"/>
    <w:charset w:val="86"/>
    <w:family w:val="auto"/>
    <w:pitch w:val="default"/>
    <w:sig w:usb0="00000000" w:usb1="00000000" w:usb2="00000010" w:usb3="00000000" w:csb0="00040000" w:csb1="00000000"/>
  </w:font>
  <w:font w:name="Microsoft YaHei">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ind w:firstLine="0"/>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ind w:firstLine="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88" w:lineRule="auto"/>
      </w:pPr>
      <w:r>
        <w:separator/>
      </w:r>
    </w:p>
  </w:footnote>
  <w:footnote w:type="continuationSeparator" w:id="1">
    <w:p>
      <w:pPr>
        <w:spacing w:line="28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Bdr>
        <w:bottom w:val="none" w:color="auto" w:sz="0" w:space="0"/>
      </w:pBdr>
      <w:ind w:firstLine="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Bdr>
        <w:bottom w:val="none" w:color="auto" w:sz="0" w:space="0"/>
      </w:pBd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8E0640E"/>
    <w:multiLevelType w:val="multilevel"/>
    <w:tmpl w:val="28E0640E"/>
    <w:lvl w:ilvl="0" w:tentative="0">
      <w:start w:val="1"/>
      <w:numFmt w:val="decimal"/>
      <w:pStyle w:val="2"/>
      <w:suff w:val="space"/>
      <w:lvlText w:val="第%1章"/>
      <w:lvlJc w:val="left"/>
      <w:pPr>
        <w:tabs>
          <w:tab w:val="left" w:pos="0"/>
        </w:tabs>
        <w:ind w:left="0" w:firstLine="0"/>
      </w:pPr>
      <w:rPr>
        <w:rFonts w:hint="default"/>
        <w:color w:val="FFFFFF" w:themeColor="background1"/>
        <w:sz w:val="2"/>
        <w:szCs w:val="2"/>
        <w14:textFill>
          <w14:solidFill>
            <w14:schemeClr w14:val="bg1"/>
          </w14:solidFill>
        </w14:textFill>
      </w:rPr>
    </w:lvl>
    <w:lvl w:ilvl="1" w:tentative="0">
      <w:start w:val="1"/>
      <w:numFmt w:val="decimal"/>
      <w:isLgl/>
      <w:suff w:val="space"/>
      <w:lvlText w:val="%1.%2"/>
      <w:lvlJc w:val="left"/>
      <w:pPr>
        <w:tabs>
          <w:tab w:val="left" w:pos="0"/>
        </w:tabs>
        <w:ind w:left="0" w:firstLine="0"/>
      </w:pPr>
    </w:lvl>
    <w:lvl w:ilvl="2" w:tentative="0">
      <w:start w:val="1"/>
      <w:numFmt w:val="decimal"/>
      <w:isLgl/>
      <w:suff w:val="space"/>
      <w:lvlText w:val="%1.%2.%3"/>
      <w:lvlJc w:val="left"/>
      <w:pPr>
        <w:tabs>
          <w:tab w:val="left" w:pos="0"/>
        </w:tabs>
        <w:ind w:left="0" w:firstLine="0"/>
      </w:pPr>
    </w:lvl>
    <w:lvl w:ilvl="3" w:tentative="0">
      <w:start w:val="1"/>
      <w:numFmt w:val="decimal"/>
      <w:isLgl/>
      <w:suff w:val="space"/>
      <w:lvlText w:val="%1.%2.%3.%4"/>
      <w:lvlJc w:val="left"/>
      <w:pPr>
        <w:tabs>
          <w:tab w:val="left" w:pos="0"/>
        </w:tabs>
        <w:ind w:left="0" w:firstLine="0"/>
      </w:pPr>
    </w:lvl>
    <w:lvl w:ilvl="4" w:tentative="0">
      <w:start w:val="1"/>
      <w:numFmt w:val="decimal"/>
      <w:isLgl/>
      <w:suff w:val="space"/>
      <w:lvlText w:val="%1.%2.%3.%4.%5"/>
      <w:lvlJc w:val="left"/>
      <w:pPr>
        <w:tabs>
          <w:tab w:val="left" w:pos="0"/>
        </w:tabs>
        <w:ind w:left="0" w:firstLine="0"/>
      </w:pPr>
    </w:lvl>
    <w:lvl w:ilvl="5" w:tentative="0">
      <w:start w:val="1"/>
      <w:numFmt w:val="decimal"/>
      <w:isLgl/>
      <w:suff w:val="space"/>
      <w:lvlText w:val="%1.%2.%3.%4.%5.%6"/>
      <w:lvlJc w:val="left"/>
      <w:pPr>
        <w:tabs>
          <w:tab w:val="left" w:pos="0"/>
        </w:tabs>
        <w:ind w:left="0" w:firstLine="0"/>
      </w:pPr>
    </w:lvl>
    <w:lvl w:ilvl="6" w:tentative="0">
      <w:start w:val="1"/>
      <w:numFmt w:val="decimal"/>
      <w:isLgl/>
      <w:suff w:val="space"/>
      <w:lvlText w:val="%1.%2.%3.%4.%5.%6.%7"/>
      <w:lvlJc w:val="left"/>
      <w:pPr>
        <w:tabs>
          <w:tab w:val="left" w:pos="0"/>
        </w:tabs>
        <w:ind w:left="0" w:firstLine="0"/>
      </w:pPr>
    </w:lvl>
    <w:lvl w:ilvl="7" w:tentative="0">
      <w:start w:val="1"/>
      <w:numFmt w:val="decimal"/>
      <w:isLgl/>
      <w:suff w:val="space"/>
      <w:lvlText w:val="%1.%2.%3.%4.%5.%6.%7.%8"/>
      <w:lvlJc w:val="left"/>
      <w:pPr>
        <w:tabs>
          <w:tab w:val="left" w:pos="0"/>
        </w:tabs>
        <w:ind w:left="0" w:firstLine="0"/>
      </w:pPr>
    </w:lvl>
    <w:lvl w:ilvl="8" w:tentative="0">
      <w:start w:val="1"/>
      <w:numFmt w:val="decimal"/>
      <w:isLgl/>
      <w:suff w:val="space"/>
      <w:lvlText w:val="%1.%2.%3.%4.%5.%6.%7.%8.%9"/>
      <w:lvlJc w:val="left"/>
      <w:pPr>
        <w:tabs>
          <w:tab w:val="left" w:pos="0"/>
        </w:tabs>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VkNjUwMDIzZDJiNTQzNmYxOTEyZTdmZjgxMGUzMGEifQ=="/>
  </w:docVars>
  <w:rsids>
    <w:rsidRoot w:val="7ED13202"/>
    <w:rsid w:val="002F5BA5"/>
    <w:rsid w:val="00356A36"/>
    <w:rsid w:val="003920AF"/>
    <w:rsid w:val="003D3CD0"/>
    <w:rsid w:val="003E4C22"/>
    <w:rsid w:val="003E69BC"/>
    <w:rsid w:val="00534269"/>
    <w:rsid w:val="00601593"/>
    <w:rsid w:val="00A5376B"/>
    <w:rsid w:val="00AD5B28"/>
    <w:rsid w:val="00DD6E45"/>
    <w:rsid w:val="00E42FA4"/>
    <w:rsid w:val="00F84FAD"/>
    <w:rsid w:val="024C0993"/>
    <w:rsid w:val="02A458A4"/>
    <w:rsid w:val="043E699C"/>
    <w:rsid w:val="0625203A"/>
    <w:rsid w:val="0C3D64E0"/>
    <w:rsid w:val="0ED1335C"/>
    <w:rsid w:val="103764A9"/>
    <w:rsid w:val="1A2D3E6F"/>
    <w:rsid w:val="2A7B21E2"/>
    <w:rsid w:val="2A8A03F9"/>
    <w:rsid w:val="2A8B547C"/>
    <w:rsid w:val="2B173572"/>
    <w:rsid w:val="32894C60"/>
    <w:rsid w:val="32C27592"/>
    <w:rsid w:val="3A281202"/>
    <w:rsid w:val="3C345367"/>
    <w:rsid w:val="41BF2EE9"/>
    <w:rsid w:val="46C00F13"/>
    <w:rsid w:val="4C330106"/>
    <w:rsid w:val="4FCF4AC4"/>
    <w:rsid w:val="53281AE1"/>
    <w:rsid w:val="58CC6197"/>
    <w:rsid w:val="5A1E1573"/>
    <w:rsid w:val="5B156CC2"/>
    <w:rsid w:val="6385293E"/>
    <w:rsid w:val="6A780F69"/>
    <w:rsid w:val="6B14766C"/>
    <w:rsid w:val="73754343"/>
    <w:rsid w:val="743F0BD1"/>
    <w:rsid w:val="7ED132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spacing w:line="288" w:lineRule="auto"/>
      <w:ind w:firstLine="482"/>
      <w:jc w:val="both"/>
    </w:pPr>
    <w:rPr>
      <w:rFonts w:ascii="Times New Roman" w:hAnsi="Times New Roman" w:eastAsia="SimSun" w:cs="Times New Roman"/>
      <w:kern w:val="2"/>
      <w:sz w:val="24"/>
      <w:szCs w:val="22"/>
      <w:lang w:val="en-US" w:eastAsia="zh-CN" w:bidi="ar-SA"/>
    </w:rPr>
  </w:style>
  <w:style w:type="paragraph" w:styleId="2">
    <w:name w:val="heading 1"/>
    <w:basedOn w:val="1"/>
    <w:next w:val="1"/>
    <w:autoRedefine/>
    <w:qFormat/>
    <w:uiPriority w:val="9"/>
    <w:pPr>
      <w:numPr>
        <w:ilvl w:val="0"/>
        <w:numId w:val="1"/>
      </w:numPr>
      <w:spacing w:before="340" w:after="330" w:line="578" w:lineRule="auto"/>
      <w:jc w:val="center"/>
      <w:outlineLvl w:val="0"/>
    </w:pPr>
    <w:rPr>
      <w:rFonts w:eastAsia="SimHei"/>
      <w:b/>
      <w:bCs/>
      <w:kern w:val="44"/>
      <w:sz w:val="36"/>
      <w:szCs w:val="44"/>
    </w:rPr>
  </w:style>
  <w:style w:type="paragraph" w:styleId="3">
    <w:name w:val="heading 2"/>
    <w:basedOn w:val="1"/>
    <w:next w:val="1"/>
    <w:autoRedefine/>
    <w:unhideWhenUsed/>
    <w:qFormat/>
    <w:uiPriority w:val="0"/>
    <w:pPr>
      <w:keepNext/>
      <w:keepLines/>
      <w:spacing w:before="260" w:after="260" w:line="413" w:lineRule="auto"/>
      <w:outlineLvl w:val="1"/>
    </w:pPr>
    <w:rPr>
      <w:rFonts w:ascii="Arial" w:hAnsi="Arial" w:eastAsia="SimHei"/>
      <w:b/>
      <w:sz w:val="32"/>
    </w:rPr>
  </w:style>
  <w:style w:type="character" w:default="1" w:styleId="9">
    <w:name w:val="Default Paragraph Font"/>
    <w:autoRedefine/>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autoRedefine/>
    <w:unhideWhenUsed/>
    <w:qFormat/>
    <w:uiPriority w:val="99"/>
    <w:pPr>
      <w:tabs>
        <w:tab w:val="center" w:pos="4153"/>
        <w:tab w:val="right" w:pos="8306"/>
      </w:tabs>
      <w:snapToGrid w:val="0"/>
      <w:spacing w:line="240" w:lineRule="auto"/>
      <w:jc w:val="left"/>
    </w:pPr>
    <w:rPr>
      <w:sz w:val="18"/>
      <w:szCs w:val="18"/>
    </w:rPr>
  </w:style>
  <w:style w:type="paragraph" w:styleId="5">
    <w:name w:val="header"/>
    <w:basedOn w:val="1"/>
    <w:autoRedefine/>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6">
    <w:name w:val="toc 1"/>
    <w:basedOn w:val="1"/>
    <w:next w:val="1"/>
    <w:autoRedefine/>
    <w:qFormat/>
    <w:uiPriority w:val="0"/>
  </w:style>
  <w:style w:type="paragraph" w:styleId="7">
    <w:name w:val="toc 2"/>
    <w:basedOn w:val="1"/>
    <w:next w:val="1"/>
    <w:autoRedefine/>
    <w:qFormat/>
    <w:uiPriority w:val="0"/>
    <w:pPr>
      <w:ind w:left="420" w:leftChars="200"/>
    </w:pPr>
  </w:style>
  <w:style w:type="character" w:styleId="10">
    <w:name w:val="FollowedHyperlink"/>
    <w:basedOn w:val="9"/>
    <w:autoRedefine/>
    <w:qFormat/>
    <w:uiPriority w:val="0"/>
    <w:rPr>
      <w:color w:val="800080"/>
      <w:u w:val="single"/>
    </w:rPr>
  </w:style>
  <w:style w:type="character" w:styleId="11">
    <w:name w:val="Hyperlink"/>
    <w:basedOn w:val="9"/>
    <w:autoRedefine/>
    <w:qFormat/>
    <w:uiPriority w:val="0"/>
    <w:rPr>
      <w:color w:val="0000FF"/>
      <w:u w:val="single"/>
    </w:rPr>
  </w:style>
  <w:style w:type="paragraph" w:styleId="12">
    <w:name w:val="List Paragraph"/>
    <w:basedOn w:val="1"/>
    <w:autoRedefine/>
    <w:qFormat/>
    <w:uiPriority w:val="34"/>
    <w:pPr>
      <w:ind w:left="720"/>
      <w:contextualSpacing/>
    </w:pPr>
  </w:style>
  <w:style w:type="character" w:customStyle="1" w:styleId="13">
    <w:name w:val="Unresolved Mention"/>
    <w:basedOn w:val="9"/>
    <w:autoRedefine/>
    <w:semiHidden/>
    <w:unhideWhenUsed/>
    <w:qFormat/>
    <w:uiPriority w:val="99"/>
    <w:rPr>
      <w:color w:val="605E5C"/>
      <w:shd w:val="clear" w:color="auto" w:fill="E1DFDD"/>
    </w:rPr>
  </w:style>
  <w:style w:type="paragraph" w:customStyle="1" w:styleId="14">
    <w:name w:val="Bibliography"/>
    <w:basedOn w:val="1"/>
    <w:next w:val="1"/>
    <w:autoRedefine/>
    <w:semiHidden/>
    <w:unhideWhenUsed/>
    <w:qFormat/>
    <w:uiPriority w:val="37"/>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3686</Words>
  <Characters>21015</Characters>
  <Lines>175</Lines>
  <Paragraphs>49</Paragraphs>
  <TotalTime>0</TotalTime>
  <ScaleCrop>false</ScaleCrop>
  <LinksUpToDate>false</LinksUpToDate>
  <CharactersWithSpaces>24652</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2024-04-09T21:33:00Z</dcterms:created>
  <dc:creator>Mr lonely</dc:creator>
  <cp:lastModifiedBy>Mr lonely</cp:lastModifiedBy>
  <dcterms:modified xsi:type="dcterms:W3CDTF">2024-04-15T19:32:04Z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1F4F293CA0CD4CA480C8D9B776846E39_13</vt:lpwstr>
  </property>
</Properties>
</file>