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491FBA" w:rsidRPr="005D0229" w:rsidRDefault="00074402" w:rsidP="00D959CD">
      <w:pPr>
        <w:spacing w:line="360" w:lineRule="auto"/>
        <w:ind w:firstLine="720"/>
        <w:rPr>
          <w:rFonts w:asciiTheme="minorBidi" w:hAnsiTheme="minorBidi"/>
          <w:sz w:val="22"/>
        </w:rPr>
      </w:pPr>
      <w:r w:rsidRPr="005D0229">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5D0229" w:rsidRDefault="00074402" w:rsidP="00D959CD">
      <w:pPr>
        <w:spacing w:line="360" w:lineRule="auto"/>
        <w:ind w:firstLine="720"/>
        <w:rPr>
          <w:rFonts w:asciiTheme="minorBidi" w:hAnsiTheme="minorBidi"/>
          <w:sz w:val="22"/>
        </w:rPr>
      </w:pPr>
    </w:p>
    <w:p w14:paraId="4E267F2C" w14:textId="35E99859" w:rsidR="00074402" w:rsidRPr="005D0229" w:rsidRDefault="00074402" w:rsidP="00D959CD">
      <w:pPr>
        <w:spacing w:line="360" w:lineRule="auto"/>
        <w:ind w:firstLine="720"/>
        <w:rPr>
          <w:rFonts w:asciiTheme="minorBidi" w:hAnsiTheme="minorBidi"/>
          <w:sz w:val="22"/>
        </w:rPr>
      </w:pPr>
    </w:p>
    <w:p w14:paraId="5D864E3F" w14:textId="04749E68" w:rsidR="00074402" w:rsidRPr="005D0229" w:rsidRDefault="00074402" w:rsidP="00D959CD">
      <w:pPr>
        <w:spacing w:line="360" w:lineRule="auto"/>
        <w:ind w:firstLine="720"/>
        <w:rPr>
          <w:rFonts w:asciiTheme="minorBidi" w:hAnsiTheme="minorBidi"/>
          <w:sz w:val="22"/>
        </w:rPr>
      </w:pPr>
    </w:p>
    <w:p w14:paraId="22F2817A" w14:textId="77777777" w:rsidR="00074402" w:rsidRPr="005D0229" w:rsidRDefault="00074402" w:rsidP="00D959CD">
      <w:pPr>
        <w:tabs>
          <w:tab w:val="left" w:pos="6540"/>
        </w:tabs>
        <w:spacing w:line="360" w:lineRule="auto"/>
        <w:ind w:firstLine="720"/>
        <w:rPr>
          <w:rFonts w:asciiTheme="minorBidi" w:hAnsiTheme="minorBidi"/>
          <w:sz w:val="22"/>
        </w:rPr>
      </w:pPr>
    </w:p>
    <w:p w14:paraId="7D557BA5" w14:textId="79A4CBDC" w:rsidR="00CD33A8" w:rsidRPr="005D0229" w:rsidRDefault="00CD33A8" w:rsidP="00D959CD">
      <w:pPr>
        <w:tabs>
          <w:tab w:val="left" w:pos="6540"/>
        </w:tabs>
        <w:spacing w:line="360" w:lineRule="auto"/>
        <w:rPr>
          <w:rFonts w:ascii="Arial" w:hAnsi="Arial" w:cs="Arial"/>
          <w:sz w:val="28"/>
          <w:szCs w:val="28"/>
          <w:lang w:val="nl-NL"/>
        </w:rPr>
      </w:pPr>
      <w:r w:rsidRPr="005D0229">
        <w:rPr>
          <w:rFonts w:ascii="Arial" w:hAnsi="Arial" w:cs="Arial"/>
          <w:b/>
          <w:bCs/>
          <w:sz w:val="28"/>
          <w:szCs w:val="28"/>
          <w:lang w:val="nl-NL"/>
        </w:rPr>
        <w:t>Module name</w:t>
      </w:r>
      <w:r w:rsidRPr="005D0229">
        <w:rPr>
          <w:rFonts w:ascii="Arial" w:hAnsi="Arial" w:cs="Arial"/>
          <w:sz w:val="28"/>
          <w:szCs w:val="28"/>
          <w:lang w:val="nl-NL"/>
        </w:rPr>
        <w:t xml:space="preserve">: </w:t>
      </w:r>
      <w:r w:rsidR="00026676">
        <w:rPr>
          <w:rFonts w:ascii="Arial" w:hAnsi="Arial" w:cs="Arial"/>
          <w:sz w:val="28"/>
          <w:szCs w:val="28"/>
          <w:lang w:val="nl-NL"/>
        </w:rPr>
        <w:t>I</w:t>
      </w:r>
      <w:r w:rsidR="00026676" w:rsidRPr="00026676">
        <w:rPr>
          <w:rFonts w:ascii="Arial" w:hAnsi="Arial" w:cs="Arial"/>
          <w:sz w:val="28"/>
          <w:szCs w:val="28"/>
          <w:lang w:val="nl-NL"/>
        </w:rPr>
        <w:t>ntroduction to health and social care</w:t>
      </w:r>
    </w:p>
    <w:p w14:paraId="537571AF" w14:textId="3A1E4B9D" w:rsidR="00CD33A8" w:rsidRPr="005D0229" w:rsidRDefault="00CD33A8" w:rsidP="00D959CD">
      <w:pPr>
        <w:tabs>
          <w:tab w:val="left" w:pos="6540"/>
        </w:tabs>
        <w:spacing w:line="360" w:lineRule="auto"/>
        <w:rPr>
          <w:rFonts w:ascii="Arial" w:hAnsi="Arial" w:cs="Arial"/>
          <w:sz w:val="28"/>
          <w:szCs w:val="28"/>
        </w:rPr>
      </w:pPr>
      <w:r w:rsidRPr="005D0229">
        <w:rPr>
          <w:rFonts w:ascii="Arial" w:hAnsi="Arial" w:cs="Arial"/>
          <w:b/>
          <w:bCs/>
          <w:sz w:val="28"/>
          <w:szCs w:val="28"/>
        </w:rPr>
        <w:t>Module code</w:t>
      </w:r>
      <w:r w:rsidRPr="005D0229">
        <w:rPr>
          <w:rFonts w:ascii="Arial" w:hAnsi="Arial" w:cs="Arial"/>
          <w:sz w:val="28"/>
          <w:szCs w:val="28"/>
        </w:rPr>
        <w:t>:</w:t>
      </w:r>
      <w:r w:rsidR="00026676">
        <w:rPr>
          <w:rFonts w:ascii="Arial" w:hAnsi="Arial" w:cs="Arial"/>
          <w:sz w:val="28"/>
          <w:szCs w:val="28"/>
        </w:rPr>
        <w:t xml:space="preserve"> </w:t>
      </w:r>
      <w:r w:rsidR="00026676" w:rsidRPr="00026676">
        <w:rPr>
          <w:rFonts w:ascii="Arial" w:hAnsi="Arial" w:cs="Arial"/>
          <w:sz w:val="28"/>
          <w:szCs w:val="28"/>
        </w:rPr>
        <w:t>4003</w:t>
      </w:r>
    </w:p>
    <w:p w14:paraId="529D7354" w14:textId="77777777" w:rsidR="00CD33A8" w:rsidRPr="005D0229" w:rsidRDefault="00CD33A8" w:rsidP="00D959CD">
      <w:pPr>
        <w:tabs>
          <w:tab w:val="left" w:pos="6540"/>
        </w:tabs>
        <w:spacing w:line="360" w:lineRule="auto"/>
        <w:rPr>
          <w:rFonts w:ascii="Arial" w:hAnsi="Arial" w:cs="Arial"/>
          <w:b/>
          <w:bCs/>
          <w:sz w:val="28"/>
          <w:szCs w:val="28"/>
          <w:lang w:val="nl-NL"/>
        </w:rPr>
      </w:pPr>
    </w:p>
    <w:p w14:paraId="0A48766D" w14:textId="68E81298" w:rsidR="00074402" w:rsidRPr="005D0229" w:rsidRDefault="00074402" w:rsidP="00D959CD">
      <w:pPr>
        <w:tabs>
          <w:tab w:val="left" w:pos="6540"/>
        </w:tabs>
        <w:spacing w:line="360" w:lineRule="auto"/>
        <w:rPr>
          <w:rFonts w:ascii="Arial" w:hAnsi="Arial" w:cs="Arial"/>
          <w:sz w:val="28"/>
          <w:szCs w:val="28"/>
          <w:lang w:val="nl-NL"/>
        </w:rPr>
      </w:pPr>
      <w:r w:rsidRPr="005D0229">
        <w:rPr>
          <w:rFonts w:ascii="Arial" w:hAnsi="Arial" w:cs="Arial"/>
          <w:b/>
          <w:bCs/>
          <w:sz w:val="28"/>
          <w:szCs w:val="28"/>
          <w:lang w:val="nl-NL"/>
        </w:rPr>
        <w:t>Student name</w:t>
      </w:r>
      <w:r w:rsidRPr="005D0229">
        <w:rPr>
          <w:rFonts w:ascii="Arial" w:hAnsi="Arial" w:cs="Arial"/>
          <w:sz w:val="28"/>
          <w:szCs w:val="28"/>
          <w:lang w:val="nl-NL"/>
        </w:rPr>
        <w:t>:</w:t>
      </w:r>
      <w:r w:rsidR="00026676">
        <w:rPr>
          <w:rFonts w:ascii="Arial" w:hAnsi="Arial" w:cs="Arial"/>
          <w:sz w:val="28"/>
          <w:szCs w:val="28"/>
          <w:lang w:val="nl-NL"/>
        </w:rPr>
        <w:t xml:space="preserve"> </w:t>
      </w:r>
      <w:r w:rsidR="00026676" w:rsidRPr="00026676">
        <w:rPr>
          <w:rFonts w:ascii="Arial" w:hAnsi="Arial" w:cs="Arial"/>
          <w:sz w:val="28"/>
          <w:szCs w:val="28"/>
          <w:lang w:val="nl-NL"/>
        </w:rPr>
        <w:t>Ehizogie ineomon</w:t>
      </w:r>
    </w:p>
    <w:p w14:paraId="39AA4413" w14:textId="7883F4F1" w:rsidR="00074402" w:rsidRPr="005D0229" w:rsidRDefault="00074402" w:rsidP="00D959CD">
      <w:pPr>
        <w:tabs>
          <w:tab w:val="left" w:pos="6540"/>
        </w:tabs>
        <w:spacing w:line="360" w:lineRule="auto"/>
        <w:rPr>
          <w:rFonts w:ascii="Arial" w:hAnsi="Arial" w:cs="Arial"/>
          <w:sz w:val="28"/>
          <w:szCs w:val="28"/>
          <w:lang w:val="nl-NL"/>
        </w:rPr>
      </w:pPr>
      <w:r w:rsidRPr="005D0229">
        <w:rPr>
          <w:rFonts w:ascii="Arial" w:hAnsi="Arial" w:cs="Arial"/>
          <w:b/>
          <w:bCs/>
          <w:sz w:val="28"/>
          <w:szCs w:val="28"/>
          <w:lang w:val="nl-NL"/>
        </w:rPr>
        <w:t>Student ID</w:t>
      </w:r>
      <w:r w:rsidRPr="005D0229">
        <w:rPr>
          <w:rFonts w:ascii="Arial" w:hAnsi="Arial" w:cs="Arial"/>
          <w:sz w:val="28"/>
          <w:szCs w:val="28"/>
          <w:lang w:val="nl-NL"/>
        </w:rPr>
        <w:t>:</w:t>
      </w:r>
      <w:r w:rsidR="00026676">
        <w:rPr>
          <w:rFonts w:ascii="Arial" w:hAnsi="Arial" w:cs="Arial"/>
          <w:sz w:val="28"/>
          <w:szCs w:val="28"/>
          <w:lang w:val="nl-NL"/>
        </w:rPr>
        <w:t xml:space="preserve"> </w:t>
      </w:r>
      <w:r w:rsidR="00026676" w:rsidRPr="00026676">
        <w:rPr>
          <w:rFonts w:ascii="Arial" w:hAnsi="Arial" w:cs="Arial"/>
          <w:sz w:val="28"/>
          <w:szCs w:val="28"/>
          <w:lang w:val="nl-NL"/>
        </w:rPr>
        <w:t>2509567</w:t>
      </w:r>
    </w:p>
    <w:p w14:paraId="5E81F6AD" w14:textId="77777777" w:rsidR="00074402" w:rsidRPr="005D0229" w:rsidRDefault="00074402" w:rsidP="00D959CD">
      <w:pPr>
        <w:tabs>
          <w:tab w:val="left" w:pos="6540"/>
        </w:tabs>
        <w:spacing w:line="360" w:lineRule="auto"/>
        <w:rPr>
          <w:rFonts w:ascii="Arial" w:hAnsi="Arial" w:cs="Arial"/>
          <w:sz w:val="28"/>
          <w:szCs w:val="28"/>
          <w:lang w:val="nl-NL"/>
        </w:rPr>
      </w:pPr>
    </w:p>
    <w:p w14:paraId="1A0B2D2B" w14:textId="694BB843" w:rsidR="00074402" w:rsidRPr="005D0229" w:rsidRDefault="008E3943" w:rsidP="00D959CD">
      <w:pPr>
        <w:tabs>
          <w:tab w:val="left" w:pos="6540"/>
        </w:tabs>
        <w:spacing w:line="360" w:lineRule="auto"/>
        <w:rPr>
          <w:rFonts w:ascii="Arial" w:hAnsi="Arial" w:cs="Arial"/>
          <w:sz w:val="28"/>
          <w:szCs w:val="28"/>
        </w:rPr>
      </w:pPr>
      <w:r w:rsidRPr="005D0229">
        <w:rPr>
          <w:rFonts w:ascii="Arial" w:hAnsi="Arial" w:cs="Arial"/>
          <w:b/>
          <w:bCs/>
          <w:sz w:val="28"/>
          <w:szCs w:val="28"/>
        </w:rPr>
        <w:t>Lecturer’s name</w:t>
      </w:r>
      <w:r w:rsidR="00074402" w:rsidRPr="005D0229">
        <w:rPr>
          <w:rFonts w:ascii="Arial" w:hAnsi="Arial" w:cs="Arial"/>
          <w:sz w:val="28"/>
          <w:szCs w:val="28"/>
        </w:rPr>
        <w:t>:</w:t>
      </w:r>
      <w:r w:rsidR="00026676">
        <w:rPr>
          <w:rFonts w:ascii="Arial" w:hAnsi="Arial" w:cs="Arial"/>
          <w:sz w:val="28"/>
          <w:szCs w:val="28"/>
        </w:rPr>
        <w:t xml:space="preserve"> </w:t>
      </w:r>
      <w:r w:rsidR="00026676" w:rsidRPr="00026676">
        <w:rPr>
          <w:rFonts w:ascii="Arial" w:hAnsi="Arial" w:cs="Arial"/>
          <w:sz w:val="28"/>
          <w:szCs w:val="28"/>
        </w:rPr>
        <w:t>Oluwadamilola tayo</w:t>
      </w:r>
    </w:p>
    <w:p w14:paraId="39D08584" w14:textId="77777777" w:rsidR="00074402" w:rsidRPr="005D0229" w:rsidRDefault="00074402" w:rsidP="00D959CD">
      <w:pPr>
        <w:tabs>
          <w:tab w:val="left" w:pos="6540"/>
        </w:tabs>
        <w:spacing w:line="360" w:lineRule="auto"/>
        <w:ind w:firstLine="720"/>
        <w:rPr>
          <w:rFonts w:asciiTheme="minorBidi" w:hAnsiTheme="minorBidi"/>
          <w:sz w:val="22"/>
        </w:rPr>
      </w:pPr>
    </w:p>
    <w:p w14:paraId="5B66D125" w14:textId="77777777" w:rsidR="00074402" w:rsidRPr="005D0229" w:rsidRDefault="00074402" w:rsidP="00D959CD">
      <w:pPr>
        <w:tabs>
          <w:tab w:val="left" w:pos="6540"/>
        </w:tabs>
        <w:spacing w:line="360" w:lineRule="auto"/>
        <w:ind w:firstLine="720"/>
        <w:rPr>
          <w:rFonts w:asciiTheme="minorBidi" w:hAnsiTheme="minorBidi"/>
          <w:sz w:val="22"/>
        </w:rPr>
      </w:pPr>
    </w:p>
    <w:p w14:paraId="291524A2" w14:textId="2CBFF360" w:rsidR="00074402" w:rsidRPr="005D0229" w:rsidRDefault="00074402" w:rsidP="00D959CD">
      <w:pPr>
        <w:tabs>
          <w:tab w:val="left" w:pos="6540"/>
        </w:tabs>
        <w:spacing w:line="360" w:lineRule="auto"/>
        <w:ind w:firstLine="720"/>
        <w:rPr>
          <w:rFonts w:asciiTheme="minorBidi" w:hAnsiTheme="minorBidi"/>
          <w:sz w:val="22"/>
        </w:rPr>
      </w:pPr>
    </w:p>
    <w:p w14:paraId="5AE88297" w14:textId="24E6B718" w:rsidR="00B87E75" w:rsidRPr="005D0229" w:rsidRDefault="00B87E75" w:rsidP="00D959CD">
      <w:pPr>
        <w:tabs>
          <w:tab w:val="left" w:pos="6540"/>
        </w:tabs>
        <w:spacing w:line="360" w:lineRule="auto"/>
        <w:ind w:firstLine="720"/>
        <w:rPr>
          <w:rFonts w:asciiTheme="minorBidi" w:hAnsiTheme="minorBidi"/>
          <w:sz w:val="22"/>
        </w:rPr>
      </w:pPr>
    </w:p>
    <w:p w14:paraId="420ADE33" w14:textId="35FB1322" w:rsidR="00B87E75" w:rsidRPr="005D0229" w:rsidRDefault="00B87E75" w:rsidP="00D959CD">
      <w:pPr>
        <w:spacing w:line="360" w:lineRule="auto"/>
        <w:ind w:firstLine="720"/>
        <w:rPr>
          <w:rFonts w:asciiTheme="minorBidi" w:hAnsiTheme="minorBidi"/>
          <w:sz w:val="22"/>
        </w:rPr>
      </w:pPr>
      <w:r w:rsidRPr="005D0229">
        <w:rPr>
          <w:rFonts w:asciiTheme="minorBidi" w:hAnsiTheme="minorBidi"/>
          <w:sz w:val="22"/>
        </w:rPr>
        <w:br w:type="page"/>
      </w:r>
    </w:p>
    <w:sdt>
      <w:sdtPr>
        <w:rPr>
          <w:rFonts w:ascii="Times New Roman" w:eastAsiaTheme="minorHAnsi" w:hAnsi="Times New Roman" w:cstheme="minorBidi"/>
          <w:color w:val="auto"/>
          <w:sz w:val="24"/>
          <w:szCs w:val="22"/>
          <w:lang w:val="en-GB"/>
        </w:rPr>
        <w:id w:val="487752614"/>
        <w:docPartObj>
          <w:docPartGallery w:val="Table of Contents"/>
          <w:docPartUnique/>
        </w:docPartObj>
      </w:sdtPr>
      <w:sdtEndPr>
        <w:rPr>
          <w:b/>
          <w:bCs/>
          <w:noProof/>
        </w:rPr>
      </w:sdtEndPr>
      <w:sdtContent>
        <w:p w14:paraId="1C8079F5" w14:textId="3E30E7FD" w:rsidR="002A1509" w:rsidRPr="005D0229" w:rsidRDefault="002A1509" w:rsidP="00D959CD">
          <w:pPr>
            <w:pStyle w:val="TOCHeading"/>
            <w:spacing w:line="360" w:lineRule="auto"/>
            <w:rPr>
              <w:rFonts w:ascii="Arial" w:hAnsi="Arial" w:cs="Arial"/>
              <w:b/>
              <w:bCs/>
            </w:rPr>
          </w:pPr>
          <w:r w:rsidRPr="005D0229">
            <w:rPr>
              <w:rFonts w:ascii="Arial" w:hAnsi="Arial" w:cs="Arial"/>
              <w:b/>
              <w:bCs/>
            </w:rPr>
            <w:t>Table of Contents</w:t>
          </w:r>
        </w:p>
        <w:p w14:paraId="02DF0F62" w14:textId="7AB212DC" w:rsidR="002A1509" w:rsidRPr="005D0229" w:rsidRDefault="002A1509" w:rsidP="00D959CD">
          <w:pPr>
            <w:pStyle w:val="TOC1"/>
            <w:tabs>
              <w:tab w:val="right" w:leader="dot" w:pos="9016"/>
            </w:tabs>
            <w:spacing w:line="360" w:lineRule="auto"/>
            <w:rPr>
              <w:rFonts w:asciiTheme="minorHAnsi" w:eastAsiaTheme="minorEastAsia" w:hAnsiTheme="minorHAnsi"/>
              <w:noProof/>
              <w:sz w:val="22"/>
              <w:lang w:val="en-US"/>
            </w:rPr>
          </w:pPr>
          <w:r w:rsidRPr="005D0229">
            <w:fldChar w:fldCharType="begin"/>
          </w:r>
          <w:r w:rsidRPr="005D0229">
            <w:instrText xml:space="preserve"> TOC \o "1-3" \h \z \u </w:instrText>
          </w:r>
          <w:r w:rsidRPr="005D0229">
            <w:fldChar w:fldCharType="separate"/>
          </w:r>
          <w:hyperlink w:anchor="_Toc227055239" w:history="1">
            <w:r w:rsidRPr="005D0229">
              <w:rPr>
                <w:rStyle w:val="Hyperlink"/>
                <w:noProof/>
              </w:rPr>
              <w:t>1. Introduction</w:t>
            </w:r>
            <w:r w:rsidRPr="005D0229">
              <w:rPr>
                <w:noProof/>
                <w:webHidden/>
              </w:rPr>
              <w:tab/>
            </w:r>
            <w:r w:rsidRPr="005D0229">
              <w:rPr>
                <w:noProof/>
                <w:webHidden/>
              </w:rPr>
              <w:fldChar w:fldCharType="begin"/>
            </w:r>
            <w:r w:rsidRPr="005D0229">
              <w:rPr>
                <w:noProof/>
                <w:webHidden/>
              </w:rPr>
              <w:instrText xml:space="preserve"> PAGEREF _Toc227055239 \h </w:instrText>
            </w:r>
            <w:r w:rsidRPr="005D0229">
              <w:rPr>
                <w:noProof/>
                <w:webHidden/>
              </w:rPr>
            </w:r>
            <w:r w:rsidRPr="005D0229">
              <w:rPr>
                <w:noProof/>
                <w:webHidden/>
              </w:rPr>
              <w:fldChar w:fldCharType="separate"/>
            </w:r>
            <w:r w:rsidRPr="005D0229">
              <w:rPr>
                <w:noProof/>
                <w:webHidden/>
              </w:rPr>
              <w:t>3</w:t>
            </w:r>
            <w:r w:rsidRPr="005D0229">
              <w:rPr>
                <w:noProof/>
                <w:webHidden/>
              </w:rPr>
              <w:fldChar w:fldCharType="end"/>
            </w:r>
          </w:hyperlink>
        </w:p>
        <w:p w14:paraId="425DE0F1" w14:textId="0B85E8F5" w:rsidR="002A1509" w:rsidRPr="005D0229" w:rsidRDefault="004E0304" w:rsidP="00D959CD">
          <w:pPr>
            <w:pStyle w:val="TOC1"/>
            <w:tabs>
              <w:tab w:val="right" w:leader="dot" w:pos="9016"/>
            </w:tabs>
            <w:spacing w:line="360" w:lineRule="auto"/>
            <w:rPr>
              <w:rFonts w:asciiTheme="minorHAnsi" w:eastAsiaTheme="minorEastAsia" w:hAnsiTheme="minorHAnsi"/>
              <w:noProof/>
              <w:sz w:val="22"/>
              <w:lang w:val="en-US"/>
            </w:rPr>
          </w:pPr>
          <w:hyperlink w:anchor="_Toc227055240" w:history="1">
            <w:r w:rsidR="002A1509" w:rsidRPr="005D0229">
              <w:rPr>
                <w:rStyle w:val="Hyperlink"/>
                <w:noProof/>
              </w:rPr>
              <w:t>2. Importance of effective communication</w:t>
            </w:r>
            <w:r w:rsidR="002A1509" w:rsidRPr="005D0229">
              <w:rPr>
                <w:noProof/>
                <w:webHidden/>
              </w:rPr>
              <w:tab/>
            </w:r>
            <w:r w:rsidR="002A1509" w:rsidRPr="005D0229">
              <w:rPr>
                <w:noProof/>
                <w:webHidden/>
              </w:rPr>
              <w:fldChar w:fldCharType="begin"/>
            </w:r>
            <w:r w:rsidR="002A1509" w:rsidRPr="005D0229">
              <w:rPr>
                <w:noProof/>
                <w:webHidden/>
              </w:rPr>
              <w:instrText xml:space="preserve"> PAGEREF _Toc227055240 \h </w:instrText>
            </w:r>
            <w:r w:rsidR="002A1509" w:rsidRPr="005D0229">
              <w:rPr>
                <w:noProof/>
                <w:webHidden/>
              </w:rPr>
            </w:r>
            <w:r w:rsidR="002A1509" w:rsidRPr="005D0229">
              <w:rPr>
                <w:noProof/>
                <w:webHidden/>
              </w:rPr>
              <w:fldChar w:fldCharType="separate"/>
            </w:r>
            <w:r w:rsidR="002A1509" w:rsidRPr="005D0229">
              <w:rPr>
                <w:noProof/>
                <w:webHidden/>
              </w:rPr>
              <w:t>3</w:t>
            </w:r>
            <w:r w:rsidR="002A1509" w:rsidRPr="005D0229">
              <w:rPr>
                <w:noProof/>
                <w:webHidden/>
              </w:rPr>
              <w:fldChar w:fldCharType="end"/>
            </w:r>
          </w:hyperlink>
        </w:p>
        <w:p w14:paraId="268B5C30" w14:textId="68969DCA" w:rsidR="002A1509" w:rsidRPr="005D0229" w:rsidRDefault="004E0304" w:rsidP="00D959CD">
          <w:pPr>
            <w:pStyle w:val="TOC1"/>
            <w:tabs>
              <w:tab w:val="right" w:leader="dot" w:pos="9016"/>
            </w:tabs>
            <w:spacing w:line="360" w:lineRule="auto"/>
            <w:rPr>
              <w:rFonts w:asciiTheme="minorHAnsi" w:eastAsiaTheme="minorEastAsia" w:hAnsiTheme="minorHAnsi"/>
              <w:noProof/>
              <w:sz w:val="22"/>
              <w:lang w:val="en-US"/>
            </w:rPr>
          </w:pPr>
          <w:hyperlink w:anchor="_Toc227055241" w:history="1">
            <w:r w:rsidR="002A1509" w:rsidRPr="005D0229">
              <w:rPr>
                <w:rStyle w:val="Hyperlink"/>
                <w:noProof/>
              </w:rPr>
              <w:t>3. Importance of good administrative skills</w:t>
            </w:r>
            <w:r w:rsidR="002A1509" w:rsidRPr="005D0229">
              <w:rPr>
                <w:noProof/>
                <w:webHidden/>
              </w:rPr>
              <w:tab/>
            </w:r>
            <w:r w:rsidR="002A1509" w:rsidRPr="005D0229">
              <w:rPr>
                <w:noProof/>
                <w:webHidden/>
              </w:rPr>
              <w:fldChar w:fldCharType="begin"/>
            </w:r>
            <w:r w:rsidR="002A1509" w:rsidRPr="005D0229">
              <w:rPr>
                <w:noProof/>
                <w:webHidden/>
              </w:rPr>
              <w:instrText xml:space="preserve"> PAGEREF _Toc227055241 \h </w:instrText>
            </w:r>
            <w:r w:rsidR="002A1509" w:rsidRPr="005D0229">
              <w:rPr>
                <w:noProof/>
                <w:webHidden/>
              </w:rPr>
            </w:r>
            <w:r w:rsidR="002A1509" w:rsidRPr="005D0229">
              <w:rPr>
                <w:noProof/>
                <w:webHidden/>
              </w:rPr>
              <w:fldChar w:fldCharType="separate"/>
            </w:r>
            <w:r w:rsidR="002A1509" w:rsidRPr="005D0229">
              <w:rPr>
                <w:noProof/>
                <w:webHidden/>
              </w:rPr>
              <w:t>4</w:t>
            </w:r>
            <w:r w:rsidR="002A1509" w:rsidRPr="005D0229">
              <w:rPr>
                <w:noProof/>
                <w:webHidden/>
              </w:rPr>
              <w:fldChar w:fldCharType="end"/>
            </w:r>
          </w:hyperlink>
        </w:p>
        <w:p w14:paraId="4B5C77BA" w14:textId="2E235F72" w:rsidR="002A1509" w:rsidRPr="005D0229" w:rsidRDefault="004E0304" w:rsidP="00D959CD">
          <w:pPr>
            <w:pStyle w:val="TOC1"/>
            <w:tabs>
              <w:tab w:val="right" w:leader="dot" w:pos="9016"/>
            </w:tabs>
            <w:spacing w:line="360" w:lineRule="auto"/>
            <w:rPr>
              <w:rFonts w:asciiTheme="minorHAnsi" w:eastAsiaTheme="minorEastAsia" w:hAnsiTheme="minorHAnsi"/>
              <w:noProof/>
              <w:sz w:val="22"/>
              <w:lang w:val="en-US"/>
            </w:rPr>
          </w:pPr>
          <w:hyperlink w:anchor="_Toc227055242" w:history="1">
            <w:r w:rsidR="002A1509" w:rsidRPr="005D0229">
              <w:rPr>
                <w:rStyle w:val="Hyperlink"/>
                <w:noProof/>
              </w:rPr>
              <w:t>4. Importance of working collaboratively</w:t>
            </w:r>
            <w:r w:rsidR="002A1509" w:rsidRPr="005D0229">
              <w:rPr>
                <w:noProof/>
                <w:webHidden/>
              </w:rPr>
              <w:tab/>
            </w:r>
            <w:r w:rsidR="002A1509" w:rsidRPr="005D0229">
              <w:rPr>
                <w:noProof/>
                <w:webHidden/>
              </w:rPr>
              <w:fldChar w:fldCharType="begin"/>
            </w:r>
            <w:r w:rsidR="002A1509" w:rsidRPr="005D0229">
              <w:rPr>
                <w:noProof/>
                <w:webHidden/>
              </w:rPr>
              <w:instrText xml:space="preserve"> PAGEREF _Toc227055242 \h </w:instrText>
            </w:r>
            <w:r w:rsidR="002A1509" w:rsidRPr="005D0229">
              <w:rPr>
                <w:noProof/>
                <w:webHidden/>
              </w:rPr>
            </w:r>
            <w:r w:rsidR="002A1509" w:rsidRPr="005D0229">
              <w:rPr>
                <w:noProof/>
                <w:webHidden/>
              </w:rPr>
              <w:fldChar w:fldCharType="separate"/>
            </w:r>
            <w:r w:rsidR="002A1509" w:rsidRPr="005D0229">
              <w:rPr>
                <w:noProof/>
                <w:webHidden/>
              </w:rPr>
              <w:t>5</w:t>
            </w:r>
            <w:r w:rsidR="002A1509" w:rsidRPr="005D0229">
              <w:rPr>
                <w:noProof/>
                <w:webHidden/>
              </w:rPr>
              <w:fldChar w:fldCharType="end"/>
            </w:r>
          </w:hyperlink>
        </w:p>
        <w:p w14:paraId="3569EFB1" w14:textId="49BC7F73" w:rsidR="002A1509" w:rsidRPr="005D0229" w:rsidRDefault="004E0304" w:rsidP="00D959CD">
          <w:pPr>
            <w:pStyle w:val="TOC1"/>
            <w:tabs>
              <w:tab w:val="right" w:leader="dot" w:pos="9016"/>
            </w:tabs>
            <w:spacing w:line="360" w:lineRule="auto"/>
            <w:rPr>
              <w:rFonts w:asciiTheme="minorHAnsi" w:eastAsiaTheme="minorEastAsia" w:hAnsiTheme="minorHAnsi"/>
              <w:noProof/>
              <w:sz w:val="22"/>
              <w:lang w:val="en-US"/>
            </w:rPr>
          </w:pPr>
          <w:hyperlink w:anchor="_Toc227055243" w:history="1">
            <w:r w:rsidR="002A1509" w:rsidRPr="005D0229">
              <w:rPr>
                <w:rStyle w:val="Hyperlink"/>
                <w:noProof/>
              </w:rPr>
              <w:t>5. Conclusion</w:t>
            </w:r>
            <w:r w:rsidR="002A1509" w:rsidRPr="005D0229">
              <w:rPr>
                <w:noProof/>
                <w:webHidden/>
              </w:rPr>
              <w:tab/>
            </w:r>
            <w:r w:rsidR="002A1509" w:rsidRPr="005D0229">
              <w:rPr>
                <w:noProof/>
                <w:webHidden/>
              </w:rPr>
              <w:fldChar w:fldCharType="begin"/>
            </w:r>
            <w:r w:rsidR="002A1509" w:rsidRPr="005D0229">
              <w:rPr>
                <w:noProof/>
                <w:webHidden/>
              </w:rPr>
              <w:instrText xml:space="preserve"> PAGEREF _Toc227055243 \h </w:instrText>
            </w:r>
            <w:r w:rsidR="002A1509" w:rsidRPr="005D0229">
              <w:rPr>
                <w:noProof/>
                <w:webHidden/>
              </w:rPr>
            </w:r>
            <w:r w:rsidR="002A1509" w:rsidRPr="005D0229">
              <w:rPr>
                <w:noProof/>
                <w:webHidden/>
              </w:rPr>
              <w:fldChar w:fldCharType="separate"/>
            </w:r>
            <w:r w:rsidR="002A1509" w:rsidRPr="005D0229">
              <w:rPr>
                <w:noProof/>
                <w:webHidden/>
              </w:rPr>
              <w:t>6</w:t>
            </w:r>
            <w:r w:rsidR="002A1509" w:rsidRPr="005D0229">
              <w:rPr>
                <w:noProof/>
                <w:webHidden/>
              </w:rPr>
              <w:fldChar w:fldCharType="end"/>
            </w:r>
          </w:hyperlink>
        </w:p>
        <w:p w14:paraId="3C1D19F7" w14:textId="442B6E5A" w:rsidR="002A1509" w:rsidRPr="005D0229" w:rsidRDefault="004E0304" w:rsidP="00D959CD">
          <w:pPr>
            <w:pStyle w:val="TOC1"/>
            <w:tabs>
              <w:tab w:val="right" w:leader="dot" w:pos="9016"/>
            </w:tabs>
            <w:spacing w:line="360" w:lineRule="auto"/>
            <w:rPr>
              <w:rFonts w:asciiTheme="minorHAnsi" w:eastAsiaTheme="minorEastAsia" w:hAnsiTheme="minorHAnsi"/>
              <w:noProof/>
              <w:sz w:val="22"/>
              <w:lang w:val="en-US"/>
            </w:rPr>
          </w:pPr>
          <w:hyperlink w:anchor="_Toc227055244" w:history="1">
            <w:r w:rsidR="002A1509" w:rsidRPr="005D0229">
              <w:rPr>
                <w:rStyle w:val="Hyperlink"/>
                <w:noProof/>
              </w:rPr>
              <w:t>References</w:t>
            </w:r>
            <w:r w:rsidR="002A1509" w:rsidRPr="005D0229">
              <w:rPr>
                <w:noProof/>
                <w:webHidden/>
              </w:rPr>
              <w:tab/>
            </w:r>
            <w:r w:rsidR="002A1509" w:rsidRPr="005D0229">
              <w:rPr>
                <w:noProof/>
                <w:webHidden/>
              </w:rPr>
              <w:fldChar w:fldCharType="begin"/>
            </w:r>
            <w:r w:rsidR="002A1509" w:rsidRPr="005D0229">
              <w:rPr>
                <w:noProof/>
                <w:webHidden/>
              </w:rPr>
              <w:instrText xml:space="preserve"> PAGEREF _Toc227055244 \h </w:instrText>
            </w:r>
            <w:r w:rsidR="002A1509" w:rsidRPr="005D0229">
              <w:rPr>
                <w:noProof/>
                <w:webHidden/>
              </w:rPr>
            </w:r>
            <w:r w:rsidR="002A1509" w:rsidRPr="005D0229">
              <w:rPr>
                <w:noProof/>
                <w:webHidden/>
              </w:rPr>
              <w:fldChar w:fldCharType="separate"/>
            </w:r>
            <w:r w:rsidR="002A1509" w:rsidRPr="005D0229">
              <w:rPr>
                <w:noProof/>
                <w:webHidden/>
              </w:rPr>
              <w:t>7</w:t>
            </w:r>
            <w:r w:rsidR="002A1509" w:rsidRPr="005D0229">
              <w:rPr>
                <w:noProof/>
                <w:webHidden/>
              </w:rPr>
              <w:fldChar w:fldCharType="end"/>
            </w:r>
          </w:hyperlink>
        </w:p>
        <w:p w14:paraId="07D365C7" w14:textId="4379E934" w:rsidR="002A1509" w:rsidRPr="005D0229" w:rsidRDefault="002A1509" w:rsidP="00D959CD">
          <w:pPr>
            <w:spacing w:line="360" w:lineRule="auto"/>
          </w:pPr>
          <w:r w:rsidRPr="005D0229">
            <w:rPr>
              <w:b/>
              <w:bCs/>
              <w:noProof/>
            </w:rPr>
            <w:fldChar w:fldCharType="end"/>
          </w:r>
        </w:p>
      </w:sdtContent>
    </w:sdt>
    <w:p w14:paraId="13E00080" w14:textId="137FF22A" w:rsidR="00B87E75" w:rsidRPr="005D0229" w:rsidRDefault="00B87E75" w:rsidP="00D959CD">
      <w:pPr>
        <w:spacing w:line="360" w:lineRule="auto"/>
        <w:ind w:firstLine="720"/>
        <w:rPr>
          <w:rFonts w:asciiTheme="minorBidi" w:hAnsiTheme="minorBidi"/>
          <w:sz w:val="22"/>
        </w:rPr>
      </w:pPr>
    </w:p>
    <w:p w14:paraId="2E79F7ED" w14:textId="182913C0" w:rsidR="00B87E75" w:rsidRPr="005D0229" w:rsidRDefault="00B87E75" w:rsidP="00D959CD">
      <w:pPr>
        <w:spacing w:line="360" w:lineRule="auto"/>
        <w:ind w:firstLine="720"/>
        <w:rPr>
          <w:rFonts w:asciiTheme="minorBidi" w:hAnsiTheme="minorBidi"/>
          <w:sz w:val="22"/>
        </w:rPr>
      </w:pPr>
    </w:p>
    <w:p w14:paraId="7AE771D5" w14:textId="58A37DCB" w:rsidR="00B87E75" w:rsidRPr="005D0229" w:rsidRDefault="00CB3989" w:rsidP="00D959CD">
      <w:pPr>
        <w:tabs>
          <w:tab w:val="left" w:pos="2749"/>
        </w:tabs>
        <w:spacing w:line="360" w:lineRule="auto"/>
        <w:ind w:firstLine="720"/>
        <w:rPr>
          <w:rFonts w:asciiTheme="minorBidi" w:hAnsiTheme="minorBidi"/>
          <w:sz w:val="22"/>
        </w:rPr>
      </w:pPr>
      <w:r w:rsidRPr="005D0229">
        <w:rPr>
          <w:rFonts w:asciiTheme="minorBidi" w:hAnsiTheme="minorBidi"/>
          <w:sz w:val="22"/>
        </w:rPr>
        <w:tab/>
      </w:r>
    </w:p>
    <w:p w14:paraId="4F7320CB" w14:textId="000D21B8" w:rsidR="00B87E75" w:rsidRPr="005D0229" w:rsidRDefault="00B87E75" w:rsidP="00D959CD">
      <w:pPr>
        <w:spacing w:line="360" w:lineRule="auto"/>
        <w:ind w:firstLine="720"/>
        <w:rPr>
          <w:rFonts w:asciiTheme="minorBidi" w:hAnsiTheme="minorBidi"/>
          <w:sz w:val="22"/>
        </w:rPr>
      </w:pPr>
      <w:r w:rsidRPr="005D0229">
        <w:rPr>
          <w:rFonts w:asciiTheme="minorBidi" w:hAnsiTheme="minorBidi"/>
          <w:sz w:val="22"/>
        </w:rPr>
        <w:br w:type="page"/>
      </w:r>
    </w:p>
    <w:p w14:paraId="12D76753" w14:textId="393172FB" w:rsidR="00B87E75" w:rsidRPr="005D0229" w:rsidRDefault="00B87E75" w:rsidP="00D959CD">
      <w:pPr>
        <w:pStyle w:val="Heading1"/>
      </w:pPr>
      <w:bookmarkStart w:id="0" w:name="_Toc227055239"/>
      <w:r w:rsidRPr="005D0229">
        <w:lastRenderedPageBreak/>
        <w:t>1. Introduction</w:t>
      </w:r>
      <w:bookmarkEnd w:id="0"/>
    </w:p>
    <w:p w14:paraId="52010A5E" w14:textId="4A60FF2C" w:rsidR="0026393A" w:rsidRPr="005D0229" w:rsidRDefault="00AD5F0C" w:rsidP="00D959CD">
      <w:pPr>
        <w:tabs>
          <w:tab w:val="left" w:pos="6540"/>
        </w:tabs>
        <w:spacing w:line="360" w:lineRule="auto"/>
        <w:ind w:firstLine="720"/>
        <w:rPr>
          <w:rFonts w:ascii="Arial" w:hAnsi="Arial" w:cs="Arial"/>
          <w:sz w:val="22"/>
        </w:rPr>
      </w:pPr>
      <w:r w:rsidRPr="005D0229">
        <w:rPr>
          <w:rFonts w:ascii="Arial" w:hAnsi="Arial" w:cs="Arial"/>
          <w:sz w:val="22"/>
        </w:rPr>
        <w:t xml:space="preserve">Mr Ahmed case demonstrates that community-based care is complex and relies on delivering more than just discrete actions. He needs to be supported by domiciliary carers, his GP, a district nurse and a speech and language therapist after he was hospitalized due to a stroke and heavily depends on his wife due to Bengali being his first language. NICE (2021) claims that good care ought to facilitate shared decision making as opposed to passive services receipt, whereas transit between hospitals and homes is usually characterized by uncertainty and broken support and stress among patients and families (Lin et al. 2022). It is on that grounds that this report critically </w:t>
      </w:r>
      <w:r w:rsidR="00FA48D9" w:rsidRPr="005D0229">
        <w:rPr>
          <w:rFonts w:ascii="Arial" w:hAnsi="Arial" w:cs="Arial"/>
          <w:sz w:val="22"/>
        </w:rPr>
        <w:t>analyses</w:t>
      </w:r>
      <w:r w:rsidRPr="005D0229">
        <w:rPr>
          <w:rFonts w:ascii="Arial" w:hAnsi="Arial" w:cs="Arial"/>
          <w:sz w:val="22"/>
        </w:rPr>
        <w:t xml:space="preserve"> the role of effective communication, good administrative practice and collaboration of working as applied to the care of Mr Ahmed with reference to the relevant legislation, policy and current evidences.</w:t>
      </w:r>
    </w:p>
    <w:p w14:paraId="73B07562" w14:textId="0E99FAFE" w:rsidR="008E3943" w:rsidRPr="005D0229" w:rsidRDefault="0026393A" w:rsidP="00D959CD">
      <w:pPr>
        <w:pStyle w:val="Heading1"/>
      </w:pPr>
      <w:bookmarkStart w:id="1" w:name="_Toc227055240"/>
      <w:r w:rsidRPr="005D0229">
        <w:t xml:space="preserve">2. </w:t>
      </w:r>
      <w:r w:rsidR="008E3943" w:rsidRPr="005D0229">
        <w:t>Importance of effective communication</w:t>
      </w:r>
      <w:bookmarkEnd w:id="1"/>
    </w:p>
    <w:p w14:paraId="10C9CB85" w14:textId="524586E6" w:rsidR="00783A50" w:rsidRPr="005D0229" w:rsidRDefault="00783A50" w:rsidP="00D959CD">
      <w:pPr>
        <w:tabs>
          <w:tab w:val="left" w:pos="6540"/>
        </w:tabs>
        <w:spacing w:line="360" w:lineRule="auto"/>
        <w:ind w:firstLine="720"/>
        <w:rPr>
          <w:rFonts w:asciiTheme="minorBidi" w:hAnsiTheme="minorBidi"/>
          <w:sz w:val="22"/>
        </w:rPr>
      </w:pPr>
      <w:r w:rsidRPr="005D0229">
        <w:rPr>
          <w:rFonts w:asciiTheme="minorBidi" w:hAnsiTheme="minorBidi"/>
          <w:sz w:val="22"/>
        </w:rPr>
        <w:t>Safe and person-centred care heavily relies on effective communication as it influences the development of understanding, consent, trust and adherence. NICE (2021) points out that service users must be provided with information which they are capable of comprehending, thereby enabling them to be actively engaged in decision-making, and Lin et al. (2022) have established that stroke survivors and their caregivers are likely to get confused after they go home because of inconsistent communication and overcomplicated information transmission. The problem of communication in the case of Mr Ahmed is not a procedural matter but a clinical/ethical concern since he recently experienced a stroke, receives medication-dependent care at home, and has poor English. When employees are used to common verbal communications or haste communication, it is not only inconvenience but can tamper with autonomy and predispose to drug error or missed care.</w:t>
      </w:r>
    </w:p>
    <w:p w14:paraId="28915A80" w14:textId="0723C379" w:rsidR="00783A50" w:rsidRPr="005D0229" w:rsidRDefault="00783A50" w:rsidP="00D959CD">
      <w:pPr>
        <w:tabs>
          <w:tab w:val="left" w:pos="6540"/>
        </w:tabs>
        <w:spacing w:line="360" w:lineRule="auto"/>
        <w:ind w:firstLine="720"/>
        <w:rPr>
          <w:rFonts w:asciiTheme="minorBidi" w:hAnsiTheme="minorBidi"/>
          <w:sz w:val="22"/>
        </w:rPr>
      </w:pPr>
      <w:r w:rsidRPr="005D0229">
        <w:rPr>
          <w:rFonts w:asciiTheme="minorBidi" w:hAnsiTheme="minorBidi"/>
          <w:sz w:val="22"/>
        </w:rPr>
        <w:t xml:space="preserve">Exchange of information with Mr Ahmed should thus be adjusted with his linguistic and cognitive background. Equality Act 2010 presents the requirements to ensure that the services do not contain any discriminatory practice and to make reasonable adjustments when a person is disadvantaged by the disability or other protected characteristics, whereas NICE (2021) emphasizes that the participation in the decision-making process should be approachable with unique considerations. Stroke can impair comprehension, thus speech or confidence, carers are advised to use short, clear sentences, clarify meaning, to provide more time to respond and have accompanying visual prompts or information translation in due ascending situations. As Poirier et al. (2024) demonstrate, not all individuals with chronic aphasia are unable to get involved in any services; it is merely that the services do not alter the communicative environment, and research by Al-Yateem et al. (2023) </w:t>
      </w:r>
      <w:r w:rsidRPr="005D0229">
        <w:rPr>
          <w:rFonts w:asciiTheme="minorBidi" w:hAnsiTheme="minorBidi"/>
          <w:sz w:val="22"/>
        </w:rPr>
        <w:lastRenderedPageBreak/>
        <w:t>demonstrated that language barriers can rapidly become issues of quality and safety when the practitioners cannot verify the understanding with the patient</w:t>
      </w:r>
      <w:r w:rsidR="00AD5F0C" w:rsidRPr="005D0229">
        <w:rPr>
          <w:rFonts w:asciiTheme="minorBidi" w:hAnsiTheme="minorBidi"/>
          <w:sz w:val="22"/>
        </w:rPr>
        <w:t>.</w:t>
      </w:r>
    </w:p>
    <w:p w14:paraId="6AE9669B" w14:textId="6919E8D3" w:rsidR="00783A50" w:rsidRPr="005D0229" w:rsidRDefault="00783A50" w:rsidP="00D959CD">
      <w:pPr>
        <w:tabs>
          <w:tab w:val="left" w:pos="6540"/>
        </w:tabs>
        <w:spacing w:line="360" w:lineRule="auto"/>
        <w:ind w:firstLine="720"/>
        <w:rPr>
          <w:rFonts w:asciiTheme="minorBidi" w:hAnsiTheme="minorBidi"/>
          <w:sz w:val="22"/>
        </w:rPr>
      </w:pPr>
      <w:r w:rsidRPr="005D0229">
        <w:rPr>
          <w:rFonts w:asciiTheme="minorBidi" w:hAnsiTheme="minorBidi"/>
          <w:sz w:val="22"/>
        </w:rPr>
        <w:t>This is conceptually helpful when regarded in terms of the transactional model of communication which considers communication to be a dynamic process that involves feedback and noise in both directions. Heath et al. (2023) noted that with proper interpreter assistance, communication outcomes could be enhanced, whereas Poirier et al. (2024) reported that positive environments and supportive partners that help people with communication impairments. As a model, when applied critically, it insinuates that professionals must not merely speak louder, or repeat information, but they need to actively seek feedback, confirm understanding and modify the interaction until Mr Ahmed is able to participate in a meaningful manner.</w:t>
      </w:r>
    </w:p>
    <w:p w14:paraId="336F5447" w14:textId="68B1364C" w:rsidR="008E3943" w:rsidRPr="005D0229" w:rsidRDefault="00783A50" w:rsidP="00D959CD">
      <w:pPr>
        <w:tabs>
          <w:tab w:val="left" w:pos="6540"/>
        </w:tabs>
        <w:spacing w:line="360" w:lineRule="auto"/>
        <w:ind w:firstLine="720"/>
        <w:rPr>
          <w:rFonts w:asciiTheme="minorBidi" w:hAnsiTheme="minorBidi"/>
          <w:sz w:val="22"/>
        </w:rPr>
      </w:pPr>
      <w:r w:rsidRPr="005D0229">
        <w:rPr>
          <w:rFonts w:asciiTheme="minorBidi" w:hAnsiTheme="minorBidi"/>
          <w:sz w:val="22"/>
        </w:rPr>
        <w:t>Families should be involved as well but with caution. The wife of Mr Ahmed contributes to understanding the context and supports to a stroke survivor through practical experience, which Bakas et al. (2022) demonstrate can result in better outcomes when the family serves as supports instead of being a stressor. But, excessive dependency on the use of relatives as informal interpreters may corrupt information, undermine confidentiality or inadvertently shut-out the service user. Heath et al. (2023) find that professional terms of interpreter are typically safer and more effective than informal interpretation, and Al-Yateem et al. (2023) report that in informal communication, shortcuts hide, do not solve the misunderstanding. Consequently, practitioners need to take the initiative to talk directly with Mr Ahmed, where his wife is another party in the care, and a language support is utilized on complex matters or safety critical information. The method more appropriately represents equality, dignity and shared decision making than granting the mediation of the family to substitute the direct communication.</w:t>
      </w:r>
    </w:p>
    <w:p w14:paraId="3398AF2B" w14:textId="77777777" w:rsidR="008E3943" w:rsidRPr="005D0229" w:rsidRDefault="008E3943" w:rsidP="00D959CD">
      <w:pPr>
        <w:tabs>
          <w:tab w:val="left" w:pos="6540"/>
        </w:tabs>
        <w:spacing w:line="360" w:lineRule="auto"/>
        <w:ind w:firstLine="720"/>
        <w:rPr>
          <w:rFonts w:asciiTheme="minorBidi" w:hAnsiTheme="minorBidi"/>
          <w:sz w:val="22"/>
        </w:rPr>
      </w:pPr>
    </w:p>
    <w:p w14:paraId="60B2CDC3" w14:textId="12EE5464" w:rsidR="00B87E75" w:rsidRPr="005D0229" w:rsidRDefault="0026393A" w:rsidP="00D959CD">
      <w:pPr>
        <w:pStyle w:val="Heading1"/>
      </w:pPr>
      <w:bookmarkStart w:id="2" w:name="_Toc227055241"/>
      <w:r w:rsidRPr="005D0229">
        <w:t>3</w:t>
      </w:r>
      <w:r w:rsidR="00B87E75" w:rsidRPr="005D0229">
        <w:t>.</w:t>
      </w:r>
      <w:r w:rsidR="008E3943" w:rsidRPr="005D0229">
        <w:t xml:space="preserve"> Importance of good administrative skills</w:t>
      </w:r>
      <w:bookmarkEnd w:id="2"/>
      <w:r w:rsidR="008E3943" w:rsidRPr="005D0229">
        <w:t xml:space="preserve"> </w:t>
      </w:r>
    </w:p>
    <w:p w14:paraId="1CB42F81" w14:textId="1F8765F6" w:rsidR="00783A50" w:rsidRPr="005D0229" w:rsidRDefault="00783A50" w:rsidP="00D959CD">
      <w:pPr>
        <w:tabs>
          <w:tab w:val="left" w:pos="6540"/>
        </w:tabs>
        <w:spacing w:line="360" w:lineRule="auto"/>
        <w:ind w:firstLine="720"/>
        <w:rPr>
          <w:rFonts w:asciiTheme="minorBidi" w:hAnsiTheme="minorBidi"/>
          <w:sz w:val="22"/>
        </w:rPr>
      </w:pPr>
      <w:r w:rsidRPr="005D0229">
        <w:rPr>
          <w:rFonts w:asciiTheme="minorBidi" w:hAnsiTheme="minorBidi"/>
          <w:sz w:val="22"/>
        </w:rPr>
        <w:t xml:space="preserve">Administrative efficiency particularly in health and social care is not a matter of clerical efficiency but rather a fundamental safety-valve that fosters continuity, accountability and legal care provision. According to NHSX (2021), proper management of health and care services heavily depends on accurate, timely and retrievable records, whereas the Information Commissioner’s Office (2023) attributes such effective information handling to the lawfulness, fairness, accuracy, minimisation and security principles. Administrative competence in the case of Mr Ahmed involves having an updated care plan, documentation of medications, home visits, documentation on communication needs and prompt reporting </w:t>
      </w:r>
      <w:r w:rsidRPr="005D0229">
        <w:rPr>
          <w:rFonts w:asciiTheme="minorBidi" w:hAnsiTheme="minorBidi"/>
          <w:sz w:val="22"/>
        </w:rPr>
        <w:lastRenderedPageBreak/>
        <w:t>of incidents. Since he has the support of multiple professionals in various environments, poor documentation would lead to unequal care and heightened chances of assumption substitution to proven facts.</w:t>
      </w:r>
    </w:p>
    <w:p w14:paraId="5B9B9092" w14:textId="0036A8BA" w:rsidR="00FD0613" w:rsidRPr="005D0229" w:rsidRDefault="00783A50" w:rsidP="00D959CD">
      <w:pPr>
        <w:tabs>
          <w:tab w:val="left" w:pos="6540"/>
        </w:tabs>
        <w:spacing w:line="360" w:lineRule="auto"/>
        <w:ind w:firstLine="720"/>
        <w:rPr>
          <w:rFonts w:asciiTheme="minorBidi" w:hAnsiTheme="minorBidi"/>
          <w:sz w:val="22"/>
        </w:rPr>
      </w:pPr>
      <w:r w:rsidRPr="005D0229">
        <w:rPr>
          <w:rFonts w:asciiTheme="minorBidi" w:hAnsiTheme="minorBidi"/>
          <w:sz w:val="22"/>
        </w:rPr>
        <w:t>Record keeping is also important due to the home visit being missed, thus leading to late medication. The event that occurred illustrates why records are not descriptions of care, but are the evidences of whether care occurred, when it occurred and how professionals reacted when care was not done. NHSX (2021) emphasizes that records must be up-to-date, complete and properly managed throughout the dynamic of care and Lin et al. (2022) demonstrate that the discharge transfer can leave patients and relatives to poorly linked systems. In the case of Mr Ahmed, medication administration records, visit logs, risk information concerning stroke recovery, communication preferences, district nurse observations, as well as speech and language therapy input should be properly recorded. More importantly, the imperfect and undocumented records would not only be an obstacle to the ongoing investigation, but would also obscure the systemic flaws, including unsatisfactory scheduling, sub-par handovers or insufficient tracking of missed visits.</w:t>
      </w:r>
    </w:p>
    <w:p w14:paraId="2B008FF6" w14:textId="103FD7F2" w:rsidR="008E3943" w:rsidRPr="005D0229" w:rsidRDefault="00783A50" w:rsidP="00D959CD">
      <w:pPr>
        <w:tabs>
          <w:tab w:val="left" w:pos="6540"/>
        </w:tabs>
        <w:spacing w:line="360" w:lineRule="auto"/>
        <w:ind w:firstLine="720"/>
        <w:rPr>
          <w:rFonts w:asciiTheme="minorBidi" w:hAnsiTheme="minorBidi"/>
          <w:sz w:val="22"/>
        </w:rPr>
      </w:pPr>
      <w:r w:rsidRPr="005D0229">
        <w:rPr>
          <w:rFonts w:asciiTheme="minorBidi" w:hAnsiTheme="minorBidi"/>
          <w:sz w:val="22"/>
        </w:rPr>
        <w:t>Data Protection Act 2018 is also noteworthy since sharing of sensitive personal and health information across agencies is involved in the same agencies in which Mr Ahmed is taken care of. This Act, operationally aided by ICO guidance, stipulates that data must be processed lawfully, must be purpose as to end use, must be accurate, it must not be more than is justified and it must not be stolen (Information Commissioner’s Office, 2023). This would in effect imply that only the people directly engaged with Mr Ahmed (regarding his medication, stroke recovery, language and home needs) should access the information and only do so in a secure manner. The presence of his wife and her communication with professionals does not negate the necessity to uphold confidentiality and seek and accept appropriate consent. Good data practice, even though it is not a barrier to care as the Office of the Information Commissioner (2023) clarifies, is a framework to responsible information sharing; NHSX (2021) also demonstrates that legal records handling and good care quality are collaborative in nature instead of conflicting priorities.</w:t>
      </w:r>
    </w:p>
    <w:p w14:paraId="682D1769" w14:textId="407C971C" w:rsidR="003E4ECF" w:rsidRPr="005D0229" w:rsidRDefault="004A736E" w:rsidP="00D959CD">
      <w:pPr>
        <w:pStyle w:val="Heading1"/>
      </w:pPr>
      <w:bookmarkStart w:id="3" w:name="_Toc227055242"/>
      <w:r w:rsidRPr="005D0229">
        <w:t>4</w:t>
      </w:r>
      <w:r w:rsidR="00B87E75" w:rsidRPr="005D0229">
        <w:t xml:space="preserve">. </w:t>
      </w:r>
      <w:r w:rsidR="008E3943" w:rsidRPr="005D0229">
        <w:t>Importance of working collaboratively</w:t>
      </w:r>
      <w:bookmarkEnd w:id="3"/>
    </w:p>
    <w:p w14:paraId="73D0E2D3" w14:textId="77777777" w:rsidR="00783A50" w:rsidRPr="005D0229" w:rsidRDefault="00783A50" w:rsidP="00D959CD">
      <w:pPr>
        <w:tabs>
          <w:tab w:val="left" w:pos="6540"/>
        </w:tabs>
        <w:spacing w:line="360" w:lineRule="auto"/>
        <w:ind w:firstLine="720"/>
        <w:rPr>
          <w:rFonts w:asciiTheme="minorBidi" w:hAnsiTheme="minorBidi"/>
          <w:sz w:val="22"/>
        </w:rPr>
      </w:pPr>
      <w:r w:rsidRPr="005D0229">
        <w:rPr>
          <w:rFonts w:asciiTheme="minorBidi" w:hAnsiTheme="minorBidi"/>
          <w:sz w:val="22"/>
        </w:rPr>
        <w:t xml:space="preserve">Working as a team is crucial as the needs of the patient Mr Ahmed are medical, as well as, rehabilitative, communicative and social. His GP manages the whole medical management, the district nurse manages blood pressure and wound care, domiciliary carers manage daily living and medication, and finally, a speech and language therapist handles communication and swallowing. Both Schot et al. (2020), and Ho et al. (2023) emphasise the critical role of role clarity, building relationships and mutual responsibility, as well as the </w:t>
      </w:r>
      <w:r w:rsidRPr="005D0229">
        <w:rPr>
          <w:rFonts w:asciiTheme="minorBidi" w:hAnsiTheme="minorBidi"/>
          <w:sz w:val="22"/>
        </w:rPr>
        <w:lastRenderedPageBreak/>
        <w:t>critical role of communication structures through which professionals can bring their contributions to patient-centred objectives. Joint working in the case of Mr Ahmed should therefore be joint care planning, specific hand overs, handovers of missed visits in a timely manner and the responsibility of who will monitor a particular risk agreed upon.</w:t>
      </w:r>
    </w:p>
    <w:p w14:paraId="3A742EE2" w14:textId="662F391D" w:rsidR="008E3943" w:rsidRPr="005D0229" w:rsidRDefault="00783A50" w:rsidP="00D959CD">
      <w:pPr>
        <w:tabs>
          <w:tab w:val="left" w:pos="6540"/>
        </w:tabs>
        <w:spacing w:line="360" w:lineRule="auto"/>
        <w:ind w:firstLine="720"/>
        <w:rPr>
          <w:rFonts w:asciiTheme="minorBidi" w:hAnsiTheme="minorBidi"/>
          <w:sz w:val="22"/>
        </w:rPr>
      </w:pPr>
      <w:r w:rsidRPr="005D0229">
        <w:rPr>
          <w:rFonts w:asciiTheme="minorBidi" w:hAnsiTheme="minorBidi"/>
          <w:sz w:val="22"/>
        </w:rPr>
        <w:t xml:space="preserve">Nevertheless, fragmentation and hierarchy combined with inconsistent information-sharing tends to inhibit multi-agency working. Lin et al. (2022) </w:t>
      </w:r>
      <w:r w:rsidR="00FA48D9" w:rsidRPr="005D0229">
        <w:rPr>
          <w:rFonts w:asciiTheme="minorBidi" w:hAnsiTheme="minorBidi"/>
          <w:sz w:val="22"/>
        </w:rPr>
        <w:t>demonstrates</w:t>
      </w:r>
      <w:r w:rsidRPr="005D0229">
        <w:rPr>
          <w:rFonts w:asciiTheme="minorBidi" w:hAnsiTheme="minorBidi"/>
          <w:sz w:val="22"/>
        </w:rPr>
        <w:t xml:space="preserve"> that gaps between the hospital and community care and family care as well as between the community and family care are often revealed by stroke transitions and Bakas et al. (2022) demonstrate that, without a proper system coordination of support, caregivers tend to be overburdened. Some of the strategies used to solve these issues are; well-documented care plan, frequent inter-agency updates, communication need clear-cut and timely review of incidents within the team</w:t>
      </w:r>
      <w:r w:rsidR="002A1509" w:rsidRPr="005D0229">
        <w:rPr>
          <w:rFonts w:asciiTheme="minorBidi" w:hAnsiTheme="minorBidi"/>
          <w:sz w:val="22"/>
        </w:rPr>
        <w:t>.</w:t>
      </w:r>
    </w:p>
    <w:p w14:paraId="16FAF0EA" w14:textId="2F93A55A" w:rsidR="00B87E75" w:rsidRPr="005D0229" w:rsidRDefault="008E3943" w:rsidP="00D959CD">
      <w:pPr>
        <w:pStyle w:val="Heading1"/>
      </w:pPr>
      <w:bookmarkStart w:id="4" w:name="_Toc227055243"/>
      <w:r w:rsidRPr="005D0229">
        <w:t>5</w:t>
      </w:r>
      <w:r w:rsidR="00B87E75" w:rsidRPr="005D0229">
        <w:t>. Conclusion</w:t>
      </w:r>
      <w:bookmarkEnd w:id="4"/>
      <w:r w:rsidR="00CD33A8" w:rsidRPr="005D0229">
        <w:t xml:space="preserve"> </w:t>
      </w:r>
    </w:p>
    <w:p w14:paraId="6812580D" w14:textId="3BE22405" w:rsidR="0090040D" w:rsidRPr="005D0229" w:rsidRDefault="00783A50" w:rsidP="00D959CD">
      <w:pPr>
        <w:tabs>
          <w:tab w:val="left" w:pos="6540"/>
        </w:tabs>
        <w:spacing w:line="360" w:lineRule="auto"/>
        <w:ind w:firstLine="720"/>
        <w:rPr>
          <w:rFonts w:asciiTheme="minorBidi" w:hAnsiTheme="minorBidi"/>
          <w:sz w:val="22"/>
        </w:rPr>
      </w:pPr>
      <w:r w:rsidRPr="005D0229">
        <w:rPr>
          <w:rFonts w:asciiTheme="minorBidi" w:hAnsiTheme="minorBidi"/>
          <w:sz w:val="22"/>
        </w:rPr>
        <w:t xml:space="preserve">The case of Mr Ahmed illustrates that, communication, administration and collaboration may work synergistically to provide effective health and social care, and not independent of each other. Communication should be tailored to his post-stroke disability and limited English to make him an active care participant, </w:t>
      </w:r>
      <w:r w:rsidR="00FA48D9" w:rsidRPr="005D0229">
        <w:rPr>
          <w:rFonts w:asciiTheme="minorBidi" w:hAnsiTheme="minorBidi"/>
          <w:sz w:val="22"/>
        </w:rPr>
        <w:t>in line</w:t>
      </w:r>
      <w:r w:rsidRPr="005D0229">
        <w:rPr>
          <w:rFonts w:asciiTheme="minorBidi" w:hAnsiTheme="minorBidi"/>
          <w:sz w:val="22"/>
        </w:rPr>
        <w:t xml:space="preserve"> with shared decision making and the values of equality upon which inclusive practice is based. Strong administrative qualities are also essential since proper documentation, legal handling of information and timely reporting of incidents ensure safety, facilitate accountability and coordination in response to care failure. Lastly, there is the need to have collaborative working between domiciliary care, primary care and community nursing and speech and language therapy to avoid isolated support provision after discharge. Altogether, the case indicates that the high-quality community care is not provided simply due to distributing services, but due to harmonious efforts to integrate respectful communication, stable documentation, and intentional multi-agency coordination around the individual being taken care of.</w:t>
      </w:r>
    </w:p>
    <w:p w14:paraId="444BAD02" w14:textId="77777777" w:rsidR="00814A9E" w:rsidRPr="005D0229" w:rsidRDefault="00814A9E" w:rsidP="00D959CD">
      <w:pPr>
        <w:tabs>
          <w:tab w:val="left" w:pos="6540"/>
        </w:tabs>
        <w:spacing w:line="360" w:lineRule="auto"/>
        <w:ind w:firstLine="720"/>
        <w:rPr>
          <w:rFonts w:asciiTheme="minorBidi" w:hAnsiTheme="minorBidi"/>
          <w:sz w:val="22"/>
        </w:rPr>
      </w:pPr>
    </w:p>
    <w:p w14:paraId="71022E41" w14:textId="77777777" w:rsidR="00814A9E" w:rsidRPr="005D0229" w:rsidRDefault="00814A9E" w:rsidP="00D959CD">
      <w:pPr>
        <w:tabs>
          <w:tab w:val="left" w:pos="6540"/>
        </w:tabs>
        <w:spacing w:line="360" w:lineRule="auto"/>
        <w:ind w:firstLine="720"/>
        <w:rPr>
          <w:rFonts w:asciiTheme="minorBidi" w:hAnsiTheme="minorBidi"/>
          <w:sz w:val="22"/>
        </w:rPr>
      </w:pPr>
    </w:p>
    <w:p w14:paraId="3EA3C7DD" w14:textId="2C373198" w:rsidR="00F66E1B" w:rsidRPr="005D0229" w:rsidRDefault="00F66E1B" w:rsidP="00D959CD">
      <w:pPr>
        <w:tabs>
          <w:tab w:val="left" w:pos="6540"/>
        </w:tabs>
        <w:spacing w:line="360" w:lineRule="auto"/>
        <w:ind w:firstLine="720"/>
        <w:rPr>
          <w:rFonts w:asciiTheme="minorBidi" w:hAnsiTheme="minorBidi"/>
          <w:sz w:val="22"/>
        </w:rPr>
      </w:pPr>
    </w:p>
    <w:p w14:paraId="5C76528F" w14:textId="77777777" w:rsidR="00F66E1B" w:rsidRPr="005D0229" w:rsidRDefault="00F66E1B" w:rsidP="00D959CD">
      <w:pPr>
        <w:tabs>
          <w:tab w:val="left" w:pos="6540"/>
        </w:tabs>
        <w:spacing w:line="360" w:lineRule="auto"/>
        <w:ind w:firstLine="720"/>
        <w:rPr>
          <w:rFonts w:asciiTheme="minorBidi" w:hAnsiTheme="minorBidi"/>
          <w:sz w:val="22"/>
        </w:rPr>
      </w:pPr>
    </w:p>
    <w:p w14:paraId="18999130" w14:textId="77777777" w:rsidR="00CD33A8" w:rsidRPr="005D0229" w:rsidRDefault="00CD33A8" w:rsidP="00D959CD">
      <w:pPr>
        <w:spacing w:line="360" w:lineRule="auto"/>
        <w:rPr>
          <w:rFonts w:asciiTheme="minorBidi" w:eastAsiaTheme="majorEastAsia" w:hAnsiTheme="minorBidi"/>
          <w:b/>
          <w:sz w:val="28"/>
        </w:rPr>
      </w:pPr>
      <w:r w:rsidRPr="005D0229">
        <w:br w:type="page"/>
      </w:r>
    </w:p>
    <w:p w14:paraId="33F8F0BD" w14:textId="597FD84B" w:rsidR="00B87E75" w:rsidRPr="005D0229" w:rsidRDefault="00B87E75" w:rsidP="00D959CD">
      <w:pPr>
        <w:pStyle w:val="Heading1"/>
      </w:pPr>
      <w:bookmarkStart w:id="5" w:name="_Toc227055244"/>
      <w:r w:rsidRPr="005D0229">
        <w:lastRenderedPageBreak/>
        <w:t>References</w:t>
      </w:r>
      <w:bookmarkEnd w:id="5"/>
    </w:p>
    <w:p w14:paraId="6092819C" w14:textId="2F3AE357" w:rsidR="00FD0613" w:rsidRPr="005D0229" w:rsidRDefault="00FD0613" w:rsidP="00D959CD">
      <w:pPr>
        <w:tabs>
          <w:tab w:val="left" w:pos="6540"/>
        </w:tabs>
        <w:spacing w:line="360" w:lineRule="auto"/>
        <w:ind w:left="720" w:hanging="720"/>
        <w:rPr>
          <w:rFonts w:asciiTheme="minorBidi" w:hAnsiTheme="minorBidi"/>
          <w:sz w:val="22"/>
        </w:rPr>
      </w:pPr>
      <w:r w:rsidRPr="005D0229">
        <w:rPr>
          <w:rFonts w:asciiTheme="minorBidi" w:hAnsiTheme="minorBidi"/>
          <w:sz w:val="22"/>
        </w:rPr>
        <w:t xml:space="preserve">Al-Yateem, N., Hijazi, H., </w:t>
      </w:r>
      <w:proofErr w:type="spellStart"/>
      <w:r w:rsidRPr="005D0229">
        <w:rPr>
          <w:rFonts w:asciiTheme="minorBidi" w:hAnsiTheme="minorBidi"/>
          <w:sz w:val="22"/>
        </w:rPr>
        <w:t>Saifan</w:t>
      </w:r>
      <w:proofErr w:type="spellEnd"/>
      <w:r w:rsidRPr="005D0229">
        <w:rPr>
          <w:rFonts w:asciiTheme="minorBidi" w:hAnsiTheme="minorBidi"/>
          <w:sz w:val="22"/>
        </w:rPr>
        <w:t xml:space="preserve">, A.R., Ahmad, A., </w:t>
      </w:r>
      <w:proofErr w:type="spellStart"/>
      <w:r w:rsidRPr="005D0229">
        <w:rPr>
          <w:rFonts w:asciiTheme="minorBidi" w:hAnsiTheme="minorBidi"/>
          <w:sz w:val="22"/>
        </w:rPr>
        <w:t>Masa'Deh</w:t>
      </w:r>
      <w:proofErr w:type="spellEnd"/>
      <w:r w:rsidRPr="005D0229">
        <w:rPr>
          <w:rFonts w:asciiTheme="minorBidi" w:hAnsiTheme="minorBidi"/>
          <w:sz w:val="22"/>
        </w:rPr>
        <w:t xml:space="preserve">, R., </w:t>
      </w:r>
      <w:proofErr w:type="spellStart"/>
      <w:r w:rsidRPr="005D0229">
        <w:rPr>
          <w:rFonts w:asciiTheme="minorBidi" w:hAnsiTheme="minorBidi"/>
          <w:sz w:val="22"/>
        </w:rPr>
        <w:t>Alrimawi</w:t>
      </w:r>
      <w:proofErr w:type="spellEnd"/>
      <w:r w:rsidRPr="005D0229">
        <w:rPr>
          <w:rFonts w:asciiTheme="minorBidi" w:hAnsiTheme="minorBidi"/>
          <w:sz w:val="22"/>
        </w:rPr>
        <w:t xml:space="preserve">, I., Rahman, S.A., </w:t>
      </w:r>
      <w:proofErr w:type="spellStart"/>
      <w:r w:rsidRPr="005D0229">
        <w:rPr>
          <w:rFonts w:asciiTheme="minorBidi" w:hAnsiTheme="minorBidi"/>
          <w:sz w:val="22"/>
        </w:rPr>
        <w:t>Subu</w:t>
      </w:r>
      <w:proofErr w:type="spellEnd"/>
      <w:r w:rsidRPr="005D0229">
        <w:rPr>
          <w:rFonts w:asciiTheme="minorBidi" w:hAnsiTheme="minorBidi"/>
          <w:sz w:val="22"/>
        </w:rPr>
        <w:t xml:space="preserve">, M.A. and Ahmed, F.R. (2023) ‘Quality and safety issue: language barriers in healthcare, a qualitative study of non-Arab healthcare practitioners caring for Arabic patients in the UAE’, BMJ Open, 13(12), e076326. Available at: </w:t>
      </w:r>
      <w:hyperlink r:id="rId9" w:history="1">
        <w:r w:rsidRPr="005D0229">
          <w:rPr>
            <w:rStyle w:val="Hyperlink"/>
            <w:rFonts w:asciiTheme="minorBidi" w:hAnsiTheme="minorBidi"/>
            <w:sz w:val="22"/>
          </w:rPr>
          <w:t>https://doi.org/10.1136/bmjopen-2023-076326</w:t>
        </w:r>
      </w:hyperlink>
      <w:r w:rsidRPr="005D0229">
        <w:rPr>
          <w:rFonts w:asciiTheme="minorBidi" w:hAnsiTheme="minorBidi"/>
          <w:sz w:val="22"/>
        </w:rPr>
        <w:t xml:space="preserve"> </w:t>
      </w:r>
    </w:p>
    <w:p w14:paraId="25F71B94" w14:textId="7E2B1E93" w:rsidR="00FD0613" w:rsidRPr="005D0229" w:rsidRDefault="00FD0613" w:rsidP="00D959CD">
      <w:pPr>
        <w:tabs>
          <w:tab w:val="left" w:pos="6540"/>
        </w:tabs>
        <w:spacing w:line="360" w:lineRule="auto"/>
        <w:ind w:left="720" w:hanging="720"/>
        <w:rPr>
          <w:rFonts w:asciiTheme="minorBidi" w:hAnsiTheme="minorBidi"/>
          <w:sz w:val="22"/>
        </w:rPr>
      </w:pPr>
      <w:r w:rsidRPr="005D0229">
        <w:rPr>
          <w:rFonts w:asciiTheme="minorBidi" w:hAnsiTheme="minorBidi"/>
          <w:sz w:val="22"/>
        </w:rPr>
        <w:t xml:space="preserve">Bakas, T., McCarthy, M.J. and Miller, E.T. (2022) ‘Systematic review of the evidence for stroke family caregiver and dyad interventions’, Stroke, 53(6), pp. 2093–2102. Available at: </w:t>
      </w:r>
      <w:hyperlink r:id="rId10" w:history="1">
        <w:r w:rsidRPr="005D0229">
          <w:rPr>
            <w:rStyle w:val="Hyperlink"/>
            <w:rFonts w:asciiTheme="minorBidi" w:hAnsiTheme="minorBidi"/>
            <w:sz w:val="22"/>
          </w:rPr>
          <w:t>https://doi.org/10.1161/STROKEAHA.121.034090</w:t>
        </w:r>
      </w:hyperlink>
      <w:r w:rsidRPr="005D0229">
        <w:rPr>
          <w:rFonts w:asciiTheme="minorBidi" w:hAnsiTheme="minorBidi"/>
          <w:sz w:val="22"/>
        </w:rPr>
        <w:t xml:space="preserve"> </w:t>
      </w:r>
    </w:p>
    <w:p w14:paraId="0768A8B5" w14:textId="588B96F5" w:rsidR="00FD0613" w:rsidRPr="005D0229" w:rsidRDefault="00FD0613" w:rsidP="00D959CD">
      <w:pPr>
        <w:tabs>
          <w:tab w:val="left" w:pos="6540"/>
        </w:tabs>
        <w:spacing w:line="360" w:lineRule="auto"/>
        <w:ind w:left="720" w:hanging="720"/>
        <w:rPr>
          <w:rFonts w:asciiTheme="minorBidi" w:hAnsiTheme="minorBidi"/>
          <w:sz w:val="22"/>
        </w:rPr>
      </w:pPr>
      <w:r w:rsidRPr="005D0229">
        <w:rPr>
          <w:rFonts w:asciiTheme="minorBidi" w:hAnsiTheme="minorBidi"/>
          <w:sz w:val="22"/>
        </w:rPr>
        <w:t xml:space="preserve">Data Protection Act 2018. c.12. Available at: </w:t>
      </w:r>
      <w:hyperlink r:id="rId11" w:history="1">
        <w:r w:rsidRPr="005D0229">
          <w:rPr>
            <w:rStyle w:val="Hyperlink"/>
            <w:rFonts w:asciiTheme="minorBidi" w:hAnsiTheme="minorBidi"/>
            <w:sz w:val="22"/>
          </w:rPr>
          <w:t>https://www.legislation.gov.uk/ukpga/2018/12/contents</w:t>
        </w:r>
      </w:hyperlink>
      <w:r w:rsidRPr="005D0229">
        <w:rPr>
          <w:rFonts w:asciiTheme="minorBidi" w:hAnsiTheme="minorBidi"/>
          <w:sz w:val="22"/>
        </w:rPr>
        <w:t xml:space="preserve"> </w:t>
      </w:r>
    </w:p>
    <w:p w14:paraId="4F949249" w14:textId="062F1D81" w:rsidR="00FD0613" w:rsidRPr="005D0229" w:rsidRDefault="00FD0613" w:rsidP="00D959CD">
      <w:pPr>
        <w:tabs>
          <w:tab w:val="left" w:pos="6540"/>
        </w:tabs>
        <w:spacing w:line="360" w:lineRule="auto"/>
        <w:ind w:left="720" w:hanging="720"/>
        <w:rPr>
          <w:rFonts w:asciiTheme="minorBidi" w:hAnsiTheme="minorBidi"/>
          <w:sz w:val="22"/>
        </w:rPr>
      </w:pPr>
      <w:r w:rsidRPr="005D0229">
        <w:rPr>
          <w:rFonts w:asciiTheme="minorBidi" w:hAnsiTheme="minorBidi"/>
          <w:sz w:val="22"/>
        </w:rPr>
        <w:t xml:space="preserve">Equality Act 2010. c.15. Available at: </w:t>
      </w:r>
      <w:hyperlink r:id="rId12" w:history="1">
        <w:r w:rsidRPr="005D0229">
          <w:rPr>
            <w:rStyle w:val="Hyperlink"/>
            <w:rFonts w:asciiTheme="minorBidi" w:hAnsiTheme="minorBidi"/>
            <w:sz w:val="22"/>
          </w:rPr>
          <w:t>https://www.legislation.gov.uk/ukpga/2010/15/contents</w:t>
        </w:r>
      </w:hyperlink>
      <w:r w:rsidRPr="005D0229">
        <w:rPr>
          <w:rFonts w:asciiTheme="minorBidi" w:hAnsiTheme="minorBidi"/>
          <w:sz w:val="22"/>
        </w:rPr>
        <w:t xml:space="preserve"> </w:t>
      </w:r>
    </w:p>
    <w:p w14:paraId="150EB4E1" w14:textId="24E1D182" w:rsidR="00FD0613" w:rsidRPr="005D0229" w:rsidRDefault="00FD0613" w:rsidP="00D959CD">
      <w:pPr>
        <w:tabs>
          <w:tab w:val="left" w:pos="6540"/>
        </w:tabs>
        <w:spacing w:line="360" w:lineRule="auto"/>
        <w:ind w:left="720" w:hanging="720"/>
        <w:rPr>
          <w:rFonts w:asciiTheme="minorBidi" w:hAnsiTheme="minorBidi"/>
          <w:sz w:val="22"/>
        </w:rPr>
      </w:pPr>
      <w:r w:rsidRPr="005D0229">
        <w:rPr>
          <w:rFonts w:asciiTheme="minorBidi" w:hAnsiTheme="minorBidi"/>
          <w:sz w:val="22"/>
        </w:rPr>
        <w:t xml:space="preserve">Heath, M., </w:t>
      </w:r>
      <w:proofErr w:type="spellStart"/>
      <w:r w:rsidRPr="005D0229">
        <w:rPr>
          <w:rFonts w:asciiTheme="minorBidi" w:hAnsiTheme="minorBidi"/>
          <w:sz w:val="22"/>
        </w:rPr>
        <w:t>Hvass</w:t>
      </w:r>
      <w:proofErr w:type="spellEnd"/>
      <w:r w:rsidRPr="005D0229">
        <w:rPr>
          <w:rFonts w:asciiTheme="minorBidi" w:hAnsiTheme="minorBidi"/>
          <w:sz w:val="22"/>
        </w:rPr>
        <w:t xml:space="preserve">, A.M.F. and </w:t>
      </w:r>
      <w:proofErr w:type="spellStart"/>
      <w:r w:rsidRPr="005D0229">
        <w:rPr>
          <w:rFonts w:asciiTheme="minorBidi" w:hAnsiTheme="minorBidi"/>
          <w:sz w:val="22"/>
        </w:rPr>
        <w:t>Wejse</w:t>
      </w:r>
      <w:proofErr w:type="spellEnd"/>
      <w:r w:rsidRPr="005D0229">
        <w:rPr>
          <w:rFonts w:asciiTheme="minorBidi" w:hAnsiTheme="minorBidi"/>
          <w:sz w:val="22"/>
        </w:rPr>
        <w:t xml:space="preserve">, C.M. (2023) ‘Interpreter services and effect on healthcare - a systematic review of the impact of different types of interpreters on patient outcome’, Journal of Migration and Health, 7, 100162. Available at: </w:t>
      </w:r>
      <w:hyperlink r:id="rId13" w:history="1">
        <w:r w:rsidRPr="005D0229">
          <w:rPr>
            <w:rStyle w:val="Hyperlink"/>
            <w:rFonts w:asciiTheme="minorBidi" w:hAnsiTheme="minorBidi"/>
            <w:sz w:val="22"/>
          </w:rPr>
          <w:t>https://doi.org/10.1016/j.jmh.2023.100162</w:t>
        </w:r>
      </w:hyperlink>
      <w:r w:rsidRPr="005D0229">
        <w:rPr>
          <w:rFonts w:asciiTheme="minorBidi" w:hAnsiTheme="minorBidi"/>
          <w:sz w:val="22"/>
        </w:rPr>
        <w:t xml:space="preserve"> </w:t>
      </w:r>
    </w:p>
    <w:p w14:paraId="1126016B" w14:textId="51D2F3DA" w:rsidR="00FD0613" w:rsidRPr="005D0229" w:rsidRDefault="00FD0613" w:rsidP="00D959CD">
      <w:pPr>
        <w:tabs>
          <w:tab w:val="left" w:pos="6540"/>
        </w:tabs>
        <w:spacing w:line="360" w:lineRule="auto"/>
        <w:ind w:left="720" w:hanging="720"/>
        <w:rPr>
          <w:rFonts w:asciiTheme="minorBidi" w:hAnsiTheme="minorBidi"/>
          <w:sz w:val="22"/>
        </w:rPr>
      </w:pPr>
      <w:r w:rsidRPr="005D0229">
        <w:rPr>
          <w:rFonts w:asciiTheme="minorBidi" w:hAnsiTheme="minorBidi"/>
          <w:sz w:val="22"/>
        </w:rPr>
        <w:t xml:space="preserve">Ho, J.T., See, M.T.A., Tan, A.J.Q., </w:t>
      </w:r>
      <w:proofErr w:type="spellStart"/>
      <w:r w:rsidRPr="005D0229">
        <w:rPr>
          <w:rFonts w:asciiTheme="minorBidi" w:hAnsiTheme="minorBidi"/>
          <w:sz w:val="22"/>
        </w:rPr>
        <w:t>Levett</w:t>
      </w:r>
      <w:proofErr w:type="spellEnd"/>
      <w:r w:rsidRPr="005D0229">
        <w:rPr>
          <w:rFonts w:asciiTheme="minorBidi" w:hAnsiTheme="minorBidi"/>
          <w:sz w:val="22"/>
        </w:rPr>
        <w:t xml:space="preserve">-Jones, T., Lau, T.C., Zhou, W. and </w:t>
      </w:r>
      <w:proofErr w:type="spellStart"/>
      <w:r w:rsidRPr="005D0229">
        <w:rPr>
          <w:rFonts w:asciiTheme="minorBidi" w:hAnsiTheme="minorBidi"/>
          <w:sz w:val="22"/>
        </w:rPr>
        <w:t>Liaw</w:t>
      </w:r>
      <w:proofErr w:type="spellEnd"/>
      <w:r w:rsidRPr="005D0229">
        <w:rPr>
          <w:rFonts w:asciiTheme="minorBidi" w:hAnsiTheme="minorBidi"/>
          <w:sz w:val="22"/>
        </w:rPr>
        <w:t xml:space="preserve">, S.Y. (2023) ‘Healthcare professionals’ experiences of interprofessional collaboration in patient education: A systematic review’, Patient Education and </w:t>
      </w:r>
      <w:proofErr w:type="spellStart"/>
      <w:r w:rsidRPr="005D0229">
        <w:rPr>
          <w:rFonts w:asciiTheme="minorBidi" w:hAnsiTheme="minorBidi"/>
          <w:sz w:val="22"/>
        </w:rPr>
        <w:t>Counseling</w:t>
      </w:r>
      <w:proofErr w:type="spellEnd"/>
      <w:r w:rsidRPr="005D0229">
        <w:rPr>
          <w:rFonts w:asciiTheme="minorBidi" w:hAnsiTheme="minorBidi"/>
          <w:sz w:val="22"/>
        </w:rPr>
        <w:t xml:space="preserve">, 116, 107965. Available at: </w:t>
      </w:r>
      <w:hyperlink r:id="rId14" w:history="1">
        <w:r w:rsidRPr="005D0229">
          <w:rPr>
            <w:rStyle w:val="Hyperlink"/>
            <w:rFonts w:asciiTheme="minorBidi" w:hAnsiTheme="minorBidi"/>
            <w:sz w:val="22"/>
          </w:rPr>
          <w:t>https://doi.org/10.1016/j.pec.2023.107965</w:t>
        </w:r>
      </w:hyperlink>
      <w:r w:rsidRPr="005D0229">
        <w:rPr>
          <w:rFonts w:asciiTheme="minorBidi" w:hAnsiTheme="minorBidi"/>
          <w:sz w:val="22"/>
        </w:rPr>
        <w:t xml:space="preserve"> </w:t>
      </w:r>
    </w:p>
    <w:p w14:paraId="7F39A3A7" w14:textId="457FC5C5" w:rsidR="00FD0613" w:rsidRPr="005D0229" w:rsidRDefault="00FD0613" w:rsidP="00D959CD">
      <w:pPr>
        <w:tabs>
          <w:tab w:val="left" w:pos="6540"/>
        </w:tabs>
        <w:spacing w:line="360" w:lineRule="auto"/>
        <w:ind w:left="720" w:hanging="720"/>
        <w:rPr>
          <w:rFonts w:asciiTheme="minorBidi" w:hAnsiTheme="minorBidi"/>
          <w:sz w:val="22"/>
        </w:rPr>
      </w:pPr>
      <w:r w:rsidRPr="005D0229">
        <w:rPr>
          <w:rFonts w:asciiTheme="minorBidi" w:hAnsiTheme="minorBidi"/>
          <w:sz w:val="22"/>
        </w:rPr>
        <w:t xml:space="preserve">Information Commissioner’s Office (2023) A guide to the data protection principles. Available at: </w:t>
      </w:r>
      <w:hyperlink r:id="rId15" w:history="1">
        <w:r w:rsidRPr="005D0229">
          <w:rPr>
            <w:rStyle w:val="Hyperlink"/>
            <w:rFonts w:asciiTheme="minorBidi" w:hAnsiTheme="minorBidi"/>
            <w:sz w:val="22"/>
          </w:rPr>
          <w:t>https://ico.org.uk/for-organisations/uk-gdpr-guidance-and-resources/data-protection-principles/a-guide-to-the-data-protection-principles/</w:t>
        </w:r>
      </w:hyperlink>
      <w:r w:rsidRPr="005D0229">
        <w:rPr>
          <w:rFonts w:asciiTheme="minorBidi" w:hAnsiTheme="minorBidi"/>
          <w:sz w:val="22"/>
        </w:rPr>
        <w:t xml:space="preserve"> </w:t>
      </w:r>
    </w:p>
    <w:p w14:paraId="2B1E69E6" w14:textId="263B2178" w:rsidR="00FD0613" w:rsidRPr="005D0229" w:rsidRDefault="00FD0613" w:rsidP="00D959CD">
      <w:pPr>
        <w:tabs>
          <w:tab w:val="left" w:pos="6540"/>
        </w:tabs>
        <w:spacing w:line="360" w:lineRule="auto"/>
        <w:ind w:left="720" w:hanging="720"/>
        <w:rPr>
          <w:rFonts w:asciiTheme="minorBidi" w:hAnsiTheme="minorBidi"/>
          <w:sz w:val="22"/>
        </w:rPr>
      </w:pPr>
      <w:r w:rsidRPr="005D0229">
        <w:rPr>
          <w:rFonts w:asciiTheme="minorBidi" w:hAnsiTheme="minorBidi"/>
          <w:sz w:val="22"/>
        </w:rPr>
        <w:t xml:space="preserve">Lin, S., Wang, C., Wang, Q., </w:t>
      </w:r>
      <w:proofErr w:type="spellStart"/>
      <w:r w:rsidRPr="005D0229">
        <w:rPr>
          <w:rFonts w:asciiTheme="minorBidi" w:hAnsiTheme="minorBidi"/>
          <w:sz w:val="22"/>
        </w:rPr>
        <w:t>Xie</w:t>
      </w:r>
      <w:proofErr w:type="spellEnd"/>
      <w:r w:rsidRPr="005D0229">
        <w:rPr>
          <w:rFonts w:asciiTheme="minorBidi" w:hAnsiTheme="minorBidi"/>
          <w:sz w:val="22"/>
        </w:rPr>
        <w:t xml:space="preserve">, S., Tu, Q., Zhang, H., Peng, M., Zhou, J. and Redfern, J. (2022) ‘The experience of stroke survivors and caregivers during hospital-to-home transitional care: A qualitative longitudinal study’, International Journal of Nursing Studies, 130, 104213. Available at: </w:t>
      </w:r>
      <w:hyperlink r:id="rId16" w:history="1">
        <w:r w:rsidRPr="005D0229">
          <w:rPr>
            <w:rStyle w:val="Hyperlink"/>
            <w:rFonts w:asciiTheme="minorBidi" w:hAnsiTheme="minorBidi"/>
            <w:sz w:val="22"/>
          </w:rPr>
          <w:t>https://doi.org/10.1016/j.ijnurstu.2022.104213</w:t>
        </w:r>
      </w:hyperlink>
      <w:r w:rsidRPr="005D0229">
        <w:rPr>
          <w:rFonts w:asciiTheme="minorBidi" w:hAnsiTheme="minorBidi"/>
          <w:sz w:val="22"/>
        </w:rPr>
        <w:t xml:space="preserve"> </w:t>
      </w:r>
    </w:p>
    <w:p w14:paraId="24760C5C" w14:textId="10CD1213" w:rsidR="00FD0613" w:rsidRPr="005D0229" w:rsidRDefault="00FD0613" w:rsidP="00D959CD">
      <w:pPr>
        <w:tabs>
          <w:tab w:val="left" w:pos="6540"/>
        </w:tabs>
        <w:spacing w:line="360" w:lineRule="auto"/>
        <w:ind w:left="720" w:hanging="720"/>
        <w:rPr>
          <w:rFonts w:asciiTheme="minorBidi" w:hAnsiTheme="minorBidi"/>
          <w:sz w:val="22"/>
        </w:rPr>
      </w:pPr>
      <w:r w:rsidRPr="005D0229">
        <w:rPr>
          <w:rFonts w:asciiTheme="minorBidi" w:hAnsiTheme="minorBidi"/>
          <w:sz w:val="22"/>
        </w:rPr>
        <w:t xml:space="preserve">National Institute for Health and Care Excellence (2021) Shared decision making. NICE Guideline NG197. Available at: </w:t>
      </w:r>
      <w:hyperlink r:id="rId17" w:history="1">
        <w:r w:rsidRPr="005D0229">
          <w:rPr>
            <w:rStyle w:val="Hyperlink"/>
            <w:rFonts w:asciiTheme="minorBidi" w:hAnsiTheme="minorBidi"/>
            <w:sz w:val="22"/>
          </w:rPr>
          <w:t>https://www.nice.org.uk/guidance/ng197</w:t>
        </w:r>
      </w:hyperlink>
      <w:r w:rsidRPr="005D0229">
        <w:rPr>
          <w:rFonts w:asciiTheme="minorBidi" w:hAnsiTheme="minorBidi"/>
          <w:sz w:val="22"/>
        </w:rPr>
        <w:t xml:space="preserve"> </w:t>
      </w:r>
    </w:p>
    <w:p w14:paraId="21177AD2" w14:textId="7B769F60" w:rsidR="00FD0613" w:rsidRPr="005D0229" w:rsidRDefault="00FD0613" w:rsidP="00D959CD">
      <w:pPr>
        <w:tabs>
          <w:tab w:val="left" w:pos="6540"/>
        </w:tabs>
        <w:spacing w:line="360" w:lineRule="auto"/>
        <w:ind w:left="720" w:hanging="720"/>
        <w:rPr>
          <w:rFonts w:asciiTheme="minorBidi" w:hAnsiTheme="minorBidi"/>
          <w:sz w:val="22"/>
        </w:rPr>
      </w:pPr>
      <w:r w:rsidRPr="005D0229">
        <w:rPr>
          <w:rFonts w:asciiTheme="minorBidi" w:hAnsiTheme="minorBidi"/>
          <w:sz w:val="22"/>
        </w:rPr>
        <w:t xml:space="preserve">NHSX (2021) Records Management Code of Practice 2021: A guide to the management of health and care records. Available at: </w:t>
      </w:r>
      <w:hyperlink r:id="rId18" w:history="1">
        <w:r w:rsidRPr="005D0229">
          <w:rPr>
            <w:rStyle w:val="Hyperlink"/>
            <w:rFonts w:asciiTheme="minorBidi" w:hAnsiTheme="minorBidi"/>
            <w:sz w:val="22"/>
          </w:rPr>
          <w:t>https://transform.england.nhs.uk/media/documents/NHSX_Records_Management_CoP_V7.pdf</w:t>
        </w:r>
      </w:hyperlink>
      <w:r w:rsidRPr="005D0229">
        <w:rPr>
          <w:rFonts w:asciiTheme="minorBidi" w:hAnsiTheme="minorBidi"/>
          <w:sz w:val="22"/>
        </w:rPr>
        <w:t xml:space="preserve"> </w:t>
      </w:r>
    </w:p>
    <w:p w14:paraId="5F943450" w14:textId="3D297B94" w:rsidR="00FD0613" w:rsidRPr="005D0229" w:rsidRDefault="00FD0613" w:rsidP="00D959CD">
      <w:pPr>
        <w:tabs>
          <w:tab w:val="left" w:pos="6540"/>
        </w:tabs>
        <w:spacing w:line="360" w:lineRule="auto"/>
        <w:ind w:left="720" w:hanging="720"/>
        <w:rPr>
          <w:rFonts w:asciiTheme="minorBidi" w:hAnsiTheme="minorBidi"/>
          <w:sz w:val="22"/>
        </w:rPr>
      </w:pPr>
      <w:r w:rsidRPr="005D0229">
        <w:rPr>
          <w:rFonts w:asciiTheme="minorBidi" w:hAnsiTheme="minorBidi"/>
          <w:sz w:val="22"/>
        </w:rPr>
        <w:t xml:space="preserve">Poirier, S.-È., </w:t>
      </w:r>
      <w:proofErr w:type="spellStart"/>
      <w:r w:rsidRPr="005D0229">
        <w:rPr>
          <w:rFonts w:asciiTheme="minorBidi" w:hAnsiTheme="minorBidi"/>
          <w:sz w:val="22"/>
        </w:rPr>
        <w:t>Voyer</w:t>
      </w:r>
      <w:proofErr w:type="spellEnd"/>
      <w:r w:rsidRPr="005D0229">
        <w:rPr>
          <w:rFonts w:asciiTheme="minorBidi" w:hAnsiTheme="minorBidi"/>
          <w:sz w:val="22"/>
        </w:rPr>
        <w:t xml:space="preserve">, L.-A., Poulin, V., Lamontagne, M.-E. and </w:t>
      </w:r>
      <w:proofErr w:type="spellStart"/>
      <w:r w:rsidRPr="005D0229">
        <w:rPr>
          <w:rFonts w:asciiTheme="minorBidi" w:hAnsiTheme="minorBidi"/>
          <w:sz w:val="22"/>
        </w:rPr>
        <w:t>Monetta</w:t>
      </w:r>
      <w:proofErr w:type="spellEnd"/>
      <w:r w:rsidRPr="005D0229">
        <w:rPr>
          <w:rFonts w:asciiTheme="minorBidi" w:hAnsiTheme="minorBidi"/>
          <w:sz w:val="22"/>
        </w:rPr>
        <w:t xml:space="preserve">, L. (2024) ‘Communication challenges for people with chronic aphasia: A systematic qualitative review of barriers and facilitators in local services’, Disabilities, 4(3), pp. 616–631. Available at: </w:t>
      </w:r>
      <w:hyperlink r:id="rId19" w:history="1">
        <w:r w:rsidRPr="005D0229">
          <w:rPr>
            <w:rStyle w:val="Hyperlink"/>
            <w:rFonts w:asciiTheme="minorBidi" w:hAnsiTheme="minorBidi"/>
            <w:sz w:val="22"/>
          </w:rPr>
          <w:t>https://doi.org/10.3390/disabilities4030038</w:t>
        </w:r>
      </w:hyperlink>
      <w:r w:rsidRPr="005D0229">
        <w:rPr>
          <w:rFonts w:asciiTheme="minorBidi" w:hAnsiTheme="minorBidi"/>
          <w:sz w:val="22"/>
        </w:rPr>
        <w:t xml:space="preserve"> </w:t>
      </w:r>
    </w:p>
    <w:p w14:paraId="1425F4AC" w14:textId="121F43EA" w:rsidR="001D7C03" w:rsidRPr="00CD33A8" w:rsidRDefault="00FD0613" w:rsidP="00D959CD">
      <w:pPr>
        <w:tabs>
          <w:tab w:val="left" w:pos="6540"/>
        </w:tabs>
        <w:spacing w:line="360" w:lineRule="auto"/>
        <w:ind w:left="720" w:hanging="720"/>
        <w:rPr>
          <w:rFonts w:asciiTheme="minorBidi" w:hAnsiTheme="minorBidi"/>
          <w:sz w:val="22"/>
        </w:rPr>
      </w:pPr>
      <w:r w:rsidRPr="005D0229">
        <w:rPr>
          <w:rFonts w:asciiTheme="minorBidi" w:hAnsiTheme="minorBidi"/>
          <w:sz w:val="22"/>
        </w:rPr>
        <w:t xml:space="preserve">Schot, E., </w:t>
      </w:r>
      <w:proofErr w:type="spellStart"/>
      <w:r w:rsidRPr="005D0229">
        <w:rPr>
          <w:rFonts w:asciiTheme="minorBidi" w:hAnsiTheme="minorBidi"/>
          <w:sz w:val="22"/>
        </w:rPr>
        <w:t>Tummers</w:t>
      </w:r>
      <w:proofErr w:type="spellEnd"/>
      <w:r w:rsidRPr="005D0229">
        <w:rPr>
          <w:rFonts w:asciiTheme="minorBidi" w:hAnsiTheme="minorBidi"/>
          <w:sz w:val="22"/>
        </w:rPr>
        <w:t xml:space="preserve">, L. and </w:t>
      </w:r>
      <w:proofErr w:type="spellStart"/>
      <w:r w:rsidRPr="005D0229">
        <w:rPr>
          <w:rFonts w:asciiTheme="minorBidi" w:hAnsiTheme="minorBidi"/>
          <w:sz w:val="22"/>
        </w:rPr>
        <w:t>Noordegraaf</w:t>
      </w:r>
      <w:proofErr w:type="spellEnd"/>
      <w:r w:rsidRPr="005D0229">
        <w:rPr>
          <w:rFonts w:asciiTheme="minorBidi" w:hAnsiTheme="minorBidi"/>
          <w:sz w:val="22"/>
        </w:rPr>
        <w:t xml:space="preserve">, M. (2020) ‘Working on working together: A systematic review on how healthcare professionals contribute to interprofessional collaboration’, Journal of Interprofessional Care, 34(3), pp. 332–342. Available at: </w:t>
      </w:r>
      <w:hyperlink r:id="rId20" w:history="1">
        <w:r w:rsidRPr="005D0229">
          <w:rPr>
            <w:rStyle w:val="Hyperlink"/>
            <w:rFonts w:asciiTheme="minorBidi" w:hAnsiTheme="minorBidi"/>
            <w:sz w:val="22"/>
          </w:rPr>
          <w:t>https://doi.org/10.1080/13561820.2019.1636007</w:t>
        </w:r>
      </w:hyperlink>
      <w:r>
        <w:rPr>
          <w:rFonts w:asciiTheme="minorBidi" w:hAnsiTheme="minorBidi"/>
          <w:sz w:val="22"/>
        </w:rPr>
        <w:t xml:space="preserve"> </w:t>
      </w:r>
    </w:p>
    <w:sectPr w:rsidR="001D7C03" w:rsidRPr="00CD33A8" w:rsidSect="00E620E7">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3ADBA" w14:textId="77777777" w:rsidR="004E0304" w:rsidRDefault="004E0304" w:rsidP="003E4ECF">
      <w:pPr>
        <w:spacing w:after="0" w:line="240" w:lineRule="auto"/>
      </w:pPr>
      <w:r>
        <w:separator/>
      </w:r>
    </w:p>
  </w:endnote>
  <w:endnote w:type="continuationSeparator" w:id="0">
    <w:p w14:paraId="2163D814" w14:textId="77777777" w:rsidR="004E0304" w:rsidRDefault="004E030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49ACF" w14:textId="77777777" w:rsidR="004E0304" w:rsidRDefault="004E0304" w:rsidP="003E4ECF">
      <w:pPr>
        <w:spacing w:after="0" w:line="240" w:lineRule="auto"/>
      </w:pPr>
      <w:r>
        <w:separator/>
      </w:r>
    </w:p>
  </w:footnote>
  <w:footnote w:type="continuationSeparator" w:id="0">
    <w:p w14:paraId="17A30AB5" w14:textId="77777777" w:rsidR="004E0304" w:rsidRDefault="004E0304"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6676"/>
    <w:rsid w:val="000572BF"/>
    <w:rsid w:val="00074402"/>
    <w:rsid w:val="001D7C03"/>
    <w:rsid w:val="00216C85"/>
    <w:rsid w:val="0026393A"/>
    <w:rsid w:val="00273EDD"/>
    <w:rsid w:val="002A1509"/>
    <w:rsid w:val="002C3965"/>
    <w:rsid w:val="00321C4C"/>
    <w:rsid w:val="00392BBC"/>
    <w:rsid w:val="003E4ECF"/>
    <w:rsid w:val="00491FBA"/>
    <w:rsid w:val="004A736E"/>
    <w:rsid w:val="004E0304"/>
    <w:rsid w:val="005D0229"/>
    <w:rsid w:val="00603610"/>
    <w:rsid w:val="006925AA"/>
    <w:rsid w:val="00725177"/>
    <w:rsid w:val="00773865"/>
    <w:rsid w:val="00783A50"/>
    <w:rsid w:val="007A1B8D"/>
    <w:rsid w:val="007F1449"/>
    <w:rsid w:val="00814A9E"/>
    <w:rsid w:val="008E3943"/>
    <w:rsid w:val="0090040D"/>
    <w:rsid w:val="009D052C"/>
    <w:rsid w:val="009D1D1E"/>
    <w:rsid w:val="00A035FD"/>
    <w:rsid w:val="00AD23A0"/>
    <w:rsid w:val="00AD5F0C"/>
    <w:rsid w:val="00B87E75"/>
    <w:rsid w:val="00BC2045"/>
    <w:rsid w:val="00CB3989"/>
    <w:rsid w:val="00CD33A8"/>
    <w:rsid w:val="00D959CD"/>
    <w:rsid w:val="00E56509"/>
    <w:rsid w:val="00E569FD"/>
    <w:rsid w:val="00E620E7"/>
    <w:rsid w:val="00F66E1B"/>
    <w:rsid w:val="00FA48D9"/>
    <w:rsid w:val="00FD06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FD0613"/>
    <w:rPr>
      <w:color w:val="0563C1" w:themeColor="hyperlink"/>
      <w:u w:val="single"/>
    </w:rPr>
  </w:style>
  <w:style w:type="character" w:styleId="UnresolvedMention">
    <w:name w:val="Unresolved Mention"/>
    <w:basedOn w:val="DefaultParagraphFont"/>
    <w:uiPriority w:val="99"/>
    <w:semiHidden/>
    <w:unhideWhenUsed/>
    <w:rsid w:val="00FD0613"/>
    <w:rPr>
      <w:color w:val="605E5C"/>
      <w:shd w:val="clear" w:color="auto" w:fill="E1DFDD"/>
    </w:rPr>
  </w:style>
  <w:style w:type="paragraph" w:styleId="TOCHeading">
    <w:name w:val="TOC Heading"/>
    <w:basedOn w:val="Heading1"/>
    <w:next w:val="Normal"/>
    <w:uiPriority w:val="39"/>
    <w:unhideWhenUsed/>
    <w:qFormat/>
    <w:rsid w:val="002A1509"/>
    <w:pPr>
      <w:spacing w:line="259" w:lineRule="auto"/>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2A150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983421">
      <w:bodyDiv w:val="1"/>
      <w:marLeft w:val="0"/>
      <w:marRight w:val="0"/>
      <w:marTop w:val="0"/>
      <w:marBottom w:val="0"/>
      <w:divBdr>
        <w:top w:val="none" w:sz="0" w:space="0" w:color="auto"/>
        <w:left w:val="none" w:sz="0" w:space="0" w:color="auto"/>
        <w:bottom w:val="none" w:sz="0" w:space="0" w:color="auto"/>
        <w:right w:val="none" w:sz="0" w:space="0" w:color="auto"/>
      </w:divBdr>
    </w:div>
    <w:div w:id="1148937621">
      <w:bodyDiv w:val="1"/>
      <w:marLeft w:val="0"/>
      <w:marRight w:val="0"/>
      <w:marTop w:val="0"/>
      <w:marBottom w:val="0"/>
      <w:divBdr>
        <w:top w:val="none" w:sz="0" w:space="0" w:color="auto"/>
        <w:left w:val="none" w:sz="0" w:space="0" w:color="auto"/>
        <w:bottom w:val="none" w:sz="0" w:space="0" w:color="auto"/>
        <w:right w:val="none" w:sz="0" w:space="0" w:color="auto"/>
      </w:divBdr>
    </w:div>
    <w:div w:id="1223784525">
      <w:bodyDiv w:val="1"/>
      <w:marLeft w:val="0"/>
      <w:marRight w:val="0"/>
      <w:marTop w:val="0"/>
      <w:marBottom w:val="0"/>
      <w:divBdr>
        <w:top w:val="none" w:sz="0" w:space="0" w:color="auto"/>
        <w:left w:val="none" w:sz="0" w:space="0" w:color="auto"/>
        <w:bottom w:val="none" w:sz="0" w:space="0" w:color="auto"/>
        <w:right w:val="none" w:sz="0" w:space="0" w:color="auto"/>
      </w:divBdr>
      <w:divsChild>
        <w:div w:id="1377316776">
          <w:marLeft w:val="0"/>
          <w:marRight w:val="0"/>
          <w:marTop w:val="0"/>
          <w:marBottom w:val="0"/>
          <w:divBdr>
            <w:top w:val="none" w:sz="0" w:space="0" w:color="auto"/>
            <w:left w:val="none" w:sz="0" w:space="0" w:color="auto"/>
            <w:bottom w:val="none" w:sz="0" w:space="0" w:color="auto"/>
            <w:right w:val="none" w:sz="0" w:space="0" w:color="auto"/>
          </w:divBdr>
          <w:divsChild>
            <w:div w:id="135562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857453">
      <w:bodyDiv w:val="1"/>
      <w:marLeft w:val="0"/>
      <w:marRight w:val="0"/>
      <w:marTop w:val="0"/>
      <w:marBottom w:val="0"/>
      <w:divBdr>
        <w:top w:val="none" w:sz="0" w:space="0" w:color="auto"/>
        <w:left w:val="none" w:sz="0" w:space="0" w:color="auto"/>
        <w:bottom w:val="none" w:sz="0" w:space="0" w:color="auto"/>
        <w:right w:val="none" w:sz="0" w:space="0" w:color="auto"/>
      </w:divBdr>
    </w:div>
    <w:div w:id="1789277572">
      <w:bodyDiv w:val="1"/>
      <w:marLeft w:val="0"/>
      <w:marRight w:val="0"/>
      <w:marTop w:val="0"/>
      <w:marBottom w:val="0"/>
      <w:divBdr>
        <w:top w:val="none" w:sz="0" w:space="0" w:color="auto"/>
        <w:left w:val="none" w:sz="0" w:space="0" w:color="auto"/>
        <w:bottom w:val="none" w:sz="0" w:space="0" w:color="auto"/>
        <w:right w:val="none" w:sz="0" w:space="0" w:color="auto"/>
      </w:divBdr>
      <w:divsChild>
        <w:div w:id="307318415">
          <w:marLeft w:val="0"/>
          <w:marRight w:val="0"/>
          <w:marTop w:val="0"/>
          <w:marBottom w:val="0"/>
          <w:divBdr>
            <w:top w:val="none" w:sz="0" w:space="0" w:color="auto"/>
            <w:left w:val="none" w:sz="0" w:space="0" w:color="auto"/>
            <w:bottom w:val="none" w:sz="0" w:space="0" w:color="auto"/>
            <w:right w:val="none" w:sz="0" w:space="0" w:color="auto"/>
          </w:divBdr>
          <w:divsChild>
            <w:div w:id="110665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828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16/j.jmh.2023.100162" TargetMode="External"/><Relationship Id="rId18" Type="http://schemas.openxmlformats.org/officeDocument/2006/relationships/hyperlink" Target="https://transform.england.nhs.uk/media/documents/NHSX_Records_Management_CoP_V7.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legislation.gov.uk/ukpga/2010/15/contents" TargetMode="External"/><Relationship Id="rId17" Type="http://schemas.openxmlformats.org/officeDocument/2006/relationships/hyperlink" Target="https://www.nice.org.uk/guidance/ng197" TargetMode="External"/><Relationship Id="rId2" Type="http://schemas.openxmlformats.org/officeDocument/2006/relationships/styles" Target="styles.xml"/><Relationship Id="rId16" Type="http://schemas.openxmlformats.org/officeDocument/2006/relationships/hyperlink" Target="https://doi.org/10.1016/j.ijnurstu.2022.104213" TargetMode="External"/><Relationship Id="rId20" Type="http://schemas.openxmlformats.org/officeDocument/2006/relationships/hyperlink" Target="https://doi.org/10.1080/13561820.2019.163600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8/12/contents" TargetMode="External"/><Relationship Id="rId5" Type="http://schemas.openxmlformats.org/officeDocument/2006/relationships/footnotes" Target="footnotes.xml"/><Relationship Id="rId15" Type="http://schemas.openxmlformats.org/officeDocument/2006/relationships/hyperlink" Target="https://ico.org.uk/for-organisations/uk-gdpr-guidance-and-resources/data-protection-principles/a-guide-to-the-data-protection-principles/" TargetMode="External"/><Relationship Id="rId23" Type="http://schemas.openxmlformats.org/officeDocument/2006/relationships/theme" Target="theme/theme1.xml"/><Relationship Id="rId10" Type="http://schemas.openxmlformats.org/officeDocument/2006/relationships/hyperlink" Target="https://doi.org/10.1161/STROKEAHA.121.034090" TargetMode="External"/><Relationship Id="rId19" Type="http://schemas.openxmlformats.org/officeDocument/2006/relationships/hyperlink" Target="https://doi.org/10.3390/disabilities4030038" TargetMode="External"/><Relationship Id="rId4" Type="http://schemas.openxmlformats.org/officeDocument/2006/relationships/webSettings" Target="webSettings.xml"/><Relationship Id="rId9" Type="http://schemas.openxmlformats.org/officeDocument/2006/relationships/hyperlink" Target="https://doi.org/10.1136/bmjopen-2023-076326" TargetMode="External"/><Relationship Id="rId14" Type="http://schemas.openxmlformats.org/officeDocument/2006/relationships/hyperlink" Target="https://doi.org/10.1016/j.pec.2023.10796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AAAA8F-7E5F-4BA9-BF8E-1A29FF8DB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8</Pages>
  <Words>2289</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User</cp:lastModifiedBy>
  <cp:revision>20</cp:revision>
  <dcterms:created xsi:type="dcterms:W3CDTF">2021-10-31T12:16:00Z</dcterms:created>
  <dcterms:modified xsi:type="dcterms:W3CDTF">2026-04-14T20:23:00Z</dcterms:modified>
</cp:coreProperties>
</file>