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4CCC4" w14:textId="06F5FD24" w:rsidR="00923840" w:rsidRDefault="005C74BB" w:rsidP="00923840">
      <w:pPr>
        <w:pStyle w:val="Heading1"/>
      </w:pPr>
      <w:r>
        <w:tab/>
      </w:r>
    </w:p>
    <w:p w14:paraId="25FD04ED" w14:textId="77777777" w:rsidR="00923840" w:rsidRDefault="00923840" w:rsidP="00923840"/>
    <w:p w14:paraId="76B2D06F" w14:textId="77777777" w:rsidR="00923840" w:rsidRDefault="00923840" w:rsidP="00923840"/>
    <w:p w14:paraId="44F33872" w14:textId="77777777" w:rsidR="00923840" w:rsidRDefault="00923840" w:rsidP="00923840"/>
    <w:p w14:paraId="41C94CA6" w14:textId="77777777" w:rsidR="00923840" w:rsidRDefault="00923840" w:rsidP="00923840"/>
    <w:p w14:paraId="628E50F9" w14:textId="77777777" w:rsidR="00923840" w:rsidRDefault="00923840" w:rsidP="00923840"/>
    <w:p w14:paraId="08C5440A" w14:textId="77777777" w:rsidR="00923840" w:rsidRDefault="00923840" w:rsidP="00923840"/>
    <w:p w14:paraId="748A2A79" w14:textId="77777777" w:rsidR="00331B03" w:rsidRPr="00331B03" w:rsidRDefault="00331B03" w:rsidP="00331B03">
      <w:pPr>
        <w:spacing w:after="0" w:line="480" w:lineRule="auto"/>
        <w:contextualSpacing/>
        <w:mirrorIndents/>
        <w:jc w:val="center"/>
        <w:rPr>
          <w:rFonts w:ascii="Times New Roman" w:eastAsia="Calibri" w:hAnsi="Times New Roman" w:cs="Times New Roman"/>
          <w:kern w:val="0"/>
          <w:sz w:val="24"/>
          <w:szCs w:val="24"/>
          <w:lang w:val="en-US"/>
          <w14:ligatures w14:val="none"/>
        </w:rPr>
      </w:pPr>
      <w:r w:rsidRPr="00331B03">
        <w:rPr>
          <w:rFonts w:ascii="Times New Roman" w:eastAsia="Calibri" w:hAnsi="Times New Roman" w:cs="Times New Roman"/>
          <w:kern w:val="0"/>
          <w:sz w:val="24"/>
          <w:szCs w:val="24"/>
          <w:lang w:val="en-US"/>
          <w14:ligatures w14:val="none"/>
        </w:rPr>
        <w:t>A FAILURE OF CORPORATE GOVERNANCE: THE CASE ANALYSIS OF FTX AND ALAMEDA RESEARCH</w:t>
      </w:r>
    </w:p>
    <w:p w14:paraId="63484961" w14:textId="77777777" w:rsidR="008E52A0" w:rsidRDefault="008E52A0" w:rsidP="00331B03">
      <w:pPr>
        <w:spacing w:after="0" w:line="480" w:lineRule="auto"/>
        <w:contextualSpacing/>
        <w:mirrorIndents/>
        <w:jc w:val="center"/>
        <w:rPr>
          <w:rFonts w:ascii="Times New Roman" w:eastAsia="Arial" w:hAnsi="Times New Roman" w:cs="Times New Roman"/>
          <w:kern w:val="0"/>
          <w:sz w:val="24"/>
          <w:szCs w:val="24"/>
          <w:lang w:val="en-US"/>
          <w14:ligatures w14:val="none"/>
        </w:rPr>
      </w:pPr>
    </w:p>
    <w:p w14:paraId="4E1BB046" w14:textId="77777777" w:rsidR="008E52A0" w:rsidRDefault="008E52A0" w:rsidP="00331B03">
      <w:pPr>
        <w:spacing w:after="0" w:line="480" w:lineRule="auto"/>
        <w:contextualSpacing/>
        <w:mirrorIndents/>
        <w:jc w:val="center"/>
        <w:rPr>
          <w:rFonts w:ascii="Times New Roman" w:eastAsia="Arial" w:hAnsi="Times New Roman" w:cs="Times New Roman"/>
          <w:kern w:val="0"/>
          <w:sz w:val="24"/>
          <w:szCs w:val="24"/>
          <w:lang w:val="en-US"/>
          <w14:ligatures w14:val="none"/>
        </w:rPr>
      </w:pPr>
    </w:p>
    <w:p w14:paraId="7CF56193" w14:textId="77777777" w:rsidR="008E52A0" w:rsidRDefault="008E52A0" w:rsidP="00331B03">
      <w:pPr>
        <w:spacing w:after="0" w:line="480" w:lineRule="auto"/>
        <w:contextualSpacing/>
        <w:mirrorIndents/>
        <w:jc w:val="center"/>
        <w:rPr>
          <w:rFonts w:ascii="Times New Roman" w:eastAsia="Arial" w:hAnsi="Times New Roman" w:cs="Times New Roman"/>
          <w:kern w:val="0"/>
          <w:sz w:val="24"/>
          <w:szCs w:val="24"/>
          <w:lang w:val="en-US"/>
          <w14:ligatures w14:val="none"/>
        </w:rPr>
      </w:pPr>
    </w:p>
    <w:p w14:paraId="4B340267" w14:textId="77777777" w:rsidR="008E52A0" w:rsidRDefault="008E52A0" w:rsidP="00331B03">
      <w:pPr>
        <w:spacing w:after="0" w:line="480" w:lineRule="auto"/>
        <w:contextualSpacing/>
        <w:mirrorIndents/>
        <w:jc w:val="center"/>
        <w:rPr>
          <w:rFonts w:ascii="Times New Roman" w:eastAsia="Arial" w:hAnsi="Times New Roman" w:cs="Times New Roman"/>
          <w:kern w:val="0"/>
          <w:sz w:val="24"/>
          <w:szCs w:val="24"/>
          <w:lang w:val="en-US"/>
          <w14:ligatures w14:val="none"/>
        </w:rPr>
      </w:pPr>
    </w:p>
    <w:p w14:paraId="738C6655" w14:textId="6CAD30BF" w:rsidR="00331B03" w:rsidRDefault="00331B03" w:rsidP="00331B03">
      <w:pPr>
        <w:spacing w:after="0" w:line="480" w:lineRule="auto"/>
        <w:contextualSpacing/>
        <w:mirrorIndents/>
        <w:jc w:val="center"/>
        <w:rPr>
          <w:rFonts w:ascii="Times New Roman" w:eastAsia="Arial" w:hAnsi="Times New Roman" w:cs="Times New Roman"/>
          <w:kern w:val="0"/>
          <w:sz w:val="24"/>
          <w:szCs w:val="24"/>
          <w:lang w:val="en-US"/>
          <w14:ligatures w14:val="none"/>
        </w:rPr>
      </w:pPr>
      <w:r w:rsidRPr="00331B03">
        <w:rPr>
          <w:rFonts w:ascii="Times New Roman" w:eastAsia="Arial" w:hAnsi="Times New Roman" w:cs="Times New Roman"/>
          <w:kern w:val="0"/>
          <w:sz w:val="24"/>
          <w:szCs w:val="24"/>
          <w:lang w:val="en-US"/>
          <w14:ligatures w14:val="none"/>
        </w:rPr>
        <w:t xml:space="preserve">by </w:t>
      </w:r>
      <w:r>
        <w:rPr>
          <w:rFonts w:ascii="Times New Roman" w:eastAsia="Arial" w:hAnsi="Times New Roman" w:cs="Times New Roman"/>
          <w:kern w:val="0"/>
          <w:sz w:val="24"/>
          <w:szCs w:val="24"/>
          <w:lang w:val="en-US"/>
          <w14:ligatures w14:val="none"/>
        </w:rPr>
        <w:t>Adam Fisher</w:t>
      </w:r>
    </w:p>
    <w:p w14:paraId="546D993C" w14:textId="7CBFC091" w:rsidR="00331B03" w:rsidRPr="00331B03" w:rsidRDefault="008E52A0" w:rsidP="008E52A0">
      <w:pPr>
        <w:spacing w:after="0" w:line="480" w:lineRule="auto"/>
        <w:contextualSpacing/>
        <w:mirrorIndents/>
        <w:jc w:val="center"/>
        <w:rPr>
          <w:rFonts w:ascii="Times New Roman" w:eastAsia="Arial" w:hAnsi="Times New Roman" w:cs="Times New Roman"/>
          <w:kern w:val="0"/>
          <w:sz w:val="24"/>
          <w:szCs w:val="24"/>
          <w:lang w:val="en-US"/>
          <w14:ligatures w14:val="none"/>
        </w:rPr>
      </w:pPr>
      <w:r>
        <w:rPr>
          <w:rFonts w:ascii="Times New Roman" w:eastAsia="Arial" w:hAnsi="Times New Roman" w:cs="Times New Roman"/>
          <w:kern w:val="0"/>
          <w:sz w:val="24"/>
          <w:szCs w:val="24"/>
          <w:lang w:val="en-US"/>
          <w14:ligatures w14:val="none"/>
        </w:rPr>
        <w:t>(2243196)</w:t>
      </w:r>
    </w:p>
    <w:p w14:paraId="57188D84" w14:textId="32018B48" w:rsidR="008E52A0" w:rsidRPr="00331B03" w:rsidRDefault="008E52A0" w:rsidP="00331B03">
      <w:pPr>
        <w:spacing w:after="0" w:line="480" w:lineRule="auto"/>
        <w:contextualSpacing/>
        <w:mirrorIndents/>
        <w:jc w:val="center"/>
        <w:rPr>
          <w:rFonts w:ascii="Times New Roman" w:eastAsia="Calibri" w:hAnsi="Times New Roman" w:cs="Times New Roman"/>
          <w:kern w:val="0"/>
          <w:sz w:val="24"/>
          <w:szCs w:val="24"/>
          <w:lang w:val="en-US"/>
          <w14:ligatures w14:val="none"/>
        </w:rPr>
      </w:pPr>
      <w:r w:rsidRPr="008E52A0">
        <w:rPr>
          <w:rFonts w:ascii="Times New Roman" w:eastAsia="Calibri" w:hAnsi="Times New Roman" w:cs="Times New Roman"/>
          <w:kern w:val="0"/>
          <w:sz w:val="24"/>
          <w:szCs w:val="24"/>
          <w:lang w:val="en-US"/>
          <w14:ligatures w14:val="none"/>
        </w:rPr>
        <w:t>Master of Science in Financial Management</w:t>
      </w:r>
    </w:p>
    <w:p w14:paraId="03303A57" w14:textId="7811CE7B" w:rsidR="00331B03" w:rsidRPr="00331B03" w:rsidRDefault="00331B03" w:rsidP="00331B03">
      <w:pPr>
        <w:spacing w:after="0" w:line="480" w:lineRule="auto"/>
        <w:contextualSpacing/>
        <w:mirrorIndents/>
        <w:jc w:val="center"/>
        <w:rPr>
          <w:rFonts w:ascii="Times New Roman" w:eastAsia="Calibri" w:hAnsi="Times New Roman" w:cs="Times New Roman"/>
          <w:kern w:val="0"/>
          <w:sz w:val="24"/>
          <w:szCs w:val="24"/>
          <w:lang w:val="en-US"/>
          <w14:ligatures w14:val="none"/>
        </w:rPr>
      </w:pPr>
      <w:r w:rsidRPr="00331B03">
        <w:rPr>
          <w:rFonts w:ascii="Times New Roman" w:eastAsia="Calibri" w:hAnsi="Times New Roman" w:cs="Times New Roman"/>
          <w:kern w:val="0"/>
          <w:sz w:val="24"/>
          <w:szCs w:val="24"/>
          <w:lang w:val="en-US"/>
          <w14:ligatures w14:val="none"/>
        </w:rPr>
        <w:t>University</w:t>
      </w:r>
      <w:r w:rsidR="008E52A0" w:rsidRPr="008E52A0">
        <w:rPr>
          <w:rFonts w:ascii="Times New Roman" w:eastAsia="Calibri" w:hAnsi="Times New Roman" w:cs="Times New Roman"/>
          <w:kern w:val="0"/>
          <w:sz w:val="24"/>
          <w:szCs w:val="24"/>
          <w:lang w:val="en-US"/>
          <w14:ligatures w14:val="none"/>
        </w:rPr>
        <w:t xml:space="preserve"> of Wales Trinity Saint David</w:t>
      </w:r>
    </w:p>
    <w:p w14:paraId="5109F276" w14:textId="411B1E6A" w:rsidR="00923840" w:rsidRPr="00331B03" w:rsidRDefault="008E52A0" w:rsidP="00331B03">
      <w:pPr>
        <w:spacing w:after="0" w:line="480" w:lineRule="auto"/>
        <w:contextualSpacing/>
        <w:mirrorIndents/>
        <w:jc w:val="center"/>
        <w:rPr>
          <w:rFonts w:ascii="Times New Roman" w:eastAsia="Arial" w:hAnsi="Times New Roman" w:cs="Times New Roman"/>
          <w:kern w:val="0"/>
          <w:sz w:val="24"/>
          <w:szCs w:val="24"/>
          <w:lang w:val="en-US"/>
          <w14:ligatures w14:val="none"/>
        </w:rPr>
      </w:pPr>
      <w:r>
        <w:rPr>
          <w:rFonts w:ascii="Times New Roman" w:eastAsia="Calibri" w:hAnsi="Times New Roman" w:cs="Times New Roman"/>
          <w:kern w:val="0"/>
          <w:sz w:val="24"/>
          <w:szCs w:val="24"/>
          <w:lang w:val="en-US"/>
          <w14:ligatures w14:val="none"/>
        </w:rPr>
        <w:t>2024.</w:t>
      </w:r>
    </w:p>
    <w:p w14:paraId="05A76F44" w14:textId="77777777" w:rsidR="00923840" w:rsidRDefault="00923840" w:rsidP="00923840"/>
    <w:p w14:paraId="03642CD8" w14:textId="77777777" w:rsidR="00923840" w:rsidRDefault="00923840" w:rsidP="00923840"/>
    <w:p w14:paraId="3519033B" w14:textId="77777777" w:rsidR="00923840" w:rsidRDefault="00923840" w:rsidP="00923840"/>
    <w:p w14:paraId="1B9DC115" w14:textId="77777777" w:rsidR="00923840" w:rsidRDefault="00923840" w:rsidP="00923840"/>
    <w:p w14:paraId="0E050385" w14:textId="77777777" w:rsidR="00923840" w:rsidRDefault="00923840" w:rsidP="00923840"/>
    <w:p w14:paraId="7164C454" w14:textId="77777777" w:rsidR="00923840" w:rsidRDefault="00923840" w:rsidP="00923840"/>
    <w:p w14:paraId="41CCC181" w14:textId="77777777" w:rsidR="00923840" w:rsidRDefault="00923840" w:rsidP="00923840"/>
    <w:p w14:paraId="6728366C" w14:textId="77777777" w:rsidR="00923840" w:rsidRDefault="00923840" w:rsidP="00923840"/>
    <w:p w14:paraId="1DD22D5B" w14:textId="77777777" w:rsidR="00923840" w:rsidRDefault="00923840" w:rsidP="00923840">
      <w:pPr>
        <w:rPr>
          <w:rFonts w:ascii="Times New Roman" w:hAnsi="Times New Roman" w:cs="Times New Roman"/>
          <w:b/>
          <w:sz w:val="24"/>
          <w:szCs w:val="24"/>
        </w:rPr>
      </w:pPr>
    </w:p>
    <w:p w14:paraId="1051E801" w14:textId="77777777" w:rsidR="002770D2" w:rsidRPr="00923840" w:rsidRDefault="002770D2" w:rsidP="00923840">
      <w:pPr>
        <w:rPr>
          <w:rFonts w:ascii="Times New Roman" w:hAnsi="Times New Roman" w:cs="Times New Roman"/>
          <w:b/>
          <w:sz w:val="24"/>
          <w:szCs w:val="24"/>
        </w:rPr>
      </w:pPr>
    </w:p>
    <w:p w14:paraId="2322BF1F" w14:textId="55D69E92" w:rsidR="00923840" w:rsidRDefault="00923840" w:rsidP="00923840">
      <w:pPr>
        <w:jc w:val="center"/>
        <w:rPr>
          <w:rFonts w:ascii="Times New Roman" w:hAnsi="Times New Roman" w:cs="Times New Roman"/>
          <w:b/>
          <w:sz w:val="24"/>
          <w:szCs w:val="24"/>
        </w:rPr>
      </w:pPr>
      <w:r w:rsidRPr="00923840">
        <w:rPr>
          <w:rFonts w:ascii="Times New Roman" w:hAnsi="Times New Roman" w:cs="Times New Roman"/>
          <w:b/>
          <w:sz w:val="24"/>
          <w:szCs w:val="24"/>
        </w:rPr>
        <w:lastRenderedPageBreak/>
        <w:t>Contents</w:t>
      </w:r>
    </w:p>
    <w:p w14:paraId="24CC4E07" w14:textId="77777777" w:rsidR="00923840" w:rsidRDefault="00923840" w:rsidP="00923840">
      <w:pPr>
        <w:jc w:val="center"/>
        <w:rPr>
          <w:rFonts w:ascii="Times New Roman" w:hAnsi="Times New Roman" w:cs="Times New Roman"/>
          <w:b/>
          <w:sz w:val="24"/>
          <w:szCs w:val="24"/>
        </w:rPr>
      </w:pPr>
    </w:p>
    <w:p w14:paraId="63D48B28" w14:textId="54DB171C" w:rsidR="003A73E3" w:rsidRDefault="00923840">
      <w:pPr>
        <w:pStyle w:val="TOC1"/>
        <w:tabs>
          <w:tab w:val="right" w:leader="dot" w:pos="9016"/>
        </w:tabs>
        <w:rPr>
          <w:rFonts w:eastAsiaTheme="minorEastAsia"/>
          <w:noProof/>
          <w:lang w:eastAsia="en-GB"/>
        </w:rPr>
      </w:pP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TOC \o "1-3" </w:instrText>
      </w:r>
      <w:r>
        <w:rPr>
          <w:rFonts w:ascii="Times New Roman" w:hAnsi="Times New Roman" w:cs="Times New Roman"/>
          <w:b/>
          <w:sz w:val="24"/>
          <w:szCs w:val="24"/>
        </w:rPr>
        <w:fldChar w:fldCharType="separate"/>
      </w:r>
      <w:r w:rsidR="003A73E3">
        <w:rPr>
          <w:noProof/>
        </w:rPr>
        <w:t>Abstract</w:t>
      </w:r>
      <w:r w:rsidR="003A73E3">
        <w:rPr>
          <w:noProof/>
        </w:rPr>
        <w:tab/>
      </w:r>
      <w:r w:rsidR="003A73E3">
        <w:rPr>
          <w:noProof/>
        </w:rPr>
        <w:fldChar w:fldCharType="begin"/>
      </w:r>
      <w:r w:rsidR="003A73E3">
        <w:rPr>
          <w:noProof/>
        </w:rPr>
        <w:instrText xml:space="preserve"> PAGEREF _Toc165583365 \h </w:instrText>
      </w:r>
      <w:r w:rsidR="003A73E3">
        <w:rPr>
          <w:noProof/>
        </w:rPr>
      </w:r>
      <w:r w:rsidR="003A73E3">
        <w:rPr>
          <w:noProof/>
        </w:rPr>
        <w:fldChar w:fldCharType="separate"/>
      </w:r>
      <w:r w:rsidR="003A73E3">
        <w:rPr>
          <w:noProof/>
        </w:rPr>
        <w:t>4</w:t>
      </w:r>
      <w:r w:rsidR="003A73E3">
        <w:rPr>
          <w:noProof/>
        </w:rPr>
        <w:fldChar w:fldCharType="end"/>
      </w:r>
    </w:p>
    <w:p w14:paraId="6BEB5BCA" w14:textId="7AB6C381" w:rsidR="003A73E3" w:rsidRDefault="003A73E3">
      <w:pPr>
        <w:pStyle w:val="TOC1"/>
        <w:tabs>
          <w:tab w:val="right" w:leader="dot" w:pos="9016"/>
        </w:tabs>
        <w:rPr>
          <w:rFonts w:eastAsiaTheme="minorEastAsia"/>
          <w:noProof/>
          <w:lang w:eastAsia="en-GB"/>
        </w:rPr>
      </w:pPr>
      <w:r w:rsidRPr="007C5CAA">
        <w:rPr>
          <w:noProof/>
        </w:rPr>
        <w:t>Introduction</w:t>
      </w:r>
      <w:r>
        <w:rPr>
          <w:noProof/>
        </w:rPr>
        <w:tab/>
      </w:r>
      <w:r>
        <w:rPr>
          <w:noProof/>
        </w:rPr>
        <w:fldChar w:fldCharType="begin"/>
      </w:r>
      <w:r>
        <w:rPr>
          <w:noProof/>
        </w:rPr>
        <w:instrText xml:space="preserve"> PAGEREF _Toc165583366 \h </w:instrText>
      </w:r>
      <w:r>
        <w:rPr>
          <w:noProof/>
        </w:rPr>
      </w:r>
      <w:r>
        <w:rPr>
          <w:noProof/>
        </w:rPr>
        <w:fldChar w:fldCharType="separate"/>
      </w:r>
      <w:r>
        <w:rPr>
          <w:noProof/>
        </w:rPr>
        <w:t>5</w:t>
      </w:r>
      <w:r>
        <w:rPr>
          <w:noProof/>
        </w:rPr>
        <w:fldChar w:fldCharType="end"/>
      </w:r>
    </w:p>
    <w:p w14:paraId="3F2D418E" w14:textId="75D23F56" w:rsidR="003A73E3" w:rsidRDefault="003A73E3">
      <w:pPr>
        <w:pStyle w:val="TOC2"/>
        <w:tabs>
          <w:tab w:val="right" w:leader="dot" w:pos="9016"/>
        </w:tabs>
        <w:rPr>
          <w:rFonts w:eastAsiaTheme="minorEastAsia"/>
          <w:noProof/>
          <w:lang w:eastAsia="en-GB"/>
        </w:rPr>
      </w:pPr>
      <w:r>
        <w:rPr>
          <w:noProof/>
        </w:rPr>
        <w:t>History of FTX</w:t>
      </w:r>
      <w:r>
        <w:rPr>
          <w:noProof/>
        </w:rPr>
        <w:tab/>
      </w:r>
      <w:r>
        <w:rPr>
          <w:noProof/>
        </w:rPr>
        <w:fldChar w:fldCharType="begin"/>
      </w:r>
      <w:r>
        <w:rPr>
          <w:noProof/>
        </w:rPr>
        <w:instrText xml:space="preserve"> PAGEREF _Toc165583367 \h </w:instrText>
      </w:r>
      <w:r>
        <w:rPr>
          <w:noProof/>
        </w:rPr>
      </w:r>
      <w:r>
        <w:rPr>
          <w:noProof/>
        </w:rPr>
        <w:fldChar w:fldCharType="separate"/>
      </w:r>
      <w:r>
        <w:rPr>
          <w:noProof/>
        </w:rPr>
        <w:t>6</w:t>
      </w:r>
      <w:r>
        <w:rPr>
          <w:noProof/>
        </w:rPr>
        <w:fldChar w:fldCharType="end"/>
      </w:r>
    </w:p>
    <w:p w14:paraId="4638B116" w14:textId="7E80AE75" w:rsidR="003A73E3" w:rsidRDefault="003A73E3">
      <w:pPr>
        <w:pStyle w:val="TOC2"/>
        <w:tabs>
          <w:tab w:val="right" w:leader="dot" w:pos="9016"/>
        </w:tabs>
        <w:rPr>
          <w:rFonts w:eastAsiaTheme="minorEastAsia"/>
          <w:noProof/>
          <w:lang w:eastAsia="en-GB"/>
        </w:rPr>
      </w:pPr>
      <w:r>
        <w:rPr>
          <w:noProof/>
        </w:rPr>
        <w:t>History of Alameda Research</w:t>
      </w:r>
      <w:r>
        <w:rPr>
          <w:noProof/>
        </w:rPr>
        <w:tab/>
      </w:r>
      <w:r>
        <w:rPr>
          <w:noProof/>
        </w:rPr>
        <w:fldChar w:fldCharType="begin"/>
      </w:r>
      <w:r>
        <w:rPr>
          <w:noProof/>
        </w:rPr>
        <w:instrText xml:space="preserve"> PAGEREF _Toc165583368 \h </w:instrText>
      </w:r>
      <w:r>
        <w:rPr>
          <w:noProof/>
        </w:rPr>
      </w:r>
      <w:r>
        <w:rPr>
          <w:noProof/>
        </w:rPr>
        <w:fldChar w:fldCharType="separate"/>
      </w:r>
      <w:r>
        <w:rPr>
          <w:noProof/>
        </w:rPr>
        <w:t>6</w:t>
      </w:r>
      <w:r>
        <w:rPr>
          <w:noProof/>
        </w:rPr>
        <w:fldChar w:fldCharType="end"/>
      </w:r>
    </w:p>
    <w:p w14:paraId="07EE844B" w14:textId="2023ADED" w:rsidR="003A73E3" w:rsidRDefault="003A73E3">
      <w:pPr>
        <w:pStyle w:val="TOC2"/>
        <w:tabs>
          <w:tab w:val="right" w:leader="dot" w:pos="9016"/>
        </w:tabs>
        <w:rPr>
          <w:rFonts w:eastAsiaTheme="minorEastAsia"/>
          <w:noProof/>
          <w:lang w:eastAsia="en-GB"/>
        </w:rPr>
      </w:pPr>
      <w:r>
        <w:rPr>
          <w:noProof/>
        </w:rPr>
        <w:t>Background</w:t>
      </w:r>
      <w:r>
        <w:rPr>
          <w:noProof/>
        </w:rPr>
        <w:tab/>
      </w:r>
      <w:r>
        <w:rPr>
          <w:noProof/>
        </w:rPr>
        <w:fldChar w:fldCharType="begin"/>
      </w:r>
      <w:r>
        <w:rPr>
          <w:noProof/>
        </w:rPr>
        <w:instrText xml:space="preserve"> PAGEREF _Toc165583369 \h </w:instrText>
      </w:r>
      <w:r>
        <w:rPr>
          <w:noProof/>
        </w:rPr>
      </w:r>
      <w:r>
        <w:rPr>
          <w:noProof/>
        </w:rPr>
        <w:fldChar w:fldCharType="separate"/>
      </w:r>
      <w:r>
        <w:rPr>
          <w:noProof/>
        </w:rPr>
        <w:t>6</w:t>
      </w:r>
      <w:r>
        <w:rPr>
          <w:noProof/>
        </w:rPr>
        <w:fldChar w:fldCharType="end"/>
      </w:r>
    </w:p>
    <w:p w14:paraId="6455E8EA" w14:textId="47FEAE92" w:rsidR="003A73E3" w:rsidRDefault="003A73E3">
      <w:pPr>
        <w:pStyle w:val="TOC2"/>
        <w:tabs>
          <w:tab w:val="right" w:leader="dot" w:pos="9016"/>
        </w:tabs>
        <w:rPr>
          <w:rFonts w:eastAsiaTheme="minorEastAsia"/>
          <w:noProof/>
          <w:lang w:eastAsia="en-GB"/>
        </w:rPr>
      </w:pPr>
      <w:r>
        <w:rPr>
          <w:noProof/>
        </w:rPr>
        <w:t>Research Problem</w:t>
      </w:r>
      <w:r>
        <w:rPr>
          <w:noProof/>
        </w:rPr>
        <w:tab/>
      </w:r>
      <w:r>
        <w:rPr>
          <w:noProof/>
        </w:rPr>
        <w:fldChar w:fldCharType="begin"/>
      </w:r>
      <w:r>
        <w:rPr>
          <w:noProof/>
        </w:rPr>
        <w:instrText xml:space="preserve"> PAGEREF _Toc165583370 \h </w:instrText>
      </w:r>
      <w:r>
        <w:rPr>
          <w:noProof/>
        </w:rPr>
      </w:r>
      <w:r>
        <w:rPr>
          <w:noProof/>
        </w:rPr>
        <w:fldChar w:fldCharType="separate"/>
      </w:r>
      <w:r>
        <w:rPr>
          <w:noProof/>
        </w:rPr>
        <w:t>9</w:t>
      </w:r>
      <w:r>
        <w:rPr>
          <w:noProof/>
        </w:rPr>
        <w:fldChar w:fldCharType="end"/>
      </w:r>
    </w:p>
    <w:p w14:paraId="4ED557A3" w14:textId="0FC969E8" w:rsidR="003A73E3" w:rsidRDefault="003A73E3">
      <w:pPr>
        <w:pStyle w:val="TOC2"/>
        <w:tabs>
          <w:tab w:val="right" w:leader="dot" w:pos="9016"/>
        </w:tabs>
        <w:rPr>
          <w:rFonts w:eastAsiaTheme="minorEastAsia"/>
          <w:noProof/>
          <w:lang w:eastAsia="en-GB"/>
        </w:rPr>
      </w:pPr>
      <w:r>
        <w:rPr>
          <w:noProof/>
        </w:rPr>
        <w:t>Research Aim and Objectives</w:t>
      </w:r>
      <w:r>
        <w:rPr>
          <w:noProof/>
        </w:rPr>
        <w:tab/>
      </w:r>
      <w:r>
        <w:rPr>
          <w:noProof/>
        </w:rPr>
        <w:fldChar w:fldCharType="begin"/>
      </w:r>
      <w:r>
        <w:rPr>
          <w:noProof/>
        </w:rPr>
        <w:instrText xml:space="preserve"> PAGEREF _Toc165583371 \h </w:instrText>
      </w:r>
      <w:r>
        <w:rPr>
          <w:noProof/>
        </w:rPr>
      </w:r>
      <w:r>
        <w:rPr>
          <w:noProof/>
        </w:rPr>
        <w:fldChar w:fldCharType="separate"/>
      </w:r>
      <w:r>
        <w:rPr>
          <w:noProof/>
        </w:rPr>
        <w:t>10</w:t>
      </w:r>
      <w:r>
        <w:rPr>
          <w:noProof/>
        </w:rPr>
        <w:fldChar w:fldCharType="end"/>
      </w:r>
    </w:p>
    <w:p w14:paraId="698FE101" w14:textId="0BC47A2A" w:rsidR="003A73E3" w:rsidRDefault="003A73E3">
      <w:pPr>
        <w:pStyle w:val="TOC2"/>
        <w:tabs>
          <w:tab w:val="right" w:leader="dot" w:pos="9016"/>
        </w:tabs>
        <w:rPr>
          <w:rFonts w:eastAsiaTheme="minorEastAsia"/>
          <w:noProof/>
          <w:lang w:eastAsia="en-GB"/>
        </w:rPr>
      </w:pPr>
      <w:r>
        <w:rPr>
          <w:noProof/>
        </w:rPr>
        <w:t>Research Questions</w:t>
      </w:r>
      <w:r>
        <w:rPr>
          <w:noProof/>
        </w:rPr>
        <w:tab/>
      </w:r>
      <w:r>
        <w:rPr>
          <w:noProof/>
        </w:rPr>
        <w:fldChar w:fldCharType="begin"/>
      </w:r>
      <w:r>
        <w:rPr>
          <w:noProof/>
        </w:rPr>
        <w:instrText xml:space="preserve"> PAGEREF _Toc165583372 \h </w:instrText>
      </w:r>
      <w:r>
        <w:rPr>
          <w:noProof/>
        </w:rPr>
      </w:r>
      <w:r>
        <w:rPr>
          <w:noProof/>
        </w:rPr>
        <w:fldChar w:fldCharType="separate"/>
      </w:r>
      <w:r>
        <w:rPr>
          <w:noProof/>
        </w:rPr>
        <w:t>11</w:t>
      </w:r>
      <w:r>
        <w:rPr>
          <w:noProof/>
        </w:rPr>
        <w:fldChar w:fldCharType="end"/>
      </w:r>
    </w:p>
    <w:p w14:paraId="4FB7C691" w14:textId="43EB22EA" w:rsidR="003A73E3" w:rsidRDefault="003A73E3">
      <w:pPr>
        <w:pStyle w:val="TOC2"/>
        <w:tabs>
          <w:tab w:val="right" w:leader="dot" w:pos="9016"/>
        </w:tabs>
        <w:rPr>
          <w:rFonts w:eastAsiaTheme="minorEastAsia"/>
          <w:noProof/>
          <w:lang w:eastAsia="en-GB"/>
        </w:rPr>
      </w:pPr>
      <w:r>
        <w:rPr>
          <w:noProof/>
        </w:rPr>
        <w:t>Significance of Study</w:t>
      </w:r>
      <w:r>
        <w:rPr>
          <w:noProof/>
        </w:rPr>
        <w:tab/>
      </w:r>
      <w:r>
        <w:rPr>
          <w:noProof/>
        </w:rPr>
        <w:fldChar w:fldCharType="begin"/>
      </w:r>
      <w:r>
        <w:rPr>
          <w:noProof/>
        </w:rPr>
        <w:instrText xml:space="preserve"> PAGEREF _Toc165583373 \h </w:instrText>
      </w:r>
      <w:r>
        <w:rPr>
          <w:noProof/>
        </w:rPr>
      </w:r>
      <w:r>
        <w:rPr>
          <w:noProof/>
        </w:rPr>
        <w:fldChar w:fldCharType="separate"/>
      </w:r>
      <w:r>
        <w:rPr>
          <w:noProof/>
        </w:rPr>
        <w:t>11</w:t>
      </w:r>
      <w:r>
        <w:rPr>
          <w:noProof/>
        </w:rPr>
        <w:fldChar w:fldCharType="end"/>
      </w:r>
    </w:p>
    <w:p w14:paraId="58499565" w14:textId="17614367" w:rsidR="003A73E3" w:rsidRDefault="003A73E3">
      <w:pPr>
        <w:pStyle w:val="TOC2"/>
        <w:tabs>
          <w:tab w:val="right" w:leader="dot" w:pos="9016"/>
        </w:tabs>
        <w:rPr>
          <w:rFonts w:eastAsiaTheme="minorEastAsia"/>
          <w:noProof/>
          <w:lang w:eastAsia="en-GB"/>
        </w:rPr>
      </w:pPr>
      <w:r>
        <w:rPr>
          <w:noProof/>
        </w:rPr>
        <w:t>Structure of the Study</w:t>
      </w:r>
      <w:r>
        <w:rPr>
          <w:noProof/>
        </w:rPr>
        <w:tab/>
      </w:r>
      <w:r>
        <w:rPr>
          <w:noProof/>
        </w:rPr>
        <w:fldChar w:fldCharType="begin"/>
      </w:r>
      <w:r>
        <w:rPr>
          <w:noProof/>
        </w:rPr>
        <w:instrText xml:space="preserve"> PAGEREF _Toc165583374 \h </w:instrText>
      </w:r>
      <w:r>
        <w:rPr>
          <w:noProof/>
        </w:rPr>
      </w:r>
      <w:r>
        <w:rPr>
          <w:noProof/>
        </w:rPr>
        <w:fldChar w:fldCharType="separate"/>
      </w:r>
      <w:r>
        <w:rPr>
          <w:noProof/>
        </w:rPr>
        <w:t>12</w:t>
      </w:r>
      <w:r>
        <w:rPr>
          <w:noProof/>
        </w:rPr>
        <w:fldChar w:fldCharType="end"/>
      </w:r>
    </w:p>
    <w:p w14:paraId="19F5330A" w14:textId="64C0AD58" w:rsidR="003A73E3" w:rsidRDefault="003A73E3">
      <w:pPr>
        <w:pStyle w:val="TOC1"/>
        <w:tabs>
          <w:tab w:val="right" w:leader="dot" w:pos="9016"/>
        </w:tabs>
        <w:rPr>
          <w:rFonts w:eastAsiaTheme="minorEastAsia"/>
          <w:noProof/>
          <w:lang w:eastAsia="en-GB"/>
        </w:rPr>
      </w:pPr>
      <w:r w:rsidRPr="007C5CAA">
        <w:rPr>
          <w:noProof/>
        </w:rPr>
        <w:t>Literature Review</w:t>
      </w:r>
      <w:r>
        <w:rPr>
          <w:noProof/>
        </w:rPr>
        <w:tab/>
      </w:r>
      <w:r>
        <w:rPr>
          <w:noProof/>
        </w:rPr>
        <w:fldChar w:fldCharType="begin"/>
      </w:r>
      <w:r>
        <w:rPr>
          <w:noProof/>
        </w:rPr>
        <w:instrText xml:space="preserve"> PAGEREF _Toc165583375 \h </w:instrText>
      </w:r>
      <w:r>
        <w:rPr>
          <w:noProof/>
        </w:rPr>
      </w:r>
      <w:r>
        <w:rPr>
          <w:noProof/>
        </w:rPr>
        <w:fldChar w:fldCharType="separate"/>
      </w:r>
      <w:r>
        <w:rPr>
          <w:noProof/>
        </w:rPr>
        <w:t>15</w:t>
      </w:r>
      <w:r>
        <w:rPr>
          <w:noProof/>
        </w:rPr>
        <w:fldChar w:fldCharType="end"/>
      </w:r>
    </w:p>
    <w:p w14:paraId="6EB3B6F6" w14:textId="019CC4A6" w:rsidR="003A73E3" w:rsidRDefault="003A73E3">
      <w:pPr>
        <w:pStyle w:val="TOC2"/>
        <w:tabs>
          <w:tab w:val="right" w:leader="dot" w:pos="9016"/>
        </w:tabs>
        <w:rPr>
          <w:rFonts w:eastAsiaTheme="minorEastAsia"/>
          <w:noProof/>
          <w:lang w:eastAsia="en-GB"/>
        </w:rPr>
      </w:pPr>
      <w:r>
        <w:rPr>
          <w:noProof/>
        </w:rPr>
        <w:t>Sourcing of Pertinent Literature</w:t>
      </w:r>
      <w:r>
        <w:rPr>
          <w:noProof/>
        </w:rPr>
        <w:tab/>
      </w:r>
      <w:r>
        <w:rPr>
          <w:noProof/>
        </w:rPr>
        <w:fldChar w:fldCharType="begin"/>
      </w:r>
      <w:r>
        <w:rPr>
          <w:noProof/>
        </w:rPr>
        <w:instrText xml:space="preserve"> PAGEREF _Toc165583376 \h </w:instrText>
      </w:r>
      <w:r>
        <w:rPr>
          <w:noProof/>
        </w:rPr>
      </w:r>
      <w:r>
        <w:rPr>
          <w:noProof/>
        </w:rPr>
        <w:fldChar w:fldCharType="separate"/>
      </w:r>
      <w:r>
        <w:rPr>
          <w:noProof/>
        </w:rPr>
        <w:t>16</w:t>
      </w:r>
      <w:r>
        <w:rPr>
          <w:noProof/>
        </w:rPr>
        <w:fldChar w:fldCharType="end"/>
      </w:r>
    </w:p>
    <w:p w14:paraId="7F7EDB46" w14:textId="593C0090" w:rsidR="003A73E3" w:rsidRDefault="003A73E3">
      <w:pPr>
        <w:pStyle w:val="TOC2"/>
        <w:tabs>
          <w:tab w:val="right" w:leader="dot" w:pos="9016"/>
        </w:tabs>
        <w:rPr>
          <w:rFonts w:eastAsiaTheme="minorEastAsia"/>
          <w:noProof/>
          <w:lang w:eastAsia="en-GB"/>
        </w:rPr>
      </w:pPr>
      <w:r>
        <w:rPr>
          <w:noProof/>
        </w:rPr>
        <w:t>Synthesis of Literature</w:t>
      </w:r>
      <w:r>
        <w:rPr>
          <w:noProof/>
        </w:rPr>
        <w:tab/>
      </w:r>
      <w:r>
        <w:rPr>
          <w:noProof/>
        </w:rPr>
        <w:fldChar w:fldCharType="begin"/>
      </w:r>
      <w:r>
        <w:rPr>
          <w:noProof/>
        </w:rPr>
        <w:instrText xml:space="preserve"> PAGEREF _Toc165583377 \h </w:instrText>
      </w:r>
      <w:r>
        <w:rPr>
          <w:noProof/>
        </w:rPr>
      </w:r>
      <w:r>
        <w:rPr>
          <w:noProof/>
        </w:rPr>
        <w:fldChar w:fldCharType="separate"/>
      </w:r>
      <w:r>
        <w:rPr>
          <w:noProof/>
        </w:rPr>
        <w:t>16</w:t>
      </w:r>
      <w:r>
        <w:rPr>
          <w:noProof/>
        </w:rPr>
        <w:fldChar w:fldCharType="end"/>
      </w:r>
    </w:p>
    <w:p w14:paraId="40AEF973" w14:textId="1F93F1AE" w:rsidR="003A73E3" w:rsidRDefault="003A73E3">
      <w:pPr>
        <w:pStyle w:val="TOC3"/>
        <w:tabs>
          <w:tab w:val="right" w:leader="dot" w:pos="9016"/>
        </w:tabs>
        <w:rPr>
          <w:rFonts w:eastAsiaTheme="minorEastAsia"/>
          <w:noProof/>
          <w:lang w:eastAsia="en-GB"/>
        </w:rPr>
      </w:pPr>
      <w:r>
        <w:rPr>
          <w:noProof/>
        </w:rPr>
        <w:t>Introduction to the Development of the Digital Asset Industry</w:t>
      </w:r>
      <w:r>
        <w:rPr>
          <w:noProof/>
        </w:rPr>
        <w:tab/>
      </w:r>
      <w:r>
        <w:rPr>
          <w:noProof/>
        </w:rPr>
        <w:fldChar w:fldCharType="begin"/>
      </w:r>
      <w:r>
        <w:rPr>
          <w:noProof/>
        </w:rPr>
        <w:instrText xml:space="preserve"> PAGEREF _Toc165583378 \h </w:instrText>
      </w:r>
      <w:r>
        <w:rPr>
          <w:noProof/>
        </w:rPr>
      </w:r>
      <w:r>
        <w:rPr>
          <w:noProof/>
        </w:rPr>
        <w:fldChar w:fldCharType="separate"/>
      </w:r>
      <w:r>
        <w:rPr>
          <w:noProof/>
        </w:rPr>
        <w:t>16</w:t>
      </w:r>
      <w:r>
        <w:rPr>
          <w:noProof/>
        </w:rPr>
        <w:fldChar w:fldCharType="end"/>
      </w:r>
    </w:p>
    <w:p w14:paraId="13A495B5" w14:textId="111A504A" w:rsidR="003A73E3" w:rsidRDefault="003A73E3">
      <w:pPr>
        <w:pStyle w:val="TOC3"/>
        <w:tabs>
          <w:tab w:val="right" w:leader="dot" w:pos="9016"/>
        </w:tabs>
        <w:rPr>
          <w:rFonts w:eastAsiaTheme="minorEastAsia"/>
          <w:noProof/>
          <w:lang w:eastAsia="en-GB"/>
        </w:rPr>
      </w:pPr>
      <w:r>
        <w:rPr>
          <w:noProof/>
        </w:rPr>
        <w:t>Research on the Interdependence of the Digital Asset Ecosystem</w:t>
      </w:r>
      <w:r>
        <w:rPr>
          <w:noProof/>
        </w:rPr>
        <w:tab/>
      </w:r>
      <w:r>
        <w:rPr>
          <w:noProof/>
        </w:rPr>
        <w:fldChar w:fldCharType="begin"/>
      </w:r>
      <w:r>
        <w:rPr>
          <w:noProof/>
        </w:rPr>
        <w:instrText xml:space="preserve"> PAGEREF _Toc165583379 \h </w:instrText>
      </w:r>
      <w:r>
        <w:rPr>
          <w:noProof/>
        </w:rPr>
      </w:r>
      <w:r>
        <w:rPr>
          <w:noProof/>
        </w:rPr>
        <w:fldChar w:fldCharType="separate"/>
      </w:r>
      <w:r>
        <w:rPr>
          <w:noProof/>
        </w:rPr>
        <w:t>18</w:t>
      </w:r>
      <w:r>
        <w:rPr>
          <w:noProof/>
        </w:rPr>
        <w:fldChar w:fldCharType="end"/>
      </w:r>
    </w:p>
    <w:p w14:paraId="2C100DEE" w14:textId="56629D27" w:rsidR="003A73E3" w:rsidRDefault="003A73E3">
      <w:pPr>
        <w:pStyle w:val="TOC3"/>
        <w:tabs>
          <w:tab w:val="right" w:leader="dot" w:pos="9016"/>
        </w:tabs>
        <w:rPr>
          <w:rFonts w:eastAsiaTheme="minorEastAsia"/>
          <w:noProof/>
          <w:lang w:eastAsia="en-GB"/>
        </w:rPr>
      </w:pPr>
      <w:r>
        <w:rPr>
          <w:noProof/>
        </w:rPr>
        <w:t>Governance and Regulation Issues</w:t>
      </w:r>
      <w:r>
        <w:rPr>
          <w:noProof/>
        </w:rPr>
        <w:tab/>
      </w:r>
      <w:r>
        <w:rPr>
          <w:noProof/>
        </w:rPr>
        <w:fldChar w:fldCharType="begin"/>
      </w:r>
      <w:r>
        <w:rPr>
          <w:noProof/>
        </w:rPr>
        <w:instrText xml:space="preserve"> PAGEREF _Toc165583380 \h </w:instrText>
      </w:r>
      <w:r>
        <w:rPr>
          <w:noProof/>
        </w:rPr>
      </w:r>
      <w:r>
        <w:rPr>
          <w:noProof/>
        </w:rPr>
        <w:fldChar w:fldCharType="separate"/>
      </w:r>
      <w:r>
        <w:rPr>
          <w:noProof/>
        </w:rPr>
        <w:t>19</w:t>
      </w:r>
      <w:r>
        <w:rPr>
          <w:noProof/>
        </w:rPr>
        <w:fldChar w:fldCharType="end"/>
      </w:r>
    </w:p>
    <w:p w14:paraId="7EF340BE" w14:textId="775000A3" w:rsidR="003A73E3" w:rsidRDefault="003A73E3">
      <w:pPr>
        <w:pStyle w:val="TOC3"/>
        <w:tabs>
          <w:tab w:val="right" w:leader="dot" w:pos="9016"/>
        </w:tabs>
        <w:rPr>
          <w:rFonts w:eastAsiaTheme="minorEastAsia"/>
          <w:noProof/>
          <w:lang w:eastAsia="en-GB"/>
        </w:rPr>
      </w:pPr>
      <w:r>
        <w:rPr>
          <w:noProof/>
        </w:rPr>
        <w:t>Conclusions for the Digital Asset Industry</w:t>
      </w:r>
      <w:r>
        <w:rPr>
          <w:noProof/>
        </w:rPr>
        <w:tab/>
      </w:r>
      <w:r>
        <w:rPr>
          <w:noProof/>
        </w:rPr>
        <w:fldChar w:fldCharType="begin"/>
      </w:r>
      <w:r>
        <w:rPr>
          <w:noProof/>
        </w:rPr>
        <w:instrText xml:space="preserve"> PAGEREF _Toc165583381 \h </w:instrText>
      </w:r>
      <w:r>
        <w:rPr>
          <w:noProof/>
        </w:rPr>
      </w:r>
      <w:r>
        <w:rPr>
          <w:noProof/>
        </w:rPr>
        <w:fldChar w:fldCharType="separate"/>
      </w:r>
      <w:r>
        <w:rPr>
          <w:noProof/>
        </w:rPr>
        <w:t>23</w:t>
      </w:r>
      <w:r>
        <w:rPr>
          <w:noProof/>
        </w:rPr>
        <w:fldChar w:fldCharType="end"/>
      </w:r>
    </w:p>
    <w:p w14:paraId="5507BEB2" w14:textId="5AEFCB86" w:rsidR="003A73E3" w:rsidRDefault="003A73E3">
      <w:pPr>
        <w:pStyle w:val="TOC3"/>
        <w:tabs>
          <w:tab w:val="right" w:leader="dot" w:pos="9016"/>
        </w:tabs>
        <w:rPr>
          <w:rFonts w:eastAsiaTheme="minorEastAsia"/>
          <w:noProof/>
          <w:lang w:eastAsia="en-GB"/>
        </w:rPr>
      </w:pPr>
      <w:r>
        <w:rPr>
          <w:noProof/>
        </w:rPr>
        <w:t>Addressing Gaps in Research</w:t>
      </w:r>
      <w:r>
        <w:rPr>
          <w:noProof/>
        </w:rPr>
        <w:tab/>
      </w:r>
      <w:r>
        <w:rPr>
          <w:noProof/>
        </w:rPr>
        <w:fldChar w:fldCharType="begin"/>
      </w:r>
      <w:r>
        <w:rPr>
          <w:noProof/>
        </w:rPr>
        <w:instrText xml:space="preserve"> PAGEREF _Toc165583382 \h </w:instrText>
      </w:r>
      <w:r>
        <w:rPr>
          <w:noProof/>
        </w:rPr>
      </w:r>
      <w:r>
        <w:rPr>
          <w:noProof/>
        </w:rPr>
        <w:fldChar w:fldCharType="separate"/>
      </w:r>
      <w:r>
        <w:rPr>
          <w:noProof/>
        </w:rPr>
        <w:t>26</w:t>
      </w:r>
      <w:r>
        <w:rPr>
          <w:noProof/>
        </w:rPr>
        <w:fldChar w:fldCharType="end"/>
      </w:r>
    </w:p>
    <w:p w14:paraId="252B8E4E" w14:textId="4380902F" w:rsidR="003A73E3" w:rsidRDefault="003A73E3">
      <w:pPr>
        <w:pStyle w:val="TOC1"/>
        <w:tabs>
          <w:tab w:val="right" w:leader="dot" w:pos="9016"/>
        </w:tabs>
        <w:rPr>
          <w:rFonts w:eastAsiaTheme="minorEastAsia"/>
          <w:noProof/>
          <w:lang w:eastAsia="en-GB"/>
        </w:rPr>
      </w:pPr>
      <w:r w:rsidRPr="007C5CAA">
        <w:rPr>
          <w:noProof/>
        </w:rPr>
        <w:t>Research Methodology</w:t>
      </w:r>
      <w:r>
        <w:rPr>
          <w:noProof/>
        </w:rPr>
        <w:tab/>
      </w:r>
      <w:r>
        <w:rPr>
          <w:noProof/>
        </w:rPr>
        <w:fldChar w:fldCharType="begin"/>
      </w:r>
      <w:r>
        <w:rPr>
          <w:noProof/>
        </w:rPr>
        <w:instrText xml:space="preserve"> PAGEREF _Toc165583383 \h </w:instrText>
      </w:r>
      <w:r>
        <w:rPr>
          <w:noProof/>
        </w:rPr>
      </w:r>
      <w:r>
        <w:rPr>
          <w:noProof/>
        </w:rPr>
        <w:fldChar w:fldCharType="separate"/>
      </w:r>
      <w:r>
        <w:rPr>
          <w:noProof/>
        </w:rPr>
        <w:t>28</w:t>
      </w:r>
      <w:r>
        <w:rPr>
          <w:noProof/>
        </w:rPr>
        <w:fldChar w:fldCharType="end"/>
      </w:r>
    </w:p>
    <w:p w14:paraId="12FEFF6F" w14:textId="5DD415EE" w:rsidR="003A73E3" w:rsidRDefault="003A73E3">
      <w:pPr>
        <w:pStyle w:val="TOC2"/>
        <w:tabs>
          <w:tab w:val="right" w:leader="dot" w:pos="9016"/>
        </w:tabs>
        <w:rPr>
          <w:rFonts w:eastAsiaTheme="minorEastAsia"/>
          <w:noProof/>
          <w:lang w:eastAsia="en-GB"/>
        </w:rPr>
      </w:pPr>
      <w:r>
        <w:rPr>
          <w:noProof/>
        </w:rPr>
        <w:t>Research Challenges</w:t>
      </w:r>
      <w:r>
        <w:rPr>
          <w:noProof/>
        </w:rPr>
        <w:tab/>
      </w:r>
      <w:r>
        <w:rPr>
          <w:noProof/>
        </w:rPr>
        <w:fldChar w:fldCharType="begin"/>
      </w:r>
      <w:r>
        <w:rPr>
          <w:noProof/>
        </w:rPr>
        <w:instrText xml:space="preserve"> PAGEREF _Toc165583384 \h </w:instrText>
      </w:r>
      <w:r>
        <w:rPr>
          <w:noProof/>
        </w:rPr>
      </w:r>
      <w:r>
        <w:rPr>
          <w:noProof/>
        </w:rPr>
        <w:fldChar w:fldCharType="separate"/>
      </w:r>
      <w:r>
        <w:rPr>
          <w:noProof/>
        </w:rPr>
        <w:t>28</w:t>
      </w:r>
      <w:r>
        <w:rPr>
          <w:noProof/>
        </w:rPr>
        <w:fldChar w:fldCharType="end"/>
      </w:r>
    </w:p>
    <w:p w14:paraId="5B9A0889" w14:textId="28DABAEF" w:rsidR="003A73E3" w:rsidRDefault="003A73E3">
      <w:pPr>
        <w:pStyle w:val="TOC2"/>
        <w:tabs>
          <w:tab w:val="right" w:leader="dot" w:pos="9016"/>
        </w:tabs>
        <w:rPr>
          <w:rFonts w:eastAsiaTheme="minorEastAsia"/>
          <w:noProof/>
          <w:lang w:eastAsia="en-GB"/>
        </w:rPr>
      </w:pPr>
      <w:r>
        <w:rPr>
          <w:noProof/>
        </w:rPr>
        <w:t>Data Collection Analysis</w:t>
      </w:r>
      <w:r>
        <w:rPr>
          <w:noProof/>
        </w:rPr>
        <w:tab/>
      </w:r>
      <w:r>
        <w:rPr>
          <w:noProof/>
        </w:rPr>
        <w:fldChar w:fldCharType="begin"/>
      </w:r>
      <w:r>
        <w:rPr>
          <w:noProof/>
        </w:rPr>
        <w:instrText xml:space="preserve"> PAGEREF _Toc165583385 \h </w:instrText>
      </w:r>
      <w:r>
        <w:rPr>
          <w:noProof/>
        </w:rPr>
      </w:r>
      <w:r>
        <w:rPr>
          <w:noProof/>
        </w:rPr>
        <w:fldChar w:fldCharType="separate"/>
      </w:r>
      <w:r>
        <w:rPr>
          <w:noProof/>
        </w:rPr>
        <w:t>30</w:t>
      </w:r>
      <w:r>
        <w:rPr>
          <w:noProof/>
        </w:rPr>
        <w:fldChar w:fldCharType="end"/>
      </w:r>
    </w:p>
    <w:p w14:paraId="3F4646FD" w14:textId="73763D41" w:rsidR="003A73E3" w:rsidRDefault="003A73E3">
      <w:pPr>
        <w:pStyle w:val="TOC3"/>
        <w:tabs>
          <w:tab w:val="right" w:leader="dot" w:pos="9016"/>
        </w:tabs>
        <w:rPr>
          <w:rFonts w:eastAsiaTheme="minorEastAsia"/>
          <w:noProof/>
          <w:lang w:eastAsia="en-GB"/>
        </w:rPr>
      </w:pPr>
      <w:r>
        <w:rPr>
          <w:noProof/>
        </w:rPr>
        <w:t>Qualitative Case Study Approach</w:t>
      </w:r>
      <w:r>
        <w:rPr>
          <w:noProof/>
        </w:rPr>
        <w:tab/>
      </w:r>
      <w:r>
        <w:rPr>
          <w:noProof/>
        </w:rPr>
        <w:fldChar w:fldCharType="begin"/>
      </w:r>
      <w:r>
        <w:rPr>
          <w:noProof/>
        </w:rPr>
        <w:instrText xml:space="preserve"> PAGEREF _Toc165583386 \h </w:instrText>
      </w:r>
      <w:r>
        <w:rPr>
          <w:noProof/>
        </w:rPr>
      </w:r>
      <w:r>
        <w:rPr>
          <w:noProof/>
        </w:rPr>
        <w:fldChar w:fldCharType="separate"/>
      </w:r>
      <w:r>
        <w:rPr>
          <w:noProof/>
        </w:rPr>
        <w:t>30</w:t>
      </w:r>
      <w:r>
        <w:rPr>
          <w:noProof/>
        </w:rPr>
        <w:fldChar w:fldCharType="end"/>
      </w:r>
    </w:p>
    <w:p w14:paraId="061E1BE0" w14:textId="736BB764" w:rsidR="003A73E3" w:rsidRDefault="003A73E3">
      <w:pPr>
        <w:pStyle w:val="TOC3"/>
        <w:tabs>
          <w:tab w:val="right" w:leader="dot" w:pos="9016"/>
        </w:tabs>
        <w:rPr>
          <w:rFonts w:eastAsiaTheme="minorEastAsia"/>
          <w:noProof/>
          <w:lang w:eastAsia="en-GB"/>
        </w:rPr>
      </w:pPr>
      <w:r>
        <w:rPr>
          <w:noProof/>
        </w:rPr>
        <w:t>Exploring Governance in FTX</w:t>
      </w:r>
      <w:r>
        <w:rPr>
          <w:noProof/>
        </w:rPr>
        <w:tab/>
      </w:r>
      <w:r>
        <w:rPr>
          <w:noProof/>
        </w:rPr>
        <w:fldChar w:fldCharType="begin"/>
      </w:r>
      <w:r>
        <w:rPr>
          <w:noProof/>
        </w:rPr>
        <w:instrText xml:space="preserve"> PAGEREF _Toc165583387 \h </w:instrText>
      </w:r>
      <w:r>
        <w:rPr>
          <w:noProof/>
        </w:rPr>
      </w:r>
      <w:r>
        <w:rPr>
          <w:noProof/>
        </w:rPr>
        <w:fldChar w:fldCharType="separate"/>
      </w:r>
      <w:r>
        <w:rPr>
          <w:noProof/>
        </w:rPr>
        <w:t>30</w:t>
      </w:r>
      <w:r>
        <w:rPr>
          <w:noProof/>
        </w:rPr>
        <w:fldChar w:fldCharType="end"/>
      </w:r>
    </w:p>
    <w:p w14:paraId="4C200A2F" w14:textId="04F2FB50" w:rsidR="003A73E3" w:rsidRDefault="003A73E3">
      <w:pPr>
        <w:pStyle w:val="TOC3"/>
        <w:tabs>
          <w:tab w:val="right" w:leader="dot" w:pos="9016"/>
        </w:tabs>
        <w:rPr>
          <w:rFonts w:eastAsiaTheme="minorEastAsia"/>
          <w:noProof/>
          <w:lang w:eastAsia="en-GB"/>
        </w:rPr>
      </w:pPr>
      <w:r>
        <w:rPr>
          <w:noProof/>
        </w:rPr>
        <w:t>Analysing Governance in Alameda Research</w:t>
      </w:r>
      <w:r>
        <w:rPr>
          <w:noProof/>
        </w:rPr>
        <w:tab/>
      </w:r>
      <w:r>
        <w:rPr>
          <w:noProof/>
        </w:rPr>
        <w:fldChar w:fldCharType="begin"/>
      </w:r>
      <w:r>
        <w:rPr>
          <w:noProof/>
        </w:rPr>
        <w:instrText xml:space="preserve"> PAGEREF _Toc165583388 \h </w:instrText>
      </w:r>
      <w:r>
        <w:rPr>
          <w:noProof/>
        </w:rPr>
      </w:r>
      <w:r>
        <w:rPr>
          <w:noProof/>
        </w:rPr>
        <w:fldChar w:fldCharType="separate"/>
      </w:r>
      <w:r>
        <w:rPr>
          <w:noProof/>
        </w:rPr>
        <w:t>31</w:t>
      </w:r>
      <w:r>
        <w:rPr>
          <w:noProof/>
        </w:rPr>
        <w:fldChar w:fldCharType="end"/>
      </w:r>
    </w:p>
    <w:p w14:paraId="0433948E" w14:textId="3E5B9541" w:rsidR="003A73E3" w:rsidRDefault="003A73E3">
      <w:pPr>
        <w:pStyle w:val="TOC3"/>
        <w:tabs>
          <w:tab w:val="right" w:leader="dot" w:pos="9016"/>
        </w:tabs>
        <w:rPr>
          <w:rFonts w:eastAsiaTheme="minorEastAsia"/>
          <w:noProof/>
          <w:lang w:eastAsia="en-GB"/>
        </w:rPr>
      </w:pPr>
      <w:r>
        <w:rPr>
          <w:noProof/>
        </w:rPr>
        <w:t>The Broader Implications</w:t>
      </w:r>
      <w:r>
        <w:rPr>
          <w:noProof/>
        </w:rPr>
        <w:tab/>
      </w:r>
      <w:r>
        <w:rPr>
          <w:noProof/>
        </w:rPr>
        <w:fldChar w:fldCharType="begin"/>
      </w:r>
      <w:r>
        <w:rPr>
          <w:noProof/>
        </w:rPr>
        <w:instrText xml:space="preserve"> PAGEREF _Toc165583389 \h </w:instrText>
      </w:r>
      <w:r>
        <w:rPr>
          <w:noProof/>
        </w:rPr>
      </w:r>
      <w:r>
        <w:rPr>
          <w:noProof/>
        </w:rPr>
        <w:fldChar w:fldCharType="separate"/>
      </w:r>
      <w:r>
        <w:rPr>
          <w:noProof/>
        </w:rPr>
        <w:t>31</w:t>
      </w:r>
      <w:r>
        <w:rPr>
          <w:noProof/>
        </w:rPr>
        <w:fldChar w:fldCharType="end"/>
      </w:r>
    </w:p>
    <w:p w14:paraId="49D6B924" w14:textId="61DB3CF0" w:rsidR="003A73E3" w:rsidRDefault="003A73E3">
      <w:pPr>
        <w:pStyle w:val="TOC2"/>
        <w:tabs>
          <w:tab w:val="right" w:leader="dot" w:pos="9016"/>
        </w:tabs>
        <w:rPr>
          <w:rFonts w:eastAsiaTheme="minorEastAsia"/>
          <w:noProof/>
          <w:lang w:eastAsia="en-GB"/>
        </w:rPr>
      </w:pPr>
      <w:r>
        <w:rPr>
          <w:noProof/>
        </w:rPr>
        <w:t>Ethical Considerations</w:t>
      </w:r>
      <w:r>
        <w:rPr>
          <w:noProof/>
        </w:rPr>
        <w:tab/>
      </w:r>
      <w:r>
        <w:rPr>
          <w:noProof/>
        </w:rPr>
        <w:fldChar w:fldCharType="begin"/>
      </w:r>
      <w:r>
        <w:rPr>
          <w:noProof/>
        </w:rPr>
        <w:instrText xml:space="preserve"> PAGEREF _Toc165583390 \h </w:instrText>
      </w:r>
      <w:r>
        <w:rPr>
          <w:noProof/>
        </w:rPr>
      </w:r>
      <w:r>
        <w:rPr>
          <w:noProof/>
        </w:rPr>
        <w:fldChar w:fldCharType="separate"/>
      </w:r>
      <w:r>
        <w:rPr>
          <w:noProof/>
        </w:rPr>
        <w:t>32</w:t>
      </w:r>
      <w:r>
        <w:rPr>
          <w:noProof/>
        </w:rPr>
        <w:fldChar w:fldCharType="end"/>
      </w:r>
    </w:p>
    <w:p w14:paraId="4D8984B3" w14:textId="7DE20242" w:rsidR="003A73E3" w:rsidRDefault="003A73E3">
      <w:pPr>
        <w:pStyle w:val="TOC2"/>
        <w:tabs>
          <w:tab w:val="right" w:leader="dot" w:pos="9016"/>
        </w:tabs>
        <w:rPr>
          <w:rFonts w:eastAsiaTheme="minorEastAsia"/>
          <w:noProof/>
          <w:lang w:eastAsia="en-GB"/>
        </w:rPr>
      </w:pPr>
      <w:r>
        <w:rPr>
          <w:noProof/>
        </w:rPr>
        <w:t>Reliability of Qualitative Case Study Approach Method</w:t>
      </w:r>
      <w:r>
        <w:rPr>
          <w:noProof/>
        </w:rPr>
        <w:tab/>
      </w:r>
      <w:r>
        <w:rPr>
          <w:noProof/>
        </w:rPr>
        <w:fldChar w:fldCharType="begin"/>
      </w:r>
      <w:r>
        <w:rPr>
          <w:noProof/>
        </w:rPr>
        <w:instrText xml:space="preserve"> PAGEREF _Toc165583391 \h </w:instrText>
      </w:r>
      <w:r>
        <w:rPr>
          <w:noProof/>
        </w:rPr>
      </w:r>
      <w:r>
        <w:rPr>
          <w:noProof/>
        </w:rPr>
        <w:fldChar w:fldCharType="separate"/>
      </w:r>
      <w:r>
        <w:rPr>
          <w:noProof/>
        </w:rPr>
        <w:t>33</w:t>
      </w:r>
      <w:r>
        <w:rPr>
          <w:noProof/>
        </w:rPr>
        <w:fldChar w:fldCharType="end"/>
      </w:r>
    </w:p>
    <w:p w14:paraId="2FB4B313" w14:textId="07BC7753" w:rsidR="003A73E3" w:rsidRDefault="003A73E3">
      <w:pPr>
        <w:pStyle w:val="TOC3"/>
        <w:tabs>
          <w:tab w:val="right" w:leader="dot" w:pos="9016"/>
        </w:tabs>
        <w:rPr>
          <w:rFonts w:eastAsiaTheme="minorEastAsia"/>
          <w:noProof/>
          <w:lang w:eastAsia="en-GB"/>
        </w:rPr>
      </w:pPr>
      <w:r>
        <w:rPr>
          <w:noProof/>
        </w:rPr>
        <w:t>Participant Engagement</w:t>
      </w:r>
      <w:r>
        <w:rPr>
          <w:noProof/>
        </w:rPr>
        <w:tab/>
      </w:r>
      <w:r>
        <w:rPr>
          <w:noProof/>
        </w:rPr>
        <w:fldChar w:fldCharType="begin"/>
      </w:r>
      <w:r>
        <w:rPr>
          <w:noProof/>
        </w:rPr>
        <w:instrText xml:space="preserve"> PAGEREF _Toc165583392 \h </w:instrText>
      </w:r>
      <w:r>
        <w:rPr>
          <w:noProof/>
        </w:rPr>
      </w:r>
      <w:r>
        <w:rPr>
          <w:noProof/>
        </w:rPr>
        <w:fldChar w:fldCharType="separate"/>
      </w:r>
      <w:r>
        <w:rPr>
          <w:noProof/>
        </w:rPr>
        <w:t>34</w:t>
      </w:r>
      <w:r>
        <w:rPr>
          <w:noProof/>
        </w:rPr>
        <w:fldChar w:fldCharType="end"/>
      </w:r>
    </w:p>
    <w:p w14:paraId="4246B6E5" w14:textId="23E264E0" w:rsidR="003A73E3" w:rsidRDefault="003A73E3">
      <w:pPr>
        <w:pStyle w:val="TOC3"/>
        <w:tabs>
          <w:tab w:val="right" w:leader="dot" w:pos="9016"/>
        </w:tabs>
        <w:rPr>
          <w:rFonts w:eastAsiaTheme="minorEastAsia"/>
          <w:noProof/>
          <w:lang w:eastAsia="en-GB"/>
        </w:rPr>
      </w:pPr>
      <w:r>
        <w:rPr>
          <w:noProof/>
        </w:rPr>
        <w:t>Validity</w:t>
      </w:r>
      <w:r>
        <w:rPr>
          <w:noProof/>
        </w:rPr>
        <w:tab/>
      </w:r>
      <w:r>
        <w:rPr>
          <w:noProof/>
        </w:rPr>
        <w:fldChar w:fldCharType="begin"/>
      </w:r>
      <w:r>
        <w:rPr>
          <w:noProof/>
        </w:rPr>
        <w:instrText xml:space="preserve"> PAGEREF _Toc165583393 \h </w:instrText>
      </w:r>
      <w:r>
        <w:rPr>
          <w:noProof/>
        </w:rPr>
      </w:r>
      <w:r>
        <w:rPr>
          <w:noProof/>
        </w:rPr>
        <w:fldChar w:fldCharType="separate"/>
      </w:r>
      <w:r>
        <w:rPr>
          <w:noProof/>
        </w:rPr>
        <w:t>34</w:t>
      </w:r>
      <w:r>
        <w:rPr>
          <w:noProof/>
        </w:rPr>
        <w:fldChar w:fldCharType="end"/>
      </w:r>
    </w:p>
    <w:p w14:paraId="2DE3449C" w14:textId="23695DF6" w:rsidR="003A73E3" w:rsidRDefault="003A73E3">
      <w:pPr>
        <w:pStyle w:val="TOC3"/>
        <w:tabs>
          <w:tab w:val="right" w:leader="dot" w:pos="9016"/>
        </w:tabs>
        <w:rPr>
          <w:rFonts w:eastAsiaTheme="minorEastAsia"/>
          <w:noProof/>
          <w:lang w:eastAsia="en-GB"/>
        </w:rPr>
      </w:pPr>
      <w:r>
        <w:rPr>
          <w:noProof/>
        </w:rPr>
        <w:t>Primary Data Sources</w:t>
      </w:r>
      <w:r>
        <w:rPr>
          <w:noProof/>
        </w:rPr>
        <w:tab/>
      </w:r>
      <w:r>
        <w:rPr>
          <w:noProof/>
        </w:rPr>
        <w:fldChar w:fldCharType="begin"/>
      </w:r>
      <w:r>
        <w:rPr>
          <w:noProof/>
        </w:rPr>
        <w:instrText xml:space="preserve"> PAGEREF _Toc165583394 \h </w:instrText>
      </w:r>
      <w:r>
        <w:rPr>
          <w:noProof/>
        </w:rPr>
      </w:r>
      <w:r>
        <w:rPr>
          <w:noProof/>
        </w:rPr>
        <w:fldChar w:fldCharType="separate"/>
      </w:r>
      <w:r>
        <w:rPr>
          <w:noProof/>
        </w:rPr>
        <w:t>34</w:t>
      </w:r>
      <w:r>
        <w:rPr>
          <w:noProof/>
        </w:rPr>
        <w:fldChar w:fldCharType="end"/>
      </w:r>
    </w:p>
    <w:p w14:paraId="02CBF136" w14:textId="6DE0860B" w:rsidR="003A73E3" w:rsidRDefault="003A73E3">
      <w:pPr>
        <w:pStyle w:val="TOC3"/>
        <w:tabs>
          <w:tab w:val="right" w:leader="dot" w:pos="9016"/>
        </w:tabs>
        <w:rPr>
          <w:rFonts w:eastAsiaTheme="minorEastAsia"/>
          <w:noProof/>
          <w:lang w:eastAsia="en-GB"/>
        </w:rPr>
      </w:pPr>
      <w:r>
        <w:rPr>
          <w:noProof/>
        </w:rPr>
        <w:t>Secondary Data Sources</w:t>
      </w:r>
      <w:r>
        <w:rPr>
          <w:noProof/>
        </w:rPr>
        <w:tab/>
      </w:r>
      <w:r>
        <w:rPr>
          <w:noProof/>
        </w:rPr>
        <w:fldChar w:fldCharType="begin"/>
      </w:r>
      <w:r>
        <w:rPr>
          <w:noProof/>
        </w:rPr>
        <w:instrText xml:space="preserve"> PAGEREF _Toc165583395 \h </w:instrText>
      </w:r>
      <w:r>
        <w:rPr>
          <w:noProof/>
        </w:rPr>
      </w:r>
      <w:r>
        <w:rPr>
          <w:noProof/>
        </w:rPr>
        <w:fldChar w:fldCharType="separate"/>
      </w:r>
      <w:r>
        <w:rPr>
          <w:noProof/>
        </w:rPr>
        <w:t>35</w:t>
      </w:r>
      <w:r>
        <w:rPr>
          <w:noProof/>
        </w:rPr>
        <w:fldChar w:fldCharType="end"/>
      </w:r>
    </w:p>
    <w:p w14:paraId="64F1649B" w14:textId="71D5E3AF" w:rsidR="003A73E3" w:rsidRDefault="003A73E3">
      <w:pPr>
        <w:pStyle w:val="TOC2"/>
        <w:tabs>
          <w:tab w:val="right" w:leader="dot" w:pos="9016"/>
        </w:tabs>
        <w:rPr>
          <w:rFonts w:eastAsiaTheme="minorEastAsia"/>
          <w:noProof/>
          <w:lang w:eastAsia="en-GB"/>
        </w:rPr>
      </w:pPr>
      <w:r>
        <w:rPr>
          <w:noProof/>
        </w:rPr>
        <w:t>Key Findings, Implications and Recommendations</w:t>
      </w:r>
      <w:r>
        <w:rPr>
          <w:noProof/>
        </w:rPr>
        <w:tab/>
      </w:r>
      <w:r>
        <w:rPr>
          <w:noProof/>
        </w:rPr>
        <w:fldChar w:fldCharType="begin"/>
      </w:r>
      <w:r>
        <w:rPr>
          <w:noProof/>
        </w:rPr>
        <w:instrText xml:space="preserve"> PAGEREF _Toc165583396 \h </w:instrText>
      </w:r>
      <w:r>
        <w:rPr>
          <w:noProof/>
        </w:rPr>
      </w:r>
      <w:r>
        <w:rPr>
          <w:noProof/>
        </w:rPr>
        <w:fldChar w:fldCharType="separate"/>
      </w:r>
      <w:r>
        <w:rPr>
          <w:noProof/>
        </w:rPr>
        <w:t>37</w:t>
      </w:r>
      <w:r>
        <w:rPr>
          <w:noProof/>
        </w:rPr>
        <w:fldChar w:fldCharType="end"/>
      </w:r>
    </w:p>
    <w:p w14:paraId="1BAD6CCC" w14:textId="7A3821C1" w:rsidR="003A73E3" w:rsidRDefault="003A73E3">
      <w:pPr>
        <w:pStyle w:val="TOC2"/>
        <w:tabs>
          <w:tab w:val="right" w:leader="dot" w:pos="9016"/>
        </w:tabs>
        <w:rPr>
          <w:rFonts w:eastAsiaTheme="minorEastAsia"/>
          <w:noProof/>
          <w:lang w:eastAsia="en-GB"/>
        </w:rPr>
      </w:pPr>
      <w:r w:rsidRPr="007C5CAA">
        <w:rPr>
          <w:noProof/>
          <w:highlight w:val="yellow"/>
        </w:rPr>
        <w:t>Key Findings and Implications to include</w:t>
      </w:r>
      <w:r>
        <w:rPr>
          <w:noProof/>
        </w:rPr>
        <w:tab/>
      </w:r>
      <w:r>
        <w:rPr>
          <w:noProof/>
        </w:rPr>
        <w:fldChar w:fldCharType="begin"/>
      </w:r>
      <w:r>
        <w:rPr>
          <w:noProof/>
        </w:rPr>
        <w:instrText xml:space="preserve"> PAGEREF _Toc165583397 \h </w:instrText>
      </w:r>
      <w:r>
        <w:rPr>
          <w:noProof/>
        </w:rPr>
      </w:r>
      <w:r>
        <w:rPr>
          <w:noProof/>
        </w:rPr>
        <w:fldChar w:fldCharType="separate"/>
      </w:r>
      <w:r>
        <w:rPr>
          <w:noProof/>
        </w:rPr>
        <w:t>37</w:t>
      </w:r>
      <w:r>
        <w:rPr>
          <w:noProof/>
        </w:rPr>
        <w:fldChar w:fldCharType="end"/>
      </w:r>
    </w:p>
    <w:p w14:paraId="67339A76" w14:textId="6EBBA236" w:rsidR="003A73E3" w:rsidRDefault="003A73E3">
      <w:pPr>
        <w:pStyle w:val="TOC2"/>
        <w:tabs>
          <w:tab w:val="right" w:leader="dot" w:pos="9016"/>
        </w:tabs>
        <w:rPr>
          <w:rFonts w:eastAsiaTheme="minorEastAsia"/>
          <w:noProof/>
          <w:lang w:eastAsia="en-GB"/>
        </w:rPr>
      </w:pPr>
      <w:r>
        <w:rPr>
          <w:noProof/>
        </w:rPr>
        <w:t>Conclusion</w:t>
      </w:r>
      <w:r>
        <w:rPr>
          <w:noProof/>
        </w:rPr>
        <w:tab/>
      </w:r>
      <w:r>
        <w:rPr>
          <w:noProof/>
        </w:rPr>
        <w:fldChar w:fldCharType="begin"/>
      </w:r>
      <w:r>
        <w:rPr>
          <w:noProof/>
        </w:rPr>
        <w:instrText xml:space="preserve"> PAGEREF _Toc165583398 \h </w:instrText>
      </w:r>
      <w:r>
        <w:rPr>
          <w:noProof/>
        </w:rPr>
      </w:r>
      <w:r>
        <w:rPr>
          <w:noProof/>
        </w:rPr>
        <w:fldChar w:fldCharType="separate"/>
      </w:r>
      <w:r>
        <w:rPr>
          <w:noProof/>
        </w:rPr>
        <w:t>38</w:t>
      </w:r>
      <w:r>
        <w:rPr>
          <w:noProof/>
        </w:rPr>
        <w:fldChar w:fldCharType="end"/>
      </w:r>
    </w:p>
    <w:p w14:paraId="41B97E3A" w14:textId="55F156F8" w:rsidR="003A73E3" w:rsidRDefault="003A73E3">
      <w:pPr>
        <w:pStyle w:val="TOC1"/>
        <w:tabs>
          <w:tab w:val="right" w:leader="dot" w:pos="9016"/>
        </w:tabs>
        <w:rPr>
          <w:rFonts w:eastAsiaTheme="minorEastAsia"/>
          <w:noProof/>
          <w:lang w:eastAsia="en-GB"/>
        </w:rPr>
      </w:pPr>
      <w:r w:rsidRPr="007C5CAA">
        <w:rPr>
          <w:noProof/>
        </w:rPr>
        <w:t>Analysis &amp; Results</w:t>
      </w:r>
      <w:r>
        <w:rPr>
          <w:noProof/>
        </w:rPr>
        <w:tab/>
      </w:r>
      <w:r>
        <w:rPr>
          <w:noProof/>
        </w:rPr>
        <w:fldChar w:fldCharType="begin"/>
      </w:r>
      <w:r>
        <w:rPr>
          <w:noProof/>
        </w:rPr>
        <w:instrText xml:space="preserve"> PAGEREF _Toc165583399 \h </w:instrText>
      </w:r>
      <w:r>
        <w:rPr>
          <w:noProof/>
        </w:rPr>
      </w:r>
      <w:r>
        <w:rPr>
          <w:noProof/>
        </w:rPr>
        <w:fldChar w:fldCharType="separate"/>
      </w:r>
      <w:r>
        <w:rPr>
          <w:noProof/>
        </w:rPr>
        <w:t>39</w:t>
      </w:r>
      <w:r>
        <w:rPr>
          <w:noProof/>
        </w:rPr>
        <w:fldChar w:fldCharType="end"/>
      </w:r>
    </w:p>
    <w:p w14:paraId="042C5D5A" w14:textId="7D85BB36" w:rsidR="003A73E3" w:rsidRDefault="003A73E3">
      <w:pPr>
        <w:pStyle w:val="TOC2"/>
        <w:tabs>
          <w:tab w:val="right" w:leader="dot" w:pos="9016"/>
        </w:tabs>
        <w:rPr>
          <w:rFonts w:eastAsiaTheme="minorEastAsia"/>
          <w:noProof/>
          <w:lang w:eastAsia="en-GB"/>
        </w:rPr>
      </w:pPr>
      <w:r>
        <w:rPr>
          <w:noProof/>
        </w:rPr>
        <w:t>Theme 1: Company Issues</w:t>
      </w:r>
      <w:r>
        <w:rPr>
          <w:noProof/>
        </w:rPr>
        <w:tab/>
      </w:r>
      <w:r>
        <w:rPr>
          <w:noProof/>
        </w:rPr>
        <w:fldChar w:fldCharType="begin"/>
      </w:r>
      <w:r>
        <w:rPr>
          <w:noProof/>
        </w:rPr>
        <w:instrText xml:space="preserve"> PAGEREF _Toc165583400 \h </w:instrText>
      </w:r>
      <w:r>
        <w:rPr>
          <w:noProof/>
        </w:rPr>
      </w:r>
      <w:r>
        <w:rPr>
          <w:noProof/>
        </w:rPr>
        <w:fldChar w:fldCharType="separate"/>
      </w:r>
      <w:r>
        <w:rPr>
          <w:noProof/>
        </w:rPr>
        <w:t>40</w:t>
      </w:r>
      <w:r>
        <w:rPr>
          <w:noProof/>
        </w:rPr>
        <w:fldChar w:fldCharType="end"/>
      </w:r>
    </w:p>
    <w:p w14:paraId="3505F6D9" w14:textId="2E3BA625" w:rsidR="003A73E3" w:rsidRDefault="003A73E3">
      <w:pPr>
        <w:pStyle w:val="TOC2"/>
        <w:tabs>
          <w:tab w:val="right" w:leader="dot" w:pos="9016"/>
        </w:tabs>
        <w:rPr>
          <w:rFonts w:eastAsiaTheme="minorEastAsia"/>
          <w:noProof/>
          <w:lang w:eastAsia="en-GB"/>
        </w:rPr>
      </w:pPr>
      <w:r>
        <w:rPr>
          <w:noProof/>
        </w:rPr>
        <w:t>Theme 2: Corporate Governance Practices</w:t>
      </w:r>
      <w:r>
        <w:rPr>
          <w:noProof/>
        </w:rPr>
        <w:tab/>
      </w:r>
      <w:r>
        <w:rPr>
          <w:noProof/>
        </w:rPr>
        <w:fldChar w:fldCharType="begin"/>
      </w:r>
      <w:r>
        <w:rPr>
          <w:noProof/>
        </w:rPr>
        <w:instrText xml:space="preserve"> PAGEREF _Toc165583401 \h </w:instrText>
      </w:r>
      <w:r>
        <w:rPr>
          <w:noProof/>
        </w:rPr>
      </w:r>
      <w:r>
        <w:rPr>
          <w:noProof/>
        </w:rPr>
        <w:fldChar w:fldCharType="separate"/>
      </w:r>
      <w:r>
        <w:rPr>
          <w:noProof/>
        </w:rPr>
        <w:t>42</w:t>
      </w:r>
      <w:r>
        <w:rPr>
          <w:noProof/>
        </w:rPr>
        <w:fldChar w:fldCharType="end"/>
      </w:r>
    </w:p>
    <w:p w14:paraId="40DBC2AA" w14:textId="2329A94F" w:rsidR="003A73E3" w:rsidRDefault="003A73E3">
      <w:pPr>
        <w:pStyle w:val="TOC2"/>
        <w:tabs>
          <w:tab w:val="right" w:leader="dot" w:pos="9016"/>
        </w:tabs>
        <w:rPr>
          <w:rFonts w:eastAsiaTheme="minorEastAsia"/>
          <w:noProof/>
          <w:lang w:eastAsia="en-GB"/>
        </w:rPr>
      </w:pPr>
      <w:r>
        <w:rPr>
          <w:noProof/>
        </w:rPr>
        <w:t>Theme 3: Cryptocurrency Regulation</w:t>
      </w:r>
      <w:r>
        <w:rPr>
          <w:noProof/>
        </w:rPr>
        <w:tab/>
      </w:r>
      <w:r>
        <w:rPr>
          <w:noProof/>
        </w:rPr>
        <w:fldChar w:fldCharType="begin"/>
      </w:r>
      <w:r>
        <w:rPr>
          <w:noProof/>
        </w:rPr>
        <w:instrText xml:space="preserve"> PAGEREF _Toc165583402 \h </w:instrText>
      </w:r>
      <w:r>
        <w:rPr>
          <w:noProof/>
        </w:rPr>
      </w:r>
      <w:r>
        <w:rPr>
          <w:noProof/>
        </w:rPr>
        <w:fldChar w:fldCharType="separate"/>
      </w:r>
      <w:r>
        <w:rPr>
          <w:noProof/>
        </w:rPr>
        <w:t>43</w:t>
      </w:r>
      <w:r>
        <w:rPr>
          <w:noProof/>
        </w:rPr>
        <w:fldChar w:fldCharType="end"/>
      </w:r>
    </w:p>
    <w:p w14:paraId="49C7D9CF" w14:textId="6844F7B3" w:rsidR="003A73E3" w:rsidRDefault="003A73E3">
      <w:pPr>
        <w:pStyle w:val="TOC2"/>
        <w:tabs>
          <w:tab w:val="right" w:leader="dot" w:pos="9016"/>
        </w:tabs>
        <w:rPr>
          <w:rFonts w:eastAsiaTheme="minorEastAsia"/>
          <w:noProof/>
          <w:lang w:eastAsia="en-GB"/>
        </w:rPr>
      </w:pPr>
      <w:r>
        <w:rPr>
          <w:noProof/>
        </w:rPr>
        <w:t>Emerging Theme: Dynamic Interconnectedness of Cryptocurrency Exchange</w:t>
      </w:r>
      <w:r>
        <w:rPr>
          <w:noProof/>
        </w:rPr>
        <w:tab/>
      </w:r>
      <w:r>
        <w:rPr>
          <w:noProof/>
        </w:rPr>
        <w:fldChar w:fldCharType="begin"/>
      </w:r>
      <w:r>
        <w:rPr>
          <w:noProof/>
        </w:rPr>
        <w:instrText xml:space="preserve"> PAGEREF _Toc165583403 \h </w:instrText>
      </w:r>
      <w:r>
        <w:rPr>
          <w:noProof/>
        </w:rPr>
      </w:r>
      <w:r>
        <w:rPr>
          <w:noProof/>
        </w:rPr>
        <w:fldChar w:fldCharType="separate"/>
      </w:r>
      <w:r>
        <w:rPr>
          <w:noProof/>
        </w:rPr>
        <w:t>45</w:t>
      </w:r>
      <w:r>
        <w:rPr>
          <w:noProof/>
        </w:rPr>
        <w:fldChar w:fldCharType="end"/>
      </w:r>
    </w:p>
    <w:p w14:paraId="12FBC32D" w14:textId="4CF75890" w:rsidR="003A73E3" w:rsidRDefault="003A73E3">
      <w:pPr>
        <w:pStyle w:val="TOC1"/>
        <w:tabs>
          <w:tab w:val="right" w:leader="dot" w:pos="9016"/>
        </w:tabs>
        <w:rPr>
          <w:rFonts w:eastAsiaTheme="minorEastAsia"/>
          <w:noProof/>
          <w:lang w:eastAsia="en-GB"/>
        </w:rPr>
      </w:pPr>
      <w:r w:rsidRPr="007C5CAA">
        <w:rPr>
          <w:noProof/>
        </w:rPr>
        <w:t>Discussion</w:t>
      </w:r>
      <w:r>
        <w:rPr>
          <w:noProof/>
        </w:rPr>
        <w:tab/>
      </w:r>
      <w:r>
        <w:rPr>
          <w:noProof/>
        </w:rPr>
        <w:fldChar w:fldCharType="begin"/>
      </w:r>
      <w:r>
        <w:rPr>
          <w:noProof/>
        </w:rPr>
        <w:instrText xml:space="preserve"> PAGEREF _Toc165583404 \h </w:instrText>
      </w:r>
      <w:r>
        <w:rPr>
          <w:noProof/>
        </w:rPr>
      </w:r>
      <w:r>
        <w:rPr>
          <w:noProof/>
        </w:rPr>
        <w:fldChar w:fldCharType="separate"/>
      </w:r>
      <w:r>
        <w:rPr>
          <w:noProof/>
        </w:rPr>
        <w:t>47</w:t>
      </w:r>
      <w:r>
        <w:rPr>
          <w:noProof/>
        </w:rPr>
        <w:fldChar w:fldCharType="end"/>
      </w:r>
    </w:p>
    <w:p w14:paraId="5F7B5B2E" w14:textId="0FE90337" w:rsidR="003A73E3" w:rsidRDefault="003A73E3">
      <w:pPr>
        <w:pStyle w:val="TOC1"/>
        <w:tabs>
          <w:tab w:val="right" w:leader="dot" w:pos="9016"/>
        </w:tabs>
        <w:rPr>
          <w:rFonts w:eastAsiaTheme="minorEastAsia"/>
          <w:noProof/>
          <w:lang w:eastAsia="en-GB"/>
        </w:rPr>
      </w:pPr>
      <w:r w:rsidRPr="007C5CAA">
        <w:rPr>
          <w:noProof/>
        </w:rPr>
        <w:t>Recommendations and Conclusion</w:t>
      </w:r>
      <w:r>
        <w:rPr>
          <w:noProof/>
        </w:rPr>
        <w:tab/>
      </w:r>
      <w:r>
        <w:rPr>
          <w:noProof/>
        </w:rPr>
        <w:fldChar w:fldCharType="begin"/>
      </w:r>
      <w:r>
        <w:rPr>
          <w:noProof/>
        </w:rPr>
        <w:instrText xml:space="preserve"> PAGEREF _Toc165583405 \h </w:instrText>
      </w:r>
      <w:r>
        <w:rPr>
          <w:noProof/>
        </w:rPr>
      </w:r>
      <w:r>
        <w:rPr>
          <w:noProof/>
        </w:rPr>
        <w:fldChar w:fldCharType="separate"/>
      </w:r>
      <w:r>
        <w:rPr>
          <w:noProof/>
        </w:rPr>
        <w:t>55</w:t>
      </w:r>
      <w:r>
        <w:rPr>
          <w:noProof/>
        </w:rPr>
        <w:fldChar w:fldCharType="end"/>
      </w:r>
    </w:p>
    <w:p w14:paraId="1A65D8A4" w14:textId="07248E5C" w:rsidR="003A73E3" w:rsidRDefault="003A73E3">
      <w:pPr>
        <w:pStyle w:val="TOC2"/>
        <w:tabs>
          <w:tab w:val="right" w:leader="dot" w:pos="9016"/>
        </w:tabs>
        <w:rPr>
          <w:rFonts w:eastAsiaTheme="minorEastAsia"/>
          <w:noProof/>
          <w:lang w:eastAsia="en-GB"/>
        </w:rPr>
      </w:pPr>
      <w:r>
        <w:rPr>
          <w:noProof/>
        </w:rPr>
        <w:t>Contribution to Theory</w:t>
      </w:r>
      <w:r>
        <w:rPr>
          <w:noProof/>
        </w:rPr>
        <w:tab/>
      </w:r>
      <w:r>
        <w:rPr>
          <w:noProof/>
        </w:rPr>
        <w:fldChar w:fldCharType="begin"/>
      </w:r>
      <w:r>
        <w:rPr>
          <w:noProof/>
        </w:rPr>
        <w:instrText xml:space="preserve"> PAGEREF _Toc165583406 \h </w:instrText>
      </w:r>
      <w:r>
        <w:rPr>
          <w:noProof/>
        </w:rPr>
      </w:r>
      <w:r>
        <w:rPr>
          <w:noProof/>
        </w:rPr>
        <w:fldChar w:fldCharType="separate"/>
      </w:r>
      <w:r>
        <w:rPr>
          <w:noProof/>
        </w:rPr>
        <w:t>56</w:t>
      </w:r>
      <w:r>
        <w:rPr>
          <w:noProof/>
        </w:rPr>
        <w:fldChar w:fldCharType="end"/>
      </w:r>
    </w:p>
    <w:p w14:paraId="5034D8C1" w14:textId="78F442F7" w:rsidR="003A73E3" w:rsidRDefault="003A73E3">
      <w:pPr>
        <w:pStyle w:val="TOC2"/>
        <w:tabs>
          <w:tab w:val="right" w:leader="dot" w:pos="9016"/>
        </w:tabs>
        <w:rPr>
          <w:rFonts w:eastAsiaTheme="minorEastAsia"/>
          <w:noProof/>
          <w:lang w:eastAsia="en-GB"/>
        </w:rPr>
      </w:pPr>
      <w:r>
        <w:rPr>
          <w:noProof/>
        </w:rPr>
        <w:t>Limitation of the Study</w:t>
      </w:r>
      <w:r>
        <w:rPr>
          <w:noProof/>
        </w:rPr>
        <w:tab/>
      </w:r>
      <w:r>
        <w:rPr>
          <w:noProof/>
        </w:rPr>
        <w:fldChar w:fldCharType="begin"/>
      </w:r>
      <w:r>
        <w:rPr>
          <w:noProof/>
        </w:rPr>
        <w:instrText xml:space="preserve"> PAGEREF _Toc165583407 \h </w:instrText>
      </w:r>
      <w:r>
        <w:rPr>
          <w:noProof/>
        </w:rPr>
      </w:r>
      <w:r>
        <w:rPr>
          <w:noProof/>
        </w:rPr>
        <w:fldChar w:fldCharType="separate"/>
      </w:r>
      <w:r>
        <w:rPr>
          <w:noProof/>
        </w:rPr>
        <w:t>57</w:t>
      </w:r>
      <w:r>
        <w:rPr>
          <w:noProof/>
        </w:rPr>
        <w:fldChar w:fldCharType="end"/>
      </w:r>
    </w:p>
    <w:p w14:paraId="166C4167" w14:textId="11010AEC" w:rsidR="003A73E3" w:rsidRDefault="003A73E3">
      <w:pPr>
        <w:pStyle w:val="TOC2"/>
        <w:tabs>
          <w:tab w:val="right" w:leader="dot" w:pos="9016"/>
        </w:tabs>
        <w:rPr>
          <w:rFonts w:eastAsiaTheme="minorEastAsia"/>
          <w:noProof/>
          <w:lang w:eastAsia="en-GB"/>
        </w:rPr>
      </w:pPr>
      <w:r>
        <w:rPr>
          <w:noProof/>
        </w:rPr>
        <w:t>Conclusion</w:t>
      </w:r>
      <w:r>
        <w:rPr>
          <w:noProof/>
        </w:rPr>
        <w:tab/>
      </w:r>
      <w:r>
        <w:rPr>
          <w:noProof/>
        </w:rPr>
        <w:fldChar w:fldCharType="begin"/>
      </w:r>
      <w:r>
        <w:rPr>
          <w:noProof/>
        </w:rPr>
        <w:instrText xml:space="preserve"> PAGEREF _Toc165583408 \h </w:instrText>
      </w:r>
      <w:r>
        <w:rPr>
          <w:noProof/>
        </w:rPr>
      </w:r>
      <w:r>
        <w:rPr>
          <w:noProof/>
        </w:rPr>
        <w:fldChar w:fldCharType="separate"/>
      </w:r>
      <w:r>
        <w:rPr>
          <w:noProof/>
        </w:rPr>
        <w:t>58</w:t>
      </w:r>
      <w:r>
        <w:rPr>
          <w:noProof/>
        </w:rPr>
        <w:fldChar w:fldCharType="end"/>
      </w:r>
    </w:p>
    <w:p w14:paraId="5215C55D" w14:textId="74D0900E" w:rsidR="003A73E3" w:rsidRDefault="003A73E3">
      <w:pPr>
        <w:pStyle w:val="TOC1"/>
        <w:tabs>
          <w:tab w:val="right" w:leader="dot" w:pos="9016"/>
        </w:tabs>
        <w:rPr>
          <w:rFonts w:eastAsiaTheme="minorEastAsia"/>
          <w:noProof/>
          <w:lang w:eastAsia="en-GB"/>
        </w:rPr>
      </w:pPr>
      <w:r w:rsidRPr="007C5CAA">
        <w:rPr>
          <w:noProof/>
        </w:rPr>
        <w:t>References</w:t>
      </w:r>
      <w:r>
        <w:rPr>
          <w:noProof/>
        </w:rPr>
        <w:tab/>
      </w:r>
      <w:r>
        <w:rPr>
          <w:noProof/>
        </w:rPr>
        <w:fldChar w:fldCharType="begin"/>
      </w:r>
      <w:r>
        <w:rPr>
          <w:noProof/>
        </w:rPr>
        <w:instrText xml:space="preserve"> PAGEREF _Toc165583409 \h </w:instrText>
      </w:r>
      <w:r>
        <w:rPr>
          <w:noProof/>
        </w:rPr>
      </w:r>
      <w:r>
        <w:rPr>
          <w:noProof/>
        </w:rPr>
        <w:fldChar w:fldCharType="separate"/>
      </w:r>
      <w:r>
        <w:rPr>
          <w:noProof/>
        </w:rPr>
        <w:t>59</w:t>
      </w:r>
      <w:r>
        <w:rPr>
          <w:noProof/>
        </w:rPr>
        <w:fldChar w:fldCharType="end"/>
      </w:r>
    </w:p>
    <w:p w14:paraId="28415C6D" w14:textId="2E494274" w:rsidR="003A73E3" w:rsidRDefault="003A73E3">
      <w:pPr>
        <w:pStyle w:val="TOC1"/>
        <w:tabs>
          <w:tab w:val="right" w:leader="dot" w:pos="9016"/>
        </w:tabs>
        <w:rPr>
          <w:rFonts w:eastAsiaTheme="minorEastAsia"/>
          <w:noProof/>
          <w:lang w:eastAsia="en-GB"/>
        </w:rPr>
      </w:pPr>
      <w:r w:rsidRPr="007C5CAA">
        <w:rPr>
          <w:noProof/>
        </w:rPr>
        <w:t>Appendix</w:t>
      </w:r>
      <w:r>
        <w:rPr>
          <w:noProof/>
        </w:rPr>
        <w:tab/>
      </w:r>
      <w:r>
        <w:rPr>
          <w:noProof/>
        </w:rPr>
        <w:fldChar w:fldCharType="begin"/>
      </w:r>
      <w:r>
        <w:rPr>
          <w:noProof/>
        </w:rPr>
        <w:instrText xml:space="preserve"> PAGEREF _Toc165583410 \h </w:instrText>
      </w:r>
      <w:r>
        <w:rPr>
          <w:noProof/>
        </w:rPr>
      </w:r>
      <w:r>
        <w:rPr>
          <w:noProof/>
        </w:rPr>
        <w:fldChar w:fldCharType="separate"/>
      </w:r>
      <w:r>
        <w:rPr>
          <w:noProof/>
        </w:rPr>
        <w:t>64</w:t>
      </w:r>
      <w:r>
        <w:rPr>
          <w:noProof/>
        </w:rPr>
        <w:fldChar w:fldCharType="end"/>
      </w:r>
    </w:p>
    <w:p w14:paraId="4CDA36B0" w14:textId="6E837AB1" w:rsidR="00923840" w:rsidRPr="00923840" w:rsidRDefault="00923840" w:rsidP="00923840">
      <w:pPr>
        <w:jc w:val="center"/>
        <w:rPr>
          <w:rFonts w:ascii="Times New Roman" w:hAnsi="Times New Roman" w:cs="Times New Roman"/>
          <w:b/>
          <w:sz w:val="24"/>
          <w:szCs w:val="24"/>
        </w:rPr>
      </w:pPr>
      <w:r>
        <w:rPr>
          <w:rFonts w:ascii="Times New Roman" w:hAnsi="Times New Roman" w:cs="Times New Roman"/>
          <w:b/>
          <w:sz w:val="24"/>
          <w:szCs w:val="24"/>
        </w:rPr>
        <w:fldChar w:fldCharType="end"/>
      </w:r>
    </w:p>
    <w:p w14:paraId="070AD18C" w14:textId="77777777" w:rsidR="00923840" w:rsidRDefault="00923840"/>
    <w:p w14:paraId="45158DB3" w14:textId="77777777" w:rsidR="00923840" w:rsidRDefault="00923840"/>
    <w:p w14:paraId="66E9DB73" w14:textId="77777777" w:rsidR="00923840" w:rsidRDefault="00923840">
      <w:pPr>
        <w:rPr>
          <w:rFonts w:ascii="Times New Roman" w:eastAsia="Calibri" w:hAnsi="Times New Roman" w:cs="Times New Roman"/>
          <w:b/>
          <w:kern w:val="0"/>
          <w:sz w:val="24"/>
          <w:szCs w:val="24"/>
          <w:lang w:val="en-US"/>
          <w14:ligatures w14:val="none"/>
        </w:rPr>
      </w:pPr>
    </w:p>
    <w:p w14:paraId="6259F25A" w14:textId="7C55DEA0" w:rsidR="002770D2" w:rsidRDefault="00923840">
      <w:r>
        <w:br w:type="page"/>
      </w:r>
    </w:p>
    <w:p w14:paraId="559FAD9A" w14:textId="411135E0" w:rsidR="00BE2E0A" w:rsidRPr="00B06243" w:rsidRDefault="002770D2" w:rsidP="00B06243">
      <w:pPr>
        <w:pStyle w:val="Heading1"/>
      </w:pPr>
      <w:bookmarkStart w:id="0" w:name="_Toc165583365"/>
      <w:r>
        <w:lastRenderedPageBreak/>
        <w:t>Abstract</w:t>
      </w:r>
      <w:bookmarkEnd w:id="0"/>
    </w:p>
    <w:p w14:paraId="234A50BD" w14:textId="079E0E85" w:rsidR="002770D2" w:rsidRPr="00331B03" w:rsidRDefault="002770D2" w:rsidP="002770D2">
      <w:pPr>
        <w:spacing w:after="0" w:line="480" w:lineRule="auto"/>
        <w:ind w:firstLine="720"/>
        <w:rPr>
          <w:rFonts w:ascii="Times New Roman" w:hAnsi="Times New Roman" w:cs="Times New Roman"/>
          <w:kern w:val="0"/>
          <w:sz w:val="24"/>
          <w:szCs w:val="24"/>
          <w14:ligatures w14:val="none"/>
        </w:rPr>
      </w:pPr>
      <w:r w:rsidRPr="00331B03">
        <w:rPr>
          <w:rFonts w:ascii="Times New Roman" w:hAnsi="Times New Roman" w:cs="Times New Roman"/>
          <w:kern w:val="0"/>
          <w:sz w:val="24"/>
          <w:szCs w:val="24"/>
          <w:highlight w:val="yellow"/>
          <w14:ligatures w14:val="none"/>
        </w:rPr>
        <w:t>The collapse of FTX and Alameda Research, two crypto exchange giants operating within the highly unpredictable cryptocurrency industry, can be attributed to several shortfalls in governance. This literature review intends to synthesize scholarly sources examining corporate governance within FTX and Alameda Research and how poor decision-making ultimately led them to bankruptcy. It begins by introducing FTX's and Alameda Research's management, leadership style, and the literature review's goal. The following sections describe how scholarly material was sourced for the study, including the databases used, the inclusion and exclusion criteria, etc. Later, a critical analysis of pertinent research will be done to ascertain what financial analysts think about the whole FTX and Alameda Research saga. The synthesis will also integrate theoretical frameworks, concepts, and seminal theorists into the analysis. Incorporating these results will create a logical and consistent storyline, highlighting the need for more research. The review will also pinpoint literature gaps and recommend ways to address them. A conclusion will finally summarize vital topics, theories, research gaps, and concerns, ensuring a smooth transition to the methodology section of the paper.</w:t>
      </w:r>
    </w:p>
    <w:p w14:paraId="174F525F" w14:textId="77777777" w:rsidR="002770D2" w:rsidRPr="007271B6" w:rsidRDefault="002770D2"/>
    <w:p w14:paraId="63BC2103" w14:textId="77777777" w:rsidR="002770D2" w:rsidRPr="007271B6" w:rsidRDefault="002770D2"/>
    <w:p w14:paraId="3A6B809E" w14:textId="77777777" w:rsidR="002770D2" w:rsidRPr="007271B6" w:rsidRDefault="002770D2"/>
    <w:p w14:paraId="6737A141" w14:textId="77777777" w:rsidR="002770D2" w:rsidRPr="007271B6" w:rsidRDefault="002770D2"/>
    <w:p w14:paraId="5AF917E8" w14:textId="77777777" w:rsidR="002770D2" w:rsidRPr="007271B6" w:rsidRDefault="002770D2"/>
    <w:p w14:paraId="22F566D5" w14:textId="77777777" w:rsidR="002770D2" w:rsidRDefault="002770D2"/>
    <w:p w14:paraId="34CDC7C6" w14:textId="77777777" w:rsidR="00B06243" w:rsidRDefault="00B06243"/>
    <w:p w14:paraId="227DF6C2" w14:textId="77777777" w:rsidR="00B06243" w:rsidRPr="007271B6" w:rsidRDefault="00B06243"/>
    <w:p w14:paraId="4D800520" w14:textId="77777777" w:rsidR="002770D2" w:rsidRPr="007271B6" w:rsidRDefault="002770D2"/>
    <w:p w14:paraId="062F0B7F" w14:textId="77777777" w:rsidR="002770D2" w:rsidRPr="007271B6" w:rsidRDefault="002770D2"/>
    <w:p w14:paraId="4CB86450" w14:textId="77777777" w:rsidR="002770D2" w:rsidRPr="007271B6" w:rsidRDefault="002770D2"/>
    <w:p w14:paraId="2E08D5B3" w14:textId="31589856" w:rsidR="005C74BB" w:rsidRPr="007271B6" w:rsidRDefault="005C74BB" w:rsidP="004909ED">
      <w:pPr>
        <w:pStyle w:val="Heading1"/>
        <w:rPr>
          <w:lang w:val="en-GB"/>
        </w:rPr>
      </w:pPr>
      <w:bookmarkStart w:id="1" w:name="_Toc165583366"/>
      <w:r w:rsidRPr="007271B6">
        <w:rPr>
          <w:lang w:val="en-GB"/>
        </w:rPr>
        <w:lastRenderedPageBreak/>
        <w:t>Introduction</w:t>
      </w:r>
      <w:bookmarkEnd w:id="1"/>
    </w:p>
    <w:p w14:paraId="701E1E07" w14:textId="3DF82805" w:rsidR="00D175E7" w:rsidRPr="007271B6" w:rsidRDefault="00D175E7" w:rsidP="00D175E7">
      <w:pPr>
        <w:spacing w:after="0" w:line="480" w:lineRule="auto"/>
        <w:ind w:firstLine="720"/>
        <w:contextualSpacing/>
        <w:rPr>
          <w:rFonts w:ascii="Times New Roman" w:eastAsia="Calibri" w:hAnsi="Times New Roman" w:cs="Times New Roman"/>
          <w:kern w:val="0"/>
          <w:sz w:val="24"/>
          <w:szCs w:val="24"/>
          <w14:ligatures w14:val="none"/>
        </w:rPr>
      </w:pPr>
      <w:r w:rsidRPr="007271B6">
        <w:rPr>
          <w:rFonts w:ascii="Times New Roman" w:eastAsia="Calibri" w:hAnsi="Times New Roman" w:cs="Times New Roman"/>
          <w:kern w:val="0"/>
          <w:sz w:val="24"/>
          <w:szCs w:val="24"/>
          <w14:ligatures w14:val="none"/>
        </w:rPr>
        <w:t xml:space="preserve">Good corporate governance provides the basis for positive outcomes within organisations, allowing them to focus on achieving their goals </w:t>
      </w:r>
      <w:r w:rsidR="008F6541">
        <w:rPr>
          <w:rFonts w:ascii="Times New Roman" w:eastAsia="Calibri" w:hAnsi="Times New Roman" w:cs="Times New Roman"/>
          <w:kern w:val="0"/>
          <w:sz w:val="24"/>
          <w:szCs w:val="24"/>
          <w14:ligatures w14:val="none"/>
        </w:rPr>
        <w:t>whilst</w:t>
      </w:r>
      <w:r w:rsidRPr="007271B6">
        <w:rPr>
          <w:rFonts w:ascii="Times New Roman" w:eastAsia="Calibri" w:hAnsi="Times New Roman" w:cs="Times New Roman"/>
          <w:kern w:val="0"/>
          <w:sz w:val="24"/>
          <w:szCs w:val="24"/>
          <w14:ligatures w14:val="none"/>
        </w:rPr>
        <w:t xml:space="preserve"> remaining competitive. Through corporate governance, organisations formulate and apply relevant best practices, regulations and procedures that determine the way leadership and management interact with stakeholders, including employees, </w:t>
      </w:r>
      <w:proofErr w:type="gramStart"/>
      <w:r w:rsidRPr="007271B6">
        <w:rPr>
          <w:rFonts w:ascii="Times New Roman" w:eastAsia="Calibri" w:hAnsi="Times New Roman" w:cs="Times New Roman"/>
          <w:kern w:val="0"/>
          <w:sz w:val="24"/>
          <w:szCs w:val="24"/>
          <w14:ligatures w14:val="none"/>
        </w:rPr>
        <w:t>customers</w:t>
      </w:r>
      <w:proofErr w:type="gramEnd"/>
      <w:r w:rsidRPr="007271B6">
        <w:rPr>
          <w:rFonts w:ascii="Times New Roman" w:eastAsia="Calibri" w:hAnsi="Times New Roman" w:cs="Times New Roman"/>
          <w:kern w:val="0"/>
          <w:sz w:val="24"/>
          <w:szCs w:val="24"/>
          <w14:ligatures w14:val="none"/>
        </w:rPr>
        <w:t xml:space="preserve"> and shareholders (Ramasubramanian, 2023). In this way, a company can use corporate governance to create an equitable environment that engages all relevant parties and enables growth while considering the non-financial ramifications of its actions. The fiduciary and ethical requirements bind an organisation's directors such that they forego personal self-interest to pursue those of the entire corporation (Ramasubramanian, 2023). However, amidst the discussion on the need for organisations to develop corporate governance towards positive corporate performance, instances of failure have not been uncommon.</w:t>
      </w:r>
    </w:p>
    <w:p w14:paraId="1434FBF0" w14:textId="2DAD6201" w:rsidR="005C74BB" w:rsidRDefault="00D175E7" w:rsidP="00D175E7">
      <w:pPr>
        <w:spacing w:after="0" w:line="480" w:lineRule="auto"/>
        <w:ind w:firstLine="720"/>
        <w:contextualSpacing/>
        <w:rPr>
          <w:rFonts w:ascii="Times New Roman" w:eastAsia="Calibri" w:hAnsi="Times New Roman" w:cs="Times New Roman"/>
          <w:kern w:val="0"/>
          <w:sz w:val="24"/>
          <w:szCs w:val="24"/>
          <w14:ligatures w14:val="none"/>
        </w:rPr>
      </w:pPr>
      <w:r w:rsidRPr="007271B6">
        <w:rPr>
          <w:rFonts w:ascii="Times New Roman" w:eastAsia="Calibri" w:hAnsi="Times New Roman" w:cs="Times New Roman"/>
          <w:kern w:val="0"/>
          <w:sz w:val="24"/>
          <w:szCs w:val="24"/>
          <w14:ligatures w14:val="none"/>
        </w:rPr>
        <w:t>The trend of many companies collapsing reflects the failure of leadership and management to create an appropriate governance culture and structure. Every time a company fails due to poor governance, it results in significant setbacks and affects the organisation's reputation, which is detrimental in several ways. One of the negative consequences of these failures is the loss of customers, including loyal ones, which can ultimately ruin a company's financial performance. For example, cases of governance failures in organisations have increased in recent years, as shown in the</w:t>
      </w:r>
      <w:r w:rsidR="00306861">
        <w:rPr>
          <w:rFonts w:ascii="Times New Roman" w:eastAsia="Calibri" w:hAnsi="Times New Roman" w:cs="Times New Roman"/>
          <w:kern w:val="0"/>
          <w:sz w:val="24"/>
          <w:szCs w:val="24"/>
          <w14:ligatures w14:val="none"/>
        </w:rPr>
        <w:t xml:space="preserve"> Harvard</w:t>
      </w:r>
      <w:r w:rsidR="00D56C6A">
        <w:rPr>
          <w:rFonts w:ascii="Times New Roman" w:eastAsia="Calibri" w:hAnsi="Times New Roman" w:cs="Times New Roman"/>
          <w:kern w:val="0"/>
          <w:sz w:val="24"/>
          <w:szCs w:val="24"/>
          <w14:ligatures w14:val="none"/>
        </w:rPr>
        <w:t xml:space="preserve"> Law</w:t>
      </w:r>
      <w:r w:rsidR="00306861">
        <w:rPr>
          <w:rFonts w:ascii="Times New Roman" w:eastAsia="Calibri" w:hAnsi="Times New Roman" w:cs="Times New Roman"/>
          <w:kern w:val="0"/>
          <w:sz w:val="24"/>
          <w:szCs w:val="24"/>
          <w14:ligatures w14:val="none"/>
        </w:rPr>
        <w:t xml:space="preserve"> </w:t>
      </w:r>
      <w:r w:rsidRPr="007271B6">
        <w:rPr>
          <w:rFonts w:ascii="Times New Roman" w:eastAsia="Calibri" w:hAnsi="Times New Roman" w:cs="Times New Roman"/>
          <w:kern w:val="0"/>
          <w:sz w:val="24"/>
          <w:szCs w:val="24"/>
          <w14:ligatures w14:val="none"/>
        </w:rPr>
        <w:t xml:space="preserve">global </w:t>
      </w:r>
      <w:r w:rsidR="00306861">
        <w:rPr>
          <w:rFonts w:ascii="Times New Roman" w:eastAsia="Calibri" w:hAnsi="Times New Roman" w:cs="Times New Roman"/>
          <w:kern w:val="0"/>
          <w:sz w:val="24"/>
          <w:szCs w:val="24"/>
          <w14:ligatures w14:val="none"/>
        </w:rPr>
        <w:t xml:space="preserve">corporate governance </w:t>
      </w:r>
      <w:r w:rsidRPr="007271B6">
        <w:rPr>
          <w:rFonts w:ascii="Times New Roman" w:eastAsia="Calibri" w:hAnsi="Times New Roman" w:cs="Times New Roman"/>
          <w:kern w:val="0"/>
          <w:sz w:val="24"/>
          <w:szCs w:val="24"/>
          <w14:ligatures w14:val="none"/>
        </w:rPr>
        <w:t xml:space="preserve">report published in 2022. The report has necessitated the continued urge for companies to apply proactive measures that would assist in mitigating potential risks (Ramasubramanian, 2023). The reports </w:t>
      </w:r>
      <w:r w:rsidR="002770D2" w:rsidRPr="007271B6">
        <w:rPr>
          <w:rFonts w:ascii="Times New Roman" w:eastAsia="Calibri" w:hAnsi="Times New Roman" w:cs="Times New Roman"/>
          <w:kern w:val="0"/>
          <w:sz w:val="24"/>
          <w:szCs w:val="24"/>
          <w14:ligatures w14:val="none"/>
        </w:rPr>
        <w:t>identify</w:t>
      </w:r>
      <w:r w:rsidRPr="007271B6">
        <w:rPr>
          <w:rFonts w:ascii="Times New Roman" w:eastAsia="Calibri" w:hAnsi="Times New Roman" w:cs="Times New Roman"/>
          <w:kern w:val="0"/>
          <w:sz w:val="24"/>
          <w:szCs w:val="24"/>
          <w14:ligatures w14:val="none"/>
        </w:rPr>
        <w:t xml:space="preserve"> FTX and Alameda Research as leading companies that have struggled with corporate governance failures in recent years. Focusing on these two companies helps shed more light on corporate governance failures, including the aspects that contribute to them.</w:t>
      </w:r>
    </w:p>
    <w:p w14:paraId="3C87E065" w14:textId="706619C4" w:rsidR="00E615ED" w:rsidRPr="00E615ED" w:rsidRDefault="00E615ED" w:rsidP="00E615ED">
      <w:pPr>
        <w:pStyle w:val="Heading2"/>
      </w:pPr>
      <w:bookmarkStart w:id="2" w:name="_Toc165583367"/>
      <w:r w:rsidRPr="00E615ED">
        <w:t>History of FTX</w:t>
      </w:r>
      <w:bookmarkEnd w:id="2"/>
    </w:p>
    <w:p w14:paraId="52A748D6" w14:textId="6E97392F" w:rsidR="00E615ED" w:rsidRDefault="006646B9" w:rsidP="009A78BB">
      <w:pPr>
        <w:spacing w:after="0" w:line="480" w:lineRule="auto"/>
        <w:ind w:firstLine="720"/>
        <w:contextualSpacing/>
        <w:rPr>
          <w:rFonts w:ascii="Times New Roman" w:eastAsia="Calibri" w:hAnsi="Times New Roman" w:cs="Times New Roman"/>
          <w:kern w:val="0"/>
          <w:sz w:val="24"/>
          <w:szCs w:val="24"/>
          <w14:ligatures w14:val="none"/>
        </w:rPr>
      </w:pPr>
      <w:r>
        <w:rPr>
          <w:rFonts w:ascii="Times New Roman" w:eastAsia="Calibri" w:hAnsi="Times New Roman" w:cs="Times New Roman"/>
          <w:kern w:val="0"/>
          <w:sz w:val="24"/>
          <w:szCs w:val="24"/>
          <w14:ligatures w14:val="none"/>
        </w:rPr>
        <w:t xml:space="preserve">In 2021 </w:t>
      </w:r>
      <w:r w:rsidR="00E615ED">
        <w:rPr>
          <w:rFonts w:ascii="Times New Roman" w:eastAsia="Calibri" w:hAnsi="Times New Roman" w:cs="Times New Roman"/>
          <w:kern w:val="0"/>
          <w:sz w:val="24"/>
          <w:szCs w:val="24"/>
          <w14:ligatures w14:val="none"/>
        </w:rPr>
        <w:t>FTX co-founder and CEO Sam Bankmen-Fried (SBF) described FTX</w:t>
      </w:r>
      <w:r w:rsidR="008A701E">
        <w:rPr>
          <w:rFonts w:ascii="Times New Roman" w:eastAsia="Calibri" w:hAnsi="Times New Roman" w:cs="Times New Roman"/>
          <w:kern w:val="0"/>
          <w:sz w:val="24"/>
          <w:szCs w:val="24"/>
          <w14:ligatures w14:val="none"/>
        </w:rPr>
        <w:t xml:space="preserve"> </w:t>
      </w:r>
      <w:r w:rsidR="009A78BB">
        <w:rPr>
          <w:rFonts w:ascii="Times New Roman" w:eastAsia="Calibri" w:hAnsi="Times New Roman" w:cs="Times New Roman"/>
          <w:kern w:val="0"/>
          <w:sz w:val="24"/>
          <w:szCs w:val="24"/>
          <w14:ligatures w14:val="none"/>
        </w:rPr>
        <w:t xml:space="preserve">as a digital asset trading platform and exchange, which was established in 2019. </w:t>
      </w:r>
      <w:r>
        <w:rPr>
          <w:rFonts w:ascii="Times New Roman" w:eastAsia="Calibri" w:hAnsi="Times New Roman" w:cs="Times New Roman"/>
          <w:kern w:val="0"/>
          <w:sz w:val="24"/>
          <w:szCs w:val="24"/>
          <w14:ligatures w14:val="none"/>
        </w:rPr>
        <w:t xml:space="preserve">During this time SBF revealed that </w:t>
      </w:r>
      <w:r w:rsidR="009A78BB">
        <w:rPr>
          <w:rFonts w:ascii="Times New Roman" w:eastAsia="Calibri" w:hAnsi="Times New Roman" w:cs="Times New Roman"/>
          <w:kern w:val="0"/>
          <w:sz w:val="24"/>
          <w:szCs w:val="24"/>
          <w14:ligatures w14:val="none"/>
        </w:rPr>
        <w:t xml:space="preserve">in 2021 </w:t>
      </w:r>
      <w:r>
        <w:rPr>
          <w:rFonts w:ascii="Times New Roman" w:eastAsia="Calibri" w:hAnsi="Times New Roman" w:cs="Times New Roman"/>
          <w:kern w:val="0"/>
          <w:sz w:val="24"/>
          <w:szCs w:val="24"/>
          <w14:ligatures w14:val="none"/>
        </w:rPr>
        <w:t xml:space="preserve">circa $15 billion USD was traded daily on the platform, representing approximately 10% of daily global digital asset trading flows. FTX was initially </w:t>
      </w:r>
      <w:r w:rsidR="009A78BB">
        <w:rPr>
          <w:rFonts w:ascii="Times New Roman" w:eastAsia="Calibri" w:hAnsi="Times New Roman" w:cs="Times New Roman"/>
          <w:kern w:val="0"/>
          <w:sz w:val="24"/>
          <w:szCs w:val="24"/>
          <w14:ligatures w14:val="none"/>
        </w:rPr>
        <w:t>headquartered in Hong Kong</w:t>
      </w:r>
      <w:r>
        <w:rPr>
          <w:rFonts w:ascii="Times New Roman" w:eastAsia="Calibri" w:hAnsi="Times New Roman" w:cs="Times New Roman"/>
          <w:kern w:val="0"/>
          <w:sz w:val="24"/>
          <w:szCs w:val="24"/>
          <w14:ligatures w14:val="none"/>
        </w:rPr>
        <w:t xml:space="preserve"> before </w:t>
      </w:r>
      <w:r w:rsidR="009A78BB">
        <w:rPr>
          <w:rFonts w:ascii="Times New Roman" w:eastAsia="Calibri" w:hAnsi="Times New Roman" w:cs="Times New Roman"/>
          <w:kern w:val="0"/>
          <w:sz w:val="24"/>
          <w:szCs w:val="24"/>
          <w14:ligatures w14:val="none"/>
        </w:rPr>
        <w:t>re</w:t>
      </w:r>
      <w:r>
        <w:rPr>
          <w:rFonts w:ascii="Times New Roman" w:eastAsia="Calibri" w:hAnsi="Times New Roman" w:cs="Times New Roman"/>
          <w:kern w:val="0"/>
          <w:sz w:val="24"/>
          <w:szCs w:val="24"/>
          <w14:ligatures w14:val="none"/>
        </w:rPr>
        <w:t xml:space="preserve">locating </w:t>
      </w:r>
      <w:r w:rsidR="009A78BB">
        <w:rPr>
          <w:rFonts w:ascii="Times New Roman" w:eastAsia="Calibri" w:hAnsi="Times New Roman" w:cs="Times New Roman"/>
          <w:kern w:val="0"/>
          <w:sz w:val="24"/>
          <w:szCs w:val="24"/>
          <w14:ligatures w14:val="none"/>
        </w:rPr>
        <w:t>to</w:t>
      </w:r>
      <w:r>
        <w:rPr>
          <w:rFonts w:ascii="Times New Roman" w:eastAsia="Calibri" w:hAnsi="Times New Roman" w:cs="Times New Roman"/>
          <w:kern w:val="0"/>
          <w:sz w:val="24"/>
          <w:szCs w:val="24"/>
          <w14:ligatures w14:val="none"/>
        </w:rPr>
        <w:t xml:space="preserve"> the Bahamas.</w:t>
      </w:r>
      <w:r w:rsidR="009A78BB">
        <w:rPr>
          <w:rFonts w:ascii="Times New Roman" w:eastAsia="Calibri" w:hAnsi="Times New Roman" w:cs="Times New Roman"/>
          <w:kern w:val="0"/>
          <w:sz w:val="24"/>
          <w:szCs w:val="24"/>
          <w14:ligatures w14:val="none"/>
        </w:rPr>
        <w:t xml:space="preserve"> In November 2022 FTX collapses and files for bankruptcy </w:t>
      </w:r>
      <w:r w:rsidR="00AE2333">
        <w:rPr>
          <w:rFonts w:ascii="Times New Roman" w:eastAsia="Calibri" w:hAnsi="Times New Roman" w:cs="Times New Roman"/>
          <w:kern w:val="0"/>
          <w:sz w:val="24"/>
          <w:szCs w:val="24"/>
          <w14:ligatures w14:val="none"/>
        </w:rPr>
        <w:t>due to</w:t>
      </w:r>
      <w:r w:rsidR="009A78BB">
        <w:rPr>
          <w:rFonts w:ascii="Times New Roman" w:eastAsia="Calibri" w:hAnsi="Times New Roman" w:cs="Times New Roman"/>
          <w:kern w:val="0"/>
          <w:sz w:val="24"/>
          <w:szCs w:val="24"/>
          <w14:ligatures w14:val="none"/>
        </w:rPr>
        <w:t xml:space="preserve"> large customer withdrawals sparked by reports of improper asset reserves. </w:t>
      </w:r>
    </w:p>
    <w:p w14:paraId="1372DA65" w14:textId="249BCFB5" w:rsidR="00023E9E" w:rsidRPr="001807C2" w:rsidRDefault="001807C2" w:rsidP="001807C2">
      <w:pPr>
        <w:pStyle w:val="Heading2"/>
      </w:pPr>
      <w:bookmarkStart w:id="3" w:name="_Toc165583368"/>
      <w:r w:rsidRPr="00023E9E">
        <w:t>History of Alameda Research</w:t>
      </w:r>
      <w:bookmarkEnd w:id="3"/>
    </w:p>
    <w:p w14:paraId="141DF712" w14:textId="34443E18" w:rsidR="00E615ED" w:rsidRPr="00023E9E" w:rsidRDefault="00023E9E" w:rsidP="00F72EE1">
      <w:pPr>
        <w:spacing w:after="0" w:line="480" w:lineRule="auto"/>
        <w:ind w:firstLine="720"/>
        <w:contextualSpacing/>
        <w:rPr>
          <w:rFonts w:ascii="Times New Roman" w:eastAsia="Calibri" w:hAnsi="Times New Roman" w:cs="Times New Roman"/>
          <w:kern w:val="0"/>
          <w:sz w:val="24"/>
          <w:szCs w:val="24"/>
          <w14:ligatures w14:val="none"/>
        </w:rPr>
      </w:pPr>
      <w:r>
        <w:rPr>
          <w:rFonts w:ascii="Times New Roman" w:eastAsia="Calibri" w:hAnsi="Times New Roman" w:cs="Times New Roman"/>
          <w:kern w:val="0"/>
          <w:sz w:val="24"/>
          <w:szCs w:val="24"/>
          <w14:ligatures w14:val="none"/>
        </w:rPr>
        <w:t xml:space="preserve">In 2018 SBF co-founded digital asset trading firm Alameda Research in Berkeley USA, which subsequently relocated to Hong Kong. Alameda Research </w:t>
      </w:r>
      <w:r w:rsidR="00E2020B">
        <w:rPr>
          <w:rFonts w:ascii="Times New Roman" w:eastAsia="Calibri" w:hAnsi="Times New Roman" w:cs="Times New Roman"/>
          <w:kern w:val="0"/>
          <w:sz w:val="24"/>
          <w:szCs w:val="24"/>
          <w14:ligatures w14:val="none"/>
        </w:rPr>
        <w:t xml:space="preserve">initially </w:t>
      </w:r>
      <w:r>
        <w:rPr>
          <w:rFonts w:ascii="Times New Roman" w:eastAsia="Calibri" w:hAnsi="Times New Roman" w:cs="Times New Roman"/>
          <w:kern w:val="0"/>
          <w:sz w:val="24"/>
          <w:szCs w:val="24"/>
          <w14:ligatures w14:val="none"/>
        </w:rPr>
        <w:t xml:space="preserve">exploited inefficiencies and </w:t>
      </w:r>
      <w:r w:rsidR="001807C2">
        <w:rPr>
          <w:rFonts w:ascii="Times New Roman" w:eastAsia="Calibri" w:hAnsi="Times New Roman" w:cs="Times New Roman"/>
          <w:kern w:val="0"/>
          <w:sz w:val="24"/>
          <w:szCs w:val="24"/>
          <w14:ligatures w14:val="none"/>
        </w:rPr>
        <w:t xml:space="preserve">arbitrage opportunities within the Bitcoin market to make significant profits. After the inception of FTX, SBF’s focus </w:t>
      </w:r>
      <w:r w:rsidR="00F72EE1">
        <w:rPr>
          <w:rFonts w:ascii="Times New Roman" w:eastAsia="Calibri" w:hAnsi="Times New Roman" w:cs="Times New Roman"/>
          <w:kern w:val="0"/>
          <w:sz w:val="24"/>
          <w:szCs w:val="24"/>
          <w14:ligatures w14:val="none"/>
        </w:rPr>
        <w:t xml:space="preserve">gradually </w:t>
      </w:r>
      <w:r w:rsidR="001807C2">
        <w:rPr>
          <w:rFonts w:ascii="Times New Roman" w:eastAsia="Calibri" w:hAnsi="Times New Roman" w:cs="Times New Roman"/>
          <w:kern w:val="0"/>
          <w:sz w:val="24"/>
          <w:szCs w:val="24"/>
          <w14:ligatures w14:val="none"/>
        </w:rPr>
        <w:t xml:space="preserve">shifted away from Alameda Research and Caroline Ellison was appointed </w:t>
      </w:r>
      <w:r w:rsidR="00F72EE1">
        <w:rPr>
          <w:rFonts w:ascii="Times New Roman" w:eastAsia="Calibri" w:hAnsi="Times New Roman" w:cs="Times New Roman"/>
          <w:kern w:val="0"/>
          <w:sz w:val="24"/>
          <w:szCs w:val="24"/>
          <w14:ligatures w14:val="none"/>
        </w:rPr>
        <w:t>co-</w:t>
      </w:r>
      <w:r w:rsidR="001807C2">
        <w:rPr>
          <w:rFonts w:ascii="Times New Roman" w:eastAsia="Calibri" w:hAnsi="Times New Roman" w:cs="Times New Roman"/>
          <w:kern w:val="0"/>
          <w:sz w:val="24"/>
          <w:szCs w:val="24"/>
          <w14:ligatures w14:val="none"/>
        </w:rPr>
        <w:t>CEO in 202</w:t>
      </w:r>
      <w:r w:rsidR="00F72EE1">
        <w:rPr>
          <w:rFonts w:ascii="Times New Roman" w:eastAsia="Calibri" w:hAnsi="Times New Roman" w:cs="Times New Roman"/>
          <w:kern w:val="0"/>
          <w:sz w:val="24"/>
          <w:szCs w:val="24"/>
          <w14:ligatures w14:val="none"/>
        </w:rPr>
        <w:t>1</w:t>
      </w:r>
      <w:r w:rsidR="00AE2333">
        <w:rPr>
          <w:rFonts w:ascii="Times New Roman" w:eastAsia="Calibri" w:hAnsi="Times New Roman" w:cs="Times New Roman"/>
          <w:kern w:val="0"/>
          <w:sz w:val="24"/>
          <w:szCs w:val="24"/>
          <w14:ligatures w14:val="none"/>
        </w:rPr>
        <w:t>,</w:t>
      </w:r>
      <w:r w:rsidR="00F72EE1">
        <w:rPr>
          <w:rFonts w:ascii="Times New Roman" w:eastAsia="Calibri" w:hAnsi="Times New Roman" w:cs="Times New Roman"/>
          <w:kern w:val="0"/>
          <w:sz w:val="24"/>
          <w:szCs w:val="24"/>
          <w14:ligatures w14:val="none"/>
        </w:rPr>
        <w:t xml:space="preserve"> before becoming sole CEO in 2022</w:t>
      </w:r>
      <w:r w:rsidR="001807C2">
        <w:rPr>
          <w:rFonts w:ascii="Times New Roman" w:eastAsia="Calibri" w:hAnsi="Times New Roman" w:cs="Times New Roman"/>
          <w:kern w:val="0"/>
          <w:sz w:val="24"/>
          <w:szCs w:val="24"/>
          <w14:ligatures w14:val="none"/>
        </w:rPr>
        <w:t>.</w:t>
      </w:r>
      <w:r w:rsidR="00E2020B">
        <w:rPr>
          <w:rFonts w:ascii="Times New Roman" w:eastAsia="Calibri" w:hAnsi="Times New Roman" w:cs="Times New Roman"/>
          <w:kern w:val="0"/>
          <w:sz w:val="24"/>
          <w:szCs w:val="24"/>
          <w14:ligatures w14:val="none"/>
        </w:rPr>
        <w:t xml:space="preserve"> In 2020</w:t>
      </w:r>
      <w:r w:rsidR="00F72EE1">
        <w:rPr>
          <w:rFonts w:ascii="Times New Roman" w:eastAsia="Calibri" w:hAnsi="Times New Roman" w:cs="Times New Roman"/>
          <w:kern w:val="0"/>
          <w:sz w:val="24"/>
          <w:szCs w:val="24"/>
          <w14:ligatures w14:val="none"/>
        </w:rPr>
        <w:t>,</w:t>
      </w:r>
      <w:r w:rsidR="00E2020B">
        <w:rPr>
          <w:rFonts w:ascii="Times New Roman" w:eastAsia="Calibri" w:hAnsi="Times New Roman" w:cs="Times New Roman"/>
          <w:kern w:val="0"/>
          <w:sz w:val="24"/>
          <w:szCs w:val="24"/>
          <w14:ligatures w14:val="none"/>
        </w:rPr>
        <w:t xml:space="preserve"> Alameda Research </w:t>
      </w:r>
      <w:r w:rsidR="00AE2333">
        <w:rPr>
          <w:rFonts w:ascii="Times New Roman" w:eastAsia="Calibri" w:hAnsi="Times New Roman" w:cs="Times New Roman"/>
          <w:kern w:val="0"/>
          <w:sz w:val="24"/>
          <w:szCs w:val="24"/>
          <w14:ligatures w14:val="none"/>
        </w:rPr>
        <w:t>pivoted</w:t>
      </w:r>
      <w:r w:rsidR="00E2020B">
        <w:rPr>
          <w:rFonts w:ascii="Times New Roman" w:eastAsia="Calibri" w:hAnsi="Times New Roman" w:cs="Times New Roman"/>
          <w:kern w:val="0"/>
          <w:sz w:val="24"/>
          <w:szCs w:val="24"/>
          <w14:ligatures w14:val="none"/>
        </w:rPr>
        <w:t xml:space="preserve"> from a high speed, market-neutral trading strategy to leveraged long market bets, resulting in substantial losses. These losses and the close</w:t>
      </w:r>
      <w:r w:rsidR="001807C2">
        <w:rPr>
          <w:rFonts w:ascii="Times New Roman" w:eastAsia="Calibri" w:hAnsi="Times New Roman" w:cs="Times New Roman"/>
          <w:kern w:val="0"/>
          <w:sz w:val="24"/>
          <w:szCs w:val="24"/>
          <w14:ligatures w14:val="none"/>
        </w:rPr>
        <w:t xml:space="preserve"> relation to FTX, particularly regarding its holdings of FTX’s native token FTT</w:t>
      </w:r>
      <w:r w:rsidR="00F72EE1">
        <w:rPr>
          <w:rFonts w:ascii="Times New Roman" w:eastAsia="Calibri" w:hAnsi="Times New Roman" w:cs="Times New Roman"/>
          <w:kern w:val="0"/>
          <w:sz w:val="24"/>
          <w:szCs w:val="24"/>
          <w14:ligatures w14:val="none"/>
        </w:rPr>
        <w:t xml:space="preserve"> to pledge illiquid collateral borrowing, meant Alameda Research was reliant on FTX to survive.</w:t>
      </w:r>
    </w:p>
    <w:p w14:paraId="4FB1E068" w14:textId="77777777" w:rsidR="005C74BB" w:rsidRPr="00023E9E" w:rsidRDefault="005C74BB" w:rsidP="00E615ED">
      <w:pPr>
        <w:pStyle w:val="Heading2"/>
      </w:pPr>
      <w:bookmarkStart w:id="4" w:name="_Toc165583369"/>
      <w:r w:rsidRPr="00023E9E">
        <w:lastRenderedPageBreak/>
        <w:t>Background</w:t>
      </w:r>
      <w:bookmarkEnd w:id="4"/>
    </w:p>
    <w:p w14:paraId="7A8BD42C" w14:textId="26631BC7" w:rsidR="00A67639" w:rsidRPr="007271B6" w:rsidRDefault="00A67639" w:rsidP="00A67639">
      <w:pPr>
        <w:spacing w:after="0" w:line="480" w:lineRule="auto"/>
        <w:ind w:firstLine="720"/>
        <w:contextualSpacing/>
        <w:rPr>
          <w:rFonts w:ascii="Times New Roman" w:eastAsia="Calibri" w:hAnsi="Times New Roman" w:cs="Times New Roman"/>
          <w:kern w:val="0"/>
          <w:sz w:val="24"/>
          <w:szCs w:val="24"/>
          <w14:ligatures w14:val="none"/>
        </w:rPr>
      </w:pPr>
      <w:r w:rsidRPr="007271B6">
        <w:rPr>
          <w:rFonts w:ascii="Times New Roman" w:eastAsia="Calibri" w:hAnsi="Times New Roman" w:cs="Times New Roman"/>
          <w:kern w:val="0"/>
          <w:sz w:val="24"/>
          <w:szCs w:val="24"/>
          <w14:ligatures w14:val="none"/>
        </w:rPr>
        <w:t>Historically</w:t>
      </w:r>
      <w:r w:rsidR="008F6541">
        <w:rPr>
          <w:rFonts w:ascii="Times New Roman" w:eastAsia="Calibri" w:hAnsi="Times New Roman" w:cs="Times New Roman"/>
          <w:kern w:val="0"/>
          <w:sz w:val="24"/>
          <w:szCs w:val="24"/>
          <w14:ligatures w14:val="none"/>
        </w:rPr>
        <w:t>,</w:t>
      </w:r>
      <w:r w:rsidRPr="007271B6">
        <w:rPr>
          <w:rFonts w:ascii="Times New Roman" w:eastAsia="Calibri" w:hAnsi="Times New Roman" w:cs="Times New Roman"/>
          <w:kern w:val="0"/>
          <w:sz w:val="24"/>
          <w:szCs w:val="24"/>
          <w14:ligatures w14:val="none"/>
        </w:rPr>
        <w:t xml:space="preserve"> many companies were confronted with considerable problems resulting from failures in corporate governance. The discussion on this topic has gained momentum in recent years, especially following several high-profile companies having collapsed due to poor management. Hacker (2019) argued that there are significant governance issues in the digital asset industry, evidenced by the numerous corporate failures </w:t>
      </w:r>
      <w:r w:rsidR="00DC4CD1" w:rsidRPr="007271B6">
        <w:rPr>
          <w:rFonts w:ascii="Times New Roman" w:eastAsia="Calibri" w:hAnsi="Times New Roman" w:cs="Times New Roman"/>
          <w:kern w:val="0"/>
          <w:sz w:val="24"/>
          <w:szCs w:val="24"/>
          <w14:ligatures w14:val="none"/>
        </w:rPr>
        <w:t>indicating</w:t>
      </w:r>
      <w:r w:rsidRPr="007271B6">
        <w:rPr>
          <w:rFonts w:ascii="Times New Roman" w:eastAsia="Calibri" w:hAnsi="Times New Roman" w:cs="Times New Roman"/>
          <w:kern w:val="0"/>
          <w:sz w:val="24"/>
          <w:szCs w:val="24"/>
          <w14:ligatures w14:val="none"/>
        </w:rPr>
        <w:t xml:space="preserve"> that th</w:t>
      </w:r>
      <w:r w:rsidR="00DC4CD1" w:rsidRPr="007271B6">
        <w:rPr>
          <w:rFonts w:ascii="Times New Roman" w:eastAsia="Calibri" w:hAnsi="Times New Roman" w:cs="Times New Roman"/>
          <w:kern w:val="0"/>
          <w:sz w:val="24"/>
          <w:szCs w:val="24"/>
          <w14:ligatures w14:val="none"/>
        </w:rPr>
        <w:t>ose who operate within the</w:t>
      </w:r>
      <w:r w:rsidRPr="007271B6">
        <w:rPr>
          <w:rFonts w:ascii="Times New Roman" w:eastAsia="Calibri" w:hAnsi="Times New Roman" w:cs="Times New Roman"/>
          <w:kern w:val="0"/>
          <w:sz w:val="24"/>
          <w:szCs w:val="24"/>
          <w14:ligatures w14:val="none"/>
        </w:rPr>
        <w:t xml:space="preserve"> industry</w:t>
      </w:r>
      <w:r w:rsidR="00DC4CD1" w:rsidRPr="007271B6">
        <w:rPr>
          <w:rFonts w:ascii="Times New Roman" w:eastAsia="Calibri" w:hAnsi="Times New Roman" w:cs="Times New Roman"/>
          <w:kern w:val="0"/>
          <w:sz w:val="24"/>
          <w:szCs w:val="24"/>
          <w14:ligatures w14:val="none"/>
        </w:rPr>
        <w:t xml:space="preserve"> generally</w:t>
      </w:r>
      <w:r w:rsidRPr="007271B6">
        <w:rPr>
          <w:rFonts w:ascii="Times New Roman" w:eastAsia="Calibri" w:hAnsi="Times New Roman" w:cs="Times New Roman"/>
          <w:kern w:val="0"/>
          <w:sz w:val="24"/>
          <w:szCs w:val="24"/>
          <w14:ligatures w14:val="none"/>
        </w:rPr>
        <w:t xml:space="preserve"> lack robust governance framework</w:t>
      </w:r>
      <w:r w:rsidR="00DC4CD1" w:rsidRPr="007271B6">
        <w:rPr>
          <w:rFonts w:ascii="Times New Roman" w:eastAsia="Calibri" w:hAnsi="Times New Roman" w:cs="Times New Roman"/>
          <w:kern w:val="0"/>
          <w:sz w:val="24"/>
          <w:szCs w:val="24"/>
          <w14:ligatures w14:val="none"/>
        </w:rPr>
        <w:t>s</w:t>
      </w:r>
      <w:r w:rsidRPr="007271B6">
        <w:rPr>
          <w:rFonts w:ascii="Times New Roman" w:eastAsia="Calibri" w:hAnsi="Times New Roman" w:cs="Times New Roman"/>
          <w:kern w:val="0"/>
          <w:sz w:val="24"/>
          <w:szCs w:val="24"/>
          <w14:ligatures w14:val="none"/>
        </w:rPr>
        <w:t xml:space="preserve">. Hacker noted that the digital asset industry is dominated by a few influential individuals who can operate with limited accountability and scrutiny. Llamas (2023) demonstrated that in 2022, investor assets in a significant number of digital asset companies were withheld after these companies filed for bankruptcy. In addition to this asset freeze, there was a $2 trillion decline after the digital asset market lost significant value (Llamas, 2023). FTX and Alameda Research were among the few companies operating and serving clients globally. This highlighted the importance of good corporate governance to ensure regulatory compliance </w:t>
      </w:r>
      <w:r w:rsidR="00DC4CD1" w:rsidRPr="007271B6">
        <w:rPr>
          <w:rFonts w:ascii="Times New Roman" w:eastAsia="Calibri" w:hAnsi="Times New Roman" w:cs="Times New Roman"/>
          <w:kern w:val="0"/>
          <w:sz w:val="24"/>
          <w:szCs w:val="24"/>
          <w14:ligatures w14:val="none"/>
        </w:rPr>
        <w:t>across multiple jurisdictions</w:t>
      </w:r>
      <w:r w:rsidRPr="007271B6">
        <w:rPr>
          <w:rFonts w:ascii="Times New Roman" w:eastAsia="Calibri" w:hAnsi="Times New Roman" w:cs="Times New Roman"/>
          <w:kern w:val="0"/>
          <w:sz w:val="24"/>
          <w:szCs w:val="24"/>
          <w14:ligatures w14:val="none"/>
        </w:rPr>
        <w:t>. The collapse and subsequent bankruptcy of these two companies affected many stakeholders globally and attracted a great deal of attention.</w:t>
      </w:r>
    </w:p>
    <w:p w14:paraId="32C22F83" w14:textId="162322D1" w:rsidR="005C74BB" w:rsidRPr="007271B6" w:rsidRDefault="00A67639" w:rsidP="00A67639">
      <w:pPr>
        <w:spacing w:after="0" w:line="480" w:lineRule="auto"/>
        <w:ind w:firstLine="720"/>
        <w:contextualSpacing/>
        <w:rPr>
          <w:rFonts w:ascii="Times New Roman" w:eastAsia="Calibri" w:hAnsi="Times New Roman" w:cs="Times New Roman"/>
          <w:kern w:val="0"/>
          <w:sz w:val="24"/>
          <w:szCs w:val="24"/>
          <w:shd w:val="clear" w:color="auto" w:fill="FFFFFF"/>
          <w14:ligatures w14:val="none"/>
        </w:rPr>
      </w:pPr>
      <w:r w:rsidRPr="007271B6">
        <w:rPr>
          <w:rFonts w:ascii="Times New Roman" w:eastAsia="Calibri" w:hAnsi="Times New Roman" w:cs="Times New Roman"/>
          <w:kern w:val="0"/>
          <w:sz w:val="24"/>
          <w:szCs w:val="24"/>
          <w14:ligatures w14:val="none"/>
        </w:rPr>
        <w:t>Focusing on these companies in this study therefore provided in-depth information on what happened and the</w:t>
      </w:r>
      <w:r w:rsidR="00DC4CD1" w:rsidRPr="007271B6">
        <w:rPr>
          <w:rFonts w:ascii="Times New Roman" w:eastAsia="Calibri" w:hAnsi="Times New Roman" w:cs="Times New Roman"/>
          <w:kern w:val="0"/>
          <w:sz w:val="24"/>
          <w:szCs w:val="24"/>
          <w14:ligatures w14:val="none"/>
        </w:rPr>
        <w:t xml:space="preserve"> contributing</w:t>
      </w:r>
      <w:r w:rsidRPr="007271B6">
        <w:rPr>
          <w:rFonts w:ascii="Times New Roman" w:eastAsia="Calibri" w:hAnsi="Times New Roman" w:cs="Times New Roman"/>
          <w:kern w:val="0"/>
          <w:sz w:val="24"/>
          <w:szCs w:val="24"/>
          <w14:ligatures w14:val="none"/>
        </w:rPr>
        <w:t xml:space="preserve"> factors. </w:t>
      </w:r>
      <w:r w:rsidR="008F6541">
        <w:rPr>
          <w:rFonts w:ascii="Times New Roman" w:eastAsia="Calibri" w:hAnsi="Times New Roman" w:cs="Times New Roman"/>
          <w:kern w:val="0"/>
          <w:sz w:val="24"/>
          <w:szCs w:val="24"/>
          <w14:ligatures w14:val="none"/>
        </w:rPr>
        <w:t>From</w:t>
      </w:r>
      <w:r w:rsidRPr="007271B6">
        <w:rPr>
          <w:rFonts w:ascii="Times New Roman" w:eastAsia="Calibri" w:hAnsi="Times New Roman" w:cs="Times New Roman"/>
          <w:kern w:val="0"/>
          <w:sz w:val="24"/>
          <w:szCs w:val="24"/>
          <w14:ligatures w14:val="none"/>
        </w:rPr>
        <w:t xml:space="preserve"> its foundation, FTX provided digital currency services to the global foreign exchange market and provided access to multiple currencies (</w:t>
      </w:r>
      <w:proofErr w:type="spellStart"/>
      <w:r w:rsidRPr="007271B6">
        <w:rPr>
          <w:rFonts w:ascii="Times New Roman" w:eastAsia="Calibri" w:hAnsi="Times New Roman" w:cs="Times New Roman"/>
          <w:kern w:val="0"/>
          <w:sz w:val="24"/>
          <w:szCs w:val="24"/>
          <w14:ligatures w14:val="none"/>
        </w:rPr>
        <w:t>Akyildirim</w:t>
      </w:r>
      <w:proofErr w:type="spellEnd"/>
      <w:r w:rsidRPr="007271B6">
        <w:rPr>
          <w:rFonts w:ascii="Times New Roman" w:eastAsia="Calibri" w:hAnsi="Times New Roman" w:cs="Times New Roman"/>
          <w:kern w:val="0"/>
          <w:sz w:val="24"/>
          <w:szCs w:val="24"/>
          <w14:ligatures w14:val="none"/>
        </w:rPr>
        <w:t xml:space="preserve"> et al., 2023). Some of the innovative products featured by FTX included leveraged tokens and derivatives. As a centralised </w:t>
      </w:r>
      <w:r w:rsidR="00DC4CD1" w:rsidRPr="007271B6">
        <w:rPr>
          <w:rFonts w:ascii="Times New Roman" w:eastAsia="Calibri" w:hAnsi="Times New Roman" w:cs="Times New Roman"/>
          <w:kern w:val="0"/>
          <w:sz w:val="24"/>
          <w:szCs w:val="24"/>
          <w14:ligatures w14:val="none"/>
        </w:rPr>
        <w:t>digital asset</w:t>
      </w:r>
      <w:r w:rsidRPr="007271B6">
        <w:rPr>
          <w:rFonts w:ascii="Times New Roman" w:eastAsia="Calibri" w:hAnsi="Times New Roman" w:cs="Times New Roman"/>
          <w:kern w:val="0"/>
          <w:sz w:val="24"/>
          <w:szCs w:val="24"/>
          <w14:ligatures w14:val="none"/>
        </w:rPr>
        <w:t xml:space="preserve"> exchange, FTX was backed by some of the largest companies in the trading industry, such as Almeda Research, Coinbase Ventures and Temasek BlackRock (Dai et al., 2023). FTX ha</w:t>
      </w:r>
      <w:r w:rsidR="00DC4CD1" w:rsidRPr="007271B6">
        <w:rPr>
          <w:rFonts w:ascii="Times New Roman" w:eastAsia="Calibri" w:hAnsi="Times New Roman" w:cs="Times New Roman"/>
          <w:kern w:val="0"/>
          <w:sz w:val="24"/>
          <w:szCs w:val="24"/>
          <w14:ligatures w14:val="none"/>
        </w:rPr>
        <w:t>d</w:t>
      </w:r>
      <w:r w:rsidRPr="007271B6">
        <w:rPr>
          <w:rFonts w:ascii="Times New Roman" w:eastAsia="Calibri" w:hAnsi="Times New Roman" w:cs="Times New Roman"/>
          <w:kern w:val="0"/>
          <w:sz w:val="24"/>
          <w:szCs w:val="24"/>
          <w14:ligatures w14:val="none"/>
        </w:rPr>
        <w:t xml:space="preserve"> established itself in the digital currency industry within a few years and was even valued at $32 billion at its peak</w:t>
      </w:r>
      <w:r w:rsidR="00DC4CD1" w:rsidRPr="007271B6">
        <w:rPr>
          <w:rFonts w:ascii="Times New Roman" w:eastAsia="Calibri" w:hAnsi="Times New Roman" w:cs="Times New Roman"/>
          <w:kern w:val="0"/>
          <w:sz w:val="24"/>
          <w:szCs w:val="24"/>
          <w14:ligatures w14:val="none"/>
        </w:rPr>
        <w:t xml:space="preserve"> </w:t>
      </w:r>
      <w:r w:rsidRPr="007271B6">
        <w:rPr>
          <w:rFonts w:ascii="Times New Roman" w:eastAsia="Calibri" w:hAnsi="Times New Roman" w:cs="Times New Roman"/>
          <w:kern w:val="0"/>
          <w:sz w:val="24"/>
          <w:szCs w:val="24"/>
          <w14:ligatures w14:val="none"/>
        </w:rPr>
        <w:t xml:space="preserve">with over 9 million customer accounts (KPMG, 2022). It is therefore clear that the </w:t>
      </w:r>
      <w:r w:rsidRPr="007271B6">
        <w:rPr>
          <w:rFonts w:ascii="Times New Roman" w:eastAsia="Calibri" w:hAnsi="Times New Roman" w:cs="Times New Roman"/>
          <w:kern w:val="0"/>
          <w:sz w:val="24"/>
          <w:szCs w:val="24"/>
          <w14:ligatures w14:val="none"/>
        </w:rPr>
        <w:lastRenderedPageBreak/>
        <w:t>company had made a significant entrance into the digital currency market</w:t>
      </w:r>
      <w:r w:rsidR="00DC4CD1" w:rsidRPr="007271B6">
        <w:rPr>
          <w:rFonts w:ascii="Times New Roman" w:eastAsia="Calibri" w:hAnsi="Times New Roman" w:cs="Times New Roman"/>
          <w:kern w:val="0"/>
          <w:sz w:val="24"/>
          <w:szCs w:val="24"/>
          <w14:ligatures w14:val="none"/>
        </w:rPr>
        <w:t>,</w:t>
      </w:r>
      <w:r w:rsidRPr="007271B6">
        <w:rPr>
          <w:rFonts w:ascii="Times New Roman" w:eastAsia="Calibri" w:hAnsi="Times New Roman" w:cs="Times New Roman"/>
          <w:kern w:val="0"/>
          <w:sz w:val="24"/>
          <w:szCs w:val="24"/>
          <w14:ligatures w14:val="none"/>
        </w:rPr>
        <w:t xml:space="preserve"> </w:t>
      </w:r>
      <w:r w:rsidR="00DC4CD1" w:rsidRPr="007271B6">
        <w:rPr>
          <w:rFonts w:ascii="Times New Roman" w:eastAsia="Calibri" w:hAnsi="Times New Roman" w:cs="Times New Roman"/>
          <w:kern w:val="0"/>
          <w:sz w:val="24"/>
          <w:szCs w:val="24"/>
          <w14:ligatures w14:val="none"/>
        </w:rPr>
        <w:t>influencing</w:t>
      </w:r>
      <w:r w:rsidRPr="007271B6">
        <w:rPr>
          <w:rFonts w:ascii="Times New Roman" w:eastAsia="Calibri" w:hAnsi="Times New Roman" w:cs="Times New Roman"/>
          <w:kern w:val="0"/>
          <w:sz w:val="24"/>
          <w:szCs w:val="24"/>
          <w14:ligatures w14:val="none"/>
        </w:rPr>
        <w:t xml:space="preserve"> the </w:t>
      </w:r>
      <w:proofErr w:type="gramStart"/>
      <w:r w:rsidRPr="007271B6">
        <w:rPr>
          <w:rFonts w:ascii="Times New Roman" w:eastAsia="Calibri" w:hAnsi="Times New Roman" w:cs="Times New Roman"/>
          <w:kern w:val="0"/>
          <w:sz w:val="24"/>
          <w:szCs w:val="24"/>
          <w14:ligatures w14:val="none"/>
        </w:rPr>
        <w:t>industry</w:t>
      </w:r>
      <w:proofErr w:type="gramEnd"/>
      <w:r w:rsidRPr="007271B6">
        <w:rPr>
          <w:rFonts w:ascii="Times New Roman" w:eastAsia="Calibri" w:hAnsi="Times New Roman" w:cs="Times New Roman"/>
          <w:kern w:val="0"/>
          <w:sz w:val="24"/>
          <w:szCs w:val="24"/>
          <w14:ligatures w14:val="none"/>
        </w:rPr>
        <w:t xml:space="preserve"> and </w:t>
      </w:r>
      <w:r w:rsidR="00DC4CD1" w:rsidRPr="007271B6">
        <w:rPr>
          <w:rFonts w:ascii="Times New Roman" w:eastAsia="Calibri" w:hAnsi="Times New Roman" w:cs="Times New Roman"/>
          <w:kern w:val="0"/>
          <w:sz w:val="24"/>
          <w:szCs w:val="24"/>
          <w14:ligatures w14:val="none"/>
        </w:rPr>
        <w:t>capturing significant market share</w:t>
      </w:r>
      <w:r w:rsidRPr="007271B6">
        <w:rPr>
          <w:rFonts w:ascii="Times New Roman" w:eastAsia="Calibri" w:hAnsi="Times New Roman" w:cs="Times New Roman"/>
          <w:kern w:val="0"/>
          <w:sz w:val="24"/>
          <w:szCs w:val="24"/>
          <w14:ligatures w14:val="none"/>
        </w:rPr>
        <w:t>.</w:t>
      </w:r>
    </w:p>
    <w:p w14:paraId="0E466071" w14:textId="623A0677" w:rsidR="004A627F" w:rsidRPr="007271B6" w:rsidRDefault="004A627F" w:rsidP="004A627F">
      <w:pPr>
        <w:spacing w:after="0" w:line="480" w:lineRule="auto"/>
        <w:ind w:firstLine="720"/>
        <w:contextualSpacing/>
        <w:rPr>
          <w:rFonts w:ascii="Times New Roman" w:eastAsia="Calibri" w:hAnsi="Times New Roman" w:cs="Times New Roman"/>
          <w:kern w:val="0"/>
          <w:sz w:val="24"/>
          <w:szCs w:val="24"/>
          <w14:ligatures w14:val="none"/>
        </w:rPr>
      </w:pPr>
      <w:r w:rsidRPr="007271B6">
        <w:rPr>
          <w:rFonts w:ascii="Times New Roman" w:eastAsia="Calibri" w:hAnsi="Times New Roman" w:cs="Times New Roman"/>
          <w:kern w:val="0"/>
          <w:sz w:val="24"/>
          <w:szCs w:val="24"/>
          <w14:ligatures w14:val="none"/>
        </w:rPr>
        <w:t xml:space="preserve">Despite this success, FTX struggled with serious internal problems that led to the collapse of the company just three and a half years after it was founded. The failure of internal </w:t>
      </w:r>
      <w:r w:rsidR="007271B6" w:rsidRPr="007271B6">
        <w:rPr>
          <w:rFonts w:ascii="Times New Roman" w:eastAsia="Calibri" w:hAnsi="Times New Roman" w:cs="Times New Roman"/>
          <w:kern w:val="0"/>
          <w:sz w:val="24"/>
          <w:szCs w:val="24"/>
          <w14:ligatures w14:val="none"/>
        </w:rPr>
        <w:t xml:space="preserve">governance and </w:t>
      </w:r>
      <w:r w:rsidRPr="007271B6">
        <w:rPr>
          <w:rFonts w:ascii="Times New Roman" w:eastAsia="Calibri" w:hAnsi="Times New Roman" w:cs="Times New Roman"/>
          <w:kern w:val="0"/>
          <w:sz w:val="24"/>
          <w:szCs w:val="24"/>
          <w14:ligatures w14:val="none"/>
        </w:rPr>
        <w:t xml:space="preserve">control systems, among other </w:t>
      </w:r>
      <w:r w:rsidR="008F6541">
        <w:rPr>
          <w:rFonts w:ascii="Times New Roman" w:eastAsia="Calibri" w:hAnsi="Times New Roman" w:cs="Times New Roman"/>
          <w:kern w:val="0"/>
          <w:sz w:val="24"/>
          <w:szCs w:val="24"/>
          <w14:ligatures w14:val="none"/>
        </w:rPr>
        <w:t>shortcomings</w:t>
      </w:r>
      <w:r w:rsidRPr="007271B6">
        <w:rPr>
          <w:rFonts w:ascii="Times New Roman" w:eastAsia="Calibri" w:hAnsi="Times New Roman" w:cs="Times New Roman"/>
          <w:kern w:val="0"/>
          <w:sz w:val="24"/>
          <w:szCs w:val="24"/>
          <w14:ligatures w14:val="none"/>
        </w:rPr>
        <w:t>, w</w:t>
      </w:r>
      <w:r w:rsidR="007271B6" w:rsidRPr="007271B6">
        <w:rPr>
          <w:rFonts w:ascii="Times New Roman" w:eastAsia="Calibri" w:hAnsi="Times New Roman" w:cs="Times New Roman"/>
          <w:kern w:val="0"/>
          <w:sz w:val="24"/>
          <w:szCs w:val="24"/>
          <w14:ligatures w14:val="none"/>
        </w:rPr>
        <w:t>as</w:t>
      </w:r>
      <w:r w:rsidRPr="007271B6">
        <w:rPr>
          <w:rFonts w:ascii="Times New Roman" w:eastAsia="Calibri" w:hAnsi="Times New Roman" w:cs="Times New Roman"/>
          <w:kern w:val="0"/>
          <w:sz w:val="24"/>
          <w:szCs w:val="24"/>
          <w14:ligatures w14:val="none"/>
        </w:rPr>
        <w:t xml:space="preserve"> seen as </w:t>
      </w:r>
      <w:r w:rsidR="007271B6" w:rsidRPr="007271B6">
        <w:rPr>
          <w:rFonts w:ascii="Times New Roman" w:eastAsia="Calibri" w:hAnsi="Times New Roman" w:cs="Times New Roman"/>
          <w:kern w:val="0"/>
          <w:sz w:val="24"/>
          <w:szCs w:val="24"/>
          <w14:ligatures w14:val="none"/>
        </w:rPr>
        <w:t xml:space="preserve">a </w:t>
      </w:r>
      <w:r w:rsidRPr="007271B6">
        <w:rPr>
          <w:rFonts w:ascii="Times New Roman" w:eastAsia="Calibri" w:hAnsi="Times New Roman" w:cs="Times New Roman"/>
          <w:kern w:val="0"/>
          <w:sz w:val="24"/>
          <w:szCs w:val="24"/>
          <w14:ligatures w14:val="none"/>
        </w:rPr>
        <w:t xml:space="preserve">major factor that led </w:t>
      </w:r>
      <w:r w:rsidR="007271B6" w:rsidRPr="007271B6">
        <w:rPr>
          <w:rFonts w:ascii="Times New Roman" w:eastAsia="Calibri" w:hAnsi="Times New Roman" w:cs="Times New Roman"/>
          <w:kern w:val="0"/>
          <w:sz w:val="24"/>
          <w:szCs w:val="24"/>
          <w14:ligatures w14:val="none"/>
        </w:rPr>
        <w:t xml:space="preserve">to </w:t>
      </w:r>
      <w:r w:rsidRPr="007271B6">
        <w:rPr>
          <w:rFonts w:ascii="Times New Roman" w:eastAsia="Calibri" w:hAnsi="Times New Roman" w:cs="Times New Roman"/>
          <w:kern w:val="0"/>
          <w:sz w:val="24"/>
          <w:szCs w:val="24"/>
          <w14:ligatures w14:val="none"/>
        </w:rPr>
        <w:t xml:space="preserve">FTX </w:t>
      </w:r>
      <w:r w:rsidR="007271B6" w:rsidRPr="007271B6">
        <w:rPr>
          <w:rFonts w:ascii="Times New Roman" w:eastAsia="Calibri" w:hAnsi="Times New Roman" w:cs="Times New Roman"/>
          <w:kern w:val="0"/>
          <w:sz w:val="24"/>
          <w:szCs w:val="24"/>
          <w14:ligatures w14:val="none"/>
        </w:rPr>
        <w:t>filing to meet its financial obligations and resulting in</w:t>
      </w:r>
      <w:r w:rsidRPr="007271B6">
        <w:rPr>
          <w:rFonts w:ascii="Times New Roman" w:eastAsia="Calibri" w:hAnsi="Times New Roman" w:cs="Times New Roman"/>
          <w:kern w:val="0"/>
          <w:sz w:val="24"/>
          <w:szCs w:val="24"/>
          <w14:ligatures w14:val="none"/>
        </w:rPr>
        <w:t xml:space="preserve"> bankruptcy (</w:t>
      </w:r>
      <w:proofErr w:type="spellStart"/>
      <w:r w:rsidRPr="007271B6">
        <w:rPr>
          <w:rFonts w:ascii="Times New Roman" w:eastAsia="Calibri" w:hAnsi="Times New Roman" w:cs="Times New Roman"/>
          <w:kern w:val="0"/>
          <w:sz w:val="24"/>
          <w:szCs w:val="24"/>
          <w14:ligatures w14:val="none"/>
        </w:rPr>
        <w:t>Akyildirim</w:t>
      </w:r>
      <w:proofErr w:type="spellEnd"/>
      <w:r w:rsidRPr="007271B6">
        <w:rPr>
          <w:rFonts w:ascii="Times New Roman" w:eastAsia="Calibri" w:hAnsi="Times New Roman" w:cs="Times New Roman"/>
          <w:kern w:val="0"/>
          <w:sz w:val="24"/>
          <w:szCs w:val="24"/>
          <w14:ligatures w14:val="none"/>
        </w:rPr>
        <w:t xml:space="preserve"> et al., 2023). Emerging reports revealed that FTX was </w:t>
      </w:r>
      <w:r w:rsidR="009F1355">
        <w:rPr>
          <w:rFonts w:ascii="Times New Roman" w:eastAsia="Calibri" w:hAnsi="Times New Roman" w:cs="Times New Roman"/>
          <w:kern w:val="0"/>
          <w:sz w:val="24"/>
          <w:szCs w:val="24"/>
          <w14:ligatures w14:val="none"/>
        </w:rPr>
        <w:t>directing</w:t>
      </w:r>
      <w:r w:rsidRPr="007271B6">
        <w:rPr>
          <w:rFonts w:ascii="Times New Roman" w:eastAsia="Calibri" w:hAnsi="Times New Roman" w:cs="Times New Roman"/>
          <w:kern w:val="0"/>
          <w:sz w:val="24"/>
          <w:szCs w:val="24"/>
          <w14:ligatures w14:val="none"/>
        </w:rPr>
        <w:t xml:space="preserve"> client deposits into Alameda Research without disclos</w:t>
      </w:r>
      <w:r w:rsidR="00DC4CD1" w:rsidRPr="007271B6">
        <w:rPr>
          <w:rFonts w:ascii="Times New Roman" w:eastAsia="Calibri" w:hAnsi="Times New Roman" w:cs="Times New Roman"/>
          <w:kern w:val="0"/>
          <w:sz w:val="24"/>
          <w:szCs w:val="24"/>
          <w14:ligatures w14:val="none"/>
        </w:rPr>
        <w:t>ure</w:t>
      </w:r>
      <w:r w:rsidRPr="007271B6">
        <w:rPr>
          <w:rFonts w:ascii="Times New Roman" w:eastAsia="Calibri" w:hAnsi="Times New Roman" w:cs="Times New Roman"/>
          <w:kern w:val="0"/>
          <w:sz w:val="24"/>
          <w:szCs w:val="24"/>
          <w14:ligatures w14:val="none"/>
        </w:rPr>
        <w:t xml:space="preserve"> to customers</w:t>
      </w:r>
      <w:r w:rsidR="00DC4CD1" w:rsidRPr="007271B6">
        <w:rPr>
          <w:rFonts w:ascii="Times New Roman" w:eastAsia="Calibri" w:hAnsi="Times New Roman" w:cs="Times New Roman"/>
          <w:kern w:val="0"/>
          <w:sz w:val="24"/>
          <w:szCs w:val="24"/>
          <w14:ligatures w14:val="none"/>
        </w:rPr>
        <w:t xml:space="preserve"> or regulators</w:t>
      </w:r>
      <w:r w:rsidRPr="007271B6">
        <w:rPr>
          <w:rFonts w:ascii="Times New Roman" w:eastAsia="Calibri" w:hAnsi="Times New Roman" w:cs="Times New Roman"/>
          <w:kern w:val="0"/>
          <w:sz w:val="24"/>
          <w:szCs w:val="24"/>
          <w14:ligatures w14:val="none"/>
        </w:rPr>
        <w:t xml:space="preserve"> (Reynolds, 2023). Alameda Research was a sister hedge fund founded and owned by </w:t>
      </w:r>
      <w:r w:rsidR="003F546F" w:rsidRPr="007271B6">
        <w:rPr>
          <w:rFonts w:ascii="Times New Roman" w:eastAsia="Calibri" w:hAnsi="Times New Roman" w:cs="Times New Roman"/>
          <w:kern w:val="0"/>
          <w:sz w:val="24"/>
          <w:szCs w:val="24"/>
          <w14:ligatures w14:val="none"/>
        </w:rPr>
        <w:t>SBF</w:t>
      </w:r>
      <w:r w:rsidRPr="007271B6">
        <w:rPr>
          <w:rFonts w:ascii="Times New Roman" w:eastAsia="Calibri" w:hAnsi="Times New Roman" w:cs="Times New Roman"/>
          <w:kern w:val="0"/>
          <w:sz w:val="24"/>
          <w:szCs w:val="24"/>
          <w14:ligatures w14:val="none"/>
        </w:rPr>
        <w:t xml:space="preserve">, the </w:t>
      </w:r>
      <w:r w:rsidR="00DC4CD1" w:rsidRPr="007271B6">
        <w:rPr>
          <w:rFonts w:ascii="Times New Roman" w:eastAsia="Calibri" w:hAnsi="Times New Roman" w:cs="Times New Roman"/>
          <w:kern w:val="0"/>
          <w:sz w:val="24"/>
          <w:szCs w:val="24"/>
          <w14:ligatures w14:val="none"/>
        </w:rPr>
        <w:t>CEO</w:t>
      </w:r>
      <w:r w:rsidRPr="007271B6">
        <w:rPr>
          <w:rFonts w:ascii="Times New Roman" w:eastAsia="Calibri" w:hAnsi="Times New Roman" w:cs="Times New Roman"/>
          <w:kern w:val="0"/>
          <w:sz w:val="24"/>
          <w:szCs w:val="24"/>
          <w14:ligatures w14:val="none"/>
        </w:rPr>
        <w:t xml:space="preserve"> of FTX. Alameda Research also collapsed after it failed to comply with client demands to withdraw </w:t>
      </w:r>
      <w:r w:rsidR="00DC4CD1" w:rsidRPr="007271B6">
        <w:rPr>
          <w:rFonts w:ascii="Times New Roman" w:eastAsia="Calibri" w:hAnsi="Times New Roman" w:cs="Times New Roman"/>
          <w:kern w:val="0"/>
          <w:sz w:val="24"/>
          <w:szCs w:val="24"/>
          <w14:ligatures w14:val="none"/>
        </w:rPr>
        <w:t>capital</w:t>
      </w:r>
      <w:r w:rsidRPr="007271B6">
        <w:rPr>
          <w:rFonts w:ascii="Times New Roman" w:eastAsia="Calibri" w:hAnsi="Times New Roman" w:cs="Times New Roman"/>
          <w:kern w:val="0"/>
          <w:sz w:val="24"/>
          <w:szCs w:val="24"/>
          <w14:ligatures w14:val="none"/>
        </w:rPr>
        <w:t xml:space="preserve"> from the </w:t>
      </w:r>
      <w:r w:rsidR="00DC4CD1" w:rsidRPr="007271B6">
        <w:rPr>
          <w:rFonts w:ascii="Times New Roman" w:eastAsia="Calibri" w:hAnsi="Times New Roman" w:cs="Times New Roman"/>
          <w:kern w:val="0"/>
          <w:sz w:val="24"/>
          <w:szCs w:val="24"/>
          <w14:ligatures w14:val="none"/>
        </w:rPr>
        <w:t>fund</w:t>
      </w:r>
      <w:r w:rsidRPr="007271B6">
        <w:rPr>
          <w:rFonts w:ascii="Times New Roman" w:eastAsia="Calibri" w:hAnsi="Times New Roman" w:cs="Times New Roman"/>
          <w:kern w:val="0"/>
          <w:sz w:val="24"/>
          <w:szCs w:val="24"/>
          <w14:ligatures w14:val="none"/>
        </w:rPr>
        <w:t xml:space="preserve"> (Reynolds, 2023). </w:t>
      </w:r>
    </w:p>
    <w:p w14:paraId="0DE8FF92" w14:textId="54903DE5" w:rsidR="005C74BB" w:rsidRPr="007271B6" w:rsidRDefault="004A627F" w:rsidP="004A627F">
      <w:pPr>
        <w:spacing w:after="0" w:line="480" w:lineRule="auto"/>
        <w:ind w:firstLine="720"/>
        <w:contextualSpacing/>
        <w:rPr>
          <w:rFonts w:ascii="Times New Roman" w:eastAsia="Calibri" w:hAnsi="Times New Roman" w:cs="Times New Roman"/>
          <w:kern w:val="0"/>
          <w:sz w:val="24"/>
          <w:szCs w:val="24"/>
          <w14:ligatures w14:val="none"/>
        </w:rPr>
      </w:pPr>
      <w:r w:rsidRPr="007271B6">
        <w:rPr>
          <w:rFonts w:ascii="Times New Roman" w:eastAsia="Calibri" w:hAnsi="Times New Roman" w:cs="Times New Roman"/>
          <w:kern w:val="0"/>
          <w:sz w:val="24"/>
          <w:szCs w:val="24"/>
          <w14:ligatures w14:val="none"/>
        </w:rPr>
        <w:t xml:space="preserve">The </w:t>
      </w:r>
      <w:r w:rsidR="007271B6" w:rsidRPr="007271B6">
        <w:rPr>
          <w:rFonts w:ascii="Times New Roman" w:eastAsia="Calibri" w:hAnsi="Times New Roman" w:cs="Times New Roman"/>
          <w:kern w:val="0"/>
          <w:sz w:val="24"/>
          <w:szCs w:val="24"/>
          <w14:ligatures w14:val="none"/>
        </w:rPr>
        <w:t>bankruptcy</w:t>
      </w:r>
      <w:r w:rsidRPr="007271B6">
        <w:rPr>
          <w:rFonts w:ascii="Times New Roman" w:eastAsia="Calibri" w:hAnsi="Times New Roman" w:cs="Times New Roman"/>
          <w:kern w:val="0"/>
          <w:sz w:val="24"/>
          <w:szCs w:val="24"/>
          <w14:ligatures w14:val="none"/>
        </w:rPr>
        <w:t xml:space="preserve"> of FTX and Alameda</w:t>
      </w:r>
      <w:r w:rsidR="00DC4CD1" w:rsidRPr="007271B6">
        <w:rPr>
          <w:rFonts w:ascii="Times New Roman" w:eastAsia="Calibri" w:hAnsi="Times New Roman" w:cs="Times New Roman"/>
          <w:kern w:val="0"/>
          <w:sz w:val="24"/>
          <w:szCs w:val="24"/>
          <w14:ligatures w14:val="none"/>
        </w:rPr>
        <w:t xml:space="preserve"> Research</w:t>
      </w:r>
      <w:r w:rsidRPr="007271B6">
        <w:rPr>
          <w:rFonts w:ascii="Times New Roman" w:eastAsia="Calibri" w:hAnsi="Times New Roman" w:cs="Times New Roman"/>
          <w:kern w:val="0"/>
          <w:sz w:val="24"/>
          <w:szCs w:val="24"/>
          <w14:ligatures w14:val="none"/>
        </w:rPr>
        <w:t xml:space="preserve"> was </w:t>
      </w:r>
      <w:r w:rsidR="007271B6" w:rsidRPr="007271B6">
        <w:rPr>
          <w:rFonts w:ascii="Times New Roman" w:eastAsia="Calibri" w:hAnsi="Times New Roman" w:cs="Times New Roman"/>
          <w:kern w:val="0"/>
          <w:sz w:val="24"/>
          <w:szCs w:val="24"/>
          <w14:ligatures w14:val="none"/>
        </w:rPr>
        <w:t xml:space="preserve">significantly </w:t>
      </w:r>
      <w:r w:rsidRPr="007271B6">
        <w:rPr>
          <w:rFonts w:ascii="Times New Roman" w:eastAsia="Calibri" w:hAnsi="Times New Roman" w:cs="Times New Roman"/>
          <w:kern w:val="0"/>
          <w:sz w:val="24"/>
          <w:szCs w:val="24"/>
          <w14:ligatures w14:val="none"/>
        </w:rPr>
        <w:t xml:space="preserve">due to </w:t>
      </w:r>
      <w:r w:rsidR="00DC4CD1" w:rsidRPr="007271B6">
        <w:rPr>
          <w:rFonts w:ascii="Times New Roman" w:eastAsia="Calibri" w:hAnsi="Times New Roman" w:cs="Times New Roman"/>
          <w:kern w:val="0"/>
          <w:sz w:val="24"/>
          <w:szCs w:val="24"/>
          <w14:ligatures w14:val="none"/>
        </w:rPr>
        <w:t xml:space="preserve">issues associated with </w:t>
      </w:r>
      <w:r w:rsidRPr="007271B6">
        <w:rPr>
          <w:rFonts w:ascii="Times New Roman" w:eastAsia="Calibri" w:hAnsi="Times New Roman" w:cs="Times New Roman"/>
          <w:kern w:val="0"/>
          <w:sz w:val="24"/>
          <w:szCs w:val="24"/>
          <w14:ligatures w14:val="none"/>
        </w:rPr>
        <w:t xml:space="preserve">poor corporate governance exhibited by the leadership of the two firms. </w:t>
      </w:r>
      <w:r w:rsidR="003F546F" w:rsidRPr="007271B6">
        <w:rPr>
          <w:rFonts w:ascii="Times New Roman" w:eastAsia="Calibri" w:hAnsi="Times New Roman" w:cs="Times New Roman"/>
          <w:kern w:val="0"/>
          <w:sz w:val="24"/>
          <w:szCs w:val="24"/>
          <w14:ligatures w14:val="none"/>
        </w:rPr>
        <w:t>SBF</w:t>
      </w:r>
      <w:r w:rsidRPr="007271B6">
        <w:rPr>
          <w:rFonts w:ascii="Times New Roman" w:eastAsia="Calibri" w:hAnsi="Times New Roman" w:cs="Times New Roman"/>
          <w:kern w:val="0"/>
          <w:sz w:val="24"/>
          <w:szCs w:val="24"/>
          <w14:ligatures w14:val="none"/>
        </w:rPr>
        <w:t xml:space="preserve"> adopted the corporate culture of growth at all costs as the management style that characterised FTX and ultimately led to its demise (KPMG, 2022). The leadership approach was to relentlessly pursue growth while disregarding some basic principles of corporate governance and ethical decision making. Management normalised taking ethical shortcuts and risky financial manoeuvres, which became a culture. The company lacked standard corporate governance structures, including independent boards of directors running various related </w:t>
      </w:r>
      <w:r w:rsidR="008C3460">
        <w:rPr>
          <w:rFonts w:ascii="Times New Roman" w:eastAsia="Calibri" w:hAnsi="Times New Roman" w:cs="Times New Roman"/>
          <w:kern w:val="0"/>
          <w:sz w:val="24"/>
          <w:szCs w:val="24"/>
          <w14:ligatures w14:val="none"/>
        </w:rPr>
        <w:t>entities and appropriate segregation of duties</w:t>
      </w:r>
      <w:r w:rsidRPr="007271B6">
        <w:rPr>
          <w:rFonts w:ascii="Times New Roman" w:eastAsia="Calibri" w:hAnsi="Times New Roman" w:cs="Times New Roman"/>
          <w:kern w:val="0"/>
          <w:sz w:val="24"/>
          <w:szCs w:val="24"/>
          <w14:ligatures w14:val="none"/>
        </w:rPr>
        <w:t xml:space="preserve"> (KPMG, 2022). This allowed </w:t>
      </w:r>
      <w:r w:rsidR="003F546F" w:rsidRPr="007271B6">
        <w:rPr>
          <w:rFonts w:ascii="Times New Roman" w:eastAsia="Calibri" w:hAnsi="Times New Roman" w:cs="Times New Roman"/>
          <w:kern w:val="0"/>
          <w:sz w:val="24"/>
          <w:szCs w:val="24"/>
          <w14:ligatures w14:val="none"/>
        </w:rPr>
        <w:t>SBF</w:t>
      </w:r>
      <w:r w:rsidRPr="007271B6">
        <w:rPr>
          <w:rFonts w:ascii="Times New Roman" w:eastAsia="Calibri" w:hAnsi="Times New Roman" w:cs="Times New Roman"/>
          <w:kern w:val="0"/>
          <w:sz w:val="24"/>
          <w:szCs w:val="24"/>
          <w14:ligatures w14:val="none"/>
        </w:rPr>
        <w:t xml:space="preserve"> to make decisions </w:t>
      </w:r>
      <w:r w:rsidR="008C3460">
        <w:rPr>
          <w:rFonts w:ascii="Times New Roman" w:eastAsia="Calibri" w:hAnsi="Times New Roman" w:cs="Times New Roman"/>
          <w:kern w:val="0"/>
          <w:sz w:val="24"/>
          <w:szCs w:val="24"/>
          <w14:ligatures w14:val="none"/>
        </w:rPr>
        <w:t>un</w:t>
      </w:r>
      <w:r w:rsidR="008C3460" w:rsidRPr="007271B6">
        <w:rPr>
          <w:rFonts w:ascii="Times New Roman" w:eastAsia="Calibri" w:hAnsi="Times New Roman" w:cs="Times New Roman"/>
          <w:kern w:val="0"/>
          <w:sz w:val="24"/>
          <w:szCs w:val="24"/>
          <w14:ligatures w14:val="none"/>
        </w:rPr>
        <w:t>challenged</w:t>
      </w:r>
      <w:r w:rsidRPr="007271B6">
        <w:rPr>
          <w:rFonts w:ascii="Times New Roman" w:eastAsia="Calibri" w:hAnsi="Times New Roman" w:cs="Times New Roman"/>
          <w:kern w:val="0"/>
          <w:sz w:val="24"/>
          <w:szCs w:val="24"/>
          <w14:ligatures w14:val="none"/>
        </w:rPr>
        <w:t xml:space="preserve"> and to foster a culture of reciprocity between what should have been two segregated entities. The company thus took a centralised approach to decision-making and lacked transparency, creating a loophole for </w:t>
      </w:r>
      <w:r w:rsidR="008C3460">
        <w:rPr>
          <w:rFonts w:ascii="Times New Roman" w:eastAsia="Calibri" w:hAnsi="Times New Roman" w:cs="Times New Roman"/>
          <w:kern w:val="0"/>
          <w:sz w:val="24"/>
          <w:szCs w:val="24"/>
          <w14:ligatures w14:val="none"/>
        </w:rPr>
        <w:t>financial exploit</w:t>
      </w:r>
      <w:r w:rsidRPr="007271B6">
        <w:rPr>
          <w:rFonts w:ascii="Times New Roman" w:eastAsia="Calibri" w:hAnsi="Times New Roman" w:cs="Times New Roman"/>
          <w:kern w:val="0"/>
          <w:sz w:val="24"/>
          <w:szCs w:val="24"/>
          <w14:ligatures w14:val="none"/>
        </w:rPr>
        <w:t xml:space="preserve">. </w:t>
      </w:r>
      <w:r w:rsidR="008C3460">
        <w:rPr>
          <w:rFonts w:ascii="Times New Roman" w:eastAsia="Calibri" w:hAnsi="Times New Roman" w:cs="Times New Roman"/>
          <w:kern w:val="0"/>
          <w:sz w:val="24"/>
          <w:szCs w:val="24"/>
          <w14:ligatures w14:val="none"/>
        </w:rPr>
        <w:t>As</w:t>
      </w:r>
      <w:r w:rsidRPr="007271B6">
        <w:rPr>
          <w:rFonts w:ascii="Times New Roman" w:eastAsia="Calibri" w:hAnsi="Times New Roman" w:cs="Times New Roman"/>
          <w:kern w:val="0"/>
          <w:sz w:val="24"/>
          <w:szCs w:val="24"/>
          <w14:ligatures w14:val="none"/>
        </w:rPr>
        <w:t xml:space="preserve"> conflicts of interest could not be addressed, </w:t>
      </w:r>
      <w:r w:rsidR="008C3460">
        <w:rPr>
          <w:rFonts w:ascii="Times New Roman" w:eastAsia="Calibri" w:hAnsi="Times New Roman" w:cs="Times New Roman"/>
          <w:kern w:val="0"/>
          <w:sz w:val="24"/>
          <w:szCs w:val="24"/>
          <w14:ligatures w14:val="none"/>
        </w:rPr>
        <w:t>irreparable</w:t>
      </w:r>
      <w:r w:rsidRPr="007271B6">
        <w:rPr>
          <w:rFonts w:ascii="Times New Roman" w:eastAsia="Calibri" w:hAnsi="Times New Roman" w:cs="Times New Roman"/>
          <w:kern w:val="0"/>
          <w:sz w:val="24"/>
          <w:szCs w:val="24"/>
          <w14:ligatures w14:val="none"/>
        </w:rPr>
        <w:t xml:space="preserve"> financial fraud led to the </w:t>
      </w:r>
      <w:r w:rsidR="008C3460">
        <w:rPr>
          <w:rFonts w:ascii="Times New Roman" w:eastAsia="Calibri" w:hAnsi="Times New Roman" w:cs="Times New Roman"/>
          <w:kern w:val="0"/>
          <w:sz w:val="24"/>
          <w:szCs w:val="24"/>
          <w14:ligatures w14:val="none"/>
        </w:rPr>
        <w:t>bankruptcy</w:t>
      </w:r>
      <w:r w:rsidRPr="007271B6">
        <w:rPr>
          <w:rFonts w:ascii="Times New Roman" w:eastAsia="Calibri" w:hAnsi="Times New Roman" w:cs="Times New Roman"/>
          <w:kern w:val="0"/>
          <w:sz w:val="24"/>
          <w:szCs w:val="24"/>
          <w14:ligatures w14:val="none"/>
        </w:rPr>
        <w:t xml:space="preserve"> of</w:t>
      </w:r>
      <w:r w:rsidR="008C3460">
        <w:rPr>
          <w:rFonts w:ascii="Times New Roman" w:eastAsia="Calibri" w:hAnsi="Times New Roman" w:cs="Times New Roman"/>
          <w:kern w:val="0"/>
          <w:sz w:val="24"/>
          <w:szCs w:val="24"/>
          <w14:ligatures w14:val="none"/>
        </w:rPr>
        <w:t xml:space="preserve"> both</w:t>
      </w:r>
      <w:r w:rsidRPr="007271B6">
        <w:rPr>
          <w:rFonts w:ascii="Times New Roman" w:eastAsia="Calibri" w:hAnsi="Times New Roman" w:cs="Times New Roman"/>
          <w:kern w:val="0"/>
          <w:sz w:val="24"/>
          <w:szCs w:val="24"/>
          <w14:ligatures w14:val="none"/>
        </w:rPr>
        <w:t xml:space="preserve"> FTX and Alameda Research.</w:t>
      </w:r>
    </w:p>
    <w:p w14:paraId="5EBAA769" w14:textId="3AFF0DFE" w:rsidR="00F85FD4" w:rsidRDefault="004A627F" w:rsidP="005C74BB">
      <w:pPr>
        <w:spacing w:after="0" w:line="480" w:lineRule="auto"/>
        <w:ind w:firstLine="720"/>
        <w:contextualSpacing/>
        <w:rPr>
          <w:rFonts w:ascii="Times New Roman" w:eastAsia="Calibri" w:hAnsi="Times New Roman" w:cs="Times New Roman"/>
          <w:kern w:val="0"/>
          <w:sz w:val="24"/>
          <w:szCs w:val="24"/>
          <w14:ligatures w14:val="none"/>
        </w:rPr>
      </w:pPr>
      <w:r w:rsidRPr="007271B6">
        <w:rPr>
          <w:rFonts w:ascii="Times New Roman" w:eastAsia="Calibri" w:hAnsi="Times New Roman" w:cs="Times New Roman"/>
          <w:kern w:val="0"/>
          <w:sz w:val="24"/>
          <w:szCs w:val="24"/>
          <w14:ligatures w14:val="none"/>
        </w:rPr>
        <w:lastRenderedPageBreak/>
        <w:t xml:space="preserve">The poor culture adopted by the company in its corporate governance was coupled with a lack of controls. The company lacked trustworthy financial information and </w:t>
      </w:r>
      <w:r w:rsidR="008F6541">
        <w:rPr>
          <w:rFonts w:ascii="Times New Roman" w:eastAsia="Calibri" w:hAnsi="Times New Roman" w:cs="Times New Roman"/>
          <w:kern w:val="0"/>
          <w:sz w:val="24"/>
          <w:szCs w:val="24"/>
          <w14:ligatures w14:val="none"/>
        </w:rPr>
        <w:t xml:space="preserve">had </w:t>
      </w:r>
      <w:r w:rsidRPr="007271B6">
        <w:rPr>
          <w:rFonts w:ascii="Times New Roman" w:eastAsia="Calibri" w:hAnsi="Times New Roman" w:cs="Times New Roman"/>
          <w:kern w:val="0"/>
          <w:sz w:val="24"/>
          <w:szCs w:val="24"/>
          <w14:ligatures w14:val="none"/>
        </w:rPr>
        <w:t>compromised integrity systems (</w:t>
      </w:r>
      <w:proofErr w:type="spellStart"/>
      <w:r w:rsidRPr="007271B6">
        <w:rPr>
          <w:rFonts w:ascii="Times New Roman" w:eastAsia="Calibri" w:hAnsi="Times New Roman" w:cs="Times New Roman"/>
          <w:kern w:val="0"/>
          <w:sz w:val="24"/>
          <w:szCs w:val="24"/>
          <w14:ligatures w14:val="none"/>
        </w:rPr>
        <w:t>Akyildirim</w:t>
      </w:r>
      <w:proofErr w:type="spellEnd"/>
      <w:r w:rsidRPr="007271B6">
        <w:rPr>
          <w:rFonts w:ascii="Times New Roman" w:eastAsia="Calibri" w:hAnsi="Times New Roman" w:cs="Times New Roman"/>
          <w:kern w:val="0"/>
          <w:sz w:val="24"/>
          <w:szCs w:val="24"/>
          <w14:ligatures w14:val="none"/>
        </w:rPr>
        <w:t xml:space="preserve"> et al., 2023). </w:t>
      </w:r>
      <w:r w:rsidR="00F85FD4">
        <w:rPr>
          <w:rFonts w:ascii="Times New Roman" w:eastAsia="Calibri" w:hAnsi="Times New Roman" w:cs="Times New Roman"/>
          <w:kern w:val="0"/>
          <w:sz w:val="24"/>
          <w:szCs w:val="24"/>
          <w14:ligatures w14:val="none"/>
        </w:rPr>
        <w:t>Noting that significant deficiencies existed within</w:t>
      </w:r>
      <w:r w:rsidRPr="007271B6">
        <w:rPr>
          <w:rFonts w:ascii="Times New Roman" w:eastAsia="Calibri" w:hAnsi="Times New Roman" w:cs="Times New Roman"/>
          <w:kern w:val="0"/>
          <w:sz w:val="24"/>
          <w:szCs w:val="24"/>
          <w14:ligatures w14:val="none"/>
        </w:rPr>
        <w:t xml:space="preserve"> risk management</w:t>
      </w:r>
      <w:r w:rsidR="00F85FD4">
        <w:rPr>
          <w:rFonts w:ascii="Times New Roman" w:eastAsia="Calibri" w:hAnsi="Times New Roman" w:cs="Times New Roman"/>
          <w:kern w:val="0"/>
          <w:sz w:val="24"/>
          <w:szCs w:val="24"/>
          <w14:ligatures w14:val="none"/>
        </w:rPr>
        <w:t xml:space="preserve">, </w:t>
      </w:r>
      <w:r w:rsidRPr="007271B6">
        <w:rPr>
          <w:rFonts w:ascii="Times New Roman" w:eastAsia="Calibri" w:hAnsi="Times New Roman" w:cs="Times New Roman"/>
          <w:kern w:val="0"/>
          <w:sz w:val="24"/>
          <w:szCs w:val="24"/>
          <w14:ligatures w14:val="none"/>
        </w:rPr>
        <w:t xml:space="preserve">oversight practices in the areas of data protection, cash management, human resources, </w:t>
      </w:r>
      <w:proofErr w:type="gramStart"/>
      <w:r w:rsidRPr="007271B6">
        <w:rPr>
          <w:rFonts w:ascii="Times New Roman" w:eastAsia="Calibri" w:hAnsi="Times New Roman" w:cs="Times New Roman"/>
          <w:kern w:val="0"/>
          <w:sz w:val="24"/>
          <w:szCs w:val="24"/>
          <w14:ligatures w14:val="none"/>
        </w:rPr>
        <w:t>accounting</w:t>
      </w:r>
      <w:proofErr w:type="gramEnd"/>
      <w:r w:rsidRPr="007271B6">
        <w:rPr>
          <w:rFonts w:ascii="Times New Roman" w:eastAsia="Calibri" w:hAnsi="Times New Roman" w:cs="Times New Roman"/>
          <w:kern w:val="0"/>
          <w:sz w:val="24"/>
          <w:szCs w:val="24"/>
          <w14:ligatures w14:val="none"/>
        </w:rPr>
        <w:t xml:space="preserve"> and auditing. In general, the company exhibited a significant lack of governance caused by unfavourable human behaviour and corporate culture. The Board of Directors was unable to fulfil its duties and failed to meet its obligations as a fiduciary to the shareholders (KPMG, 2022). The company's management also failed to provide the board with </w:t>
      </w:r>
      <w:r w:rsidR="00AD1828">
        <w:rPr>
          <w:rFonts w:ascii="Times New Roman" w:eastAsia="Calibri" w:hAnsi="Times New Roman" w:cs="Times New Roman"/>
          <w:kern w:val="0"/>
          <w:sz w:val="24"/>
          <w:szCs w:val="24"/>
          <w14:ligatures w14:val="none"/>
        </w:rPr>
        <w:t>accurate financial</w:t>
      </w:r>
      <w:r w:rsidRPr="007271B6">
        <w:rPr>
          <w:rFonts w:ascii="Times New Roman" w:eastAsia="Calibri" w:hAnsi="Times New Roman" w:cs="Times New Roman"/>
          <w:kern w:val="0"/>
          <w:sz w:val="24"/>
          <w:szCs w:val="24"/>
          <w14:ligatures w14:val="none"/>
        </w:rPr>
        <w:t xml:space="preserve"> information</w:t>
      </w:r>
      <w:r w:rsidR="00F85FD4">
        <w:rPr>
          <w:rFonts w:ascii="Times New Roman" w:eastAsia="Calibri" w:hAnsi="Times New Roman" w:cs="Times New Roman"/>
          <w:kern w:val="0"/>
          <w:sz w:val="24"/>
          <w:szCs w:val="24"/>
          <w14:ligatures w14:val="none"/>
        </w:rPr>
        <w:t xml:space="preserve">, </w:t>
      </w:r>
      <w:r w:rsidR="00AD1828">
        <w:rPr>
          <w:rFonts w:ascii="Times New Roman" w:eastAsia="Calibri" w:hAnsi="Times New Roman" w:cs="Times New Roman"/>
          <w:kern w:val="0"/>
          <w:sz w:val="24"/>
          <w:szCs w:val="24"/>
          <w14:ligatures w14:val="none"/>
        </w:rPr>
        <w:t>causing asymmetry and impeding</w:t>
      </w:r>
      <w:r w:rsidR="00F85FD4">
        <w:rPr>
          <w:rFonts w:ascii="Times New Roman" w:eastAsia="Calibri" w:hAnsi="Times New Roman" w:cs="Times New Roman"/>
          <w:kern w:val="0"/>
          <w:sz w:val="24"/>
          <w:szCs w:val="24"/>
          <w14:ligatures w14:val="none"/>
        </w:rPr>
        <w:t xml:space="preserve"> effective decision making</w:t>
      </w:r>
      <w:r w:rsidR="00AD1828">
        <w:rPr>
          <w:rFonts w:ascii="Times New Roman" w:eastAsia="Calibri" w:hAnsi="Times New Roman" w:cs="Times New Roman"/>
          <w:kern w:val="0"/>
          <w:sz w:val="24"/>
          <w:szCs w:val="24"/>
          <w14:ligatures w14:val="none"/>
        </w:rPr>
        <w:t>.</w:t>
      </w:r>
    </w:p>
    <w:p w14:paraId="4AF547F3" w14:textId="77777777" w:rsidR="005C74BB" w:rsidRPr="007271B6" w:rsidRDefault="005C74BB" w:rsidP="00923840">
      <w:pPr>
        <w:pStyle w:val="Heading2"/>
      </w:pPr>
      <w:bookmarkStart w:id="5" w:name="_Toc165583370"/>
      <w:r w:rsidRPr="007271B6">
        <w:t>Research Problem</w:t>
      </w:r>
      <w:bookmarkEnd w:id="5"/>
    </w:p>
    <w:p w14:paraId="3ED620CD" w14:textId="2B2AFB67" w:rsidR="005C74BB" w:rsidRPr="007271B6" w:rsidRDefault="00E270F2" w:rsidP="005C74BB">
      <w:pPr>
        <w:spacing w:after="0" w:line="480" w:lineRule="auto"/>
        <w:ind w:firstLine="720"/>
        <w:contextualSpacing/>
        <w:rPr>
          <w:rFonts w:ascii="Times New Roman" w:eastAsia="Calibri" w:hAnsi="Times New Roman" w:cs="Times New Roman"/>
          <w:kern w:val="0"/>
          <w:sz w:val="24"/>
          <w:szCs w:val="24"/>
          <w14:ligatures w14:val="none"/>
        </w:rPr>
      </w:pPr>
      <w:r>
        <w:rPr>
          <w:rFonts w:ascii="Times New Roman" w:eastAsia="Calibri" w:hAnsi="Times New Roman" w:cs="Times New Roman"/>
          <w:kern w:val="0"/>
          <w:sz w:val="24"/>
          <w:szCs w:val="24"/>
          <w14:ligatures w14:val="none"/>
        </w:rPr>
        <w:t>G</w:t>
      </w:r>
      <w:r w:rsidR="004A627F" w:rsidRPr="007271B6">
        <w:rPr>
          <w:rFonts w:ascii="Times New Roman" w:eastAsia="Calibri" w:hAnsi="Times New Roman" w:cs="Times New Roman"/>
          <w:kern w:val="0"/>
          <w:sz w:val="24"/>
          <w:szCs w:val="24"/>
          <w14:ligatures w14:val="none"/>
        </w:rPr>
        <w:t>overnment</w:t>
      </w:r>
      <w:r>
        <w:rPr>
          <w:rFonts w:ascii="Times New Roman" w:eastAsia="Calibri" w:hAnsi="Times New Roman" w:cs="Times New Roman"/>
          <w:kern w:val="0"/>
          <w:sz w:val="24"/>
          <w:szCs w:val="24"/>
          <w14:ligatures w14:val="none"/>
        </w:rPr>
        <w:t>s</w:t>
      </w:r>
      <w:r w:rsidR="004A627F" w:rsidRPr="007271B6">
        <w:rPr>
          <w:rFonts w:ascii="Times New Roman" w:eastAsia="Calibri" w:hAnsi="Times New Roman" w:cs="Times New Roman"/>
          <w:kern w:val="0"/>
          <w:sz w:val="24"/>
          <w:szCs w:val="24"/>
          <w14:ligatures w14:val="none"/>
        </w:rPr>
        <w:t xml:space="preserve"> and other stakeholders have made various efforts to encourage key organisations to adopt appropriate corporate governance. Sound corporate governance is essential, especially given the rapidly changing </w:t>
      </w:r>
      <w:r w:rsidR="008F6541">
        <w:rPr>
          <w:rFonts w:ascii="Times New Roman" w:eastAsia="Calibri" w:hAnsi="Times New Roman" w:cs="Times New Roman"/>
          <w:kern w:val="0"/>
          <w:sz w:val="24"/>
          <w:szCs w:val="24"/>
          <w14:ligatures w14:val="none"/>
        </w:rPr>
        <w:t xml:space="preserve">nature of the </w:t>
      </w:r>
      <w:r w:rsidR="004A627F" w:rsidRPr="007271B6">
        <w:rPr>
          <w:rFonts w:ascii="Times New Roman" w:eastAsia="Calibri" w:hAnsi="Times New Roman" w:cs="Times New Roman"/>
          <w:kern w:val="0"/>
          <w:sz w:val="24"/>
          <w:szCs w:val="24"/>
          <w14:ligatures w14:val="none"/>
        </w:rPr>
        <w:t>digital asset industry and general business environment (</w:t>
      </w:r>
      <w:proofErr w:type="spellStart"/>
      <w:r w:rsidR="004A627F" w:rsidRPr="007271B6">
        <w:rPr>
          <w:rFonts w:ascii="Times New Roman" w:eastAsia="Calibri" w:hAnsi="Times New Roman" w:cs="Times New Roman"/>
          <w:kern w:val="0"/>
          <w:sz w:val="24"/>
          <w:szCs w:val="24"/>
          <w14:ligatures w14:val="none"/>
        </w:rPr>
        <w:t>Akyildirim</w:t>
      </w:r>
      <w:proofErr w:type="spellEnd"/>
      <w:r w:rsidR="004A627F" w:rsidRPr="007271B6">
        <w:rPr>
          <w:rFonts w:ascii="Times New Roman" w:eastAsia="Calibri" w:hAnsi="Times New Roman" w:cs="Times New Roman"/>
          <w:kern w:val="0"/>
          <w:sz w:val="24"/>
          <w:szCs w:val="24"/>
          <w14:ligatures w14:val="none"/>
        </w:rPr>
        <w:t xml:space="preserve"> et al., 2023). </w:t>
      </w:r>
      <w:r w:rsidR="00F30629">
        <w:rPr>
          <w:rFonts w:ascii="Times New Roman" w:eastAsia="Calibri" w:hAnsi="Times New Roman" w:cs="Times New Roman"/>
          <w:kern w:val="0"/>
          <w:sz w:val="24"/>
          <w:szCs w:val="24"/>
          <w14:ligatures w14:val="none"/>
        </w:rPr>
        <w:t>Effective</w:t>
      </w:r>
      <w:r w:rsidR="004A627F" w:rsidRPr="007271B6">
        <w:rPr>
          <w:rFonts w:ascii="Times New Roman" w:eastAsia="Calibri" w:hAnsi="Times New Roman" w:cs="Times New Roman"/>
          <w:kern w:val="0"/>
          <w:sz w:val="24"/>
          <w:szCs w:val="24"/>
          <w14:ligatures w14:val="none"/>
        </w:rPr>
        <w:t xml:space="preserve"> corporate governance ensures the proper management of customer funds, promotes a long-term perspective for digital asset enterprises, and builds trust with counterparties (Saltz and Dewar, 2019). However, despite significant steps, a considerable number of companies continue to collapse. Relatively large and mature digital asset companies that appear to be financially stable continue to be affected by corporate crises (Ramasubramanian, 2023). Despite the prevalence of corporate collapses, few studies have focused on examining corporate governance and substance failures that continue to be reported. Surprisingly, more studies have failed to examine the relationship between corporate governance and failure, including the related contributing factors (Ramasubramanian, 2023). Consequently, the role of corporate </w:t>
      </w:r>
      <w:r w:rsidR="004A627F" w:rsidRPr="007271B6">
        <w:rPr>
          <w:rFonts w:ascii="Times New Roman" w:eastAsia="Calibri" w:hAnsi="Times New Roman" w:cs="Times New Roman"/>
          <w:kern w:val="0"/>
          <w:sz w:val="24"/>
          <w:szCs w:val="24"/>
          <w14:ligatures w14:val="none"/>
        </w:rPr>
        <w:lastRenderedPageBreak/>
        <w:t xml:space="preserve">governance in business failure has been largely neglected. </w:t>
      </w:r>
      <w:r w:rsidR="008F6541">
        <w:rPr>
          <w:rFonts w:ascii="Times New Roman" w:eastAsia="Calibri" w:hAnsi="Times New Roman" w:cs="Times New Roman"/>
          <w:kern w:val="0"/>
          <w:sz w:val="24"/>
          <w:szCs w:val="24"/>
          <w14:ligatures w14:val="none"/>
        </w:rPr>
        <w:t>P</w:t>
      </w:r>
      <w:r w:rsidR="004A627F" w:rsidRPr="007271B6">
        <w:rPr>
          <w:rFonts w:ascii="Times New Roman" w:eastAsia="Calibri" w:hAnsi="Times New Roman" w:cs="Times New Roman"/>
          <w:kern w:val="0"/>
          <w:sz w:val="24"/>
          <w:szCs w:val="24"/>
          <w14:ligatures w14:val="none"/>
        </w:rPr>
        <w:t xml:space="preserve">revious studies on corporate failure have </w:t>
      </w:r>
      <w:r w:rsidR="008F6541">
        <w:rPr>
          <w:rFonts w:ascii="Times New Roman" w:eastAsia="Calibri" w:hAnsi="Times New Roman" w:cs="Times New Roman"/>
          <w:kern w:val="0"/>
          <w:sz w:val="24"/>
          <w:szCs w:val="24"/>
          <w14:ligatures w14:val="none"/>
        </w:rPr>
        <w:t xml:space="preserve">largely </w:t>
      </w:r>
      <w:r w:rsidR="004A627F" w:rsidRPr="007271B6">
        <w:rPr>
          <w:rFonts w:ascii="Times New Roman" w:eastAsia="Calibri" w:hAnsi="Times New Roman" w:cs="Times New Roman"/>
          <w:kern w:val="0"/>
          <w:sz w:val="24"/>
          <w:szCs w:val="24"/>
          <w14:ligatures w14:val="none"/>
        </w:rPr>
        <w:t xml:space="preserve">focused more on financial models that considered the contribution of financial ratios such as profitability, leverage, and liquidity rather than examining the underlying human aspects that cause these failures (Ramasubramanian, 2023). Even in the few studies that have examined this area of corporate governance and linked it to corporate failure, researchers have failed to reach a consensus on the nature of management and leadership activities that contribute to governance failure (Ramasubramanian, 2023). This study refers to FTX and Alameda Research, whose recent collapse is attributed to the failure of leadership and management to implement an appropriate governance structure. The study investigates whether the poor corporate governance of the two companies contributed to their </w:t>
      </w:r>
      <w:r w:rsidR="00F30629">
        <w:rPr>
          <w:rFonts w:ascii="Times New Roman" w:eastAsia="Calibri" w:hAnsi="Times New Roman" w:cs="Times New Roman"/>
          <w:kern w:val="0"/>
          <w:sz w:val="24"/>
          <w:szCs w:val="24"/>
          <w14:ligatures w14:val="none"/>
        </w:rPr>
        <w:t>demise</w:t>
      </w:r>
      <w:r w:rsidR="004A627F" w:rsidRPr="007271B6">
        <w:rPr>
          <w:rFonts w:ascii="Times New Roman" w:eastAsia="Calibri" w:hAnsi="Times New Roman" w:cs="Times New Roman"/>
          <w:kern w:val="0"/>
          <w:sz w:val="24"/>
          <w:szCs w:val="24"/>
          <w14:ligatures w14:val="none"/>
        </w:rPr>
        <w:t>.</w:t>
      </w:r>
    </w:p>
    <w:p w14:paraId="37B5250D" w14:textId="77777777" w:rsidR="005C74BB" w:rsidRPr="007271B6" w:rsidRDefault="005C74BB" w:rsidP="00923840">
      <w:pPr>
        <w:pStyle w:val="Heading2"/>
      </w:pPr>
      <w:bookmarkStart w:id="6" w:name="_Toc165583371"/>
      <w:r w:rsidRPr="007271B6">
        <w:t>Research Aim and Objectives</w:t>
      </w:r>
      <w:bookmarkEnd w:id="6"/>
    </w:p>
    <w:p w14:paraId="3B5B2FA0" w14:textId="77777777" w:rsidR="005C74BB" w:rsidRPr="007271B6" w:rsidRDefault="005C74BB" w:rsidP="005C74BB">
      <w:pPr>
        <w:spacing w:after="0" w:line="480" w:lineRule="auto"/>
        <w:contextualSpacing/>
        <w:rPr>
          <w:rFonts w:ascii="Times New Roman" w:eastAsia="Calibri" w:hAnsi="Times New Roman" w:cs="Times New Roman"/>
          <w:i/>
          <w:kern w:val="0"/>
          <w:sz w:val="24"/>
          <w:szCs w:val="24"/>
          <w:u w:val="single"/>
          <w14:ligatures w14:val="none"/>
        </w:rPr>
      </w:pPr>
      <w:r w:rsidRPr="007271B6">
        <w:rPr>
          <w:rFonts w:ascii="Times New Roman" w:eastAsia="Calibri" w:hAnsi="Times New Roman" w:cs="Times New Roman"/>
          <w:i/>
          <w:kern w:val="0"/>
          <w:sz w:val="24"/>
          <w:szCs w:val="24"/>
          <w:u w:val="single"/>
          <w14:ligatures w14:val="none"/>
        </w:rPr>
        <w:t>Research Aim</w:t>
      </w:r>
    </w:p>
    <w:p w14:paraId="343EE70A" w14:textId="12B85F55" w:rsidR="005C74BB" w:rsidRPr="007271B6" w:rsidRDefault="005C74BB" w:rsidP="005C74BB">
      <w:pPr>
        <w:spacing w:after="0" w:line="480" w:lineRule="auto"/>
        <w:ind w:firstLine="720"/>
        <w:contextualSpacing/>
        <w:rPr>
          <w:rFonts w:ascii="Times New Roman" w:eastAsia="Calibri" w:hAnsi="Times New Roman" w:cs="Times New Roman"/>
          <w:kern w:val="0"/>
          <w:sz w:val="24"/>
          <w:szCs w:val="24"/>
          <w14:ligatures w14:val="none"/>
        </w:rPr>
      </w:pPr>
      <w:r w:rsidRPr="007271B6">
        <w:rPr>
          <w:rFonts w:ascii="Times New Roman" w:eastAsia="Calibri" w:hAnsi="Times New Roman" w:cs="Times New Roman"/>
          <w:kern w:val="0"/>
          <w:sz w:val="24"/>
          <w:szCs w:val="24"/>
          <w14:ligatures w14:val="none"/>
        </w:rPr>
        <w:t xml:space="preserve">The background information reveals that FTX and Alameda Research collapsed less than four years after their establishment. The failure of these companies is attributable to multiple activities undertaken by leadership that failed to consider proper corporate governance. Thus, the aim of the current study is to extensively review the policies </w:t>
      </w:r>
      <w:r w:rsidR="00F30629">
        <w:rPr>
          <w:rFonts w:ascii="Times New Roman" w:eastAsia="Calibri" w:hAnsi="Times New Roman" w:cs="Times New Roman"/>
          <w:kern w:val="0"/>
          <w:sz w:val="24"/>
          <w:szCs w:val="24"/>
          <w14:ligatures w14:val="none"/>
        </w:rPr>
        <w:t>of</w:t>
      </w:r>
      <w:r w:rsidRPr="007271B6">
        <w:rPr>
          <w:rFonts w:ascii="Times New Roman" w:eastAsia="Calibri" w:hAnsi="Times New Roman" w:cs="Times New Roman"/>
          <w:kern w:val="0"/>
          <w:sz w:val="24"/>
          <w:szCs w:val="24"/>
          <w14:ligatures w14:val="none"/>
        </w:rPr>
        <w:t xml:space="preserve"> FTX and Alameda Research toward guiding their operations and how the implementation of these policies contributed to poor corporate governance structures that saw the two companies collapse. Policies aimed at guiding the governance of organisations ensure the standardisation of operations through proper structures. However, if not properly implemented</w:t>
      </w:r>
      <w:r w:rsidR="00F30629">
        <w:rPr>
          <w:rFonts w:ascii="Times New Roman" w:eastAsia="Calibri" w:hAnsi="Times New Roman" w:cs="Times New Roman"/>
          <w:kern w:val="0"/>
          <w:sz w:val="24"/>
          <w:szCs w:val="24"/>
          <w14:ligatures w14:val="none"/>
        </w:rPr>
        <w:t xml:space="preserve">, </w:t>
      </w:r>
      <w:proofErr w:type="gramStart"/>
      <w:r w:rsidR="00F30629">
        <w:rPr>
          <w:rFonts w:ascii="Times New Roman" w:eastAsia="Calibri" w:hAnsi="Times New Roman" w:cs="Times New Roman"/>
          <w:kern w:val="0"/>
          <w:sz w:val="24"/>
          <w:szCs w:val="24"/>
          <w14:ligatures w14:val="none"/>
        </w:rPr>
        <w:t>maintained</w:t>
      </w:r>
      <w:proofErr w:type="gramEnd"/>
      <w:r w:rsidR="00F30629">
        <w:rPr>
          <w:rFonts w:ascii="Times New Roman" w:eastAsia="Calibri" w:hAnsi="Times New Roman" w:cs="Times New Roman"/>
          <w:kern w:val="0"/>
          <w:sz w:val="24"/>
          <w:szCs w:val="24"/>
          <w14:ligatures w14:val="none"/>
        </w:rPr>
        <w:t xml:space="preserve"> and enhanced</w:t>
      </w:r>
      <w:r w:rsidRPr="007271B6">
        <w:rPr>
          <w:rFonts w:ascii="Times New Roman" w:eastAsia="Calibri" w:hAnsi="Times New Roman" w:cs="Times New Roman"/>
          <w:kern w:val="0"/>
          <w:sz w:val="24"/>
          <w:szCs w:val="24"/>
          <w14:ligatures w14:val="none"/>
        </w:rPr>
        <w:t xml:space="preserve">, such policies may cause failure in the governance process, hence the potential collapse of companies. The study </w:t>
      </w:r>
      <w:r w:rsidR="00F30629">
        <w:rPr>
          <w:rFonts w:ascii="Times New Roman" w:eastAsia="Calibri" w:hAnsi="Times New Roman" w:cs="Times New Roman"/>
          <w:kern w:val="0"/>
          <w:sz w:val="24"/>
          <w:szCs w:val="24"/>
          <w14:ligatures w14:val="none"/>
        </w:rPr>
        <w:t>aims</w:t>
      </w:r>
      <w:r w:rsidRPr="007271B6">
        <w:rPr>
          <w:rFonts w:ascii="Times New Roman" w:eastAsia="Calibri" w:hAnsi="Times New Roman" w:cs="Times New Roman"/>
          <w:kern w:val="0"/>
          <w:sz w:val="24"/>
          <w:szCs w:val="24"/>
          <w14:ligatures w14:val="none"/>
        </w:rPr>
        <w:t xml:space="preserve"> to investigate this to understand how it happened in the two</w:t>
      </w:r>
      <w:r w:rsidR="008F6541">
        <w:rPr>
          <w:rFonts w:ascii="Times New Roman" w:eastAsia="Calibri" w:hAnsi="Times New Roman" w:cs="Times New Roman"/>
          <w:kern w:val="0"/>
          <w:sz w:val="24"/>
          <w:szCs w:val="24"/>
          <w14:ligatures w14:val="none"/>
        </w:rPr>
        <w:t xml:space="preserve"> subject</w:t>
      </w:r>
      <w:r w:rsidRPr="007271B6">
        <w:rPr>
          <w:rFonts w:ascii="Times New Roman" w:eastAsia="Calibri" w:hAnsi="Times New Roman" w:cs="Times New Roman"/>
          <w:kern w:val="0"/>
          <w:sz w:val="24"/>
          <w:szCs w:val="24"/>
          <w14:ligatures w14:val="none"/>
        </w:rPr>
        <w:t xml:space="preserve"> firms</w:t>
      </w:r>
      <w:r w:rsidR="007C2E48">
        <w:rPr>
          <w:rFonts w:ascii="Times New Roman" w:eastAsia="Calibri" w:hAnsi="Times New Roman" w:cs="Times New Roman"/>
          <w:kern w:val="0"/>
          <w:sz w:val="24"/>
          <w:szCs w:val="24"/>
          <w14:ligatures w14:val="none"/>
        </w:rPr>
        <w:t xml:space="preserve"> and</w:t>
      </w:r>
      <w:r w:rsidRPr="007271B6">
        <w:rPr>
          <w:rFonts w:ascii="Times New Roman" w:eastAsia="Calibri" w:hAnsi="Times New Roman" w:cs="Times New Roman"/>
          <w:kern w:val="0"/>
          <w:sz w:val="24"/>
          <w:szCs w:val="24"/>
          <w14:ligatures w14:val="none"/>
        </w:rPr>
        <w:t xml:space="preserve"> to analyse the various </w:t>
      </w:r>
      <w:r w:rsidR="007C2E48">
        <w:rPr>
          <w:rFonts w:ascii="Times New Roman" w:eastAsia="Calibri" w:hAnsi="Times New Roman" w:cs="Times New Roman"/>
          <w:kern w:val="0"/>
          <w:sz w:val="24"/>
          <w:szCs w:val="24"/>
          <w14:ligatures w14:val="none"/>
        </w:rPr>
        <w:t xml:space="preserve">corporate governance </w:t>
      </w:r>
      <w:r w:rsidRPr="007271B6">
        <w:rPr>
          <w:rFonts w:ascii="Times New Roman" w:eastAsia="Calibri" w:hAnsi="Times New Roman" w:cs="Times New Roman"/>
          <w:kern w:val="0"/>
          <w:sz w:val="24"/>
          <w:szCs w:val="24"/>
          <w14:ligatures w14:val="none"/>
        </w:rPr>
        <w:t xml:space="preserve">factors that contributed to their collapse. Focusing on the </w:t>
      </w:r>
      <w:r w:rsidRPr="007271B6">
        <w:rPr>
          <w:rFonts w:ascii="Times New Roman" w:eastAsia="Calibri" w:hAnsi="Times New Roman" w:cs="Times New Roman"/>
          <w:kern w:val="0"/>
          <w:sz w:val="24"/>
          <w:szCs w:val="24"/>
          <w14:ligatures w14:val="none"/>
        </w:rPr>
        <w:lastRenderedPageBreak/>
        <w:t xml:space="preserve">contributing factors forms the critical basis of this study to bring into perspective the role that the management and leadership of the organisations played, leading to failed governance. Any organisation's leadership style and management approach </w:t>
      </w:r>
      <w:r w:rsidR="008F6541">
        <w:rPr>
          <w:rFonts w:ascii="Times New Roman" w:eastAsia="Calibri" w:hAnsi="Times New Roman" w:cs="Times New Roman"/>
          <w:kern w:val="0"/>
          <w:sz w:val="24"/>
          <w:szCs w:val="24"/>
          <w14:ligatures w14:val="none"/>
        </w:rPr>
        <w:t xml:space="preserve">are key </w:t>
      </w:r>
      <w:r w:rsidRPr="007271B6">
        <w:rPr>
          <w:rFonts w:ascii="Times New Roman" w:eastAsia="Calibri" w:hAnsi="Times New Roman" w:cs="Times New Roman"/>
          <w:kern w:val="0"/>
          <w:sz w:val="24"/>
          <w:szCs w:val="24"/>
          <w14:ligatures w14:val="none"/>
        </w:rPr>
        <w:t>determin</w:t>
      </w:r>
      <w:r w:rsidR="008F6541">
        <w:rPr>
          <w:rFonts w:ascii="Times New Roman" w:eastAsia="Calibri" w:hAnsi="Times New Roman" w:cs="Times New Roman"/>
          <w:kern w:val="0"/>
          <w:sz w:val="24"/>
          <w:szCs w:val="24"/>
          <w14:ligatures w14:val="none"/>
        </w:rPr>
        <w:t>ates of</w:t>
      </w:r>
      <w:r w:rsidRPr="007271B6">
        <w:rPr>
          <w:rFonts w:ascii="Times New Roman" w:eastAsia="Calibri" w:hAnsi="Times New Roman" w:cs="Times New Roman"/>
          <w:kern w:val="0"/>
          <w:sz w:val="24"/>
          <w:szCs w:val="24"/>
          <w14:ligatures w14:val="none"/>
        </w:rPr>
        <w:t xml:space="preserve"> its performance success. Even in the presence of standard corporate governance structures, leadership is critical in ensuring adherence to these structures, and the failure on the part of management of FTX and Alameda Research may have contributed significantly to their collapse; hence, there is a need to investigate. Thus, based on the focus of the study, the outcomes will assist in determining the best practices and policies associated with corporate governance and how leadership and management </w:t>
      </w:r>
      <w:r w:rsidR="00D42C75">
        <w:rPr>
          <w:rFonts w:ascii="Times New Roman" w:eastAsia="Calibri" w:hAnsi="Times New Roman" w:cs="Times New Roman"/>
          <w:kern w:val="0"/>
          <w:sz w:val="24"/>
          <w:szCs w:val="24"/>
          <w14:ligatures w14:val="none"/>
        </w:rPr>
        <w:t>should</w:t>
      </w:r>
      <w:r w:rsidRPr="007271B6">
        <w:rPr>
          <w:rFonts w:ascii="Times New Roman" w:eastAsia="Calibri" w:hAnsi="Times New Roman" w:cs="Times New Roman"/>
          <w:kern w:val="0"/>
          <w:sz w:val="24"/>
          <w:szCs w:val="24"/>
          <w14:ligatures w14:val="none"/>
        </w:rPr>
        <w:t xml:space="preserve"> take them into account to ensure successful governance and achieve desired corporate performance. </w:t>
      </w:r>
    </w:p>
    <w:p w14:paraId="6C324345" w14:textId="77777777" w:rsidR="005C74BB" w:rsidRPr="007271B6" w:rsidRDefault="005C74BB" w:rsidP="005C74BB">
      <w:pPr>
        <w:spacing w:after="0" w:line="480" w:lineRule="auto"/>
        <w:contextualSpacing/>
        <w:rPr>
          <w:rFonts w:ascii="Times New Roman" w:eastAsia="Calibri" w:hAnsi="Times New Roman" w:cs="Times New Roman"/>
          <w:bCs/>
          <w:i/>
          <w:kern w:val="0"/>
          <w:sz w:val="24"/>
          <w:szCs w:val="24"/>
          <w:u w:val="single"/>
          <w14:ligatures w14:val="none"/>
        </w:rPr>
      </w:pPr>
      <w:r w:rsidRPr="007271B6">
        <w:rPr>
          <w:rFonts w:ascii="Times New Roman" w:eastAsia="Calibri" w:hAnsi="Times New Roman" w:cs="Times New Roman"/>
          <w:bCs/>
          <w:i/>
          <w:iCs/>
          <w:kern w:val="0"/>
          <w:sz w:val="24"/>
          <w:szCs w:val="24"/>
          <w:u w:val="single"/>
          <w14:ligatures w14:val="none"/>
        </w:rPr>
        <w:t>Objectives</w:t>
      </w:r>
    </w:p>
    <w:p w14:paraId="5F4BA9B2" w14:textId="0A93DDE9" w:rsidR="005C74BB" w:rsidRPr="007271B6" w:rsidRDefault="005C74BB" w:rsidP="005C74BB">
      <w:pPr>
        <w:numPr>
          <w:ilvl w:val="0"/>
          <w:numId w:val="3"/>
        </w:numPr>
        <w:spacing w:after="0" w:line="480" w:lineRule="auto"/>
        <w:contextualSpacing/>
        <w:rPr>
          <w:rFonts w:ascii="Times New Roman" w:eastAsia="Times New Roman" w:hAnsi="Times New Roman" w:cs="Times New Roman"/>
          <w:kern w:val="0"/>
          <w:sz w:val="24"/>
          <w:szCs w:val="24"/>
          <w:lang w:eastAsia="en-GB"/>
          <w14:ligatures w14:val="none"/>
        </w:rPr>
      </w:pPr>
      <w:r w:rsidRPr="007271B6">
        <w:rPr>
          <w:rFonts w:ascii="Times New Roman" w:eastAsia="Calibri" w:hAnsi="Times New Roman" w:cs="Times New Roman"/>
          <w:kern w:val="0"/>
          <w:sz w:val="24"/>
          <w:szCs w:val="24"/>
          <w:lang w:eastAsia="en-GB"/>
          <w14:ligatures w14:val="none"/>
        </w:rPr>
        <w:t xml:space="preserve">To review and analyse the corporate governance practices within FTX and Alameda Research, which </w:t>
      </w:r>
      <w:r w:rsidR="00D42C75">
        <w:rPr>
          <w:rFonts w:ascii="Times New Roman" w:eastAsia="Calibri" w:hAnsi="Times New Roman" w:cs="Times New Roman"/>
          <w:kern w:val="0"/>
          <w:sz w:val="24"/>
          <w:szCs w:val="24"/>
          <w:lang w:eastAsia="en-GB"/>
          <w14:ligatures w14:val="none"/>
        </w:rPr>
        <w:t>contributed</w:t>
      </w:r>
      <w:r w:rsidRPr="007271B6">
        <w:rPr>
          <w:rFonts w:ascii="Times New Roman" w:eastAsia="Calibri" w:hAnsi="Times New Roman" w:cs="Times New Roman"/>
          <w:kern w:val="0"/>
          <w:sz w:val="24"/>
          <w:szCs w:val="24"/>
          <w:lang w:eastAsia="en-GB"/>
          <w14:ligatures w14:val="none"/>
        </w:rPr>
        <w:t xml:space="preserve"> to their bankruptcies,</w:t>
      </w:r>
    </w:p>
    <w:p w14:paraId="74BA06C6" w14:textId="77777777" w:rsidR="005C74BB" w:rsidRPr="007271B6" w:rsidRDefault="005C74BB" w:rsidP="005C74BB">
      <w:pPr>
        <w:numPr>
          <w:ilvl w:val="0"/>
          <w:numId w:val="3"/>
        </w:numPr>
        <w:spacing w:after="0" w:line="480" w:lineRule="auto"/>
        <w:contextualSpacing/>
        <w:rPr>
          <w:rFonts w:ascii="Times New Roman" w:eastAsia="Times New Roman" w:hAnsi="Times New Roman" w:cs="Times New Roman"/>
          <w:kern w:val="0"/>
          <w:sz w:val="24"/>
          <w:szCs w:val="24"/>
          <w:lang w:eastAsia="en-GB"/>
          <w14:ligatures w14:val="none"/>
        </w:rPr>
      </w:pPr>
      <w:r w:rsidRPr="007271B6">
        <w:rPr>
          <w:rFonts w:ascii="Times New Roman" w:eastAsia="Calibri" w:hAnsi="Times New Roman" w:cs="Times New Roman"/>
          <w:kern w:val="0"/>
          <w:sz w:val="24"/>
          <w:szCs w:val="24"/>
          <w:lang w:eastAsia="en-GB"/>
          <w14:ligatures w14:val="none"/>
        </w:rPr>
        <w:t>To investigate and evaluate any underlying issues within the companies from a governance perspective,</w:t>
      </w:r>
    </w:p>
    <w:p w14:paraId="35A666AB" w14:textId="38D33392" w:rsidR="005C74BB" w:rsidRPr="007271B6" w:rsidRDefault="005C74BB" w:rsidP="005C74BB">
      <w:pPr>
        <w:numPr>
          <w:ilvl w:val="0"/>
          <w:numId w:val="3"/>
        </w:numPr>
        <w:spacing w:after="0" w:line="480" w:lineRule="auto"/>
        <w:contextualSpacing/>
        <w:rPr>
          <w:rFonts w:ascii="Times New Roman" w:eastAsia="Times New Roman" w:hAnsi="Times New Roman" w:cs="Times New Roman"/>
          <w:kern w:val="0"/>
          <w:sz w:val="24"/>
          <w:szCs w:val="24"/>
          <w:lang w:eastAsia="en-GB"/>
          <w14:ligatures w14:val="none"/>
        </w:rPr>
      </w:pPr>
      <w:r w:rsidRPr="007271B6">
        <w:rPr>
          <w:rFonts w:ascii="Times New Roman" w:eastAsia="Calibri" w:hAnsi="Times New Roman" w:cs="Times New Roman"/>
          <w:kern w:val="0"/>
          <w:sz w:val="24"/>
          <w:szCs w:val="24"/>
          <w:lang w:eastAsia="en-GB"/>
          <w14:ligatures w14:val="none"/>
        </w:rPr>
        <w:t>To draw modest conclusions and propose recommendations of corporate governance as learned from the failure of FTX and Alameda Research.</w:t>
      </w:r>
    </w:p>
    <w:p w14:paraId="4BBD881C" w14:textId="77777777" w:rsidR="005C74BB" w:rsidRPr="007271B6" w:rsidRDefault="005C74BB" w:rsidP="00923840">
      <w:pPr>
        <w:pStyle w:val="Heading2"/>
      </w:pPr>
      <w:bookmarkStart w:id="7" w:name="_Toc165583372"/>
      <w:r w:rsidRPr="007271B6">
        <w:t>Research Questions</w:t>
      </w:r>
      <w:bookmarkEnd w:id="7"/>
    </w:p>
    <w:p w14:paraId="411B79C8" w14:textId="77777777" w:rsidR="005C74BB" w:rsidRPr="007271B6" w:rsidRDefault="005C74BB" w:rsidP="002770D2">
      <w:pPr>
        <w:numPr>
          <w:ilvl w:val="0"/>
          <w:numId w:val="4"/>
        </w:numPr>
        <w:spacing w:after="0" w:line="480" w:lineRule="auto"/>
        <w:contextualSpacing/>
        <w:rPr>
          <w:rFonts w:ascii="Times New Roman" w:eastAsia="Calibri" w:hAnsi="Times New Roman" w:cs="Times New Roman"/>
          <w:kern w:val="0"/>
          <w:sz w:val="24"/>
          <w:szCs w:val="24"/>
          <w:lang w:eastAsia="en-GB"/>
          <w14:ligatures w14:val="none"/>
        </w:rPr>
      </w:pPr>
      <w:r w:rsidRPr="007271B6">
        <w:rPr>
          <w:rFonts w:ascii="Times New Roman" w:eastAsia="Calibri" w:hAnsi="Times New Roman" w:cs="Times New Roman"/>
          <w:kern w:val="0"/>
          <w:sz w:val="24"/>
          <w:szCs w:val="24"/>
          <w:lang w:eastAsia="en-GB"/>
          <w14:ligatures w14:val="none"/>
        </w:rPr>
        <w:t>How did the corporate governance practices within FTX and Alameda Research lead to their bankruptcies?</w:t>
      </w:r>
    </w:p>
    <w:p w14:paraId="561BBECD" w14:textId="77777777" w:rsidR="005C74BB" w:rsidRPr="007271B6" w:rsidRDefault="005C74BB" w:rsidP="002770D2">
      <w:pPr>
        <w:numPr>
          <w:ilvl w:val="0"/>
          <w:numId w:val="4"/>
        </w:numPr>
        <w:spacing w:after="0" w:line="480" w:lineRule="auto"/>
        <w:contextualSpacing/>
        <w:rPr>
          <w:rFonts w:ascii="Times New Roman" w:eastAsia="Calibri" w:hAnsi="Times New Roman" w:cs="Times New Roman"/>
          <w:kern w:val="0"/>
          <w:sz w:val="24"/>
          <w:szCs w:val="24"/>
          <w:lang w:eastAsia="en-GB"/>
          <w14:ligatures w14:val="none"/>
        </w:rPr>
      </w:pPr>
      <w:r w:rsidRPr="007271B6">
        <w:rPr>
          <w:rFonts w:ascii="Times New Roman" w:eastAsia="Calibri" w:hAnsi="Times New Roman" w:cs="Times New Roman"/>
          <w:kern w:val="0"/>
          <w:sz w:val="24"/>
          <w:szCs w:val="24"/>
          <w:lang w:eastAsia="en-GB"/>
          <w14:ligatures w14:val="none"/>
        </w:rPr>
        <w:t>What were the most prevalent underlying issues within the companies from a governance perspective?</w:t>
      </w:r>
    </w:p>
    <w:p w14:paraId="24E3F0BA" w14:textId="5DA009A8" w:rsidR="0094394C" w:rsidRPr="007C2E48" w:rsidRDefault="005C74BB" w:rsidP="007C2E48">
      <w:pPr>
        <w:numPr>
          <w:ilvl w:val="0"/>
          <w:numId w:val="4"/>
        </w:numPr>
        <w:spacing w:after="0" w:line="480" w:lineRule="auto"/>
        <w:contextualSpacing/>
        <w:rPr>
          <w:rFonts w:ascii="Times New Roman" w:eastAsia="Calibri" w:hAnsi="Times New Roman" w:cs="Times New Roman"/>
          <w:kern w:val="0"/>
          <w:sz w:val="24"/>
          <w:szCs w:val="24"/>
          <w:lang w:eastAsia="en-GB"/>
          <w14:ligatures w14:val="none"/>
        </w:rPr>
      </w:pPr>
      <w:r w:rsidRPr="007271B6">
        <w:rPr>
          <w:rFonts w:ascii="Times New Roman" w:eastAsia="Calibri" w:hAnsi="Times New Roman" w:cs="Times New Roman"/>
          <w:kern w:val="0"/>
          <w:sz w:val="24"/>
          <w:szCs w:val="24"/>
          <w:lang w:eastAsia="en-GB"/>
          <w14:ligatures w14:val="none"/>
        </w:rPr>
        <w:t>What are the modest conclusions and recommendations regarding corporate governance as learned from the failure of FTX and Alameda Research?</w:t>
      </w:r>
    </w:p>
    <w:p w14:paraId="4EC5F745" w14:textId="77777777" w:rsidR="005C74BB" w:rsidRPr="007271B6" w:rsidRDefault="005C74BB" w:rsidP="00D42C75">
      <w:pPr>
        <w:pStyle w:val="Heading2"/>
      </w:pPr>
      <w:bookmarkStart w:id="8" w:name="_Toc165583373"/>
      <w:r w:rsidRPr="007271B6">
        <w:lastRenderedPageBreak/>
        <w:t>Significance of Study</w:t>
      </w:r>
      <w:bookmarkEnd w:id="8"/>
    </w:p>
    <w:p w14:paraId="1BAC0190" w14:textId="513E8A08" w:rsidR="005C74BB" w:rsidRPr="007271B6" w:rsidRDefault="00747CA7" w:rsidP="005C74BB">
      <w:pPr>
        <w:spacing w:after="0" w:line="480" w:lineRule="auto"/>
        <w:ind w:firstLine="720"/>
        <w:contextualSpacing/>
        <w:rPr>
          <w:rFonts w:ascii="Times New Roman" w:eastAsia="Calibri" w:hAnsi="Times New Roman" w:cs="Times New Roman"/>
          <w:kern w:val="0"/>
          <w:sz w:val="24"/>
          <w:szCs w:val="24"/>
          <w14:ligatures w14:val="none"/>
        </w:rPr>
      </w:pPr>
      <w:r w:rsidRPr="007271B6">
        <w:rPr>
          <w:rFonts w:ascii="Times New Roman" w:eastAsia="Calibri" w:hAnsi="Times New Roman" w:cs="Times New Roman"/>
          <w:kern w:val="0"/>
          <w:sz w:val="24"/>
          <w:szCs w:val="24"/>
          <w14:ligatures w14:val="none"/>
        </w:rPr>
        <w:t xml:space="preserve">The results of this study will contribute to the running, controlling, and operating of various organisations across all sectors, particularly in the digital space and in the development of regulations. By examining the governance practices displayed by FTX and Alameda Research, the study will provide insights into how governance within the organisation relates to business failure. This is because the research </w:t>
      </w:r>
      <w:r w:rsidR="00DC43E0">
        <w:rPr>
          <w:rFonts w:ascii="Times New Roman" w:eastAsia="Calibri" w:hAnsi="Times New Roman" w:cs="Times New Roman"/>
          <w:kern w:val="0"/>
          <w:sz w:val="24"/>
          <w:szCs w:val="24"/>
          <w14:ligatures w14:val="none"/>
        </w:rPr>
        <w:t>high</w:t>
      </w:r>
      <w:r w:rsidRPr="007271B6">
        <w:rPr>
          <w:rFonts w:ascii="Times New Roman" w:eastAsia="Calibri" w:hAnsi="Times New Roman" w:cs="Times New Roman"/>
          <w:kern w:val="0"/>
          <w:sz w:val="24"/>
          <w:szCs w:val="24"/>
          <w14:ligatures w14:val="none"/>
        </w:rPr>
        <w:t>light</w:t>
      </w:r>
      <w:r w:rsidR="00DC43E0">
        <w:rPr>
          <w:rFonts w:ascii="Times New Roman" w:eastAsia="Calibri" w:hAnsi="Times New Roman" w:cs="Times New Roman"/>
          <w:kern w:val="0"/>
          <w:sz w:val="24"/>
          <w:szCs w:val="24"/>
          <w14:ligatures w14:val="none"/>
        </w:rPr>
        <w:t>s</w:t>
      </w:r>
      <w:r w:rsidRPr="007271B6">
        <w:rPr>
          <w:rFonts w:ascii="Times New Roman" w:eastAsia="Calibri" w:hAnsi="Times New Roman" w:cs="Times New Roman"/>
          <w:kern w:val="0"/>
          <w:sz w:val="24"/>
          <w:szCs w:val="24"/>
          <w14:ligatures w14:val="none"/>
        </w:rPr>
        <w:t xml:space="preserve"> what happened in these two companies before they were declared bankrupt and how governance was seen as a critical factor. A key aspect of this analysis is identifying the critical factors that saw the companies resort to poor governance, hence the failure, and documenting these factors in the literature for future reference and comparison. By explicitly examining the two companies in the digital asset industry, the study contributes to understanding the most relevant practices in this industry that have the potential to negatively impact business operations. It also provides the basis for understanding the failures that occur in corporate governance and how this contributes to the performance of the companies. This knowledge is essential in helping stakeholders within the digital asset industry develop measures to mitigate risks. The step towards mitigation is critical in </w:t>
      </w:r>
      <w:r w:rsidR="00DC43E0">
        <w:rPr>
          <w:rFonts w:ascii="Times New Roman" w:eastAsia="Calibri" w:hAnsi="Times New Roman" w:cs="Times New Roman"/>
          <w:kern w:val="0"/>
          <w:sz w:val="24"/>
          <w:szCs w:val="24"/>
          <w14:ligatures w14:val="none"/>
        </w:rPr>
        <w:t>improving</w:t>
      </w:r>
      <w:r w:rsidRPr="007271B6">
        <w:rPr>
          <w:rFonts w:ascii="Times New Roman" w:eastAsia="Calibri" w:hAnsi="Times New Roman" w:cs="Times New Roman"/>
          <w:kern w:val="0"/>
          <w:sz w:val="24"/>
          <w:szCs w:val="24"/>
          <w14:ligatures w14:val="none"/>
        </w:rPr>
        <w:t xml:space="preserve"> </w:t>
      </w:r>
      <w:r w:rsidR="00DC43E0">
        <w:rPr>
          <w:rFonts w:ascii="Times New Roman" w:eastAsia="Calibri" w:hAnsi="Times New Roman" w:cs="Times New Roman"/>
          <w:kern w:val="0"/>
          <w:sz w:val="24"/>
          <w:szCs w:val="24"/>
          <w14:ligatures w14:val="none"/>
        </w:rPr>
        <w:t xml:space="preserve">the performance and </w:t>
      </w:r>
      <w:r w:rsidR="00DC43E0" w:rsidRPr="007271B6">
        <w:rPr>
          <w:rFonts w:ascii="Times New Roman" w:eastAsia="Calibri" w:hAnsi="Times New Roman" w:cs="Times New Roman"/>
          <w:kern w:val="0"/>
          <w:sz w:val="24"/>
          <w:szCs w:val="24"/>
          <w14:ligatures w14:val="none"/>
        </w:rPr>
        <w:t>behaviours</w:t>
      </w:r>
      <w:r w:rsidR="00DC43E0">
        <w:rPr>
          <w:rFonts w:ascii="Times New Roman" w:eastAsia="Calibri" w:hAnsi="Times New Roman" w:cs="Times New Roman"/>
          <w:kern w:val="0"/>
          <w:sz w:val="24"/>
          <w:szCs w:val="24"/>
          <w14:ligatures w14:val="none"/>
        </w:rPr>
        <w:t xml:space="preserve"> of management</w:t>
      </w:r>
      <w:r w:rsidRPr="007271B6">
        <w:rPr>
          <w:rFonts w:ascii="Times New Roman" w:eastAsia="Calibri" w:hAnsi="Times New Roman" w:cs="Times New Roman"/>
          <w:kern w:val="0"/>
          <w:sz w:val="24"/>
          <w:szCs w:val="24"/>
          <w14:ligatures w14:val="none"/>
        </w:rPr>
        <w:t xml:space="preserve">, hence contributing to </w:t>
      </w:r>
      <w:r w:rsidR="00DC43E0">
        <w:rPr>
          <w:rFonts w:ascii="Times New Roman" w:eastAsia="Calibri" w:hAnsi="Times New Roman" w:cs="Times New Roman"/>
          <w:kern w:val="0"/>
          <w:sz w:val="24"/>
          <w:szCs w:val="24"/>
          <w14:ligatures w14:val="none"/>
        </w:rPr>
        <w:t>organisational performance</w:t>
      </w:r>
      <w:r w:rsidRPr="007271B6">
        <w:rPr>
          <w:rFonts w:ascii="Times New Roman" w:eastAsia="Calibri" w:hAnsi="Times New Roman" w:cs="Times New Roman"/>
          <w:kern w:val="0"/>
          <w:sz w:val="24"/>
          <w:szCs w:val="24"/>
          <w14:ligatures w14:val="none"/>
        </w:rPr>
        <w:t xml:space="preserve">. In addition, the study offers lessons and recommendations that can be implemented by various organisations, particularly in digital currency trading, to reduce the likelihood of collapse due to a failure of governance approaches. By taking a more general approach towards corporate governance failure, rather than focusing specifically on the digital asset sector, the study broadens its scope to provide more relevant information that applies to the whole market on how organisations can limit governance failure and ensure the </w:t>
      </w:r>
      <w:r w:rsidR="00DC43E0">
        <w:rPr>
          <w:rFonts w:ascii="Times New Roman" w:eastAsia="Calibri" w:hAnsi="Times New Roman" w:cs="Times New Roman"/>
          <w:kern w:val="0"/>
          <w:sz w:val="24"/>
          <w:szCs w:val="24"/>
          <w14:ligatures w14:val="none"/>
        </w:rPr>
        <w:t xml:space="preserve">successful </w:t>
      </w:r>
      <w:r w:rsidRPr="007271B6">
        <w:rPr>
          <w:rFonts w:ascii="Times New Roman" w:eastAsia="Calibri" w:hAnsi="Times New Roman" w:cs="Times New Roman"/>
          <w:kern w:val="0"/>
          <w:sz w:val="24"/>
          <w:szCs w:val="24"/>
          <w14:ligatures w14:val="none"/>
        </w:rPr>
        <w:t>continuity of business.</w:t>
      </w:r>
    </w:p>
    <w:p w14:paraId="30C4BB0B" w14:textId="77777777" w:rsidR="005C74BB" w:rsidRPr="007271B6" w:rsidRDefault="005C74BB" w:rsidP="00923840">
      <w:pPr>
        <w:pStyle w:val="Heading2"/>
      </w:pPr>
      <w:bookmarkStart w:id="9" w:name="_Toc165583374"/>
      <w:r w:rsidRPr="007271B6">
        <w:t>Structure of the Study</w:t>
      </w:r>
      <w:bookmarkEnd w:id="9"/>
    </w:p>
    <w:p w14:paraId="22CAFD97" w14:textId="77777777" w:rsidR="00D42C75" w:rsidRDefault="00747CA7" w:rsidP="00747CA7">
      <w:pPr>
        <w:spacing w:after="0" w:line="480" w:lineRule="auto"/>
        <w:ind w:firstLine="720"/>
        <w:contextualSpacing/>
        <w:rPr>
          <w:rFonts w:ascii="Times New Roman" w:eastAsia="Calibri" w:hAnsi="Times New Roman" w:cs="Times New Roman"/>
          <w:kern w:val="0"/>
          <w:sz w:val="24"/>
          <w:szCs w:val="24"/>
          <w14:ligatures w14:val="none"/>
        </w:rPr>
      </w:pPr>
      <w:r w:rsidRPr="007271B6">
        <w:rPr>
          <w:rFonts w:ascii="Times New Roman" w:eastAsia="Calibri" w:hAnsi="Times New Roman" w:cs="Times New Roman"/>
          <w:kern w:val="0"/>
          <w:sz w:val="24"/>
          <w:szCs w:val="24"/>
          <w14:ligatures w14:val="none"/>
        </w:rPr>
        <w:t xml:space="preserve">The structure of this study follows the standard sections of a dissertation, which consists of five chapters. The first chapter is an introduction, followed by a literature review </w:t>
      </w:r>
      <w:r w:rsidRPr="007271B6">
        <w:rPr>
          <w:rFonts w:ascii="Times New Roman" w:eastAsia="Calibri" w:hAnsi="Times New Roman" w:cs="Times New Roman"/>
          <w:kern w:val="0"/>
          <w:sz w:val="24"/>
          <w:szCs w:val="24"/>
          <w14:ligatures w14:val="none"/>
        </w:rPr>
        <w:lastRenderedPageBreak/>
        <w:t xml:space="preserve">as the second chapter; the research methodology is the third chapter; the fourth is the results and analysis of the data; and the final fifth chapter comprises the discussion, </w:t>
      </w:r>
      <w:proofErr w:type="gramStart"/>
      <w:r w:rsidRPr="007271B6">
        <w:rPr>
          <w:rFonts w:ascii="Times New Roman" w:eastAsia="Calibri" w:hAnsi="Times New Roman" w:cs="Times New Roman"/>
          <w:kern w:val="0"/>
          <w:sz w:val="24"/>
          <w:szCs w:val="24"/>
          <w14:ligatures w14:val="none"/>
        </w:rPr>
        <w:t>conclusion</w:t>
      </w:r>
      <w:proofErr w:type="gramEnd"/>
      <w:r w:rsidRPr="007271B6">
        <w:rPr>
          <w:rFonts w:ascii="Times New Roman" w:eastAsia="Calibri" w:hAnsi="Times New Roman" w:cs="Times New Roman"/>
          <w:kern w:val="0"/>
          <w:sz w:val="24"/>
          <w:szCs w:val="24"/>
          <w14:ligatures w14:val="none"/>
        </w:rPr>
        <w:t xml:space="preserve"> and recommendations. </w:t>
      </w:r>
    </w:p>
    <w:p w14:paraId="2A482CBF" w14:textId="77777777" w:rsidR="00D42C75" w:rsidRDefault="00747CA7" w:rsidP="00747CA7">
      <w:pPr>
        <w:spacing w:after="0" w:line="480" w:lineRule="auto"/>
        <w:ind w:firstLine="720"/>
        <w:contextualSpacing/>
        <w:rPr>
          <w:rFonts w:ascii="Times New Roman" w:eastAsia="Calibri" w:hAnsi="Times New Roman" w:cs="Times New Roman"/>
          <w:kern w:val="0"/>
          <w:sz w:val="24"/>
          <w:szCs w:val="24"/>
          <w14:ligatures w14:val="none"/>
        </w:rPr>
      </w:pPr>
      <w:r w:rsidRPr="007271B6">
        <w:rPr>
          <w:rFonts w:ascii="Times New Roman" w:eastAsia="Calibri" w:hAnsi="Times New Roman" w:cs="Times New Roman"/>
          <w:kern w:val="0"/>
          <w:sz w:val="24"/>
          <w:szCs w:val="24"/>
          <w14:ligatures w14:val="none"/>
        </w:rPr>
        <w:t xml:space="preserve">The first part is the introduction, which marks the beginning of the study and provides an overview of the research that focuses on various elements, including corporate governance failure in different organisations, the </w:t>
      </w:r>
      <w:proofErr w:type="gramStart"/>
      <w:r w:rsidRPr="007271B6">
        <w:rPr>
          <w:rFonts w:ascii="Times New Roman" w:eastAsia="Calibri" w:hAnsi="Times New Roman" w:cs="Times New Roman"/>
          <w:kern w:val="0"/>
          <w:sz w:val="24"/>
          <w:szCs w:val="24"/>
          <w14:ligatures w14:val="none"/>
        </w:rPr>
        <w:t>prevalence</w:t>
      </w:r>
      <w:proofErr w:type="gramEnd"/>
      <w:r w:rsidRPr="007271B6">
        <w:rPr>
          <w:rFonts w:ascii="Times New Roman" w:eastAsia="Calibri" w:hAnsi="Times New Roman" w:cs="Times New Roman"/>
          <w:kern w:val="0"/>
          <w:sz w:val="24"/>
          <w:szCs w:val="24"/>
          <w14:ligatures w14:val="none"/>
        </w:rPr>
        <w:t xml:space="preserve"> and contributing factors. The background of the study is provided through an insight into the two companies, FTX and Alameda Research, which form the basis for this research. The introduction also identifies the problem</w:t>
      </w:r>
      <w:r w:rsidR="005F6A60">
        <w:rPr>
          <w:rFonts w:ascii="Times New Roman" w:eastAsia="Calibri" w:hAnsi="Times New Roman" w:cs="Times New Roman"/>
          <w:kern w:val="0"/>
          <w:sz w:val="24"/>
          <w:szCs w:val="24"/>
          <w14:ligatures w14:val="none"/>
        </w:rPr>
        <w:t>s</w:t>
      </w:r>
      <w:r w:rsidRPr="007271B6">
        <w:rPr>
          <w:rFonts w:ascii="Times New Roman" w:eastAsia="Calibri" w:hAnsi="Times New Roman" w:cs="Times New Roman"/>
          <w:kern w:val="0"/>
          <w:sz w:val="24"/>
          <w:szCs w:val="24"/>
          <w14:ligatures w14:val="none"/>
        </w:rPr>
        <w:t xml:space="preserve"> that led to this research and the objectives and research question</w:t>
      </w:r>
      <w:r w:rsidR="005F6A60">
        <w:rPr>
          <w:rFonts w:ascii="Times New Roman" w:eastAsia="Calibri" w:hAnsi="Times New Roman" w:cs="Times New Roman"/>
          <w:kern w:val="0"/>
          <w:sz w:val="24"/>
          <w:szCs w:val="24"/>
          <w14:ligatures w14:val="none"/>
        </w:rPr>
        <w:t>s</w:t>
      </w:r>
      <w:r w:rsidRPr="007271B6">
        <w:rPr>
          <w:rFonts w:ascii="Times New Roman" w:eastAsia="Calibri" w:hAnsi="Times New Roman" w:cs="Times New Roman"/>
          <w:kern w:val="0"/>
          <w:sz w:val="24"/>
          <w:szCs w:val="24"/>
          <w14:ligatures w14:val="none"/>
        </w:rPr>
        <w:t xml:space="preserve"> that set the direction of the study of corporate governance failure, particularly with respect to FTX and Alameda Research. </w:t>
      </w:r>
    </w:p>
    <w:p w14:paraId="6EEE2474" w14:textId="606F5621" w:rsidR="00747CA7" w:rsidRPr="007271B6" w:rsidRDefault="00747CA7" w:rsidP="00747CA7">
      <w:pPr>
        <w:spacing w:after="0" w:line="480" w:lineRule="auto"/>
        <w:ind w:firstLine="720"/>
        <w:contextualSpacing/>
        <w:rPr>
          <w:rFonts w:ascii="Times New Roman" w:eastAsia="Calibri" w:hAnsi="Times New Roman" w:cs="Times New Roman"/>
          <w:kern w:val="0"/>
          <w:sz w:val="24"/>
          <w:szCs w:val="24"/>
          <w14:ligatures w14:val="none"/>
        </w:rPr>
      </w:pPr>
      <w:r w:rsidRPr="007271B6">
        <w:rPr>
          <w:rFonts w:ascii="Times New Roman" w:eastAsia="Calibri" w:hAnsi="Times New Roman" w:cs="Times New Roman"/>
          <w:kern w:val="0"/>
          <w:sz w:val="24"/>
          <w:szCs w:val="24"/>
          <w14:ligatures w14:val="none"/>
        </w:rPr>
        <w:t>The second chapter presents the literature review on the research topic, focusing on the previous information found in various articles on corporate governance failure. The information presented in this chapter comes from credible peer-reviewed literature, including Science Direct, Google Scholar, JSTOR, and Business Source Complete. The previous reports on FTX and Alameda Research also provided important data for this literature review. The chapter is structured into various subtitles that include digital asset development and its interdependence, issues around governance and regulations, and identifying the gaps in the literature about the topic that need to be investigated.</w:t>
      </w:r>
    </w:p>
    <w:p w14:paraId="6CFE8960" w14:textId="77777777" w:rsidR="00D42C75" w:rsidRDefault="00747CA7" w:rsidP="004909ED">
      <w:pPr>
        <w:spacing w:after="0" w:line="480" w:lineRule="auto"/>
        <w:ind w:firstLine="720"/>
        <w:contextualSpacing/>
        <w:rPr>
          <w:rFonts w:ascii="Times New Roman" w:eastAsia="Calibri" w:hAnsi="Times New Roman" w:cs="Times New Roman"/>
          <w:kern w:val="0"/>
          <w:sz w:val="24"/>
          <w:szCs w:val="24"/>
          <w14:ligatures w14:val="none"/>
        </w:rPr>
      </w:pPr>
      <w:r w:rsidRPr="007271B6">
        <w:rPr>
          <w:rFonts w:ascii="Times New Roman" w:eastAsia="Calibri" w:hAnsi="Times New Roman" w:cs="Times New Roman"/>
          <w:kern w:val="0"/>
          <w:sz w:val="24"/>
          <w:szCs w:val="24"/>
          <w14:ligatures w14:val="none"/>
        </w:rPr>
        <w:t xml:space="preserve">The third chapter looks at the research methodology and the approach used in the study to collect and analyse data. This chapter recognises that qualitative case studies were used to explore the governance issues in FTX and Alameda research and how they contributed to failure. Chapter three looks at the collection of primary data through interviews and observations, the collection of secondary data from archival records and external publications and reports, and the validity and reliability of the methods used in data collection. </w:t>
      </w:r>
    </w:p>
    <w:p w14:paraId="3660AAE1" w14:textId="77777777" w:rsidR="00D42C75" w:rsidRDefault="00747CA7" w:rsidP="004909ED">
      <w:pPr>
        <w:spacing w:after="0" w:line="480" w:lineRule="auto"/>
        <w:ind w:firstLine="720"/>
        <w:contextualSpacing/>
        <w:rPr>
          <w:rFonts w:ascii="Times New Roman" w:eastAsia="Calibri" w:hAnsi="Times New Roman" w:cs="Times New Roman"/>
          <w:kern w:val="0"/>
          <w:sz w:val="24"/>
          <w:szCs w:val="24"/>
          <w14:ligatures w14:val="none"/>
        </w:rPr>
      </w:pPr>
      <w:r w:rsidRPr="007271B6">
        <w:rPr>
          <w:rFonts w:ascii="Times New Roman" w:eastAsia="Calibri" w:hAnsi="Times New Roman" w:cs="Times New Roman"/>
          <w:kern w:val="0"/>
          <w:sz w:val="24"/>
          <w:szCs w:val="24"/>
          <w14:ligatures w14:val="none"/>
        </w:rPr>
        <w:t xml:space="preserve">The findings and analysis form the fourth chapter of the study, in which the </w:t>
      </w:r>
      <w:r w:rsidRPr="007271B6">
        <w:rPr>
          <w:rFonts w:ascii="Times New Roman" w:eastAsia="Calibri" w:hAnsi="Times New Roman" w:cs="Times New Roman"/>
          <w:kern w:val="0"/>
          <w:sz w:val="24"/>
          <w:szCs w:val="24"/>
          <w14:ligatures w14:val="none"/>
        </w:rPr>
        <w:lastRenderedPageBreak/>
        <w:t xml:space="preserve">research utilised the data collected to extract codes and construct themes around corporate governance failures to answer the research questions adopted in the first chapter. The themes developed in chapter four include corporate governance issues that affected the two companies and led to failure, governance practices among corporations, the regulation of cryptocurrencies and the dynamic interconnectedness that occurs </w:t>
      </w:r>
      <w:r w:rsidR="005F6A60">
        <w:rPr>
          <w:rFonts w:ascii="Times New Roman" w:eastAsia="Calibri" w:hAnsi="Times New Roman" w:cs="Times New Roman"/>
          <w:kern w:val="0"/>
          <w:sz w:val="24"/>
          <w:szCs w:val="24"/>
          <w14:ligatures w14:val="none"/>
        </w:rPr>
        <w:t xml:space="preserve">between </w:t>
      </w:r>
      <w:r w:rsidRPr="007271B6">
        <w:rPr>
          <w:rFonts w:ascii="Times New Roman" w:eastAsia="Calibri" w:hAnsi="Times New Roman" w:cs="Times New Roman"/>
          <w:kern w:val="0"/>
          <w:sz w:val="24"/>
          <w:szCs w:val="24"/>
          <w14:ligatures w14:val="none"/>
        </w:rPr>
        <w:t>cryptocurrency exchanges</w:t>
      </w:r>
      <w:r w:rsidR="005F6A60">
        <w:rPr>
          <w:rFonts w:ascii="Times New Roman" w:eastAsia="Calibri" w:hAnsi="Times New Roman" w:cs="Times New Roman"/>
          <w:kern w:val="0"/>
          <w:sz w:val="24"/>
          <w:szCs w:val="24"/>
          <w14:ligatures w14:val="none"/>
        </w:rPr>
        <w:t xml:space="preserve"> and related parties</w:t>
      </w:r>
      <w:r w:rsidRPr="007271B6">
        <w:rPr>
          <w:rFonts w:ascii="Times New Roman" w:eastAsia="Calibri" w:hAnsi="Times New Roman" w:cs="Times New Roman"/>
          <w:kern w:val="0"/>
          <w:sz w:val="24"/>
          <w:szCs w:val="24"/>
          <w14:ligatures w14:val="none"/>
        </w:rPr>
        <w:t xml:space="preserve">. </w:t>
      </w:r>
    </w:p>
    <w:p w14:paraId="25CD20FF" w14:textId="7BE90B3A" w:rsidR="005C74BB" w:rsidRPr="007271B6" w:rsidRDefault="00747CA7" w:rsidP="004909ED">
      <w:pPr>
        <w:spacing w:after="0" w:line="480" w:lineRule="auto"/>
        <w:ind w:firstLine="720"/>
        <w:contextualSpacing/>
        <w:rPr>
          <w:rFonts w:ascii="Times New Roman" w:eastAsia="Calibri" w:hAnsi="Times New Roman" w:cs="Times New Roman"/>
          <w:kern w:val="0"/>
          <w:sz w:val="24"/>
          <w:szCs w:val="24"/>
          <w14:ligatures w14:val="none"/>
        </w:rPr>
      </w:pPr>
      <w:r w:rsidRPr="007271B6">
        <w:rPr>
          <w:rFonts w:ascii="Times New Roman" w:eastAsia="Calibri" w:hAnsi="Times New Roman" w:cs="Times New Roman"/>
          <w:kern w:val="0"/>
          <w:sz w:val="24"/>
          <w:szCs w:val="24"/>
          <w14:ligatures w14:val="none"/>
        </w:rPr>
        <w:t xml:space="preserve">In the concluding fifth chapter, </w:t>
      </w:r>
      <w:r w:rsidR="005F6A60">
        <w:rPr>
          <w:rFonts w:ascii="Times New Roman" w:eastAsia="Calibri" w:hAnsi="Times New Roman" w:cs="Times New Roman"/>
          <w:kern w:val="0"/>
          <w:sz w:val="24"/>
          <w:szCs w:val="24"/>
          <w14:ligatures w14:val="none"/>
        </w:rPr>
        <w:t>it</w:t>
      </w:r>
      <w:r w:rsidRPr="007271B6">
        <w:rPr>
          <w:rFonts w:ascii="Times New Roman" w:eastAsia="Calibri" w:hAnsi="Times New Roman" w:cs="Times New Roman"/>
          <w:kern w:val="0"/>
          <w:sz w:val="24"/>
          <w:szCs w:val="24"/>
          <w14:ligatures w14:val="none"/>
        </w:rPr>
        <w:t xml:space="preserve"> discusses the link between the literature review and the findings from the previous chapter </w:t>
      </w:r>
      <w:r w:rsidR="005F6A60" w:rsidRPr="007271B6">
        <w:rPr>
          <w:rFonts w:ascii="Times New Roman" w:eastAsia="Calibri" w:hAnsi="Times New Roman" w:cs="Times New Roman"/>
          <w:kern w:val="0"/>
          <w:sz w:val="24"/>
          <w:szCs w:val="24"/>
          <w14:ligatures w14:val="none"/>
        </w:rPr>
        <w:t>to</w:t>
      </w:r>
      <w:r w:rsidRPr="007271B6">
        <w:rPr>
          <w:rFonts w:ascii="Times New Roman" w:eastAsia="Calibri" w:hAnsi="Times New Roman" w:cs="Times New Roman"/>
          <w:kern w:val="0"/>
          <w:sz w:val="24"/>
          <w:szCs w:val="24"/>
          <w14:ligatures w14:val="none"/>
        </w:rPr>
        <w:t xml:space="preserve"> answer the research question. In this chapter, the hypotheses developed are confirmed or refuted to support the conclusion of the study. This chapter includes answering the research questions about the governance practices at FTX and Alameda research that led to the bankruptcy, the underlying issues that caused the governance failure, and formulating some recommendations based on what happened at the two companies and the need for improvement. The recommendations include future steps and actions that should be taken to improve the management and control of companies to reduce the risk of governance failure and subsequent collapse.</w:t>
      </w:r>
      <w:r w:rsidR="005C74BB" w:rsidRPr="007271B6">
        <w:rPr>
          <w:rFonts w:ascii="Times New Roman" w:eastAsia="Calibri" w:hAnsi="Times New Roman" w:cs="Times New Roman"/>
          <w:kern w:val="0"/>
          <w:sz w:val="24"/>
          <w:szCs w:val="24"/>
          <w14:ligatures w14:val="none"/>
        </w:rPr>
        <w:t xml:space="preserve"> </w:t>
      </w:r>
    </w:p>
    <w:p w14:paraId="3A7A088B" w14:textId="77777777" w:rsidR="008B2FC1" w:rsidRPr="007271B6" w:rsidRDefault="008B2FC1">
      <w:pPr>
        <w:rPr>
          <w:rFonts w:ascii="Times New Roman" w:hAnsi="Times New Roman" w:cs="Times New Roman"/>
          <w:b/>
          <w:kern w:val="0"/>
          <w:sz w:val="24"/>
          <w:szCs w:val="24"/>
          <w14:ligatures w14:val="none"/>
        </w:rPr>
      </w:pPr>
      <w:r w:rsidRPr="007271B6">
        <w:rPr>
          <w:rFonts w:ascii="Times New Roman" w:hAnsi="Times New Roman" w:cs="Times New Roman"/>
          <w:b/>
          <w:kern w:val="0"/>
          <w:sz w:val="24"/>
          <w:szCs w:val="24"/>
          <w14:ligatures w14:val="none"/>
        </w:rPr>
        <w:br w:type="page"/>
      </w:r>
    </w:p>
    <w:p w14:paraId="44E5DDB0" w14:textId="2AA942F2" w:rsidR="00F808B3" w:rsidRPr="007271B6" w:rsidRDefault="00F808B3" w:rsidP="008B2FC1">
      <w:pPr>
        <w:pStyle w:val="Heading1"/>
        <w:rPr>
          <w:lang w:val="en-GB"/>
        </w:rPr>
      </w:pPr>
      <w:bookmarkStart w:id="10" w:name="_Toc165583375"/>
      <w:r w:rsidRPr="007271B6">
        <w:rPr>
          <w:lang w:val="en-GB"/>
        </w:rPr>
        <w:lastRenderedPageBreak/>
        <w:t>Literature Review</w:t>
      </w:r>
      <w:bookmarkEnd w:id="10"/>
    </w:p>
    <w:p w14:paraId="41768733" w14:textId="240B71C2" w:rsidR="00F808B3" w:rsidRPr="007271B6" w:rsidRDefault="006045BD" w:rsidP="00F808B3">
      <w:pPr>
        <w:tabs>
          <w:tab w:val="left" w:pos="6310"/>
        </w:tabs>
        <w:spacing w:after="0" w:line="480" w:lineRule="auto"/>
        <w:ind w:firstLine="720"/>
        <w:jc w:val="both"/>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SBF</w:t>
      </w:r>
      <w:r w:rsidR="003F546F" w:rsidRPr="007271B6">
        <w:rPr>
          <w:rFonts w:ascii="Times New Roman" w:hAnsi="Times New Roman" w:cs="Times New Roman"/>
          <w:kern w:val="0"/>
          <w:sz w:val="24"/>
          <w:szCs w:val="24"/>
          <w14:ligatures w14:val="none"/>
        </w:rPr>
        <w:t xml:space="preserve"> </w:t>
      </w:r>
      <w:r w:rsidRPr="007271B6">
        <w:rPr>
          <w:rFonts w:ascii="Times New Roman" w:hAnsi="Times New Roman" w:cs="Times New Roman"/>
          <w:kern w:val="0"/>
          <w:sz w:val="24"/>
          <w:szCs w:val="24"/>
          <w14:ligatures w14:val="none"/>
        </w:rPr>
        <w:t>was a co-founder of Alameda Research and co-founder and CEO of FTX until its collapse in November 2022. SBF was significantly involved in the two entities on a day-to-day operational basis along with other key individuals such as Caroline Ellison (Co-CEO of Alameda Research), Gary Wang (CTO of FTX), Nishad Singh (FTX Engineering Director) and Sam Trabucco (Co-CEO of Alameda Research)</w:t>
      </w:r>
      <w:r w:rsidR="005F6A60">
        <w:rPr>
          <w:rFonts w:ascii="Times New Roman" w:hAnsi="Times New Roman" w:cs="Times New Roman"/>
          <w:kern w:val="0"/>
          <w:sz w:val="24"/>
          <w:szCs w:val="24"/>
          <w14:ligatures w14:val="none"/>
        </w:rPr>
        <w:t>. All these individuals</w:t>
      </w:r>
      <w:r w:rsidRPr="007271B6">
        <w:rPr>
          <w:rFonts w:ascii="Times New Roman" w:hAnsi="Times New Roman" w:cs="Times New Roman"/>
          <w:kern w:val="0"/>
          <w:sz w:val="24"/>
          <w:szCs w:val="24"/>
          <w14:ligatures w14:val="none"/>
        </w:rPr>
        <w:t xml:space="preserve"> were instrumental in the day-to-day operations of the two companies. The backgrounds of the executives of these two companies indicate that many of them did not have the necessary experience, </w:t>
      </w:r>
      <w:proofErr w:type="gramStart"/>
      <w:r w:rsidRPr="007271B6">
        <w:rPr>
          <w:rFonts w:ascii="Times New Roman" w:hAnsi="Times New Roman" w:cs="Times New Roman"/>
          <w:kern w:val="0"/>
          <w:sz w:val="24"/>
          <w:szCs w:val="24"/>
          <w14:ligatures w14:val="none"/>
        </w:rPr>
        <w:t>qualifications</w:t>
      </w:r>
      <w:proofErr w:type="gramEnd"/>
      <w:r w:rsidRPr="007271B6">
        <w:rPr>
          <w:rFonts w:ascii="Times New Roman" w:hAnsi="Times New Roman" w:cs="Times New Roman"/>
          <w:kern w:val="0"/>
          <w:sz w:val="24"/>
          <w:szCs w:val="24"/>
          <w14:ligatures w14:val="none"/>
        </w:rPr>
        <w:t xml:space="preserve"> or professional fortitude for their respective positions to effectively represent the interests of stakeholders. Trautman (2022) cites a statement by the current </w:t>
      </w:r>
      <w:r w:rsidR="005F6A60">
        <w:rPr>
          <w:rFonts w:ascii="Times New Roman" w:hAnsi="Times New Roman" w:cs="Times New Roman"/>
          <w:kern w:val="0"/>
          <w:sz w:val="24"/>
          <w:szCs w:val="24"/>
          <w14:ligatures w14:val="none"/>
        </w:rPr>
        <w:t xml:space="preserve">interim </w:t>
      </w:r>
      <w:r w:rsidRPr="007271B6">
        <w:rPr>
          <w:rFonts w:ascii="Times New Roman" w:hAnsi="Times New Roman" w:cs="Times New Roman"/>
          <w:kern w:val="0"/>
          <w:sz w:val="24"/>
          <w:szCs w:val="24"/>
          <w14:ligatures w14:val="none"/>
        </w:rPr>
        <w:t xml:space="preserve">CEO of FTX, John J. Ray, in which he links the collapse of the company to the "absolute concentration of control in the hands of a very small group of grossly inexperienced and unsophisticated individuals who failed to implement virtually any of the necessary systems or controls". Numerous researchers have concluded that these failings ultimately led to the closure and bankruptcy of these two institutions. Accordingly, many studies have examined the deficiencies in the governance processes, structures, policies, </w:t>
      </w:r>
      <w:proofErr w:type="gramStart"/>
      <w:r w:rsidRPr="007271B6">
        <w:rPr>
          <w:rFonts w:ascii="Times New Roman" w:hAnsi="Times New Roman" w:cs="Times New Roman"/>
          <w:kern w:val="0"/>
          <w:sz w:val="24"/>
          <w:szCs w:val="24"/>
          <w14:ligatures w14:val="none"/>
        </w:rPr>
        <w:t>practices</w:t>
      </w:r>
      <w:proofErr w:type="gramEnd"/>
      <w:r w:rsidRPr="007271B6">
        <w:rPr>
          <w:rFonts w:ascii="Times New Roman" w:hAnsi="Times New Roman" w:cs="Times New Roman"/>
          <w:kern w:val="0"/>
          <w:sz w:val="24"/>
          <w:szCs w:val="24"/>
          <w14:ligatures w14:val="none"/>
        </w:rPr>
        <w:t xml:space="preserve"> and procedures of Alameda Research and FTX, and the resulting conclusions have significant implications for how firms should conduct business in traditional and emerging markets. This helps policy makers and operators by providing a valuable example of the importance of proper corporate governance and compliance with regulations and legislation. This in turn ensures the long-term sustainability of organisations and protects stakeholders from the threat of incompetent or malicious directorship.</w:t>
      </w:r>
    </w:p>
    <w:p w14:paraId="7B2D7655" w14:textId="77777777" w:rsidR="00F808B3" w:rsidRPr="007271B6" w:rsidRDefault="00F808B3" w:rsidP="00F808B3">
      <w:pPr>
        <w:tabs>
          <w:tab w:val="left" w:pos="6310"/>
        </w:tabs>
        <w:spacing w:after="0" w:line="480" w:lineRule="auto"/>
        <w:ind w:firstLine="720"/>
        <w:jc w:val="both"/>
        <w:rPr>
          <w:rFonts w:ascii="Times New Roman" w:hAnsi="Times New Roman" w:cs="Times New Roman"/>
          <w:kern w:val="0"/>
          <w:sz w:val="24"/>
          <w:szCs w:val="24"/>
          <w14:ligatures w14:val="none"/>
        </w:rPr>
      </w:pPr>
    </w:p>
    <w:p w14:paraId="1A218DAC" w14:textId="77777777" w:rsidR="00F808B3" w:rsidRPr="007271B6" w:rsidRDefault="00F808B3" w:rsidP="00F808B3">
      <w:pPr>
        <w:tabs>
          <w:tab w:val="left" w:pos="6310"/>
        </w:tabs>
        <w:spacing w:after="0" w:line="480" w:lineRule="auto"/>
        <w:ind w:firstLine="720"/>
        <w:jc w:val="both"/>
        <w:rPr>
          <w:rFonts w:ascii="Times New Roman" w:hAnsi="Times New Roman" w:cs="Times New Roman"/>
          <w:kern w:val="0"/>
          <w:sz w:val="24"/>
          <w:szCs w:val="24"/>
          <w14:ligatures w14:val="none"/>
        </w:rPr>
      </w:pPr>
    </w:p>
    <w:p w14:paraId="1444BD74" w14:textId="77777777" w:rsidR="00F808B3" w:rsidRPr="007271B6" w:rsidRDefault="00F808B3" w:rsidP="00F808B3">
      <w:pPr>
        <w:tabs>
          <w:tab w:val="left" w:pos="6310"/>
        </w:tabs>
        <w:spacing w:after="0" w:line="480" w:lineRule="auto"/>
        <w:ind w:firstLine="720"/>
        <w:jc w:val="both"/>
        <w:rPr>
          <w:rFonts w:ascii="Times New Roman" w:hAnsi="Times New Roman" w:cs="Times New Roman"/>
          <w:kern w:val="0"/>
          <w:sz w:val="24"/>
          <w:szCs w:val="24"/>
          <w14:ligatures w14:val="none"/>
        </w:rPr>
      </w:pPr>
    </w:p>
    <w:p w14:paraId="5440DD19" w14:textId="77777777" w:rsidR="002770D2" w:rsidRPr="007271B6" w:rsidRDefault="002770D2" w:rsidP="00F808B3">
      <w:pPr>
        <w:tabs>
          <w:tab w:val="left" w:pos="6310"/>
        </w:tabs>
        <w:spacing w:after="0" w:line="480" w:lineRule="auto"/>
        <w:ind w:firstLine="720"/>
        <w:jc w:val="both"/>
        <w:rPr>
          <w:rFonts w:ascii="Times New Roman" w:hAnsi="Times New Roman" w:cs="Times New Roman"/>
          <w:kern w:val="0"/>
          <w:sz w:val="24"/>
          <w:szCs w:val="24"/>
          <w14:ligatures w14:val="none"/>
        </w:rPr>
      </w:pPr>
    </w:p>
    <w:p w14:paraId="19F096B8" w14:textId="576EF0FB" w:rsidR="00F808B3" w:rsidRPr="007271B6" w:rsidRDefault="00F808B3" w:rsidP="002770D2">
      <w:pPr>
        <w:pStyle w:val="Heading2"/>
      </w:pPr>
      <w:bookmarkStart w:id="11" w:name="_Toc165583376"/>
      <w:r w:rsidRPr="007271B6">
        <w:lastRenderedPageBreak/>
        <w:t>Sourcing of Pertinent Literature</w:t>
      </w:r>
      <w:bookmarkEnd w:id="11"/>
    </w:p>
    <w:p w14:paraId="5A212B31" w14:textId="1C973F57" w:rsidR="00F808B3" w:rsidRPr="007271B6" w:rsidRDefault="006045BD" w:rsidP="008B2FC1">
      <w:pPr>
        <w:tabs>
          <w:tab w:val="left" w:pos="6310"/>
        </w:tabs>
        <w:spacing w:after="0" w:line="480" w:lineRule="auto"/>
        <w:ind w:firstLine="720"/>
        <w:jc w:val="both"/>
        <w:rPr>
          <w:rFonts w:ascii="Times New Roman" w:hAnsi="Times New Roman" w:cs="Times New Roman"/>
          <w:kern w:val="0"/>
          <w:sz w:val="24"/>
          <w:szCs w:val="24"/>
          <w14:ligatures w14:val="none"/>
        </w:rPr>
      </w:pPr>
      <w:bookmarkStart w:id="12" w:name="_Toc146379758"/>
      <w:r w:rsidRPr="007271B6">
        <w:rPr>
          <w:rFonts w:ascii="Times New Roman" w:hAnsi="Times New Roman" w:cs="Times New Roman"/>
          <w:kern w:val="0"/>
          <w:sz w:val="24"/>
          <w:szCs w:val="24"/>
          <w14:ligatures w14:val="none"/>
        </w:rPr>
        <w:t>In line with the focus of the review, credible peer-reviewed literature was sourced from databases such as JSTOR, Research Gate, Google Scholar, ABI/INFORM, Business Source Complete, Science Direct and the Social Science Research Network (SSRN), as well as bankruptcy court documents. For this review, recent research papers were selected that address the question of how the behaviour of FTX and Alameda Research led to their collapse and bankruptcy. Accordingly, only recent peer-reviewed journals examining this aspect of corporate governance were selected. Conversely, articles that generally addressed the topic outside the context of the digital asset industry were excluded from the review. Keywords used in the search for relevant literature included: Alameda Research, FTX, S</w:t>
      </w:r>
      <w:r w:rsidR="003F546F" w:rsidRPr="007271B6">
        <w:rPr>
          <w:rFonts w:ascii="Times New Roman" w:hAnsi="Times New Roman" w:cs="Times New Roman"/>
          <w:kern w:val="0"/>
          <w:sz w:val="24"/>
          <w:szCs w:val="24"/>
          <w14:ligatures w14:val="none"/>
        </w:rPr>
        <w:t>BF</w:t>
      </w:r>
      <w:r w:rsidRPr="007271B6">
        <w:rPr>
          <w:rFonts w:ascii="Times New Roman" w:hAnsi="Times New Roman" w:cs="Times New Roman"/>
          <w:kern w:val="0"/>
          <w:sz w:val="24"/>
          <w:szCs w:val="24"/>
          <w14:ligatures w14:val="none"/>
        </w:rPr>
        <w:t xml:space="preserve">, Binance, Coin Desk, Fraud, </w:t>
      </w:r>
      <w:proofErr w:type="gramStart"/>
      <w:r w:rsidRPr="007271B6">
        <w:rPr>
          <w:rFonts w:ascii="Times New Roman" w:hAnsi="Times New Roman" w:cs="Times New Roman"/>
          <w:kern w:val="0"/>
          <w:sz w:val="24"/>
          <w:szCs w:val="24"/>
          <w14:ligatures w14:val="none"/>
        </w:rPr>
        <w:t>Bankruptcy</w:t>
      </w:r>
      <w:proofErr w:type="gramEnd"/>
      <w:r w:rsidRPr="007271B6">
        <w:rPr>
          <w:rFonts w:ascii="Times New Roman" w:hAnsi="Times New Roman" w:cs="Times New Roman"/>
          <w:kern w:val="0"/>
          <w:sz w:val="24"/>
          <w:szCs w:val="24"/>
          <w14:ligatures w14:val="none"/>
        </w:rPr>
        <w:t xml:space="preserve"> and corporate governance. The search helped identify the mistakes made by </w:t>
      </w:r>
      <w:r w:rsidR="00722F58">
        <w:rPr>
          <w:rFonts w:ascii="Times New Roman" w:hAnsi="Times New Roman" w:cs="Times New Roman"/>
          <w:kern w:val="0"/>
          <w:sz w:val="24"/>
          <w:szCs w:val="24"/>
          <w14:ligatures w14:val="none"/>
        </w:rPr>
        <w:t xml:space="preserve">the </w:t>
      </w:r>
      <w:r w:rsidRPr="007271B6">
        <w:rPr>
          <w:rFonts w:ascii="Times New Roman" w:hAnsi="Times New Roman" w:cs="Times New Roman"/>
          <w:kern w:val="0"/>
          <w:sz w:val="24"/>
          <w:szCs w:val="24"/>
          <w14:ligatures w14:val="none"/>
        </w:rPr>
        <w:t>sister companies, offering a valuable insight into the steps that can be taken to mitigate future risks.</w:t>
      </w:r>
    </w:p>
    <w:p w14:paraId="491777E5" w14:textId="6F63B89A" w:rsidR="00F808B3" w:rsidRPr="007271B6" w:rsidRDefault="00F808B3" w:rsidP="008B2FC1">
      <w:pPr>
        <w:pStyle w:val="Heading2"/>
      </w:pPr>
      <w:bookmarkStart w:id="13" w:name="_Toc165583377"/>
      <w:r w:rsidRPr="007271B6">
        <w:t>Synthesis of Literature</w:t>
      </w:r>
      <w:bookmarkEnd w:id="13"/>
    </w:p>
    <w:p w14:paraId="245F56D2" w14:textId="77777777" w:rsidR="00F808B3" w:rsidRPr="007271B6" w:rsidRDefault="00F808B3" w:rsidP="008B2FC1">
      <w:pPr>
        <w:pStyle w:val="Heading3"/>
      </w:pPr>
      <w:bookmarkStart w:id="14" w:name="_Toc165583378"/>
      <w:r w:rsidRPr="007271B6">
        <w:t>Introduction to the Development of the Digital Asset Industry</w:t>
      </w:r>
      <w:bookmarkEnd w:id="14"/>
    </w:p>
    <w:bookmarkEnd w:id="12"/>
    <w:p w14:paraId="0448CA6A" w14:textId="4AC1F321" w:rsidR="00AE0709" w:rsidRPr="007271B6" w:rsidRDefault="00AE0709" w:rsidP="00AE0709">
      <w:pPr>
        <w:spacing w:after="0" w:line="480" w:lineRule="auto"/>
        <w:ind w:firstLine="720"/>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 xml:space="preserve">The development of digital assets threatens conventional financial systems and paradigms. Alekseenko (2023), Kokorin (2023), Pilkington (2021) and </w:t>
      </w:r>
      <w:proofErr w:type="spellStart"/>
      <w:r w:rsidRPr="007271B6">
        <w:rPr>
          <w:rFonts w:ascii="Times New Roman" w:hAnsi="Times New Roman" w:cs="Times New Roman"/>
          <w:kern w:val="0"/>
          <w:sz w:val="24"/>
          <w:szCs w:val="24"/>
          <w14:ligatures w14:val="none"/>
        </w:rPr>
        <w:t>Zetzsche</w:t>
      </w:r>
      <w:proofErr w:type="spellEnd"/>
      <w:r w:rsidRPr="007271B6">
        <w:rPr>
          <w:rFonts w:ascii="Times New Roman" w:hAnsi="Times New Roman" w:cs="Times New Roman"/>
          <w:kern w:val="0"/>
          <w:sz w:val="24"/>
          <w:szCs w:val="24"/>
          <w14:ligatures w14:val="none"/>
        </w:rPr>
        <w:t xml:space="preserve"> et al. (2023) concluded that the dynamic ecosystem of digital currencies, exchanges, decentralised financial </w:t>
      </w:r>
      <w:proofErr w:type="gramStart"/>
      <w:r w:rsidRPr="007271B6">
        <w:rPr>
          <w:rFonts w:ascii="Times New Roman" w:hAnsi="Times New Roman" w:cs="Times New Roman"/>
          <w:kern w:val="0"/>
          <w:sz w:val="24"/>
          <w:szCs w:val="24"/>
          <w14:ligatures w14:val="none"/>
        </w:rPr>
        <w:t>applications</w:t>
      </w:r>
      <w:proofErr w:type="gramEnd"/>
      <w:r w:rsidRPr="007271B6">
        <w:rPr>
          <w:rFonts w:ascii="Times New Roman" w:hAnsi="Times New Roman" w:cs="Times New Roman"/>
          <w:kern w:val="0"/>
          <w:sz w:val="24"/>
          <w:szCs w:val="24"/>
          <w14:ligatures w14:val="none"/>
        </w:rPr>
        <w:t xml:space="preserve"> and financial institutions created by technological progress has created significant opportunities for investment, innovation and the exchange of value. Widespread internet usage and </w:t>
      </w:r>
      <w:r w:rsidR="008B107C">
        <w:rPr>
          <w:rFonts w:ascii="Times New Roman" w:hAnsi="Times New Roman" w:cs="Times New Roman"/>
          <w:kern w:val="0"/>
          <w:sz w:val="24"/>
          <w:szCs w:val="24"/>
          <w14:ligatures w14:val="none"/>
        </w:rPr>
        <w:t xml:space="preserve">the creation of </w:t>
      </w:r>
      <w:r w:rsidRPr="007271B6">
        <w:rPr>
          <w:rFonts w:ascii="Times New Roman" w:hAnsi="Times New Roman" w:cs="Times New Roman"/>
          <w:kern w:val="0"/>
          <w:sz w:val="24"/>
          <w:szCs w:val="24"/>
          <w14:ligatures w14:val="none"/>
        </w:rPr>
        <w:t>Distributed Ledger Technology (DLT) ha</w:t>
      </w:r>
      <w:r w:rsidR="008B107C">
        <w:rPr>
          <w:rFonts w:ascii="Times New Roman" w:hAnsi="Times New Roman" w:cs="Times New Roman"/>
          <w:kern w:val="0"/>
          <w:sz w:val="24"/>
          <w:szCs w:val="24"/>
          <w14:ligatures w14:val="none"/>
        </w:rPr>
        <w:t>s</w:t>
      </w:r>
      <w:r w:rsidRPr="007271B6">
        <w:rPr>
          <w:rFonts w:ascii="Times New Roman" w:hAnsi="Times New Roman" w:cs="Times New Roman"/>
          <w:kern w:val="0"/>
          <w:sz w:val="24"/>
          <w:szCs w:val="24"/>
          <w14:ligatures w14:val="none"/>
        </w:rPr>
        <w:t xml:space="preserve"> led to increased adoption of digital assets, resulting in greater financial inclusion, decentralisation, lower remittance costs and innovation. In addition, digital assets offer a cheaper and more accessible way for startups to raise capital from investors. However, they have also led to various difficulties, particularly in corporate governance (Alekseenko (2023; </w:t>
      </w:r>
      <w:proofErr w:type="spellStart"/>
      <w:r w:rsidRPr="007271B6">
        <w:rPr>
          <w:rFonts w:ascii="Times New Roman" w:hAnsi="Times New Roman" w:cs="Times New Roman"/>
          <w:kern w:val="0"/>
          <w:sz w:val="24"/>
          <w:szCs w:val="24"/>
          <w14:ligatures w14:val="none"/>
        </w:rPr>
        <w:t>Zetzsche</w:t>
      </w:r>
      <w:proofErr w:type="spellEnd"/>
      <w:r w:rsidRPr="007271B6">
        <w:rPr>
          <w:rFonts w:ascii="Times New Roman" w:hAnsi="Times New Roman" w:cs="Times New Roman"/>
          <w:kern w:val="0"/>
          <w:sz w:val="24"/>
          <w:szCs w:val="24"/>
          <w14:ligatures w14:val="none"/>
        </w:rPr>
        <w:t xml:space="preserve"> et al. (2023). For example, investors are exposed to high volatility, fraudulent practices, regulatory challenges, </w:t>
      </w:r>
      <w:r w:rsidRPr="007271B6">
        <w:rPr>
          <w:rFonts w:ascii="Times New Roman" w:hAnsi="Times New Roman" w:cs="Times New Roman"/>
          <w:kern w:val="0"/>
          <w:sz w:val="24"/>
          <w:szCs w:val="24"/>
          <w14:ligatures w14:val="none"/>
        </w:rPr>
        <w:lastRenderedPageBreak/>
        <w:t>speculation and tax challenges. Macey (2023) adds that fraud is likely to occur due to it being primarily an internet-based industry. Vidal-Tomas et al. (2023) share</w:t>
      </w:r>
      <w:r w:rsidR="008B107C">
        <w:rPr>
          <w:rFonts w:ascii="Times New Roman" w:hAnsi="Times New Roman" w:cs="Times New Roman"/>
          <w:kern w:val="0"/>
          <w:sz w:val="24"/>
          <w:szCs w:val="24"/>
          <w14:ligatures w14:val="none"/>
        </w:rPr>
        <w:t>s</w:t>
      </w:r>
      <w:r w:rsidRPr="007271B6">
        <w:rPr>
          <w:rFonts w:ascii="Times New Roman" w:hAnsi="Times New Roman" w:cs="Times New Roman"/>
          <w:kern w:val="0"/>
          <w:sz w:val="24"/>
          <w:szCs w:val="24"/>
          <w14:ligatures w14:val="none"/>
        </w:rPr>
        <w:t xml:space="preserve"> similar views in their study and emphasise the fragility of the digital asset market. In their assessment, consumer interest is primarily driven by the desire to speculate or experiment with new decentralised financial models. However, the opaque economics of the market and poor governance contradict the transparency, </w:t>
      </w:r>
      <w:proofErr w:type="gramStart"/>
      <w:r w:rsidRPr="007271B6">
        <w:rPr>
          <w:rFonts w:ascii="Times New Roman" w:hAnsi="Times New Roman" w:cs="Times New Roman"/>
          <w:kern w:val="0"/>
          <w:sz w:val="24"/>
          <w:szCs w:val="24"/>
          <w14:ligatures w14:val="none"/>
        </w:rPr>
        <w:t>independence</w:t>
      </w:r>
      <w:proofErr w:type="gramEnd"/>
      <w:r w:rsidRPr="007271B6">
        <w:rPr>
          <w:rFonts w:ascii="Times New Roman" w:hAnsi="Times New Roman" w:cs="Times New Roman"/>
          <w:kern w:val="0"/>
          <w:sz w:val="24"/>
          <w:szCs w:val="24"/>
          <w14:ligatures w14:val="none"/>
        </w:rPr>
        <w:t xml:space="preserve"> and accountability that many thought characterised the market. Conlon et al. (2023) note that while digital currencies have proven their value as an asset class, they are still an industry fraught with significant risks. </w:t>
      </w:r>
      <w:proofErr w:type="spellStart"/>
      <w:r w:rsidRPr="007271B6">
        <w:rPr>
          <w:rFonts w:ascii="Times New Roman" w:hAnsi="Times New Roman" w:cs="Times New Roman"/>
          <w:kern w:val="0"/>
          <w:sz w:val="24"/>
          <w:szCs w:val="24"/>
          <w14:ligatures w14:val="none"/>
        </w:rPr>
        <w:t>Sensoy</w:t>
      </w:r>
      <w:proofErr w:type="spellEnd"/>
      <w:r w:rsidRPr="007271B6">
        <w:rPr>
          <w:rFonts w:ascii="Times New Roman" w:hAnsi="Times New Roman" w:cs="Times New Roman"/>
          <w:kern w:val="0"/>
          <w:sz w:val="24"/>
          <w:szCs w:val="24"/>
          <w14:ligatures w14:val="none"/>
        </w:rPr>
        <w:t xml:space="preserve"> et al. (2021) added that the cryptocurrency market is plagued by volatility and offers investors opportunities but also exposes them to malicious financial risks.</w:t>
      </w:r>
    </w:p>
    <w:p w14:paraId="2931995A" w14:textId="45D890A7" w:rsidR="00F808B3" w:rsidRPr="007271B6" w:rsidRDefault="00AE0709" w:rsidP="00AE0709">
      <w:pPr>
        <w:spacing w:after="0" w:line="480" w:lineRule="auto"/>
        <w:ind w:firstLine="720"/>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 xml:space="preserve"> Furthermore, in her September 2022 letter to the Secretary of the Treasury, Senator Elizabeth Warren warns against the uncontrolled growth of digital assets and points out their vulnerability to fraudulent practices such as market manipulation (Trautman 2022). It proposes far-reaching measures to protect investors and the economy </w:t>
      </w:r>
      <w:r w:rsidR="008B107C" w:rsidRPr="007271B6">
        <w:rPr>
          <w:rFonts w:ascii="Times New Roman" w:hAnsi="Times New Roman" w:cs="Times New Roman"/>
          <w:kern w:val="0"/>
          <w:sz w:val="24"/>
          <w:szCs w:val="24"/>
          <w14:ligatures w14:val="none"/>
        </w:rPr>
        <w:t>from</w:t>
      </w:r>
      <w:r w:rsidRPr="007271B6">
        <w:rPr>
          <w:rFonts w:ascii="Times New Roman" w:hAnsi="Times New Roman" w:cs="Times New Roman"/>
          <w:kern w:val="0"/>
          <w:sz w:val="24"/>
          <w:szCs w:val="24"/>
          <w14:ligatures w14:val="none"/>
        </w:rPr>
        <w:t xml:space="preserve"> significant financial disruption. For example, the cryptocurrency Tether has often been used to support prices and manipulate cryptocurrency prices. When the coin received a large volume of transactions, the prices of other cryptocurrencies such as Bitcoin also rose (</w:t>
      </w:r>
      <w:proofErr w:type="spellStart"/>
      <w:r w:rsidRPr="007271B6">
        <w:rPr>
          <w:rFonts w:ascii="Times New Roman" w:hAnsi="Times New Roman" w:cs="Times New Roman"/>
          <w:kern w:val="0"/>
          <w:sz w:val="24"/>
          <w:szCs w:val="24"/>
          <w14:ligatures w14:val="none"/>
        </w:rPr>
        <w:t>Sensoy</w:t>
      </w:r>
      <w:proofErr w:type="spellEnd"/>
      <w:r w:rsidRPr="007271B6">
        <w:rPr>
          <w:rFonts w:ascii="Times New Roman" w:hAnsi="Times New Roman" w:cs="Times New Roman"/>
          <w:kern w:val="0"/>
          <w:sz w:val="24"/>
          <w:szCs w:val="24"/>
          <w14:ligatures w14:val="none"/>
        </w:rPr>
        <w:t xml:space="preserve"> et al. 2021). This could be an explanation for the bankruptcy of other digital asset exchange platforms before FTX. Thus, one could argue that even crypto lending platforms with slightly better governance went bankrupt during this period. </w:t>
      </w:r>
      <w:proofErr w:type="spellStart"/>
      <w:r w:rsidRPr="007271B6">
        <w:rPr>
          <w:rFonts w:ascii="Times New Roman" w:hAnsi="Times New Roman" w:cs="Times New Roman"/>
          <w:kern w:val="0"/>
          <w:sz w:val="24"/>
          <w:szCs w:val="24"/>
          <w14:ligatures w14:val="none"/>
        </w:rPr>
        <w:t>Marchesan</w:t>
      </w:r>
      <w:proofErr w:type="spellEnd"/>
      <w:r w:rsidRPr="007271B6">
        <w:rPr>
          <w:rFonts w:ascii="Times New Roman" w:hAnsi="Times New Roman" w:cs="Times New Roman"/>
          <w:kern w:val="0"/>
          <w:sz w:val="24"/>
          <w:szCs w:val="24"/>
          <w14:ligatures w14:val="none"/>
        </w:rPr>
        <w:t xml:space="preserve"> (2023) holds similar views in his thesis. He points out that fierce competition and deliberate sabotage by other cryptocurrency exchanges such as Binance and Coinbase may have led to the collapse of FTX. This has led many economists to question how interconnected the digital asset market has become.</w:t>
      </w:r>
    </w:p>
    <w:p w14:paraId="190C4F32" w14:textId="77777777" w:rsidR="002770D2" w:rsidRPr="007271B6" w:rsidRDefault="002770D2" w:rsidP="00AE0709">
      <w:pPr>
        <w:spacing w:after="0" w:line="480" w:lineRule="auto"/>
        <w:ind w:firstLine="720"/>
        <w:rPr>
          <w:rFonts w:ascii="Times New Roman" w:hAnsi="Times New Roman" w:cs="Times New Roman"/>
          <w:kern w:val="0"/>
          <w:sz w:val="24"/>
          <w:szCs w:val="24"/>
          <w14:ligatures w14:val="none"/>
        </w:rPr>
      </w:pPr>
    </w:p>
    <w:p w14:paraId="6ED4E0BE" w14:textId="77777777" w:rsidR="00F808B3" w:rsidRPr="007271B6" w:rsidRDefault="00F808B3" w:rsidP="008B2FC1">
      <w:pPr>
        <w:pStyle w:val="Heading3"/>
      </w:pPr>
      <w:bookmarkStart w:id="15" w:name="_Toc165583379"/>
      <w:r w:rsidRPr="007271B6">
        <w:lastRenderedPageBreak/>
        <w:t>Research on the Interdependence of the Digital Asset Ecosystem</w:t>
      </w:r>
      <w:bookmarkEnd w:id="15"/>
    </w:p>
    <w:p w14:paraId="097A6D16" w14:textId="28B05672" w:rsidR="00D97307" w:rsidRPr="007271B6" w:rsidRDefault="00D97307" w:rsidP="00D97307">
      <w:pPr>
        <w:spacing w:after="0" w:line="480" w:lineRule="auto"/>
        <w:ind w:firstLine="720"/>
        <w:rPr>
          <w:rFonts w:ascii="Times New Roman" w:hAnsi="Times New Roman" w:cs="Times New Roman"/>
          <w:kern w:val="0"/>
          <w:sz w:val="24"/>
          <w:szCs w:val="24"/>
          <w14:ligatures w14:val="none"/>
        </w:rPr>
      </w:pPr>
      <w:proofErr w:type="spellStart"/>
      <w:r w:rsidRPr="007271B6">
        <w:rPr>
          <w:rFonts w:ascii="Times New Roman" w:hAnsi="Times New Roman" w:cs="Times New Roman"/>
          <w:kern w:val="0"/>
          <w:sz w:val="24"/>
          <w:szCs w:val="24"/>
          <w14:ligatures w14:val="none"/>
        </w:rPr>
        <w:t>Akyildirim</w:t>
      </w:r>
      <w:proofErr w:type="spellEnd"/>
      <w:r w:rsidRPr="007271B6">
        <w:rPr>
          <w:rFonts w:ascii="Times New Roman" w:hAnsi="Times New Roman" w:cs="Times New Roman"/>
          <w:kern w:val="0"/>
          <w:sz w:val="24"/>
          <w:szCs w:val="24"/>
          <w14:ligatures w14:val="none"/>
        </w:rPr>
        <w:t xml:space="preserve"> et al. (2023) provide important insights into the interconnectedness of financial markets and the systemic dangers posed by failures in the digital asset industry. </w:t>
      </w:r>
      <w:r w:rsidR="006B6162">
        <w:rPr>
          <w:rFonts w:ascii="Times New Roman" w:hAnsi="Times New Roman" w:cs="Times New Roman"/>
          <w:kern w:val="0"/>
          <w:sz w:val="24"/>
          <w:szCs w:val="24"/>
          <w14:ligatures w14:val="none"/>
        </w:rPr>
        <w:t xml:space="preserve">This was </w:t>
      </w:r>
      <w:proofErr w:type="gramStart"/>
      <w:r w:rsidR="006B6162">
        <w:rPr>
          <w:rFonts w:ascii="Times New Roman" w:hAnsi="Times New Roman" w:cs="Times New Roman"/>
          <w:kern w:val="0"/>
          <w:sz w:val="24"/>
          <w:szCs w:val="24"/>
          <w14:ligatures w14:val="none"/>
        </w:rPr>
        <w:t>similar to</w:t>
      </w:r>
      <w:proofErr w:type="gramEnd"/>
      <w:r w:rsidRPr="007271B6">
        <w:rPr>
          <w:rFonts w:ascii="Times New Roman" w:hAnsi="Times New Roman" w:cs="Times New Roman"/>
          <w:kern w:val="0"/>
          <w:sz w:val="24"/>
          <w:szCs w:val="24"/>
          <w14:ligatures w14:val="none"/>
        </w:rPr>
        <w:t xml:space="preserve"> </w:t>
      </w:r>
      <w:proofErr w:type="spellStart"/>
      <w:r w:rsidRPr="007271B6">
        <w:rPr>
          <w:rFonts w:ascii="Times New Roman" w:hAnsi="Times New Roman" w:cs="Times New Roman"/>
          <w:kern w:val="0"/>
          <w:sz w:val="24"/>
          <w:szCs w:val="24"/>
          <w14:ligatures w14:val="none"/>
        </w:rPr>
        <w:t>Sensoy</w:t>
      </w:r>
      <w:proofErr w:type="spellEnd"/>
      <w:r w:rsidRPr="007271B6">
        <w:rPr>
          <w:rFonts w:ascii="Times New Roman" w:hAnsi="Times New Roman" w:cs="Times New Roman"/>
          <w:kern w:val="0"/>
          <w:sz w:val="24"/>
          <w:szCs w:val="24"/>
          <w14:ligatures w14:val="none"/>
        </w:rPr>
        <w:t xml:space="preserve"> et al. (2021), who recognise that the cryptocurrency ecosystem is a complex web of interconnected exchanges, markets and assets. When a major market participant such as FTX collapses, it often leads to broader financial market problems. The study reveals a significant cascading effect, showing how the collapse of FTX had far-reaching effects on other market participants and assets. For example, Kokorin (2023) points out that prior to the collapse of FTX, Voyager Digital Holdings Inc. also filed for Chapter 11 bankruptcy on the 5th of July 2022, followed by Celsius Network LLC on the 13th of that same month. </w:t>
      </w:r>
      <w:proofErr w:type="spellStart"/>
      <w:r w:rsidRPr="007271B6">
        <w:rPr>
          <w:rFonts w:ascii="Times New Roman" w:hAnsi="Times New Roman" w:cs="Times New Roman"/>
          <w:kern w:val="0"/>
          <w:sz w:val="24"/>
          <w:szCs w:val="24"/>
          <w14:ligatures w14:val="none"/>
        </w:rPr>
        <w:t>Akyildirim</w:t>
      </w:r>
      <w:proofErr w:type="spellEnd"/>
      <w:r w:rsidRPr="007271B6">
        <w:rPr>
          <w:rFonts w:ascii="Times New Roman" w:hAnsi="Times New Roman" w:cs="Times New Roman"/>
          <w:kern w:val="0"/>
          <w:sz w:val="24"/>
          <w:szCs w:val="24"/>
          <w14:ligatures w14:val="none"/>
        </w:rPr>
        <w:t xml:space="preserve"> et al. (2023) observed the transmission of risk and contagion across multiple cryptocurrency markets and concluded that "interaction effects became significantly pronounced on critical dates during the failure of FTX". </w:t>
      </w:r>
      <w:proofErr w:type="spellStart"/>
      <w:r w:rsidRPr="007271B6">
        <w:rPr>
          <w:rFonts w:ascii="Times New Roman" w:hAnsi="Times New Roman" w:cs="Times New Roman"/>
          <w:kern w:val="0"/>
          <w:sz w:val="24"/>
          <w:szCs w:val="24"/>
          <w14:ligatures w14:val="none"/>
        </w:rPr>
        <w:t>Sensoy</w:t>
      </w:r>
      <w:proofErr w:type="spellEnd"/>
      <w:r w:rsidRPr="007271B6">
        <w:rPr>
          <w:rFonts w:ascii="Times New Roman" w:hAnsi="Times New Roman" w:cs="Times New Roman"/>
          <w:kern w:val="0"/>
          <w:sz w:val="24"/>
          <w:szCs w:val="24"/>
          <w14:ligatures w14:val="none"/>
        </w:rPr>
        <w:t xml:space="preserve"> et al. (2021) analyse 12 cryptocurrencies responsible for 80% of the total cryptocurrency market capitalisation and find that volatility spills over between them, making it easy for companies with large amounts of capital to manipulate them.</w:t>
      </w:r>
    </w:p>
    <w:p w14:paraId="0B5C7FE6" w14:textId="5F5F7BCC" w:rsidR="00F808B3" w:rsidRPr="007271B6" w:rsidRDefault="00D97307" w:rsidP="008B2FC1">
      <w:pPr>
        <w:spacing w:after="0" w:line="480" w:lineRule="auto"/>
        <w:ind w:firstLine="720"/>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 xml:space="preserve">The Resource Dependency Model, developed by Pfeffer and </w:t>
      </w:r>
      <w:proofErr w:type="spellStart"/>
      <w:r w:rsidRPr="007271B6">
        <w:rPr>
          <w:rFonts w:ascii="Times New Roman" w:hAnsi="Times New Roman" w:cs="Times New Roman"/>
          <w:kern w:val="0"/>
          <w:sz w:val="24"/>
          <w:szCs w:val="24"/>
          <w14:ligatures w14:val="none"/>
        </w:rPr>
        <w:t>Salancik</w:t>
      </w:r>
      <w:proofErr w:type="spellEnd"/>
      <w:r w:rsidRPr="007271B6">
        <w:rPr>
          <w:rFonts w:ascii="Times New Roman" w:hAnsi="Times New Roman" w:cs="Times New Roman"/>
          <w:kern w:val="0"/>
          <w:sz w:val="24"/>
          <w:szCs w:val="24"/>
          <w14:ligatures w14:val="none"/>
        </w:rPr>
        <w:t xml:space="preserve"> in 1978, provides a theoretical framework for understanding the interconnectedness between digital asset exchanges. It states that companies must build and maintain a set of external dependencies </w:t>
      </w:r>
      <w:r w:rsidR="00E527E5" w:rsidRPr="007271B6">
        <w:rPr>
          <w:rFonts w:ascii="Times New Roman" w:hAnsi="Times New Roman" w:cs="Times New Roman"/>
          <w:kern w:val="0"/>
          <w:sz w:val="24"/>
          <w:szCs w:val="24"/>
          <w14:ligatures w14:val="none"/>
        </w:rPr>
        <w:t>to</w:t>
      </w:r>
      <w:r w:rsidRPr="007271B6">
        <w:rPr>
          <w:rFonts w:ascii="Times New Roman" w:hAnsi="Times New Roman" w:cs="Times New Roman"/>
          <w:kern w:val="0"/>
          <w:sz w:val="24"/>
          <w:szCs w:val="24"/>
          <w14:ligatures w14:val="none"/>
        </w:rPr>
        <w:t xml:space="preserve"> thrive and survive in their operational environment (Roundy and Bayer 2019). This theoretical framework allows various stakeholders to evaluate how corporations manage partnerships and dependencies, especially those acquired externally. This theory is relevant for digital asset exchanges as their activities depend on external variables such as differing regulatory regimes in contrasting countries, alliances with other market participants and the availability of liquidity and </w:t>
      </w:r>
      <w:r w:rsidR="00E527E5">
        <w:rPr>
          <w:rFonts w:ascii="Times New Roman" w:hAnsi="Times New Roman" w:cs="Times New Roman"/>
          <w:kern w:val="0"/>
          <w:sz w:val="24"/>
          <w:szCs w:val="24"/>
          <w14:ligatures w14:val="none"/>
        </w:rPr>
        <w:t>capital</w:t>
      </w:r>
      <w:r w:rsidRPr="007271B6">
        <w:rPr>
          <w:rFonts w:ascii="Times New Roman" w:hAnsi="Times New Roman" w:cs="Times New Roman"/>
          <w:kern w:val="0"/>
          <w:sz w:val="24"/>
          <w:szCs w:val="24"/>
          <w14:ligatures w14:val="none"/>
        </w:rPr>
        <w:t xml:space="preserve">. Jensen and </w:t>
      </w:r>
      <w:r w:rsidRPr="007271B6">
        <w:rPr>
          <w:rFonts w:ascii="Times New Roman" w:hAnsi="Times New Roman" w:cs="Times New Roman"/>
          <w:kern w:val="0"/>
          <w:sz w:val="24"/>
          <w:szCs w:val="24"/>
          <w14:ligatures w14:val="none"/>
        </w:rPr>
        <w:lastRenderedPageBreak/>
        <w:t>Meckling have further developed this theory to offer a structured methodology for understanding the complex dynamics of the principal-agent relationship in companies (Tekin and Polat, 2020). Examining these cryptocurrency firms through Agency Theory reveals how governance-related issues such as decision-making procedures, risk management techniques and transparency measures may have affected the alignment and trust between these different stakeholder groups. According to Pierce (2022), the basic idea of agency theory is that conflicts can arise when the interests of principals (shareholders) and the agents (management) diverge, as was the case with FTX, Binance and Coinbase, potentially resulting in sub-optimal outcomes due to misaligned objectives. The Agency Theory paradigm is particularly relevant for FTX and Alameda Research as both companies ha</w:t>
      </w:r>
      <w:r w:rsidR="006B6162">
        <w:rPr>
          <w:rFonts w:ascii="Times New Roman" w:hAnsi="Times New Roman" w:cs="Times New Roman"/>
          <w:kern w:val="0"/>
          <w:sz w:val="24"/>
          <w:szCs w:val="24"/>
          <w14:ligatures w14:val="none"/>
        </w:rPr>
        <w:t>d</w:t>
      </w:r>
      <w:r w:rsidRPr="007271B6">
        <w:rPr>
          <w:rFonts w:ascii="Times New Roman" w:hAnsi="Times New Roman" w:cs="Times New Roman"/>
          <w:kern w:val="0"/>
          <w:sz w:val="24"/>
          <w:szCs w:val="24"/>
          <w14:ligatures w14:val="none"/>
        </w:rPr>
        <w:t xml:space="preserve"> been operating in a very volatile and </w:t>
      </w:r>
      <w:r w:rsidR="00E527E5" w:rsidRPr="007271B6">
        <w:rPr>
          <w:rFonts w:ascii="Times New Roman" w:hAnsi="Times New Roman" w:cs="Times New Roman"/>
          <w:kern w:val="0"/>
          <w:sz w:val="24"/>
          <w:szCs w:val="24"/>
          <w14:ligatures w14:val="none"/>
        </w:rPr>
        <w:t>fast-growing</w:t>
      </w:r>
      <w:r w:rsidRPr="007271B6">
        <w:rPr>
          <w:rFonts w:ascii="Times New Roman" w:hAnsi="Times New Roman" w:cs="Times New Roman"/>
          <w:kern w:val="0"/>
          <w:sz w:val="24"/>
          <w:szCs w:val="24"/>
          <w14:ligatures w14:val="none"/>
        </w:rPr>
        <w:t xml:space="preserve"> market. As a result, we understand the importance of appropriate corporate governance to ensure effective oversight of the company and mitigate significant financial and operational risks.</w:t>
      </w:r>
    </w:p>
    <w:p w14:paraId="76A34722" w14:textId="77777777" w:rsidR="00F808B3" w:rsidRPr="007271B6" w:rsidRDefault="00F808B3" w:rsidP="008B2FC1">
      <w:pPr>
        <w:pStyle w:val="Heading3"/>
      </w:pPr>
      <w:bookmarkStart w:id="16" w:name="_Toc165583380"/>
      <w:r w:rsidRPr="007271B6">
        <w:t>Governance and Regulation Issues</w:t>
      </w:r>
      <w:bookmarkEnd w:id="16"/>
    </w:p>
    <w:p w14:paraId="4CDA33B4" w14:textId="77777777" w:rsidR="000D2E30" w:rsidRPr="007271B6" w:rsidRDefault="000D2E30" w:rsidP="000D2E30">
      <w:pPr>
        <w:tabs>
          <w:tab w:val="left" w:pos="6310"/>
        </w:tabs>
        <w:spacing w:after="0" w:line="480" w:lineRule="auto"/>
        <w:ind w:firstLine="720"/>
        <w:jc w:val="both"/>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 xml:space="preserve">Conlon et al. (2022), like </w:t>
      </w:r>
      <w:proofErr w:type="spellStart"/>
      <w:r w:rsidRPr="007271B6">
        <w:rPr>
          <w:rFonts w:ascii="Times New Roman" w:hAnsi="Times New Roman" w:cs="Times New Roman"/>
          <w:kern w:val="0"/>
          <w:sz w:val="24"/>
          <w:szCs w:val="24"/>
          <w14:ligatures w14:val="none"/>
        </w:rPr>
        <w:t>Akyildirim</w:t>
      </w:r>
      <w:proofErr w:type="spellEnd"/>
      <w:r w:rsidRPr="007271B6">
        <w:rPr>
          <w:rFonts w:ascii="Times New Roman" w:hAnsi="Times New Roman" w:cs="Times New Roman"/>
          <w:kern w:val="0"/>
          <w:sz w:val="24"/>
          <w:szCs w:val="24"/>
          <w14:ligatures w14:val="none"/>
        </w:rPr>
        <w:t xml:space="preserve"> et al. (2023), provide a perceptive analysis of the demise of FTX, in which they describe in detail the governance framework, financial procedures and external elements that triggered the crisis. Accordingly, they conclude that the collapse of the exchange was directly related to "the risk and liquidity position of FTX, especially in relation to the privately issued cryptocurrencies, its own token FTT and Serum" (Conlon, 2022). They established that reassessing the maturity of the sector and the need for more significant measures to oversee appropriate governance of such institutions. The collapse of FTX and Alameda Research should be a cautionary example for all those involved in the industry. They note that the event ended a period characterised by uncontrolled development, as governments were forced to intervene to protect clients from fraudulent practices. Similarly, Pilkinton (2022) cites failures in corporate governance as a decisive factor in FTX's </w:t>
      </w:r>
      <w:r w:rsidRPr="007271B6">
        <w:rPr>
          <w:rFonts w:ascii="Times New Roman" w:hAnsi="Times New Roman" w:cs="Times New Roman"/>
          <w:kern w:val="0"/>
          <w:sz w:val="24"/>
          <w:szCs w:val="24"/>
          <w14:ligatures w14:val="none"/>
        </w:rPr>
        <w:lastRenderedPageBreak/>
        <w:t>bankruptcy, pointing to problems in organisational decision-making, risk management and transparency.</w:t>
      </w:r>
    </w:p>
    <w:p w14:paraId="69FE70B5" w14:textId="77777777" w:rsidR="000D2E30" w:rsidRPr="007271B6" w:rsidRDefault="000D2E30" w:rsidP="000D2E30">
      <w:pPr>
        <w:tabs>
          <w:tab w:val="left" w:pos="6310"/>
        </w:tabs>
        <w:spacing w:after="0" w:line="480" w:lineRule="auto"/>
        <w:ind w:firstLine="720"/>
        <w:jc w:val="both"/>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 xml:space="preserve">Kokorin (2023), in contrast to Conlon (2022), insists that Governance and regulatory shortcomings are more to blame than fundamental problems within the digital asset industry. In other words, they argue that the collapse of FTX and Alameda Research was caused by a breakdown in the institutions and mechanisms set up to oversee and regulate the industry, rather than fundamental problems with cryptocurrencies or blockchain technology. Alekseenko (2023) shares similar sentiments, adding that "As transactions with cryptocurrencies have a transnational nature, regulators can adjust these activities only if they would cooperate and harmonise basic rules concerning the exchange of digital assets, including data security". He points out that excellent corporate governance practices and robust regulatory frameworks ensure the stability and integrity of the digital asset market. The rapidly growing cryptocurrency market brings with it a complex combination of opportunities and problems for corporate governance. For example, at the centre of finance, </w:t>
      </w:r>
      <w:proofErr w:type="gramStart"/>
      <w:r w:rsidRPr="007271B6">
        <w:rPr>
          <w:rFonts w:ascii="Times New Roman" w:hAnsi="Times New Roman" w:cs="Times New Roman"/>
          <w:kern w:val="0"/>
          <w:sz w:val="24"/>
          <w:szCs w:val="24"/>
          <w14:ligatures w14:val="none"/>
        </w:rPr>
        <w:t>technology</w:t>
      </w:r>
      <w:proofErr w:type="gramEnd"/>
      <w:r w:rsidRPr="007271B6">
        <w:rPr>
          <w:rFonts w:ascii="Times New Roman" w:hAnsi="Times New Roman" w:cs="Times New Roman"/>
          <w:kern w:val="0"/>
          <w:sz w:val="24"/>
          <w:szCs w:val="24"/>
          <w14:ligatures w14:val="none"/>
        </w:rPr>
        <w:t xml:space="preserve"> and legislation, it creates new avenues where traditional governance frameworks would frequently fall short.</w:t>
      </w:r>
    </w:p>
    <w:p w14:paraId="6136B44E" w14:textId="64D919A6" w:rsidR="000D2E30" w:rsidRPr="007271B6" w:rsidRDefault="000D2E30" w:rsidP="000D2E30">
      <w:pPr>
        <w:tabs>
          <w:tab w:val="left" w:pos="6310"/>
        </w:tabs>
        <w:spacing w:after="0" w:line="480" w:lineRule="auto"/>
        <w:ind w:firstLine="720"/>
        <w:jc w:val="both"/>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 xml:space="preserve">Fu et al (2022) emphasise the importance of conducting comprehensive research and evaluating potential investment opportunities, particularly in the cryptocurrency sector. The systematic review shows that the crypto market is often characterised by high profits and rapid growth, masking underlying issues that can pose significant risks to investors. Although the article portrays FTX as a Ponzi scheme </w:t>
      </w:r>
      <w:r w:rsidR="00692079">
        <w:rPr>
          <w:rFonts w:ascii="Times New Roman" w:hAnsi="Times New Roman" w:cs="Times New Roman"/>
          <w:kern w:val="0"/>
          <w:sz w:val="24"/>
          <w:szCs w:val="24"/>
          <w14:ligatures w14:val="none"/>
        </w:rPr>
        <w:t>as well as</w:t>
      </w:r>
      <w:r w:rsidRPr="007271B6">
        <w:rPr>
          <w:rFonts w:ascii="Times New Roman" w:hAnsi="Times New Roman" w:cs="Times New Roman"/>
          <w:kern w:val="0"/>
          <w:sz w:val="24"/>
          <w:szCs w:val="24"/>
          <w14:ligatures w14:val="none"/>
        </w:rPr>
        <w:t xml:space="preserve"> SBF and affiliates as fraudsters, it refrains from explicitly alleging fraudulent activity, unlike Arner et al. (2023), Fu et al. (2022), Alekseenko (2023) and Pilkinton (2022). However, it emphasises the importance of introducing strict regulation, transparency and adherence to governance and best practices in the digital asset industry. In their estimation, this will mitigate the potential occurrence of situations reminiscent of Ponzi schemes. In their study, Fu et al (2022) present a unique perspective on the collapse </w:t>
      </w:r>
      <w:r w:rsidRPr="007271B6">
        <w:rPr>
          <w:rFonts w:ascii="Times New Roman" w:hAnsi="Times New Roman" w:cs="Times New Roman"/>
          <w:kern w:val="0"/>
          <w:sz w:val="24"/>
          <w:szCs w:val="24"/>
          <w14:ligatures w14:val="none"/>
        </w:rPr>
        <w:lastRenderedPageBreak/>
        <w:t xml:space="preserve">of FTX by conducting a comparative analysis with the characteristics commonly associated with a Ponzi scheme. Their assessment contributes to the ongoing discourse on governance and risk management in cryptocurrencies. They emphasise the importance of transparency, </w:t>
      </w:r>
      <w:proofErr w:type="gramStart"/>
      <w:r w:rsidRPr="007271B6">
        <w:rPr>
          <w:rFonts w:ascii="Times New Roman" w:hAnsi="Times New Roman" w:cs="Times New Roman"/>
          <w:kern w:val="0"/>
          <w:sz w:val="24"/>
          <w:szCs w:val="24"/>
          <w14:ligatures w14:val="none"/>
        </w:rPr>
        <w:t>thoroughness</w:t>
      </w:r>
      <w:proofErr w:type="gramEnd"/>
      <w:r w:rsidRPr="007271B6">
        <w:rPr>
          <w:rFonts w:ascii="Times New Roman" w:hAnsi="Times New Roman" w:cs="Times New Roman"/>
          <w:kern w:val="0"/>
          <w:sz w:val="24"/>
          <w:szCs w:val="24"/>
          <w14:ligatures w14:val="none"/>
        </w:rPr>
        <w:t xml:space="preserve"> and basic governance procedures, stating that "introducing regulation into CEX’s and even DeFi seems necessary" (Fu et al. 2022). According to their study, this will protect investors' interests and maintain the integrity of the market. A similar study by Kokorin et al. (2023) on Celsius Network LLC and Voyager Digital Holdings Inc. suggests their collapse indicates the fragility of their business model and emphasises the need to regulate cryptocurrency lending and borrowing.</w:t>
      </w:r>
    </w:p>
    <w:p w14:paraId="2FCE88EF" w14:textId="0AB00B67" w:rsidR="00F808B3" w:rsidRPr="007271B6" w:rsidRDefault="000D2E30" w:rsidP="000D2E30">
      <w:pPr>
        <w:tabs>
          <w:tab w:val="left" w:pos="6310"/>
        </w:tabs>
        <w:spacing w:after="0" w:line="480" w:lineRule="auto"/>
        <w:ind w:firstLine="720"/>
        <w:jc w:val="both"/>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Macey (2023) also examines the intricate web of financial fraud. This is important to understand the broader context in which such cases occur, although it may not specifically address the collapse of FTX or be applicable to other digital asset companies. Another study by Arner et al (2023) shares similar views and emphasises the need for regulation to ensure consumer safety. It highlights how systemic issues arising from the failure of a significant player such as FTX provide valuable insight into strategies that can be implemented to ensure more vigilance and regulatory safeguards. They insist that market shocks can propagate through affiliations, elevating the overall risk within the cryptocurrency ecosystem.</w:t>
      </w:r>
      <w:r w:rsidR="00F808B3" w:rsidRPr="007271B6">
        <w:rPr>
          <w:rFonts w:ascii="Times New Roman" w:hAnsi="Times New Roman" w:cs="Times New Roman"/>
          <w:kern w:val="0"/>
          <w:sz w:val="24"/>
          <w:szCs w:val="24"/>
          <w14:ligatures w14:val="none"/>
        </w:rPr>
        <w:t xml:space="preserve"> </w:t>
      </w:r>
    </w:p>
    <w:p w14:paraId="308E9C30" w14:textId="30187B6C" w:rsidR="00844385" w:rsidRPr="007271B6" w:rsidRDefault="00844385" w:rsidP="00844385">
      <w:pPr>
        <w:tabs>
          <w:tab w:val="left" w:pos="6310"/>
        </w:tabs>
        <w:spacing w:after="0" w:line="480" w:lineRule="auto"/>
        <w:ind w:firstLine="720"/>
        <w:jc w:val="both"/>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 xml:space="preserve">The stakeholder theory proposed by Edward Freeman in early 1980 marks a significant paradigm shift in the discipline of corporate management (Rogge 2021; Stakeholder Theory, 2018). This theoretical framework rejects the traditional emphasis on shareholder interests in favour of a broader view that </w:t>
      </w:r>
      <w:r w:rsidR="00692079" w:rsidRPr="007271B6">
        <w:rPr>
          <w:rFonts w:ascii="Times New Roman" w:hAnsi="Times New Roman" w:cs="Times New Roman"/>
          <w:kern w:val="0"/>
          <w:sz w:val="24"/>
          <w:szCs w:val="24"/>
          <w14:ligatures w14:val="none"/>
        </w:rPr>
        <w:t>considers</w:t>
      </w:r>
      <w:r w:rsidRPr="007271B6">
        <w:rPr>
          <w:rFonts w:ascii="Times New Roman" w:hAnsi="Times New Roman" w:cs="Times New Roman"/>
          <w:kern w:val="0"/>
          <w:sz w:val="24"/>
          <w:szCs w:val="24"/>
          <w14:ligatures w14:val="none"/>
        </w:rPr>
        <w:t xml:space="preserve"> the interests of all parties involved in an organisation's activities. Accordingly, organisations are encouraged to consider the needs of their employees, suppliers, customers, </w:t>
      </w:r>
      <w:proofErr w:type="gramStart"/>
      <w:r w:rsidRPr="007271B6">
        <w:rPr>
          <w:rFonts w:ascii="Times New Roman" w:hAnsi="Times New Roman" w:cs="Times New Roman"/>
          <w:kern w:val="0"/>
          <w:sz w:val="24"/>
          <w:szCs w:val="24"/>
          <w14:ligatures w14:val="none"/>
        </w:rPr>
        <w:t>investors</w:t>
      </w:r>
      <w:proofErr w:type="gramEnd"/>
      <w:r w:rsidRPr="007271B6">
        <w:rPr>
          <w:rFonts w:ascii="Times New Roman" w:hAnsi="Times New Roman" w:cs="Times New Roman"/>
          <w:kern w:val="0"/>
          <w:sz w:val="24"/>
          <w:szCs w:val="24"/>
          <w14:ligatures w14:val="none"/>
        </w:rPr>
        <w:t xml:space="preserve"> and the community when making business decisions (Stakeholder Theory, 2018). Applied to corporate governance in the context of FTX and Alameda Research, it compels a careful analysis of management's engagement with a </w:t>
      </w:r>
      <w:r w:rsidRPr="007271B6">
        <w:rPr>
          <w:rFonts w:ascii="Times New Roman" w:hAnsi="Times New Roman" w:cs="Times New Roman"/>
          <w:kern w:val="0"/>
          <w:sz w:val="24"/>
          <w:szCs w:val="24"/>
          <w14:ligatures w14:val="none"/>
        </w:rPr>
        <w:lastRenderedPageBreak/>
        <w:t xml:space="preserve">variety of stakeholders, including staff members, clients, regulatory bodies, and the larger cryptocurrency community. </w:t>
      </w:r>
      <w:proofErr w:type="spellStart"/>
      <w:r w:rsidRPr="007271B6">
        <w:rPr>
          <w:rFonts w:ascii="Times New Roman" w:hAnsi="Times New Roman" w:cs="Times New Roman"/>
          <w:kern w:val="0"/>
          <w:sz w:val="24"/>
          <w:szCs w:val="24"/>
          <w14:ligatures w14:val="none"/>
        </w:rPr>
        <w:t>Akyıldırım</w:t>
      </w:r>
      <w:proofErr w:type="spellEnd"/>
      <w:r w:rsidRPr="007271B6">
        <w:rPr>
          <w:rFonts w:ascii="Times New Roman" w:hAnsi="Times New Roman" w:cs="Times New Roman"/>
          <w:kern w:val="0"/>
          <w:sz w:val="24"/>
          <w:szCs w:val="24"/>
          <w14:ligatures w14:val="none"/>
        </w:rPr>
        <w:t xml:space="preserve"> et al. (2023) found that S</w:t>
      </w:r>
      <w:r w:rsidR="003F546F" w:rsidRPr="007271B6">
        <w:rPr>
          <w:rFonts w:ascii="Times New Roman" w:hAnsi="Times New Roman" w:cs="Times New Roman"/>
          <w:kern w:val="0"/>
          <w:sz w:val="24"/>
          <w:szCs w:val="24"/>
          <w14:ligatures w14:val="none"/>
        </w:rPr>
        <w:t>BF</w:t>
      </w:r>
      <w:r w:rsidRPr="007271B6">
        <w:rPr>
          <w:rFonts w:ascii="Times New Roman" w:hAnsi="Times New Roman" w:cs="Times New Roman"/>
          <w:kern w:val="0"/>
          <w:sz w:val="24"/>
          <w:szCs w:val="24"/>
          <w14:ligatures w14:val="none"/>
        </w:rPr>
        <w:t xml:space="preserve"> and co.'s fraudulent practices caused massive customer and shareholder losses. In their endeavour to profit personally instead of ensuring effective management, they squandered their clients' assets, resulting in huge losses. As major participants in the digital asset industry, FTX and Alameda Research operated in a dynamic ecosystem in which the interests of numerous stakeholders often collided and occasionally clashed (</w:t>
      </w:r>
      <w:proofErr w:type="spellStart"/>
      <w:r w:rsidRPr="007271B6">
        <w:rPr>
          <w:rFonts w:ascii="Times New Roman" w:hAnsi="Times New Roman" w:cs="Times New Roman"/>
          <w:kern w:val="0"/>
          <w:sz w:val="24"/>
          <w:szCs w:val="24"/>
          <w14:ligatures w14:val="none"/>
        </w:rPr>
        <w:t>Marchesan</w:t>
      </w:r>
      <w:proofErr w:type="spellEnd"/>
      <w:r w:rsidRPr="007271B6">
        <w:rPr>
          <w:rFonts w:ascii="Times New Roman" w:hAnsi="Times New Roman" w:cs="Times New Roman"/>
          <w:kern w:val="0"/>
          <w:sz w:val="24"/>
          <w:szCs w:val="24"/>
          <w14:ligatures w14:val="none"/>
        </w:rPr>
        <w:t>, 2023). Nonetheless, they disregarded the interests of the majority. Stakeholder theory can be used to analyse whether governance-related deficiencies in stakeholder management may have contributed to the demise of these companies.</w:t>
      </w:r>
    </w:p>
    <w:p w14:paraId="306D17C2" w14:textId="6A0AAE82" w:rsidR="00F808B3" w:rsidRPr="007271B6" w:rsidRDefault="00844385" w:rsidP="00844385">
      <w:pPr>
        <w:tabs>
          <w:tab w:val="left" w:pos="6310"/>
        </w:tabs>
        <w:spacing w:after="0" w:line="480" w:lineRule="auto"/>
        <w:ind w:firstLine="720"/>
        <w:jc w:val="both"/>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 xml:space="preserve">Distinguished academics and researchers have made significant contributions to corporate governance by providing fundamental theories and important publications that influence the understanding of management issues. Some prominent figures within the academic community are renowned scholars such as Ronald Coase, Michael </w:t>
      </w:r>
      <w:proofErr w:type="gramStart"/>
      <w:r w:rsidRPr="007271B6">
        <w:rPr>
          <w:rFonts w:ascii="Times New Roman" w:hAnsi="Times New Roman" w:cs="Times New Roman"/>
          <w:kern w:val="0"/>
          <w:sz w:val="24"/>
          <w:szCs w:val="24"/>
          <w14:ligatures w14:val="none"/>
        </w:rPr>
        <w:t>Jensen</w:t>
      </w:r>
      <w:proofErr w:type="gramEnd"/>
      <w:r w:rsidRPr="007271B6">
        <w:rPr>
          <w:rFonts w:ascii="Times New Roman" w:hAnsi="Times New Roman" w:cs="Times New Roman"/>
          <w:kern w:val="0"/>
          <w:sz w:val="24"/>
          <w:szCs w:val="24"/>
          <w14:ligatures w14:val="none"/>
        </w:rPr>
        <w:t xml:space="preserve"> and R. Edward Freeman. The famous economist Ronald Coase made significant and groundbreaking contributions to the field of economics with his research on transaction costs and business theory (Sent and Kroese, 2022). The insights gained from Coase have significantly influenced the understanding of the evolutionary processes of governance systems in organisations. Michael Jensen and William Meckling played a crucial role in the establishment of Agency Theory. Jensen's academic research has played a crucial role in the study of principal-agent dynamics in organisations, clarifying issues related to conflicts of interest and governance concerns. R. Edward Freeman, a prominent figure recognised for his contributions to Stakeholder Theory, has significantly influenced the corporate Governance domain.</w:t>
      </w:r>
    </w:p>
    <w:p w14:paraId="6A8AC545" w14:textId="2CAB522D" w:rsidR="00F808B3" w:rsidRPr="007271B6" w:rsidRDefault="00F808B3" w:rsidP="008B2FC1">
      <w:pPr>
        <w:tabs>
          <w:tab w:val="left" w:pos="6310"/>
        </w:tabs>
        <w:spacing w:after="0" w:line="480" w:lineRule="auto"/>
        <w:ind w:firstLine="720"/>
        <w:jc w:val="both"/>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 xml:space="preserve">In his publication, </w:t>
      </w:r>
      <w:r w:rsidRPr="007271B6">
        <w:rPr>
          <w:rFonts w:ascii="Times New Roman" w:hAnsi="Times New Roman" w:cs="Times New Roman"/>
          <w:i/>
          <w:kern w:val="0"/>
          <w:sz w:val="24"/>
          <w:szCs w:val="24"/>
          <w14:ligatures w14:val="none"/>
        </w:rPr>
        <w:t>"Strategic Management: A Stakeholder Approach"</w:t>
      </w:r>
      <w:r w:rsidRPr="007271B6">
        <w:rPr>
          <w:rFonts w:ascii="Times New Roman" w:hAnsi="Times New Roman" w:cs="Times New Roman"/>
          <w:kern w:val="0"/>
          <w:sz w:val="24"/>
          <w:szCs w:val="24"/>
          <w14:ligatures w14:val="none"/>
        </w:rPr>
        <w:t xml:space="preserve"> (1984), Jensen presented a compelling critique of the conventional shareholder-centric perspective, proposing </w:t>
      </w:r>
      <w:r w:rsidRPr="007271B6">
        <w:rPr>
          <w:rFonts w:ascii="Times New Roman" w:hAnsi="Times New Roman" w:cs="Times New Roman"/>
          <w:kern w:val="0"/>
          <w:sz w:val="24"/>
          <w:szCs w:val="24"/>
          <w14:ligatures w14:val="none"/>
        </w:rPr>
        <w:lastRenderedPageBreak/>
        <w:t xml:space="preserve">instead a more comprehensive approach that considers the interests of various stakeholders in the realm of Governance (Adegbite et al. 2020). </w:t>
      </w:r>
      <w:r w:rsidR="00844385" w:rsidRPr="007271B6">
        <w:rPr>
          <w:rFonts w:ascii="Times New Roman" w:hAnsi="Times New Roman" w:cs="Times New Roman"/>
          <w:kern w:val="0"/>
          <w:sz w:val="24"/>
          <w:szCs w:val="24"/>
          <w14:ligatures w14:val="none"/>
        </w:rPr>
        <w:t>As mentioned earlier, researchers have had a lasting impact on the field of corporate governance by advancing the theoretical framework and providing a solid foundation for the study of governance-related problems. The contributions of these individuals have significantly influenced the landscape of studies and provided a deeper understanding of governance dynamics and stakeholder involvement in decision-making processes. Accordingly, many lessons can be drawn from their assessment of corporate governance within financial institutions.</w:t>
      </w:r>
    </w:p>
    <w:p w14:paraId="68BECCD8" w14:textId="77777777" w:rsidR="00F808B3" w:rsidRPr="007271B6" w:rsidRDefault="00F808B3" w:rsidP="008B2FC1">
      <w:pPr>
        <w:pStyle w:val="Heading3"/>
      </w:pPr>
      <w:bookmarkStart w:id="17" w:name="_Toc165583381"/>
      <w:r w:rsidRPr="007271B6">
        <w:t>Conclusions for the Digital Asset Industry</w:t>
      </w:r>
      <w:bookmarkEnd w:id="17"/>
    </w:p>
    <w:p w14:paraId="1A21E6BF" w14:textId="77777777" w:rsidR="0002761D" w:rsidRPr="007271B6" w:rsidRDefault="0002761D" w:rsidP="0002761D">
      <w:pPr>
        <w:tabs>
          <w:tab w:val="left" w:pos="6310"/>
        </w:tabs>
        <w:spacing w:after="0" w:line="480" w:lineRule="auto"/>
        <w:ind w:firstLine="720"/>
        <w:jc w:val="both"/>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 xml:space="preserve">Vidal-Tomás, Briola and Aste (2023) analysed the notable ramifications of these occurrences within the broader framework of Centralised Digital Finance. This study highlights the significance of the collapse of the Terra-Luna ecosystem as a crucial occurrence that contributed to the liquidity problem experienced by FTX. By examining the on-chain data, it becomes clear that FTX was highly dependent on the use and misappropriation of its native token, FTT, which exacerbated its financial vulnerability. Furthermore, another similar study by </w:t>
      </w:r>
      <w:proofErr w:type="spellStart"/>
      <w:r w:rsidRPr="007271B6">
        <w:rPr>
          <w:rFonts w:ascii="Times New Roman" w:hAnsi="Times New Roman" w:cs="Times New Roman"/>
          <w:kern w:val="0"/>
          <w:sz w:val="24"/>
          <w:szCs w:val="24"/>
          <w14:ligatures w14:val="none"/>
        </w:rPr>
        <w:t>Zetzsche</w:t>
      </w:r>
      <w:proofErr w:type="spellEnd"/>
      <w:r w:rsidRPr="007271B6">
        <w:rPr>
          <w:rFonts w:ascii="Times New Roman" w:hAnsi="Times New Roman" w:cs="Times New Roman"/>
          <w:kern w:val="0"/>
          <w:sz w:val="24"/>
          <w:szCs w:val="24"/>
          <w14:ligatures w14:val="none"/>
        </w:rPr>
        <w:t xml:space="preserve"> et al. (2023) examines the systemic impact that </w:t>
      </w:r>
      <w:proofErr w:type="spellStart"/>
      <w:r w:rsidRPr="007271B6">
        <w:rPr>
          <w:rFonts w:ascii="Times New Roman" w:hAnsi="Times New Roman" w:cs="Times New Roman"/>
          <w:kern w:val="0"/>
          <w:sz w:val="24"/>
          <w:szCs w:val="24"/>
          <w14:ligatures w14:val="none"/>
        </w:rPr>
        <w:t>Binance's</w:t>
      </w:r>
      <w:proofErr w:type="spellEnd"/>
      <w:r w:rsidRPr="007271B6">
        <w:rPr>
          <w:rFonts w:ascii="Times New Roman" w:hAnsi="Times New Roman" w:cs="Times New Roman"/>
          <w:kern w:val="0"/>
          <w:sz w:val="24"/>
          <w:szCs w:val="24"/>
          <w14:ligatures w14:val="none"/>
        </w:rPr>
        <w:t xml:space="preserve"> tweets had on the cryptocurrency market in relation to these events. Accordingly, some conclusions and valuable recommendations for improving corporate governance standards and best practice can be derived from the failures of FTX and Alameda Research. These lessons can significantly protect and benefit other companies in the digital asset industry and others facing dynamic and complex events. In addition, the bankruptcy of FTX and Alameda Research highlights the dangers of prioritising short-term gains over long-term stability. Therefore, companies should implement a long-term strategic vision focused on sustainable growth and risk management, even when operating in uncertain industries and markets.</w:t>
      </w:r>
    </w:p>
    <w:p w14:paraId="219DF518" w14:textId="441F85BA" w:rsidR="0002761D" w:rsidRPr="007271B6" w:rsidRDefault="0002761D" w:rsidP="0002761D">
      <w:pPr>
        <w:tabs>
          <w:tab w:val="left" w:pos="6310"/>
        </w:tabs>
        <w:spacing w:after="0" w:line="480" w:lineRule="auto"/>
        <w:ind w:firstLine="720"/>
        <w:jc w:val="both"/>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lastRenderedPageBreak/>
        <w:t>Analysing the corporate governance practises of FTX and Alameda Research reveals serious deficiencies that were critical to the eventual bankruptcy of both companies. Corporate governance encompasses a variety of procedures and policies, all of which impact the sustainability and financial health of an organisation (Manita et al., 2020). The processes used in these cryptocurrency organisations' decision-making were a critical topic of concern. FTX and Alameda Research worked in a highly volatile and dynamic sector where business decisions often have far-reaching implications (</w:t>
      </w:r>
      <w:proofErr w:type="spellStart"/>
      <w:r w:rsidRPr="007271B6">
        <w:rPr>
          <w:rFonts w:ascii="Times New Roman" w:hAnsi="Times New Roman" w:cs="Times New Roman"/>
          <w:kern w:val="0"/>
          <w:sz w:val="24"/>
          <w:szCs w:val="24"/>
          <w14:ligatures w14:val="none"/>
        </w:rPr>
        <w:t>Sensoy</w:t>
      </w:r>
      <w:proofErr w:type="spellEnd"/>
      <w:r w:rsidRPr="007271B6">
        <w:rPr>
          <w:rFonts w:ascii="Times New Roman" w:hAnsi="Times New Roman" w:cs="Times New Roman"/>
          <w:kern w:val="0"/>
          <w:sz w:val="24"/>
          <w:szCs w:val="24"/>
          <w14:ligatures w14:val="none"/>
        </w:rPr>
        <w:t xml:space="preserve"> et al., 2021). However, there was evidence that the decision-making processes used for governance were inadequate. For example, it became clear that short-term profits were being prioritised over long-term stability and dangerous investment decisions were being made within Alameda Research without a thorough risk assessment. Effective risk management is another essential component of good corporate governance, which is especially important given the market volatility in the digital asset industry (</w:t>
      </w:r>
      <w:proofErr w:type="spellStart"/>
      <w:r w:rsidRPr="007271B6">
        <w:rPr>
          <w:rFonts w:ascii="Times New Roman" w:hAnsi="Times New Roman" w:cs="Times New Roman"/>
          <w:kern w:val="0"/>
          <w:sz w:val="24"/>
          <w:szCs w:val="24"/>
          <w14:ligatures w14:val="none"/>
        </w:rPr>
        <w:t>Sensoy</w:t>
      </w:r>
      <w:proofErr w:type="spellEnd"/>
      <w:r w:rsidRPr="007271B6">
        <w:rPr>
          <w:rFonts w:ascii="Times New Roman" w:hAnsi="Times New Roman" w:cs="Times New Roman"/>
          <w:kern w:val="0"/>
          <w:sz w:val="24"/>
          <w:szCs w:val="24"/>
          <w14:ligatures w14:val="none"/>
        </w:rPr>
        <w:t xml:space="preserve"> et al. 2021). However, it soon became clear that the risk management plans of both companies needed to be revised, as this contributed significantly to the insolvency of FTX and Alameda Research, as they were exposed to major market shocks and financial difficulties. Despite all this, the management of FTX and Alameda Research downplayed the risks. For example, when </w:t>
      </w:r>
      <w:proofErr w:type="spellStart"/>
      <w:r w:rsidRPr="007271B6">
        <w:rPr>
          <w:rFonts w:ascii="Times New Roman" w:hAnsi="Times New Roman" w:cs="Times New Roman"/>
          <w:kern w:val="0"/>
          <w:sz w:val="24"/>
          <w:szCs w:val="24"/>
          <w14:ligatures w14:val="none"/>
        </w:rPr>
        <w:t>Coindesk</w:t>
      </w:r>
      <w:proofErr w:type="spellEnd"/>
      <w:r w:rsidRPr="007271B6">
        <w:rPr>
          <w:rFonts w:ascii="Times New Roman" w:hAnsi="Times New Roman" w:cs="Times New Roman"/>
          <w:kern w:val="0"/>
          <w:sz w:val="24"/>
          <w:szCs w:val="24"/>
          <w14:ligatures w14:val="none"/>
        </w:rPr>
        <w:t xml:space="preserve"> reported that Alameda Research owned 6 billion dollars of FTTs, </w:t>
      </w:r>
      <w:r w:rsidR="003F546F" w:rsidRPr="007271B6">
        <w:rPr>
          <w:rFonts w:ascii="Times New Roman" w:hAnsi="Times New Roman" w:cs="Times New Roman"/>
          <w:kern w:val="0"/>
          <w:sz w:val="24"/>
          <w:szCs w:val="24"/>
          <w14:ligatures w14:val="none"/>
        </w:rPr>
        <w:t>SBF</w:t>
      </w:r>
      <w:r w:rsidRPr="007271B6">
        <w:rPr>
          <w:rFonts w:ascii="Times New Roman" w:hAnsi="Times New Roman" w:cs="Times New Roman"/>
          <w:kern w:val="0"/>
          <w:sz w:val="24"/>
          <w:szCs w:val="24"/>
          <w14:ligatures w14:val="none"/>
        </w:rPr>
        <w:t xml:space="preserve"> tweeted, "A competitor is trying to go after us with false rumours. FTX is fine. Assets are fine" (Vidal-Tomás, Briola, and Aste, 2023). The behaviour of board members and governance structures are core components of corporate governance. However, it soon became apparent that the governance structures of these companies lacked the necessary independence and control measures. As a result, management made decisions that prioritised short-term success over long-term stability, which led to the bankruptcy of FTX and Alameda Research. The analysis and assessment of FTX and Alameda Research's corporate governance practices therefore revealed serious deficiencies in decision-making, risk management, </w:t>
      </w:r>
      <w:proofErr w:type="gramStart"/>
      <w:r w:rsidRPr="007271B6">
        <w:rPr>
          <w:rFonts w:ascii="Times New Roman" w:hAnsi="Times New Roman" w:cs="Times New Roman"/>
          <w:kern w:val="0"/>
          <w:sz w:val="24"/>
          <w:szCs w:val="24"/>
          <w14:ligatures w14:val="none"/>
        </w:rPr>
        <w:lastRenderedPageBreak/>
        <w:t>transparency</w:t>
      </w:r>
      <w:proofErr w:type="gramEnd"/>
      <w:r w:rsidRPr="007271B6">
        <w:rPr>
          <w:rFonts w:ascii="Times New Roman" w:hAnsi="Times New Roman" w:cs="Times New Roman"/>
          <w:kern w:val="0"/>
          <w:sz w:val="24"/>
          <w:szCs w:val="24"/>
          <w14:ligatures w14:val="none"/>
        </w:rPr>
        <w:t xml:space="preserve"> and corporate governance. Taken together, these deficiencies were decisive for the bankruptcy of both companies.</w:t>
      </w:r>
    </w:p>
    <w:p w14:paraId="43D06D0A" w14:textId="158F2359" w:rsidR="0002761D" w:rsidRPr="007271B6" w:rsidRDefault="0002761D" w:rsidP="0002761D">
      <w:pPr>
        <w:tabs>
          <w:tab w:val="left" w:pos="6310"/>
        </w:tabs>
        <w:spacing w:after="0" w:line="480" w:lineRule="auto"/>
        <w:ind w:firstLine="720"/>
        <w:jc w:val="both"/>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 xml:space="preserve">Corporate governance problems can take many different forms and play an important role in determining the course of a company. For example, conflicts of interest between shareholders and management are an important issue in agency theory. The relevant literature shows that this was also evident in the FTX and Alameda Research cases. According to </w:t>
      </w:r>
      <w:proofErr w:type="spellStart"/>
      <w:r w:rsidRPr="007271B6">
        <w:rPr>
          <w:rFonts w:ascii="Times New Roman" w:hAnsi="Times New Roman" w:cs="Times New Roman"/>
          <w:kern w:val="0"/>
          <w:sz w:val="24"/>
          <w:szCs w:val="24"/>
          <w14:ligatures w14:val="none"/>
        </w:rPr>
        <w:t>Marchesan's</w:t>
      </w:r>
      <w:proofErr w:type="spellEnd"/>
      <w:r w:rsidRPr="007271B6">
        <w:rPr>
          <w:rFonts w:ascii="Times New Roman" w:hAnsi="Times New Roman" w:cs="Times New Roman"/>
          <w:kern w:val="0"/>
          <w:sz w:val="24"/>
          <w:szCs w:val="24"/>
          <w14:ligatures w14:val="none"/>
        </w:rPr>
        <w:t xml:space="preserve"> thesis, the relationship between the two sister companies </w:t>
      </w:r>
      <w:r w:rsidR="006B6162">
        <w:rPr>
          <w:rFonts w:ascii="Times New Roman" w:hAnsi="Times New Roman" w:cs="Times New Roman"/>
          <w:kern w:val="0"/>
          <w:sz w:val="24"/>
          <w:szCs w:val="24"/>
          <w14:ligatures w14:val="none"/>
        </w:rPr>
        <w:t>created</w:t>
      </w:r>
      <w:r w:rsidRPr="007271B6">
        <w:rPr>
          <w:rFonts w:ascii="Times New Roman" w:hAnsi="Times New Roman" w:cs="Times New Roman"/>
          <w:kern w:val="0"/>
          <w:sz w:val="24"/>
          <w:szCs w:val="24"/>
          <w14:ligatures w14:val="none"/>
        </w:rPr>
        <w:t xml:space="preserve"> "an enormous conflict of interest, aggravated by the fact that Alameda Research's CEO was Caroline Ellison, </w:t>
      </w:r>
      <w:r w:rsidR="003F546F" w:rsidRPr="007271B6">
        <w:rPr>
          <w:rFonts w:ascii="Times New Roman" w:hAnsi="Times New Roman" w:cs="Times New Roman"/>
          <w:kern w:val="0"/>
          <w:sz w:val="24"/>
          <w:szCs w:val="24"/>
          <w14:ligatures w14:val="none"/>
        </w:rPr>
        <w:t>SBF’s</w:t>
      </w:r>
      <w:r w:rsidRPr="007271B6">
        <w:rPr>
          <w:rFonts w:ascii="Times New Roman" w:hAnsi="Times New Roman" w:cs="Times New Roman"/>
          <w:kern w:val="0"/>
          <w:sz w:val="24"/>
          <w:szCs w:val="24"/>
          <w14:ligatures w14:val="none"/>
        </w:rPr>
        <w:t xml:space="preserve"> fiancé". The investigation shows that the interests of management and shareholders were apparently not aligned. As a result, decisions were made that prioritised short-term profits and speculative investments over the long-term viability and stability of the company. Such conflicts of interest significantly increase the likelihood of stakeholder losses.</w:t>
      </w:r>
    </w:p>
    <w:p w14:paraId="58A4768E" w14:textId="437C5453" w:rsidR="00F808B3" w:rsidRPr="007271B6" w:rsidRDefault="0002761D" w:rsidP="008B2FC1">
      <w:pPr>
        <w:tabs>
          <w:tab w:val="left" w:pos="6310"/>
        </w:tabs>
        <w:spacing w:after="0" w:line="480" w:lineRule="auto"/>
        <w:ind w:firstLine="720"/>
        <w:jc w:val="both"/>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 xml:space="preserve">An original perspective is taken by </w:t>
      </w:r>
      <w:proofErr w:type="spellStart"/>
      <w:r w:rsidRPr="007271B6">
        <w:rPr>
          <w:rFonts w:ascii="Times New Roman" w:hAnsi="Times New Roman" w:cs="Times New Roman"/>
          <w:kern w:val="0"/>
          <w:sz w:val="24"/>
          <w:szCs w:val="24"/>
          <w14:ligatures w14:val="none"/>
        </w:rPr>
        <w:t>Akyildirim</w:t>
      </w:r>
      <w:proofErr w:type="spellEnd"/>
      <w:r w:rsidRPr="007271B6">
        <w:rPr>
          <w:rFonts w:ascii="Times New Roman" w:hAnsi="Times New Roman" w:cs="Times New Roman"/>
          <w:kern w:val="0"/>
          <w:sz w:val="24"/>
          <w:szCs w:val="24"/>
          <w14:ligatures w14:val="none"/>
        </w:rPr>
        <w:t xml:space="preserve"> et al. (2023), who use a dynamic connectivity approach to assess the interconnectedness of financial markets and the systemic risks posed by cryptocurrency exchange failures. This approach could be used to reinterpret previous studies on the impact of exchange failures on cryptocurrency markets and shed new light on the cascading effects and interdependencies within the ecosystem. Fu et al.'s (2022) view that the collapse of FTX resembles a Ponzi scheme offers a new perspective on the event. This innovative view may prompt researchers to re-evaluate their previous studies on the collapse of Bitcoin exchanges and look more closely at the indicators of dishonest or unethical behaviour. It also emphasises the importance of industry openness and good governance. Stakeholder theory was at the forefront of this research, even though corporate governance is often centred around the interests of shareholders alone.</w:t>
      </w:r>
    </w:p>
    <w:p w14:paraId="6F0F4F4E" w14:textId="77777777" w:rsidR="002770D2" w:rsidRDefault="002770D2" w:rsidP="008B2FC1">
      <w:pPr>
        <w:tabs>
          <w:tab w:val="left" w:pos="6310"/>
        </w:tabs>
        <w:spacing w:after="0" w:line="480" w:lineRule="auto"/>
        <w:ind w:firstLine="720"/>
        <w:jc w:val="both"/>
        <w:rPr>
          <w:rFonts w:ascii="Times New Roman" w:hAnsi="Times New Roman" w:cs="Times New Roman"/>
          <w:kern w:val="0"/>
          <w:sz w:val="24"/>
          <w:szCs w:val="24"/>
          <w14:ligatures w14:val="none"/>
        </w:rPr>
      </w:pPr>
    </w:p>
    <w:p w14:paraId="0B07D628" w14:textId="77777777" w:rsidR="006B6162" w:rsidRPr="007271B6" w:rsidRDefault="006B6162" w:rsidP="008B2FC1">
      <w:pPr>
        <w:tabs>
          <w:tab w:val="left" w:pos="6310"/>
        </w:tabs>
        <w:spacing w:after="0" w:line="480" w:lineRule="auto"/>
        <w:ind w:firstLine="720"/>
        <w:jc w:val="both"/>
        <w:rPr>
          <w:rFonts w:ascii="Times New Roman" w:hAnsi="Times New Roman" w:cs="Times New Roman"/>
          <w:kern w:val="0"/>
          <w:sz w:val="24"/>
          <w:szCs w:val="24"/>
          <w14:ligatures w14:val="none"/>
        </w:rPr>
      </w:pPr>
    </w:p>
    <w:p w14:paraId="38650ABD" w14:textId="77777777" w:rsidR="00F808B3" w:rsidRPr="007271B6" w:rsidRDefault="00F808B3" w:rsidP="008B2FC1">
      <w:pPr>
        <w:pStyle w:val="Heading3"/>
      </w:pPr>
      <w:bookmarkStart w:id="18" w:name="_Toc146379757"/>
      <w:bookmarkStart w:id="19" w:name="_Toc165583382"/>
      <w:r w:rsidRPr="007271B6">
        <w:lastRenderedPageBreak/>
        <w:t>Addressing Gaps in Research</w:t>
      </w:r>
      <w:bookmarkEnd w:id="19"/>
    </w:p>
    <w:bookmarkEnd w:id="18"/>
    <w:p w14:paraId="1ECB5789" w14:textId="2D6BE0A3" w:rsidR="004F3A5E" w:rsidRPr="007271B6" w:rsidRDefault="004F3A5E" w:rsidP="004F3A5E">
      <w:pPr>
        <w:spacing w:line="480" w:lineRule="auto"/>
        <w:ind w:firstLine="720"/>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 xml:space="preserve">This view emphasises the need to re-evaluate previous research on </w:t>
      </w:r>
      <w:r w:rsidR="00322FC3">
        <w:rPr>
          <w:rFonts w:ascii="Times New Roman" w:hAnsi="Times New Roman" w:cs="Times New Roman"/>
          <w:kern w:val="0"/>
          <w:sz w:val="24"/>
          <w:szCs w:val="24"/>
          <w14:ligatures w14:val="none"/>
        </w:rPr>
        <w:t>c</w:t>
      </w:r>
      <w:r w:rsidRPr="007271B6">
        <w:rPr>
          <w:rFonts w:ascii="Times New Roman" w:hAnsi="Times New Roman" w:cs="Times New Roman"/>
          <w:kern w:val="0"/>
          <w:sz w:val="24"/>
          <w:szCs w:val="24"/>
          <w14:ligatures w14:val="none"/>
        </w:rPr>
        <w:t xml:space="preserve">orporate </w:t>
      </w:r>
      <w:r w:rsidR="00322FC3">
        <w:rPr>
          <w:rFonts w:ascii="Times New Roman" w:hAnsi="Times New Roman" w:cs="Times New Roman"/>
          <w:kern w:val="0"/>
          <w:sz w:val="24"/>
          <w:szCs w:val="24"/>
          <w14:ligatures w14:val="none"/>
        </w:rPr>
        <w:t>g</w:t>
      </w:r>
      <w:r w:rsidRPr="007271B6">
        <w:rPr>
          <w:rFonts w:ascii="Times New Roman" w:hAnsi="Times New Roman" w:cs="Times New Roman"/>
          <w:kern w:val="0"/>
          <w:sz w:val="24"/>
          <w:szCs w:val="24"/>
          <w14:ligatures w14:val="none"/>
        </w:rPr>
        <w:t>overnance in the digital asset industry. Accordingly, there is a need to investigate how consideration of a broader range of stakeholder interests can lead to more comprehensive governance models to achieve better outcomes.</w:t>
      </w:r>
      <w:bookmarkStart w:id="20" w:name="_Hlk165467747"/>
    </w:p>
    <w:bookmarkEnd w:id="20"/>
    <w:p w14:paraId="79E9EDB2" w14:textId="64C6039F" w:rsidR="004F3A5E" w:rsidRPr="007271B6" w:rsidRDefault="004F3A5E" w:rsidP="004F3A5E">
      <w:pPr>
        <w:spacing w:line="480" w:lineRule="auto"/>
        <w:ind w:firstLine="720"/>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 xml:space="preserve">The present analysis joins the literature by filling a crucial gap in corporate governance in the context of the digital asset industry. Although previous studies have examined various aspects of cryptocurrency markets and exchanges, more comprehensive research is needed on the governance-related challenges that often contribute to the failure of cryptocurrency firms. Given the history of the digital asset space, it is highly likely that other large operators will run into similar situations and require policy tools to respond. Various issues related to the cryptocurrency industry, including market dynamics, technological </w:t>
      </w:r>
      <w:r w:rsidR="00322FC3" w:rsidRPr="007271B6">
        <w:rPr>
          <w:rFonts w:ascii="Times New Roman" w:hAnsi="Times New Roman" w:cs="Times New Roman"/>
          <w:kern w:val="0"/>
          <w:sz w:val="24"/>
          <w:szCs w:val="24"/>
          <w14:ligatures w14:val="none"/>
        </w:rPr>
        <w:t>advancement</w:t>
      </w:r>
      <w:r w:rsidR="00322FC3">
        <w:rPr>
          <w:rFonts w:ascii="Times New Roman" w:hAnsi="Times New Roman" w:cs="Times New Roman"/>
          <w:kern w:val="0"/>
          <w:sz w:val="24"/>
          <w:szCs w:val="24"/>
          <w14:ligatures w14:val="none"/>
        </w:rPr>
        <w:t xml:space="preserve"> </w:t>
      </w:r>
      <w:r w:rsidRPr="007271B6">
        <w:rPr>
          <w:rFonts w:ascii="Times New Roman" w:hAnsi="Times New Roman" w:cs="Times New Roman"/>
          <w:kern w:val="0"/>
          <w:sz w:val="24"/>
          <w:szCs w:val="24"/>
          <w14:ligatures w14:val="none"/>
        </w:rPr>
        <w:t xml:space="preserve">and regulatory complexity have been extensively explored in the literature. Nevertheless, there is a need for a more comprehensive examination of the exact governance failures that lead to corporate failures. Therefore, this study aims to fill this gap by comprehensively analysing the impact of governance practices, such as decision-making procedures, risk management, </w:t>
      </w:r>
      <w:proofErr w:type="gramStart"/>
      <w:r w:rsidRPr="007271B6">
        <w:rPr>
          <w:rFonts w:ascii="Times New Roman" w:hAnsi="Times New Roman" w:cs="Times New Roman"/>
          <w:kern w:val="0"/>
          <w:sz w:val="24"/>
          <w:szCs w:val="24"/>
          <w14:ligatures w14:val="none"/>
        </w:rPr>
        <w:t>transparency</w:t>
      </w:r>
      <w:proofErr w:type="gramEnd"/>
      <w:r w:rsidRPr="007271B6">
        <w:rPr>
          <w:rFonts w:ascii="Times New Roman" w:hAnsi="Times New Roman" w:cs="Times New Roman"/>
          <w:kern w:val="0"/>
          <w:sz w:val="24"/>
          <w:szCs w:val="24"/>
          <w14:ligatures w14:val="none"/>
        </w:rPr>
        <w:t xml:space="preserve"> and stakeholder involvement on the downfall of FTX and Alameda Research.</w:t>
      </w:r>
    </w:p>
    <w:p w14:paraId="1E50B815" w14:textId="77777777" w:rsidR="004F3A5E" w:rsidRPr="007271B6" w:rsidRDefault="004F3A5E" w:rsidP="004F3A5E">
      <w:pPr>
        <w:spacing w:line="480" w:lineRule="auto"/>
        <w:ind w:firstLine="720"/>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 xml:space="preserve">By examining this gap, this research also contributes to a deeper understanding of the digital asset sector. This assessment emphasises the significance of sound corporate governance in an industry characterised by rapid expansion and innovative advances. It also provides valuable practical perspectives and lessons that can be effectively implemented both in this industry and in the broader context of corporate governance. The main contribution of this study to the current literature is the examination of governance failures in the digital asset </w:t>
      </w:r>
      <w:r w:rsidRPr="007271B6">
        <w:rPr>
          <w:rFonts w:ascii="Times New Roman" w:hAnsi="Times New Roman" w:cs="Times New Roman"/>
          <w:kern w:val="0"/>
          <w:sz w:val="24"/>
          <w:szCs w:val="24"/>
          <w14:ligatures w14:val="none"/>
        </w:rPr>
        <w:lastRenderedPageBreak/>
        <w:t>industry and their implications for understanding the role of effective governance in protecting organisations operating in a dynamic and volatile environment.</w:t>
      </w:r>
    </w:p>
    <w:p w14:paraId="140FF612" w14:textId="62D903DC" w:rsidR="00603030" w:rsidRPr="007271B6" w:rsidRDefault="004F3A5E" w:rsidP="00603030">
      <w:pPr>
        <w:spacing w:line="480" w:lineRule="auto"/>
        <w:ind w:firstLine="720"/>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 xml:space="preserve">The relevant literature examines the corporate governance practices and issues that caused the collapse of FTX and Alameda Research and provides helpful information outside the digital asset industry. The study emphasises ethical leadership, risk management and stakeholder engagement. It includes suggestions for regulators, </w:t>
      </w:r>
      <w:proofErr w:type="gramStart"/>
      <w:r w:rsidRPr="007271B6">
        <w:rPr>
          <w:rFonts w:ascii="Times New Roman" w:hAnsi="Times New Roman" w:cs="Times New Roman"/>
          <w:kern w:val="0"/>
          <w:sz w:val="24"/>
          <w:szCs w:val="24"/>
          <w14:ligatures w14:val="none"/>
        </w:rPr>
        <w:t>legislators</w:t>
      </w:r>
      <w:proofErr w:type="gramEnd"/>
      <w:r w:rsidRPr="007271B6">
        <w:rPr>
          <w:rFonts w:ascii="Times New Roman" w:hAnsi="Times New Roman" w:cs="Times New Roman"/>
          <w:kern w:val="0"/>
          <w:sz w:val="24"/>
          <w:szCs w:val="24"/>
          <w14:ligatures w14:val="none"/>
        </w:rPr>
        <w:t xml:space="preserve"> and stakeholders to improve the fundamentals of the evolving digital asset business. In addition to shedding light on many facets of corporate governance, systemic threats and financial misconduct in the industry, the sources provide in-depth analysis of the investigations into the demise of FTX and Alameda Research. The dynamic connectivity methodology emphasises how interconnected the cryptocurrency markets are and how exchange failures can trigger a domino effect leading to widespread losses. Furthermore, the report emphasises the importance of regulation and efficient risk management. It uses a qualitative case study approach to examine governance issues, especially in large, complex organisations such as FTX and Alameda Research. The proposed research objectives and theoretical framework are aligned with the thematic analysis, which highlights the influence of governance patterns and policies on organisational failure. The investigation is led by Resource Dependency, </w:t>
      </w:r>
      <w:proofErr w:type="gramStart"/>
      <w:r w:rsidR="006A7490">
        <w:rPr>
          <w:rFonts w:ascii="Times New Roman" w:hAnsi="Times New Roman" w:cs="Times New Roman"/>
          <w:kern w:val="0"/>
          <w:sz w:val="24"/>
          <w:szCs w:val="24"/>
          <w14:ligatures w14:val="none"/>
        </w:rPr>
        <w:t>Agency</w:t>
      </w:r>
      <w:proofErr w:type="gramEnd"/>
      <w:r w:rsidR="006A7490">
        <w:rPr>
          <w:rFonts w:ascii="Times New Roman" w:hAnsi="Times New Roman" w:cs="Times New Roman"/>
          <w:kern w:val="0"/>
          <w:sz w:val="24"/>
          <w:szCs w:val="24"/>
          <w14:ligatures w14:val="none"/>
        </w:rPr>
        <w:t xml:space="preserve"> and </w:t>
      </w:r>
      <w:r w:rsidRPr="007271B6">
        <w:rPr>
          <w:rFonts w:ascii="Times New Roman" w:hAnsi="Times New Roman" w:cs="Times New Roman"/>
          <w:kern w:val="0"/>
          <w:sz w:val="24"/>
          <w:szCs w:val="24"/>
          <w14:ligatures w14:val="none"/>
        </w:rPr>
        <w:t>Stakeholder</w:t>
      </w:r>
      <w:r w:rsidR="006A7490">
        <w:rPr>
          <w:rFonts w:ascii="Times New Roman" w:hAnsi="Times New Roman" w:cs="Times New Roman"/>
          <w:kern w:val="0"/>
          <w:sz w:val="24"/>
          <w:szCs w:val="24"/>
          <w14:ligatures w14:val="none"/>
        </w:rPr>
        <w:t xml:space="preserve"> theories</w:t>
      </w:r>
      <w:r w:rsidRPr="007271B6">
        <w:rPr>
          <w:rFonts w:ascii="Times New Roman" w:hAnsi="Times New Roman" w:cs="Times New Roman"/>
          <w:kern w:val="0"/>
          <w:sz w:val="24"/>
          <w:szCs w:val="24"/>
          <w14:ligatures w14:val="none"/>
        </w:rPr>
        <w:t xml:space="preserve">. Significant weaknesses in decision-making, risk management transparency, and board governance are shown by an examination of the corporate governance practices at FTX and Alameda Research. These deficiencies all contributed to the ultimate bankruptcy of the companies. The shortcomings highlight the importance of sound corporate governance, particularly in the volatile digital asset sector. However, further studies need to examine the impact of regulations on investments and exchange participants, create governance frameworks tailored to industries, and conduct comparative assessments of failed exchanges. Accordingly, the methodology section attempts </w:t>
      </w:r>
      <w:r w:rsidRPr="007271B6">
        <w:rPr>
          <w:rFonts w:ascii="Times New Roman" w:hAnsi="Times New Roman" w:cs="Times New Roman"/>
          <w:kern w:val="0"/>
          <w:sz w:val="24"/>
          <w:szCs w:val="24"/>
          <w14:ligatures w14:val="none"/>
        </w:rPr>
        <w:lastRenderedPageBreak/>
        <w:t xml:space="preserve">to provide a detailed description of the methods, techniques, </w:t>
      </w:r>
      <w:proofErr w:type="gramStart"/>
      <w:r w:rsidRPr="007271B6">
        <w:rPr>
          <w:rFonts w:ascii="Times New Roman" w:hAnsi="Times New Roman" w:cs="Times New Roman"/>
          <w:kern w:val="0"/>
          <w:sz w:val="24"/>
          <w:szCs w:val="24"/>
          <w14:ligatures w14:val="none"/>
        </w:rPr>
        <w:t>procedures</w:t>
      </w:r>
      <w:proofErr w:type="gramEnd"/>
      <w:r w:rsidRPr="007271B6">
        <w:rPr>
          <w:rFonts w:ascii="Times New Roman" w:hAnsi="Times New Roman" w:cs="Times New Roman"/>
          <w:kern w:val="0"/>
          <w:sz w:val="24"/>
          <w:szCs w:val="24"/>
          <w14:ligatures w14:val="none"/>
        </w:rPr>
        <w:t xml:space="preserve"> and approaches employed in the study.</w:t>
      </w:r>
    </w:p>
    <w:p w14:paraId="17BFE715" w14:textId="7736573A" w:rsidR="00F808B3" w:rsidRPr="007271B6" w:rsidRDefault="00F808B3" w:rsidP="002770D2">
      <w:pPr>
        <w:pStyle w:val="Heading1"/>
        <w:rPr>
          <w:lang w:val="en-GB"/>
        </w:rPr>
      </w:pPr>
      <w:bookmarkStart w:id="21" w:name="_Toc165583383"/>
      <w:r w:rsidRPr="007271B6">
        <w:rPr>
          <w:lang w:val="en-GB"/>
        </w:rPr>
        <w:t>Research Methodology</w:t>
      </w:r>
      <w:bookmarkEnd w:id="21"/>
    </w:p>
    <w:p w14:paraId="75522D1B" w14:textId="7E2124F9" w:rsidR="00F808B3" w:rsidRPr="00B74058" w:rsidRDefault="004F3A5E" w:rsidP="008B78CD">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 xml:space="preserve">The case study design is applicable as numerous corporate governance issues and subsequent policies have been implemented as a direct result of applying case study analysis to review governance decisions in companies. Applying this methodology to the case of FTX and Alameda Research can make a positive contribution to the field of corporate governance. The importance of sound corporate governance is crucial in the rapidly changing environment of the digital asset industry, as it helps to ensure the proper management of client funds, build trust with </w:t>
      </w:r>
      <w:proofErr w:type="gramStart"/>
      <w:r w:rsidRPr="007271B6">
        <w:rPr>
          <w:rFonts w:ascii="Times New Roman" w:eastAsia="Calibri" w:hAnsi="Times New Roman" w:cs="Times New Roman"/>
          <w:color w:val="222222"/>
          <w:kern w:val="0"/>
          <w:sz w:val="24"/>
          <w:szCs w:val="24"/>
          <w14:ligatures w14:val="none"/>
        </w:rPr>
        <w:t>counterparties</w:t>
      </w:r>
      <w:proofErr w:type="gramEnd"/>
      <w:r w:rsidRPr="007271B6">
        <w:rPr>
          <w:rFonts w:ascii="Times New Roman" w:eastAsia="Calibri" w:hAnsi="Times New Roman" w:cs="Times New Roman"/>
          <w:color w:val="222222"/>
          <w:kern w:val="0"/>
          <w:sz w:val="24"/>
          <w:szCs w:val="24"/>
          <w14:ligatures w14:val="none"/>
        </w:rPr>
        <w:t xml:space="preserve"> and promote a long-term perspective for digital asset enterprises (Saltz and Dewar, 2019). Therefore, this paper adopts a qualitative case study approach to examine FTX and Alameda Research, focusing on a comprehensive discussion of the issues that affected corporate governance within the two companies.</w:t>
      </w:r>
      <w:r w:rsidR="008B78CD" w:rsidRPr="007271B6">
        <w:rPr>
          <w:rFonts w:ascii="Times New Roman" w:eastAsia="Calibri" w:hAnsi="Times New Roman" w:cs="Times New Roman"/>
          <w:color w:val="222222"/>
          <w:kern w:val="0"/>
          <w:sz w:val="24"/>
          <w:szCs w:val="24"/>
          <w14:ligatures w14:val="none"/>
        </w:rPr>
        <w:t xml:space="preserve"> </w:t>
      </w:r>
      <w:r w:rsidR="00F808B3" w:rsidRPr="007271B6">
        <w:rPr>
          <w:rFonts w:ascii="Times New Roman" w:eastAsia="Calibri" w:hAnsi="Times New Roman" w:cs="Times New Roman"/>
          <w:color w:val="222222"/>
          <w:kern w:val="0"/>
          <w:sz w:val="24"/>
          <w:szCs w:val="24"/>
          <w14:ligatures w14:val="none"/>
        </w:rPr>
        <w:t xml:space="preserve">The systematic review will </w:t>
      </w:r>
      <w:r w:rsidR="00F808B3" w:rsidRPr="00B74058">
        <w:rPr>
          <w:rFonts w:ascii="Times New Roman" w:eastAsia="Calibri" w:hAnsi="Times New Roman" w:cs="Times New Roman"/>
          <w:color w:val="222222"/>
          <w:kern w:val="0"/>
          <w:sz w:val="24"/>
          <w:szCs w:val="24"/>
          <w14:ligatures w14:val="none"/>
        </w:rPr>
        <w:t>apply the use of interpretivism paradigm to facilitate the use of qualitative analysis method.</w:t>
      </w:r>
    </w:p>
    <w:p w14:paraId="6C9952E0" w14:textId="77777777" w:rsidR="00F808B3" w:rsidRPr="007271B6" w:rsidRDefault="00F808B3" w:rsidP="008B2FC1">
      <w:pPr>
        <w:pStyle w:val="Heading2"/>
      </w:pPr>
      <w:bookmarkStart w:id="22" w:name="_Toc165583384"/>
      <w:r w:rsidRPr="00B74058">
        <w:t>Research Challenges</w:t>
      </w:r>
      <w:bookmarkEnd w:id="22"/>
    </w:p>
    <w:p w14:paraId="35D97377" w14:textId="7DB771E9" w:rsidR="00802E71" w:rsidRPr="007271B6" w:rsidRDefault="00802E71" w:rsidP="00802E71">
      <w:pPr>
        <w:spacing w:after="0" w:line="480" w:lineRule="auto"/>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 xml:space="preserve">Although a qualitative case study approach is very useful in analysing and interpreting issues such as corporate governance failures, it has several drawbacks, particularly in terms of data collection. Other significant issues concerning this type of research include access difficulties and security concerns. This is compounded given the lack of regulation, the international scope and secretive nature that these two companies operated within. Accessing important stakeholders in FTX and Alameda Research was one of the biggest difficulties (Hacker 2017). Digital </w:t>
      </w:r>
      <w:r w:rsidR="00B74058">
        <w:rPr>
          <w:rFonts w:ascii="Times New Roman" w:eastAsia="Calibri" w:hAnsi="Times New Roman" w:cs="Times New Roman"/>
          <w:color w:val="222222"/>
          <w:kern w:val="0"/>
          <w:sz w:val="24"/>
          <w:szCs w:val="24"/>
          <w14:ligatures w14:val="none"/>
        </w:rPr>
        <w:t>a</w:t>
      </w:r>
      <w:r w:rsidRPr="007271B6">
        <w:rPr>
          <w:rFonts w:ascii="Times New Roman" w:eastAsia="Calibri" w:hAnsi="Times New Roman" w:cs="Times New Roman"/>
          <w:color w:val="222222"/>
          <w:kern w:val="0"/>
          <w:sz w:val="24"/>
          <w:szCs w:val="24"/>
          <w14:ligatures w14:val="none"/>
        </w:rPr>
        <w:t>sset firms tend to be in a highly competitive, opaque environment, making it difficult to engage with company leaders and employees (</w:t>
      </w:r>
      <w:proofErr w:type="spellStart"/>
      <w:r w:rsidRPr="007271B6">
        <w:rPr>
          <w:rFonts w:ascii="Times New Roman" w:eastAsia="Calibri" w:hAnsi="Times New Roman" w:cs="Times New Roman"/>
          <w:color w:val="222222"/>
          <w:kern w:val="0"/>
          <w:sz w:val="24"/>
          <w:szCs w:val="24"/>
          <w14:ligatures w14:val="none"/>
        </w:rPr>
        <w:t>Akyildirim</w:t>
      </w:r>
      <w:proofErr w:type="spellEnd"/>
      <w:r w:rsidRPr="007271B6">
        <w:rPr>
          <w:rFonts w:ascii="Times New Roman" w:eastAsia="Calibri" w:hAnsi="Times New Roman" w:cs="Times New Roman"/>
          <w:color w:val="222222"/>
          <w:kern w:val="0"/>
          <w:sz w:val="24"/>
          <w:szCs w:val="24"/>
          <w14:ligatures w14:val="none"/>
        </w:rPr>
        <w:t xml:space="preserve"> et al., 2023). Unfortunately, this barrier limited the collection of information directly from those closely </w:t>
      </w:r>
      <w:r w:rsidRPr="007271B6">
        <w:rPr>
          <w:rFonts w:ascii="Times New Roman" w:eastAsia="Calibri" w:hAnsi="Times New Roman" w:cs="Times New Roman"/>
          <w:color w:val="222222"/>
          <w:kern w:val="0"/>
          <w:sz w:val="24"/>
          <w:szCs w:val="24"/>
          <w14:ligatures w14:val="none"/>
        </w:rPr>
        <w:lastRenderedPageBreak/>
        <w:t>associated with corporate governance. Confidentiality concerns made access restrictions even worse. Corporate governance can be awkward, and people operating in these organisations may prefer withholding information due to fear of reprisals or sanctions (</w:t>
      </w:r>
      <w:proofErr w:type="spellStart"/>
      <w:r w:rsidRPr="007271B6">
        <w:rPr>
          <w:rFonts w:ascii="Times New Roman" w:eastAsia="Calibri" w:hAnsi="Times New Roman" w:cs="Times New Roman"/>
          <w:color w:val="222222"/>
          <w:kern w:val="0"/>
          <w:sz w:val="24"/>
          <w:szCs w:val="24"/>
          <w14:ligatures w14:val="none"/>
        </w:rPr>
        <w:t>Akyildirim</w:t>
      </w:r>
      <w:proofErr w:type="spellEnd"/>
      <w:r w:rsidRPr="007271B6">
        <w:rPr>
          <w:rFonts w:ascii="Times New Roman" w:eastAsia="Calibri" w:hAnsi="Times New Roman" w:cs="Times New Roman"/>
          <w:color w:val="222222"/>
          <w:kern w:val="0"/>
          <w:sz w:val="24"/>
          <w:szCs w:val="24"/>
          <w14:ligatures w14:val="none"/>
        </w:rPr>
        <w:t xml:space="preserve"> et al., 2023). The confidentiality and anonymity of the interviewees was very important in this step, which further complicated the collection of material.</w:t>
      </w:r>
    </w:p>
    <w:p w14:paraId="722F771E" w14:textId="6498CD80" w:rsidR="00802E71" w:rsidRPr="007271B6" w:rsidRDefault="00802E71" w:rsidP="00802E71">
      <w:pPr>
        <w:spacing w:after="0" w:line="480" w:lineRule="auto"/>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More comprehensive and up-to-date data on corporate governance practices should be available. Obtaining the information required to answer some of the questions took time, as digital asset management companies volunteer little information to the public (</w:t>
      </w:r>
      <w:proofErr w:type="spellStart"/>
      <w:r w:rsidRPr="007271B6">
        <w:rPr>
          <w:rFonts w:ascii="Times New Roman" w:eastAsia="Calibri" w:hAnsi="Times New Roman" w:cs="Times New Roman"/>
          <w:color w:val="222222"/>
          <w:kern w:val="0"/>
          <w:sz w:val="24"/>
          <w:szCs w:val="24"/>
          <w14:ligatures w14:val="none"/>
        </w:rPr>
        <w:t>Akyildirim</w:t>
      </w:r>
      <w:proofErr w:type="spellEnd"/>
      <w:r w:rsidRPr="007271B6">
        <w:rPr>
          <w:rFonts w:ascii="Times New Roman" w:eastAsia="Calibri" w:hAnsi="Times New Roman" w:cs="Times New Roman"/>
          <w:color w:val="222222"/>
          <w:kern w:val="0"/>
          <w:sz w:val="24"/>
          <w:szCs w:val="24"/>
          <w14:ligatures w14:val="none"/>
        </w:rPr>
        <w:t xml:space="preserve"> et al., 2023). Therefore, the systematic review relied on various sources, including public records, official reports and data disclosed by the companies themselves. These are transnational entities within and outside national borders with different regulatory systems (</w:t>
      </w:r>
      <w:proofErr w:type="spellStart"/>
      <w:r w:rsidRPr="007271B6">
        <w:rPr>
          <w:rFonts w:ascii="Times New Roman" w:eastAsia="Calibri" w:hAnsi="Times New Roman" w:cs="Times New Roman"/>
          <w:color w:val="222222"/>
          <w:kern w:val="0"/>
          <w:sz w:val="24"/>
          <w:szCs w:val="24"/>
          <w14:ligatures w14:val="none"/>
        </w:rPr>
        <w:t>Akyildirim</w:t>
      </w:r>
      <w:proofErr w:type="spellEnd"/>
      <w:r w:rsidRPr="007271B6">
        <w:rPr>
          <w:rFonts w:ascii="Times New Roman" w:eastAsia="Calibri" w:hAnsi="Times New Roman" w:cs="Times New Roman"/>
          <w:color w:val="222222"/>
          <w:kern w:val="0"/>
          <w:sz w:val="24"/>
          <w:szCs w:val="24"/>
          <w14:ligatures w14:val="none"/>
        </w:rPr>
        <w:t xml:space="preserve"> et al., 2023). There are differences in the way data </w:t>
      </w:r>
      <w:r w:rsidR="006B6162">
        <w:rPr>
          <w:rFonts w:ascii="Times New Roman" w:eastAsia="Calibri" w:hAnsi="Times New Roman" w:cs="Times New Roman"/>
          <w:color w:val="222222"/>
          <w:kern w:val="0"/>
          <w:sz w:val="24"/>
          <w:szCs w:val="24"/>
          <w14:ligatures w14:val="none"/>
        </w:rPr>
        <w:t>is</w:t>
      </w:r>
      <w:r w:rsidRPr="007271B6">
        <w:rPr>
          <w:rFonts w:ascii="Times New Roman" w:eastAsia="Calibri" w:hAnsi="Times New Roman" w:cs="Times New Roman"/>
          <w:color w:val="222222"/>
          <w:kern w:val="0"/>
          <w:sz w:val="24"/>
          <w:szCs w:val="24"/>
          <w14:ligatures w14:val="none"/>
        </w:rPr>
        <w:t xml:space="preserve"> reported and interpreted, leading to inconsistencies, especially when the</w:t>
      </w:r>
      <w:r w:rsidR="006B6162">
        <w:rPr>
          <w:rFonts w:ascii="Times New Roman" w:eastAsia="Calibri" w:hAnsi="Times New Roman" w:cs="Times New Roman"/>
          <w:color w:val="222222"/>
          <w:kern w:val="0"/>
          <w:sz w:val="24"/>
          <w:szCs w:val="24"/>
          <w14:ligatures w14:val="none"/>
        </w:rPr>
        <w:t xml:space="preserve"> data</w:t>
      </w:r>
      <w:r w:rsidRPr="007271B6">
        <w:rPr>
          <w:rFonts w:ascii="Times New Roman" w:eastAsia="Calibri" w:hAnsi="Times New Roman" w:cs="Times New Roman"/>
          <w:color w:val="222222"/>
          <w:kern w:val="0"/>
          <w:sz w:val="24"/>
          <w:szCs w:val="24"/>
          <w14:ligatures w14:val="none"/>
        </w:rPr>
        <w:t xml:space="preserve"> come</w:t>
      </w:r>
      <w:r w:rsidR="006B6162">
        <w:rPr>
          <w:rFonts w:ascii="Times New Roman" w:eastAsia="Calibri" w:hAnsi="Times New Roman" w:cs="Times New Roman"/>
          <w:color w:val="222222"/>
          <w:kern w:val="0"/>
          <w:sz w:val="24"/>
          <w:szCs w:val="24"/>
          <w14:ligatures w14:val="none"/>
        </w:rPr>
        <w:t>s</w:t>
      </w:r>
      <w:r w:rsidRPr="007271B6">
        <w:rPr>
          <w:rFonts w:ascii="Times New Roman" w:eastAsia="Calibri" w:hAnsi="Times New Roman" w:cs="Times New Roman"/>
          <w:color w:val="222222"/>
          <w:kern w:val="0"/>
          <w:sz w:val="24"/>
          <w:szCs w:val="24"/>
          <w14:ligatures w14:val="none"/>
        </w:rPr>
        <w:t xml:space="preserve"> from different sources and use</w:t>
      </w:r>
      <w:r w:rsidR="006B6162">
        <w:rPr>
          <w:rFonts w:ascii="Times New Roman" w:eastAsia="Calibri" w:hAnsi="Times New Roman" w:cs="Times New Roman"/>
          <w:color w:val="222222"/>
          <w:kern w:val="0"/>
          <w:sz w:val="24"/>
          <w:szCs w:val="24"/>
          <w14:ligatures w14:val="none"/>
        </w:rPr>
        <w:t>s</w:t>
      </w:r>
      <w:r w:rsidRPr="007271B6">
        <w:rPr>
          <w:rFonts w:ascii="Times New Roman" w:eastAsia="Calibri" w:hAnsi="Times New Roman" w:cs="Times New Roman"/>
          <w:color w:val="222222"/>
          <w:kern w:val="0"/>
          <w:sz w:val="24"/>
          <w:szCs w:val="24"/>
          <w14:ligatures w14:val="none"/>
        </w:rPr>
        <w:t xml:space="preserve"> different standards. It has been very difficult to ensure the reliability of data in such an environment.</w:t>
      </w:r>
    </w:p>
    <w:p w14:paraId="21F9A067" w14:textId="753F29C7" w:rsidR="00802E71" w:rsidRPr="007271B6" w:rsidRDefault="00802E71" w:rsidP="00802E71">
      <w:pPr>
        <w:spacing w:after="0" w:line="480" w:lineRule="auto"/>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 xml:space="preserve">The digital asset industry operates under an unpredictable regulatory regime that differs from country to country. The complexity led to problems in collecting data on compliance, financial </w:t>
      </w:r>
      <w:proofErr w:type="gramStart"/>
      <w:r w:rsidRPr="007271B6">
        <w:rPr>
          <w:rFonts w:ascii="Times New Roman" w:eastAsia="Calibri" w:hAnsi="Times New Roman" w:cs="Times New Roman"/>
          <w:color w:val="222222"/>
          <w:kern w:val="0"/>
          <w:sz w:val="24"/>
          <w:szCs w:val="24"/>
          <w14:ligatures w14:val="none"/>
        </w:rPr>
        <w:t>reporting</w:t>
      </w:r>
      <w:proofErr w:type="gramEnd"/>
      <w:r w:rsidRPr="007271B6">
        <w:rPr>
          <w:rFonts w:ascii="Times New Roman" w:eastAsia="Calibri" w:hAnsi="Times New Roman" w:cs="Times New Roman"/>
          <w:color w:val="222222"/>
          <w:kern w:val="0"/>
          <w:sz w:val="24"/>
          <w:szCs w:val="24"/>
          <w14:ligatures w14:val="none"/>
        </w:rPr>
        <w:t xml:space="preserve"> and governance (Saltz and Dewar, 2019). There were regulatory barriers and legal restrictions</w:t>
      </w:r>
      <w:r w:rsidR="006B6162">
        <w:rPr>
          <w:rFonts w:ascii="Times New Roman" w:eastAsia="Calibri" w:hAnsi="Times New Roman" w:cs="Times New Roman"/>
          <w:color w:val="222222"/>
          <w:kern w:val="0"/>
          <w:sz w:val="24"/>
          <w:szCs w:val="24"/>
          <w14:ligatures w14:val="none"/>
        </w:rPr>
        <w:t xml:space="preserve"> based on a</w:t>
      </w:r>
      <w:r w:rsidRPr="007271B6">
        <w:rPr>
          <w:rFonts w:ascii="Times New Roman" w:eastAsia="Calibri" w:hAnsi="Times New Roman" w:cs="Times New Roman"/>
          <w:color w:val="222222"/>
          <w:kern w:val="0"/>
          <w:sz w:val="24"/>
          <w:szCs w:val="24"/>
          <w14:ligatures w14:val="none"/>
        </w:rPr>
        <w:t xml:space="preserve"> complex web of data protection laws and other regulatory requirements </w:t>
      </w:r>
      <w:r w:rsidR="006B6162">
        <w:rPr>
          <w:rFonts w:ascii="Times New Roman" w:eastAsia="Calibri" w:hAnsi="Times New Roman" w:cs="Times New Roman"/>
          <w:color w:val="222222"/>
          <w:kern w:val="0"/>
          <w:sz w:val="24"/>
          <w:szCs w:val="24"/>
          <w14:ligatures w14:val="none"/>
        </w:rPr>
        <w:t>across</w:t>
      </w:r>
      <w:r w:rsidRPr="007271B6">
        <w:rPr>
          <w:rFonts w:ascii="Times New Roman" w:eastAsia="Calibri" w:hAnsi="Times New Roman" w:cs="Times New Roman"/>
          <w:color w:val="222222"/>
          <w:kern w:val="0"/>
          <w:sz w:val="24"/>
          <w:szCs w:val="24"/>
          <w14:ligatures w14:val="none"/>
        </w:rPr>
        <w:t xml:space="preserve"> different jurisdictions. Compliance with these regulations took</w:t>
      </w:r>
      <w:r w:rsidR="00B74058">
        <w:rPr>
          <w:rFonts w:ascii="Times New Roman" w:eastAsia="Calibri" w:hAnsi="Times New Roman" w:cs="Times New Roman"/>
          <w:color w:val="222222"/>
          <w:kern w:val="0"/>
          <w:sz w:val="24"/>
          <w:szCs w:val="24"/>
          <w14:ligatures w14:val="none"/>
        </w:rPr>
        <w:t xml:space="preserve"> </w:t>
      </w:r>
      <w:r w:rsidRPr="007271B6">
        <w:rPr>
          <w:rFonts w:ascii="Times New Roman" w:eastAsia="Calibri" w:hAnsi="Times New Roman" w:cs="Times New Roman"/>
          <w:color w:val="222222"/>
          <w:kern w:val="0"/>
          <w:sz w:val="24"/>
          <w:szCs w:val="24"/>
          <w14:ligatures w14:val="none"/>
        </w:rPr>
        <w:t>considerable time</w:t>
      </w:r>
      <w:r w:rsidR="00B74058">
        <w:rPr>
          <w:rFonts w:ascii="Times New Roman" w:eastAsia="Calibri" w:hAnsi="Times New Roman" w:cs="Times New Roman"/>
          <w:color w:val="222222"/>
          <w:kern w:val="0"/>
          <w:sz w:val="24"/>
          <w:szCs w:val="24"/>
          <w14:ligatures w14:val="none"/>
        </w:rPr>
        <w:t xml:space="preserve"> to</w:t>
      </w:r>
      <w:r w:rsidRPr="007271B6">
        <w:rPr>
          <w:rFonts w:ascii="Times New Roman" w:eastAsia="Calibri" w:hAnsi="Times New Roman" w:cs="Times New Roman"/>
          <w:color w:val="222222"/>
          <w:kern w:val="0"/>
          <w:sz w:val="24"/>
          <w:szCs w:val="24"/>
          <w14:ligatures w14:val="none"/>
        </w:rPr>
        <w:t xml:space="preserve"> secure the relevant data information (</w:t>
      </w:r>
      <w:proofErr w:type="spellStart"/>
      <w:r w:rsidRPr="007271B6">
        <w:rPr>
          <w:rFonts w:ascii="Times New Roman" w:eastAsia="Calibri" w:hAnsi="Times New Roman" w:cs="Times New Roman"/>
          <w:color w:val="222222"/>
          <w:kern w:val="0"/>
          <w:sz w:val="24"/>
          <w:szCs w:val="24"/>
          <w14:ligatures w14:val="none"/>
        </w:rPr>
        <w:t>Akyildirim</w:t>
      </w:r>
      <w:proofErr w:type="spellEnd"/>
      <w:r w:rsidRPr="007271B6">
        <w:rPr>
          <w:rFonts w:ascii="Times New Roman" w:eastAsia="Calibri" w:hAnsi="Times New Roman" w:cs="Times New Roman"/>
          <w:color w:val="222222"/>
          <w:kern w:val="0"/>
          <w:sz w:val="24"/>
          <w:szCs w:val="24"/>
          <w14:ligatures w14:val="none"/>
        </w:rPr>
        <w:t xml:space="preserve"> et al., 2023). In addition, the researcher had to deal with the legal restrictions that digital asset organisations were likely to impose on data sharing due to contractual agreements and non-disclosure agreements (</w:t>
      </w:r>
      <w:proofErr w:type="spellStart"/>
      <w:r w:rsidRPr="007271B6">
        <w:rPr>
          <w:rFonts w:ascii="Times New Roman" w:eastAsia="Calibri" w:hAnsi="Times New Roman" w:cs="Times New Roman"/>
          <w:color w:val="222222"/>
          <w:kern w:val="0"/>
          <w:sz w:val="24"/>
          <w:szCs w:val="24"/>
          <w14:ligatures w14:val="none"/>
        </w:rPr>
        <w:t>Akyildirim</w:t>
      </w:r>
      <w:proofErr w:type="spellEnd"/>
      <w:r w:rsidRPr="007271B6">
        <w:rPr>
          <w:rFonts w:ascii="Times New Roman" w:eastAsia="Calibri" w:hAnsi="Times New Roman" w:cs="Times New Roman"/>
          <w:color w:val="222222"/>
          <w:kern w:val="0"/>
          <w:sz w:val="24"/>
          <w:szCs w:val="24"/>
          <w14:ligatures w14:val="none"/>
        </w:rPr>
        <w:t xml:space="preserve"> et al., 2023). However, these restrictions limited the scope of data that could be comprehensively analysed. It was very </w:t>
      </w:r>
      <w:r w:rsidRPr="007271B6">
        <w:rPr>
          <w:rFonts w:ascii="Times New Roman" w:eastAsia="Calibri" w:hAnsi="Times New Roman" w:cs="Times New Roman"/>
          <w:color w:val="222222"/>
          <w:kern w:val="0"/>
          <w:sz w:val="24"/>
          <w:szCs w:val="24"/>
          <w14:ligatures w14:val="none"/>
        </w:rPr>
        <w:lastRenderedPageBreak/>
        <w:t xml:space="preserve">important to obtain information </w:t>
      </w:r>
      <w:r w:rsidR="00B74058">
        <w:rPr>
          <w:rFonts w:ascii="Times New Roman" w:eastAsia="Calibri" w:hAnsi="Times New Roman" w:cs="Times New Roman"/>
          <w:color w:val="222222"/>
          <w:kern w:val="0"/>
          <w:sz w:val="24"/>
          <w:szCs w:val="24"/>
          <w14:ligatures w14:val="none"/>
        </w:rPr>
        <w:t xml:space="preserve">ethically </w:t>
      </w:r>
      <w:r w:rsidRPr="007271B6">
        <w:rPr>
          <w:rFonts w:ascii="Times New Roman" w:eastAsia="Calibri" w:hAnsi="Times New Roman" w:cs="Times New Roman"/>
          <w:color w:val="222222"/>
          <w:kern w:val="0"/>
          <w:sz w:val="24"/>
          <w:szCs w:val="24"/>
          <w14:ligatures w14:val="none"/>
        </w:rPr>
        <w:t xml:space="preserve">when investigating governance failures in </w:t>
      </w:r>
      <w:r w:rsidR="00B74058">
        <w:rPr>
          <w:rFonts w:ascii="Times New Roman" w:eastAsia="Calibri" w:hAnsi="Times New Roman" w:cs="Times New Roman"/>
          <w:color w:val="222222"/>
          <w:kern w:val="0"/>
          <w:sz w:val="24"/>
          <w:szCs w:val="24"/>
          <w14:ligatures w14:val="none"/>
        </w:rPr>
        <w:t xml:space="preserve">digital asset </w:t>
      </w:r>
      <w:r w:rsidRPr="007271B6">
        <w:rPr>
          <w:rFonts w:ascii="Times New Roman" w:eastAsia="Calibri" w:hAnsi="Times New Roman" w:cs="Times New Roman"/>
          <w:color w:val="222222"/>
          <w:kern w:val="0"/>
          <w:sz w:val="24"/>
          <w:szCs w:val="24"/>
          <w14:ligatures w14:val="none"/>
        </w:rPr>
        <w:t>companies. Ethical issues arose, particularly in relation to openness and maintaining the trust of stakeholders on the one hand and companies on the other. This balance has helped to maintain the integrity of the research.</w:t>
      </w:r>
    </w:p>
    <w:p w14:paraId="11D89500" w14:textId="008B557B" w:rsidR="00F808B3" w:rsidRPr="007271B6" w:rsidRDefault="00802E71" w:rsidP="00802E71">
      <w:pPr>
        <w:spacing w:after="0" w:line="480" w:lineRule="auto"/>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 xml:space="preserve">Qualitative case studies can be extremely important in understanding the causes of corporate governance failures in companies, including FTX and Alameda Research. However, collecting relevant information on different variables requires work (Hacker 2017). Hurdles facing researchers in this area include access restrictions, data fragmentation, regulatory </w:t>
      </w:r>
      <w:proofErr w:type="gramStart"/>
      <w:r w:rsidRPr="007271B6">
        <w:rPr>
          <w:rFonts w:ascii="Times New Roman" w:eastAsia="Calibri" w:hAnsi="Times New Roman" w:cs="Times New Roman"/>
          <w:color w:val="222222"/>
          <w:kern w:val="0"/>
          <w:sz w:val="24"/>
          <w:szCs w:val="24"/>
          <w14:ligatures w14:val="none"/>
        </w:rPr>
        <w:t>complexity</w:t>
      </w:r>
      <w:proofErr w:type="gramEnd"/>
      <w:r w:rsidRPr="007271B6">
        <w:rPr>
          <w:rFonts w:ascii="Times New Roman" w:eastAsia="Calibri" w:hAnsi="Times New Roman" w:cs="Times New Roman"/>
          <w:color w:val="222222"/>
          <w:kern w:val="0"/>
          <w:sz w:val="24"/>
          <w:szCs w:val="24"/>
          <w14:ligatures w14:val="none"/>
        </w:rPr>
        <w:t xml:space="preserve"> and ethical conflicts. To overcome these hurdles, one must be persistent, </w:t>
      </w:r>
      <w:proofErr w:type="gramStart"/>
      <w:r w:rsidRPr="007271B6">
        <w:rPr>
          <w:rFonts w:ascii="Times New Roman" w:eastAsia="Calibri" w:hAnsi="Times New Roman" w:cs="Times New Roman"/>
          <w:color w:val="222222"/>
          <w:kern w:val="0"/>
          <w:sz w:val="24"/>
          <w:szCs w:val="24"/>
          <w14:ligatures w14:val="none"/>
        </w:rPr>
        <w:t>creative</w:t>
      </w:r>
      <w:proofErr w:type="gramEnd"/>
      <w:r w:rsidRPr="007271B6">
        <w:rPr>
          <w:rFonts w:ascii="Times New Roman" w:eastAsia="Calibri" w:hAnsi="Times New Roman" w:cs="Times New Roman"/>
          <w:color w:val="222222"/>
          <w:kern w:val="0"/>
          <w:sz w:val="24"/>
          <w:szCs w:val="24"/>
          <w14:ligatures w14:val="none"/>
        </w:rPr>
        <w:t xml:space="preserve"> and ethically committed when conducting research (</w:t>
      </w:r>
      <w:proofErr w:type="spellStart"/>
      <w:r w:rsidRPr="007271B6">
        <w:rPr>
          <w:rFonts w:ascii="Times New Roman" w:eastAsia="Calibri" w:hAnsi="Times New Roman" w:cs="Times New Roman"/>
          <w:color w:val="222222"/>
          <w:kern w:val="0"/>
          <w:sz w:val="24"/>
          <w:szCs w:val="24"/>
          <w14:ligatures w14:val="none"/>
        </w:rPr>
        <w:t>Akyildirim</w:t>
      </w:r>
      <w:proofErr w:type="spellEnd"/>
      <w:r w:rsidRPr="007271B6">
        <w:rPr>
          <w:rFonts w:ascii="Times New Roman" w:eastAsia="Calibri" w:hAnsi="Times New Roman" w:cs="Times New Roman"/>
          <w:color w:val="222222"/>
          <w:kern w:val="0"/>
          <w:sz w:val="24"/>
          <w:szCs w:val="24"/>
          <w14:ligatures w14:val="none"/>
        </w:rPr>
        <w:t xml:space="preserve"> et al., 2023). Any research needs to understand the complexities of data collection in this unstable and secretive industry. This can lead to a more comprehensive knowledge of governance failures that will promote better governance practices and accountability for the digital asset industry.</w:t>
      </w:r>
    </w:p>
    <w:p w14:paraId="3CD8E170" w14:textId="77777777" w:rsidR="00F808B3" w:rsidRPr="007271B6" w:rsidRDefault="00F808B3" w:rsidP="008B2FC1">
      <w:pPr>
        <w:pStyle w:val="Heading2"/>
      </w:pPr>
      <w:bookmarkStart w:id="23" w:name="_Toc165583385"/>
      <w:r w:rsidRPr="007271B6">
        <w:t>Data Collection Analysis</w:t>
      </w:r>
      <w:bookmarkEnd w:id="23"/>
    </w:p>
    <w:p w14:paraId="674D679E" w14:textId="77777777" w:rsidR="00F808B3" w:rsidRPr="007271B6" w:rsidRDefault="00F808B3" w:rsidP="008B2FC1">
      <w:pPr>
        <w:pStyle w:val="Heading3"/>
      </w:pPr>
      <w:bookmarkStart w:id="24" w:name="_Toc165583386"/>
      <w:r w:rsidRPr="007271B6">
        <w:t>Qualitative Case Study Approach</w:t>
      </w:r>
      <w:bookmarkEnd w:id="24"/>
    </w:p>
    <w:p w14:paraId="7F88E50F" w14:textId="466C84EA" w:rsidR="00F808B3" w:rsidRPr="007271B6" w:rsidRDefault="0023752E" w:rsidP="00802E71">
      <w:pPr>
        <w:spacing w:after="0" w:line="480" w:lineRule="auto"/>
        <w:ind w:firstLine="720"/>
        <w:rPr>
          <w:rFonts w:ascii="Times New Roman" w:eastAsia="Calibri" w:hAnsi="Times New Roman" w:cs="Times New Roman"/>
          <w:color w:val="222222"/>
          <w:kern w:val="0"/>
          <w:sz w:val="24"/>
          <w:szCs w:val="24"/>
          <w14:ligatures w14:val="none"/>
        </w:rPr>
      </w:pPr>
      <w:r>
        <w:rPr>
          <w:rFonts w:ascii="Times New Roman" w:eastAsia="Calibri" w:hAnsi="Times New Roman" w:cs="Times New Roman"/>
          <w:color w:val="222222"/>
          <w:kern w:val="0"/>
          <w:sz w:val="24"/>
          <w:szCs w:val="24"/>
          <w14:ligatures w14:val="none"/>
        </w:rPr>
        <w:t>Based on the above</w:t>
      </w:r>
      <w:r w:rsidR="00802E71" w:rsidRPr="007271B6">
        <w:rPr>
          <w:rFonts w:ascii="Times New Roman" w:eastAsia="Calibri" w:hAnsi="Times New Roman" w:cs="Times New Roman"/>
          <w:color w:val="222222"/>
          <w:kern w:val="0"/>
          <w:sz w:val="24"/>
          <w:szCs w:val="24"/>
          <w14:ligatures w14:val="none"/>
        </w:rPr>
        <w:t>, a qualitative case study approach would be best for exploring corporate governance within FTX and Alameda Research (</w:t>
      </w:r>
      <w:proofErr w:type="spellStart"/>
      <w:r w:rsidR="00802E71" w:rsidRPr="007271B6">
        <w:rPr>
          <w:rFonts w:ascii="Times New Roman" w:eastAsia="Calibri" w:hAnsi="Times New Roman" w:cs="Times New Roman"/>
          <w:color w:val="222222"/>
          <w:kern w:val="0"/>
          <w:sz w:val="24"/>
          <w:szCs w:val="24"/>
          <w14:ligatures w14:val="none"/>
        </w:rPr>
        <w:t>Akyildirim</w:t>
      </w:r>
      <w:proofErr w:type="spellEnd"/>
      <w:r w:rsidR="00802E71" w:rsidRPr="007271B6">
        <w:rPr>
          <w:rFonts w:ascii="Times New Roman" w:eastAsia="Calibri" w:hAnsi="Times New Roman" w:cs="Times New Roman"/>
          <w:color w:val="222222"/>
          <w:kern w:val="0"/>
          <w:sz w:val="24"/>
          <w:szCs w:val="24"/>
          <w14:ligatures w14:val="none"/>
        </w:rPr>
        <w:t xml:space="preserve"> et al., 2023). Here, they give flexibility for in-depth scrutiny of their governance structures, which often have specific adaptations suited to the digital asset industry. Case studies help explore the intricacies and in-depth understanding of situations and provide a comprehensive view of a particular situation.</w:t>
      </w:r>
    </w:p>
    <w:p w14:paraId="41C86723" w14:textId="77777777" w:rsidR="00F808B3" w:rsidRPr="007271B6" w:rsidRDefault="00F808B3" w:rsidP="008B2FC1">
      <w:pPr>
        <w:pStyle w:val="Heading3"/>
      </w:pPr>
      <w:bookmarkStart w:id="25" w:name="_Toc165583387"/>
      <w:r w:rsidRPr="007271B6">
        <w:t>Exploring Governance in FTX</w:t>
      </w:r>
      <w:bookmarkEnd w:id="25"/>
    </w:p>
    <w:p w14:paraId="120AC2E2" w14:textId="62F98F9D" w:rsidR="00F808B3" w:rsidRPr="007271B6" w:rsidRDefault="00802E71" w:rsidP="00662610">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FTX is a digital asset exchange founded by S</w:t>
      </w:r>
      <w:r w:rsidR="003F546F" w:rsidRPr="007271B6">
        <w:rPr>
          <w:rFonts w:ascii="Times New Roman" w:eastAsia="Calibri" w:hAnsi="Times New Roman" w:cs="Times New Roman"/>
          <w:color w:val="222222"/>
          <w:kern w:val="0"/>
          <w:sz w:val="24"/>
          <w:szCs w:val="24"/>
          <w14:ligatures w14:val="none"/>
        </w:rPr>
        <w:t>BF</w:t>
      </w:r>
      <w:r w:rsidRPr="007271B6">
        <w:rPr>
          <w:rFonts w:ascii="Times New Roman" w:eastAsia="Calibri" w:hAnsi="Times New Roman" w:cs="Times New Roman"/>
          <w:color w:val="222222"/>
          <w:kern w:val="0"/>
          <w:sz w:val="24"/>
          <w:szCs w:val="24"/>
          <w14:ligatures w14:val="none"/>
        </w:rPr>
        <w:t xml:space="preserve"> and Gary Wang. The exchange’s governing practices must be analysed to understand how it made decisions. Due to the constantly changing nature of the industry, it is important to analyse what decisions were made regarding trading products, risk management and compliance and how these </w:t>
      </w:r>
      <w:r w:rsidRPr="007271B6">
        <w:rPr>
          <w:rFonts w:ascii="Times New Roman" w:eastAsia="Calibri" w:hAnsi="Times New Roman" w:cs="Times New Roman"/>
          <w:color w:val="222222"/>
          <w:kern w:val="0"/>
          <w:sz w:val="24"/>
          <w:szCs w:val="24"/>
          <w14:ligatures w14:val="none"/>
        </w:rPr>
        <w:lastRenderedPageBreak/>
        <w:t xml:space="preserve">policies matured over the lifespan of the company. </w:t>
      </w:r>
      <w:r w:rsidR="0092386A">
        <w:rPr>
          <w:rFonts w:ascii="Times New Roman" w:eastAsia="Calibri" w:hAnsi="Times New Roman" w:cs="Times New Roman"/>
          <w:color w:val="222222"/>
          <w:kern w:val="0"/>
          <w:sz w:val="24"/>
          <w:szCs w:val="24"/>
          <w14:ligatures w14:val="none"/>
        </w:rPr>
        <w:t>Other</w:t>
      </w:r>
      <w:r w:rsidRPr="007271B6">
        <w:rPr>
          <w:rFonts w:ascii="Times New Roman" w:eastAsia="Calibri" w:hAnsi="Times New Roman" w:cs="Times New Roman"/>
          <w:color w:val="222222"/>
          <w:kern w:val="0"/>
          <w:sz w:val="24"/>
          <w:szCs w:val="24"/>
          <w14:ligatures w14:val="none"/>
        </w:rPr>
        <w:t xml:space="preserve"> critical polic</w:t>
      </w:r>
      <w:r w:rsidR="0092386A">
        <w:rPr>
          <w:rFonts w:ascii="Times New Roman" w:eastAsia="Calibri" w:hAnsi="Times New Roman" w:cs="Times New Roman"/>
          <w:color w:val="222222"/>
          <w:kern w:val="0"/>
          <w:sz w:val="24"/>
          <w:szCs w:val="24"/>
          <w14:ligatures w14:val="none"/>
        </w:rPr>
        <w:t>ies linked with governance which warrant examination</w:t>
      </w:r>
      <w:r w:rsidRPr="007271B6">
        <w:rPr>
          <w:rFonts w:ascii="Times New Roman" w:eastAsia="Calibri" w:hAnsi="Times New Roman" w:cs="Times New Roman"/>
          <w:color w:val="222222"/>
          <w:kern w:val="0"/>
          <w:sz w:val="24"/>
          <w:szCs w:val="24"/>
          <w14:ligatures w14:val="none"/>
        </w:rPr>
        <w:t xml:space="preserve"> </w:t>
      </w:r>
      <w:r w:rsidR="0092386A">
        <w:rPr>
          <w:rFonts w:ascii="Times New Roman" w:eastAsia="Calibri" w:hAnsi="Times New Roman" w:cs="Times New Roman"/>
          <w:color w:val="222222"/>
          <w:kern w:val="0"/>
          <w:sz w:val="24"/>
          <w:szCs w:val="24"/>
          <w14:ligatures w14:val="none"/>
        </w:rPr>
        <w:t xml:space="preserve">are those associated with </w:t>
      </w:r>
      <w:r w:rsidRPr="007271B6">
        <w:rPr>
          <w:rFonts w:ascii="Times New Roman" w:eastAsia="Calibri" w:hAnsi="Times New Roman" w:cs="Times New Roman"/>
          <w:color w:val="222222"/>
          <w:kern w:val="0"/>
          <w:sz w:val="24"/>
          <w:szCs w:val="24"/>
          <w14:ligatures w14:val="none"/>
        </w:rPr>
        <w:t>financial policies</w:t>
      </w:r>
      <w:r w:rsidR="0092386A">
        <w:rPr>
          <w:rFonts w:ascii="Times New Roman" w:eastAsia="Calibri" w:hAnsi="Times New Roman" w:cs="Times New Roman"/>
          <w:color w:val="222222"/>
          <w:kern w:val="0"/>
          <w:sz w:val="24"/>
          <w:szCs w:val="24"/>
          <w14:ligatures w14:val="none"/>
        </w:rPr>
        <w:t xml:space="preserve"> </w:t>
      </w:r>
      <w:r w:rsidRPr="007271B6">
        <w:rPr>
          <w:rFonts w:ascii="Times New Roman" w:eastAsia="Calibri" w:hAnsi="Times New Roman" w:cs="Times New Roman"/>
          <w:color w:val="222222"/>
          <w:kern w:val="0"/>
          <w:sz w:val="24"/>
          <w:szCs w:val="24"/>
          <w14:ligatures w14:val="none"/>
        </w:rPr>
        <w:t>(</w:t>
      </w:r>
      <w:proofErr w:type="spellStart"/>
      <w:r w:rsidRPr="007271B6">
        <w:rPr>
          <w:rFonts w:ascii="Times New Roman" w:eastAsia="Calibri" w:hAnsi="Times New Roman" w:cs="Times New Roman"/>
          <w:color w:val="222222"/>
          <w:kern w:val="0"/>
          <w:sz w:val="24"/>
          <w:szCs w:val="24"/>
          <w14:ligatures w14:val="none"/>
        </w:rPr>
        <w:t>Akyildirim</w:t>
      </w:r>
      <w:proofErr w:type="spellEnd"/>
      <w:r w:rsidRPr="007271B6">
        <w:rPr>
          <w:rFonts w:ascii="Times New Roman" w:eastAsia="Calibri" w:hAnsi="Times New Roman" w:cs="Times New Roman"/>
          <w:color w:val="222222"/>
          <w:kern w:val="0"/>
          <w:sz w:val="24"/>
          <w:szCs w:val="24"/>
          <w14:ligatures w14:val="none"/>
        </w:rPr>
        <w:t xml:space="preserve"> et al., 2023). In particular, the exchange’s approach to </w:t>
      </w:r>
      <w:r w:rsidR="0092386A">
        <w:rPr>
          <w:rFonts w:ascii="Times New Roman" w:eastAsia="Calibri" w:hAnsi="Times New Roman" w:cs="Times New Roman"/>
          <w:color w:val="222222"/>
          <w:kern w:val="0"/>
          <w:sz w:val="24"/>
          <w:szCs w:val="24"/>
          <w14:ligatures w14:val="none"/>
        </w:rPr>
        <w:t>cash</w:t>
      </w:r>
      <w:r w:rsidRPr="007271B6">
        <w:rPr>
          <w:rFonts w:ascii="Times New Roman" w:eastAsia="Calibri" w:hAnsi="Times New Roman" w:cs="Times New Roman"/>
          <w:color w:val="222222"/>
          <w:kern w:val="0"/>
          <w:sz w:val="24"/>
          <w:szCs w:val="24"/>
          <w14:ligatures w14:val="none"/>
        </w:rPr>
        <w:t xml:space="preserve"> management, liquidity, and </w:t>
      </w:r>
      <w:r w:rsidR="0092386A">
        <w:rPr>
          <w:rFonts w:ascii="Times New Roman" w:eastAsia="Calibri" w:hAnsi="Times New Roman" w:cs="Times New Roman"/>
          <w:color w:val="222222"/>
          <w:kern w:val="0"/>
          <w:sz w:val="24"/>
          <w:szCs w:val="24"/>
          <w14:ligatures w14:val="none"/>
        </w:rPr>
        <w:t xml:space="preserve">segregation of assets </w:t>
      </w:r>
      <w:r w:rsidR="007A3E63">
        <w:rPr>
          <w:rFonts w:ascii="Times New Roman" w:eastAsia="Calibri" w:hAnsi="Times New Roman" w:cs="Times New Roman"/>
          <w:color w:val="222222"/>
          <w:kern w:val="0"/>
          <w:sz w:val="24"/>
          <w:szCs w:val="24"/>
          <w14:ligatures w14:val="none"/>
        </w:rPr>
        <w:t>merit</w:t>
      </w:r>
      <w:r w:rsidRPr="007271B6">
        <w:rPr>
          <w:rFonts w:ascii="Times New Roman" w:eastAsia="Calibri" w:hAnsi="Times New Roman" w:cs="Times New Roman"/>
          <w:color w:val="222222"/>
          <w:kern w:val="0"/>
          <w:sz w:val="24"/>
          <w:szCs w:val="24"/>
          <w14:ligatures w14:val="none"/>
        </w:rPr>
        <w:t xml:space="preserve"> investigation and consideration. The main purpose of the case study is to review the financial policies of FTX to determine its approach to corporate governance and how this impacted the firm.</w:t>
      </w:r>
    </w:p>
    <w:p w14:paraId="41E31D1C" w14:textId="77777777" w:rsidR="00F808B3" w:rsidRPr="007271B6" w:rsidRDefault="00F808B3" w:rsidP="008B2FC1">
      <w:pPr>
        <w:pStyle w:val="Heading3"/>
      </w:pPr>
      <w:bookmarkStart w:id="26" w:name="_Toc165583388"/>
      <w:r w:rsidRPr="007271B6">
        <w:t>Analysing Governance in Alameda Research</w:t>
      </w:r>
      <w:bookmarkEnd w:id="26"/>
    </w:p>
    <w:p w14:paraId="046DB27F" w14:textId="18DB4FA6" w:rsidR="00F808B3" w:rsidRPr="007271B6" w:rsidRDefault="00171415" w:rsidP="00662610">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Alameda Research was a major player among quantitative trading companies for digital assets. Governance in such organisations that typically have a global scope is complicated and involves many factors that need to be considered (</w:t>
      </w:r>
      <w:proofErr w:type="spellStart"/>
      <w:r w:rsidRPr="007271B6">
        <w:rPr>
          <w:rFonts w:ascii="Times New Roman" w:eastAsia="Calibri" w:hAnsi="Times New Roman" w:cs="Times New Roman"/>
          <w:color w:val="222222"/>
          <w:kern w:val="0"/>
          <w:sz w:val="24"/>
          <w:szCs w:val="24"/>
          <w14:ligatures w14:val="none"/>
        </w:rPr>
        <w:t>Akyildirim</w:t>
      </w:r>
      <w:proofErr w:type="spellEnd"/>
      <w:r w:rsidRPr="007271B6">
        <w:rPr>
          <w:rFonts w:ascii="Times New Roman" w:eastAsia="Calibri" w:hAnsi="Times New Roman" w:cs="Times New Roman"/>
          <w:color w:val="222222"/>
          <w:kern w:val="0"/>
          <w:sz w:val="24"/>
          <w:szCs w:val="24"/>
          <w14:ligatures w14:val="none"/>
        </w:rPr>
        <w:t xml:space="preserve"> et al., 2023). Alameda Research's decision-making processes in relation to high-frequency trading and algorithms offer great potential for further investigation (</w:t>
      </w:r>
      <w:proofErr w:type="spellStart"/>
      <w:r w:rsidRPr="007271B6">
        <w:rPr>
          <w:rFonts w:ascii="Times New Roman" w:eastAsia="Calibri" w:hAnsi="Times New Roman" w:cs="Times New Roman"/>
          <w:color w:val="222222"/>
          <w:kern w:val="0"/>
          <w:sz w:val="24"/>
          <w:szCs w:val="24"/>
          <w14:ligatures w14:val="none"/>
        </w:rPr>
        <w:t>Akyildirim</w:t>
      </w:r>
      <w:proofErr w:type="spellEnd"/>
      <w:r w:rsidRPr="007271B6">
        <w:rPr>
          <w:rFonts w:ascii="Times New Roman" w:eastAsia="Calibri" w:hAnsi="Times New Roman" w:cs="Times New Roman"/>
          <w:color w:val="222222"/>
          <w:kern w:val="0"/>
          <w:sz w:val="24"/>
          <w:szCs w:val="24"/>
          <w14:ligatures w14:val="none"/>
        </w:rPr>
        <w:t xml:space="preserve"> et al., 2023). This qualitative case study examines how Alameda Research’s governance structure ensures the efficiency of decision-making in the face of extreme market volatility and regulatory issues. The study includes Alameda Research's financial policies such as risk assessment, capital allocation and financial compliance. According to Saltz and Dewar (2019), this will show how an unregulated company like a digital asset trading firm can appear profitable for a while but mismanage operational risks.</w:t>
      </w:r>
    </w:p>
    <w:p w14:paraId="7F6564EF" w14:textId="77777777" w:rsidR="00F808B3" w:rsidRPr="007271B6" w:rsidRDefault="00F808B3" w:rsidP="008B2FC1">
      <w:pPr>
        <w:pStyle w:val="Heading3"/>
      </w:pPr>
      <w:bookmarkStart w:id="27" w:name="_Toc165583389"/>
      <w:r w:rsidRPr="007271B6">
        <w:t>The Broader Implications</w:t>
      </w:r>
      <w:bookmarkEnd w:id="27"/>
    </w:p>
    <w:p w14:paraId="5AC02650" w14:textId="3239753A" w:rsidR="00F808B3" w:rsidRPr="007271B6" w:rsidRDefault="00171415" w:rsidP="00662610">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 xml:space="preserve">This qualitative case study of two companies, FTX and Alameda Research, is a microcosm for the digital asset industry, which increasingly requires corporate governance (Hacker 2017). The lessons learnt from this case study are helpful for other cryptocurrency exchanges and companies in the blockchain-based space for better governance in the industry. Furthermore, the study emphasises the agility and survivability that are crucial for companies in a dynamic environment. Corporate governance is usually an integral component that promotes reliability, </w:t>
      </w:r>
      <w:proofErr w:type="gramStart"/>
      <w:r w:rsidRPr="007271B6">
        <w:rPr>
          <w:rFonts w:ascii="Times New Roman" w:eastAsia="Calibri" w:hAnsi="Times New Roman" w:cs="Times New Roman"/>
          <w:color w:val="222222"/>
          <w:kern w:val="0"/>
          <w:sz w:val="24"/>
          <w:szCs w:val="24"/>
          <w14:ligatures w14:val="none"/>
        </w:rPr>
        <w:t>security</w:t>
      </w:r>
      <w:proofErr w:type="gramEnd"/>
      <w:r w:rsidRPr="007271B6">
        <w:rPr>
          <w:rFonts w:ascii="Times New Roman" w:eastAsia="Calibri" w:hAnsi="Times New Roman" w:cs="Times New Roman"/>
          <w:color w:val="222222"/>
          <w:kern w:val="0"/>
          <w:sz w:val="24"/>
          <w:szCs w:val="24"/>
          <w14:ligatures w14:val="none"/>
        </w:rPr>
        <w:t xml:space="preserve"> and longevity where innovation and disruptive factors are </w:t>
      </w:r>
      <w:r w:rsidRPr="007271B6">
        <w:rPr>
          <w:rFonts w:ascii="Times New Roman" w:eastAsia="Calibri" w:hAnsi="Times New Roman" w:cs="Times New Roman"/>
          <w:color w:val="222222"/>
          <w:kern w:val="0"/>
          <w:sz w:val="24"/>
          <w:szCs w:val="24"/>
          <w14:ligatures w14:val="none"/>
        </w:rPr>
        <w:lastRenderedPageBreak/>
        <w:t>prevalent in the digital asset industry (</w:t>
      </w:r>
      <w:proofErr w:type="spellStart"/>
      <w:r w:rsidRPr="007271B6">
        <w:rPr>
          <w:rFonts w:ascii="Times New Roman" w:eastAsia="Calibri" w:hAnsi="Times New Roman" w:cs="Times New Roman"/>
          <w:color w:val="222222"/>
          <w:kern w:val="0"/>
          <w:sz w:val="24"/>
          <w:szCs w:val="24"/>
          <w14:ligatures w14:val="none"/>
        </w:rPr>
        <w:t>Akyildirim</w:t>
      </w:r>
      <w:proofErr w:type="spellEnd"/>
      <w:r w:rsidRPr="007271B6">
        <w:rPr>
          <w:rFonts w:ascii="Times New Roman" w:eastAsia="Calibri" w:hAnsi="Times New Roman" w:cs="Times New Roman"/>
          <w:color w:val="222222"/>
          <w:kern w:val="0"/>
          <w:sz w:val="24"/>
          <w:szCs w:val="24"/>
          <w14:ligatures w14:val="none"/>
        </w:rPr>
        <w:t xml:space="preserve"> et al., 2023). A qualitative case study approach provides a useful way to decipher the complexity of governance at FTX and Alameda Research in terms of decision making and accounting policies (</w:t>
      </w:r>
      <w:proofErr w:type="spellStart"/>
      <w:r w:rsidRPr="007271B6">
        <w:rPr>
          <w:rFonts w:ascii="Times New Roman" w:eastAsia="Calibri" w:hAnsi="Times New Roman" w:cs="Times New Roman"/>
          <w:color w:val="222222"/>
          <w:kern w:val="0"/>
          <w:sz w:val="24"/>
          <w:szCs w:val="24"/>
          <w14:ligatures w14:val="none"/>
        </w:rPr>
        <w:t>Akyildirim</w:t>
      </w:r>
      <w:proofErr w:type="spellEnd"/>
      <w:r w:rsidRPr="007271B6">
        <w:rPr>
          <w:rFonts w:ascii="Times New Roman" w:eastAsia="Calibri" w:hAnsi="Times New Roman" w:cs="Times New Roman"/>
          <w:color w:val="222222"/>
          <w:kern w:val="0"/>
          <w:sz w:val="24"/>
          <w:szCs w:val="24"/>
          <w14:ligatures w14:val="none"/>
        </w:rPr>
        <w:t xml:space="preserve"> et al., 2023). The results of this study provide insight into the governance arrangements within these networks and the broader landscape of digital assets. Th</w:t>
      </w:r>
      <w:r w:rsidR="00053F16">
        <w:rPr>
          <w:rFonts w:ascii="Times New Roman" w:eastAsia="Calibri" w:hAnsi="Times New Roman" w:cs="Times New Roman"/>
          <w:color w:val="222222"/>
          <w:kern w:val="0"/>
          <w:sz w:val="24"/>
          <w:szCs w:val="24"/>
          <w14:ligatures w14:val="none"/>
        </w:rPr>
        <w:t xml:space="preserve">e </w:t>
      </w:r>
      <w:proofErr w:type="gramStart"/>
      <w:r w:rsidR="00053F16">
        <w:rPr>
          <w:rFonts w:ascii="Times New Roman" w:eastAsia="Calibri" w:hAnsi="Times New Roman" w:cs="Times New Roman"/>
          <w:color w:val="222222"/>
          <w:kern w:val="0"/>
          <w:sz w:val="24"/>
          <w:szCs w:val="24"/>
          <w14:ligatures w14:val="none"/>
        </w:rPr>
        <w:t>results</w:t>
      </w:r>
      <w:proofErr w:type="gramEnd"/>
      <w:r w:rsidR="00053F16">
        <w:rPr>
          <w:rFonts w:ascii="Times New Roman" w:eastAsia="Calibri" w:hAnsi="Times New Roman" w:cs="Times New Roman"/>
          <w:color w:val="222222"/>
          <w:kern w:val="0"/>
          <w:sz w:val="24"/>
          <w:szCs w:val="24"/>
          <w14:ligatures w14:val="none"/>
        </w:rPr>
        <w:t xml:space="preserve"> of this analysis</w:t>
      </w:r>
      <w:r w:rsidRPr="007271B6">
        <w:rPr>
          <w:rFonts w:ascii="Times New Roman" w:eastAsia="Calibri" w:hAnsi="Times New Roman" w:cs="Times New Roman"/>
          <w:color w:val="222222"/>
          <w:kern w:val="0"/>
          <w:sz w:val="24"/>
          <w:szCs w:val="24"/>
          <w14:ligatures w14:val="none"/>
        </w:rPr>
        <w:t xml:space="preserve"> </w:t>
      </w:r>
      <w:r w:rsidR="00053F16">
        <w:rPr>
          <w:rFonts w:ascii="Times New Roman" w:eastAsia="Calibri" w:hAnsi="Times New Roman" w:cs="Times New Roman"/>
          <w:color w:val="222222"/>
          <w:kern w:val="0"/>
          <w:sz w:val="24"/>
          <w:szCs w:val="24"/>
          <w14:ligatures w14:val="none"/>
        </w:rPr>
        <w:t>aims to</w:t>
      </w:r>
      <w:r w:rsidRPr="007271B6">
        <w:rPr>
          <w:rFonts w:ascii="Times New Roman" w:eastAsia="Calibri" w:hAnsi="Times New Roman" w:cs="Times New Roman"/>
          <w:color w:val="222222"/>
          <w:kern w:val="0"/>
          <w:sz w:val="24"/>
          <w:szCs w:val="24"/>
          <w14:ligatures w14:val="none"/>
        </w:rPr>
        <w:t xml:space="preserve"> provide </w:t>
      </w:r>
      <w:r w:rsidR="00053F16">
        <w:rPr>
          <w:rFonts w:ascii="Times New Roman" w:eastAsia="Calibri" w:hAnsi="Times New Roman" w:cs="Times New Roman"/>
          <w:color w:val="222222"/>
          <w:kern w:val="0"/>
          <w:sz w:val="24"/>
          <w:szCs w:val="24"/>
          <w14:ligatures w14:val="none"/>
        </w:rPr>
        <w:t xml:space="preserve">useful </w:t>
      </w:r>
      <w:r w:rsidRPr="007271B6">
        <w:rPr>
          <w:rFonts w:ascii="Times New Roman" w:eastAsia="Calibri" w:hAnsi="Times New Roman" w:cs="Times New Roman"/>
          <w:color w:val="222222"/>
          <w:kern w:val="0"/>
          <w:sz w:val="24"/>
          <w:szCs w:val="24"/>
          <w14:ligatures w14:val="none"/>
        </w:rPr>
        <w:t xml:space="preserve">insight into </w:t>
      </w:r>
      <w:r w:rsidR="00053F16">
        <w:rPr>
          <w:rFonts w:ascii="Times New Roman" w:eastAsia="Calibri" w:hAnsi="Times New Roman" w:cs="Times New Roman"/>
          <w:color w:val="222222"/>
          <w:kern w:val="0"/>
          <w:sz w:val="24"/>
          <w:szCs w:val="24"/>
          <w14:ligatures w14:val="none"/>
        </w:rPr>
        <w:t>effective corporate</w:t>
      </w:r>
      <w:r w:rsidRPr="007271B6">
        <w:rPr>
          <w:rFonts w:ascii="Times New Roman" w:eastAsia="Calibri" w:hAnsi="Times New Roman" w:cs="Times New Roman"/>
          <w:color w:val="222222"/>
          <w:kern w:val="0"/>
          <w:sz w:val="24"/>
          <w:szCs w:val="24"/>
          <w14:ligatures w14:val="none"/>
        </w:rPr>
        <w:t xml:space="preserve"> governance </w:t>
      </w:r>
      <w:r w:rsidR="00053F16">
        <w:rPr>
          <w:rFonts w:ascii="Times New Roman" w:eastAsia="Calibri" w:hAnsi="Times New Roman" w:cs="Times New Roman"/>
          <w:color w:val="222222"/>
          <w:kern w:val="0"/>
          <w:sz w:val="24"/>
          <w:szCs w:val="24"/>
          <w14:ligatures w14:val="none"/>
        </w:rPr>
        <w:t>within</w:t>
      </w:r>
      <w:r w:rsidRPr="007271B6">
        <w:rPr>
          <w:rFonts w:ascii="Times New Roman" w:eastAsia="Calibri" w:hAnsi="Times New Roman" w:cs="Times New Roman"/>
          <w:color w:val="222222"/>
          <w:kern w:val="0"/>
          <w:sz w:val="24"/>
          <w:szCs w:val="24"/>
          <w14:ligatures w14:val="none"/>
        </w:rPr>
        <w:t xml:space="preserve"> </w:t>
      </w:r>
      <w:r w:rsidR="00053F16">
        <w:rPr>
          <w:rFonts w:ascii="Times New Roman" w:eastAsia="Calibri" w:hAnsi="Times New Roman" w:cs="Times New Roman"/>
          <w:color w:val="222222"/>
          <w:kern w:val="0"/>
          <w:sz w:val="24"/>
          <w:szCs w:val="24"/>
          <w14:ligatures w14:val="none"/>
        </w:rPr>
        <w:t xml:space="preserve">the context of </w:t>
      </w:r>
      <w:r w:rsidRPr="007271B6">
        <w:rPr>
          <w:rFonts w:ascii="Times New Roman" w:eastAsia="Calibri" w:hAnsi="Times New Roman" w:cs="Times New Roman"/>
          <w:color w:val="222222"/>
          <w:kern w:val="0"/>
          <w:sz w:val="24"/>
          <w:szCs w:val="24"/>
          <w14:ligatures w14:val="none"/>
        </w:rPr>
        <w:t>digital asset</w:t>
      </w:r>
      <w:r w:rsidR="00053F16">
        <w:rPr>
          <w:rFonts w:ascii="Times New Roman" w:eastAsia="Calibri" w:hAnsi="Times New Roman" w:cs="Times New Roman"/>
          <w:color w:val="222222"/>
          <w:kern w:val="0"/>
          <w:sz w:val="24"/>
          <w:szCs w:val="24"/>
          <w14:ligatures w14:val="none"/>
        </w:rPr>
        <w:t xml:space="preserve"> firms.</w:t>
      </w:r>
    </w:p>
    <w:p w14:paraId="188AB34A" w14:textId="77777777" w:rsidR="00F808B3" w:rsidRPr="007271B6" w:rsidRDefault="00F808B3" w:rsidP="008B2FC1">
      <w:pPr>
        <w:pStyle w:val="Heading2"/>
      </w:pPr>
      <w:bookmarkStart w:id="28" w:name="_Toc165583390"/>
      <w:r w:rsidRPr="007271B6">
        <w:t>Ethical Considerations</w:t>
      </w:r>
      <w:bookmarkEnd w:id="28"/>
    </w:p>
    <w:p w14:paraId="7ABBEF0C" w14:textId="2CC3492C" w:rsidR="00171415" w:rsidRPr="007271B6" w:rsidRDefault="00171415" w:rsidP="00171415">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A qualitative case study approach utilises a utilitarian ethical framework approach for reliable data collection and analysis regarding failure due to weak corporate governance. Ethical issues lead the research to consider legality, which protects all organisations involved in the research process (</w:t>
      </w:r>
      <w:proofErr w:type="spellStart"/>
      <w:r w:rsidRPr="007271B6">
        <w:rPr>
          <w:rFonts w:ascii="Times New Roman" w:eastAsia="Calibri" w:hAnsi="Times New Roman" w:cs="Times New Roman"/>
          <w:color w:val="222222"/>
          <w:kern w:val="0"/>
          <w:sz w:val="24"/>
          <w:szCs w:val="24"/>
          <w14:ligatures w14:val="none"/>
        </w:rPr>
        <w:t>Akyildirim</w:t>
      </w:r>
      <w:proofErr w:type="spellEnd"/>
      <w:r w:rsidRPr="007271B6">
        <w:rPr>
          <w:rFonts w:ascii="Times New Roman" w:eastAsia="Calibri" w:hAnsi="Times New Roman" w:cs="Times New Roman"/>
          <w:color w:val="222222"/>
          <w:kern w:val="0"/>
          <w:sz w:val="24"/>
          <w:szCs w:val="24"/>
          <w14:ligatures w14:val="none"/>
        </w:rPr>
        <w:t xml:space="preserve"> et al., 2023). Qualitative case studies require the collection of extensive and sensitive information </w:t>
      </w:r>
      <w:r w:rsidR="00F00C27" w:rsidRPr="007271B6">
        <w:rPr>
          <w:rFonts w:ascii="Times New Roman" w:eastAsia="Calibri" w:hAnsi="Times New Roman" w:cs="Times New Roman"/>
          <w:color w:val="222222"/>
          <w:kern w:val="0"/>
          <w:sz w:val="24"/>
          <w:szCs w:val="24"/>
          <w14:ligatures w14:val="none"/>
        </w:rPr>
        <w:t>to</w:t>
      </w:r>
      <w:r w:rsidRPr="007271B6">
        <w:rPr>
          <w:rFonts w:ascii="Times New Roman" w:eastAsia="Calibri" w:hAnsi="Times New Roman" w:cs="Times New Roman"/>
          <w:color w:val="222222"/>
          <w:kern w:val="0"/>
          <w:sz w:val="24"/>
          <w:szCs w:val="24"/>
          <w14:ligatures w14:val="none"/>
        </w:rPr>
        <w:t xml:space="preserve"> obtain a comprehensive picture of the subject. When investigating corporate governance failures in companies such as FTX and Alameda research, it is important to use ethical </w:t>
      </w:r>
      <w:r w:rsidR="00F00C27">
        <w:rPr>
          <w:rFonts w:ascii="Times New Roman" w:eastAsia="Calibri" w:hAnsi="Times New Roman" w:cs="Times New Roman"/>
          <w:color w:val="222222"/>
          <w:kern w:val="0"/>
          <w:sz w:val="24"/>
          <w:szCs w:val="24"/>
          <w14:ligatures w14:val="none"/>
        </w:rPr>
        <w:t xml:space="preserve">data collection </w:t>
      </w:r>
      <w:r w:rsidRPr="007271B6">
        <w:rPr>
          <w:rFonts w:ascii="Times New Roman" w:eastAsia="Calibri" w:hAnsi="Times New Roman" w:cs="Times New Roman"/>
          <w:color w:val="222222"/>
          <w:kern w:val="0"/>
          <w:sz w:val="24"/>
          <w:szCs w:val="24"/>
          <w14:ligatures w14:val="none"/>
        </w:rPr>
        <w:t xml:space="preserve">methods and assessment (Hacker 2017). For example, the surveyor obtained informed consent from everyone involved in the study, such as company executives, </w:t>
      </w:r>
      <w:proofErr w:type="gramStart"/>
      <w:r w:rsidRPr="007271B6">
        <w:rPr>
          <w:rFonts w:ascii="Times New Roman" w:eastAsia="Calibri" w:hAnsi="Times New Roman" w:cs="Times New Roman"/>
          <w:color w:val="222222"/>
          <w:kern w:val="0"/>
          <w:sz w:val="24"/>
          <w:szCs w:val="24"/>
          <w14:ligatures w14:val="none"/>
        </w:rPr>
        <w:t>employees</w:t>
      </w:r>
      <w:proofErr w:type="gramEnd"/>
      <w:r w:rsidRPr="007271B6">
        <w:rPr>
          <w:rFonts w:ascii="Times New Roman" w:eastAsia="Calibri" w:hAnsi="Times New Roman" w:cs="Times New Roman"/>
          <w:color w:val="222222"/>
          <w:kern w:val="0"/>
          <w:sz w:val="24"/>
          <w:szCs w:val="24"/>
          <w14:ligatures w14:val="none"/>
        </w:rPr>
        <w:t xml:space="preserve"> and stakeholders. Consent protects people from harm or danger by educating them on why this survey is necessary and asking them if they are willing to participate.</w:t>
      </w:r>
    </w:p>
    <w:p w14:paraId="16CE924D" w14:textId="77777777" w:rsidR="00171415" w:rsidRPr="007271B6" w:rsidRDefault="00171415" w:rsidP="00171415">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 xml:space="preserve">The research also ensures the privacy of individuals and the confidentiality of the private data used. The researcher pseudonymised the participants and employed secure data storage to protect the privacy of the companies and participants. It is imperative to ensure the security of the information collected as any breach could cause harm to the individuals or organisations involved (Dai et al., 2023). Nevertheless, in an exploratory mode, ethics should take pre-eminence in guiding such a case study concerning corporate governance. The </w:t>
      </w:r>
      <w:r w:rsidRPr="007271B6">
        <w:rPr>
          <w:rFonts w:ascii="Times New Roman" w:eastAsia="Calibri" w:hAnsi="Times New Roman" w:cs="Times New Roman"/>
          <w:color w:val="222222"/>
          <w:kern w:val="0"/>
          <w:sz w:val="24"/>
          <w:szCs w:val="24"/>
          <w14:ligatures w14:val="none"/>
        </w:rPr>
        <w:lastRenderedPageBreak/>
        <w:t>research should be conducted in an unbiased manner and in a way that upholds the ethics of data collection, compliance with laws and regulatory standards, and respect for the organisations' and subjects' interests and rights.</w:t>
      </w:r>
    </w:p>
    <w:p w14:paraId="22DF6723" w14:textId="0DCF6007" w:rsidR="00F808B3" w:rsidRPr="007271B6" w:rsidRDefault="00171415" w:rsidP="00171415">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The review has adopted moral ways to undertake the task in a manner that contributes to a better understanding of the reasons for corporate governance failures in organisations such as FTX and Alameda Research while conducting an ethical and fair investigation (Hacker 2017). Therefore, ethical research practices help to uncover the reasons behind corporate failures and aid in the development of better future governance models.</w:t>
      </w:r>
    </w:p>
    <w:p w14:paraId="6F8470E5" w14:textId="77777777" w:rsidR="00F808B3" w:rsidRPr="007271B6" w:rsidRDefault="00F808B3" w:rsidP="008B2FC1">
      <w:pPr>
        <w:pStyle w:val="Heading2"/>
      </w:pPr>
      <w:bookmarkStart w:id="29" w:name="_Toc165583391"/>
      <w:r w:rsidRPr="007271B6">
        <w:t>Reliability of Qualitative Case Study Approach Method</w:t>
      </w:r>
      <w:bookmarkEnd w:id="29"/>
    </w:p>
    <w:p w14:paraId="4F31B602" w14:textId="77777777" w:rsidR="006A1DEA" w:rsidRPr="007271B6" w:rsidRDefault="006A1DEA" w:rsidP="006A1DEA">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The reliability of the methodology of the case study approach ensures that important data is collected and analysed. The qualitative technique of case studies is considered a reliable method that can be used in the analysis of organisational breakdowns, such as FTX and Alameda Research (Hacker 2017). The detailed explanations of why corporate governance failed at FTX and Alameda Research require an in-depth analysis of their unique contexts, which were characterised by regulatory complications, market dynamics and complex competition (Dai et al., 2023). The case study approach provides an environment in which multiple sources of diverse information can be collected and analysed to provide a holistic understanding of the issues and their implications.</w:t>
      </w:r>
    </w:p>
    <w:p w14:paraId="6B5D9AC1" w14:textId="7FE229E2" w:rsidR="00F808B3" w:rsidRPr="007271B6" w:rsidRDefault="006A1DEA" w:rsidP="008B2FC1">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Saltz and Dewar (2019) show that the qualitative case study approach offers a wide variety of data sources, ranging from interviews to document analysis and observation to archival records. This vast reservoir of information has helped to improve reliability by allowing researchers to verify information, ensuring that multiple sources and views contribute to telling a single story (</w:t>
      </w:r>
      <w:proofErr w:type="spellStart"/>
      <w:r w:rsidRPr="007271B6">
        <w:rPr>
          <w:rFonts w:ascii="Times New Roman" w:eastAsia="Calibri" w:hAnsi="Times New Roman" w:cs="Times New Roman"/>
          <w:color w:val="222222"/>
          <w:kern w:val="0"/>
          <w:sz w:val="24"/>
          <w:szCs w:val="24"/>
          <w14:ligatures w14:val="none"/>
        </w:rPr>
        <w:t>Akyildirim</w:t>
      </w:r>
      <w:proofErr w:type="spellEnd"/>
      <w:r w:rsidRPr="007271B6">
        <w:rPr>
          <w:rFonts w:ascii="Times New Roman" w:eastAsia="Calibri" w:hAnsi="Times New Roman" w:cs="Times New Roman"/>
          <w:color w:val="222222"/>
          <w:kern w:val="0"/>
          <w:sz w:val="24"/>
          <w:szCs w:val="24"/>
          <w14:ligatures w14:val="none"/>
        </w:rPr>
        <w:t xml:space="preserve"> et al., 2023). However, this means that information </w:t>
      </w:r>
      <w:r w:rsidR="00905A2A" w:rsidRPr="007271B6">
        <w:rPr>
          <w:rFonts w:ascii="Times New Roman" w:eastAsia="Calibri" w:hAnsi="Times New Roman" w:cs="Times New Roman"/>
          <w:color w:val="222222"/>
          <w:kern w:val="0"/>
          <w:sz w:val="24"/>
          <w:szCs w:val="24"/>
          <w14:ligatures w14:val="none"/>
        </w:rPr>
        <w:t>should</w:t>
      </w:r>
      <w:r w:rsidRPr="007271B6">
        <w:rPr>
          <w:rFonts w:ascii="Times New Roman" w:eastAsia="Calibri" w:hAnsi="Times New Roman" w:cs="Times New Roman"/>
          <w:color w:val="222222"/>
          <w:kern w:val="0"/>
          <w:sz w:val="24"/>
          <w:szCs w:val="24"/>
          <w14:ligatures w14:val="none"/>
        </w:rPr>
        <w:t xml:space="preserve"> be gathered from internal reports, interviews with stakeholders, and public records for this analysis to be multifaceted and reliable when describing deficiencies in </w:t>
      </w:r>
      <w:r w:rsidRPr="007271B6">
        <w:rPr>
          <w:rFonts w:ascii="Times New Roman" w:eastAsia="Calibri" w:hAnsi="Times New Roman" w:cs="Times New Roman"/>
          <w:color w:val="222222"/>
          <w:kern w:val="0"/>
          <w:sz w:val="24"/>
          <w:szCs w:val="24"/>
          <w14:ligatures w14:val="none"/>
        </w:rPr>
        <w:lastRenderedPageBreak/>
        <w:t>governance at FTX and Alameda Research (Hacker 2017). Another feature of the trustworthiness of a qualitative case study is that the approach is flexible and customisable. Failures in corporate governance occur in various forms that change over time. These variations make the case study approach necessary as its flexible nature allows for the manipulation of different aspects, such as methodologies, focal points, and queries, once the matter is better understood (Dai et al., 2023). The flexibility enables the research to remain responsive toward the ever-changing aspects of corporate governance within the subject space.</w:t>
      </w:r>
    </w:p>
    <w:p w14:paraId="0106C6A4" w14:textId="77777777" w:rsidR="00F808B3" w:rsidRPr="007271B6" w:rsidRDefault="00F808B3" w:rsidP="008B2FC1">
      <w:pPr>
        <w:pStyle w:val="Heading3"/>
      </w:pPr>
      <w:bookmarkStart w:id="30" w:name="_Toc165583392"/>
      <w:r w:rsidRPr="007271B6">
        <w:t>Participant Engagement</w:t>
      </w:r>
      <w:bookmarkEnd w:id="30"/>
    </w:p>
    <w:p w14:paraId="7BFF4409" w14:textId="73180F37" w:rsidR="00F808B3" w:rsidRPr="007271B6" w:rsidRDefault="001A7E04" w:rsidP="00F808B3">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The qualitative case study generally involves interacting with eyewitnesses who have direct knowledge of the phenomenon under investigation. This could include contacting officials such as FTX and Alameda Research officers, employees, or shareholders (</w:t>
      </w:r>
      <w:proofErr w:type="spellStart"/>
      <w:r w:rsidRPr="007271B6">
        <w:rPr>
          <w:rFonts w:ascii="Times New Roman" w:eastAsia="Calibri" w:hAnsi="Times New Roman" w:cs="Times New Roman"/>
          <w:color w:val="222222"/>
          <w:kern w:val="0"/>
          <w:sz w:val="24"/>
          <w:szCs w:val="24"/>
          <w14:ligatures w14:val="none"/>
        </w:rPr>
        <w:t>Akyildirim</w:t>
      </w:r>
      <w:proofErr w:type="spellEnd"/>
      <w:r w:rsidRPr="007271B6">
        <w:rPr>
          <w:rFonts w:ascii="Times New Roman" w:eastAsia="Calibri" w:hAnsi="Times New Roman" w:cs="Times New Roman"/>
          <w:color w:val="222222"/>
          <w:kern w:val="0"/>
          <w:sz w:val="24"/>
          <w:szCs w:val="24"/>
          <w14:ligatures w14:val="none"/>
        </w:rPr>
        <w:t xml:space="preserve"> et al., 2023). It fosters trust and co-operation between participants in data collection and increases their credibility. This helps to obtain truthful and genuine information as participants feel that their views and experiences matter. Through this engagement, employees feel that they have an important role in significantly improving the process and product.</w:t>
      </w:r>
    </w:p>
    <w:p w14:paraId="0AE211E6" w14:textId="77777777" w:rsidR="00F808B3" w:rsidRPr="007271B6" w:rsidRDefault="00F808B3" w:rsidP="008B2FC1">
      <w:pPr>
        <w:pStyle w:val="Heading3"/>
      </w:pPr>
      <w:bookmarkStart w:id="31" w:name="_Toc165583393"/>
      <w:r w:rsidRPr="007271B6">
        <w:t>Validity</w:t>
      </w:r>
      <w:bookmarkEnd w:id="31"/>
    </w:p>
    <w:p w14:paraId="1B7F8983" w14:textId="27E88ECA" w:rsidR="00F808B3" w:rsidRPr="007271B6" w:rsidRDefault="00F808B3" w:rsidP="008B2FC1">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To improve the quality of analysis through a qualitative case study approach, secondary and primary data have been used to support the study, employing the current FTX and Alameda Research example cases.</w:t>
      </w:r>
    </w:p>
    <w:p w14:paraId="06CB3618" w14:textId="77777777" w:rsidR="00F808B3" w:rsidRPr="007271B6" w:rsidRDefault="00F808B3" w:rsidP="008B2FC1">
      <w:pPr>
        <w:pStyle w:val="Heading3"/>
      </w:pPr>
      <w:bookmarkStart w:id="32" w:name="_Toc165583394"/>
      <w:r w:rsidRPr="007271B6">
        <w:t>Primary Data Sources</w:t>
      </w:r>
      <w:bookmarkEnd w:id="32"/>
    </w:p>
    <w:p w14:paraId="3CE6DF7B" w14:textId="77777777" w:rsidR="00F808B3" w:rsidRPr="007271B6" w:rsidRDefault="00F808B3" w:rsidP="00F808B3">
      <w:pPr>
        <w:spacing w:after="0" w:line="480" w:lineRule="auto"/>
        <w:rPr>
          <w:rFonts w:ascii="Times New Roman" w:eastAsia="Calibri" w:hAnsi="Times New Roman" w:cs="Times New Roman"/>
          <w:bCs/>
          <w:i/>
          <w:color w:val="222222"/>
          <w:kern w:val="0"/>
          <w:sz w:val="24"/>
          <w:szCs w:val="24"/>
          <w14:ligatures w14:val="none"/>
        </w:rPr>
      </w:pPr>
      <w:r w:rsidRPr="007271B6">
        <w:rPr>
          <w:rFonts w:ascii="Times New Roman" w:eastAsia="Calibri" w:hAnsi="Times New Roman" w:cs="Times New Roman"/>
          <w:bCs/>
          <w:i/>
          <w:color w:val="222222"/>
          <w:kern w:val="0"/>
          <w:sz w:val="24"/>
          <w:szCs w:val="24"/>
          <w14:ligatures w14:val="none"/>
        </w:rPr>
        <w:t>Interviews with Key Stakeholders:</w:t>
      </w:r>
    </w:p>
    <w:p w14:paraId="3E0231C4" w14:textId="111C2CF9" w:rsidR="00F808B3" w:rsidRPr="007271B6" w:rsidRDefault="001A7E04" w:rsidP="00662610">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 xml:space="preserve">The cornerstone of the qualitative case study approach is interacting with individuals who have first-hand knowledge of the topic. Interviewees </w:t>
      </w:r>
      <w:r w:rsidR="00603030" w:rsidRPr="007271B6">
        <w:rPr>
          <w:rFonts w:ascii="Times New Roman" w:eastAsia="Calibri" w:hAnsi="Times New Roman" w:cs="Times New Roman"/>
          <w:color w:val="222222"/>
          <w:kern w:val="0"/>
          <w:sz w:val="24"/>
          <w:szCs w:val="24"/>
          <w14:ligatures w14:val="none"/>
        </w:rPr>
        <w:t>include five high level</w:t>
      </w:r>
      <w:r w:rsidRPr="007271B6">
        <w:rPr>
          <w:rFonts w:ascii="Times New Roman" w:eastAsia="Calibri" w:hAnsi="Times New Roman" w:cs="Times New Roman"/>
          <w:color w:val="222222"/>
          <w:kern w:val="0"/>
          <w:sz w:val="24"/>
          <w:szCs w:val="24"/>
          <w14:ligatures w14:val="none"/>
        </w:rPr>
        <w:t xml:space="preserve"> FTX and Alameda Research employee</w:t>
      </w:r>
      <w:r w:rsidR="00603030" w:rsidRPr="007271B6">
        <w:rPr>
          <w:rFonts w:ascii="Times New Roman" w:eastAsia="Calibri" w:hAnsi="Times New Roman" w:cs="Times New Roman"/>
          <w:color w:val="222222"/>
          <w:kern w:val="0"/>
          <w:sz w:val="24"/>
          <w:szCs w:val="24"/>
          <w14:ligatures w14:val="none"/>
        </w:rPr>
        <w:t xml:space="preserve">s </w:t>
      </w:r>
      <w:r w:rsidRPr="007271B6">
        <w:rPr>
          <w:rFonts w:ascii="Times New Roman" w:eastAsia="Calibri" w:hAnsi="Times New Roman" w:cs="Times New Roman"/>
          <w:color w:val="222222"/>
          <w:kern w:val="0"/>
          <w:sz w:val="24"/>
          <w:szCs w:val="24"/>
          <w14:ligatures w14:val="none"/>
        </w:rPr>
        <w:t xml:space="preserve">and </w:t>
      </w:r>
      <w:r w:rsidR="00603030" w:rsidRPr="007271B6">
        <w:rPr>
          <w:rFonts w:ascii="Times New Roman" w:eastAsia="Calibri" w:hAnsi="Times New Roman" w:cs="Times New Roman"/>
          <w:color w:val="222222"/>
          <w:kern w:val="0"/>
          <w:sz w:val="24"/>
          <w:szCs w:val="24"/>
          <w14:ligatures w14:val="none"/>
        </w:rPr>
        <w:t xml:space="preserve">three </w:t>
      </w:r>
      <w:r w:rsidRPr="007271B6">
        <w:rPr>
          <w:rFonts w:ascii="Times New Roman" w:eastAsia="Calibri" w:hAnsi="Times New Roman" w:cs="Times New Roman"/>
          <w:color w:val="222222"/>
          <w:kern w:val="0"/>
          <w:sz w:val="24"/>
          <w:szCs w:val="24"/>
          <w14:ligatures w14:val="none"/>
        </w:rPr>
        <w:t xml:space="preserve">stakeholders who revealed how these companies </w:t>
      </w:r>
      <w:r w:rsidRPr="007271B6">
        <w:rPr>
          <w:rFonts w:ascii="Times New Roman" w:eastAsia="Calibri" w:hAnsi="Times New Roman" w:cs="Times New Roman"/>
          <w:color w:val="222222"/>
          <w:kern w:val="0"/>
          <w:sz w:val="24"/>
          <w:szCs w:val="24"/>
          <w14:ligatures w14:val="none"/>
        </w:rPr>
        <w:lastRenderedPageBreak/>
        <w:t>failed to govern themselves (Dai et al., 2023). Primary data sources such as oral interviews and surveys are essential to understanding the intricacies of breaking down governances.</w:t>
      </w:r>
    </w:p>
    <w:p w14:paraId="753C1194" w14:textId="77777777" w:rsidR="00F808B3" w:rsidRPr="007271B6" w:rsidRDefault="00F808B3" w:rsidP="00F808B3">
      <w:pPr>
        <w:spacing w:after="0" w:line="480" w:lineRule="auto"/>
        <w:rPr>
          <w:rFonts w:ascii="Times New Roman" w:eastAsia="Calibri" w:hAnsi="Times New Roman" w:cs="Times New Roman"/>
          <w:bCs/>
          <w:i/>
          <w:color w:val="222222"/>
          <w:kern w:val="0"/>
          <w:sz w:val="24"/>
          <w:szCs w:val="24"/>
          <w14:ligatures w14:val="none"/>
        </w:rPr>
      </w:pPr>
      <w:r w:rsidRPr="007271B6">
        <w:rPr>
          <w:rFonts w:ascii="Times New Roman" w:eastAsia="Calibri" w:hAnsi="Times New Roman" w:cs="Times New Roman"/>
          <w:bCs/>
          <w:i/>
          <w:color w:val="222222"/>
          <w:kern w:val="0"/>
          <w:sz w:val="24"/>
          <w:szCs w:val="24"/>
          <w14:ligatures w14:val="none"/>
        </w:rPr>
        <w:t>Observations:</w:t>
      </w:r>
    </w:p>
    <w:p w14:paraId="62BDCB1E" w14:textId="1FBAB107" w:rsidR="00F808B3" w:rsidRPr="007271B6" w:rsidRDefault="00F808B3" w:rsidP="008B2FC1">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The research may also be enriched by observations undertaken through direct contacts. Through observations, researchers can observe the dynamics behind corporate governance. This will present a firsthand view of how governance policies and regulations get implemented in the organisation. Observational data such as this improves the credibility and trustworthiness of the outcomes.</w:t>
      </w:r>
    </w:p>
    <w:p w14:paraId="662038E2" w14:textId="77777777" w:rsidR="00F808B3" w:rsidRPr="007271B6" w:rsidRDefault="00F808B3" w:rsidP="008B2FC1">
      <w:pPr>
        <w:pStyle w:val="Heading3"/>
      </w:pPr>
      <w:bookmarkStart w:id="33" w:name="_Toc165583395"/>
      <w:r w:rsidRPr="007271B6">
        <w:t>Secondary Data Sources</w:t>
      </w:r>
      <w:bookmarkEnd w:id="33"/>
    </w:p>
    <w:p w14:paraId="7D33122F" w14:textId="77777777" w:rsidR="00F808B3" w:rsidRPr="007271B6" w:rsidRDefault="00F808B3" w:rsidP="00F808B3">
      <w:pPr>
        <w:spacing w:after="0" w:line="480" w:lineRule="auto"/>
        <w:rPr>
          <w:rFonts w:ascii="Times New Roman" w:eastAsia="Calibri" w:hAnsi="Times New Roman" w:cs="Times New Roman"/>
          <w:bCs/>
          <w:i/>
          <w:color w:val="222222"/>
          <w:kern w:val="0"/>
          <w:sz w:val="24"/>
          <w:szCs w:val="24"/>
          <w14:ligatures w14:val="none"/>
        </w:rPr>
      </w:pPr>
      <w:r w:rsidRPr="007271B6">
        <w:rPr>
          <w:rFonts w:ascii="Times New Roman" w:eastAsia="Calibri" w:hAnsi="Times New Roman" w:cs="Times New Roman"/>
          <w:bCs/>
          <w:i/>
          <w:color w:val="222222"/>
          <w:kern w:val="0"/>
          <w:sz w:val="24"/>
          <w:szCs w:val="24"/>
          <w14:ligatures w14:val="none"/>
        </w:rPr>
        <w:t>Archival Records:</w:t>
      </w:r>
    </w:p>
    <w:p w14:paraId="5BC066D1" w14:textId="5826249F" w:rsidR="00F808B3" w:rsidRPr="007271B6" w:rsidRDefault="001A7E04" w:rsidP="008B2FC1">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 xml:space="preserve">Archive records, internal </w:t>
      </w:r>
      <w:proofErr w:type="gramStart"/>
      <w:r w:rsidRPr="007271B6">
        <w:rPr>
          <w:rFonts w:ascii="Times New Roman" w:eastAsia="Calibri" w:hAnsi="Times New Roman" w:cs="Times New Roman"/>
          <w:color w:val="222222"/>
          <w:kern w:val="0"/>
          <w:sz w:val="24"/>
          <w:szCs w:val="24"/>
          <w14:ligatures w14:val="none"/>
        </w:rPr>
        <w:t>documents</w:t>
      </w:r>
      <w:proofErr w:type="gramEnd"/>
      <w:r w:rsidRPr="007271B6">
        <w:rPr>
          <w:rFonts w:ascii="Times New Roman" w:eastAsia="Calibri" w:hAnsi="Times New Roman" w:cs="Times New Roman"/>
          <w:color w:val="222222"/>
          <w:kern w:val="0"/>
          <w:sz w:val="24"/>
          <w:szCs w:val="24"/>
          <w14:ligatures w14:val="none"/>
        </w:rPr>
        <w:t xml:space="preserve"> and historical data help to verify the primary information collected. Examining records such as the company's financial reports, minutes of board meetings and other internal financial reports, among others, can shed light on how the company has adopted corporate governance over time.</w:t>
      </w:r>
    </w:p>
    <w:p w14:paraId="7F353963" w14:textId="77777777" w:rsidR="00F808B3" w:rsidRPr="007271B6" w:rsidRDefault="00F808B3" w:rsidP="00F808B3">
      <w:pPr>
        <w:spacing w:after="0" w:line="480" w:lineRule="auto"/>
        <w:rPr>
          <w:rFonts w:ascii="Times New Roman" w:eastAsia="Calibri" w:hAnsi="Times New Roman" w:cs="Times New Roman"/>
          <w:bCs/>
          <w:i/>
          <w:color w:val="222222"/>
          <w:kern w:val="0"/>
          <w:sz w:val="24"/>
          <w:szCs w:val="24"/>
          <w14:ligatures w14:val="none"/>
        </w:rPr>
      </w:pPr>
      <w:r w:rsidRPr="007271B6">
        <w:rPr>
          <w:rFonts w:ascii="Times New Roman" w:eastAsia="Calibri" w:hAnsi="Times New Roman" w:cs="Times New Roman"/>
          <w:bCs/>
          <w:i/>
          <w:color w:val="222222"/>
          <w:kern w:val="0"/>
          <w:sz w:val="24"/>
          <w:szCs w:val="24"/>
          <w14:ligatures w14:val="none"/>
        </w:rPr>
        <w:t>External Reports and Publications:</w:t>
      </w:r>
    </w:p>
    <w:p w14:paraId="0DC31508" w14:textId="77777777" w:rsidR="001A7E04" w:rsidRPr="007271B6" w:rsidRDefault="001A7E04" w:rsidP="001A7E04">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External reports and publications from regulatory bodies and other industry experts may reflect their views without bias. The sources serve as a reference point for verification and contribute to the authenticity of the research findings.</w:t>
      </w:r>
    </w:p>
    <w:p w14:paraId="1CF43F33" w14:textId="100A9758" w:rsidR="00F808B3" w:rsidRPr="007271B6" w:rsidRDefault="001A7E04" w:rsidP="001A7E04">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 xml:space="preserve">The use of primary and secondary data sources allows for a thorough and comprehensive analysis of governance failings. This means that the qualitative case study approach combined with data from multiple sources allows you to examine from various angles why these problems occurred, how they presented themselves and what their overall impact was (Dai et al., 2023). This multidimensional assessment adds credibility to the results. Accordingly, the qualitative case study approach becomes a viable method supported by a multi-source approach when it comes to explaining corporate governance failures in </w:t>
      </w:r>
      <w:r w:rsidRPr="007271B6">
        <w:rPr>
          <w:rFonts w:ascii="Times New Roman" w:eastAsia="Calibri" w:hAnsi="Times New Roman" w:cs="Times New Roman"/>
          <w:color w:val="222222"/>
          <w:kern w:val="0"/>
          <w:sz w:val="24"/>
          <w:szCs w:val="24"/>
          <w14:ligatures w14:val="none"/>
        </w:rPr>
        <w:lastRenderedPageBreak/>
        <w:t>cases of companies such as FTX and Alameda Research (Hacker 2017). The use of different research sources as well as the application of triangulation methods makes the research more valid. Using such a multi-source approach allows the researcher to paint an honest picture of corporate governance failures by explaining the intricacies and hurdles faced by these institutions. Ultimately, this helps us to understand the main problems in terms of good corporate governance and suggest measures to improve it in the rapidly evolving digital asset sector.</w:t>
      </w:r>
    </w:p>
    <w:p w14:paraId="2CA888C3" w14:textId="77777777" w:rsidR="00F808B3" w:rsidRPr="007271B6" w:rsidRDefault="00F808B3" w:rsidP="00F808B3">
      <w:pPr>
        <w:spacing w:after="0" w:line="480" w:lineRule="auto"/>
        <w:rPr>
          <w:rFonts w:ascii="Times New Roman" w:eastAsia="Calibri" w:hAnsi="Times New Roman" w:cs="Times New Roman"/>
          <w:bCs/>
          <w:i/>
          <w:color w:val="222222"/>
          <w:kern w:val="0"/>
          <w:sz w:val="24"/>
          <w:szCs w:val="24"/>
          <w14:ligatures w14:val="none"/>
        </w:rPr>
      </w:pPr>
      <w:r w:rsidRPr="007271B6">
        <w:rPr>
          <w:rFonts w:ascii="Times New Roman" w:eastAsia="Calibri" w:hAnsi="Times New Roman" w:cs="Times New Roman"/>
          <w:bCs/>
          <w:i/>
          <w:color w:val="222222"/>
          <w:kern w:val="0"/>
          <w:sz w:val="24"/>
          <w:szCs w:val="24"/>
          <w14:ligatures w14:val="none"/>
        </w:rPr>
        <w:t>Triangulation and Cross-Verification</w:t>
      </w:r>
    </w:p>
    <w:p w14:paraId="0A59F3F0" w14:textId="77777777" w:rsidR="001A7E04" w:rsidRPr="007271B6" w:rsidRDefault="001A7E04" w:rsidP="001A7E04">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 xml:space="preserve">Researchers can improve the reliability of findings through triangulation within the qualitative case study approach. Cross-referencing various sources and means is called triangulation. This means that the findings obtained from the interviews are compared with evidence from internal documents, financial </w:t>
      </w:r>
      <w:proofErr w:type="gramStart"/>
      <w:r w:rsidRPr="007271B6">
        <w:rPr>
          <w:rFonts w:ascii="Times New Roman" w:eastAsia="Calibri" w:hAnsi="Times New Roman" w:cs="Times New Roman"/>
          <w:color w:val="222222"/>
          <w:kern w:val="0"/>
          <w:sz w:val="24"/>
          <w:szCs w:val="24"/>
          <w14:ligatures w14:val="none"/>
        </w:rPr>
        <w:t>transactions</w:t>
      </w:r>
      <w:proofErr w:type="gramEnd"/>
      <w:r w:rsidRPr="007271B6">
        <w:rPr>
          <w:rFonts w:ascii="Times New Roman" w:eastAsia="Calibri" w:hAnsi="Times New Roman" w:cs="Times New Roman"/>
          <w:color w:val="222222"/>
          <w:kern w:val="0"/>
          <w:sz w:val="24"/>
          <w:szCs w:val="24"/>
          <w14:ligatures w14:val="none"/>
        </w:rPr>
        <w:t xml:space="preserve"> and external sources in the case of FTX and Alameda Research (Dai et al., 2023). A convergence of evidence from different perspectives strengthens the reliability and validity of the findings. The case study approach is considered reliable when it comes to improving data collection and analysis when discussing complicated topics such as corporate governance in companies like FTX and Alameda Research. Reliability is determined by the extent of its ability to examine context in depth, the use of rich multiple data sources, flexibility, interaction with respondents, and the use of triangulation, among other factors (Dai et al., 2023). The use of such factors, coupled with scientifically grounded research, provides a detailed analysis of corporate governance issues that provides a basis for suggesting improvements. This approach will allow researchers to continue the discussion on corporate governance in the digital asset industry and promote appropriate and reliable governance in this ever-changing sector.</w:t>
      </w:r>
    </w:p>
    <w:p w14:paraId="4D3948C6" w14:textId="629C18ED" w:rsidR="00F808B3" w:rsidRDefault="001A7E04" w:rsidP="001A7E04">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 xml:space="preserve">The qualitative case study approach provides an in-depth account of the qualitative study technique used in gathering reliable data on the corruption allegations at FTX and </w:t>
      </w:r>
      <w:r w:rsidRPr="007271B6">
        <w:rPr>
          <w:rFonts w:ascii="Times New Roman" w:eastAsia="Calibri" w:hAnsi="Times New Roman" w:cs="Times New Roman"/>
          <w:color w:val="222222"/>
          <w:kern w:val="0"/>
          <w:sz w:val="24"/>
          <w:szCs w:val="24"/>
          <w14:ligatures w14:val="none"/>
        </w:rPr>
        <w:lastRenderedPageBreak/>
        <w:t>Alameda Research and governance issues (Hacker, 2017). Th</w:t>
      </w:r>
      <w:r w:rsidR="00E554C7">
        <w:rPr>
          <w:rFonts w:ascii="Times New Roman" w:eastAsia="Calibri" w:hAnsi="Times New Roman" w:cs="Times New Roman"/>
          <w:color w:val="222222"/>
          <w:kern w:val="0"/>
          <w:sz w:val="24"/>
          <w:szCs w:val="24"/>
          <w14:ligatures w14:val="none"/>
        </w:rPr>
        <w:t>is</w:t>
      </w:r>
      <w:r w:rsidRPr="007271B6">
        <w:rPr>
          <w:rFonts w:ascii="Times New Roman" w:eastAsia="Calibri" w:hAnsi="Times New Roman" w:cs="Times New Roman"/>
          <w:color w:val="222222"/>
          <w:kern w:val="0"/>
          <w:sz w:val="24"/>
          <w:szCs w:val="24"/>
          <w14:ligatures w14:val="none"/>
        </w:rPr>
        <w:t xml:space="preserve"> chapter explores all elements associated with this methodology, including the research techniques, the procedures used during the process, and the ethical issues that were observed. A qualitative case study design was used for this study. This research technique is suitable for exploring the intricacies of complex events because it is the best option for investigating the pitfalls of corporate governance in digital asset companies, for example in Alameda Research and FTX (Hacker, 2017). The researcher used the case study method to situate the concerns and consider the unique dynamics and challenges of such organisations.</w:t>
      </w:r>
    </w:p>
    <w:p w14:paraId="714BB0FD" w14:textId="0C4EAB60" w:rsidR="006D36E5" w:rsidRPr="00B06243" w:rsidRDefault="00BE2E0A" w:rsidP="00B06243">
      <w:pPr>
        <w:pStyle w:val="Heading2"/>
      </w:pPr>
      <w:bookmarkStart w:id="34" w:name="_Toc165583396"/>
      <w:r w:rsidRPr="00BE2E0A">
        <w:t>Key Findings, Implications and Recommendations</w:t>
      </w:r>
      <w:bookmarkEnd w:id="34"/>
    </w:p>
    <w:p w14:paraId="5D55DB5B" w14:textId="3F350D4A" w:rsidR="00835A1E" w:rsidRDefault="00BE2E0A" w:rsidP="006D36E5">
      <w:pPr>
        <w:spacing w:after="0" w:line="480" w:lineRule="auto"/>
        <w:ind w:firstLine="720"/>
        <w:rPr>
          <w:rFonts w:ascii="Times New Roman" w:eastAsia="Calibri" w:hAnsi="Times New Roman" w:cs="Times New Roman"/>
          <w:color w:val="222222"/>
          <w:kern w:val="0"/>
          <w:sz w:val="24"/>
          <w:szCs w:val="24"/>
          <w14:ligatures w14:val="none"/>
        </w:rPr>
      </w:pPr>
      <w:r>
        <w:rPr>
          <w:rFonts w:ascii="Times New Roman" w:eastAsia="Calibri" w:hAnsi="Times New Roman" w:cs="Times New Roman"/>
          <w:color w:val="222222"/>
          <w:kern w:val="0"/>
          <w:sz w:val="24"/>
          <w:szCs w:val="24"/>
          <w14:ligatures w14:val="none"/>
        </w:rPr>
        <w:t xml:space="preserve">The </w:t>
      </w:r>
      <w:r w:rsidR="007E2B94">
        <w:rPr>
          <w:rFonts w:ascii="Times New Roman" w:eastAsia="Calibri" w:hAnsi="Times New Roman" w:cs="Times New Roman"/>
          <w:color w:val="222222"/>
          <w:kern w:val="0"/>
          <w:sz w:val="24"/>
          <w:szCs w:val="24"/>
          <w14:ligatures w14:val="none"/>
        </w:rPr>
        <w:t xml:space="preserve">expected </w:t>
      </w:r>
      <w:r>
        <w:rPr>
          <w:rFonts w:ascii="Times New Roman" w:eastAsia="Calibri" w:hAnsi="Times New Roman" w:cs="Times New Roman"/>
          <w:color w:val="222222"/>
          <w:kern w:val="0"/>
          <w:sz w:val="24"/>
          <w:szCs w:val="24"/>
          <w14:ligatures w14:val="none"/>
        </w:rPr>
        <w:t xml:space="preserve">result of this study </w:t>
      </w:r>
      <w:r w:rsidR="007E2B94">
        <w:rPr>
          <w:rFonts w:ascii="Times New Roman" w:eastAsia="Calibri" w:hAnsi="Times New Roman" w:cs="Times New Roman"/>
          <w:color w:val="222222"/>
          <w:kern w:val="0"/>
          <w:sz w:val="24"/>
          <w:szCs w:val="24"/>
          <w14:ligatures w14:val="none"/>
        </w:rPr>
        <w:t>is to illustrate how the bankruptcy of FTX and Alameda Research is directly attributable, to some degree, due to weak corporate governance. By documenting and examining this relationship, th</w:t>
      </w:r>
      <w:r w:rsidR="006D36E5">
        <w:rPr>
          <w:rFonts w:ascii="Times New Roman" w:eastAsia="Calibri" w:hAnsi="Times New Roman" w:cs="Times New Roman"/>
          <w:color w:val="222222"/>
          <w:kern w:val="0"/>
          <w:sz w:val="24"/>
          <w:szCs w:val="24"/>
          <w14:ligatures w14:val="none"/>
        </w:rPr>
        <w:t>e</w:t>
      </w:r>
      <w:r w:rsidR="007E2B94">
        <w:rPr>
          <w:rFonts w:ascii="Times New Roman" w:eastAsia="Calibri" w:hAnsi="Times New Roman" w:cs="Times New Roman"/>
          <w:color w:val="222222"/>
          <w:kern w:val="0"/>
          <w:sz w:val="24"/>
          <w:szCs w:val="24"/>
          <w14:ligatures w14:val="none"/>
        </w:rPr>
        <w:t xml:space="preserve"> study should be able to provide </w:t>
      </w:r>
      <w:r w:rsidR="00694C71">
        <w:rPr>
          <w:rFonts w:ascii="Times New Roman" w:eastAsia="Calibri" w:hAnsi="Times New Roman" w:cs="Times New Roman"/>
          <w:color w:val="222222"/>
          <w:kern w:val="0"/>
          <w:sz w:val="24"/>
          <w:szCs w:val="24"/>
          <w14:ligatures w14:val="none"/>
        </w:rPr>
        <w:t xml:space="preserve">key recommendations regarding corporate governance principles, </w:t>
      </w:r>
      <w:proofErr w:type="gramStart"/>
      <w:r w:rsidR="00694C71">
        <w:rPr>
          <w:rFonts w:ascii="Times New Roman" w:eastAsia="Calibri" w:hAnsi="Times New Roman" w:cs="Times New Roman"/>
          <w:color w:val="222222"/>
          <w:kern w:val="0"/>
          <w:sz w:val="24"/>
          <w:szCs w:val="24"/>
          <w14:ligatures w14:val="none"/>
        </w:rPr>
        <w:t>procedures</w:t>
      </w:r>
      <w:proofErr w:type="gramEnd"/>
      <w:r w:rsidR="00694C71">
        <w:rPr>
          <w:rFonts w:ascii="Times New Roman" w:eastAsia="Calibri" w:hAnsi="Times New Roman" w:cs="Times New Roman"/>
          <w:color w:val="222222"/>
          <w:kern w:val="0"/>
          <w:sz w:val="24"/>
          <w:szCs w:val="24"/>
          <w14:ligatures w14:val="none"/>
        </w:rPr>
        <w:t xml:space="preserve"> and processes to minimise a number of the business risks which contributed to </w:t>
      </w:r>
      <w:r w:rsidR="00907CCB">
        <w:rPr>
          <w:rFonts w:ascii="Times New Roman" w:eastAsia="Calibri" w:hAnsi="Times New Roman" w:cs="Times New Roman"/>
          <w:color w:val="222222"/>
          <w:kern w:val="0"/>
          <w:sz w:val="24"/>
          <w:szCs w:val="24"/>
          <w14:ligatures w14:val="none"/>
        </w:rPr>
        <w:t xml:space="preserve">the bankruptcy of these two </w:t>
      </w:r>
      <w:r w:rsidR="00835A1E">
        <w:rPr>
          <w:rFonts w:ascii="Times New Roman" w:eastAsia="Calibri" w:hAnsi="Times New Roman" w:cs="Times New Roman"/>
          <w:color w:val="222222"/>
          <w:kern w:val="0"/>
          <w:sz w:val="24"/>
          <w:szCs w:val="24"/>
          <w14:ligatures w14:val="none"/>
        </w:rPr>
        <w:t>entities</w:t>
      </w:r>
      <w:r w:rsidR="00694C71">
        <w:rPr>
          <w:rFonts w:ascii="Times New Roman" w:eastAsia="Calibri" w:hAnsi="Times New Roman" w:cs="Times New Roman"/>
          <w:color w:val="222222"/>
          <w:kern w:val="0"/>
          <w:sz w:val="24"/>
          <w:szCs w:val="24"/>
          <w14:ligatures w14:val="none"/>
        </w:rPr>
        <w:t>.</w:t>
      </w:r>
      <w:r w:rsidR="00835A1E">
        <w:rPr>
          <w:rFonts w:ascii="Times New Roman" w:eastAsia="Calibri" w:hAnsi="Times New Roman" w:cs="Times New Roman"/>
          <w:color w:val="222222"/>
          <w:kern w:val="0"/>
          <w:sz w:val="24"/>
          <w:szCs w:val="24"/>
          <w14:ligatures w14:val="none"/>
        </w:rPr>
        <w:t xml:space="preserve"> The implication of this study as a result is </w:t>
      </w:r>
      <w:r w:rsidR="006D36E5">
        <w:rPr>
          <w:rFonts w:ascii="Times New Roman" w:eastAsia="Calibri" w:hAnsi="Times New Roman" w:cs="Times New Roman"/>
          <w:color w:val="222222"/>
          <w:kern w:val="0"/>
          <w:sz w:val="24"/>
          <w:szCs w:val="24"/>
          <w14:ligatures w14:val="none"/>
        </w:rPr>
        <w:t xml:space="preserve">a contribution towards the field of corporate governance, particularly its application to digital asset enterprises. </w:t>
      </w:r>
    </w:p>
    <w:p w14:paraId="313E0F42" w14:textId="307FB208" w:rsidR="005F34DF" w:rsidRPr="007271B6" w:rsidRDefault="00BE2E0A" w:rsidP="007525FB">
      <w:pPr>
        <w:spacing w:after="0" w:line="480" w:lineRule="auto"/>
        <w:ind w:firstLine="720"/>
        <w:rPr>
          <w:rFonts w:ascii="Times New Roman" w:eastAsia="Calibri" w:hAnsi="Times New Roman" w:cs="Times New Roman"/>
          <w:color w:val="222222"/>
          <w:kern w:val="0"/>
          <w:sz w:val="24"/>
          <w:szCs w:val="24"/>
          <w14:ligatures w14:val="none"/>
        </w:rPr>
      </w:pPr>
      <w:r>
        <w:rPr>
          <w:rFonts w:ascii="Times New Roman" w:eastAsia="Calibri" w:hAnsi="Times New Roman" w:cs="Times New Roman"/>
          <w:color w:val="222222"/>
          <w:kern w:val="0"/>
          <w:sz w:val="24"/>
          <w:szCs w:val="24"/>
          <w14:ligatures w14:val="none"/>
        </w:rPr>
        <w:t>Due to the scope and limitation of this study</w:t>
      </w:r>
      <w:r w:rsidR="006D36E5">
        <w:rPr>
          <w:rFonts w:ascii="Times New Roman" w:eastAsia="Calibri" w:hAnsi="Times New Roman" w:cs="Times New Roman"/>
          <w:color w:val="222222"/>
          <w:kern w:val="0"/>
          <w:sz w:val="24"/>
          <w:szCs w:val="24"/>
          <w14:ligatures w14:val="none"/>
        </w:rPr>
        <w:t xml:space="preserve"> it would be anticipated that valuable insight could be gained from further </w:t>
      </w:r>
      <w:r w:rsidR="005F34DF">
        <w:rPr>
          <w:rFonts w:ascii="Times New Roman" w:eastAsia="Calibri" w:hAnsi="Times New Roman" w:cs="Times New Roman"/>
          <w:color w:val="222222"/>
          <w:kern w:val="0"/>
          <w:sz w:val="24"/>
          <w:szCs w:val="24"/>
          <w14:ligatures w14:val="none"/>
        </w:rPr>
        <w:t>research</w:t>
      </w:r>
      <w:r w:rsidR="006D36E5">
        <w:rPr>
          <w:rFonts w:ascii="Times New Roman" w:eastAsia="Calibri" w:hAnsi="Times New Roman" w:cs="Times New Roman"/>
          <w:color w:val="222222"/>
          <w:kern w:val="0"/>
          <w:sz w:val="24"/>
          <w:szCs w:val="24"/>
          <w14:ligatures w14:val="none"/>
        </w:rPr>
        <w:t>.</w:t>
      </w:r>
      <w:r w:rsidR="005F34DF">
        <w:rPr>
          <w:rFonts w:ascii="Times New Roman" w:eastAsia="Calibri" w:hAnsi="Times New Roman" w:cs="Times New Roman"/>
          <w:color w:val="222222"/>
          <w:kern w:val="0"/>
          <w:sz w:val="24"/>
          <w:szCs w:val="24"/>
          <w14:ligatures w14:val="none"/>
        </w:rPr>
        <w:t xml:space="preserve"> Notably a study examining the </w:t>
      </w:r>
      <w:r w:rsidR="00F82DA3">
        <w:rPr>
          <w:rFonts w:ascii="Times New Roman" w:eastAsia="Calibri" w:hAnsi="Times New Roman" w:cs="Times New Roman"/>
          <w:color w:val="222222"/>
          <w:kern w:val="0"/>
          <w:sz w:val="24"/>
          <w:szCs w:val="24"/>
          <w14:ligatures w14:val="none"/>
        </w:rPr>
        <w:t>involvement</w:t>
      </w:r>
      <w:r w:rsidR="005F34DF">
        <w:rPr>
          <w:rFonts w:ascii="Times New Roman" w:eastAsia="Calibri" w:hAnsi="Times New Roman" w:cs="Times New Roman"/>
          <w:color w:val="222222"/>
          <w:kern w:val="0"/>
          <w:sz w:val="24"/>
          <w:szCs w:val="24"/>
          <w14:ligatures w14:val="none"/>
        </w:rPr>
        <w:t xml:space="preserve"> of wider market participants including Binance and Coinbase in the events which </w:t>
      </w:r>
      <w:r w:rsidR="00F82DA3">
        <w:rPr>
          <w:rFonts w:ascii="Times New Roman" w:eastAsia="Calibri" w:hAnsi="Times New Roman" w:cs="Times New Roman"/>
          <w:color w:val="222222"/>
          <w:kern w:val="0"/>
          <w:sz w:val="24"/>
          <w:szCs w:val="24"/>
          <w14:ligatures w14:val="none"/>
        </w:rPr>
        <w:t>contributed</w:t>
      </w:r>
      <w:r w:rsidR="005F34DF">
        <w:rPr>
          <w:rFonts w:ascii="Times New Roman" w:eastAsia="Calibri" w:hAnsi="Times New Roman" w:cs="Times New Roman"/>
          <w:color w:val="222222"/>
          <w:kern w:val="0"/>
          <w:sz w:val="24"/>
          <w:szCs w:val="24"/>
          <w14:ligatures w14:val="none"/>
        </w:rPr>
        <w:t xml:space="preserve"> to the bankruptcy of FTX and Alameda Research and how stronger corporate governance practices could have mitigated these outside influences.</w:t>
      </w:r>
      <w:r w:rsidR="00F82DA3">
        <w:rPr>
          <w:rFonts w:ascii="Times New Roman" w:eastAsia="Calibri" w:hAnsi="Times New Roman" w:cs="Times New Roman"/>
          <w:color w:val="222222"/>
          <w:kern w:val="0"/>
          <w:sz w:val="24"/>
          <w:szCs w:val="24"/>
          <w14:ligatures w14:val="none"/>
        </w:rPr>
        <w:t xml:space="preserve"> Other valuable studies could include how regulators should respond to the rapidly changing digital asset industry regarding corporate governance requirements or how governance frameworks can be created and developed specifically for the digital asset industry.</w:t>
      </w:r>
    </w:p>
    <w:p w14:paraId="665F1C9B" w14:textId="56A8EF3D" w:rsidR="008B78CD" w:rsidRPr="007271B6" w:rsidRDefault="008B78CD" w:rsidP="008B78CD">
      <w:pPr>
        <w:pStyle w:val="Heading2"/>
      </w:pPr>
      <w:bookmarkStart w:id="35" w:name="_Toc165583397"/>
      <w:r w:rsidRPr="007525FB">
        <w:rPr>
          <w:highlight w:val="yellow"/>
        </w:rPr>
        <w:t>Key Findings and Implications</w:t>
      </w:r>
      <w:r w:rsidR="007525FB" w:rsidRPr="007525FB">
        <w:rPr>
          <w:highlight w:val="yellow"/>
        </w:rPr>
        <w:t xml:space="preserve"> to </w:t>
      </w:r>
      <w:proofErr w:type="gramStart"/>
      <w:r w:rsidR="007525FB" w:rsidRPr="007525FB">
        <w:rPr>
          <w:highlight w:val="yellow"/>
        </w:rPr>
        <w:t>include</w:t>
      </w:r>
      <w:bookmarkEnd w:id="35"/>
      <w:proofErr w:type="gramEnd"/>
    </w:p>
    <w:p w14:paraId="2C5B69B4" w14:textId="77777777" w:rsidR="007525FB" w:rsidRPr="007271B6" w:rsidRDefault="007525FB" w:rsidP="00F82DA3">
      <w:pPr>
        <w:spacing w:after="0" w:line="480" w:lineRule="auto"/>
        <w:rPr>
          <w:rFonts w:ascii="Times New Roman" w:eastAsia="Calibri" w:hAnsi="Times New Roman" w:cs="Times New Roman"/>
          <w:color w:val="222222"/>
          <w:kern w:val="0"/>
          <w:sz w:val="24"/>
          <w:szCs w:val="24"/>
          <w14:ligatures w14:val="none"/>
        </w:rPr>
      </w:pPr>
    </w:p>
    <w:p w14:paraId="29A9BBDB" w14:textId="77777777" w:rsidR="00F808B3" w:rsidRPr="007271B6" w:rsidRDefault="00F808B3" w:rsidP="008B2FC1">
      <w:pPr>
        <w:pStyle w:val="Heading2"/>
      </w:pPr>
      <w:bookmarkStart w:id="36" w:name="_Toc165583398"/>
      <w:r w:rsidRPr="007271B6">
        <w:t>Conclusion</w:t>
      </w:r>
      <w:bookmarkEnd w:id="36"/>
    </w:p>
    <w:p w14:paraId="7EE15749" w14:textId="77777777" w:rsidR="001A7E04" w:rsidRPr="007271B6" w:rsidRDefault="001A7E04" w:rsidP="001A7E04">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 xml:space="preserve">The first-hand knowledge of corporate governance failure comes from primary data sources. Interviews were conducted with FTX and Alameda Research executives, employees, and other stakeholders during the data collection process. The information gathered from these interviews forms important qualitative insights that shed light on the decision-making processes, policy structures, and situations in which the collapse occurred in the event of governance failures. The observations provided an alternative way of gathering information. Participant observation was also used by researchers who visited institutions to observe how governance manifested itself. This practise provided direct evidence of governance and policy that served as the basis for real-time observations of governance. Secondary data sources, including archival records and internal documents, were critical to consolidating the primary data. The researchers analysed financial reports, board meeting minutes and </w:t>
      </w:r>
      <w:r w:rsidRPr="007271B6">
        <w:rPr>
          <w:rFonts w:ascii="Times New Roman" w:eastAsia="Calibri" w:hAnsi="Times New Roman" w:cs="Times New Roman"/>
          <w:color w:val="222222"/>
          <w:kern w:val="0"/>
          <w:sz w:val="24"/>
          <w:szCs w:val="24"/>
          <w14:ligatures w14:val="none"/>
        </w:rPr>
        <w:lastRenderedPageBreak/>
        <w:t>historical documents that helped to trace the evolution of corporate governance at FTX and Alameda Research.</w:t>
      </w:r>
    </w:p>
    <w:p w14:paraId="4C0930FE" w14:textId="25DE905F" w:rsidR="00F808B3" w:rsidRPr="007271B6" w:rsidRDefault="001A7E04" w:rsidP="001A7E04">
      <w:pPr>
        <w:spacing w:after="0" w:line="480" w:lineRule="auto"/>
        <w:ind w:firstLine="720"/>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t>The qualitative case study approach is an appropriate and powerful means of gathering accurate data on why the corporate governance systems at FTX and Alameda Research failed. The researcher systematically analysed data from primary and secondary sources, while also looking at ethics when analysing the corporate governance problems of these companies. This approach has indeed provided useful insights into the debate on corporate governance in the digital asset industry and can serve as a basis for improvement if accountability is to be introduced in this dynamic industry. The methodology used provides relevant and reliable results that promote the realisation of the study's objectives. The reliability and authenticity of the methodology is therefore an essential foundation for the results part of the project.</w:t>
      </w:r>
    </w:p>
    <w:p w14:paraId="4D04841E" w14:textId="2E2BA950" w:rsidR="008B2FC1" w:rsidRPr="007271B6" w:rsidRDefault="00F808B3" w:rsidP="005F2845">
      <w:pPr>
        <w:tabs>
          <w:tab w:val="left" w:pos="3002"/>
        </w:tabs>
        <w:spacing w:after="0" w:line="480" w:lineRule="auto"/>
        <w:rPr>
          <w:rFonts w:ascii="Times New Roman" w:hAnsi="Times New Roman" w:cs="Times New Roman"/>
          <w:kern w:val="0"/>
          <w:sz w:val="24"/>
          <w:szCs w:val="24"/>
        </w:rPr>
      </w:pPr>
      <w:r w:rsidRPr="007271B6">
        <w:rPr>
          <w:rFonts w:ascii="Times New Roman" w:hAnsi="Times New Roman" w:cs="Times New Roman"/>
          <w:kern w:val="0"/>
          <w:sz w:val="24"/>
          <w:szCs w:val="24"/>
        </w:rPr>
        <w:tab/>
      </w:r>
    </w:p>
    <w:p w14:paraId="70F92184" w14:textId="7ABD5170" w:rsidR="00F808B3" w:rsidRPr="007271B6" w:rsidRDefault="00F808B3" w:rsidP="002770D2">
      <w:pPr>
        <w:pStyle w:val="Heading1"/>
        <w:rPr>
          <w:lang w:val="en-GB"/>
        </w:rPr>
      </w:pPr>
      <w:bookmarkStart w:id="37" w:name="_Toc165583399"/>
      <w:r w:rsidRPr="007271B6">
        <w:rPr>
          <w:lang w:val="en-GB"/>
        </w:rPr>
        <w:lastRenderedPageBreak/>
        <w:t>Analysis &amp; Results</w:t>
      </w:r>
      <w:bookmarkEnd w:id="37"/>
    </w:p>
    <w:p w14:paraId="0F756980" w14:textId="77777777" w:rsidR="00217A79" w:rsidRPr="007271B6" w:rsidRDefault="00217A79" w:rsidP="00217A79">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 xml:space="preserve">This chapter includes the analysis of archives, literature research and interviews through various investigative documentaries. The documentary interviews from these two channels serve as primary sources for a first-hand account of the participants in the study, mainly the key players from the companies FTX and Alameda Research. Priority coding was used to analyse the data; three predetermined codes were used to categorise the data, including corporate governance practices, corporate </w:t>
      </w:r>
      <w:proofErr w:type="gramStart"/>
      <w:r w:rsidRPr="007271B6">
        <w:rPr>
          <w:rFonts w:ascii="Times New Roman" w:hAnsi="Times New Roman" w:cs="Times New Roman"/>
          <w:kern w:val="0"/>
          <w:sz w:val="24"/>
          <w:szCs w:val="24"/>
        </w:rPr>
        <w:t>issues</w:t>
      </w:r>
      <w:proofErr w:type="gramEnd"/>
      <w:r w:rsidRPr="007271B6">
        <w:rPr>
          <w:rFonts w:ascii="Times New Roman" w:hAnsi="Times New Roman" w:cs="Times New Roman"/>
          <w:kern w:val="0"/>
          <w:sz w:val="24"/>
          <w:szCs w:val="24"/>
        </w:rPr>
        <w:t xml:space="preserve"> and cryptocurrency regulation. A cross-examination of the collapse and previous collapses of Terra/Luna and the Three Arrows was also conducted to identify similarities and differences.</w:t>
      </w:r>
    </w:p>
    <w:p w14:paraId="265D14C4" w14:textId="77777777" w:rsidR="00217A79" w:rsidRPr="007271B6" w:rsidRDefault="00217A79" w:rsidP="00217A79">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 xml:space="preserve">Priori coding was deployed to uncover an in-depth understanding of the FTX and Alameda Research corporate failure (Creswell and </w:t>
      </w:r>
      <w:proofErr w:type="spellStart"/>
      <w:r w:rsidRPr="007271B6">
        <w:rPr>
          <w:rFonts w:ascii="Times New Roman" w:hAnsi="Times New Roman" w:cs="Times New Roman"/>
          <w:kern w:val="0"/>
          <w:sz w:val="24"/>
          <w:szCs w:val="24"/>
        </w:rPr>
        <w:t>Poth</w:t>
      </w:r>
      <w:proofErr w:type="spellEnd"/>
      <w:r w:rsidRPr="007271B6">
        <w:rPr>
          <w:rFonts w:ascii="Times New Roman" w:hAnsi="Times New Roman" w:cs="Times New Roman"/>
          <w:kern w:val="0"/>
          <w:sz w:val="24"/>
          <w:szCs w:val="24"/>
        </w:rPr>
        <w:t xml:space="preserve">, 2016). The predetermined codes guided the data analysis by providing the framework for the study and helping to identify categories for the data from the interviews, </w:t>
      </w:r>
      <w:proofErr w:type="gramStart"/>
      <w:r w:rsidRPr="007271B6">
        <w:rPr>
          <w:rFonts w:ascii="Times New Roman" w:hAnsi="Times New Roman" w:cs="Times New Roman"/>
          <w:kern w:val="0"/>
          <w:sz w:val="24"/>
          <w:szCs w:val="24"/>
        </w:rPr>
        <w:t>archives</w:t>
      </w:r>
      <w:proofErr w:type="gramEnd"/>
      <w:r w:rsidRPr="007271B6">
        <w:rPr>
          <w:rFonts w:ascii="Times New Roman" w:hAnsi="Times New Roman" w:cs="Times New Roman"/>
          <w:kern w:val="0"/>
          <w:sz w:val="24"/>
          <w:szCs w:val="24"/>
        </w:rPr>
        <w:t xml:space="preserve"> and literature review. Identified themes that form the predetermined codes include corporate governance practices, corporate </w:t>
      </w:r>
      <w:proofErr w:type="gramStart"/>
      <w:r w:rsidRPr="007271B6">
        <w:rPr>
          <w:rFonts w:ascii="Times New Roman" w:hAnsi="Times New Roman" w:cs="Times New Roman"/>
          <w:kern w:val="0"/>
          <w:sz w:val="24"/>
          <w:szCs w:val="24"/>
        </w:rPr>
        <w:t>issues</w:t>
      </w:r>
      <w:proofErr w:type="gramEnd"/>
      <w:r w:rsidRPr="007271B6">
        <w:rPr>
          <w:rFonts w:ascii="Times New Roman" w:hAnsi="Times New Roman" w:cs="Times New Roman"/>
          <w:kern w:val="0"/>
          <w:sz w:val="24"/>
          <w:szCs w:val="24"/>
        </w:rPr>
        <w:t xml:space="preserve"> and cryptocurrency regulations. The data collected and reviewed was sorted and categorised for analysis based on these themes.</w:t>
      </w:r>
    </w:p>
    <w:p w14:paraId="6F9C1E1B" w14:textId="7B46870B" w:rsidR="00F808B3" w:rsidRPr="007271B6" w:rsidRDefault="00217A79" w:rsidP="00217A79">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The coding was primarily concerned with utilising the given themes from the literature review to create a comprehensive argument for their qualification. As a result, the analysis focused on three elements of entrepreneurial failure with the goal of shedding light on the relationships between FTX and Alameda Research and ultimate failure through cross-case analysis and invariant comparisons. Themes were drawn and constructed from various qualitative analyses of key informant interviews, stories, and archival data to explain the failure of FTX. Several video interviews from primary sources such as Bloomberg Originals and CNBC provide detailed descriptions that provide an in-depth understanding of the extent and nature of t</w:t>
      </w:r>
      <w:r w:rsidR="004909ED" w:rsidRPr="007271B6">
        <w:rPr>
          <w:rFonts w:ascii="Times New Roman" w:hAnsi="Times New Roman" w:cs="Times New Roman"/>
          <w:kern w:val="0"/>
          <w:sz w:val="24"/>
          <w:szCs w:val="24"/>
        </w:rPr>
        <w:t>he underlying company issues</w:t>
      </w:r>
      <w:r w:rsidRPr="007271B6">
        <w:rPr>
          <w:rFonts w:ascii="Times New Roman" w:hAnsi="Times New Roman" w:cs="Times New Roman"/>
          <w:kern w:val="0"/>
          <w:sz w:val="24"/>
          <w:szCs w:val="24"/>
        </w:rPr>
        <w:t xml:space="preserve"> and corporate governance practises to provide a </w:t>
      </w:r>
      <w:r w:rsidRPr="007271B6">
        <w:rPr>
          <w:rFonts w:ascii="Times New Roman" w:hAnsi="Times New Roman" w:cs="Times New Roman"/>
          <w:kern w:val="0"/>
          <w:sz w:val="24"/>
          <w:szCs w:val="24"/>
        </w:rPr>
        <w:lastRenderedPageBreak/>
        <w:t>modest conclusion and recommendation based on the case study of FTX and Alameda. R0-R7 identifies the eight interviewees for this study; full demographic information can b</w:t>
      </w:r>
      <w:r w:rsidR="00846984" w:rsidRPr="007271B6">
        <w:rPr>
          <w:rFonts w:ascii="Times New Roman" w:hAnsi="Times New Roman" w:cs="Times New Roman"/>
          <w:kern w:val="0"/>
          <w:sz w:val="24"/>
          <w:szCs w:val="24"/>
        </w:rPr>
        <w:t>e found in Table 1 in Appendix</w:t>
      </w:r>
      <w:r w:rsidRPr="007271B6">
        <w:rPr>
          <w:rFonts w:ascii="Times New Roman" w:hAnsi="Times New Roman" w:cs="Times New Roman"/>
          <w:kern w:val="0"/>
          <w:sz w:val="24"/>
          <w:szCs w:val="24"/>
        </w:rPr>
        <w:t>.</w:t>
      </w:r>
    </w:p>
    <w:p w14:paraId="533BE2E0" w14:textId="77777777" w:rsidR="00F808B3" w:rsidRPr="007271B6" w:rsidRDefault="00F808B3" w:rsidP="008B2FC1">
      <w:pPr>
        <w:pStyle w:val="Heading2"/>
      </w:pPr>
      <w:bookmarkStart w:id="38" w:name="_Toc165583400"/>
      <w:r w:rsidRPr="007271B6">
        <w:t>Theme 1: Company Issues</w:t>
      </w:r>
      <w:bookmarkEnd w:id="38"/>
    </w:p>
    <w:p w14:paraId="3B7B88F6" w14:textId="06CF20F9" w:rsidR="00F808B3" w:rsidRPr="007271B6" w:rsidRDefault="00A036E5" w:rsidP="00F808B3">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Multiple financial sources reveal that the unprecedented collapse of FTX was a significant blow to the cryptocurrency market, exposing loopholes in the companies (CNBC, 2023; Roy, Anand, and Chandra, 2022). This unveils the first sub-theme on the organisational structure of FTX and Alameda Research; see Figure 1 below.</w:t>
      </w:r>
      <w:r w:rsidR="00F808B3" w:rsidRPr="007271B6">
        <w:rPr>
          <w:rFonts w:ascii="Times New Roman" w:hAnsi="Times New Roman" w:cs="Times New Roman"/>
          <w:kern w:val="0"/>
          <w:sz w:val="24"/>
          <w:szCs w:val="24"/>
        </w:rPr>
        <w:t xml:space="preserve"> </w:t>
      </w:r>
    </w:p>
    <w:p w14:paraId="0D421A30" w14:textId="64BE5257" w:rsidR="00F808B3" w:rsidRPr="007271B6" w:rsidRDefault="00F808B3" w:rsidP="00F808B3">
      <w:pPr>
        <w:spacing w:after="0" w:line="240" w:lineRule="auto"/>
        <w:ind w:left="709" w:firstLine="11"/>
        <w:rPr>
          <w:rFonts w:ascii="Times New Roman" w:hAnsi="Times New Roman" w:cs="Times New Roman"/>
          <w:i/>
          <w:kern w:val="0"/>
          <w:sz w:val="24"/>
          <w:szCs w:val="24"/>
        </w:rPr>
      </w:pPr>
      <w:r w:rsidRPr="007271B6">
        <w:rPr>
          <w:rFonts w:ascii="Times New Roman" w:hAnsi="Times New Roman" w:cs="Times New Roman"/>
          <w:i/>
          <w:kern w:val="0"/>
          <w:sz w:val="24"/>
          <w:szCs w:val="24"/>
        </w:rPr>
        <w:t>R3: I had no reason to suspect that FTX wasn’t anything other than extremely profitable and in great shape…Sam was embarking on fundraising…He had said both on some internal all hands, and externally that ftx.com had 2 billion in excess capital, as a result of its raises, and FTX US has 6-$700</w:t>
      </w:r>
      <w:r w:rsidR="00E554C7">
        <w:rPr>
          <w:rFonts w:ascii="Times New Roman" w:hAnsi="Times New Roman" w:cs="Times New Roman"/>
          <w:i/>
          <w:kern w:val="0"/>
          <w:sz w:val="24"/>
          <w:szCs w:val="24"/>
        </w:rPr>
        <w:t xml:space="preserve"> million</w:t>
      </w:r>
      <w:r w:rsidRPr="007271B6">
        <w:rPr>
          <w:rFonts w:ascii="Times New Roman" w:hAnsi="Times New Roman" w:cs="Times New Roman"/>
          <w:i/>
          <w:kern w:val="0"/>
          <w:sz w:val="24"/>
          <w:szCs w:val="24"/>
        </w:rPr>
        <w:t xml:space="preserve">, and they were in </w:t>
      </w:r>
      <w:proofErr w:type="spellStart"/>
      <w:r w:rsidRPr="007271B6">
        <w:rPr>
          <w:rFonts w:ascii="Times New Roman" w:hAnsi="Times New Roman" w:cs="Times New Roman"/>
          <w:i/>
          <w:kern w:val="0"/>
          <w:sz w:val="24"/>
          <w:szCs w:val="24"/>
        </w:rPr>
        <w:t>amasing</w:t>
      </w:r>
      <w:proofErr w:type="spellEnd"/>
      <w:r w:rsidRPr="007271B6">
        <w:rPr>
          <w:rFonts w:ascii="Times New Roman" w:hAnsi="Times New Roman" w:cs="Times New Roman"/>
          <w:i/>
          <w:kern w:val="0"/>
          <w:sz w:val="24"/>
          <w:szCs w:val="24"/>
        </w:rPr>
        <w:t xml:space="preserve"> shape…We had absolutely no clue (CNBC, 2023, 10:00-27:00). </w:t>
      </w:r>
    </w:p>
    <w:p w14:paraId="3BF36E97" w14:textId="77777777" w:rsidR="00F808B3" w:rsidRPr="007271B6" w:rsidRDefault="00F808B3" w:rsidP="00F808B3">
      <w:pPr>
        <w:spacing w:after="0" w:line="24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 xml:space="preserve"> </w:t>
      </w:r>
    </w:p>
    <w:p w14:paraId="04E677D1" w14:textId="77777777" w:rsidR="00F808B3" w:rsidRPr="007271B6" w:rsidRDefault="00F808B3" w:rsidP="00F808B3">
      <w:pPr>
        <w:spacing w:after="0" w:line="480" w:lineRule="auto"/>
        <w:ind w:firstLine="709"/>
        <w:rPr>
          <w:rFonts w:ascii="Times New Roman" w:hAnsi="Times New Roman" w:cs="Times New Roman"/>
          <w:kern w:val="0"/>
          <w:sz w:val="24"/>
          <w:szCs w:val="24"/>
        </w:rPr>
      </w:pPr>
      <w:r w:rsidRPr="007271B6">
        <w:rPr>
          <w:rFonts w:ascii="Times New Roman" w:hAnsi="Times New Roman" w:cs="Times New Roman"/>
          <w:kern w:val="0"/>
          <w:sz w:val="24"/>
          <w:szCs w:val="24"/>
        </w:rPr>
        <w:t>When asked by CNBC about the conflict of interest and ties between FTX and Alameda Research and how the two companies survived the crush, the key respondent answered:</w:t>
      </w:r>
    </w:p>
    <w:p w14:paraId="188F420D" w14:textId="6A14E0C7" w:rsidR="00F808B3" w:rsidRPr="007271B6" w:rsidRDefault="00F808B3" w:rsidP="00F808B3">
      <w:pPr>
        <w:spacing w:after="0" w:line="240" w:lineRule="auto"/>
        <w:ind w:left="709"/>
        <w:rPr>
          <w:rFonts w:ascii="Times New Roman" w:hAnsi="Times New Roman" w:cs="Times New Roman"/>
          <w:i/>
          <w:kern w:val="0"/>
          <w:sz w:val="24"/>
          <w:szCs w:val="24"/>
        </w:rPr>
      </w:pPr>
      <w:r w:rsidRPr="007271B6">
        <w:rPr>
          <w:rFonts w:ascii="Times New Roman" w:hAnsi="Times New Roman" w:cs="Times New Roman"/>
          <w:i/>
          <w:kern w:val="0"/>
          <w:sz w:val="24"/>
          <w:szCs w:val="24"/>
        </w:rPr>
        <w:t xml:space="preserve">R0: I mean, I think, and </w:t>
      </w:r>
      <w:proofErr w:type="gramStart"/>
      <w:r w:rsidRPr="007271B6">
        <w:rPr>
          <w:rFonts w:ascii="Times New Roman" w:hAnsi="Times New Roman" w:cs="Times New Roman"/>
          <w:i/>
          <w:kern w:val="0"/>
          <w:sz w:val="24"/>
          <w:szCs w:val="24"/>
        </w:rPr>
        <w:t>first of all</w:t>
      </w:r>
      <w:proofErr w:type="gramEnd"/>
      <w:r w:rsidRPr="007271B6">
        <w:rPr>
          <w:rFonts w:ascii="Times New Roman" w:hAnsi="Times New Roman" w:cs="Times New Roman"/>
          <w:i/>
          <w:kern w:val="0"/>
          <w:sz w:val="24"/>
          <w:szCs w:val="24"/>
        </w:rPr>
        <w:t xml:space="preserve">, FTX, our corporate treasury is in cash. I mean, our business office incredibly like related to the crypto markets, but we keep cash on hand, and it’s not meant to be something that has direct market exposure… I’ve put a lot of work over the last few years into trying to eliminate conflicts of interest there… I don’t run Alameda anymore. I don’t work for it. None of FTX does separate SaaS and the way that we view FTX is as a neutral piece of market infrastructure (CNBC, 2023, 10:00-27:00).  </w:t>
      </w:r>
    </w:p>
    <w:p w14:paraId="4AE5BE3F" w14:textId="77777777" w:rsidR="00F808B3" w:rsidRPr="007271B6" w:rsidRDefault="00F808B3" w:rsidP="00F808B3">
      <w:pPr>
        <w:spacing w:after="0" w:line="240" w:lineRule="auto"/>
        <w:ind w:left="709"/>
        <w:rPr>
          <w:rFonts w:ascii="Times New Roman" w:hAnsi="Times New Roman" w:cs="Times New Roman"/>
          <w:kern w:val="0"/>
          <w:sz w:val="24"/>
          <w:szCs w:val="24"/>
        </w:rPr>
      </w:pPr>
    </w:p>
    <w:p w14:paraId="6AC04256" w14:textId="77777777" w:rsidR="00F808B3" w:rsidRPr="007271B6" w:rsidRDefault="00F808B3" w:rsidP="00F808B3">
      <w:pPr>
        <w:spacing w:after="0" w:line="480" w:lineRule="auto"/>
        <w:ind w:firstLine="709"/>
        <w:rPr>
          <w:rFonts w:ascii="Times New Roman" w:hAnsi="Times New Roman" w:cs="Times New Roman"/>
          <w:kern w:val="0"/>
          <w:sz w:val="24"/>
          <w:szCs w:val="24"/>
        </w:rPr>
      </w:pPr>
      <w:r w:rsidRPr="007271B6">
        <w:rPr>
          <w:rFonts w:ascii="Times New Roman" w:hAnsi="Times New Roman" w:cs="Times New Roman"/>
          <w:kern w:val="0"/>
          <w:sz w:val="24"/>
          <w:szCs w:val="24"/>
        </w:rPr>
        <w:t xml:space="preserve">The CEO of FTX had a controversial vision. One believed to drive his companies into a financial storm. </w:t>
      </w:r>
    </w:p>
    <w:p w14:paraId="6CBDDA12" w14:textId="77777777" w:rsidR="00F808B3" w:rsidRPr="007271B6" w:rsidRDefault="00F808B3" w:rsidP="00F808B3">
      <w:pPr>
        <w:spacing w:after="0" w:line="240" w:lineRule="auto"/>
        <w:ind w:left="709"/>
        <w:rPr>
          <w:rFonts w:ascii="Times New Roman" w:hAnsi="Times New Roman" w:cs="Times New Roman"/>
          <w:i/>
          <w:kern w:val="0"/>
          <w:sz w:val="24"/>
          <w:szCs w:val="24"/>
        </w:rPr>
      </w:pPr>
      <w:r w:rsidRPr="007271B6">
        <w:rPr>
          <w:rFonts w:ascii="Times New Roman" w:hAnsi="Times New Roman" w:cs="Times New Roman"/>
          <w:i/>
          <w:kern w:val="0"/>
          <w:sz w:val="24"/>
          <w:szCs w:val="24"/>
        </w:rPr>
        <w:t xml:space="preserve">R0: My goal is to put myself in a position where I will be able to donate almost everything that I make. If you spend $300 million buying a yacht, like that’s thousands of lives that you probably could have saved in Sub-Saharan Africa. </w:t>
      </w:r>
    </w:p>
    <w:p w14:paraId="4A63D5E8" w14:textId="77777777" w:rsidR="00F808B3" w:rsidRPr="007271B6" w:rsidRDefault="00F808B3" w:rsidP="00F808B3">
      <w:pPr>
        <w:spacing w:after="0" w:line="240" w:lineRule="auto"/>
        <w:ind w:left="709"/>
        <w:rPr>
          <w:rFonts w:ascii="Times New Roman" w:hAnsi="Times New Roman" w:cs="Times New Roman"/>
          <w:i/>
          <w:kern w:val="0"/>
          <w:sz w:val="24"/>
          <w:szCs w:val="24"/>
        </w:rPr>
      </w:pPr>
    </w:p>
    <w:p w14:paraId="7311F860" w14:textId="77777777" w:rsidR="00F808B3" w:rsidRPr="007271B6" w:rsidRDefault="00F808B3" w:rsidP="007525FB">
      <w:pPr>
        <w:spacing w:after="0" w:line="240" w:lineRule="auto"/>
        <w:ind w:firstLine="709"/>
        <w:rPr>
          <w:rFonts w:ascii="Times New Roman" w:hAnsi="Times New Roman" w:cs="Times New Roman"/>
          <w:kern w:val="0"/>
          <w:sz w:val="24"/>
          <w:szCs w:val="24"/>
        </w:rPr>
      </w:pPr>
      <w:r w:rsidRPr="007271B6">
        <w:rPr>
          <w:rFonts w:ascii="Times New Roman" w:hAnsi="Times New Roman" w:cs="Times New Roman"/>
          <w:kern w:val="0"/>
          <w:sz w:val="24"/>
          <w:szCs w:val="24"/>
        </w:rPr>
        <w:t>The Bloomberg documentary termed this ideology as effective altruism. The fundamental principle behind the concept and philosophy of effective altruism is utilitarianism, doing the best for the most people (Bloomberg Originals, 2023). The Bloomberg correspondence argues that:</w:t>
      </w:r>
    </w:p>
    <w:p w14:paraId="272B347E" w14:textId="0A0F56D9" w:rsidR="00E554C7" w:rsidRPr="007271B6" w:rsidRDefault="00F808B3" w:rsidP="00E554C7">
      <w:pPr>
        <w:spacing w:before="240" w:after="0" w:line="240" w:lineRule="auto"/>
        <w:ind w:left="709"/>
        <w:rPr>
          <w:rFonts w:ascii="Times New Roman" w:hAnsi="Times New Roman" w:cs="Times New Roman"/>
          <w:i/>
          <w:kern w:val="0"/>
          <w:sz w:val="24"/>
          <w:szCs w:val="24"/>
        </w:rPr>
      </w:pPr>
      <w:r w:rsidRPr="007271B6">
        <w:rPr>
          <w:rFonts w:ascii="Times New Roman" w:hAnsi="Times New Roman" w:cs="Times New Roman"/>
          <w:i/>
          <w:kern w:val="0"/>
          <w:sz w:val="24"/>
          <w:szCs w:val="24"/>
        </w:rPr>
        <w:t xml:space="preserve">R6: </w:t>
      </w:r>
      <w:r w:rsidR="00E554C7">
        <w:rPr>
          <w:rFonts w:ascii="Times New Roman" w:hAnsi="Times New Roman" w:cs="Times New Roman"/>
          <w:i/>
          <w:kern w:val="0"/>
          <w:sz w:val="24"/>
          <w:szCs w:val="24"/>
        </w:rPr>
        <w:t>W</w:t>
      </w:r>
      <w:r w:rsidRPr="007271B6">
        <w:rPr>
          <w:rFonts w:ascii="Times New Roman" w:hAnsi="Times New Roman" w:cs="Times New Roman"/>
          <w:i/>
          <w:kern w:val="0"/>
          <w:sz w:val="24"/>
          <w:szCs w:val="24"/>
        </w:rPr>
        <w:t xml:space="preserve">hen you just take a few steps away from it, because the idea essentially is it’s better to go into finance than it is to become a doctor or a teacher. It’s morally superior and that it’s basically a philosophy designed to flatter the sensibilities of tech bros and finance bros, where now you don’t have feel bad about being in finance instead of </w:t>
      </w:r>
      <w:proofErr w:type="gramStart"/>
      <w:r w:rsidRPr="007271B6">
        <w:rPr>
          <w:rFonts w:ascii="Times New Roman" w:hAnsi="Times New Roman" w:cs="Times New Roman"/>
          <w:i/>
          <w:kern w:val="0"/>
          <w:sz w:val="24"/>
          <w:szCs w:val="24"/>
        </w:rPr>
        <w:t>actually helping</w:t>
      </w:r>
      <w:proofErr w:type="gramEnd"/>
      <w:r w:rsidRPr="007271B6">
        <w:rPr>
          <w:rFonts w:ascii="Times New Roman" w:hAnsi="Times New Roman" w:cs="Times New Roman"/>
          <w:i/>
          <w:kern w:val="0"/>
          <w:sz w:val="24"/>
          <w:szCs w:val="24"/>
        </w:rPr>
        <w:t xml:space="preserve"> people in your day-to-day life… It’s a worldview that essentially justifies almost any behaviour today, that justifies insane accumulation of wealth while not necessarily paying your fair share to society (Bloomberg Originals, 2023, 26:00-27:13). </w:t>
      </w:r>
    </w:p>
    <w:p w14:paraId="26AF850E" w14:textId="6B207EC1" w:rsidR="00F808B3" w:rsidRPr="007271B6" w:rsidRDefault="00A036E5" w:rsidP="00F808B3">
      <w:pPr>
        <w:spacing w:before="240" w:after="0" w:line="480" w:lineRule="auto"/>
        <w:ind w:firstLine="709"/>
        <w:rPr>
          <w:rFonts w:ascii="Times New Roman" w:hAnsi="Times New Roman" w:cs="Times New Roman"/>
          <w:kern w:val="0"/>
          <w:sz w:val="24"/>
          <w:szCs w:val="24"/>
        </w:rPr>
      </w:pPr>
      <w:r w:rsidRPr="007271B6">
        <w:rPr>
          <w:rFonts w:ascii="Times New Roman" w:hAnsi="Times New Roman" w:cs="Times New Roman"/>
          <w:kern w:val="0"/>
          <w:sz w:val="24"/>
          <w:szCs w:val="24"/>
        </w:rPr>
        <w:t>These values contradicted the interests of the stakeholders; most expressed their dissatisfaction with the company following its collapse and their inability to withdraw their invested money. The moral principles of FTX's founder initiated the collapse from the beginning, and one investor told Bloomberg Originals that:</w:t>
      </w:r>
    </w:p>
    <w:p w14:paraId="36903CF5" w14:textId="3321CE1C" w:rsidR="00F808B3" w:rsidRPr="007271B6" w:rsidRDefault="00F808B3" w:rsidP="00F808B3">
      <w:pPr>
        <w:spacing w:after="0" w:line="240" w:lineRule="auto"/>
        <w:ind w:left="709"/>
        <w:rPr>
          <w:rFonts w:ascii="Times New Roman" w:hAnsi="Times New Roman" w:cs="Times New Roman"/>
          <w:i/>
          <w:kern w:val="0"/>
          <w:sz w:val="24"/>
          <w:szCs w:val="24"/>
        </w:rPr>
      </w:pPr>
      <w:r w:rsidRPr="007271B6">
        <w:rPr>
          <w:rFonts w:ascii="Times New Roman" w:hAnsi="Times New Roman" w:cs="Times New Roman"/>
          <w:i/>
          <w:kern w:val="0"/>
          <w:sz w:val="24"/>
          <w:szCs w:val="24"/>
        </w:rPr>
        <w:t xml:space="preserve">R7: He wanted to take money from us into Alameda Research and he wanted to use that money to finance and help start a separate business that we would have no information about, no ownership in. And it was </w:t>
      </w:r>
      <w:proofErr w:type="gramStart"/>
      <w:r w:rsidRPr="007271B6">
        <w:rPr>
          <w:rFonts w:ascii="Times New Roman" w:hAnsi="Times New Roman" w:cs="Times New Roman"/>
          <w:i/>
          <w:kern w:val="0"/>
          <w:sz w:val="24"/>
          <w:szCs w:val="24"/>
        </w:rPr>
        <w:t>actually hurting</w:t>
      </w:r>
      <w:proofErr w:type="gramEnd"/>
      <w:r w:rsidRPr="007271B6">
        <w:rPr>
          <w:rFonts w:ascii="Times New Roman" w:hAnsi="Times New Roman" w:cs="Times New Roman"/>
          <w:i/>
          <w:kern w:val="0"/>
          <w:sz w:val="24"/>
          <w:szCs w:val="24"/>
        </w:rPr>
        <w:t xml:space="preserve"> our interest at Alameda. And I remember at the end I tried one last ditch effort to explain to Sam why we couldn’t just negotiate a separate deal for FTX. He was just looking at me very sort of wide-eyed. He didn’t care really about the moral implications of what he was proposing. It was almost like trying to explain business ethics 101 to a baby. And I realised that we were so far apart, that it was just too much. We couldn’t possibly deal with this guy (Bloomberg Originals, 2023, 15:00-27:13). </w:t>
      </w:r>
    </w:p>
    <w:p w14:paraId="567F58CC" w14:textId="77777777" w:rsidR="00F808B3" w:rsidRPr="007271B6" w:rsidRDefault="00F808B3" w:rsidP="00F808B3">
      <w:pPr>
        <w:spacing w:after="0" w:line="240" w:lineRule="auto"/>
        <w:ind w:left="709"/>
        <w:rPr>
          <w:rFonts w:ascii="Times New Roman" w:hAnsi="Times New Roman" w:cs="Times New Roman"/>
          <w:kern w:val="0"/>
          <w:sz w:val="24"/>
          <w:szCs w:val="24"/>
        </w:rPr>
      </w:pPr>
    </w:p>
    <w:p w14:paraId="59E322B6" w14:textId="77777777" w:rsidR="00A036E5" w:rsidRPr="007271B6" w:rsidRDefault="00A036E5" w:rsidP="00A036E5">
      <w:pPr>
        <w:spacing w:after="0" w:line="480" w:lineRule="auto"/>
        <w:ind w:firstLine="709"/>
        <w:rPr>
          <w:rFonts w:ascii="Times New Roman" w:hAnsi="Times New Roman" w:cs="Times New Roman"/>
          <w:kern w:val="0"/>
          <w:sz w:val="24"/>
          <w:szCs w:val="24"/>
        </w:rPr>
      </w:pPr>
      <w:r w:rsidRPr="007271B6">
        <w:rPr>
          <w:rFonts w:ascii="Times New Roman" w:hAnsi="Times New Roman" w:cs="Times New Roman"/>
          <w:kern w:val="0"/>
          <w:sz w:val="24"/>
          <w:szCs w:val="24"/>
        </w:rPr>
        <w:t>Fu et al. (2022) emphasise the value of ethical leadership; the authors claim that the collapse of FTX was a function of unethical and dishonest indicators. The authors introduce the concept of stakeholder theory to illustrate that corporate governance is often orientated towards stakeholder interests. As a result, their view reinforces R7’s statement by emphasising that the company used alternative morals that worked against the investors instead of upholding stakeholder theory and sound business ethics.</w:t>
      </w:r>
    </w:p>
    <w:p w14:paraId="01AD9460" w14:textId="79B78BDC" w:rsidR="00F808B3" w:rsidRPr="007271B6" w:rsidRDefault="00A036E5" w:rsidP="00A036E5">
      <w:pPr>
        <w:spacing w:after="0" w:line="480" w:lineRule="auto"/>
        <w:ind w:firstLine="709"/>
        <w:rPr>
          <w:rFonts w:ascii="Times New Roman" w:hAnsi="Times New Roman" w:cs="Times New Roman"/>
          <w:kern w:val="0"/>
          <w:sz w:val="24"/>
          <w:szCs w:val="24"/>
        </w:rPr>
      </w:pPr>
      <w:r w:rsidRPr="007271B6">
        <w:rPr>
          <w:rFonts w:ascii="Times New Roman" w:hAnsi="Times New Roman" w:cs="Times New Roman"/>
          <w:kern w:val="0"/>
          <w:sz w:val="24"/>
          <w:szCs w:val="24"/>
        </w:rPr>
        <w:t xml:space="preserve">FTX and Alameda had poor management with no oversight. When the CEO was asked about the company's problems and remediation, especially after Brett Harrison </w:t>
      </w:r>
      <w:r w:rsidRPr="007271B6">
        <w:rPr>
          <w:rFonts w:ascii="Times New Roman" w:hAnsi="Times New Roman" w:cs="Times New Roman"/>
          <w:kern w:val="0"/>
          <w:sz w:val="24"/>
          <w:szCs w:val="24"/>
        </w:rPr>
        <w:lastRenderedPageBreak/>
        <w:t>resigned as President of FTX US and took on an advisory role and Sam Trabuco, the Co-CEO of Alameda, resigned, he stated:</w:t>
      </w:r>
    </w:p>
    <w:p w14:paraId="221336F9" w14:textId="5B68F0FD" w:rsidR="00F808B3" w:rsidRPr="007271B6" w:rsidRDefault="00F808B3" w:rsidP="008B2FC1">
      <w:pPr>
        <w:spacing w:after="0" w:line="240" w:lineRule="auto"/>
        <w:ind w:left="709"/>
        <w:rPr>
          <w:rFonts w:ascii="Times New Roman" w:hAnsi="Times New Roman" w:cs="Times New Roman"/>
          <w:i/>
          <w:kern w:val="0"/>
          <w:sz w:val="24"/>
          <w:szCs w:val="24"/>
        </w:rPr>
      </w:pPr>
      <w:r w:rsidRPr="007271B6">
        <w:rPr>
          <w:rFonts w:ascii="Times New Roman" w:hAnsi="Times New Roman" w:cs="Times New Roman"/>
          <w:i/>
          <w:kern w:val="0"/>
          <w:sz w:val="24"/>
          <w:szCs w:val="24"/>
        </w:rPr>
        <w:t xml:space="preserve">R0:  </w:t>
      </w:r>
      <w:r w:rsidR="00E554C7">
        <w:rPr>
          <w:rFonts w:ascii="Times New Roman" w:hAnsi="Times New Roman" w:cs="Times New Roman"/>
          <w:i/>
          <w:kern w:val="0"/>
          <w:sz w:val="24"/>
          <w:szCs w:val="24"/>
        </w:rPr>
        <w:t>I</w:t>
      </w:r>
      <w:r w:rsidRPr="007271B6">
        <w:rPr>
          <w:rFonts w:ascii="Times New Roman" w:hAnsi="Times New Roman" w:cs="Times New Roman"/>
          <w:i/>
          <w:kern w:val="0"/>
          <w:sz w:val="24"/>
          <w:szCs w:val="24"/>
        </w:rPr>
        <w:t xml:space="preserve">t is not the kind of thing that would go public were it not to have been in the works for a little while… One thing that I </w:t>
      </w:r>
      <w:proofErr w:type="gramStart"/>
      <w:r w:rsidRPr="007271B6">
        <w:rPr>
          <w:rFonts w:ascii="Times New Roman" w:hAnsi="Times New Roman" w:cs="Times New Roman"/>
          <w:i/>
          <w:kern w:val="0"/>
          <w:sz w:val="24"/>
          <w:szCs w:val="24"/>
        </w:rPr>
        <w:t>definitely learned</w:t>
      </w:r>
      <w:proofErr w:type="gramEnd"/>
      <w:r w:rsidRPr="007271B6">
        <w:rPr>
          <w:rFonts w:ascii="Times New Roman" w:hAnsi="Times New Roman" w:cs="Times New Roman"/>
          <w:i/>
          <w:kern w:val="0"/>
          <w:sz w:val="24"/>
          <w:szCs w:val="24"/>
        </w:rPr>
        <w:t xml:space="preserve"> was how to manage a team. I knew how to manage a team when everyone was happy, but I had no idea how to manage a team when there was stress, when people were unhappy with each other, when there was conflict. I was presented with times when members of our team disagreed with each other, especially with me, and I didn’t know what to do when people couldn’t reconcile (Bloomberg Originals, 2023, 1:15:15-1:17:00). </w:t>
      </w:r>
    </w:p>
    <w:p w14:paraId="5630B08B" w14:textId="77777777" w:rsidR="00F808B3" w:rsidRPr="007271B6" w:rsidRDefault="00F808B3" w:rsidP="00F808B3">
      <w:pPr>
        <w:spacing w:after="0" w:line="240" w:lineRule="auto"/>
        <w:ind w:left="709"/>
        <w:rPr>
          <w:rFonts w:ascii="Times New Roman" w:hAnsi="Times New Roman" w:cs="Times New Roman"/>
          <w:i/>
          <w:kern w:val="0"/>
          <w:sz w:val="24"/>
          <w:szCs w:val="24"/>
        </w:rPr>
      </w:pPr>
    </w:p>
    <w:p w14:paraId="24F1A648" w14:textId="2C2E4543" w:rsidR="00F808B3" w:rsidRPr="007271B6" w:rsidRDefault="008B2FC1" w:rsidP="008B2FC1">
      <w:pPr>
        <w:pStyle w:val="Heading2"/>
      </w:pPr>
      <w:bookmarkStart w:id="39" w:name="_Toc165583401"/>
      <w:r w:rsidRPr="007271B6">
        <w:t>Theme 2: Corporate Governance P</w:t>
      </w:r>
      <w:r w:rsidR="00F808B3" w:rsidRPr="007271B6">
        <w:t>ractices</w:t>
      </w:r>
      <w:bookmarkEnd w:id="39"/>
    </w:p>
    <w:p w14:paraId="6584CD34" w14:textId="63FB13D4" w:rsidR="00F808B3" w:rsidRPr="007271B6" w:rsidRDefault="00217A79" w:rsidP="00F808B3">
      <w:pPr>
        <w:spacing w:after="0" w:line="480" w:lineRule="auto"/>
        <w:ind w:firstLine="709"/>
        <w:rPr>
          <w:rFonts w:ascii="Times New Roman" w:hAnsi="Times New Roman" w:cs="Times New Roman"/>
          <w:kern w:val="0"/>
          <w:sz w:val="24"/>
          <w:szCs w:val="24"/>
        </w:rPr>
      </w:pPr>
      <w:r w:rsidRPr="007271B6">
        <w:rPr>
          <w:rFonts w:ascii="Times New Roman" w:hAnsi="Times New Roman" w:cs="Times New Roman"/>
          <w:kern w:val="0"/>
          <w:sz w:val="24"/>
          <w:szCs w:val="24"/>
        </w:rPr>
        <w:t>FTX and Alameda Research confirmed poor corporate governance through lack of bookkeeping, internal accountability/external oversight, commingling of various consumer funds and entities assets, poor segregation of responsibilities and roles, and lack of decision-making process record, see Figure 1 below (Roy, Anand, and Chandra, 2022).</w:t>
      </w:r>
      <w:r w:rsidR="00F808B3" w:rsidRPr="007271B6">
        <w:rPr>
          <w:rFonts w:ascii="Times New Roman" w:hAnsi="Times New Roman" w:cs="Times New Roman"/>
          <w:kern w:val="0"/>
          <w:sz w:val="24"/>
          <w:szCs w:val="24"/>
        </w:rPr>
        <w:t xml:space="preserve"> </w:t>
      </w:r>
    </w:p>
    <w:p w14:paraId="32C134CF" w14:textId="77777777" w:rsidR="00F808B3" w:rsidRPr="007271B6" w:rsidRDefault="00F808B3" w:rsidP="00F808B3">
      <w:pPr>
        <w:spacing w:after="0" w:line="240" w:lineRule="auto"/>
        <w:ind w:left="709"/>
        <w:jc w:val="both"/>
        <w:rPr>
          <w:rFonts w:ascii="Times New Roman" w:hAnsi="Times New Roman" w:cs="Times New Roman"/>
          <w:i/>
          <w:kern w:val="0"/>
          <w:sz w:val="24"/>
          <w:szCs w:val="24"/>
        </w:rPr>
      </w:pPr>
      <w:r w:rsidRPr="007271B6">
        <w:rPr>
          <w:rFonts w:ascii="Times New Roman" w:hAnsi="Times New Roman" w:cs="Times New Roman"/>
          <w:i/>
          <w:kern w:val="0"/>
          <w:sz w:val="24"/>
          <w:szCs w:val="24"/>
        </w:rPr>
        <w:t xml:space="preserve">R4: This is </w:t>
      </w:r>
      <w:proofErr w:type="gramStart"/>
      <w:r w:rsidRPr="007271B6">
        <w:rPr>
          <w:rFonts w:ascii="Times New Roman" w:hAnsi="Times New Roman" w:cs="Times New Roman"/>
          <w:i/>
          <w:kern w:val="0"/>
          <w:sz w:val="24"/>
          <w:szCs w:val="24"/>
        </w:rPr>
        <w:t>really old-fashioned</w:t>
      </w:r>
      <w:proofErr w:type="gramEnd"/>
      <w:r w:rsidRPr="007271B6">
        <w:rPr>
          <w:rFonts w:ascii="Times New Roman" w:hAnsi="Times New Roman" w:cs="Times New Roman"/>
          <w:i/>
          <w:kern w:val="0"/>
          <w:sz w:val="24"/>
          <w:szCs w:val="24"/>
        </w:rPr>
        <w:t xml:space="preserve"> and embezzlement. This is just taking money from customers and using them for your own purpose…There’s no record-keeping whatsoever. It’s the absence of record keeping. Employees would communicate invoicing and expenses on Slack…They use QuickBooks, a multi-billion-dollar company using QuickBooks. There’s no independent board…We had one person controlling this (CNBC, 2023, 10:00-27:00).</w:t>
      </w:r>
    </w:p>
    <w:p w14:paraId="3913B8C6" w14:textId="77777777" w:rsidR="00F808B3" w:rsidRPr="007271B6" w:rsidRDefault="00F808B3" w:rsidP="00F808B3">
      <w:pPr>
        <w:spacing w:after="0" w:line="240" w:lineRule="auto"/>
        <w:ind w:left="709"/>
        <w:jc w:val="both"/>
        <w:rPr>
          <w:rFonts w:ascii="Times New Roman" w:hAnsi="Times New Roman" w:cs="Times New Roman"/>
          <w:kern w:val="0"/>
          <w:sz w:val="24"/>
          <w:szCs w:val="24"/>
        </w:rPr>
      </w:pPr>
    </w:p>
    <w:p w14:paraId="44A45A06" w14:textId="02EF55BF" w:rsidR="00F808B3" w:rsidRPr="007271B6" w:rsidRDefault="00A036E5" w:rsidP="007525FB">
      <w:pPr>
        <w:spacing w:after="0" w:line="24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Akin to Roy et al. (2022), Pilkington (2022) draws the link between governance failures and FTX’s bankruptcy by revealing the latter’s problems with transparency, decision-making and risk management. Another interviewee, a former employee of FTX and Alameda Research, reiterated Respondent 4’s statement by stating:</w:t>
      </w:r>
    </w:p>
    <w:p w14:paraId="701E66B4" w14:textId="19ACF698" w:rsidR="00F808B3" w:rsidRPr="007271B6" w:rsidRDefault="00F808B3" w:rsidP="007525FB">
      <w:pPr>
        <w:spacing w:before="240" w:after="0" w:line="240" w:lineRule="auto"/>
        <w:ind w:left="709"/>
        <w:rPr>
          <w:rFonts w:ascii="Times New Roman" w:hAnsi="Times New Roman" w:cs="Times New Roman"/>
          <w:i/>
          <w:kern w:val="0"/>
          <w:sz w:val="24"/>
          <w:szCs w:val="24"/>
        </w:rPr>
      </w:pPr>
      <w:r w:rsidRPr="007271B6">
        <w:rPr>
          <w:rFonts w:ascii="Times New Roman" w:hAnsi="Times New Roman" w:cs="Times New Roman"/>
          <w:i/>
          <w:kern w:val="0"/>
          <w:sz w:val="24"/>
          <w:szCs w:val="24"/>
        </w:rPr>
        <w:t>R5: In some ways, it’s very straightforward what’s being alleged, which is that S</w:t>
      </w:r>
      <w:r w:rsidR="003F546F" w:rsidRPr="007271B6">
        <w:rPr>
          <w:rFonts w:ascii="Times New Roman" w:hAnsi="Times New Roman" w:cs="Times New Roman"/>
          <w:i/>
          <w:kern w:val="0"/>
          <w:sz w:val="24"/>
          <w:szCs w:val="24"/>
        </w:rPr>
        <w:t>BF</w:t>
      </w:r>
      <w:r w:rsidRPr="007271B6">
        <w:rPr>
          <w:rFonts w:ascii="Times New Roman" w:hAnsi="Times New Roman" w:cs="Times New Roman"/>
          <w:i/>
          <w:kern w:val="0"/>
          <w:sz w:val="24"/>
          <w:szCs w:val="24"/>
        </w:rPr>
        <w:t xml:space="preserve"> took some digital assets or other forms of assets from FTX, moved them over to Alameda, where he could have more control over them, and used that money as his own private piggy bank (CNBC, 2023, 15:00-32:00).</w:t>
      </w:r>
    </w:p>
    <w:p w14:paraId="5956EF04" w14:textId="31F2CCD0" w:rsidR="00F808B3" w:rsidRPr="007271B6" w:rsidRDefault="00A036E5" w:rsidP="00F808B3">
      <w:pPr>
        <w:spacing w:before="240" w:after="0" w:line="480" w:lineRule="auto"/>
        <w:ind w:firstLine="709"/>
        <w:rPr>
          <w:rFonts w:ascii="Times New Roman" w:hAnsi="Times New Roman" w:cs="Times New Roman"/>
          <w:kern w:val="0"/>
          <w:sz w:val="24"/>
          <w:szCs w:val="24"/>
        </w:rPr>
      </w:pPr>
      <w:proofErr w:type="spellStart"/>
      <w:r w:rsidRPr="007271B6">
        <w:rPr>
          <w:rFonts w:ascii="Times New Roman" w:hAnsi="Times New Roman" w:cs="Times New Roman"/>
          <w:kern w:val="0"/>
          <w:sz w:val="24"/>
          <w:szCs w:val="24"/>
        </w:rPr>
        <w:t>Akiyildirim</w:t>
      </w:r>
      <w:proofErr w:type="spellEnd"/>
      <w:r w:rsidRPr="007271B6">
        <w:rPr>
          <w:rFonts w:ascii="Times New Roman" w:hAnsi="Times New Roman" w:cs="Times New Roman"/>
          <w:kern w:val="0"/>
          <w:sz w:val="24"/>
          <w:szCs w:val="24"/>
        </w:rPr>
        <w:t xml:space="preserve"> et al. (2023) agree with R5’s argument; the authors explain that the fraudulent actions of S</w:t>
      </w:r>
      <w:r w:rsidR="003F546F" w:rsidRPr="007271B6">
        <w:rPr>
          <w:rFonts w:ascii="Times New Roman" w:hAnsi="Times New Roman" w:cs="Times New Roman"/>
          <w:kern w:val="0"/>
          <w:sz w:val="24"/>
          <w:szCs w:val="24"/>
        </w:rPr>
        <w:t>BF</w:t>
      </w:r>
      <w:r w:rsidRPr="007271B6">
        <w:rPr>
          <w:rFonts w:ascii="Times New Roman" w:hAnsi="Times New Roman" w:cs="Times New Roman"/>
          <w:kern w:val="0"/>
          <w:sz w:val="24"/>
          <w:szCs w:val="24"/>
        </w:rPr>
        <w:t xml:space="preserve"> and his colleagues were linked to personal profit rooted in their high affinity for squandering client funds rather than providing necessary stewardship. Pierce (2022) utilised agency theory to highlight the imminent dangers of </w:t>
      </w:r>
      <w:r w:rsidRPr="007271B6">
        <w:rPr>
          <w:rFonts w:ascii="Times New Roman" w:hAnsi="Times New Roman" w:cs="Times New Roman"/>
          <w:kern w:val="0"/>
          <w:sz w:val="24"/>
          <w:szCs w:val="24"/>
        </w:rPr>
        <w:lastRenderedPageBreak/>
        <w:t>corporate governance failure at FTX by asserting that conflict is inevitable when the interests of agents (management) and headmasters (shareholders) diverge. The author contends that such a scenario potentially leads to sub-optimal outcomes due to misaligned objectives (Pierce, 2022). Consequently, Price (2022) concludes that proper governance is critical in instilling effective company oversight to prevent substantial operational and financial risks, especially in the case of FTX and Alameda, which operate in a highly volatile and rapidly evolving market.</w:t>
      </w:r>
      <w:r w:rsidR="00F808B3" w:rsidRPr="007271B6">
        <w:rPr>
          <w:rFonts w:ascii="Times New Roman" w:hAnsi="Times New Roman" w:cs="Times New Roman"/>
          <w:kern w:val="0"/>
          <w:sz w:val="24"/>
          <w:szCs w:val="24"/>
        </w:rPr>
        <w:t xml:space="preserve"> </w:t>
      </w:r>
    </w:p>
    <w:p w14:paraId="771C4E62" w14:textId="29C456F1" w:rsidR="00F808B3" w:rsidRPr="007271B6" w:rsidRDefault="008B2FC1" w:rsidP="008B2FC1">
      <w:pPr>
        <w:pStyle w:val="Heading2"/>
      </w:pPr>
      <w:bookmarkStart w:id="40" w:name="_Toc165583402"/>
      <w:r w:rsidRPr="007271B6">
        <w:t>Theme 3: Cryptocurrency R</w:t>
      </w:r>
      <w:r w:rsidR="00F808B3" w:rsidRPr="007271B6">
        <w:t>egulation</w:t>
      </w:r>
      <w:bookmarkEnd w:id="40"/>
    </w:p>
    <w:p w14:paraId="13F7EEF4" w14:textId="77777777" w:rsidR="00F808B3" w:rsidRPr="007271B6" w:rsidRDefault="00F808B3" w:rsidP="00F808B3">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A CBNC documentary revealed that the cryptocurrency world is unregulated and prone to manipulation and deceptions, such as one uncovered in R1’s court testimony below:</w:t>
      </w:r>
    </w:p>
    <w:p w14:paraId="2996C91B" w14:textId="06A5E4F0" w:rsidR="00F808B3" w:rsidRPr="007271B6" w:rsidRDefault="00F808B3" w:rsidP="00F808B3">
      <w:pPr>
        <w:spacing w:after="0" w:line="240" w:lineRule="auto"/>
        <w:ind w:left="851"/>
        <w:rPr>
          <w:rFonts w:ascii="Times New Roman" w:hAnsi="Times New Roman" w:cs="Times New Roman"/>
          <w:i/>
          <w:kern w:val="0"/>
          <w:sz w:val="24"/>
          <w:szCs w:val="24"/>
        </w:rPr>
      </w:pPr>
      <w:r w:rsidRPr="007271B6">
        <w:rPr>
          <w:rFonts w:ascii="Times New Roman" w:hAnsi="Times New Roman" w:cs="Times New Roman"/>
          <w:i/>
          <w:kern w:val="0"/>
          <w:sz w:val="24"/>
          <w:szCs w:val="24"/>
        </w:rPr>
        <w:t>R1: Between 2019 and 2022, as part of my employment at FTX, I was directed to and agreed to make certain changes to the platform’s code. I executed those changes which I knew would</w:t>
      </w:r>
      <w:r w:rsidR="00E554C7">
        <w:rPr>
          <w:rFonts w:ascii="Times New Roman" w:hAnsi="Times New Roman" w:cs="Times New Roman"/>
          <w:i/>
          <w:kern w:val="0"/>
          <w:sz w:val="24"/>
          <w:szCs w:val="24"/>
        </w:rPr>
        <w:t xml:space="preserve"> give</w:t>
      </w:r>
      <w:r w:rsidRPr="007271B6">
        <w:rPr>
          <w:rFonts w:ascii="Times New Roman" w:hAnsi="Times New Roman" w:cs="Times New Roman"/>
          <w:i/>
          <w:kern w:val="0"/>
          <w:sz w:val="24"/>
          <w:szCs w:val="24"/>
        </w:rPr>
        <w:t xml:space="preserve"> Alameda Research special privileges on FTX platform (CNBC, 2023, 10:00-27:00). </w:t>
      </w:r>
    </w:p>
    <w:p w14:paraId="18ADC8B5" w14:textId="77777777" w:rsidR="00F808B3" w:rsidRPr="007271B6" w:rsidRDefault="00F808B3" w:rsidP="00F808B3">
      <w:pPr>
        <w:spacing w:after="0" w:line="240" w:lineRule="auto"/>
        <w:rPr>
          <w:rFonts w:ascii="Times New Roman" w:hAnsi="Times New Roman" w:cs="Times New Roman"/>
          <w:kern w:val="0"/>
          <w:sz w:val="24"/>
          <w:szCs w:val="24"/>
        </w:rPr>
      </w:pPr>
    </w:p>
    <w:p w14:paraId="5DF98E8F" w14:textId="09C19A25" w:rsidR="00F808B3" w:rsidRPr="007271B6" w:rsidRDefault="00A036E5" w:rsidP="00F808B3">
      <w:pPr>
        <w:spacing w:after="0" w:line="480" w:lineRule="auto"/>
        <w:ind w:firstLine="709"/>
        <w:rPr>
          <w:rFonts w:ascii="Times New Roman" w:hAnsi="Times New Roman" w:cs="Times New Roman"/>
          <w:kern w:val="0"/>
          <w:sz w:val="24"/>
          <w:szCs w:val="24"/>
        </w:rPr>
      </w:pPr>
      <w:r w:rsidRPr="007271B6">
        <w:rPr>
          <w:rFonts w:ascii="Times New Roman" w:hAnsi="Times New Roman" w:cs="Times New Roman"/>
          <w:kern w:val="0"/>
          <w:sz w:val="24"/>
          <w:szCs w:val="24"/>
        </w:rPr>
        <w:t xml:space="preserve">R1’s sentiments are consistent with Macey’s (2023) assertions that the digital asset market is highly susceptible to fraud, particularly because it is an internet-based business. These concerns were revealed by Senator Elizabeth Warren, who wrote to the treasury secretary expressing her concern about the vulnerability to fraudulent practices, including market manipulation in the cryptocurrency world (Trautman, 2022). In her letter, the Senator proposes comprehensive oversight to protect the </w:t>
      </w:r>
      <w:proofErr w:type="gramStart"/>
      <w:r w:rsidRPr="007271B6">
        <w:rPr>
          <w:rFonts w:ascii="Times New Roman" w:hAnsi="Times New Roman" w:cs="Times New Roman"/>
          <w:kern w:val="0"/>
          <w:sz w:val="24"/>
          <w:szCs w:val="24"/>
        </w:rPr>
        <w:t>general public</w:t>
      </w:r>
      <w:proofErr w:type="gramEnd"/>
      <w:r w:rsidRPr="007271B6">
        <w:rPr>
          <w:rFonts w:ascii="Times New Roman" w:hAnsi="Times New Roman" w:cs="Times New Roman"/>
          <w:kern w:val="0"/>
          <w:sz w:val="24"/>
          <w:szCs w:val="24"/>
        </w:rPr>
        <w:t xml:space="preserve"> and investors from substantial financial disruption. </w:t>
      </w:r>
      <w:proofErr w:type="spellStart"/>
      <w:r w:rsidRPr="007271B6">
        <w:rPr>
          <w:rFonts w:ascii="Times New Roman" w:hAnsi="Times New Roman" w:cs="Times New Roman"/>
          <w:kern w:val="0"/>
          <w:sz w:val="24"/>
          <w:szCs w:val="24"/>
        </w:rPr>
        <w:t>Sensoy</w:t>
      </w:r>
      <w:proofErr w:type="spellEnd"/>
      <w:r w:rsidRPr="007271B6">
        <w:rPr>
          <w:rFonts w:ascii="Times New Roman" w:hAnsi="Times New Roman" w:cs="Times New Roman"/>
          <w:kern w:val="0"/>
          <w:sz w:val="24"/>
          <w:szCs w:val="24"/>
        </w:rPr>
        <w:t xml:space="preserve"> and colleagues (2021) revealed that Cryptocurrency Tether provided price support and manipulated prices so that when the coin received many transactions, the prices of other digital assets plummeted.</w:t>
      </w:r>
    </w:p>
    <w:p w14:paraId="49DEF6BD" w14:textId="77777777" w:rsidR="00F808B3" w:rsidRPr="007271B6" w:rsidRDefault="00F808B3" w:rsidP="00F808B3">
      <w:pPr>
        <w:spacing w:after="0" w:line="240" w:lineRule="auto"/>
        <w:ind w:firstLine="709"/>
        <w:rPr>
          <w:rFonts w:ascii="Times New Roman" w:hAnsi="Times New Roman" w:cs="Times New Roman"/>
          <w:kern w:val="0"/>
          <w:sz w:val="24"/>
          <w:szCs w:val="24"/>
        </w:rPr>
      </w:pPr>
      <w:r w:rsidRPr="007271B6">
        <w:rPr>
          <w:rFonts w:ascii="Times New Roman" w:hAnsi="Times New Roman" w:cs="Times New Roman"/>
          <w:kern w:val="0"/>
          <w:sz w:val="24"/>
          <w:szCs w:val="24"/>
        </w:rPr>
        <w:t xml:space="preserve"> FTX used Alameda Research to conduct its illegal activities. R2, a senior employee at FTX, stated:</w:t>
      </w:r>
    </w:p>
    <w:p w14:paraId="09AC94FE" w14:textId="77777777" w:rsidR="00F808B3" w:rsidRPr="007271B6" w:rsidRDefault="00F808B3" w:rsidP="00F808B3">
      <w:pPr>
        <w:spacing w:before="240" w:after="0" w:line="240" w:lineRule="auto"/>
        <w:ind w:left="709"/>
        <w:rPr>
          <w:rFonts w:ascii="Times New Roman" w:hAnsi="Times New Roman" w:cs="Times New Roman"/>
          <w:i/>
          <w:kern w:val="0"/>
          <w:sz w:val="24"/>
          <w:szCs w:val="24"/>
        </w:rPr>
      </w:pPr>
      <w:r w:rsidRPr="007271B6">
        <w:rPr>
          <w:rFonts w:ascii="Times New Roman" w:hAnsi="Times New Roman" w:cs="Times New Roman"/>
          <w:i/>
          <w:kern w:val="0"/>
          <w:sz w:val="24"/>
          <w:szCs w:val="24"/>
        </w:rPr>
        <w:t xml:space="preserve">R2: I understood that FTX would need to use customer funds to finance its loans to Alameda. I also understood that many FTX customers invested in crypto derivatives and that most FTX customers did not expect that FTX would lend out their digital asset holdings and fiat currency deposits to Alameda in this fashion (CNBC, 2023, 10:00-27:00). </w:t>
      </w:r>
    </w:p>
    <w:p w14:paraId="3CDC9011" w14:textId="4BEA422D" w:rsidR="00F808B3" w:rsidRPr="007271B6" w:rsidRDefault="00217A79" w:rsidP="00F808B3">
      <w:pPr>
        <w:spacing w:before="240" w:after="0" w:line="480" w:lineRule="auto"/>
        <w:ind w:firstLine="709"/>
        <w:rPr>
          <w:rFonts w:ascii="Times New Roman" w:hAnsi="Times New Roman" w:cs="Times New Roman"/>
          <w:kern w:val="0"/>
          <w:sz w:val="24"/>
          <w:szCs w:val="24"/>
        </w:rPr>
      </w:pPr>
      <w:r w:rsidRPr="007271B6">
        <w:rPr>
          <w:rFonts w:ascii="Times New Roman" w:hAnsi="Times New Roman" w:cs="Times New Roman"/>
          <w:kern w:val="0"/>
          <w:sz w:val="24"/>
          <w:szCs w:val="24"/>
        </w:rPr>
        <w:lastRenderedPageBreak/>
        <w:t xml:space="preserve">In the </w:t>
      </w:r>
      <w:r w:rsidR="00A036E5" w:rsidRPr="007271B6">
        <w:rPr>
          <w:rFonts w:ascii="Times New Roman" w:hAnsi="Times New Roman" w:cs="Times New Roman"/>
          <w:kern w:val="0"/>
          <w:sz w:val="24"/>
          <w:szCs w:val="24"/>
        </w:rPr>
        <w:t>same vein, Conlon et al.</w:t>
      </w:r>
      <w:r w:rsidRPr="007271B6">
        <w:rPr>
          <w:rFonts w:ascii="Times New Roman" w:hAnsi="Times New Roman" w:cs="Times New Roman"/>
          <w:kern w:val="0"/>
          <w:sz w:val="24"/>
          <w:szCs w:val="24"/>
        </w:rPr>
        <w:t xml:space="preserve"> (2022) confirm respondent 2’s statement by showing that the collapse of FTX is positively correlated with the privately issued cryptocurrency FTT and the overwhelming lack of appropriate governance of crypto markets. A study by Roy, </w:t>
      </w:r>
      <w:proofErr w:type="gramStart"/>
      <w:r w:rsidRPr="007271B6">
        <w:rPr>
          <w:rFonts w:ascii="Times New Roman" w:hAnsi="Times New Roman" w:cs="Times New Roman"/>
          <w:kern w:val="0"/>
          <w:sz w:val="24"/>
          <w:szCs w:val="24"/>
        </w:rPr>
        <w:t>Anand</w:t>
      </w:r>
      <w:proofErr w:type="gramEnd"/>
      <w:r w:rsidRPr="007271B6">
        <w:rPr>
          <w:rFonts w:ascii="Times New Roman" w:hAnsi="Times New Roman" w:cs="Times New Roman"/>
          <w:kern w:val="0"/>
          <w:sz w:val="24"/>
          <w:szCs w:val="24"/>
        </w:rPr>
        <w:t xml:space="preserve"> and Chandra (2022) explains that Alameda Research’s assets were $14.6 billion as of 30 June, with an estimated 40% stake in FTT tokens, meaning that the two companies were closely linked and filed for bankruptcy after </w:t>
      </w:r>
      <w:proofErr w:type="spellStart"/>
      <w:r w:rsidRPr="007271B6">
        <w:rPr>
          <w:rFonts w:ascii="Times New Roman" w:hAnsi="Times New Roman" w:cs="Times New Roman"/>
          <w:kern w:val="0"/>
          <w:sz w:val="24"/>
          <w:szCs w:val="24"/>
        </w:rPr>
        <w:t>Binance's</w:t>
      </w:r>
      <w:proofErr w:type="spellEnd"/>
      <w:r w:rsidRPr="007271B6">
        <w:rPr>
          <w:rFonts w:ascii="Times New Roman" w:hAnsi="Times New Roman" w:cs="Times New Roman"/>
          <w:kern w:val="0"/>
          <w:sz w:val="24"/>
          <w:szCs w:val="24"/>
        </w:rPr>
        <w:t xml:space="preserve"> CEO decided to sell his FTT token. Figure 1 below shows the coding procedures for the three themes uncovered in the interviews and literature.</w:t>
      </w:r>
    </w:p>
    <w:p w14:paraId="748FB410" w14:textId="237DAD78" w:rsidR="00F808B3" w:rsidRPr="007271B6" w:rsidRDefault="00F808B3" w:rsidP="00F808B3">
      <w:pPr>
        <w:keepNext/>
        <w:spacing w:after="200" w:line="240" w:lineRule="auto"/>
        <w:rPr>
          <w:rFonts w:ascii="Times New Roman" w:hAnsi="Times New Roman" w:cs="Times New Roman"/>
          <w:b/>
          <w:bCs/>
          <w:kern w:val="0"/>
          <w:sz w:val="24"/>
          <w:szCs w:val="24"/>
        </w:rPr>
      </w:pPr>
      <w:r w:rsidRPr="007271B6">
        <w:rPr>
          <w:rFonts w:ascii="Times New Roman" w:hAnsi="Times New Roman" w:cs="Times New Roman"/>
          <w:b/>
          <w:bCs/>
          <w:kern w:val="0"/>
          <w:sz w:val="24"/>
          <w:szCs w:val="24"/>
        </w:rPr>
        <w:lastRenderedPageBreak/>
        <w:t xml:space="preserve">Figure </w:t>
      </w:r>
      <w:r w:rsidRPr="007271B6">
        <w:rPr>
          <w:rFonts w:ascii="Times New Roman" w:hAnsi="Times New Roman" w:cs="Times New Roman"/>
          <w:b/>
          <w:bCs/>
          <w:kern w:val="0"/>
          <w:sz w:val="24"/>
          <w:szCs w:val="24"/>
        </w:rPr>
        <w:fldChar w:fldCharType="begin"/>
      </w:r>
      <w:r w:rsidRPr="007271B6">
        <w:rPr>
          <w:rFonts w:ascii="Times New Roman" w:hAnsi="Times New Roman" w:cs="Times New Roman"/>
          <w:b/>
          <w:bCs/>
          <w:kern w:val="0"/>
          <w:sz w:val="24"/>
          <w:szCs w:val="24"/>
        </w:rPr>
        <w:instrText xml:space="preserve"> SEQ Figure \* ARABIC </w:instrText>
      </w:r>
      <w:r w:rsidRPr="007271B6">
        <w:rPr>
          <w:rFonts w:ascii="Times New Roman" w:hAnsi="Times New Roman" w:cs="Times New Roman"/>
          <w:b/>
          <w:bCs/>
          <w:kern w:val="0"/>
          <w:sz w:val="24"/>
          <w:szCs w:val="24"/>
        </w:rPr>
        <w:fldChar w:fldCharType="separate"/>
      </w:r>
      <w:r w:rsidR="00DC4CD1" w:rsidRPr="007271B6">
        <w:rPr>
          <w:rFonts w:ascii="Times New Roman" w:hAnsi="Times New Roman" w:cs="Times New Roman"/>
          <w:b/>
          <w:bCs/>
          <w:noProof/>
          <w:kern w:val="0"/>
          <w:sz w:val="24"/>
          <w:szCs w:val="24"/>
        </w:rPr>
        <w:t>1</w:t>
      </w:r>
      <w:r w:rsidRPr="007271B6">
        <w:rPr>
          <w:rFonts w:ascii="Times New Roman" w:hAnsi="Times New Roman" w:cs="Times New Roman"/>
          <w:b/>
          <w:bCs/>
          <w:kern w:val="0"/>
          <w:sz w:val="24"/>
          <w:szCs w:val="24"/>
        </w:rPr>
        <w:fldChar w:fldCharType="end"/>
      </w:r>
      <w:r w:rsidRPr="007271B6">
        <w:rPr>
          <w:rFonts w:ascii="Times New Roman" w:hAnsi="Times New Roman" w:cs="Times New Roman"/>
          <w:b/>
          <w:bCs/>
          <w:kern w:val="0"/>
          <w:sz w:val="24"/>
          <w:szCs w:val="24"/>
        </w:rPr>
        <w:t xml:space="preserve">: </w:t>
      </w:r>
      <w:r w:rsidRPr="007271B6">
        <w:rPr>
          <w:rFonts w:ascii="Times New Roman" w:hAnsi="Times New Roman" w:cs="Times New Roman"/>
          <w:kern w:val="0"/>
          <w:sz w:val="24"/>
          <w:szCs w:val="24"/>
        </w:rPr>
        <w:t>Coding procedure for FTX corporate governance failure.</w:t>
      </w:r>
    </w:p>
    <w:p w14:paraId="47FBCC7D" w14:textId="1AFC964A" w:rsidR="00F808B3" w:rsidRPr="007271B6" w:rsidRDefault="00F808B3" w:rsidP="00F808B3">
      <w:pPr>
        <w:spacing w:after="200" w:line="276" w:lineRule="auto"/>
        <w:rPr>
          <w:rFonts w:ascii="Times New Roman" w:hAnsi="Times New Roman" w:cs="Times New Roman"/>
          <w:b/>
          <w:bCs/>
          <w:kern w:val="0"/>
          <w:sz w:val="24"/>
          <w:szCs w:val="24"/>
        </w:rPr>
      </w:pPr>
      <w:r w:rsidRPr="007271B6">
        <w:rPr>
          <w:noProof/>
        </w:rPr>
        <mc:AlternateContent>
          <mc:Choice Requires="wps">
            <w:drawing>
              <wp:anchor distT="0" distB="0" distL="114300" distR="114300" simplePos="0" relativeHeight="251659264" behindDoc="0" locked="0" layoutInCell="1" allowOverlap="1" wp14:anchorId="66EC5F18" wp14:editId="6B50EF63">
                <wp:simplePos x="0" y="0"/>
                <wp:positionH relativeFrom="column">
                  <wp:posOffset>4457700</wp:posOffset>
                </wp:positionH>
                <wp:positionV relativeFrom="paragraph">
                  <wp:posOffset>1701800</wp:posOffset>
                </wp:positionV>
                <wp:extent cx="457200" cy="365760"/>
                <wp:effectExtent l="0" t="0" r="0" b="15240"/>
                <wp:wrapNone/>
                <wp:docPr id="1367186446"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57200" cy="365760"/>
                        </a:xfrm>
                        <a:prstGeom prst="straightConnector1">
                          <a:avLst/>
                        </a:prstGeom>
                        <a:noFill/>
                        <a:ln w="12700">
                          <a:solidFill>
                            <a:srgbClr val="4472C4">
                              <a:lumMod val="100000"/>
                              <a:lumOff val="0"/>
                            </a:srgbClr>
                          </a:solidFill>
                          <a:round/>
                          <a:headEnd/>
                          <a:tailEnd/>
                        </a:ln>
                        <a:effectLst/>
                      </wps:spPr>
                      <wps:bodyPr/>
                    </wps:wsp>
                  </a:graphicData>
                </a:graphic>
                <wp14:sizeRelH relativeFrom="page">
                  <wp14:pctWidth>0</wp14:pctWidth>
                </wp14:sizeRelH>
                <wp14:sizeRelV relativeFrom="page">
                  <wp14:pctHeight>0</wp14:pctHeight>
                </wp14:sizeRelV>
              </wp:anchor>
            </w:drawing>
          </mc:Choice>
          <mc:Fallback>
            <w:pict>
              <v:shapetype w14:anchorId="2C92AEDE" id="_x0000_t32" coordsize="21600,21600" o:spt="32" o:oned="t" path="m,l21600,21600e" filled="f">
                <v:path arrowok="t" fillok="f" o:connecttype="none"/>
                <o:lock v:ext="edit" shapetype="t"/>
              </v:shapetype>
              <v:shape id="Straight Arrow Connector 4" o:spid="_x0000_s1026" type="#_x0000_t32" style="position:absolute;margin-left:351pt;margin-top:134pt;width:36pt;height:28.8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" strokecolor="#4472c4" strokeweight="1pt"/>
            </w:pict>
          </mc:Fallback>
        </mc:AlternateContent>
      </w:r>
      <w:r w:rsidRPr="007271B6">
        <w:rPr>
          <w:noProof/>
        </w:rPr>
        <mc:AlternateContent>
          <mc:Choice Requires="wps">
            <w:drawing>
              <wp:anchor distT="0" distB="0" distL="114300" distR="114300" simplePos="0" relativeHeight="251660288" behindDoc="0" locked="0" layoutInCell="1" allowOverlap="1" wp14:anchorId="217F5FF1" wp14:editId="2B3ADCCB">
                <wp:simplePos x="0" y="0"/>
                <wp:positionH relativeFrom="column">
                  <wp:posOffset>4472940</wp:posOffset>
                </wp:positionH>
                <wp:positionV relativeFrom="paragraph">
                  <wp:posOffset>1915160</wp:posOffset>
                </wp:positionV>
                <wp:extent cx="510540" cy="746760"/>
                <wp:effectExtent l="0" t="0" r="3810" b="0"/>
                <wp:wrapNone/>
                <wp:docPr id="1506771344"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10540" cy="746760"/>
                        </a:xfrm>
                        <a:prstGeom prst="straightConnector1">
                          <a:avLst/>
                        </a:prstGeom>
                        <a:noFill/>
                        <a:ln w="12700">
                          <a:solidFill>
                            <a:srgbClr val="4472C4">
                              <a:lumMod val="100000"/>
                              <a:lumOff val="0"/>
                            </a:srgbClr>
                          </a:solidFill>
                          <a:round/>
                          <a:headEnd/>
                          <a:tailEnd/>
                        </a:ln>
                        <a:effectLst/>
                      </wps:spPr>
                      <wps:bodyPr/>
                    </wps:wsp>
                  </a:graphicData>
                </a:graphic>
                <wp14:sizeRelH relativeFrom="page">
                  <wp14:pctWidth>0</wp14:pctWidth>
                </wp14:sizeRelH>
                <wp14:sizeRelV relativeFrom="page">
                  <wp14:pctHeight>0</wp14:pctHeight>
                </wp14:sizeRelV>
              </wp:anchor>
            </w:drawing>
          </mc:Choice>
          <mc:Fallback>
            <w:pict>
              <v:shape w14:anchorId="500D68C8" id="Straight Arrow Connector 3" o:spid="_x0000_s1026" type="#_x0000_t32" style="position:absolute;margin-left:352.2pt;margin-top:150.8pt;width:40.2pt;height:58.8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" strokecolor="#4472c4" strokeweight="1pt"/>
            </w:pict>
          </mc:Fallback>
        </mc:AlternateContent>
      </w:r>
      <w:r w:rsidRPr="007271B6">
        <w:rPr>
          <w:noProof/>
        </w:rPr>
        <mc:AlternateContent>
          <mc:Choice Requires="wps">
            <w:drawing>
              <wp:anchor distT="0" distB="0" distL="114300" distR="114300" simplePos="0" relativeHeight="251662336" behindDoc="0" locked="0" layoutInCell="1" allowOverlap="1" wp14:anchorId="18A2335A" wp14:editId="6908E805">
                <wp:simplePos x="0" y="0"/>
                <wp:positionH relativeFrom="column">
                  <wp:posOffset>4480560</wp:posOffset>
                </wp:positionH>
                <wp:positionV relativeFrom="paragraph">
                  <wp:posOffset>4833620</wp:posOffset>
                </wp:positionV>
                <wp:extent cx="434340" cy="510540"/>
                <wp:effectExtent l="0" t="0" r="3810" b="3810"/>
                <wp:wrapNone/>
                <wp:docPr id="22608940"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34340" cy="510540"/>
                        </a:xfrm>
                        <a:prstGeom prst="straightConnector1">
                          <a:avLst/>
                        </a:prstGeom>
                        <a:noFill/>
                        <a:ln w="12700">
                          <a:solidFill>
                            <a:srgbClr val="4472C4">
                              <a:lumMod val="100000"/>
                              <a:lumOff val="0"/>
                            </a:srgbClr>
                          </a:solidFill>
                          <a:round/>
                          <a:headEnd/>
                          <a:tailEnd/>
                        </a:ln>
                        <a:effectLst/>
                      </wps:spPr>
                      <wps:bodyPr/>
                    </wps:wsp>
                  </a:graphicData>
                </a:graphic>
                <wp14:sizeRelH relativeFrom="page">
                  <wp14:pctWidth>0</wp14:pctWidth>
                </wp14:sizeRelH>
                <wp14:sizeRelV relativeFrom="page">
                  <wp14:pctHeight>0</wp14:pctHeight>
                </wp14:sizeRelV>
              </wp:anchor>
            </w:drawing>
          </mc:Choice>
          <mc:Fallback>
            <w:pict>
              <v:shape w14:anchorId="3C30BA47" id="Straight Arrow Connector 2" o:spid="_x0000_s1026" type="#_x0000_t32" style="position:absolute;margin-left:352.8pt;margin-top:380.6pt;width:34.2pt;height:40.2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" strokecolor="#4472c4" strokeweight="1pt"/>
            </w:pict>
          </mc:Fallback>
        </mc:AlternateContent>
      </w:r>
      <w:r w:rsidRPr="007271B6">
        <w:rPr>
          <w:noProof/>
        </w:rPr>
        <mc:AlternateContent>
          <mc:Choice Requires="wps">
            <w:drawing>
              <wp:anchor distT="0" distB="0" distL="114300" distR="114300" simplePos="0" relativeHeight="251661312" behindDoc="0" locked="0" layoutInCell="1" allowOverlap="1" wp14:anchorId="2820B5A4" wp14:editId="5BA0F1DE">
                <wp:simplePos x="0" y="0"/>
                <wp:positionH relativeFrom="column">
                  <wp:posOffset>4488180</wp:posOffset>
                </wp:positionH>
                <wp:positionV relativeFrom="paragraph">
                  <wp:posOffset>3957320</wp:posOffset>
                </wp:positionV>
                <wp:extent cx="434340" cy="518160"/>
                <wp:effectExtent l="0" t="0" r="3810" b="15240"/>
                <wp:wrapNone/>
                <wp:docPr id="1970755330"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34340" cy="518160"/>
                        </a:xfrm>
                        <a:prstGeom prst="straightConnector1">
                          <a:avLst/>
                        </a:prstGeom>
                        <a:noFill/>
                        <a:ln w="12700">
                          <a:solidFill>
                            <a:srgbClr val="4472C4">
                              <a:lumMod val="100000"/>
                              <a:lumOff val="0"/>
                            </a:srgbClr>
                          </a:solidFill>
                          <a:round/>
                          <a:headEnd/>
                          <a:tailEnd/>
                        </a:ln>
                        <a:effectLst/>
                      </wps:spPr>
                      <wps:bodyPr/>
                    </wps:wsp>
                  </a:graphicData>
                </a:graphic>
                <wp14:sizeRelH relativeFrom="page">
                  <wp14:pctWidth>0</wp14:pctWidth>
                </wp14:sizeRelH>
                <wp14:sizeRelV relativeFrom="page">
                  <wp14:pctHeight>0</wp14:pctHeight>
                </wp14:sizeRelV>
              </wp:anchor>
            </w:drawing>
          </mc:Choice>
          <mc:Fallback>
            <w:pict>
              <v:shape w14:anchorId="1FBEBE7B" id="Straight Arrow Connector 1" o:spid="_x0000_s1026" type="#_x0000_t32" style="position:absolute;margin-left:353.4pt;margin-top:311.6pt;width:34.2pt;height:40.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" strokecolor="#4472c4" strokeweight="1pt"/>
            </w:pict>
          </mc:Fallback>
        </mc:AlternateContent>
      </w:r>
      <w:r w:rsidRPr="007271B6">
        <w:rPr>
          <w:rFonts w:ascii="Times New Roman" w:hAnsi="Times New Roman" w:cs="Times New Roman"/>
          <w:b/>
          <w:bCs/>
          <w:noProof/>
          <w:kern w:val="0"/>
          <w:sz w:val="24"/>
          <w:szCs w:val="24"/>
        </w:rPr>
        <w:drawing>
          <wp:inline distT="0" distB="0" distL="0" distR="0" wp14:anchorId="26918961" wp14:editId="386ACAA5">
            <wp:extent cx="6012180" cy="5890260"/>
            <wp:effectExtent l="38100" t="0" r="4572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1E0A8DC" w14:textId="048D9D46" w:rsidR="00F808B3" w:rsidRPr="007271B6" w:rsidRDefault="00A036E5" w:rsidP="00F808B3">
      <w:pPr>
        <w:spacing w:after="0" w:line="480" w:lineRule="auto"/>
        <w:ind w:firstLine="720"/>
        <w:rPr>
          <w:rFonts w:ascii="Times New Roman" w:hAnsi="Times New Roman" w:cs="Times New Roman"/>
          <w:b/>
          <w:bCs/>
          <w:kern w:val="0"/>
          <w:sz w:val="24"/>
          <w:szCs w:val="24"/>
        </w:rPr>
      </w:pPr>
      <w:r w:rsidRPr="007271B6">
        <w:rPr>
          <w:rFonts w:ascii="Times New Roman" w:hAnsi="Times New Roman" w:cs="Times New Roman"/>
          <w:kern w:val="0"/>
          <w:sz w:val="24"/>
          <w:szCs w:val="24"/>
        </w:rPr>
        <w:t xml:space="preserve">Priori codes included corporate governance practices, </w:t>
      </w:r>
      <w:proofErr w:type="gramStart"/>
      <w:r w:rsidRPr="007271B6">
        <w:rPr>
          <w:rFonts w:ascii="Times New Roman" w:hAnsi="Times New Roman" w:cs="Times New Roman"/>
          <w:kern w:val="0"/>
          <w:sz w:val="24"/>
          <w:szCs w:val="24"/>
        </w:rPr>
        <w:t>regulations</w:t>
      </w:r>
      <w:proofErr w:type="gramEnd"/>
      <w:r w:rsidRPr="007271B6">
        <w:rPr>
          <w:rFonts w:ascii="Times New Roman" w:hAnsi="Times New Roman" w:cs="Times New Roman"/>
          <w:kern w:val="0"/>
          <w:sz w:val="24"/>
          <w:szCs w:val="24"/>
        </w:rPr>
        <w:t xml:space="preserve"> and corporate issues, as shown in Figure 1 above. These codes were expanded as applicable or based on interviews and literature, and ultimately categorised as lacking governance or policy commitments. Corporate governance practices thematically aligned with the former while company issues aligned with the latter; together, these factors compounded to illustrate that the collapse of FTX and Alameda was a failure of corporate governance. The analysis has </w:t>
      </w:r>
      <w:r w:rsidRPr="007271B6">
        <w:rPr>
          <w:rFonts w:ascii="Times New Roman" w:hAnsi="Times New Roman" w:cs="Times New Roman"/>
          <w:kern w:val="0"/>
          <w:sz w:val="24"/>
          <w:szCs w:val="24"/>
        </w:rPr>
        <w:lastRenderedPageBreak/>
        <w:t>uncovered a new theme, namely the dynamic interconnectedness of companies through the cross examination of the collapse of Terra and Three Arrows.</w:t>
      </w:r>
    </w:p>
    <w:p w14:paraId="42BAC468" w14:textId="033B7824" w:rsidR="00F808B3" w:rsidRPr="007271B6" w:rsidRDefault="008B2FC1" w:rsidP="008B2FC1">
      <w:pPr>
        <w:pStyle w:val="Heading2"/>
      </w:pPr>
      <w:bookmarkStart w:id="41" w:name="_Toc165583403"/>
      <w:r w:rsidRPr="007271B6">
        <w:t>Emerging Theme: Dynamic Interconnectedness of Cryptocurrency E</w:t>
      </w:r>
      <w:r w:rsidR="00F808B3" w:rsidRPr="007271B6">
        <w:t>xchange</w:t>
      </w:r>
      <w:bookmarkEnd w:id="41"/>
    </w:p>
    <w:p w14:paraId="59D21C4F" w14:textId="77777777" w:rsidR="00CB630F" w:rsidRPr="007271B6" w:rsidRDefault="00CB630F" w:rsidP="00CB630F">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 xml:space="preserve">The analysis revealed a pattern of research pointing to the integration of the cryptocurrency market. Interestingly, cross-examination of the FTX and Alameda collapse and the previous cryptocurrency failures involving Three Arrows and Terra/Luna shows that the interconnectedness of exchange platforms makes them vulnerable to collapse when a more prominent firm collapses. </w:t>
      </w:r>
      <w:proofErr w:type="spellStart"/>
      <w:r w:rsidRPr="007271B6">
        <w:rPr>
          <w:rFonts w:ascii="Times New Roman" w:hAnsi="Times New Roman" w:cs="Times New Roman"/>
          <w:kern w:val="0"/>
          <w:sz w:val="24"/>
          <w:szCs w:val="24"/>
        </w:rPr>
        <w:t>Akyildirim</w:t>
      </w:r>
      <w:proofErr w:type="spellEnd"/>
      <w:r w:rsidRPr="007271B6">
        <w:rPr>
          <w:rFonts w:ascii="Times New Roman" w:hAnsi="Times New Roman" w:cs="Times New Roman"/>
          <w:kern w:val="0"/>
          <w:sz w:val="24"/>
          <w:szCs w:val="24"/>
        </w:rPr>
        <w:t xml:space="preserve"> and colleagues (2023) used a dynamic connectedness approach to illustrate the interconnectedness of financial markets and the associated systemic risks posed by the collapse of cryptocurrency exchanges. The interconnectedness resulted in firms sharing returns and volatility (</w:t>
      </w:r>
      <w:proofErr w:type="spellStart"/>
      <w:r w:rsidRPr="007271B6">
        <w:rPr>
          <w:rFonts w:ascii="Times New Roman" w:hAnsi="Times New Roman" w:cs="Times New Roman"/>
          <w:kern w:val="0"/>
          <w:sz w:val="24"/>
          <w:szCs w:val="24"/>
        </w:rPr>
        <w:t>Sensoy</w:t>
      </w:r>
      <w:proofErr w:type="spellEnd"/>
      <w:r w:rsidRPr="007271B6">
        <w:rPr>
          <w:rFonts w:ascii="Times New Roman" w:hAnsi="Times New Roman" w:cs="Times New Roman"/>
          <w:kern w:val="0"/>
          <w:sz w:val="24"/>
          <w:szCs w:val="24"/>
        </w:rPr>
        <w:t xml:space="preserve"> et al., 2021). Another similarity between the collapse of FTX and other predecessors is the effective altruism principle and the lack of sound corporate governance. However, a distinct difference between the previous collapses and that of FTX is that there were no aggressive marketing strategies involving celebrity athletes and there was no sister company such as Alameda Research (CNBC, 2023).</w:t>
      </w:r>
    </w:p>
    <w:p w14:paraId="30679B24" w14:textId="6C94F88F" w:rsidR="00F808B3" w:rsidRPr="007271B6" w:rsidRDefault="00CB630F" w:rsidP="00CB630F">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 xml:space="preserve">Data analysis based on three predetermined themes, including corporate governance practices, corporate </w:t>
      </w:r>
      <w:proofErr w:type="gramStart"/>
      <w:r w:rsidRPr="007271B6">
        <w:rPr>
          <w:rFonts w:ascii="Times New Roman" w:hAnsi="Times New Roman" w:cs="Times New Roman"/>
          <w:kern w:val="0"/>
          <w:sz w:val="24"/>
          <w:szCs w:val="24"/>
        </w:rPr>
        <w:t>issues</w:t>
      </w:r>
      <w:proofErr w:type="gramEnd"/>
      <w:r w:rsidRPr="007271B6">
        <w:rPr>
          <w:rFonts w:ascii="Times New Roman" w:hAnsi="Times New Roman" w:cs="Times New Roman"/>
          <w:kern w:val="0"/>
          <w:sz w:val="24"/>
          <w:szCs w:val="24"/>
        </w:rPr>
        <w:t xml:space="preserve"> and the regulation of cryptocurrency companies, categorised the documentary interviews according to priority codes. One emerging theme, the interconnectedness of cryptocurrency companies, was revealed by cross-examining the collapse of FTX and Alameda Research with the previous collapse of Three Arrows and Terra/Luna. The given codes paint an accurate picture of the collapse and establish that SBF deviated from ideal corporate governance practises and maintained an effective altruism philosophy without oversight and boundaries. The findings from this data analysis are discussed in more detail in the next chapter of this dissertation.</w:t>
      </w:r>
      <w:r w:rsidR="00F808B3" w:rsidRPr="007271B6">
        <w:rPr>
          <w:rFonts w:ascii="Times New Roman" w:hAnsi="Times New Roman" w:cs="Times New Roman"/>
          <w:kern w:val="0"/>
          <w:sz w:val="24"/>
          <w:szCs w:val="24"/>
        </w:rPr>
        <w:t xml:space="preserve"> </w:t>
      </w:r>
      <w:r w:rsidR="00F808B3" w:rsidRPr="007271B6">
        <w:rPr>
          <w:rFonts w:ascii="Times New Roman" w:hAnsi="Times New Roman" w:cs="Times New Roman"/>
          <w:kern w:val="0"/>
          <w:sz w:val="24"/>
          <w:szCs w:val="24"/>
        </w:rPr>
        <w:br w:type="page"/>
      </w:r>
    </w:p>
    <w:p w14:paraId="11B78AA0" w14:textId="77777777" w:rsidR="00F808B3" w:rsidRPr="007271B6" w:rsidRDefault="00F808B3" w:rsidP="008B2FC1">
      <w:pPr>
        <w:pStyle w:val="Heading1"/>
        <w:rPr>
          <w:lang w:val="en-GB"/>
        </w:rPr>
      </w:pPr>
      <w:bookmarkStart w:id="42" w:name="_Toc165583404"/>
      <w:r w:rsidRPr="007271B6">
        <w:rPr>
          <w:lang w:val="en-GB"/>
        </w:rPr>
        <w:lastRenderedPageBreak/>
        <w:t>Discussion</w:t>
      </w:r>
      <w:bookmarkEnd w:id="42"/>
    </w:p>
    <w:p w14:paraId="494DC7BC" w14:textId="4B6F9F9A" w:rsidR="00F808B3" w:rsidRPr="007271B6" w:rsidRDefault="00CB630F" w:rsidP="00F808B3">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In this section, the results of the study are critically interpreted by linking them to the literature and the research questions. The discussion emphasises the significance of the findings, drawing on concepts and theories from the literature review that relate to the collapse of cryptocurrency firms. The chapter briefly explains how these findings and the literature answer the research questions and what implications they have for corporate governance. This discussion section draws on the research questions and related topics as follows:</w:t>
      </w:r>
    </w:p>
    <w:p w14:paraId="22B9275F" w14:textId="77777777" w:rsidR="00367085" w:rsidRPr="007271B6" w:rsidRDefault="00F808B3" w:rsidP="00F808B3">
      <w:pPr>
        <w:spacing w:after="0" w:line="480" w:lineRule="auto"/>
        <w:ind w:firstLine="720"/>
        <w:rPr>
          <w:rFonts w:ascii="Times New Roman" w:hAnsi="Times New Roman" w:cs="Times New Roman"/>
          <w:b/>
          <w:bCs/>
          <w:kern w:val="0"/>
          <w:sz w:val="24"/>
          <w:szCs w:val="24"/>
        </w:rPr>
      </w:pPr>
      <w:r w:rsidRPr="007271B6">
        <w:rPr>
          <w:rFonts w:ascii="Times New Roman" w:hAnsi="Times New Roman" w:cs="Times New Roman"/>
          <w:b/>
          <w:bCs/>
          <w:kern w:val="0"/>
          <w:sz w:val="24"/>
          <w:szCs w:val="24"/>
        </w:rPr>
        <w:t xml:space="preserve">Research question: How did corporate governance practices within FTX and Alameda Research lead to bankruptcies? </w:t>
      </w:r>
    </w:p>
    <w:p w14:paraId="4D29B18A" w14:textId="68039B36" w:rsidR="00CB630F" w:rsidRPr="007271B6" w:rsidRDefault="00CB630F" w:rsidP="00CB630F">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 xml:space="preserve">Question 1 of the research questions </w:t>
      </w:r>
      <w:r w:rsidR="00FF6FB4" w:rsidRPr="007271B6">
        <w:rPr>
          <w:rFonts w:ascii="Times New Roman" w:hAnsi="Times New Roman" w:cs="Times New Roman"/>
          <w:kern w:val="0"/>
          <w:sz w:val="24"/>
          <w:szCs w:val="24"/>
        </w:rPr>
        <w:t>has</w:t>
      </w:r>
      <w:r w:rsidRPr="007271B6">
        <w:rPr>
          <w:rFonts w:ascii="Times New Roman" w:hAnsi="Times New Roman" w:cs="Times New Roman"/>
          <w:kern w:val="0"/>
          <w:sz w:val="24"/>
          <w:szCs w:val="24"/>
        </w:rPr>
        <w:t xml:space="preserve"> been at the centre of much of the literature and CNBC documentary on the collapse of FTX and Alameda. A harrowing expose aired by CNBC in which one of the interviewees, Mr Ray, the current</w:t>
      </w:r>
      <w:r w:rsidR="00E554C7">
        <w:rPr>
          <w:rFonts w:ascii="Times New Roman" w:hAnsi="Times New Roman" w:cs="Times New Roman"/>
          <w:kern w:val="0"/>
          <w:sz w:val="24"/>
          <w:szCs w:val="24"/>
        </w:rPr>
        <w:t xml:space="preserve"> interim</w:t>
      </w:r>
      <w:r w:rsidRPr="007271B6">
        <w:rPr>
          <w:rFonts w:ascii="Times New Roman" w:hAnsi="Times New Roman" w:cs="Times New Roman"/>
          <w:kern w:val="0"/>
          <w:sz w:val="24"/>
          <w:szCs w:val="24"/>
        </w:rPr>
        <w:t xml:space="preserve"> CEO of FTX and Alameda Research, suggested that “It’s the absence of record- keeping” and “There’s no independent board” as the fundamental reasons behind the collapse of one of the leading cryptocurrency companies in the world. The data analysis revealed that poor corporate governance practices, including the lack of records and board of directors, were critical to the collapse of FTX and Alameda Research. Mr Ray’s answers shed light on the lack of appropriate corporate governance at the companies. This lack led to fraudulent activity as the roles and responsibilities of employees and management were not clearly delineated. In addition, the lack of a board of directors meant that there was no oversight to ensure strategic implementation. This set the stage for a one-man show, S</w:t>
      </w:r>
      <w:r w:rsidR="003F546F" w:rsidRPr="007271B6">
        <w:rPr>
          <w:rFonts w:ascii="Times New Roman" w:hAnsi="Times New Roman" w:cs="Times New Roman"/>
          <w:kern w:val="0"/>
          <w:sz w:val="24"/>
          <w:szCs w:val="24"/>
        </w:rPr>
        <w:t>BF</w:t>
      </w:r>
      <w:r w:rsidRPr="007271B6">
        <w:rPr>
          <w:rFonts w:ascii="Times New Roman" w:hAnsi="Times New Roman" w:cs="Times New Roman"/>
          <w:kern w:val="0"/>
          <w:sz w:val="24"/>
          <w:szCs w:val="24"/>
        </w:rPr>
        <w:t>.</w:t>
      </w:r>
    </w:p>
    <w:p w14:paraId="538CCCBB" w14:textId="19E99C54" w:rsidR="00CB630F" w:rsidRPr="007271B6" w:rsidRDefault="00CB630F" w:rsidP="00CB630F">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 xml:space="preserve">Pilkington (2022) claims that FTX’s bankruptcy was due to a failure of </w:t>
      </w:r>
      <w:r w:rsidR="00FF6FB4" w:rsidRPr="007271B6">
        <w:rPr>
          <w:rFonts w:ascii="Times New Roman" w:hAnsi="Times New Roman" w:cs="Times New Roman"/>
          <w:kern w:val="0"/>
          <w:sz w:val="24"/>
          <w:szCs w:val="24"/>
        </w:rPr>
        <w:t>governance,</w:t>
      </w:r>
      <w:r w:rsidRPr="007271B6">
        <w:rPr>
          <w:rFonts w:ascii="Times New Roman" w:hAnsi="Times New Roman" w:cs="Times New Roman"/>
          <w:kern w:val="0"/>
          <w:sz w:val="24"/>
          <w:szCs w:val="24"/>
        </w:rPr>
        <w:t xml:space="preserve"> the author points to problems in organisational decision-making, </w:t>
      </w:r>
      <w:proofErr w:type="gramStart"/>
      <w:r w:rsidRPr="007271B6">
        <w:rPr>
          <w:rFonts w:ascii="Times New Roman" w:hAnsi="Times New Roman" w:cs="Times New Roman"/>
          <w:kern w:val="0"/>
          <w:sz w:val="24"/>
          <w:szCs w:val="24"/>
        </w:rPr>
        <w:t>transparency</w:t>
      </w:r>
      <w:proofErr w:type="gramEnd"/>
      <w:r w:rsidRPr="007271B6">
        <w:rPr>
          <w:rFonts w:ascii="Times New Roman" w:hAnsi="Times New Roman" w:cs="Times New Roman"/>
          <w:kern w:val="0"/>
          <w:sz w:val="24"/>
          <w:szCs w:val="24"/>
        </w:rPr>
        <w:t xml:space="preserve"> and risk management. These components are consistent with the CNBC documentary, which </w:t>
      </w:r>
      <w:r w:rsidRPr="007271B6">
        <w:rPr>
          <w:rFonts w:ascii="Times New Roman" w:hAnsi="Times New Roman" w:cs="Times New Roman"/>
          <w:kern w:val="0"/>
          <w:sz w:val="24"/>
          <w:szCs w:val="24"/>
        </w:rPr>
        <w:lastRenderedPageBreak/>
        <w:t xml:space="preserve">highlighted the lack of record-keeping and an oversight board as critical deficiencies in the two companies’ corporate governance practices. The author discovered that the distributed networks that form the basis for blockchain-powered </w:t>
      </w:r>
      <w:r w:rsidR="00A37152" w:rsidRPr="007271B6">
        <w:rPr>
          <w:rFonts w:ascii="Times New Roman" w:hAnsi="Times New Roman" w:cs="Times New Roman"/>
          <w:kern w:val="0"/>
          <w:sz w:val="24"/>
          <w:szCs w:val="24"/>
        </w:rPr>
        <w:t>decentralised autonomous organisation (</w:t>
      </w:r>
      <w:r w:rsidRPr="007271B6">
        <w:rPr>
          <w:rFonts w:ascii="Times New Roman" w:hAnsi="Times New Roman" w:cs="Times New Roman"/>
          <w:kern w:val="0"/>
          <w:sz w:val="24"/>
          <w:szCs w:val="24"/>
        </w:rPr>
        <w:t>DAO</w:t>
      </w:r>
      <w:r w:rsidR="00A37152" w:rsidRPr="007271B6">
        <w:rPr>
          <w:rFonts w:ascii="Times New Roman" w:hAnsi="Times New Roman" w:cs="Times New Roman"/>
          <w:kern w:val="0"/>
          <w:sz w:val="24"/>
          <w:szCs w:val="24"/>
        </w:rPr>
        <w:t>)</w:t>
      </w:r>
      <w:r w:rsidRPr="007271B6">
        <w:rPr>
          <w:rFonts w:ascii="Times New Roman" w:hAnsi="Times New Roman" w:cs="Times New Roman"/>
          <w:kern w:val="0"/>
          <w:sz w:val="24"/>
          <w:szCs w:val="24"/>
        </w:rPr>
        <w:t xml:space="preserve"> had a consensus protocol that eliminated hierarchical power (Pilkington, 2022). These organisations tend to have a multitude of collaborators in a hierarchy-less group who have the potential to effect change in the void of distributed order; consequently, there is limited accountability and transparency (CNBC, 2023; Pilkington, 2022). Pilkington (2022) quotes Spinoza to explain that such blockchain-based technology, even if it tries to avoid hierarchies, falls into them, especially if one individual is smarter than the rest. This explanation aligns with Mr Ray’s observation that S</w:t>
      </w:r>
      <w:r w:rsidR="003F546F" w:rsidRPr="007271B6">
        <w:rPr>
          <w:rFonts w:ascii="Times New Roman" w:hAnsi="Times New Roman" w:cs="Times New Roman"/>
          <w:kern w:val="0"/>
          <w:sz w:val="24"/>
          <w:szCs w:val="24"/>
        </w:rPr>
        <w:t>BF</w:t>
      </w:r>
      <w:r w:rsidRPr="007271B6">
        <w:rPr>
          <w:rFonts w:ascii="Times New Roman" w:hAnsi="Times New Roman" w:cs="Times New Roman"/>
          <w:kern w:val="0"/>
          <w:sz w:val="24"/>
          <w:szCs w:val="24"/>
        </w:rPr>
        <w:t>, who was considered smarter than his peers, removed the hierarchical order in his organisation and put himself at the top of any decision making.</w:t>
      </w:r>
    </w:p>
    <w:p w14:paraId="0883B452" w14:textId="5B96F45A" w:rsidR="00F808B3" w:rsidRPr="007271B6" w:rsidRDefault="00CB630F" w:rsidP="00CB630F">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CNBC's (2023) interview with the CEO of FTX US shows that Brett had no idea that the company was in danger at the time of his resignation, as SBF was busy with fundraising activities and controlled much of the information flow; there was no absolute unity. Pilkington (2022) claims that such organisational forms (without hierarchy) have more viability when they are given agency than when they have no constraints. However, as the CNBC and Bloomberg Originals documentaries show, FTX and Alameda opted for the latter (removal of constraints), which perpetuates governance practices such as clear roles and responsibilities, record-keeping, and board control, inevitably leading to their collapse (CNBC, 2023; Bloomberg Originals, 2023).</w:t>
      </w:r>
      <w:r w:rsidR="00F808B3" w:rsidRPr="007271B6">
        <w:rPr>
          <w:rFonts w:ascii="Times New Roman" w:hAnsi="Times New Roman" w:cs="Times New Roman"/>
          <w:kern w:val="0"/>
          <w:sz w:val="24"/>
          <w:szCs w:val="24"/>
        </w:rPr>
        <w:t xml:space="preserve"> </w:t>
      </w:r>
    </w:p>
    <w:p w14:paraId="6849829B" w14:textId="6A16DED5" w:rsidR="00CB630F" w:rsidRPr="007271B6" w:rsidRDefault="00CB630F" w:rsidP="00CB630F">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As though drawn from conception, after the elimination of hierarchy, SBF controlled FTX as though it was his “piggy bank” (CNBC, 2023, 15:00-32:00). This was an onslaught to investors and shareholders because it was the beginning of fraudulent activities in</w:t>
      </w:r>
      <w:r w:rsidR="00AF6F4A">
        <w:rPr>
          <w:rFonts w:ascii="Times New Roman" w:hAnsi="Times New Roman" w:cs="Times New Roman"/>
          <w:kern w:val="0"/>
          <w:sz w:val="24"/>
          <w:szCs w:val="24"/>
        </w:rPr>
        <w:t xml:space="preserve"> that</w:t>
      </w:r>
      <w:r w:rsidRPr="007271B6">
        <w:rPr>
          <w:rFonts w:ascii="Times New Roman" w:hAnsi="Times New Roman" w:cs="Times New Roman"/>
          <w:kern w:val="0"/>
          <w:sz w:val="24"/>
          <w:szCs w:val="24"/>
        </w:rPr>
        <w:t xml:space="preserve"> the company blatantly misaligned the company objectives with those of the shareholders </w:t>
      </w:r>
      <w:r w:rsidRPr="007271B6">
        <w:rPr>
          <w:rFonts w:ascii="Times New Roman" w:hAnsi="Times New Roman" w:cs="Times New Roman"/>
          <w:kern w:val="0"/>
          <w:sz w:val="24"/>
          <w:szCs w:val="24"/>
        </w:rPr>
        <w:lastRenderedPageBreak/>
        <w:t>(</w:t>
      </w:r>
      <w:proofErr w:type="spellStart"/>
      <w:r w:rsidRPr="007271B6">
        <w:rPr>
          <w:rFonts w:ascii="Times New Roman" w:hAnsi="Times New Roman" w:cs="Times New Roman"/>
          <w:kern w:val="0"/>
          <w:sz w:val="24"/>
          <w:szCs w:val="24"/>
        </w:rPr>
        <w:t>Akiyildirim</w:t>
      </w:r>
      <w:proofErr w:type="spellEnd"/>
      <w:r w:rsidRPr="007271B6">
        <w:rPr>
          <w:rFonts w:ascii="Times New Roman" w:hAnsi="Times New Roman" w:cs="Times New Roman"/>
          <w:kern w:val="0"/>
          <w:sz w:val="24"/>
          <w:szCs w:val="24"/>
        </w:rPr>
        <w:t xml:space="preserve"> et al., 2023). Pierce (2022) introduces agency theory, in which he emphasises the importance of companies pursuing the goals of their investors and shareholders as a primary objective. According to this theory, it is a corporate model in which investors invest in a company so that the company's management uses the funds to create value while increasing investors’ wealth (Pierce, 2022). Pierce’s shareholder primacy argument establishes clear roles where investors offer their wealth while the company manages it. FTX and Alameda grossly violated agency theory by SBF’s insistence on using the money for charitable purposes and others through the philosophy of effective altruism and other schemes that proved to be outright misappropriation of investor capital (Pierce, 2022). Eventually, he could no longer provide investors with their funds on demand; he endeavoured to meet their demands and in the process was inevitably exposed to fraudulent activities that led to the demise of the company.</w:t>
      </w:r>
    </w:p>
    <w:p w14:paraId="6194D8E6" w14:textId="67245DCE" w:rsidR="00F808B3" w:rsidRPr="007271B6" w:rsidRDefault="00CB630F" w:rsidP="00CB630F">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CNBC (2023) uncovered that one of the executives, Caroline, CEO of Alameda Research, understood that investors would not be pleased that SBF was using their digital assets to pay off loans. However, there was no channel for her to raise the issue as there was no board or committee. As a result, FTX introduced uncollateralised FTT tokens as part of Alameda’s assets, with the latter owning 40% of the tokens; a leaked balance sheet from Alameda Research revealed the company's poor financial position given the use of FTT token as part of its finances (Bloomberg Originals, 2023; CNBC, 2023). The revelations confirmed a conflict of interest while exposing the lack of corporate governance practices. The interview shows that while the CEO of Alameda Research knew that investors would not be happy with SBF’s use of their funds, there was no governance mechanism in place to address their concerns (Bloomberg Originals, 2023). The failure of Alameda Research's CEO to confront SBF about the capital fraud was a serious governance failure that significantly impacted the company after the financial statements were leaked.</w:t>
      </w:r>
    </w:p>
    <w:p w14:paraId="052C84B8" w14:textId="77777777" w:rsidR="00367085" w:rsidRPr="007271B6" w:rsidRDefault="00F808B3" w:rsidP="00F808B3">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b/>
          <w:bCs/>
          <w:kern w:val="0"/>
          <w:sz w:val="24"/>
          <w:szCs w:val="24"/>
        </w:rPr>
        <w:lastRenderedPageBreak/>
        <w:t>Research question:</w:t>
      </w:r>
      <w:r w:rsidRPr="007271B6">
        <w:rPr>
          <w:kern w:val="0"/>
        </w:rPr>
        <w:t xml:space="preserve"> </w:t>
      </w:r>
      <w:r w:rsidRPr="007271B6">
        <w:rPr>
          <w:rFonts w:ascii="Times New Roman" w:hAnsi="Times New Roman" w:cs="Times New Roman"/>
          <w:b/>
          <w:bCs/>
          <w:kern w:val="0"/>
          <w:sz w:val="24"/>
          <w:szCs w:val="24"/>
        </w:rPr>
        <w:t>What were the most prevalent underlying issues within the companies from a governance perspective?</w:t>
      </w:r>
      <w:r w:rsidRPr="007271B6">
        <w:rPr>
          <w:rFonts w:ascii="Times New Roman" w:hAnsi="Times New Roman" w:cs="Times New Roman"/>
          <w:kern w:val="0"/>
          <w:sz w:val="24"/>
          <w:szCs w:val="24"/>
        </w:rPr>
        <w:t xml:space="preserve"> </w:t>
      </w:r>
    </w:p>
    <w:p w14:paraId="523D69DF" w14:textId="77777777" w:rsidR="00CB630F" w:rsidRPr="007271B6" w:rsidRDefault="00CB630F" w:rsidP="00CB630F">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The CNBC and Bloomberg Original documentary respondents described FTX and Alameda issues emanating from poor corporate governance practices. At the centre of the collapse was SBF’s single-handed management of the companies without consultation with colleagues, without a board of directors and with limited compliance with the laws of the land (CNBC, 2023). When the Bloomberg Originals documentary (2023) inquired about his management approaches, SBF revealed that he was unaware of any management practices, particularly complaint resolution procedures. He replied that he only knew how to run the company when everyone was at peace and not during a storm such as the one caused by the abrupt departure of FTX US CEO, Brett Harrison, and Alameda Co-CEO, Sam Trabuco (Bloomberg Originals, 2023). SBF had neither management skills nor a human resources department capable of addressing grievances, having chosen to run the company without any hierarchy or oversight.</w:t>
      </w:r>
    </w:p>
    <w:p w14:paraId="191378C4" w14:textId="0559CCFD" w:rsidR="00CB630F" w:rsidRPr="007271B6" w:rsidRDefault="00CB630F" w:rsidP="00CB630F">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 xml:space="preserve">The Bloomberg Originals </w:t>
      </w:r>
      <w:proofErr w:type="gramStart"/>
      <w:r w:rsidRPr="007271B6">
        <w:rPr>
          <w:rFonts w:ascii="Times New Roman" w:hAnsi="Times New Roman" w:cs="Times New Roman"/>
          <w:kern w:val="0"/>
          <w:sz w:val="24"/>
          <w:szCs w:val="24"/>
        </w:rPr>
        <w:t>documentary</w:t>
      </w:r>
      <w:proofErr w:type="gramEnd"/>
      <w:r w:rsidRPr="007271B6">
        <w:rPr>
          <w:rFonts w:ascii="Times New Roman" w:hAnsi="Times New Roman" w:cs="Times New Roman"/>
          <w:kern w:val="0"/>
          <w:sz w:val="24"/>
          <w:szCs w:val="24"/>
        </w:rPr>
        <w:t xml:space="preserve"> Ruin (2023) reveals how SBF sought out countries with poor financial regulations to set up its headquarters; it started in Korea and later moved to the Bahamas, where it received a hero's welcome. With its headquarters in a country with no financial regulations, SBF has consistently stymied the ideas of investors and employees, including top management such as the CEO of FTX US. An interview with the CEO of FTX US revealed how SBF's</w:t>
      </w:r>
      <w:r w:rsidR="007926E5" w:rsidRPr="007271B6">
        <w:rPr>
          <w:rFonts w:ascii="Times New Roman" w:hAnsi="Times New Roman" w:cs="Times New Roman"/>
          <w:kern w:val="0"/>
          <w:sz w:val="24"/>
          <w:szCs w:val="24"/>
        </w:rPr>
        <w:t xml:space="preserve"> intentional </w:t>
      </w:r>
      <w:r w:rsidRPr="007271B6">
        <w:rPr>
          <w:rFonts w:ascii="Times New Roman" w:hAnsi="Times New Roman" w:cs="Times New Roman"/>
          <w:kern w:val="0"/>
          <w:sz w:val="24"/>
          <w:szCs w:val="24"/>
        </w:rPr>
        <w:t xml:space="preserve">lack of </w:t>
      </w:r>
      <w:r w:rsidR="007926E5" w:rsidRPr="007271B6">
        <w:rPr>
          <w:rFonts w:ascii="Times New Roman" w:hAnsi="Times New Roman" w:cs="Times New Roman"/>
          <w:kern w:val="0"/>
          <w:sz w:val="24"/>
          <w:szCs w:val="24"/>
        </w:rPr>
        <w:t xml:space="preserve">risk management frameworks, asset and fund verification and </w:t>
      </w:r>
      <w:r w:rsidRPr="007271B6">
        <w:rPr>
          <w:rFonts w:ascii="Times New Roman" w:hAnsi="Times New Roman" w:cs="Times New Roman"/>
          <w:kern w:val="0"/>
          <w:sz w:val="24"/>
          <w:szCs w:val="24"/>
        </w:rPr>
        <w:t xml:space="preserve">accounting led everyone to believe that the company was </w:t>
      </w:r>
      <w:r w:rsidR="00E42523" w:rsidRPr="007271B6">
        <w:rPr>
          <w:rFonts w:ascii="Times New Roman" w:hAnsi="Times New Roman" w:cs="Times New Roman"/>
          <w:kern w:val="0"/>
          <w:sz w:val="24"/>
          <w:szCs w:val="24"/>
        </w:rPr>
        <w:t xml:space="preserve">financially healthy </w:t>
      </w:r>
      <w:r w:rsidRPr="007271B6">
        <w:rPr>
          <w:rFonts w:ascii="Times New Roman" w:hAnsi="Times New Roman" w:cs="Times New Roman"/>
          <w:kern w:val="0"/>
          <w:sz w:val="24"/>
          <w:szCs w:val="24"/>
        </w:rPr>
        <w:t xml:space="preserve">and </w:t>
      </w:r>
      <w:r w:rsidR="00E42523" w:rsidRPr="007271B6">
        <w:rPr>
          <w:rFonts w:ascii="Times New Roman" w:hAnsi="Times New Roman" w:cs="Times New Roman"/>
          <w:kern w:val="0"/>
          <w:sz w:val="24"/>
          <w:szCs w:val="24"/>
        </w:rPr>
        <w:t>stable</w:t>
      </w:r>
      <w:r w:rsidRPr="007271B6">
        <w:rPr>
          <w:rFonts w:ascii="Times New Roman" w:hAnsi="Times New Roman" w:cs="Times New Roman"/>
          <w:kern w:val="0"/>
          <w:sz w:val="24"/>
          <w:szCs w:val="24"/>
        </w:rPr>
        <w:t xml:space="preserve">. The CEO of FTX US was part of top management, but he revealed that he knew the company was profitable before he left. This knowledge had been built up through incessant talk of SBF and emphasising FTX’s invincibility through appearances on Forbes, in major news outlets and financial magazines, and by using A-list </w:t>
      </w:r>
      <w:r w:rsidRPr="007271B6">
        <w:rPr>
          <w:rFonts w:ascii="Times New Roman" w:hAnsi="Times New Roman" w:cs="Times New Roman"/>
          <w:kern w:val="0"/>
          <w:sz w:val="24"/>
          <w:szCs w:val="24"/>
        </w:rPr>
        <w:lastRenderedPageBreak/>
        <w:t>athletes to create the impression that the company was doing fantastic (Bloomberg Originals, 2023). The spin-off of the senior members of FTX and Alameda gradually allowed SBF to realise its goal, which was to alleviate suffering in the world through the philosophy of effective altruism and to do good to the greatest number of people (CNBC, 2023).</w:t>
      </w:r>
    </w:p>
    <w:p w14:paraId="1B0CA822" w14:textId="77777777" w:rsidR="00CB630F" w:rsidRPr="007271B6" w:rsidRDefault="00CB630F" w:rsidP="00CB630F">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A leaked copy of Alameda’s financial statements soon revealed that FTX was closely tied to Alameda and that SBF was culpable of a conflict of interest by using the former (Alameda) as a hedge fund for the latter (Bloomberg Originals, 2023). According to Bloomberg Originals correspondence (2023), proponents of effective altruism would violate SEC rules while justifying that they were giving back the maximum to society. In addition to pursuing personal ambition at the expense of shareholder objectives and wealth creation as embodied in agency theory (Pierce, 2022), SBF has thus uncovered another thorny issue in the two companies, that of ethics.</w:t>
      </w:r>
    </w:p>
    <w:p w14:paraId="4F9AEB47" w14:textId="77777777" w:rsidR="00CB630F" w:rsidRPr="007271B6" w:rsidRDefault="00CB630F" w:rsidP="00CB630F">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At the centre of cryptocurrency management is the inclination towards altruism, with critics of agency theory tending to argue against the primacy of shareholders (Pierce, 2022). These claims and arguments lead to unethical behaviour as the company moves away from value creation and focuses on and pursues philanthropic activities such as protecting the environment and eradicating disease. However, Pierce (2022) deliberately states that such idealistic endeavours undermine the importance of stakeholders and emphatically disregard them as inappropriate and irrational. Thus, such actions by the company are categorised as unethical despite the permissible stakeholder statutes (Pierce, 2022).</w:t>
      </w:r>
    </w:p>
    <w:p w14:paraId="7B9EA740" w14:textId="0540F536" w:rsidR="00F808B3" w:rsidRPr="007271B6" w:rsidRDefault="00CB630F" w:rsidP="00CB630F">
      <w:pPr>
        <w:spacing w:after="0" w:line="480" w:lineRule="auto"/>
        <w:ind w:firstLine="720"/>
        <w:rPr>
          <w:rFonts w:ascii="Times New Roman" w:hAnsi="Times New Roman" w:cs="Times New Roman"/>
          <w:kern w:val="0"/>
          <w:sz w:val="24"/>
          <w:szCs w:val="24"/>
        </w:rPr>
      </w:pPr>
      <w:proofErr w:type="gramStart"/>
      <w:r w:rsidRPr="007271B6">
        <w:rPr>
          <w:rFonts w:ascii="Times New Roman" w:hAnsi="Times New Roman" w:cs="Times New Roman"/>
          <w:kern w:val="0"/>
          <w:sz w:val="24"/>
          <w:szCs w:val="24"/>
        </w:rPr>
        <w:t>Similar to</w:t>
      </w:r>
      <w:proofErr w:type="gramEnd"/>
      <w:r w:rsidRPr="007271B6">
        <w:rPr>
          <w:rFonts w:ascii="Times New Roman" w:hAnsi="Times New Roman" w:cs="Times New Roman"/>
          <w:kern w:val="0"/>
          <w:sz w:val="24"/>
          <w:szCs w:val="24"/>
        </w:rPr>
        <w:t xml:space="preserve"> Pierce, Fu and colleagues (2023) point out that the collapse of FTX and Alameda is a case of unethical and fraudulent activities that deprived shareholders of their rights. The latter article attempts to retell the collapse of the two companies using the Ponzi model, with the authors emphasising that the case was not an incident but a serious violation of the rational model (Fu et al., 2023). The authors contend that by issuing its FTT token and </w:t>
      </w:r>
      <w:r w:rsidRPr="007271B6">
        <w:rPr>
          <w:rFonts w:ascii="Times New Roman" w:hAnsi="Times New Roman" w:cs="Times New Roman"/>
          <w:kern w:val="0"/>
          <w:sz w:val="24"/>
          <w:szCs w:val="24"/>
        </w:rPr>
        <w:lastRenderedPageBreak/>
        <w:t>borrowing new money to pay old debts until being discovered, FTX inherently took after the Ponzi nature, primarily because the FTT tokens are costless and without collateral (Fu et al., 2023).</w:t>
      </w:r>
      <w:r w:rsidR="00F808B3" w:rsidRPr="007271B6">
        <w:rPr>
          <w:rFonts w:ascii="Times New Roman" w:hAnsi="Times New Roman" w:cs="Times New Roman"/>
          <w:kern w:val="0"/>
          <w:sz w:val="24"/>
          <w:szCs w:val="24"/>
        </w:rPr>
        <w:t xml:space="preserve"> </w:t>
      </w:r>
    </w:p>
    <w:p w14:paraId="75662D04" w14:textId="2C5A559D" w:rsidR="00CB630F" w:rsidRPr="007271B6" w:rsidRDefault="00CB630F" w:rsidP="007926E5">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 xml:space="preserve">Fu et al.'s (2023) narrative of a Ponzi scheme is not far-fetched; according to the Bloomberg Originals (2023) interview, an FTX engineer admitted that he wrote the FTT code knowing that Alameda Research would receive special privileges on the FTX platform. Pierce’s (2022) study on blockchain technology agrees with the arguments of Fu et al. However, the former argues that the fraudulent actions are a product of the lack of a DAO, i.e. a virtual entity with a certain number of shareholders and members who have the right to change its code or spend its funds (Pierce, 2022). The unregulated nature of the FTX platform gave the company’s engineer the unique mandate to write the exchange codes as it suited the company at the expense of the shareholders. Pierce (2022) emphasises that the DAO is crucial in blockchain technology because it involves a group of people with common goals forming a blockchain infrastructure to enforce common rules. The lack of such a virtual entity, especially at FTX and Alameda Research, gave SBF the power to carry out its Ponzi scheme, which led to the collapse of the two companies (Pierce, 2022; Fu et al., 2023). </w:t>
      </w:r>
      <w:r w:rsidR="00905A2A" w:rsidRPr="007271B6">
        <w:rPr>
          <w:rFonts w:ascii="Times New Roman" w:hAnsi="Times New Roman" w:cs="Times New Roman"/>
          <w:kern w:val="0"/>
          <w:sz w:val="24"/>
          <w:szCs w:val="24"/>
        </w:rPr>
        <w:t xml:space="preserve">This appears to be compounded by the lack of any notable risk management frameworks being in place to identify and mitigate </w:t>
      </w:r>
      <w:r w:rsidR="007926E5" w:rsidRPr="007271B6">
        <w:rPr>
          <w:rFonts w:ascii="Times New Roman" w:hAnsi="Times New Roman" w:cs="Times New Roman"/>
          <w:kern w:val="0"/>
          <w:sz w:val="24"/>
          <w:szCs w:val="24"/>
        </w:rPr>
        <w:t xml:space="preserve">SBF’s actions. </w:t>
      </w:r>
      <w:r w:rsidRPr="007271B6">
        <w:rPr>
          <w:rFonts w:ascii="Times New Roman" w:hAnsi="Times New Roman" w:cs="Times New Roman"/>
          <w:kern w:val="0"/>
          <w:sz w:val="24"/>
          <w:szCs w:val="24"/>
        </w:rPr>
        <w:t xml:space="preserve">SBF’s sole management of the two companies was a long-term scheme that resulted in top management resigning and using Alameda Research as a hedge fund in an illegal and unethical manner characteristic of </w:t>
      </w:r>
      <w:r w:rsidR="007926E5" w:rsidRPr="007271B6">
        <w:rPr>
          <w:rFonts w:ascii="Times New Roman" w:hAnsi="Times New Roman" w:cs="Times New Roman"/>
          <w:kern w:val="0"/>
          <w:sz w:val="24"/>
          <w:szCs w:val="24"/>
        </w:rPr>
        <w:t xml:space="preserve">a </w:t>
      </w:r>
      <w:r w:rsidRPr="007271B6">
        <w:rPr>
          <w:rFonts w:ascii="Times New Roman" w:hAnsi="Times New Roman" w:cs="Times New Roman"/>
          <w:kern w:val="0"/>
          <w:sz w:val="24"/>
          <w:szCs w:val="24"/>
        </w:rPr>
        <w:t>Ponzi scheme.</w:t>
      </w:r>
    </w:p>
    <w:p w14:paraId="166E0FC1" w14:textId="32514945" w:rsidR="00F808B3" w:rsidRPr="007271B6" w:rsidRDefault="00CB630F" w:rsidP="00CB630F">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Cross-examination of the FTX collapse and the collapse of Terra/Luna and Three Arrows has shown that cryptocurrency firms are run by a few top management teams, mainly founders who have little or no understanding of how to run such complex organisations.</w:t>
      </w:r>
      <w:r w:rsidR="00905A2A" w:rsidRPr="007271B6">
        <w:rPr>
          <w:rFonts w:ascii="Times New Roman" w:hAnsi="Times New Roman" w:cs="Times New Roman"/>
          <w:kern w:val="0"/>
          <w:sz w:val="24"/>
          <w:szCs w:val="24"/>
        </w:rPr>
        <w:t xml:space="preserve"> </w:t>
      </w:r>
      <w:r w:rsidRPr="007271B6">
        <w:rPr>
          <w:rFonts w:ascii="Times New Roman" w:hAnsi="Times New Roman" w:cs="Times New Roman"/>
          <w:kern w:val="0"/>
          <w:sz w:val="24"/>
          <w:szCs w:val="24"/>
        </w:rPr>
        <w:t xml:space="preserve">The interconnectedness of these firms also showed that although the companies suffered from volatility and diminishing returns, the CEOs did little or nothing to address these effects; </w:t>
      </w:r>
      <w:r w:rsidRPr="007271B6">
        <w:rPr>
          <w:rFonts w:ascii="Times New Roman" w:hAnsi="Times New Roman" w:cs="Times New Roman"/>
          <w:kern w:val="0"/>
          <w:sz w:val="24"/>
          <w:szCs w:val="24"/>
        </w:rPr>
        <w:lastRenderedPageBreak/>
        <w:t xml:space="preserve">instead, they ran massive fundraising and marketing campaigns (Bloomberg Originals, 2023; Fu et al., 2023). As a result, the collapse of one company essentially led to the demise of another. </w:t>
      </w:r>
      <w:r w:rsidR="00905A2A" w:rsidRPr="007271B6">
        <w:rPr>
          <w:rFonts w:ascii="Times New Roman" w:hAnsi="Times New Roman" w:cs="Times New Roman"/>
          <w:kern w:val="0"/>
          <w:sz w:val="24"/>
          <w:szCs w:val="24"/>
        </w:rPr>
        <w:t xml:space="preserve">None </w:t>
      </w:r>
      <w:r w:rsidRPr="007271B6">
        <w:rPr>
          <w:rFonts w:ascii="Times New Roman" w:hAnsi="Times New Roman" w:cs="Times New Roman"/>
          <w:kern w:val="0"/>
          <w:sz w:val="24"/>
          <w:szCs w:val="24"/>
        </w:rPr>
        <w:t xml:space="preserve">of the CEOs of these companies seemed to view the interconnectedness and spillover of volatility as a management or regulatory issue, instead treating them as isolated incidents (Bloomberg Originals, 2023). CEOs of </w:t>
      </w:r>
      <w:r w:rsidR="00905A2A" w:rsidRPr="007271B6">
        <w:rPr>
          <w:rFonts w:ascii="Times New Roman" w:hAnsi="Times New Roman" w:cs="Times New Roman"/>
          <w:kern w:val="0"/>
          <w:sz w:val="24"/>
          <w:szCs w:val="24"/>
        </w:rPr>
        <w:t>digital asset</w:t>
      </w:r>
      <w:r w:rsidRPr="007271B6">
        <w:rPr>
          <w:rFonts w:ascii="Times New Roman" w:hAnsi="Times New Roman" w:cs="Times New Roman"/>
          <w:kern w:val="0"/>
          <w:sz w:val="24"/>
          <w:szCs w:val="24"/>
        </w:rPr>
        <w:t xml:space="preserve"> firms contributed to the yield and volatility spillover by allowing rival firms to buy their shares. This is reflected in a post by Bloomberg Originals (2023), which noted that FTX had sold 20% of its shares to Binance, a major competitor run by its CEO CZ. When he decided to sell his shares after discovering FT</w:t>
      </w:r>
      <w:r w:rsidR="005F2845" w:rsidRPr="007271B6">
        <w:rPr>
          <w:rFonts w:ascii="Times New Roman" w:hAnsi="Times New Roman" w:cs="Times New Roman"/>
          <w:kern w:val="0"/>
          <w:sz w:val="24"/>
          <w:szCs w:val="24"/>
        </w:rPr>
        <w:t>T</w:t>
      </w:r>
      <w:r w:rsidRPr="007271B6">
        <w:rPr>
          <w:rFonts w:ascii="Times New Roman" w:hAnsi="Times New Roman" w:cs="Times New Roman"/>
          <w:kern w:val="0"/>
          <w:sz w:val="24"/>
          <w:szCs w:val="24"/>
        </w:rPr>
        <w:t xml:space="preserve"> tokens as a significant asset on FTX’s balance sheet, it triggered a collapse.</w:t>
      </w:r>
      <w:r w:rsidR="00F808B3" w:rsidRPr="007271B6">
        <w:rPr>
          <w:rFonts w:ascii="Times New Roman" w:hAnsi="Times New Roman" w:cs="Times New Roman"/>
          <w:kern w:val="0"/>
          <w:sz w:val="24"/>
          <w:szCs w:val="24"/>
        </w:rPr>
        <w:t xml:space="preserve"> </w:t>
      </w:r>
    </w:p>
    <w:p w14:paraId="5C377C33" w14:textId="18448947" w:rsidR="005F2845" w:rsidRPr="007271B6" w:rsidRDefault="005F2845" w:rsidP="00CB630F">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Unique to FTX and Alameda Research when compared to</w:t>
      </w:r>
      <w:r w:rsidR="00D47E24" w:rsidRPr="007271B6">
        <w:rPr>
          <w:rFonts w:ascii="Times New Roman" w:hAnsi="Times New Roman" w:cs="Times New Roman"/>
          <w:kern w:val="0"/>
          <w:sz w:val="24"/>
          <w:szCs w:val="24"/>
        </w:rPr>
        <w:t xml:space="preserve"> </w:t>
      </w:r>
      <w:r w:rsidRPr="007271B6">
        <w:rPr>
          <w:rFonts w:ascii="Times New Roman" w:hAnsi="Times New Roman" w:cs="Times New Roman"/>
          <w:kern w:val="0"/>
          <w:sz w:val="24"/>
          <w:szCs w:val="24"/>
        </w:rPr>
        <w:t>other</w:t>
      </w:r>
      <w:r w:rsidR="00D47E24" w:rsidRPr="007271B6">
        <w:rPr>
          <w:rFonts w:ascii="Times New Roman" w:hAnsi="Times New Roman" w:cs="Times New Roman"/>
          <w:kern w:val="0"/>
          <w:sz w:val="24"/>
          <w:szCs w:val="24"/>
        </w:rPr>
        <w:t xml:space="preserve"> digital asset market</w:t>
      </w:r>
      <w:r w:rsidRPr="007271B6">
        <w:rPr>
          <w:rFonts w:ascii="Times New Roman" w:hAnsi="Times New Roman" w:cs="Times New Roman"/>
          <w:kern w:val="0"/>
          <w:sz w:val="24"/>
          <w:szCs w:val="24"/>
        </w:rPr>
        <w:t xml:space="preserve"> failures </w:t>
      </w:r>
      <w:r w:rsidR="00D47E24" w:rsidRPr="007271B6">
        <w:rPr>
          <w:rFonts w:ascii="Times New Roman" w:hAnsi="Times New Roman" w:cs="Times New Roman"/>
          <w:kern w:val="0"/>
          <w:sz w:val="24"/>
          <w:szCs w:val="24"/>
        </w:rPr>
        <w:t xml:space="preserve">is </w:t>
      </w:r>
      <w:r w:rsidRPr="007271B6">
        <w:rPr>
          <w:rFonts w:ascii="Times New Roman" w:hAnsi="Times New Roman" w:cs="Times New Roman"/>
          <w:kern w:val="0"/>
          <w:sz w:val="24"/>
          <w:szCs w:val="24"/>
        </w:rPr>
        <w:t xml:space="preserve">the scale of </w:t>
      </w:r>
      <w:r w:rsidR="00D47E24" w:rsidRPr="007271B6">
        <w:rPr>
          <w:rFonts w:ascii="Times New Roman" w:hAnsi="Times New Roman" w:cs="Times New Roman"/>
          <w:kern w:val="0"/>
          <w:sz w:val="24"/>
          <w:szCs w:val="24"/>
        </w:rPr>
        <w:t>comingled funds and management’s ability to illicitly appropriate customer deposits for personal use. This highlights the need for strong independent board members and accurate financial records</w:t>
      </w:r>
      <w:r w:rsidR="00826BD1" w:rsidRPr="007271B6">
        <w:rPr>
          <w:rFonts w:ascii="Times New Roman" w:hAnsi="Times New Roman" w:cs="Times New Roman"/>
          <w:kern w:val="0"/>
          <w:sz w:val="24"/>
          <w:szCs w:val="24"/>
        </w:rPr>
        <w:t xml:space="preserve"> (particularly related to third-party transactions</w:t>
      </w:r>
      <w:r w:rsidR="00874CB0" w:rsidRPr="007271B6">
        <w:rPr>
          <w:rFonts w:ascii="Times New Roman" w:hAnsi="Times New Roman" w:cs="Times New Roman"/>
          <w:kern w:val="0"/>
          <w:sz w:val="24"/>
          <w:szCs w:val="24"/>
        </w:rPr>
        <w:t xml:space="preserve"> and irregularity reporting</w:t>
      </w:r>
      <w:r w:rsidR="00826BD1" w:rsidRPr="007271B6">
        <w:rPr>
          <w:rFonts w:ascii="Times New Roman" w:hAnsi="Times New Roman" w:cs="Times New Roman"/>
          <w:kern w:val="0"/>
          <w:sz w:val="24"/>
          <w:szCs w:val="24"/>
        </w:rPr>
        <w:t>)</w:t>
      </w:r>
      <w:r w:rsidR="00D47E24" w:rsidRPr="007271B6">
        <w:rPr>
          <w:rFonts w:ascii="Times New Roman" w:hAnsi="Times New Roman" w:cs="Times New Roman"/>
          <w:kern w:val="0"/>
          <w:sz w:val="24"/>
          <w:szCs w:val="24"/>
        </w:rPr>
        <w:t xml:space="preserve"> to deter financial manipulation</w:t>
      </w:r>
      <w:r w:rsidR="00826BD1" w:rsidRPr="007271B6">
        <w:rPr>
          <w:rFonts w:ascii="Times New Roman" w:hAnsi="Times New Roman" w:cs="Times New Roman"/>
          <w:kern w:val="0"/>
          <w:sz w:val="24"/>
          <w:szCs w:val="24"/>
        </w:rPr>
        <w:t xml:space="preserve"> and fraudulent transactions</w:t>
      </w:r>
      <w:r w:rsidR="00D47E24" w:rsidRPr="007271B6">
        <w:rPr>
          <w:rFonts w:ascii="Times New Roman" w:hAnsi="Times New Roman" w:cs="Times New Roman"/>
          <w:kern w:val="0"/>
          <w:sz w:val="24"/>
          <w:szCs w:val="24"/>
        </w:rPr>
        <w:t xml:space="preserve"> within large multinational organisations.</w:t>
      </w:r>
      <w:r w:rsidR="00826BD1" w:rsidRPr="007271B6">
        <w:rPr>
          <w:rFonts w:ascii="Times New Roman" w:hAnsi="Times New Roman" w:cs="Times New Roman"/>
          <w:kern w:val="0"/>
          <w:sz w:val="24"/>
          <w:szCs w:val="24"/>
        </w:rPr>
        <w:t xml:space="preserve"> This is particularly evident in the case where SBF had ultimate control of the two distinct entities.</w:t>
      </w:r>
    </w:p>
    <w:p w14:paraId="5CC56A9D" w14:textId="77777777" w:rsidR="00367085" w:rsidRPr="007271B6" w:rsidRDefault="00F808B3" w:rsidP="00F808B3">
      <w:pPr>
        <w:spacing w:after="0" w:line="480" w:lineRule="auto"/>
        <w:ind w:firstLine="720"/>
        <w:rPr>
          <w:rFonts w:ascii="Times New Roman" w:hAnsi="Times New Roman" w:cs="Times New Roman"/>
          <w:b/>
          <w:bCs/>
          <w:kern w:val="0"/>
          <w:sz w:val="24"/>
          <w:szCs w:val="24"/>
        </w:rPr>
      </w:pPr>
      <w:r w:rsidRPr="007271B6">
        <w:rPr>
          <w:rFonts w:ascii="Times New Roman" w:hAnsi="Times New Roman" w:cs="Times New Roman"/>
          <w:b/>
          <w:bCs/>
          <w:kern w:val="0"/>
          <w:sz w:val="24"/>
          <w:szCs w:val="24"/>
        </w:rPr>
        <w:t>Research question:</w:t>
      </w:r>
      <w:r w:rsidRPr="007271B6">
        <w:rPr>
          <w:kern w:val="0"/>
        </w:rPr>
        <w:t xml:space="preserve"> </w:t>
      </w:r>
      <w:r w:rsidRPr="007271B6">
        <w:rPr>
          <w:rFonts w:ascii="Times New Roman" w:hAnsi="Times New Roman" w:cs="Times New Roman"/>
          <w:b/>
          <w:bCs/>
          <w:kern w:val="0"/>
          <w:sz w:val="24"/>
          <w:szCs w:val="24"/>
        </w:rPr>
        <w:t xml:space="preserve">What are the modest conclusions and recommendations regarding corporate governance as learned from the failure of FTX and Alameda Research? </w:t>
      </w:r>
    </w:p>
    <w:p w14:paraId="48761088" w14:textId="1D792939" w:rsidR="00CB630F" w:rsidRPr="007271B6" w:rsidRDefault="00CB630F" w:rsidP="00CB630F">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 xml:space="preserve">The discussion segment has uncovered two important areas: corporate governance practices and underlying </w:t>
      </w:r>
      <w:r w:rsidR="004909ED" w:rsidRPr="007271B6">
        <w:rPr>
          <w:rFonts w:ascii="Times New Roman" w:hAnsi="Times New Roman" w:cs="Times New Roman"/>
          <w:kern w:val="0"/>
          <w:sz w:val="24"/>
          <w:szCs w:val="24"/>
        </w:rPr>
        <w:t>company issues</w:t>
      </w:r>
      <w:r w:rsidRPr="007271B6">
        <w:rPr>
          <w:rFonts w:ascii="Times New Roman" w:hAnsi="Times New Roman" w:cs="Times New Roman"/>
          <w:kern w:val="0"/>
          <w:sz w:val="24"/>
          <w:szCs w:val="24"/>
        </w:rPr>
        <w:t xml:space="preserve"> as the primary factors that contributed to the collapse of FTX and Alameda Research to answer the first and second research questions. However, the third research question examines the discussions and their impact on the cryptocurrency industry </w:t>
      </w:r>
      <w:proofErr w:type="gramStart"/>
      <w:r w:rsidRPr="007271B6">
        <w:rPr>
          <w:rFonts w:ascii="Times New Roman" w:hAnsi="Times New Roman" w:cs="Times New Roman"/>
          <w:kern w:val="0"/>
          <w:sz w:val="24"/>
          <w:szCs w:val="24"/>
        </w:rPr>
        <w:t>in order to</w:t>
      </w:r>
      <w:proofErr w:type="gramEnd"/>
      <w:r w:rsidRPr="007271B6">
        <w:rPr>
          <w:rFonts w:ascii="Times New Roman" w:hAnsi="Times New Roman" w:cs="Times New Roman"/>
          <w:kern w:val="0"/>
          <w:sz w:val="24"/>
          <w:szCs w:val="24"/>
        </w:rPr>
        <w:t xml:space="preserve"> provide appropriate recommendations and conclusions in the following chapter.</w:t>
      </w:r>
    </w:p>
    <w:p w14:paraId="38CB74D3" w14:textId="091C98D8" w:rsidR="00F808B3" w:rsidRPr="007271B6" w:rsidRDefault="00CB630F" w:rsidP="00CB630F">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lastRenderedPageBreak/>
        <w:t xml:space="preserve">In </w:t>
      </w:r>
      <w:r w:rsidR="00DF1D63">
        <w:rPr>
          <w:rFonts w:ascii="Times New Roman" w:hAnsi="Times New Roman" w:cs="Times New Roman"/>
          <w:kern w:val="0"/>
          <w:sz w:val="24"/>
          <w:szCs w:val="24"/>
        </w:rPr>
        <w:t>t</w:t>
      </w:r>
      <w:r w:rsidRPr="007271B6">
        <w:rPr>
          <w:rFonts w:ascii="Times New Roman" w:hAnsi="Times New Roman" w:cs="Times New Roman"/>
          <w:kern w:val="0"/>
          <w:sz w:val="24"/>
          <w:szCs w:val="24"/>
        </w:rPr>
        <w:t>his chapter, the discussion section of the dissertation was addressed based on the three research questions by sorting the topics and their associated categorisations to answer the questions. The first research question was thematically related to corporate governance practises. Respondents’ answers to this topic, including regulation, transparency and the lack of clear roles and responsibilities, were used to answer the question. The second research question o</w:t>
      </w:r>
      <w:r w:rsidR="004909ED" w:rsidRPr="007271B6">
        <w:rPr>
          <w:rFonts w:ascii="Times New Roman" w:hAnsi="Times New Roman" w:cs="Times New Roman"/>
          <w:kern w:val="0"/>
          <w:sz w:val="24"/>
          <w:szCs w:val="24"/>
        </w:rPr>
        <w:t>n fundamental company issues</w:t>
      </w:r>
      <w:r w:rsidRPr="007271B6">
        <w:rPr>
          <w:rFonts w:ascii="Times New Roman" w:hAnsi="Times New Roman" w:cs="Times New Roman"/>
          <w:kern w:val="0"/>
          <w:sz w:val="24"/>
          <w:szCs w:val="24"/>
        </w:rPr>
        <w:t xml:space="preserve"> from a corporate governance perspective was answered using the responses and research on</w:t>
      </w:r>
      <w:r w:rsidR="004909ED" w:rsidRPr="007271B6">
        <w:rPr>
          <w:rFonts w:ascii="Times New Roman" w:hAnsi="Times New Roman" w:cs="Times New Roman"/>
          <w:kern w:val="0"/>
          <w:sz w:val="24"/>
          <w:szCs w:val="24"/>
        </w:rPr>
        <w:t xml:space="preserve"> the topic</w:t>
      </w:r>
      <w:r w:rsidRPr="007271B6">
        <w:rPr>
          <w:rFonts w:ascii="Times New Roman" w:hAnsi="Times New Roman" w:cs="Times New Roman"/>
          <w:kern w:val="0"/>
          <w:sz w:val="24"/>
          <w:szCs w:val="24"/>
        </w:rPr>
        <w:t>. The third research question on recommendations and conclusions on corporate governance, on the other hand, is answered in the final chapter of this dissertation.</w:t>
      </w:r>
    </w:p>
    <w:p w14:paraId="704D9CDD" w14:textId="77777777" w:rsidR="00F808B3" w:rsidRPr="007271B6" w:rsidRDefault="00F808B3" w:rsidP="00F808B3">
      <w:pPr>
        <w:spacing w:after="200" w:line="276" w:lineRule="auto"/>
        <w:rPr>
          <w:rFonts w:ascii="Times New Roman" w:hAnsi="Times New Roman" w:cs="Times New Roman"/>
          <w:kern w:val="0"/>
          <w:sz w:val="24"/>
          <w:szCs w:val="24"/>
        </w:rPr>
      </w:pPr>
      <w:r w:rsidRPr="007271B6">
        <w:rPr>
          <w:rFonts w:ascii="Times New Roman" w:hAnsi="Times New Roman" w:cs="Times New Roman"/>
          <w:kern w:val="0"/>
          <w:sz w:val="24"/>
          <w:szCs w:val="24"/>
        </w:rPr>
        <w:br w:type="page"/>
      </w:r>
    </w:p>
    <w:p w14:paraId="6C87BECC" w14:textId="77777777" w:rsidR="00F808B3" w:rsidRPr="007271B6" w:rsidRDefault="00F808B3" w:rsidP="008B2FC1">
      <w:pPr>
        <w:pStyle w:val="Heading1"/>
        <w:rPr>
          <w:lang w:val="en-GB"/>
        </w:rPr>
      </w:pPr>
      <w:bookmarkStart w:id="43" w:name="_Toc165583405"/>
      <w:r w:rsidRPr="007271B6">
        <w:rPr>
          <w:lang w:val="en-GB"/>
        </w:rPr>
        <w:lastRenderedPageBreak/>
        <w:t>Recommendations and Conclusion</w:t>
      </w:r>
      <w:bookmarkEnd w:id="43"/>
    </w:p>
    <w:p w14:paraId="2EAF8355" w14:textId="4DAFFB18" w:rsidR="00F808B3" w:rsidRPr="007271B6" w:rsidRDefault="00CB630F" w:rsidP="00F808B3">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The collapse and bankruptcy of FTX and Alameda Research has dealt a severe blow to the world of cryptocurrencies and at the same time revealed major failures in corporate governance. This chapter addresses this tragic corporate failure by examining the analysed data and discussion sections and providing recommendations for cryptocurrency companies, policymakers, and regulators on possible ways to avoid similar incidents in the future. In addition, this chapter addresses the contribution to theory, identifies the limitations of the study and highlights areas that require further research.</w:t>
      </w:r>
      <w:r w:rsidR="00F808B3" w:rsidRPr="007271B6">
        <w:rPr>
          <w:rFonts w:ascii="Times New Roman" w:hAnsi="Times New Roman" w:cs="Times New Roman"/>
          <w:kern w:val="0"/>
          <w:sz w:val="24"/>
          <w:szCs w:val="24"/>
        </w:rPr>
        <w:t xml:space="preserve"> </w:t>
      </w:r>
    </w:p>
    <w:p w14:paraId="1E4E2B06" w14:textId="78765D3B" w:rsidR="00F808B3" w:rsidRPr="007271B6" w:rsidRDefault="00F808B3" w:rsidP="00F808B3">
      <w:pPr>
        <w:numPr>
          <w:ilvl w:val="0"/>
          <w:numId w:val="2"/>
        </w:numPr>
        <w:spacing w:after="0" w:line="480" w:lineRule="auto"/>
        <w:ind w:firstLine="720"/>
        <w:contextualSpacing/>
        <w:rPr>
          <w:rFonts w:ascii="Times New Roman" w:hAnsi="Times New Roman" w:cs="Times New Roman"/>
          <w:kern w:val="0"/>
          <w:sz w:val="24"/>
          <w:szCs w:val="24"/>
        </w:rPr>
      </w:pPr>
      <w:r w:rsidRPr="007271B6">
        <w:rPr>
          <w:rFonts w:ascii="Times New Roman" w:hAnsi="Times New Roman" w:cs="Times New Roman"/>
          <w:kern w:val="0"/>
          <w:sz w:val="24"/>
          <w:szCs w:val="24"/>
        </w:rPr>
        <w:t xml:space="preserve">The DAO concepts. </w:t>
      </w:r>
      <w:r w:rsidR="004909ED" w:rsidRPr="007271B6">
        <w:rPr>
          <w:rFonts w:ascii="Times New Roman" w:hAnsi="Times New Roman" w:cs="Times New Roman"/>
          <w:kern w:val="0"/>
          <w:sz w:val="24"/>
          <w:szCs w:val="24"/>
        </w:rPr>
        <w:t xml:space="preserve">The management of crypto firms has been closely tied to self-governance, particularly auto-management, void of oversight, which inevitably translates to investment fraud, manipulation, and biased coding. DAOs inherently promote </w:t>
      </w:r>
      <w:r w:rsidR="001144BD">
        <w:rPr>
          <w:rFonts w:ascii="Times New Roman" w:hAnsi="Times New Roman" w:cs="Times New Roman"/>
          <w:kern w:val="0"/>
          <w:sz w:val="24"/>
          <w:szCs w:val="24"/>
        </w:rPr>
        <w:t>collaboration and transparency</w:t>
      </w:r>
      <w:r w:rsidR="004909ED" w:rsidRPr="007271B6">
        <w:rPr>
          <w:rFonts w:ascii="Times New Roman" w:hAnsi="Times New Roman" w:cs="Times New Roman"/>
          <w:kern w:val="0"/>
          <w:sz w:val="24"/>
          <w:szCs w:val="24"/>
        </w:rPr>
        <w:t xml:space="preserve"> because it helps to fulfil members’ wishes by adhering to decisions and rules, with contract-based coordination acting as a governance mechanism (Pierce, 2022). Blockchain-enabled DAOs can utilise the consensus-based protocol to eliminate hierarchical power. The crowds in these digital networks achieve equality through digital institutions; channelling, </w:t>
      </w:r>
      <w:proofErr w:type="gramStart"/>
      <w:r w:rsidR="004909ED" w:rsidRPr="007271B6">
        <w:rPr>
          <w:rFonts w:ascii="Times New Roman" w:hAnsi="Times New Roman" w:cs="Times New Roman"/>
          <w:kern w:val="0"/>
          <w:sz w:val="24"/>
          <w:szCs w:val="24"/>
        </w:rPr>
        <w:t>structuring</w:t>
      </w:r>
      <w:proofErr w:type="gramEnd"/>
      <w:r w:rsidR="004909ED" w:rsidRPr="007271B6">
        <w:rPr>
          <w:rFonts w:ascii="Times New Roman" w:hAnsi="Times New Roman" w:cs="Times New Roman"/>
          <w:kern w:val="0"/>
          <w:sz w:val="24"/>
          <w:szCs w:val="24"/>
        </w:rPr>
        <w:t xml:space="preserve"> and reining in their passions (Pierce, 2022). In such a framework, the crowd of shareholders can set limits on the leader's philanthropic ambitions, including possible fraudulent actions.</w:t>
      </w:r>
      <w:r w:rsidRPr="007271B6">
        <w:rPr>
          <w:rFonts w:ascii="Times New Roman" w:hAnsi="Times New Roman" w:cs="Times New Roman"/>
          <w:kern w:val="0"/>
          <w:sz w:val="24"/>
          <w:szCs w:val="24"/>
        </w:rPr>
        <w:t xml:space="preserve"> </w:t>
      </w:r>
    </w:p>
    <w:p w14:paraId="37D5422C" w14:textId="7793A775" w:rsidR="00F808B3" w:rsidRPr="007271B6" w:rsidRDefault="00F808B3" w:rsidP="00F808B3">
      <w:pPr>
        <w:numPr>
          <w:ilvl w:val="0"/>
          <w:numId w:val="2"/>
        </w:numPr>
        <w:spacing w:after="0" w:line="480" w:lineRule="auto"/>
        <w:ind w:firstLine="720"/>
        <w:contextualSpacing/>
        <w:rPr>
          <w:rFonts w:ascii="Times New Roman" w:hAnsi="Times New Roman" w:cs="Times New Roman"/>
          <w:kern w:val="0"/>
          <w:sz w:val="24"/>
          <w:szCs w:val="24"/>
        </w:rPr>
      </w:pPr>
      <w:r w:rsidRPr="007271B6">
        <w:rPr>
          <w:rFonts w:ascii="Times New Roman" w:hAnsi="Times New Roman" w:cs="Times New Roman"/>
          <w:kern w:val="0"/>
          <w:sz w:val="24"/>
          <w:szCs w:val="24"/>
        </w:rPr>
        <w:t xml:space="preserve">Transparency. </w:t>
      </w:r>
      <w:r w:rsidR="004909ED" w:rsidRPr="007271B6">
        <w:rPr>
          <w:rFonts w:ascii="Times New Roman" w:hAnsi="Times New Roman" w:cs="Times New Roman"/>
          <w:kern w:val="0"/>
          <w:sz w:val="24"/>
          <w:szCs w:val="24"/>
        </w:rPr>
        <w:t>Most centralised exchanges (</w:t>
      </w:r>
      <w:proofErr w:type="spellStart"/>
      <w:r w:rsidR="004909ED" w:rsidRPr="007271B6">
        <w:rPr>
          <w:rFonts w:ascii="Times New Roman" w:hAnsi="Times New Roman" w:cs="Times New Roman"/>
          <w:kern w:val="0"/>
          <w:sz w:val="24"/>
          <w:szCs w:val="24"/>
        </w:rPr>
        <w:t>CEXes</w:t>
      </w:r>
      <w:proofErr w:type="spellEnd"/>
      <w:r w:rsidR="004909ED" w:rsidRPr="007271B6">
        <w:rPr>
          <w:rFonts w:ascii="Times New Roman" w:hAnsi="Times New Roman" w:cs="Times New Roman"/>
          <w:kern w:val="0"/>
          <w:sz w:val="24"/>
          <w:szCs w:val="24"/>
        </w:rPr>
        <w:t xml:space="preserve">) in the cryptocurrency industry have developed and implemented a proof of asset reserves that serves as evidence for their clients (Fu et al., 2023). In contrast, the proof of performance does not reflect the overall solvency of the exchange. </w:t>
      </w:r>
      <w:proofErr w:type="spellStart"/>
      <w:r w:rsidR="004909ED" w:rsidRPr="007271B6">
        <w:rPr>
          <w:rFonts w:ascii="Times New Roman" w:hAnsi="Times New Roman" w:cs="Times New Roman"/>
          <w:kern w:val="0"/>
          <w:sz w:val="24"/>
          <w:szCs w:val="24"/>
        </w:rPr>
        <w:t>CEXes</w:t>
      </w:r>
      <w:proofErr w:type="spellEnd"/>
      <w:r w:rsidR="004909ED" w:rsidRPr="007271B6">
        <w:rPr>
          <w:rFonts w:ascii="Times New Roman" w:hAnsi="Times New Roman" w:cs="Times New Roman"/>
          <w:kern w:val="0"/>
          <w:sz w:val="24"/>
          <w:szCs w:val="24"/>
        </w:rPr>
        <w:t xml:space="preserve">' instruments should depend on external drivers to gain market </w:t>
      </w:r>
      <w:r w:rsidR="004909ED" w:rsidRPr="007271B6">
        <w:rPr>
          <w:rFonts w:ascii="Times New Roman" w:hAnsi="Times New Roman" w:cs="Times New Roman"/>
          <w:kern w:val="0"/>
          <w:sz w:val="24"/>
          <w:szCs w:val="24"/>
        </w:rPr>
        <w:lastRenderedPageBreak/>
        <w:t xml:space="preserve">confidence. The rules and logic written into smart contracts are transparent and verifiable to the public. Another area of transparency is record keeping and board oversight. Cryptocurrency companies </w:t>
      </w:r>
      <w:r w:rsidR="00905A2A" w:rsidRPr="007271B6">
        <w:rPr>
          <w:rFonts w:ascii="Times New Roman" w:hAnsi="Times New Roman" w:cs="Times New Roman"/>
          <w:kern w:val="0"/>
          <w:sz w:val="24"/>
          <w:szCs w:val="24"/>
        </w:rPr>
        <w:t>should</w:t>
      </w:r>
      <w:r w:rsidR="004909ED" w:rsidRPr="007271B6">
        <w:rPr>
          <w:rFonts w:ascii="Times New Roman" w:hAnsi="Times New Roman" w:cs="Times New Roman"/>
          <w:kern w:val="0"/>
          <w:sz w:val="24"/>
          <w:szCs w:val="24"/>
        </w:rPr>
        <w:t xml:space="preserve"> disclose their financial statements and use the appropriate financial reporting tools.</w:t>
      </w:r>
    </w:p>
    <w:p w14:paraId="0B586648" w14:textId="07397C15" w:rsidR="00F808B3" w:rsidRPr="007271B6" w:rsidRDefault="00F808B3" w:rsidP="00F808B3">
      <w:pPr>
        <w:numPr>
          <w:ilvl w:val="0"/>
          <w:numId w:val="2"/>
        </w:numPr>
        <w:spacing w:after="0" w:line="480" w:lineRule="auto"/>
        <w:ind w:firstLine="720"/>
        <w:contextualSpacing/>
        <w:rPr>
          <w:rFonts w:ascii="Times New Roman" w:hAnsi="Times New Roman" w:cs="Times New Roman"/>
          <w:kern w:val="0"/>
          <w:sz w:val="24"/>
          <w:szCs w:val="24"/>
        </w:rPr>
      </w:pPr>
      <w:r w:rsidRPr="007271B6">
        <w:rPr>
          <w:rFonts w:ascii="Times New Roman" w:hAnsi="Times New Roman" w:cs="Times New Roman"/>
          <w:kern w:val="0"/>
          <w:sz w:val="24"/>
          <w:szCs w:val="24"/>
        </w:rPr>
        <w:t xml:space="preserve">Regulation. </w:t>
      </w:r>
      <w:r w:rsidR="004909ED" w:rsidRPr="007271B6">
        <w:rPr>
          <w:rFonts w:ascii="Times New Roman" w:hAnsi="Times New Roman" w:cs="Times New Roman"/>
          <w:kern w:val="0"/>
          <w:sz w:val="24"/>
          <w:szCs w:val="24"/>
        </w:rPr>
        <w:t xml:space="preserve">The emergence of cryptocurrencies has attracted several users of traditional finance who inherently pursued decentralisation. However, regulation is targeting centralised platforms. The collapse of FTX and the previous bankruptcy of Luna and Three Arrows have unsettled some users. At the same time, some are running away because they fear losing their investments due to the unregulated nature of the industry. These sentiments are critical, especially given the fraudulent nature of some of the </w:t>
      </w:r>
      <w:proofErr w:type="spellStart"/>
      <w:r w:rsidR="004909ED" w:rsidRPr="007271B6">
        <w:rPr>
          <w:rFonts w:ascii="Times New Roman" w:hAnsi="Times New Roman" w:cs="Times New Roman"/>
          <w:kern w:val="0"/>
          <w:sz w:val="24"/>
          <w:szCs w:val="24"/>
        </w:rPr>
        <w:t>CEXes</w:t>
      </w:r>
      <w:proofErr w:type="spellEnd"/>
      <w:r w:rsidR="004909ED" w:rsidRPr="007271B6">
        <w:rPr>
          <w:rFonts w:ascii="Times New Roman" w:hAnsi="Times New Roman" w:cs="Times New Roman"/>
          <w:kern w:val="0"/>
          <w:sz w:val="24"/>
          <w:szCs w:val="24"/>
        </w:rPr>
        <w:t>, which indulge in code changing, price manipulation and Ponzi schemes. Given these concerns, regulations, including SEC guidelines, should be introduced to the cryptocurrency industry.</w:t>
      </w:r>
    </w:p>
    <w:p w14:paraId="595898E5" w14:textId="195A4B97" w:rsidR="00F808B3" w:rsidRPr="007271B6" w:rsidRDefault="008B2FC1" w:rsidP="008B2FC1">
      <w:pPr>
        <w:pStyle w:val="Heading2"/>
      </w:pPr>
      <w:bookmarkStart w:id="44" w:name="_Toc165583406"/>
      <w:r w:rsidRPr="007271B6">
        <w:t>Contribution to T</w:t>
      </w:r>
      <w:r w:rsidR="00F808B3" w:rsidRPr="007271B6">
        <w:t>heory</w:t>
      </w:r>
      <w:bookmarkEnd w:id="44"/>
    </w:p>
    <w:p w14:paraId="36EE60A2" w14:textId="05B44A4F" w:rsidR="00F808B3" w:rsidRPr="007271B6" w:rsidRDefault="004909ED" w:rsidP="00F808B3">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 xml:space="preserve">This dissertation demonstrates that the collapse of FTX and Alameda Research was due to poor corporate governance practices. The results of this study show that the collapse and bankruptcy of FTX, and to some extent similar earlier incidents, can be attributed in part to corporate governance. Consequently, the perspective taken in this dissertation provides unique insights into the various theoretical underpinnings of the collapse of cryptocurrency firms. The corporate governance perspective offers agency theory a new paradigm to understand why companies might prioritise certain goals such as profitability or philanthropy over wealth creation for stakeholders. The underlying company issues, such as the lack of clear roles and responsibilities, grievance settlement, and conspicuous unethical practices, represent fundamental problems that explain the collapse and bankruptcy of FTX from a </w:t>
      </w:r>
      <w:r w:rsidRPr="007271B6">
        <w:rPr>
          <w:rFonts w:ascii="Times New Roman" w:hAnsi="Times New Roman" w:cs="Times New Roman"/>
          <w:kern w:val="0"/>
          <w:sz w:val="24"/>
          <w:szCs w:val="24"/>
        </w:rPr>
        <w:lastRenderedPageBreak/>
        <w:t>corporate governance worldview instead of the generalised Ponzi scheme or capital fraudulent concepts.</w:t>
      </w:r>
      <w:r w:rsidR="00F808B3" w:rsidRPr="007271B6">
        <w:rPr>
          <w:rFonts w:ascii="Times New Roman" w:hAnsi="Times New Roman" w:cs="Times New Roman"/>
          <w:kern w:val="0"/>
          <w:sz w:val="24"/>
          <w:szCs w:val="24"/>
        </w:rPr>
        <w:t xml:space="preserve"> </w:t>
      </w:r>
    </w:p>
    <w:p w14:paraId="71FDFFB7" w14:textId="77777777" w:rsidR="00F808B3" w:rsidRPr="007271B6" w:rsidRDefault="00F808B3" w:rsidP="008B2FC1">
      <w:pPr>
        <w:pStyle w:val="Heading2"/>
      </w:pPr>
      <w:bookmarkStart w:id="45" w:name="_Toc165583407"/>
      <w:r w:rsidRPr="007271B6">
        <w:t>Limitation of the Study</w:t>
      </w:r>
      <w:bookmarkEnd w:id="45"/>
    </w:p>
    <w:p w14:paraId="3847F9A8" w14:textId="7123E976" w:rsidR="00F808B3" w:rsidRPr="007271B6" w:rsidRDefault="004909ED" w:rsidP="00F808B3">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 xml:space="preserve">This study is limited to analysing the collapse of FTX and Alameda Research from a corporate governance perspective. Therefore, it cannot express the influence of the interconnectedness of cryptocurrency companies, economic </w:t>
      </w:r>
      <w:proofErr w:type="gramStart"/>
      <w:r w:rsidRPr="007271B6">
        <w:rPr>
          <w:rFonts w:ascii="Times New Roman" w:hAnsi="Times New Roman" w:cs="Times New Roman"/>
          <w:kern w:val="0"/>
          <w:sz w:val="24"/>
          <w:szCs w:val="24"/>
        </w:rPr>
        <w:t>downturns</w:t>
      </w:r>
      <w:proofErr w:type="gramEnd"/>
      <w:r w:rsidRPr="007271B6">
        <w:rPr>
          <w:rFonts w:ascii="Times New Roman" w:hAnsi="Times New Roman" w:cs="Times New Roman"/>
          <w:kern w:val="0"/>
          <w:sz w:val="24"/>
          <w:szCs w:val="24"/>
        </w:rPr>
        <w:t xml:space="preserve"> and rivalry in the industry. At the same time, the qualitative method used in this study is limited to the opinions and views of the interviewers. The impact of corporate governance failures on the collapse of FTX and Alameda Research cannot be empirically determined. Therefore, further research on the collapse and unstoppable bankruptcy of FTX and Alameda Research is needed, focusing on industry competition, economic uncertainty and corporate interdependence and their impact on corporate governance. In addition, a quantitative study of the impact of corporate governance practices on the collapse of the two companies is needed to assess the significance of the related factors.</w:t>
      </w:r>
      <w:r w:rsidR="00F808B3" w:rsidRPr="007271B6">
        <w:rPr>
          <w:rFonts w:ascii="Times New Roman" w:hAnsi="Times New Roman" w:cs="Times New Roman"/>
          <w:kern w:val="0"/>
          <w:sz w:val="24"/>
          <w:szCs w:val="24"/>
        </w:rPr>
        <w:t xml:space="preserve"> </w:t>
      </w:r>
      <w:r w:rsidR="00FC3E65" w:rsidRPr="007271B6">
        <w:rPr>
          <w:rFonts w:ascii="Times New Roman" w:hAnsi="Times New Roman" w:cs="Times New Roman"/>
          <w:kern w:val="0"/>
          <w:sz w:val="24"/>
          <w:szCs w:val="24"/>
        </w:rPr>
        <w:t xml:space="preserve">Other limitations include a lack of </w:t>
      </w:r>
      <w:r w:rsidR="0099165B" w:rsidRPr="007271B6">
        <w:rPr>
          <w:rFonts w:ascii="Times New Roman" w:hAnsi="Times New Roman" w:cs="Times New Roman"/>
          <w:kern w:val="0"/>
          <w:sz w:val="24"/>
          <w:szCs w:val="24"/>
        </w:rPr>
        <w:t>analysis</w:t>
      </w:r>
      <w:r w:rsidR="00FC3E65" w:rsidRPr="007271B6">
        <w:rPr>
          <w:rFonts w:ascii="Times New Roman" w:hAnsi="Times New Roman" w:cs="Times New Roman"/>
          <w:kern w:val="0"/>
          <w:sz w:val="24"/>
          <w:szCs w:val="24"/>
        </w:rPr>
        <w:t xml:space="preserve"> regarding the diversification of age, gender</w:t>
      </w:r>
      <w:r w:rsidR="0099165B" w:rsidRPr="007271B6">
        <w:rPr>
          <w:rFonts w:ascii="Times New Roman" w:hAnsi="Times New Roman" w:cs="Times New Roman"/>
          <w:kern w:val="0"/>
          <w:sz w:val="24"/>
          <w:szCs w:val="24"/>
        </w:rPr>
        <w:t>, educational background, race,</w:t>
      </w:r>
      <w:r w:rsidR="00FC3E65" w:rsidRPr="007271B6">
        <w:rPr>
          <w:rFonts w:ascii="Times New Roman" w:hAnsi="Times New Roman" w:cs="Times New Roman"/>
          <w:kern w:val="0"/>
          <w:sz w:val="24"/>
          <w:szCs w:val="24"/>
        </w:rPr>
        <w:t xml:space="preserve"> </w:t>
      </w:r>
      <w:r w:rsidR="0099165B" w:rsidRPr="007271B6">
        <w:rPr>
          <w:rFonts w:ascii="Times New Roman" w:hAnsi="Times New Roman" w:cs="Times New Roman"/>
          <w:kern w:val="0"/>
          <w:sz w:val="24"/>
          <w:szCs w:val="24"/>
        </w:rPr>
        <w:t xml:space="preserve">and other diversity markers </w:t>
      </w:r>
      <w:r w:rsidR="00FC3E65" w:rsidRPr="007271B6">
        <w:rPr>
          <w:rFonts w:ascii="Times New Roman" w:hAnsi="Times New Roman" w:cs="Times New Roman"/>
          <w:kern w:val="0"/>
          <w:sz w:val="24"/>
          <w:szCs w:val="24"/>
        </w:rPr>
        <w:t xml:space="preserve">among senior </w:t>
      </w:r>
      <w:r w:rsidR="0099165B" w:rsidRPr="007271B6">
        <w:rPr>
          <w:rFonts w:ascii="Times New Roman" w:hAnsi="Times New Roman" w:cs="Times New Roman"/>
          <w:kern w:val="0"/>
          <w:sz w:val="24"/>
          <w:szCs w:val="24"/>
        </w:rPr>
        <w:t>leaders within FTX and Alameda Research</w:t>
      </w:r>
      <w:r w:rsidR="00FC3E65" w:rsidRPr="007271B6">
        <w:rPr>
          <w:rFonts w:ascii="Times New Roman" w:hAnsi="Times New Roman" w:cs="Times New Roman"/>
          <w:kern w:val="0"/>
          <w:sz w:val="24"/>
          <w:szCs w:val="24"/>
        </w:rPr>
        <w:t xml:space="preserve"> as a contributing factor towards</w:t>
      </w:r>
      <w:r w:rsidR="0099165B" w:rsidRPr="007271B6">
        <w:rPr>
          <w:rFonts w:ascii="Times New Roman" w:hAnsi="Times New Roman" w:cs="Times New Roman"/>
          <w:kern w:val="0"/>
          <w:sz w:val="24"/>
          <w:szCs w:val="24"/>
        </w:rPr>
        <w:t xml:space="preserve"> both companies collapse. In addition, the study is limited as the background of all source information is not known.</w:t>
      </w:r>
    </w:p>
    <w:p w14:paraId="1349E4E2" w14:textId="5CF7E1EE" w:rsidR="00603030" w:rsidRPr="007271B6" w:rsidRDefault="00603030" w:rsidP="00603030">
      <w:pPr>
        <w:spacing w:line="480" w:lineRule="auto"/>
        <w:ind w:firstLine="720"/>
        <w:rPr>
          <w:rFonts w:ascii="Times New Roman" w:hAnsi="Times New Roman" w:cs="Times New Roman"/>
          <w:kern w:val="0"/>
          <w:sz w:val="24"/>
          <w:szCs w:val="24"/>
          <w14:ligatures w14:val="none"/>
        </w:rPr>
      </w:pPr>
      <w:r w:rsidRPr="007271B6">
        <w:rPr>
          <w:rFonts w:ascii="Times New Roman" w:hAnsi="Times New Roman" w:cs="Times New Roman"/>
          <w:kern w:val="0"/>
          <w:sz w:val="24"/>
          <w:szCs w:val="24"/>
          <w14:ligatures w14:val="none"/>
        </w:rPr>
        <w:t>Further research is needed that looks at how regulators respond to such failures, as most of the studies reviewed only look at the causes of the demise of FTX and Alameda Research and do not provide adequate recommendations for change. Therefore, future studies should examine how regulators can change their requirements, procedures, and best practices when institutions and exchanges fail and how these changes affect the resilience and stability of the industry. Finally, more in-depth research is needed on the creation and evaluation of governance frameworks specific to the digital asset industry.</w:t>
      </w:r>
    </w:p>
    <w:p w14:paraId="3C416458" w14:textId="5CF7E1EE" w:rsidR="00F808B3" w:rsidRPr="007271B6" w:rsidRDefault="00F808B3" w:rsidP="008B2FC1">
      <w:pPr>
        <w:pStyle w:val="Heading2"/>
      </w:pPr>
      <w:bookmarkStart w:id="46" w:name="_Toc165583408"/>
      <w:r w:rsidRPr="007271B6">
        <w:lastRenderedPageBreak/>
        <w:t>Conclusion</w:t>
      </w:r>
      <w:bookmarkEnd w:id="46"/>
    </w:p>
    <w:p w14:paraId="33B3544B" w14:textId="4BDECCFE" w:rsidR="00F808B3" w:rsidRPr="007271B6" w:rsidRDefault="004909ED" w:rsidP="00F808B3">
      <w:pPr>
        <w:spacing w:after="0" w:line="480" w:lineRule="auto"/>
        <w:ind w:firstLine="720"/>
        <w:rPr>
          <w:rFonts w:ascii="Times New Roman" w:hAnsi="Times New Roman" w:cs="Times New Roman"/>
          <w:kern w:val="0"/>
          <w:sz w:val="24"/>
          <w:szCs w:val="24"/>
        </w:rPr>
      </w:pPr>
      <w:r w:rsidRPr="007271B6">
        <w:rPr>
          <w:rFonts w:ascii="Times New Roman" w:hAnsi="Times New Roman" w:cs="Times New Roman"/>
          <w:kern w:val="0"/>
          <w:sz w:val="24"/>
          <w:szCs w:val="24"/>
        </w:rPr>
        <w:t>The documentary interviewees o</w:t>
      </w:r>
      <w:r w:rsidR="00874CB0" w:rsidRPr="007271B6">
        <w:rPr>
          <w:rFonts w:ascii="Times New Roman" w:hAnsi="Times New Roman" w:cs="Times New Roman"/>
          <w:kern w:val="0"/>
          <w:sz w:val="24"/>
          <w:szCs w:val="24"/>
        </w:rPr>
        <w:t>f</w:t>
      </w:r>
      <w:r w:rsidRPr="007271B6">
        <w:rPr>
          <w:rFonts w:ascii="Times New Roman" w:hAnsi="Times New Roman" w:cs="Times New Roman"/>
          <w:kern w:val="0"/>
          <w:sz w:val="24"/>
          <w:szCs w:val="24"/>
        </w:rPr>
        <w:t xml:space="preserve"> this dissertation added insight through their experiences concerning the collapse of FTX and Alameda Research from a corporate governance perspective. This study has thematically established that the collapse and bankruptcy of these two companies were a product of underlying company issues, failure of corporate governance practices and regulatory issues. The interviewee, who readily described the moments that led to the ultimate failure, revealed a pattern of ethical problems, lack of board oversight, poor accounting, investment fraud, </w:t>
      </w:r>
      <w:r w:rsidR="008E52A0" w:rsidRPr="007271B6">
        <w:rPr>
          <w:rFonts w:ascii="Times New Roman" w:hAnsi="Times New Roman" w:cs="Times New Roman"/>
          <w:kern w:val="0"/>
          <w:sz w:val="24"/>
          <w:szCs w:val="24"/>
        </w:rPr>
        <w:t>asset</w:t>
      </w:r>
      <w:r w:rsidRPr="007271B6">
        <w:rPr>
          <w:rFonts w:ascii="Times New Roman" w:hAnsi="Times New Roman" w:cs="Times New Roman"/>
          <w:kern w:val="0"/>
          <w:sz w:val="24"/>
          <w:szCs w:val="24"/>
        </w:rPr>
        <w:t xml:space="preserve"> price manipulation, and the way SBF single-handedly managed and controlled the two companies. A cross-examination of previous collapses revealed that the cryptocurrency companies’ transparency, regulatory issues, ethics, and interconnectedness were critical governance practises responsible for the bankruptcy. Consequently, this dissertation proposes to utilise the DAO concept, </w:t>
      </w:r>
      <w:proofErr w:type="gramStart"/>
      <w:r w:rsidRPr="007271B6">
        <w:rPr>
          <w:rFonts w:ascii="Times New Roman" w:hAnsi="Times New Roman" w:cs="Times New Roman"/>
          <w:kern w:val="0"/>
          <w:sz w:val="24"/>
          <w:szCs w:val="24"/>
        </w:rPr>
        <w:t>transparency</w:t>
      </w:r>
      <w:proofErr w:type="gramEnd"/>
      <w:r w:rsidRPr="007271B6">
        <w:rPr>
          <w:rFonts w:ascii="Times New Roman" w:hAnsi="Times New Roman" w:cs="Times New Roman"/>
          <w:kern w:val="0"/>
          <w:sz w:val="24"/>
          <w:szCs w:val="24"/>
        </w:rPr>
        <w:t xml:space="preserve"> and regulation as necessary strategies to mitigate the possible future collapse of companies in the cryptocurrency industry. </w:t>
      </w:r>
      <w:proofErr w:type="spellStart"/>
      <w:r w:rsidRPr="007271B6">
        <w:rPr>
          <w:rFonts w:ascii="Times New Roman" w:hAnsi="Times New Roman" w:cs="Times New Roman"/>
          <w:kern w:val="0"/>
          <w:sz w:val="24"/>
          <w:szCs w:val="24"/>
        </w:rPr>
        <w:t>CEXes</w:t>
      </w:r>
      <w:proofErr w:type="spellEnd"/>
      <w:r w:rsidRPr="007271B6">
        <w:rPr>
          <w:rFonts w:ascii="Times New Roman" w:hAnsi="Times New Roman" w:cs="Times New Roman"/>
          <w:kern w:val="0"/>
          <w:sz w:val="24"/>
          <w:szCs w:val="24"/>
        </w:rPr>
        <w:t xml:space="preserve"> are critical to the </w:t>
      </w:r>
      <w:r w:rsidR="008E52A0" w:rsidRPr="007271B6">
        <w:rPr>
          <w:rFonts w:ascii="Times New Roman" w:hAnsi="Times New Roman" w:cs="Times New Roman"/>
          <w:kern w:val="0"/>
          <w:sz w:val="24"/>
          <w:szCs w:val="24"/>
        </w:rPr>
        <w:t>digital asset</w:t>
      </w:r>
      <w:r w:rsidRPr="007271B6">
        <w:rPr>
          <w:rFonts w:ascii="Times New Roman" w:hAnsi="Times New Roman" w:cs="Times New Roman"/>
          <w:kern w:val="0"/>
          <w:sz w:val="24"/>
          <w:szCs w:val="24"/>
        </w:rPr>
        <w:t xml:space="preserve"> industry and require meaningful rules to protect investors and shareholders from poor corporate governance practices.</w:t>
      </w:r>
      <w:r w:rsidR="00F808B3" w:rsidRPr="007271B6">
        <w:rPr>
          <w:rFonts w:ascii="Times New Roman" w:hAnsi="Times New Roman" w:cs="Times New Roman"/>
          <w:kern w:val="0"/>
          <w:sz w:val="24"/>
          <w:szCs w:val="24"/>
        </w:rPr>
        <w:t xml:space="preserve"> </w:t>
      </w:r>
    </w:p>
    <w:p w14:paraId="01B5904D" w14:textId="77777777" w:rsidR="00F808B3" w:rsidRPr="007271B6" w:rsidRDefault="00F808B3" w:rsidP="00F808B3">
      <w:pPr>
        <w:spacing w:after="0" w:line="480" w:lineRule="auto"/>
        <w:rPr>
          <w:kern w:val="0"/>
        </w:rPr>
      </w:pPr>
    </w:p>
    <w:p w14:paraId="648B045E" w14:textId="77777777" w:rsidR="00F808B3" w:rsidRPr="007271B6" w:rsidRDefault="00F808B3" w:rsidP="00F808B3">
      <w:pPr>
        <w:spacing w:after="0" w:line="480" w:lineRule="auto"/>
        <w:ind w:firstLine="720"/>
        <w:rPr>
          <w:rFonts w:ascii="Times New Roman" w:eastAsia="Calibri" w:hAnsi="Times New Roman" w:cs="Times New Roman"/>
          <w:color w:val="222222"/>
          <w:kern w:val="0"/>
          <w:sz w:val="24"/>
          <w:szCs w:val="24"/>
          <w14:ligatures w14:val="none"/>
        </w:rPr>
      </w:pPr>
    </w:p>
    <w:p w14:paraId="0D7F53AA" w14:textId="77777777" w:rsidR="00367085" w:rsidRPr="007271B6" w:rsidRDefault="00F808B3" w:rsidP="00F808B3">
      <w:pPr>
        <w:jc w:val="center"/>
        <w:rPr>
          <w:rFonts w:ascii="Times New Roman" w:eastAsia="Calibri" w:hAnsi="Times New Roman" w:cs="Times New Roman"/>
          <w:color w:val="222222"/>
          <w:kern w:val="0"/>
          <w:sz w:val="24"/>
          <w:szCs w:val="24"/>
          <w14:ligatures w14:val="none"/>
        </w:rPr>
      </w:pPr>
      <w:r w:rsidRPr="007271B6">
        <w:rPr>
          <w:rFonts w:ascii="Times New Roman" w:eastAsia="Calibri" w:hAnsi="Times New Roman" w:cs="Times New Roman"/>
          <w:color w:val="222222"/>
          <w:kern w:val="0"/>
          <w:sz w:val="24"/>
          <w:szCs w:val="24"/>
          <w14:ligatures w14:val="none"/>
        </w:rPr>
        <w:br w:type="page"/>
      </w:r>
    </w:p>
    <w:p w14:paraId="66039B42" w14:textId="3368283E" w:rsidR="00923840" w:rsidRPr="007271B6" w:rsidRDefault="00923840" w:rsidP="00923840">
      <w:pPr>
        <w:pStyle w:val="Heading1"/>
        <w:rPr>
          <w:lang w:val="en-GB"/>
        </w:rPr>
      </w:pPr>
      <w:bookmarkStart w:id="47" w:name="_Toc165583409"/>
      <w:r w:rsidRPr="007271B6">
        <w:rPr>
          <w:lang w:val="en-GB"/>
        </w:rPr>
        <w:lastRenderedPageBreak/>
        <w:t>References</w:t>
      </w:r>
      <w:bookmarkEnd w:id="47"/>
    </w:p>
    <w:p w14:paraId="16D19DD3" w14:textId="337793CC" w:rsidR="00AF3A75" w:rsidRPr="007271B6" w:rsidRDefault="00AF3A75" w:rsidP="001151B8">
      <w:pPr>
        <w:spacing w:after="0" w:line="480" w:lineRule="auto"/>
        <w:ind w:left="720" w:hanging="720"/>
        <w:rPr>
          <w:rFonts w:ascii="Times New Roman" w:eastAsia="Times New Roman" w:hAnsi="Times New Roman" w:cs="Times New Roman"/>
          <w:kern w:val="0"/>
          <w:sz w:val="24"/>
          <w:szCs w:val="24"/>
          <w14:ligatures w14:val="none"/>
        </w:rPr>
      </w:pPr>
      <w:r w:rsidRPr="007271B6">
        <w:rPr>
          <w:rFonts w:ascii="Times New Roman" w:eastAsia="Times New Roman" w:hAnsi="Times New Roman" w:cs="Times New Roman"/>
          <w:kern w:val="0"/>
          <w:sz w:val="24"/>
          <w:szCs w:val="24"/>
          <w14:ligatures w14:val="none"/>
        </w:rPr>
        <w:t xml:space="preserve">Adegbite, E. </w:t>
      </w:r>
      <w:r w:rsidRPr="007271B6">
        <w:rPr>
          <w:rFonts w:ascii="Times New Roman" w:eastAsia="Times New Roman" w:hAnsi="Times New Roman" w:cs="Times New Roman"/>
          <w:i/>
          <w:iCs/>
          <w:kern w:val="0"/>
          <w:sz w:val="24"/>
          <w:szCs w:val="24"/>
          <w14:ligatures w14:val="none"/>
        </w:rPr>
        <w:t>et al.</w:t>
      </w:r>
      <w:r w:rsidRPr="007271B6">
        <w:rPr>
          <w:rFonts w:ascii="Times New Roman" w:eastAsia="Times New Roman" w:hAnsi="Times New Roman" w:cs="Times New Roman"/>
          <w:kern w:val="0"/>
          <w:sz w:val="24"/>
          <w:szCs w:val="24"/>
          <w14:ligatures w14:val="none"/>
        </w:rPr>
        <w:t xml:space="preserve"> (2020) 'Corporate social responsibility strategies in Nigeria: a tinged shareholder model,' </w:t>
      </w:r>
      <w:r w:rsidRPr="007271B6">
        <w:rPr>
          <w:rFonts w:ascii="Times New Roman" w:eastAsia="Times New Roman" w:hAnsi="Times New Roman" w:cs="Times New Roman"/>
          <w:i/>
          <w:iCs/>
          <w:kern w:val="0"/>
          <w:sz w:val="24"/>
          <w:szCs w:val="24"/>
          <w14:ligatures w14:val="none"/>
        </w:rPr>
        <w:t>Corporate Governance</w:t>
      </w:r>
      <w:r w:rsidRPr="007271B6">
        <w:rPr>
          <w:rFonts w:ascii="Times New Roman" w:eastAsia="Times New Roman" w:hAnsi="Times New Roman" w:cs="Times New Roman"/>
          <w:kern w:val="0"/>
          <w:sz w:val="24"/>
          <w:szCs w:val="24"/>
          <w14:ligatures w14:val="none"/>
        </w:rPr>
        <w:t xml:space="preserve">, 20(5), pp. 797–820. </w:t>
      </w:r>
      <w:hyperlink r:id="rId12" w:history="1">
        <w:r w:rsidRPr="007271B6">
          <w:rPr>
            <w:rFonts w:ascii="Times New Roman" w:eastAsia="Times New Roman" w:hAnsi="Times New Roman" w:cs="Times New Roman"/>
            <w:color w:val="0563C1" w:themeColor="hyperlink"/>
            <w:kern w:val="0"/>
            <w:sz w:val="24"/>
            <w:szCs w:val="24"/>
            <w:u w:val="single"/>
            <w14:ligatures w14:val="none"/>
          </w:rPr>
          <w:t>https://doi.org/10.1108/cg-12-2019-0389</w:t>
        </w:r>
      </w:hyperlink>
      <w:r w:rsidRPr="007271B6">
        <w:rPr>
          <w:rFonts w:ascii="Times New Roman" w:eastAsia="Times New Roman" w:hAnsi="Times New Roman" w:cs="Times New Roman"/>
          <w:kern w:val="0"/>
          <w:sz w:val="24"/>
          <w:szCs w:val="24"/>
          <w14:ligatures w14:val="none"/>
        </w:rPr>
        <w:t xml:space="preserve"> </w:t>
      </w:r>
    </w:p>
    <w:p w14:paraId="04D0913F" w14:textId="2200E157" w:rsidR="000D44E1" w:rsidRPr="007271B6" w:rsidRDefault="000D44E1" w:rsidP="000D44E1">
      <w:pPr>
        <w:shd w:val="clear" w:color="auto" w:fill="FFFFFF"/>
        <w:spacing w:after="0" w:line="480" w:lineRule="auto"/>
        <w:ind w:left="720" w:right="75" w:hanging="720"/>
        <w:contextualSpacing/>
        <w:rPr>
          <w:rFonts w:ascii="Times New Roman" w:eastAsia="Times New Roman" w:hAnsi="Times New Roman" w:cs="Times New Roman"/>
          <w:kern w:val="0"/>
          <w:sz w:val="24"/>
          <w:szCs w:val="24"/>
          <w:u w:val="single"/>
          <w14:ligatures w14:val="none"/>
        </w:rPr>
      </w:pPr>
      <w:proofErr w:type="spellStart"/>
      <w:r w:rsidRPr="007271B6">
        <w:rPr>
          <w:rFonts w:ascii="Times New Roman" w:eastAsia="Times New Roman" w:hAnsi="Times New Roman" w:cs="Times New Roman"/>
          <w:kern w:val="0"/>
          <w:sz w:val="24"/>
          <w:szCs w:val="24"/>
          <w14:ligatures w14:val="none"/>
        </w:rPr>
        <w:t>Akyildirim</w:t>
      </w:r>
      <w:proofErr w:type="spellEnd"/>
      <w:r w:rsidRPr="007271B6">
        <w:rPr>
          <w:rFonts w:ascii="Times New Roman" w:eastAsia="Times New Roman" w:hAnsi="Times New Roman" w:cs="Times New Roman"/>
          <w:kern w:val="0"/>
          <w:sz w:val="24"/>
          <w:szCs w:val="24"/>
          <w14:ligatures w14:val="none"/>
        </w:rPr>
        <w:t>, E., Conlon, T., Corbet, S., &amp; Goodell, J. W., 2023. Understanding the FTX exchange collapse: A dynamic connectedness approach. </w:t>
      </w:r>
      <w:r w:rsidRPr="007271B6">
        <w:rPr>
          <w:rFonts w:ascii="Times New Roman" w:eastAsia="Times New Roman" w:hAnsi="Times New Roman" w:cs="Times New Roman"/>
          <w:i/>
          <w:iCs/>
          <w:kern w:val="0"/>
          <w:sz w:val="24"/>
          <w:szCs w:val="24"/>
          <w14:ligatures w14:val="none"/>
        </w:rPr>
        <w:t>SSRN Electronic Journal</w:t>
      </w:r>
      <w:r w:rsidRPr="007271B6">
        <w:rPr>
          <w:rFonts w:ascii="Times New Roman" w:eastAsia="Times New Roman" w:hAnsi="Times New Roman" w:cs="Times New Roman"/>
          <w:kern w:val="0"/>
          <w:sz w:val="24"/>
          <w:szCs w:val="24"/>
          <w14:ligatures w14:val="none"/>
        </w:rPr>
        <w:t>.</w:t>
      </w:r>
      <w:r w:rsidRPr="007271B6">
        <w:rPr>
          <w:rFonts w:ascii="Times New Roman" w:eastAsia="Times New Roman" w:hAnsi="Times New Roman" w:cs="Times New Roman"/>
          <w:kern w:val="0"/>
          <w:sz w:val="24"/>
          <w:szCs w:val="24"/>
          <w14:ligatures w14:val="none"/>
        </w:rPr>
        <w:t> </w:t>
      </w:r>
      <w:hyperlink r:id="rId13" w:history="1">
        <w:r w:rsidRPr="007271B6">
          <w:rPr>
            <w:rFonts w:ascii="Times New Roman" w:eastAsia="Times New Roman" w:hAnsi="Times New Roman" w:cs="Times New Roman"/>
            <w:color w:val="0563C1" w:themeColor="hyperlink"/>
            <w:kern w:val="0"/>
            <w:sz w:val="24"/>
            <w:szCs w:val="24"/>
            <w:u w:val="single"/>
            <w14:ligatures w14:val="none"/>
          </w:rPr>
          <w:t>https://doi.org/10.2139/ssrn.4318880</w:t>
        </w:r>
      </w:hyperlink>
    </w:p>
    <w:p w14:paraId="308AE2BE" w14:textId="77777777" w:rsidR="004656B2" w:rsidRPr="007271B6" w:rsidRDefault="004656B2" w:rsidP="004656B2">
      <w:pPr>
        <w:spacing w:after="0" w:line="480" w:lineRule="auto"/>
        <w:ind w:left="720" w:hanging="720"/>
        <w:rPr>
          <w:rFonts w:ascii="Times New Roman" w:eastAsia="Times New Roman" w:hAnsi="Times New Roman" w:cs="Times New Roman"/>
          <w:kern w:val="0"/>
          <w:sz w:val="24"/>
          <w:szCs w:val="24"/>
          <w14:ligatures w14:val="none"/>
        </w:rPr>
      </w:pPr>
      <w:r w:rsidRPr="007271B6">
        <w:rPr>
          <w:rFonts w:ascii="Times New Roman" w:eastAsia="Times New Roman" w:hAnsi="Times New Roman" w:cs="Times New Roman"/>
          <w:kern w:val="0"/>
          <w:sz w:val="24"/>
          <w:szCs w:val="24"/>
          <w14:ligatures w14:val="none"/>
        </w:rPr>
        <w:t xml:space="preserve">Alekseenko, A.P. (2023) 'Model Framework for Consumer Protection and Crypto-Exchanges Regulation,' </w:t>
      </w:r>
      <w:r w:rsidRPr="007271B6">
        <w:rPr>
          <w:rFonts w:ascii="Times New Roman" w:eastAsia="Times New Roman" w:hAnsi="Times New Roman" w:cs="Times New Roman"/>
          <w:i/>
          <w:iCs/>
          <w:kern w:val="0"/>
          <w:sz w:val="24"/>
          <w:szCs w:val="24"/>
          <w14:ligatures w14:val="none"/>
        </w:rPr>
        <w:t>Journal of Risk and Financial Management</w:t>
      </w:r>
      <w:r w:rsidRPr="007271B6">
        <w:rPr>
          <w:rFonts w:ascii="Times New Roman" w:eastAsia="Times New Roman" w:hAnsi="Times New Roman" w:cs="Times New Roman"/>
          <w:kern w:val="0"/>
          <w:sz w:val="24"/>
          <w:szCs w:val="24"/>
          <w14:ligatures w14:val="none"/>
        </w:rPr>
        <w:t xml:space="preserve">, 16(7), p. 305. </w:t>
      </w:r>
      <w:hyperlink r:id="rId14" w:history="1">
        <w:r w:rsidRPr="007271B6">
          <w:rPr>
            <w:rFonts w:ascii="Times New Roman" w:eastAsia="Times New Roman" w:hAnsi="Times New Roman" w:cs="Times New Roman"/>
            <w:color w:val="0563C1" w:themeColor="hyperlink"/>
            <w:kern w:val="0"/>
            <w:sz w:val="24"/>
            <w:szCs w:val="24"/>
            <w:u w:val="single"/>
            <w14:ligatures w14:val="none"/>
          </w:rPr>
          <w:t>https://doi.org/10.3390/jrfm16070305</w:t>
        </w:r>
      </w:hyperlink>
      <w:r w:rsidRPr="007271B6">
        <w:rPr>
          <w:rFonts w:ascii="Times New Roman" w:eastAsia="Times New Roman" w:hAnsi="Times New Roman" w:cs="Times New Roman"/>
          <w:kern w:val="0"/>
          <w:sz w:val="24"/>
          <w:szCs w:val="24"/>
          <w14:ligatures w14:val="none"/>
        </w:rPr>
        <w:t xml:space="preserve"> </w:t>
      </w:r>
    </w:p>
    <w:p w14:paraId="5B29607F" w14:textId="77777777" w:rsidR="004656B2" w:rsidRPr="007271B6" w:rsidRDefault="004656B2" w:rsidP="004656B2">
      <w:pPr>
        <w:spacing w:after="0" w:line="480" w:lineRule="auto"/>
        <w:ind w:left="720" w:hanging="720"/>
        <w:rPr>
          <w:rFonts w:ascii="Times New Roman" w:eastAsia="Times New Roman" w:hAnsi="Times New Roman" w:cs="Times New Roman"/>
          <w:kern w:val="0"/>
          <w:sz w:val="24"/>
          <w:szCs w:val="24"/>
          <w14:ligatures w14:val="none"/>
        </w:rPr>
      </w:pPr>
      <w:r w:rsidRPr="007271B6">
        <w:rPr>
          <w:rFonts w:ascii="Times New Roman" w:eastAsia="Times New Roman" w:hAnsi="Times New Roman" w:cs="Times New Roman"/>
          <w:kern w:val="0"/>
          <w:sz w:val="24"/>
          <w:szCs w:val="24"/>
          <w14:ligatures w14:val="none"/>
        </w:rPr>
        <w:t xml:space="preserve">Arner, D.W. </w:t>
      </w:r>
      <w:r w:rsidRPr="007271B6">
        <w:rPr>
          <w:rFonts w:ascii="Times New Roman" w:eastAsia="Times New Roman" w:hAnsi="Times New Roman" w:cs="Times New Roman"/>
          <w:i/>
          <w:iCs/>
          <w:kern w:val="0"/>
          <w:sz w:val="24"/>
          <w:szCs w:val="24"/>
          <w14:ligatures w14:val="none"/>
        </w:rPr>
        <w:t>et al.</w:t>
      </w:r>
      <w:r w:rsidRPr="007271B6">
        <w:rPr>
          <w:rFonts w:ascii="Times New Roman" w:eastAsia="Times New Roman" w:hAnsi="Times New Roman" w:cs="Times New Roman"/>
          <w:kern w:val="0"/>
          <w:sz w:val="24"/>
          <w:szCs w:val="24"/>
          <w14:ligatures w14:val="none"/>
        </w:rPr>
        <w:t xml:space="preserve"> (2023) 'The Financialization of Crypto: Lessons from FTX and the Crypto Winter of 2022-2023,' </w:t>
      </w:r>
      <w:r w:rsidRPr="007271B6">
        <w:rPr>
          <w:rFonts w:ascii="Times New Roman" w:eastAsia="Times New Roman" w:hAnsi="Times New Roman" w:cs="Times New Roman"/>
          <w:i/>
          <w:iCs/>
          <w:kern w:val="0"/>
          <w:sz w:val="24"/>
          <w:szCs w:val="24"/>
          <w14:ligatures w14:val="none"/>
        </w:rPr>
        <w:t>Social Science Research Network</w:t>
      </w:r>
      <w:r w:rsidRPr="007271B6">
        <w:rPr>
          <w:rFonts w:ascii="Times New Roman" w:eastAsia="Times New Roman" w:hAnsi="Times New Roman" w:cs="Times New Roman"/>
          <w:kern w:val="0"/>
          <w:sz w:val="24"/>
          <w:szCs w:val="24"/>
          <w14:ligatures w14:val="none"/>
        </w:rPr>
        <w:t xml:space="preserve"> [Preprint]. </w:t>
      </w:r>
      <w:hyperlink r:id="rId15" w:history="1">
        <w:r w:rsidRPr="007271B6">
          <w:rPr>
            <w:rFonts w:ascii="Times New Roman" w:eastAsia="Times New Roman" w:hAnsi="Times New Roman" w:cs="Times New Roman"/>
            <w:color w:val="0563C1" w:themeColor="hyperlink"/>
            <w:kern w:val="0"/>
            <w:sz w:val="24"/>
            <w:szCs w:val="24"/>
            <w:u w:val="single"/>
            <w14:ligatures w14:val="none"/>
          </w:rPr>
          <w:t>https://doi.org/10.2139/ssrn.4372516</w:t>
        </w:r>
      </w:hyperlink>
      <w:r w:rsidRPr="007271B6">
        <w:rPr>
          <w:rFonts w:ascii="Times New Roman" w:eastAsia="Times New Roman" w:hAnsi="Times New Roman" w:cs="Times New Roman"/>
          <w:kern w:val="0"/>
          <w:sz w:val="24"/>
          <w:szCs w:val="24"/>
          <w14:ligatures w14:val="none"/>
        </w:rPr>
        <w:t xml:space="preserve"> </w:t>
      </w:r>
    </w:p>
    <w:p w14:paraId="753AEF6E" w14:textId="4320090E" w:rsidR="004656B2" w:rsidRPr="007271B6" w:rsidRDefault="004656B2" w:rsidP="004656B2">
      <w:pPr>
        <w:spacing w:after="200" w:line="480" w:lineRule="auto"/>
        <w:ind w:left="720" w:hanging="720"/>
        <w:rPr>
          <w:rFonts w:ascii="Times New Roman" w:eastAsia="Times New Roman" w:hAnsi="Times New Roman" w:cs="Times New Roman"/>
          <w:color w:val="0563C1" w:themeColor="hyperlink"/>
          <w:kern w:val="0"/>
          <w:sz w:val="24"/>
          <w:szCs w:val="24"/>
          <w:u w:val="single"/>
          <w14:ligatures w14:val="none"/>
        </w:rPr>
      </w:pPr>
      <w:r w:rsidRPr="007271B6">
        <w:rPr>
          <w:rFonts w:ascii="Times New Roman" w:hAnsi="Times New Roman" w:cs="Times New Roman"/>
          <w:kern w:val="0"/>
          <w:sz w:val="24"/>
          <w:szCs w:val="24"/>
        </w:rPr>
        <w:t xml:space="preserve">Bloomberg Originals. (2023, October 26) RUIN: Money, Ego, and deception at FTX. YouTube. </w:t>
      </w:r>
      <w:hyperlink r:id="rId16" w:history="1">
        <w:r w:rsidR="001151B8" w:rsidRPr="007271B6">
          <w:rPr>
            <w:rStyle w:val="Hyperlink"/>
            <w:rFonts w:ascii="Times New Roman" w:eastAsia="Times New Roman" w:hAnsi="Times New Roman" w:cs="Times New Roman"/>
            <w:kern w:val="0"/>
            <w:sz w:val="24"/>
            <w:szCs w:val="24"/>
            <w14:ligatures w14:val="none"/>
          </w:rPr>
          <w:t>https://www.youtube.com/watch?v=3QpdU9LS540</w:t>
        </w:r>
      </w:hyperlink>
    </w:p>
    <w:p w14:paraId="4A7BD7DA" w14:textId="16BD8DE3" w:rsidR="001151B8" w:rsidRPr="007271B6" w:rsidRDefault="001151B8" w:rsidP="001151B8">
      <w:pPr>
        <w:spacing w:after="200" w:line="480" w:lineRule="auto"/>
        <w:ind w:left="720" w:hanging="720"/>
        <w:rPr>
          <w:rFonts w:ascii="Times New Roman" w:hAnsi="Times New Roman" w:cs="Times New Roman"/>
          <w:kern w:val="0"/>
          <w:sz w:val="24"/>
          <w:szCs w:val="24"/>
        </w:rPr>
      </w:pPr>
      <w:r w:rsidRPr="007271B6">
        <w:rPr>
          <w:rFonts w:ascii="Times New Roman" w:hAnsi="Times New Roman" w:cs="Times New Roman"/>
          <w:kern w:val="0"/>
          <w:sz w:val="24"/>
          <w:szCs w:val="24"/>
        </w:rPr>
        <w:t xml:space="preserve">CNBC. (2023, October 2) The collapse of FTX: Insiders tell all | CNBC Documentary. Available at: </w:t>
      </w:r>
      <w:r w:rsidRPr="007271B6">
        <w:rPr>
          <w:rFonts w:ascii="Times New Roman" w:eastAsia="Times New Roman" w:hAnsi="Times New Roman" w:cs="Times New Roman"/>
          <w:color w:val="0563C1" w:themeColor="hyperlink"/>
          <w:kern w:val="0"/>
          <w:sz w:val="24"/>
          <w:szCs w:val="24"/>
          <w:u w:val="single"/>
          <w14:ligatures w14:val="none"/>
        </w:rPr>
        <w:t>https://www.youtube.com/watch?v=XqwGt69pDXQ (Accessed: February 08</w:t>
      </w:r>
      <w:proofErr w:type="gramStart"/>
      <w:r w:rsidRPr="007271B6">
        <w:rPr>
          <w:rFonts w:ascii="Times New Roman" w:eastAsia="Times New Roman" w:hAnsi="Times New Roman" w:cs="Times New Roman"/>
          <w:color w:val="0563C1" w:themeColor="hyperlink"/>
          <w:kern w:val="0"/>
          <w:sz w:val="24"/>
          <w:szCs w:val="24"/>
          <w:u w:val="single"/>
          <w14:ligatures w14:val="none"/>
        </w:rPr>
        <w:t xml:space="preserve"> 2024</w:t>
      </w:r>
      <w:proofErr w:type="gramEnd"/>
      <w:r w:rsidRPr="007271B6">
        <w:rPr>
          <w:rFonts w:ascii="Times New Roman" w:eastAsia="Times New Roman" w:hAnsi="Times New Roman" w:cs="Times New Roman"/>
          <w:color w:val="0563C1" w:themeColor="hyperlink"/>
          <w:kern w:val="0"/>
          <w:sz w:val="24"/>
          <w:szCs w:val="24"/>
          <w:u w:val="single"/>
          <w14:ligatures w14:val="none"/>
        </w:rPr>
        <w:t>)</w:t>
      </w:r>
    </w:p>
    <w:p w14:paraId="70D01643" w14:textId="77777777" w:rsidR="004656B2" w:rsidRPr="007271B6" w:rsidRDefault="004656B2" w:rsidP="004656B2">
      <w:pPr>
        <w:spacing w:after="0" w:line="480" w:lineRule="auto"/>
        <w:ind w:left="720" w:hanging="720"/>
        <w:rPr>
          <w:rFonts w:ascii="Times New Roman" w:eastAsia="Times New Roman" w:hAnsi="Times New Roman" w:cs="Times New Roman"/>
          <w:kern w:val="0"/>
          <w:sz w:val="24"/>
          <w:szCs w:val="24"/>
          <w14:ligatures w14:val="none"/>
        </w:rPr>
      </w:pPr>
      <w:r w:rsidRPr="007271B6">
        <w:rPr>
          <w:rFonts w:ascii="Times New Roman" w:eastAsia="Times New Roman" w:hAnsi="Times New Roman" w:cs="Times New Roman"/>
          <w:kern w:val="0"/>
          <w:sz w:val="24"/>
          <w:szCs w:val="24"/>
          <w14:ligatures w14:val="none"/>
        </w:rPr>
        <w:t xml:space="preserve">Conlon, T., Corbet, S. and Hu, Y. (2022) 'The collapse of FTX: The end of cryptocurrency's age of innocence,' </w:t>
      </w:r>
      <w:r w:rsidRPr="007271B6">
        <w:rPr>
          <w:rFonts w:ascii="Times New Roman" w:eastAsia="Times New Roman" w:hAnsi="Times New Roman" w:cs="Times New Roman"/>
          <w:i/>
          <w:iCs/>
          <w:kern w:val="0"/>
          <w:sz w:val="24"/>
          <w:szCs w:val="24"/>
          <w14:ligatures w14:val="none"/>
        </w:rPr>
        <w:t>Social Science Research Network</w:t>
      </w:r>
      <w:r w:rsidRPr="007271B6">
        <w:rPr>
          <w:rFonts w:ascii="Times New Roman" w:eastAsia="Times New Roman" w:hAnsi="Times New Roman" w:cs="Times New Roman"/>
          <w:kern w:val="0"/>
          <w:sz w:val="24"/>
          <w:szCs w:val="24"/>
          <w14:ligatures w14:val="none"/>
        </w:rPr>
        <w:t xml:space="preserve"> [Preprint]. </w:t>
      </w:r>
      <w:hyperlink r:id="rId17" w:history="1">
        <w:r w:rsidRPr="007271B6">
          <w:rPr>
            <w:rFonts w:ascii="Times New Roman" w:eastAsia="Times New Roman" w:hAnsi="Times New Roman" w:cs="Times New Roman"/>
            <w:color w:val="0563C1" w:themeColor="hyperlink"/>
            <w:kern w:val="0"/>
            <w:sz w:val="24"/>
            <w:szCs w:val="24"/>
            <w:u w:val="single"/>
            <w14:ligatures w14:val="none"/>
          </w:rPr>
          <w:t>https://doi.org/10.2139/ssrn.4283333</w:t>
        </w:r>
      </w:hyperlink>
      <w:r w:rsidRPr="007271B6">
        <w:rPr>
          <w:rFonts w:ascii="Times New Roman" w:eastAsia="Times New Roman" w:hAnsi="Times New Roman" w:cs="Times New Roman"/>
          <w:kern w:val="0"/>
          <w:sz w:val="24"/>
          <w:szCs w:val="24"/>
          <w14:ligatures w14:val="none"/>
        </w:rPr>
        <w:t xml:space="preserve"> </w:t>
      </w:r>
    </w:p>
    <w:p w14:paraId="5060DA5A" w14:textId="77777777" w:rsidR="000D44E1" w:rsidRPr="007271B6" w:rsidRDefault="000D44E1" w:rsidP="000D44E1">
      <w:pPr>
        <w:shd w:val="clear" w:color="auto" w:fill="FFFFFF"/>
        <w:spacing w:after="0" w:line="480" w:lineRule="auto"/>
        <w:ind w:left="720" w:right="75" w:hanging="720"/>
        <w:contextualSpacing/>
        <w:rPr>
          <w:rFonts w:ascii="Times New Roman" w:eastAsia="Times New Roman" w:hAnsi="Times New Roman" w:cs="Times New Roman"/>
          <w:kern w:val="0"/>
          <w:sz w:val="24"/>
          <w:szCs w:val="24"/>
          <w:u w:val="single"/>
          <w14:ligatures w14:val="none"/>
        </w:rPr>
      </w:pPr>
      <w:r w:rsidRPr="007271B6">
        <w:rPr>
          <w:rFonts w:ascii="Times New Roman" w:eastAsia="Times New Roman" w:hAnsi="Times New Roman" w:cs="Times New Roman"/>
          <w:kern w:val="0"/>
          <w:sz w:val="24"/>
          <w:szCs w:val="24"/>
          <w14:ligatures w14:val="none"/>
        </w:rPr>
        <w:t>Dai, P., Goodell, J. W., Huynh, L. D., Liu, Z., &amp; Corbet, S., 2023. Understanding the transmission of crash risk between cryptocurrency and equity markets. </w:t>
      </w:r>
      <w:r w:rsidRPr="007271B6">
        <w:rPr>
          <w:rFonts w:ascii="Times New Roman" w:eastAsia="Times New Roman" w:hAnsi="Times New Roman" w:cs="Times New Roman"/>
          <w:i/>
          <w:iCs/>
          <w:kern w:val="0"/>
          <w:sz w:val="24"/>
          <w:szCs w:val="24"/>
          <w14:ligatures w14:val="none"/>
        </w:rPr>
        <w:t>Financial Review</w:t>
      </w:r>
      <w:r w:rsidRPr="007271B6">
        <w:rPr>
          <w:rFonts w:ascii="Times New Roman" w:eastAsia="Times New Roman" w:hAnsi="Times New Roman" w:cs="Times New Roman"/>
          <w:kern w:val="0"/>
          <w:sz w:val="24"/>
          <w:szCs w:val="24"/>
          <w14:ligatures w14:val="none"/>
        </w:rPr>
        <w:t>. </w:t>
      </w:r>
      <w:hyperlink r:id="rId18" w:history="1">
        <w:r w:rsidRPr="007271B6">
          <w:rPr>
            <w:rFonts w:ascii="Times New Roman" w:eastAsia="Times New Roman" w:hAnsi="Times New Roman" w:cs="Times New Roman"/>
            <w:color w:val="0563C1" w:themeColor="hyperlink"/>
            <w:kern w:val="0"/>
            <w:sz w:val="24"/>
            <w:szCs w:val="24"/>
            <w:u w:val="single"/>
            <w14:ligatures w14:val="none"/>
          </w:rPr>
          <w:t>https://doi.org/10.1111/fire.12340</w:t>
        </w:r>
      </w:hyperlink>
    </w:p>
    <w:p w14:paraId="15BB64F9" w14:textId="3A24698E" w:rsidR="00922245" w:rsidRDefault="00922245" w:rsidP="00922245">
      <w:pPr>
        <w:spacing w:after="0" w:line="480" w:lineRule="auto"/>
        <w:ind w:left="720" w:hanging="720"/>
        <w:rPr>
          <w:rFonts w:ascii="Times New Roman" w:eastAsia="Times New Roman" w:hAnsi="Times New Roman" w:cs="Times New Roman"/>
          <w:kern w:val="0"/>
          <w:sz w:val="24"/>
          <w:szCs w:val="24"/>
          <w14:ligatures w14:val="none"/>
        </w:rPr>
      </w:pPr>
      <w:r w:rsidRPr="007271B6">
        <w:rPr>
          <w:rFonts w:ascii="Times New Roman" w:eastAsia="Times New Roman" w:hAnsi="Times New Roman" w:cs="Times New Roman"/>
          <w:kern w:val="0"/>
          <w:sz w:val="24"/>
          <w:szCs w:val="24"/>
          <w14:ligatures w14:val="none"/>
        </w:rPr>
        <w:lastRenderedPageBreak/>
        <w:t xml:space="preserve">Fu, S. </w:t>
      </w:r>
      <w:r w:rsidRPr="007271B6">
        <w:rPr>
          <w:rFonts w:ascii="Times New Roman" w:eastAsia="Times New Roman" w:hAnsi="Times New Roman" w:cs="Times New Roman"/>
          <w:i/>
          <w:iCs/>
          <w:kern w:val="0"/>
          <w:sz w:val="24"/>
          <w:szCs w:val="24"/>
          <w14:ligatures w14:val="none"/>
        </w:rPr>
        <w:t>et al.</w:t>
      </w:r>
      <w:r w:rsidRPr="007271B6">
        <w:rPr>
          <w:rFonts w:ascii="Times New Roman" w:eastAsia="Times New Roman" w:hAnsi="Times New Roman" w:cs="Times New Roman"/>
          <w:kern w:val="0"/>
          <w:sz w:val="24"/>
          <w:szCs w:val="24"/>
          <w14:ligatures w14:val="none"/>
        </w:rPr>
        <w:t xml:space="preserve"> (2022) 'FTX collapse: a Ponzi story,' </w:t>
      </w:r>
      <w:proofErr w:type="spellStart"/>
      <w:r w:rsidRPr="007271B6">
        <w:rPr>
          <w:rFonts w:ascii="Times New Roman" w:eastAsia="Times New Roman" w:hAnsi="Times New Roman" w:cs="Times New Roman"/>
          <w:i/>
          <w:iCs/>
          <w:kern w:val="0"/>
          <w:sz w:val="24"/>
          <w:szCs w:val="24"/>
          <w14:ligatures w14:val="none"/>
        </w:rPr>
        <w:t>arXiv</w:t>
      </w:r>
      <w:proofErr w:type="spellEnd"/>
      <w:r w:rsidRPr="007271B6">
        <w:rPr>
          <w:rFonts w:ascii="Times New Roman" w:eastAsia="Times New Roman" w:hAnsi="Times New Roman" w:cs="Times New Roman"/>
          <w:i/>
          <w:iCs/>
          <w:kern w:val="0"/>
          <w:sz w:val="24"/>
          <w:szCs w:val="24"/>
          <w14:ligatures w14:val="none"/>
        </w:rPr>
        <w:t xml:space="preserve"> (Cornell University)</w:t>
      </w:r>
      <w:r w:rsidRPr="007271B6">
        <w:rPr>
          <w:rFonts w:ascii="Times New Roman" w:eastAsia="Times New Roman" w:hAnsi="Times New Roman" w:cs="Times New Roman"/>
          <w:kern w:val="0"/>
          <w:sz w:val="24"/>
          <w:szCs w:val="24"/>
          <w14:ligatures w14:val="none"/>
        </w:rPr>
        <w:t xml:space="preserve"> [Preprint]. </w:t>
      </w:r>
      <w:hyperlink r:id="rId19" w:history="1">
        <w:r w:rsidRPr="007271B6">
          <w:rPr>
            <w:rFonts w:ascii="Times New Roman" w:eastAsia="Times New Roman" w:hAnsi="Times New Roman" w:cs="Times New Roman"/>
            <w:color w:val="0563C1" w:themeColor="hyperlink"/>
            <w:kern w:val="0"/>
            <w:sz w:val="24"/>
            <w:szCs w:val="24"/>
            <w:u w:val="single"/>
            <w14:ligatures w14:val="none"/>
          </w:rPr>
          <w:t>https://doi.org/10.48550/arxiv.2212.09436</w:t>
        </w:r>
      </w:hyperlink>
      <w:r w:rsidRPr="007271B6">
        <w:rPr>
          <w:rFonts w:ascii="Times New Roman" w:eastAsia="Times New Roman" w:hAnsi="Times New Roman" w:cs="Times New Roman"/>
          <w:kern w:val="0"/>
          <w:sz w:val="24"/>
          <w:szCs w:val="24"/>
          <w14:ligatures w14:val="none"/>
        </w:rPr>
        <w:t xml:space="preserve"> </w:t>
      </w:r>
    </w:p>
    <w:p w14:paraId="3EDB5D63" w14:textId="696A9C9D" w:rsidR="00D56C6A" w:rsidRPr="00052857" w:rsidRDefault="00D56C6A" w:rsidP="00052857">
      <w:pPr>
        <w:spacing w:after="0" w:line="480" w:lineRule="auto"/>
        <w:ind w:left="720" w:hanging="720"/>
        <w:rPr>
          <w:rFonts w:ascii="Times New Roman" w:eastAsia="Times New Roman" w:hAnsi="Times New Roman" w:cs="Times New Roman"/>
          <w:i/>
          <w:iCs/>
          <w:kern w:val="0"/>
          <w:sz w:val="24"/>
          <w:szCs w:val="24"/>
          <w14:ligatures w14:val="none"/>
        </w:rPr>
      </w:pPr>
      <w:r w:rsidRPr="00D56C6A">
        <w:rPr>
          <w:rFonts w:ascii="Times New Roman" w:eastAsia="Times New Roman" w:hAnsi="Times New Roman" w:cs="Times New Roman"/>
          <w:kern w:val="0"/>
          <w:sz w:val="24"/>
          <w:szCs w:val="24"/>
          <w14:ligatures w14:val="none"/>
        </w:rPr>
        <w:t>The Harvard Law School Forum on Corporate Governance. (2022, February 21). </w:t>
      </w:r>
      <w:r w:rsidRPr="00D56C6A">
        <w:rPr>
          <w:rFonts w:ascii="Times New Roman" w:eastAsia="Times New Roman" w:hAnsi="Times New Roman" w:cs="Times New Roman"/>
          <w:i/>
          <w:iCs/>
          <w:kern w:val="0"/>
          <w:sz w:val="24"/>
          <w:szCs w:val="24"/>
          <w14:ligatures w14:val="none"/>
        </w:rPr>
        <w:t>2022</w:t>
      </w:r>
      <w:r w:rsidR="00052857">
        <w:rPr>
          <w:rFonts w:ascii="Times New Roman" w:eastAsia="Times New Roman" w:hAnsi="Times New Roman" w:cs="Times New Roman"/>
          <w:i/>
          <w:iCs/>
          <w:kern w:val="0"/>
          <w:sz w:val="24"/>
          <w:szCs w:val="24"/>
          <w14:ligatures w14:val="none"/>
        </w:rPr>
        <w:t xml:space="preserve"> </w:t>
      </w:r>
      <w:r w:rsidRPr="00D56C6A">
        <w:rPr>
          <w:rFonts w:ascii="Times New Roman" w:eastAsia="Times New Roman" w:hAnsi="Times New Roman" w:cs="Times New Roman"/>
          <w:kern w:val="0"/>
          <w:sz w:val="24"/>
          <w:szCs w:val="24"/>
          <w14:ligatures w14:val="none"/>
        </w:rPr>
        <w:t>Global and Regional Trends in</w:t>
      </w:r>
      <w:r>
        <w:rPr>
          <w:rFonts w:ascii="Times New Roman" w:eastAsia="Times New Roman" w:hAnsi="Times New Roman" w:cs="Times New Roman"/>
          <w:kern w:val="0"/>
          <w:sz w:val="24"/>
          <w:szCs w:val="24"/>
          <w14:ligatures w14:val="none"/>
        </w:rPr>
        <w:t xml:space="preserve"> Corporate Governance </w:t>
      </w:r>
      <w:hyperlink r:id="rId20" w:history="1">
        <w:r w:rsidRPr="00397CAA">
          <w:rPr>
            <w:rStyle w:val="Hyperlink"/>
            <w:rFonts w:ascii="Times New Roman" w:eastAsia="Times New Roman" w:hAnsi="Times New Roman" w:cs="Times New Roman"/>
            <w:kern w:val="0"/>
            <w:sz w:val="24"/>
            <w:szCs w:val="24"/>
            <w14:ligatures w14:val="none"/>
          </w:rPr>
          <w:t>https://corpgov.law.harvard.edu/2022/02/21/2022-global-and-regional-trends-in-corporate-governance/</w:t>
        </w:r>
      </w:hyperlink>
    </w:p>
    <w:p w14:paraId="29F268B7" w14:textId="208BF56F" w:rsidR="00DA7F09" w:rsidRPr="00DA7F09" w:rsidRDefault="00DA7F09" w:rsidP="00DA7F09">
      <w:pPr>
        <w:spacing w:after="0" w:line="480" w:lineRule="auto"/>
        <w:ind w:left="720" w:hanging="720"/>
        <w:rPr>
          <w:rFonts w:ascii="Times New Roman" w:eastAsia="Times New Roman" w:hAnsi="Times New Roman" w:cs="Times New Roman"/>
          <w:kern w:val="0"/>
          <w:sz w:val="24"/>
          <w:szCs w:val="24"/>
          <w14:ligatures w14:val="none"/>
        </w:rPr>
      </w:pPr>
      <w:r w:rsidRPr="00DA7F09">
        <w:rPr>
          <w:rFonts w:ascii="Times New Roman" w:eastAsia="Times New Roman" w:hAnsi="Times New Roman" w:cs="Times New Roman"/>
          <w:kern w:val="0"/>
          <w:sz w:val="24"/>
          <w:szCs w:val="24"/>
          <w14:ligatures w14:val="none"/>
        </w:rPr>
        <w:t>Hacker, P., 2019. Corporate governance for complex cryptocurrencies? A framework fo</w:t>
      </w:r>
      <w:r>
        <w:rPr>
          <w:rFonts w:ascii="Times New Roman" w:eastAsia="Times New Roman" w:hAnsi="Times New Roman" w:cs="Times New Roman"/>
          <w:kern w:val="0"/>
          <w:sz w:val="24"/>
          <w:szCs w:val="24"/>
          <w14:ligatures w14:val="none"/>
        </w:rPr>
        <w:t xml:space="preserve">r stability and decision making in blockchain-based organizations. </w:t>
      </w:r>
      <w:hyperlink r:id="rId21" w:history="1">
        <w:r w:rsidRPr="00DA7F09">
          <w:rPr>
            <w:rStyle w:val="Hyperlink"/>
            <w:rFonts w:ascii="Times New Roman" w:eastAsia="Calibri" w:hAnsi="Times New Roman" w:cs="Times New Roman"/>
            <w:kern w:val="0"/>
            <w:sz w:val="24"/>
            <w:szCs w:val="24"/>
            <w:shd w:val="clear" w:color="auto" w:fill="FFFFFF"/>
            <w14:ligatures w14:val="none"/>
          </w:rPr>
          <w:t>papers.ssrn.com/sol3/papers.cfm?abstract_id=2998830</w:t>
        </w:r>
      </w:hyperlink>
    </w:p>
    <w:p w14:paraId="26517058" w14:textId="1419E896" w:rsidR="001151B8" w:rsidRPr="007271B6" w:rsidRDefault="001151B8" w:rsidP="001151B8">
      <w:pPr>
        <w:spacing w:after="0" w:line="480" w:lineRule="auto"/>
        <w:ind w:left="720" w:hanging="720"/>
        <w:rPr>
          <w:rFonts w:ascii="Times New Roman" w:eastAsia="Times New Roman" w:hAnsi="Times New Roman" w:cs="Times New Roman"/>
          <w:kern w:val="0"/>
          <w:sz w:val="24"/>
          <w:szCs w:val="24"/>
          <w14:ligatures w14:val="none"/>
        </w:rPr>
      </w:pPr>
      <w:r w:rsidRPr="007271B6">
        <w:rPr>
          <w:rFonts w:ascii="Times New Roman" w:eastAsia="Times New Roman" w:hAnsi="Times New Roman" w:cs="Times New Roman"/>
          <w:kern w:val="0"/>
          <w:sz w:val="24"/>
          <w:szCs w:val="24"/>
          <w14:ligatures w14:val="none"/>
        </w:rPr>
        <w:t xml:space="preserve">Kokorin, I. (2023) 'The anatomy of crypto failures and investor protection under </w:t>
      </w:r>
      <w:proofErr w:type="spellStart"/>
      <w:r w:rsidRPr="007271B6">
        <w:rPr>
          <w:rFonts w:ascii="Times New Roman" w:eastAsia="Times New Roman" w:hAnsi="Times New Roman" w:cs="Times New Roman"/>
          <w:kern w:val="0"/>
          <w:sz w:val="24"/>
          <w:szCs w:val="24"/>
          <w14:ligatures w14:val="none"/>
        </w:rPr>
        <w:t>MiCAR</w:t>
      </w:r>
      <w:proofErr w:type="spellEnd"/>
      <w:r w:rsidRPr="007271B6">
        <w:rPr>
          <w:rFonts w:ascii="Times New Roman" w:eastAsia="Times New Roman" w:hAnsi="Times New Roman" w:cs="Times New Roman"/>
          <w:kern w:val="0"/>
          <w:sz w:val="24"/>
          <w:szCs w:val="24"/>
          <w14:ligatures w14:val="none"/>
        </w:rPr>
        <w:t xml:space="preserve">,' </w:t>
      </w:r>
      <w:r w:rsidRPr="007271B6">
        <w:rPr>
          <w:rFonts w:ascii="Times New Roman" w:eastAsia="Times New Roman" w:hAnsi="Times New Roman" w:cs="Times New Roman"/>
          <w:i/>
          <w:iCs/>
          <w:kern w:val="0"/>
          <w:sz w:val="24"/>
          <w:szCs w:val="24"/>
          <w14:ligatures w14:val="none"/>
        </w:rPr>
        <w:t>Capital Markets Law Journal</w:t>
      </w:r>
      <w:r w:rsidRPr="007271B6">
        <w:rPr>
          <w:rFonts w:ascii="Times New Roman" w:eastAsia="Times New Roman" w:hAnsi="Times New Roman" w:cs="Times New Roman"/>
          <w:kern w:val="0"/>
          <w:sz w:val="24"/>
          <w:szCs w:val="24"/>
          <w14:ligatures w14:val="none"/>
        </w:rPr>
        <w:t xml:space="preserve"> [Preprint]. </w:t>
      </w:r>
      <w:hyperlink r:id="rId22" w:history="1">
        <w:r w:rsidRPr="007271B6">
          <w:rPr>
            <w:rFonts w:ascii="Times New Roman" w:eastAsia="Times New Roman" w:hAnsi="Times New Roman" w:cs="Times New Roman"/>
            <w:color w:val="0563C1" w:themeColor="hyperlink"/>
            <w:kern w:val="0"/>
            <w:sz w:val="24"/>
            <w:szCs w:val="24"/>
            <w:u w:val="single"/>
            <w14:ligatures w14:val="none"/>
          </w:rPr>
          <w:t>https://doi.org/10.1093/cmlj/kmad019</w:t>
        </w:r>
      </w:hyperlink>
      <w:r w:rsidRPr="007271B6">
        <w:rPr>
          <w:rFonts w:ascii="Times New Roman" w:eastAsia="Times New Roman" w:hAnsi="Times New Roman" w:cs="Times New Roman"/>
          <w:kern w:val="0"/>
          <w:sz w:val="24"/>
          <w:szCs w:val="24"/>
          <w14:ligatures w14:val="none"/>
        </w:rPr>
        <w:t xml:space="preserve"> </w:t>
      </w:r>
    </w:p>
    <w:p w14:paraId="34EFFFB0" w14:textId="7630E5C4" w:rsidR="00922245" w:rsidRPr="007271B6" w:rsidRDefault="000D44E1" w:rsidP="00922245">
      <w:pPr>
        <w:shd w:val="clear" w:color="auto" w:fill="FFFFFF"/>
        <w:spacing w:after="0" w:line="480" w:lineRule="auto"/>
        <w:ind w:left="720" w:right="75" w:hanging="720"/>
        <w:contextualSpacing/>
        <w:rPr>
          <w:rFonts w:ascii="Times New Roman" w:eastAsia="Calibri" w:hAnsi="Times New Roman" w:cs="Times New Roman"/>
          <w:kern w:val="0"/>
          <w:sz w:val="24"/>
          <w:szCs w:val="24"/>
          <w:u w:val="single"/>
          <w14:ligatures w14:val="none"/>
        </w:rPr>
      </w:pPr>
      <w:r w:rsidRPr="007271B6">
        <w:rPr>
          <w:rFonts w:ascii="Times New Roman" w:eastAsia="Calibri" w:hAnsi="Times New Roman" w:cs="Times New Roman"/>
          <w:kern w:val="0"/>
          <w:sz w:val="24"/>
          <w:szCs w:val="24"/>
          <w14:ligatures w14:val="none"/>
        </w:rPr>
        <w:t xml:space="preserve">KPMG, 2022. </w:t>
      </w:r>
      <w:r w:rsidRPr="007271B6">
        <w:rPr>
          <w:rFonts w:ascii="Times New Roman" w:eastAsia="Calibri" w:hAnsi="Times New Roman" w:cs="Times New Roman"/>
          <w:i/>
          <w:kern w:val="0"/>
          <w:sz w:val="24"/>
          <w:szCs w:val="24"/>
          <w14:ligatures w14:val="none"/>
        </w:rPr>
        <w:t>The collapse of FTX</w:t>
      </w:r>
      <w:r w:rsidRPr="007271B6">
        <w:rPr>
          <w:rFonts w:ascii="Times New Roman" w:eastAsia="Calibri" w:hAnsi="Times New Roman" w:cs="Times New Roman"/>
          <w:kern w:val="0"/>
          <w:sz w:val="24"/>
          <w:szCs w:val="24"/>
          <w14:ligatures w14:val="none"/>
        </w:rPr>
        <w:t xml:space="preserve">: Lessons and implications for stakeholders in the crypto industry. </w:t>
      </w:r>
      <w:hyperlink r:id="rId23" w:history="1">
        <w:r w:rsidRPr="007271B6">
          <w:rPr>
            <w:rFonts w:ascii="Times New Roman" w:eastAsia="Times New Roman" w:hAnsi="Times New Roman" w:cs="Times New Roman"/>
            <w:color w:val="0563C1" w:themeColor="hyperlink"/>
            <w:kern w:val="0"/>
            <w:sz w:val="24"/>
            <w:szCs w:val="24"/>
            <w:u w:val="single"/>
            <w14:ligatures w14:val="none"/>
          </w:rPr>
          <w:t>https://assets.kpmg.com/content/dam/kpmg/cn/pdf/en/2022/11/the-collapse-of-ftx.pdf</w:t>
        </w:r>
      </w:hyperlink>
    </w:p>
    <w:p w14:paraId="030E92C1" w14:textId="6CD953B6" w:rsidR="000D44E1" w:rsidRPr="007271B6" w:rsidRDefault="000D44E1" w:rsidP="000D44E1">
      <w:pPr>
        <w:shd w:val="clear" w:color="auto" w:fill="FFFFFF"/>
        <w:spacing w:after="0" w:line="480" w:lineRule="auto"/>
        <w:ind w:left="720" w:right="75" w:hanging="720"/>
        <w:contextualSpacing/>
        <w:rPr>
          <w:rFonts w:ascii="Times New Roman" w:eastAsia="Calibri" w:hAnsi="Times New Roman" w:cs="Times New Roman"/>
          <w:kern w:val="0"/>
          <w:sz w:val="24"/>
          <w:szCs w:val="24"/>
          <w14:ligatures w14:val="none"/>
        </w:rPr>
      </w:pPr>
      <w:r w:rsidRPr="007271B6">
        <w:rPr>
          <w:rFonts w:ascii="Times New Roman" w:eastAsia="Calibri" w:hAnsi="Times New Roman" w:cs="Times New Roman"/>
          <w:kern w:val="0"/>
          <w:sz w:val="24"/>
          <w:szCs w:val="24"/>
          <w14:ligatures w14:val="none"/>
        </w:rPr>
        <w:t xml:space="preserve">Llamas, M., 2023. </w:t>
      </w:r>
      <w:r w:rsidRPr="007271B6">
        <w:rPr>
          <w:rFonts w:ascii="Times New Roman" w:eastAsia="Calibri" w:hAnsi="Times New Roman" w:cs="Times New Roman"/>
          <w:i/>
          <w:kern w:val="0"/>
          <w:sz w:val="24"/>
          <w:szCs w:val="24"/>
          <w14:ligatures w14:val="none"/>
        </w:rPr>
        <w:t>Crypto bankruptcies</w:t>
      </w:r>
      <w:r w:rsidRPr="007271B6">
        <w:rPr>
          <w:rFonts w:ascii="Times New Roman" w:eastAsia="Calibri" w:hAnsi="Times New Roman" w:cs="Times New Roman"/>
          <w:kern w:val="0"/>
          <w:sz w:val="24"/>
          <w:szCs w:val="24"/>
          <w14:ligatures w14:val="none"/>
        </w:rPr>
        <w:t xml:space="preserve">. Consumernotice.org. </w:t>
      </w:r>
      <w:hyperlink r:id="rId24" w:history="1">
        <w:r w:rsidR="00922245" w:rsidRPr="007271B6">
          <w:rPr>
            <w:rStyle w:val="Hyperlink"/>
            <w:rFonts w:ascii="Times New Roman" w:eastAsia="Calibri" w:hAnsi="Times New Roman" w:cs="Times New Roman"/>
            <w:kern w:val="0"/>
            <w:sz w:val="24"/>
            <w:szCs w:val="24"/>
            <w14:ligatures w14:val="none"/>
          </w:rPr>
          <w:t>https://www.consumernotice.org/legal/crypto-bankruptcies/#:~:text=A%20number%20of%20cryptocurrency%20companies,than%20%242%20trillion%20in%202022</w:t>
        </w:r>
      </w:hyperlink>
      <w:r w:rsidRPr="007271B6">
        <w:rPr>
          <w:rFonts w:ascii="Times New Roman" w:eastAsia="Calibri" w:hAnsi="Times New Roman" w:cs="Times New Roman"/>
          <w:kern w:val="0"/>
          <w:sz w:val="24"/>
          <w:szCs w:val="24"/>
          <w14:ligatures w14:val="none"/>
        </w:rPr>
        <w:t>.</w:t>
      </w:r>
    </w:p>
    <w:p w14:paraId="1F66064D" w14:textId="07D6CC49" w:rsidR="00922245" w:rsidRPr="007271B6" w:rsidRDefault="00922245" w:rsidP="00922245">
      <w:pPr>
        <w:tabs>
          <w:tab w:val="left" w:pos="6310"/>
        </w:tabs>
        <w:spacing w:after="0" w:line="480" w:lineRule="auto"/>
        <w:ind w:left="720" w:hanging="720"/>
        <w:jc w:val="both"/>
        <w:rPr>
          <w:rFonts w:ascii="Times New Roman" w:hAnsi="Times New Roman" w:cs="Times New Roman"/>
          <w:kern w:val="0"/>
          <w:sz w:val="24"/>
          <w:szCs w:val="24"/>
          <w14:ligatures w14:val="none"/>
        </w:rPr>
      </w:pPr>
      <w:r w:rsidRPr="007271B6">
        <w:rPr>
          <w:rFonts w:ascii="Times New Roman" w:hAnsi="Times New Roman" w:cs="Times New Roman"/>
          <w:color w:val="222222"/>
          <w:kern w:val="0"/>
          <w:sz w:val="24"/>
          <w:szCs w:val="24"/>
          <w:shd w:val="clear" w:color="auto" w:fill="FFFFFF"/>
          <w14:ligatures w14:val="none"/>
        </w:rPr>
        <w:t xml:space="preserve">Macey, J.R., 2023. Fraud in a Land of Plenty. Northwestern University Law Review, 118(1), pp.227-262. </w:t>
      </w:r>
      <w:hyperlink r:id="rId25" w:history="1">
        <w:r w:rsidR="0060110A" w:rsidRPr="007271B6">
          <w:rPr>
            <w:rStyle w:val="Hyperlink"/>
            <w:rFonts w:ascii="Times New Roman" w:hAnsi="Times New Roman" w:cs="Times New Roman"/>
            <w:kern w:val="0"/>
            <w:sz w:val="24"/>
            <w:szCs w:val="24"/>
            <w:shd w:val="clear" w:color="auto" w:fill="FFFFFF"/>
            <w14:ligatures w14:val="none"/>
          </w:rPr>
          <w:t>https://openyls.law.yale.edu/bitstream/handle/20.500.13051/18354/FRAUD%20IN%20A%20LAND%20OF%20PLENTY.pdf?sequence=1&amp;isAllowed=y</w:t>
        </w:r>
      </w:hyperlink>
    </w:p>
    <w:p w14:paraId="280C806E" w14:textId="77777777" w:rsidR="00922245" w:rsidRPr="007271B6" w:rsidRDefault="00922245" w:rsidP="00922245">
      <w:pPr>
        <w:spacing w:after="0" w:line="480" w:lineRule="auto"/>
        <w:ind w:left="720" w:hanging="720"/>
        <w:rPr>
          <w:rFonts w:ascii="Times New Roman" w:eastAsia="Times New Roman" w:hAnsi="Times New Roman" w:cs="Times New Roman"/>
          <w:kern w:val="0"/>
          <w:sz w:val="24"/>
          <w:szCs w:val="24"/>
          <w14:ligatures w14:val="none"/>
        </w:rPr>
      </w:pPr>
      <w:r w:rsidRPr="007271B6">
        <w:rPr>
          <w:rFonts w:ascii="Times New Roman" w:eastAsia="Times New Roman" w:hAnsi="Times New Roman" w:cs="Times New Roman"/>
          <w:kern w:val="0"/>
          <w:sz w:val="24"/>
          <w:szCs w:val="24"/>
          <w14:ligatures w14:val="none"/>
        </w:rPr>
        <w:t xml:space="preserve">Manita, R. </w:t>
      </w:r>
      <w:r w:rsidRPr="007271B6">
        <w:rPr>
          <w:rFonts w:ascii="Times New Roman" w:eastAsia="Times New Roman" w:hAnsi="Times New Roman" w:cs="Times New Roman"/>
          <w:i/>
          <w:iCs/>
          <w:kern w:val="0"/>
          <w:sz w:val="24"/>
          <w:szCs w:val="24"/>
          <w14:ligatures w14:val="none"/>
        </w:rPr>
        <w:t>et al.</w:t>
      </w:r>
      <w:r w:rsidRPr="007271B6">
        <w:rPr>
          <w:rFonts w:ascii="Times New Roman" w:eastAsia="Times New Roman" w:hAnsi="Times New Roman" w:cs="Times New Roman"/>
          <w:kern w:val="0"/>
          <w:sz w:val="24"/>
          <w:szCs w:val="24"/>
          <w14:ligatures w14:val="none"/>
        </w:rPr>
        <w:t xml:space="preserve"> (2020) 'The digital transformation of external audit and its impact on corporate governance,' </w:t>
      </w:r>
      <w:r w:rsidRPr="007271B6">
        <w:rPr>
          <w:rFonts w:ascii="Times New Roman" w:eastAsia="Times New Roman" w:hAnsi="Times New Roman" w:cs="Times New Roman"/>
          <w:i/>
          <w:iCs/>
          <w:kern w:val="0"/>
          <w:sz w:val="24"/>
          <w:szCs w:val="24"/>
          <w14:ligatures w14:val="none"/>
        </w:rPr>
        <w:t>Technological Forecasting and Social Change</w:t>
      </w:r>
      <w:r w:rsidRPr="007271B6">
        <w:rPr>
          <w:rFonts w:ascii="Times New Roman" w:eastAsia="Times New Roman" w:hAnsi="Times New Roman" w:cs="Times New Roman"/>
          <w:kern w:val="0"/>
          <w:sz w:val="24"/>
          <w:szCs w:val="24"/>
          <w14:ligatures w14:val="none"/>
        </w:rPr>
        <w:t xml:space="preserve">, 150, p. 119751. </w:t>
      </w:r>
      <w:hyperlink r:id="rId26" w:history="1">
        <w:r w:rsidRPr="007271B6">
          <w:rPr>
            <w:rFonts w:ascii="Times New Roman" w:eastAsia="Times New Roman" w:hAnsi="Times New Roman" w:cs="Times New Roman"/>
            <w:color w:val="0563C1" w:themeColor="hyperlink"/>
            <w:kern w:val="0"/>
            <w:sz w:val="24"/>
            <w:szCs w:val="24"/>
            <w:u w:val="single"/>
            <w14:ligatures w14:val="none"/>
          </w:rPr>
          <w:t>https://doi.org/10.1016/j.techfore.2019.119751</w:t>
        </w:r>
      </w:hyperlink>
      <w:r w:rsidRPr="007271B6">
        <w:rPr>
          <w:rFonts w:ascii="Times New Roman" w:eastAsia="Times New Roman" w:hAnsi="Times New Roman" w:cs="Times New Roman"/>
          <w:kern w:val="0"/>
          <w:sz w:val="24"/>
          <w:szCs w:val="24"/>
          <w14:ligatures w14:val="none"/>
        </w:rPr>
        <w:t xml:space="preserve"> </w:t>
      </w:r>
    </w:p>
    <w:p w14:paraId="02A7C83E" w14:textId="5637B06C" w:rsidR="00922245" w:rsidRPr="007271B6" w:rsidRDefault="00922245" w:rsidP="00922245">
      <w:pPr>
        <w:spacing w:after="0" w:line="480" w:lineRule="auto"/>
        <w:ind w:left="720" w:hanging="720"/>
        <w:rPr>
          <w:rFonts w:ascii="Times New Roman" w:eastAsia="Times New Roman" w:hAnsi="Times New Roman" w:cs="Times New Roman"/>
          <w:kern w:val="0"/>
          <w:sz w:val="24"/>
          <w:szCs w:val="24"/>
          <w14:ligatures w14:val="none"/>
        </w:rPr>
      </w:pPr>
      <w:proofErr w:type="spellStart"/>
      <w:r w:rsidRPr="007271B6">
        <w:rPr>
          <w:rFonts w:ascii="Times New Roman" w:eastAsia="Times New Roman" w:hAnsi="Times New Roman" w:cs="Times New Roman"/>
          <w:kern w:val="0"/>
          <w:sz w:val="24"/>
          <w:szCs w:val="24"/>
          <w14:ligatures w14:val="none"/>
        </w:rPr>
        <w:t>Marchesan</w:t>
      </w:r>
      <w:proofErr w:type="spellEnd"/>
      <w:r w:rsidRPr="007271B6">
        <w:rPr>
          <w:rFonts w:ascii="Times New Roman" w:eastAsia="Times New Roman" w:hAnsi="Times New Roman" w:cs="Times New Roman"/>
          <w:kern w:val="0"/>
          <w:sz w:val="24"/>
          <w:szCs w:val="24"/>
          <w14:ligatures w14:val="none"/>
        </w:rPr>
        <w:t>, S. (2023) Blockchain and cryptocurrencies: industry analysis from an M&amp;A perspective. MA Thesis. Ca’ Foscari University of Venice.</w:t>
      </w:r>
      <w:r w:rsidR="00D148D6" w:rsidRPr="007271B6">
        <w:rPr>
          <w:rFonts w:ascii="Times New Roman" w:eastAsia="Times New Roman" w:hAnsi="Times New Roman" w:cs="Times New Roman"/>
          <w:kern w:val="0"/>
          <w:sz w:val="24"/>
          <w:szCs w:val="24"/>
          <w14:ligatures w14:val="none"/>
        </w:rPr>
        <w:t xml:space="preserve"> </w:t>
      </w:r>
      <w:hyperlink r:id="rId27" w:history="1">
        <w:r w:rsidR="00D148D6" w:rsidRPr="007271B6">
          <w:rPr>
            <w:rStyle w:val="Hyperlink"/>
            <w:rFonts w:ascii="Times New Roman" w:eastAsia="Times New Roman" w:hAnsi="Times New Roman" w:cs="Times New Roman"/>
            <w:kern w:val="0"/>
            <w:sz w:val="24"/>
            <w:szCs w:val="24"/>
            <w14:ligatures w14:val="none"/>
          </w:rPr>
          <w:t>858038-1274102.pdf (unive.it)</w:t>
        </w:r>
      </w:hyperlink>
    </w:p>
    <w:p w14:paraId="10AC8DF4" w14:textId="57FCEC13" w:rsidR="00922245" w:rsidRPr="007271B6" w:rsidRDefault="00922245" w:rsidP="00922245">
      <w:pPr>
        <w:shd w:val="clear" w:color="auto" w:fill="FFFFFF"/>
        <w:spacing w:after="0" w:line="480" w:lineRule="auto"/>
        <w:ind w:left="720" w:right="75" w:hanging="720"/>
        <w:jc w:val="both"/>
        <w:rPr>
          <w:rFonts w:ascii="Times New Roman" w:hAnsi="Times New Roman" w:cs="Times New Roman"/>
          <w:kern w:val="0"/>
          <w:sz w:val="24"/>
          <w:szCs w:val="24"/>
          <w14:ligatures w14:val="none"/>
        </w:rPr>
      </w:pPr>
      <w:r w:rsidRPr="007271B6">
        <w:rPr>
          <w:rFonts w:ascii="Times New Roman" w:hAnsi="Times New Roman" w:cs="Times New Roman"/>
          <w:color w:val="222222"/>
          <w:kern w:val="0"/>
          <w:sz w:val="24"/>
          <w:szCs w:val="24"/>
          <w:shd w:val="clear" w:color="auto" w:fill="FFFFFF"/>
          <w14:ligatures w14:val="none"/>
        </w:rPr>
        <w:lastRenderedPageBreak/>
        <w:t>Pierce, F., (2022). Dynamic Corporate Purpose: Decentralizing the Choice over Director Orientation. </w:t>
      </w:r>
      <w:r w:rsidRPr="007271B6">
        <w:rPr>
          <w:rFonts w:ascii="Times New Roman" w:hAnsi="Times New Roman" w:cs="Times New Roman"/>
          <w:i/>
          <w:iCs/>
          <w:color w:val="222222"/>
          <w:kern w:val="0"/>
          <w:sz w:val="24"/>
          <w:szCs w:val="24"/>
          <w:shd w:val="clear" w:color="auto" w:fill="FFFFFF"/>
          <w14:ligatures w14:val="none"/>
        </w:rPr>
        <w:t>Vand. L. Rev.</w:t>
      </w:r>
      <w:r w:rsidRPr="007271B6">
        <w:rPr>
          <w:rFonts w:ascii="Times New Roman" w:hAnsi="Times New Roman" w:cs="Times New Roman"/>
          <w:color w:val="222222"/>
          <w:kern w:val="0"/>
          <w:sz w:val="24"/>
          <w:szCs w:val="24"/>
          <w:shd w:val="clear" w:color="auto" w:fill="FFFFFF"/>
          <w14:ligatures w14:val="none"/>
        </w:rPr>
        <w:t>, </w:t>
      </w:r>
      <w:r w:rsidRPr="007271B6">
        <w:rPr>
          <w:rFonts w:ascii="Times New Roman" w:hAnsi="Times New Roman" w:cs="Times New Roman"/>
          <w:i/>
          <w:iCs/>
          <w:color w:val="222222"/>
          <w:kern w:val="0"/>
          <w:sz w:val="24"/>
          <w:szCs w:val="24"/>
          <w:shd w:val="clear" w:color="auto" w:fill="FFFFFF"/>
          <w14:ligatures w14:val="none"/>
        </w:rPr>
        <w:t>75</w:t>
      </w:r>
      <w:r w:rsidRPr="007271B6">
        <w:rPr>
          <w:rFonts w:ascii="Times New Roman" w:hAnsi="Times New Roman" w:cs="Times New Roman"/>
          <w:color w:val="222222"/>
          <w:kern w:val="0"/>
          <w:sz w:val="24"/>
          <w:szCs w:val="24"/>
          <w:shd w:val="clear" w:color="auto" w:fill="FFFFFF"/>
          <w14:ligatures w14:val="none"/>
        </w:rPr>
        <w:t xml:space="preserve">, p.325. </w:t>
      </w:r>
      <w:hyperlink r:id="rId28" w:history="1">
        <w:r w:rsidR="00D148D6" w:rsidRPr="007271B6">
          <w:rPr>
            <w:rStyle w:val="Hyperlink"/>
            <w:rFonts w:ascii="Times New Roman" w:hAnsi="Times New Roman" w:cs="Times New Roman"/>
            <w:kern w:val="0"/>
            <w:sz w:val="24"/>
            <w:szCs w:val="24"/>
            <w:shd w:val="clear" w:color="auto" w:fill="FFFFFF"/>
            <w14:ligatures w14:val="none"/>
          </w:rPr>
          <w:t>"Dynamic Corporate Purpose: Decentralizing the Choice over Director Ori" by Fields Pierce (vanderbilt.edu)</w:t>
        </w:r>
      </w:hyperlink>
    </w:p>
    <w:p w14:paraId="46CE8715" w14:textId="77777777" w:rsidR="00922245" w:rsidRPr="007271B6" w:rsidRDefault="00922245" w:rsidP="00922245">
      <w:pPr>
        <w:spacing w:after="0" w:line="480" w:lineRule="auto"/>
        <w:ind w:left="720" w:hanging="720"/>
        <w:rPr>
          <w:rFonts w:ascii="Times New Roman" w:eastAsia="Times New Roman" w:hAnsi="Times New Roman" w:cs="Times New Roman"/>
          <w:kern w:val="0"/>
          <w:sz w:val="24"/>
          <w:szCs w:val="24"/>
          <w14:ligatures w14:val="none"/>
        </w:rPr>
      </w:pPr>
      <w:r w:rsidRPr="007271B6">
        <w:rPr>
          <w:rFonts w:ascii="Times New Roman" w:eastAsia="Times New Roman" w:hAnsi="Times New Roman" w:cs="Times New Roman"/>
          <w:kern w:val="0"/>
          <w:sz w:val="24"/>
          <w:szCs w:val="24"/>
          <w14:ligatures w14:val="none"/>
        </w:rPr>
        <w:t xml:space="preserve">Pilkington, M. (2021) 'Blockchain Technology and the Decentralized Autonomous Organization - A Spinozian Interpretation,' </w:t>
      </w:r>
      <w:r w:rsidRPr="007271B6">
        <w:rPr>
          <w:rFonts w:ascii="Times New Roman" w:eastAsia="Times New Roman" w:hAnsi="Times New Roman" w:cs="Times New Roman"/>
          <w:i/>
          <w:iCs/>
          <w:kern w:val="0"/>
          <w:sz w:val="24"/>
          <w:szCs w:val="24"/>
          <w14:ligatures w14:val="none"/>
        </w:rPr>
        <w:t>Social Science Research Network</w:t>
      </w:r>
      <w:r w:rsidRPr="007271B6">
        <w:rPr>
          <w:rFonts w:ascii="Times New Roman" w:eastAsia="Times New Roman" w:hAnsi="Times New Roman" w:cs="Times New Roman"/>
          <w:kern w:val="0"/>
          <w:sz w:val="24"/>
          <w:szCs w:val="24"/>
          <w14:ligatures w14:val="none"/>
        </w:rPr>
        <w:t xml:space="preserve"> [Preprint]. </w:t>
      </w:r>
      <w:hyperlink r:id="rId29" w:history="1">
        <w:r w:rsidRPr="007271B6">
          <w:rPr>
            <w:rFonts w:ascii="Times New Roman" w:eastAsia="Times New Roman" w:hAnsi="Times New Roman" w:cs="Times New Roman"/>
            <w:color w:val="0563C1" w:themeColor="hyperlink"/>
            <w:kern w:val="0"/>
            <w:sz w:val="24"/>
            <w:szCs w:val="24"/>
            <w:u w:val="single"/>
            <w14:ligatures w14:val="none"/>
          </w:rPr>
          <w:t>https://doi.org/10.2139/ssrn.3963205</w:t>
        </w:r>
      </w:hyperlink>
      <w:r w:rsidRPr="007271B6">
        <w:rPr>
          <w:rFonts w:ascii="Times New Roman" w:eastAsia="Times New Roman" w:hAnsi="Times New Roman" w:cs="Times New Roman"/>
          <w:kern w:val="0"/>
          <w:sz w:val="24"/>
          <w:szCs w:val="24"/>
          <w14:ligatures w14:val="none"/>
        </w:rPr>
        <w:t xml:space="preserve"> </w:t>
      </w:r>
    </w:p>
    <w:p w14:paraId="4854C84E" w14:textId="02FAF613" w:rsidR="00922245" w:rsidRPr="007271B6" w:rsidRDefault="00922245" w:rsidP="00922245">
      <w:pPr>
        <w:shd w:val="clear" w:color="auto" w:fill="FFFFFF"/>
        <w:spacing w:after="0" w:line="480" w:lineRule="auto"/>
        <w:ind w:left="720" w:right="75" w:hanging="720"/>
        <w:contextualSpacing/>
        <w:rPr>
          <w:rFonts w:ascii="Times New Roman" w:eastAsia="Times New Roman" w:hAnsi="Times New Roman" w:cs="Times New Roman"/>
          <w:kern w:val="0"/>
          <w:sz w:val="24"/>
          <w:szCs w:val="24"/>
          <w14:ligatures w14:val="none"/>
        </w:rPr>
      </w:pPr>
      <w:r w:rsidRPr="007271B6">
        <w:rPr>
          <w:rFonts w:ascii="Times New Roman" w:eastAsia="Calibri" w:hAnsi="Times New Roman" w:cs="Times New Roman"/>
          <w:kern w:val="0"/>
          <w:sz w:val="24"/>
          <w:szCs w:val="24"/>
          <w:shd w:val="clear" w:color="auto" w:fill="FFFFFF"/>
          <w14:ligatures w14:val="none"/>
        </w:rPr>
        <w:t xml:space="preserve">Ramasubramanian, D.G., 2023. </w:t>
      </w:r>
      <w:r w:rsidRPr="007271B6">
        <w:rPr>
          <w:rFonts w:ascii="Times New Roman" w:eastAsia="Calibri" w:hAnsi="Times New Roman" w:cs="Times New Roman"/>
          <w:i/>
          <w:kern w:val="0"/>
          <w:sz w:val="24"/>
          <w:szCs w:val="24"/>
          <w:shd w:val="clear" w:color="auto" w:fill="FFFFFF"/>
          <w14:ligatures w14:val="none"/>
        </w:rPr>
        <w:t xml:space="preserve">Corporate governance failures due to </w:t>
      </w:r>
      <w:proofErr w:type="spellStart"/>
      <w:r w:rsidRPr="007271B6">
        <w:rPr>
          <w:rFonts w:ascii="Times New Roman" w:eastAsia="Calibri" w:hAnsi="Times New Roman" w:cs="Times New Roman"/>
          <w:i/>
          <w:kern w:val="0"/>
          <w:sz w:val="24"/>
          <w:szCs w:val="24"/>
          <w:shd w:val="clear" w:color="auto" w:fill="FFFFFF"/>
          <w14:ligatures w14:val="none"/>
        </w:rPr>
        <w:t>behavioral</w:t>
      </w:r>
      <w:proofErr w:type="spellEnd"/>
      <w:r w:rsidRPr="007271B6">
        <w:rPr>
          <w:rFonts w:ascii="Times New Roman" w:eastAsia="Calibri" w:hAnsi="Times New Roman" w:cs="Times New Roman"/>
          <w:i/>
          <w:kern w:val="0"/>
          <w:sz w:val="24"/>
          <w:szCs w:val="24"/>
          <w:shd w:val="clear" w:color="auto" w:fill="FFFFFF"/>
          <w14:ligatures w14:val="none"/>
        </w:rPr>
        <w:t xml:space="preserve"> factors</w:t>
      </w:r>
      <w:r w:rsidRPr="007271B6">
        <w:rPr>
          <w:rFonts w:ascii="Times New Roman" w:eastAsia="Calibri" w:hAnsi="Times New Roman" w:cs="Times New Roman"/>
          <w:kern w:val="0"/>
          <w:sz w:val="24"/>
          <w:szCs w:val="24"/>
          <w:shd w:val="clear" w:color="auto" w:fill="FFFFFF"/>
          <w14:ligatures w14:val="none"/>
        </w:rPr>
        <w:t>. </w:t>
      </w:r>
      <w:r w:rsidRPr="007271B6">
        <w:rPr>
          <w:rFonts w:ascii="Times New Roman" w:eastAsia="Calibri" w:hAnsi="Times New Roman" w:cs="Times New Roman"/>
          <w:iCs/>
          <w:kern w:val="0"/>
          <w:sz w:val="24"/>
          <w:szCs w:val="24"/>
          <w:shd w:val="clear" w:color="auto" w:fill="FFFFFF"/>
          <w14:ligatures w14:val="none"/>
        </w:rPr>
        <w:t>Available at SSRN 4360876</w:t>
      </w:r>
      <w:r w:rsidRPr="007271B6">
        <w:rPr>
          <w:rFonts w:ascii="Times New Roman" w:eastAsia="Calibri" w:hAnsi="Times New Roman" w:cs="Times New Roman"/>
          <w:kern w:val="0"/>
          <w:sz w:val="24"/>
          <w:szCs w:val="24"/>
          <w:shd w:val="clear" w:color="auto" w:fill="FFFFFF"/>
          <w14:ligatures w14:val="none"/>
        </w:rPr>
        <w:t>.</w:t>
      </w:r>
      <w:r w:rsidR="001151B8" w:rsidRPr="007271B6">
        <w:rPr>
          <w:rFonts w:ascii="Times New Roman" w:eastAsia="Calibri" w:hAnsi="Times New Roman" w:cs="Times New Roman"/>
          <w:kern w:val="0"/>
          <w:sz w:val="24"/>
          <w:szCs w:val="24"/>
          <w:shd w:val="clear" w:color="auto" w:fill="FFFFFF"/>
          <w14:ligatures w14:val="none"/>
        </w:rPr>
        <w:t xml:space="preserve"> </w:t>
      </w:r>
      <w:hyperlink r:id="rId30" w:history="1">
        <w:r w:rsidR="001151B8" w:rsidRPr="007271B6">
          <w:rPr>
            <w:rStyle w:val="Hyperlink"/>
            <w:rFonts w:ascii="Times New Roman" w:eastAsia="Calibri" w:hAnsi="Times New Roman" w:cs="Times New Roman"/>
            <w:kern w:val="0"/>
            <w:sz w:val="24"/>
            <w:szCs w:val="24"/>
            <w:shd w:val="clear" w:color="auto" w:fill="FFFFFF"/>
            <w14:ligatures w14:val="none"/>
          </w:rPr>
          <w:t xml:space="preserve">Corporate Governance Failures Due to </w:t>
        </w:r>
        <w:proofErr w:type="spellStart"/>
        <w:r w:rsidR="001151B8" w:rsidRPr="007271B6">
          <w:rPr>
            <w:rStyle w:val="Hyperlink"/>
            <w:rFonts w:ascii="Times New Roman" w:eastAsia="Calibri" w:hAnsi="Times New Roman" w:cs="Times New Roman"/>
            <w:kern w:val="0"/>
            <w:sz w:val="24"/>
            <w:szCs w:val="24"/>
            <w:shd w:val="clear" w:color="auto" w:fill="FFFFFF"/>
            <w14:ligatures w14:val="none"/>
          </w:rPr>
          <w:t>Behavioral</w:t>
        </w:r>
        <w:proofErr w:type="spellEnd"/>
        <w:r w:rsidR="001151B8" w:rsidRPr="007271B6">
          <w:rPr>
            <w:rStyle w:val="Hyperlink"/>
            <w:rFonts w:ascii="Times New Roman" w:eastAsia="Calibri" w:hAnsi="Times New Roman" w:cs="Times New Roman"/>
            <w:kern w:val="0"/>
            <w:sz w:val="24"/>
            <w:szCs w:val="24"/>
            <w:shd w:val="clear" w:color="auto" w:fill="FFFFFF"/>
            <w14:ligatures w14:val="none"/>
          </w:rPr>
          <w:t xml:space="preserve"> Factors by Dr Gopal </w:t>
        </w:r>
        <w:proofErr w:type="gramStart"/>
        <w:r w:rsidR="001151B8" w:rsidRPr="007271B6">
          <w:rPr>
            <w:rStyle w:val="Hyperlink"/>
            <w:rFonts w:ascii="Times New Roman" w:eastAsia="Calibri" w:hAnsi="Times New Roman" w:cs="Times New Roman"/>
            <w:kern w:val="0"/>
            <w:sz w:val="24"/>
            <w:szCs w:val="24"/>
            <w:shd w:val="clear" w:color="auto" w:fill="FFFFFF"/>
            <w14:ligatures w14:val="none"/>
          </w:rPr>
          <w:t>Ramasubramanian :</w:t>
        </w:r>
        <w:proofErr w:type="gramEnd"/>
        <w:r w:rsidR="001151B8" w:rsidRPr="007271B6">
          <w:rPr>
            <w:rStyle w:val="Hyperlink"/>
            <w:rFonts w:ascii="Times New Roman" w:eastAsia="Calibri" w:hAnsi="Times New Roman" w:cs="Times New Roman"/>
            <w:kern w:val="0"/>
            <w:sz w:val="24"/>
            <w:szCs w:val="24"/>
            <w:shd w:val="clear" w:color="auto" w:fill="FFFFFF"/>
            <w14:ligatures w14:val="none"/>
          </w:rPr>
          <w:t>: SSRN</w:t>
        </w:r>
      </w:hyperlink>
    </w:p>
    <w:p w14:paraId="77952A01" w14:textId="77777777" w:rsidR="00922245" w:rsidRPr="007271B6" w:rsidRDefault="00922245" w:rsidP="00922245">
      <w:pPr>
        <w:shd w:val="clear" w:color="auto" w:fill="FFFFFF"/>
        <w:spacing w:after="0" w:line="480" w:lineRule="auto"/>
        <w:ind w:left="720" w:right="75" w:hanging="720"/>
        <w:contextualSpacing/>
        <w:rPr>
          <w:rFonts w:ascii="Times New Roman" w:eastAsia="Times New Roman" w:hAnsi="Times New Roman" w:cs="Times New Roman"/>
          <w:kern w:val="0"/>
          <w:sz w:val="24"/>
          <w:szCs w:val="24"/>
          <w14:ligatures w14:val="none"/>
        </w:rPr>
      </w:pPr>
      <w:r w:rsidRPr="007271B6">
        <w:rPr>
          <w:rFonts w:ascii="Times New Roman" w:eastAsia="Calibri" w:hAnsi="Times New Roman" w:cs="Times New Roman"/>
          <w:kern w:val="0"/>
          <w:sz w:val="24"/>
          <w:szCs w:val="24"/>
          <w14:ligatures w14:val="none"/>
        </w:rPr>
        <w:t xml:space="preserve">Reynolds, S., 2023. </w:t>
      </w:r>
      <w:r w:rsidRPr="007271B6">
        <w:rPr>
          <w:rFonts w:ascii="Times New Roman" w:eastAsia="Calibri" w:hAnsi="Times New Roman" w:cs="Times New Roman"/>
          <w:i/>
          <w:kern w:val="0"/>
          <w:sz w:val="24"/>
          <w:szCs w:val="24"/>
          <w14:ligatures w14:val="none"/>
        </w:rPr>
        <w:t>Alameda was 'Business as usual' before collapse</w:t>
      </w:r>
      <w:r w:rsidRPr="007271B6">
        <w:rPr>
          <w:rFonts w:ascii="Times New Roman" w:eastAsia="Calibri" w:hAnsi="Times New Roman" w:cs="Times New Roman"/>
          <w:kern w:val="0"/>
          <w:sz w:val="24"/>
          <w:szCs w:val="24"/>
          <w14:ligatures w14:val="none"/>
        </w:rPr>
        <w:t xml:space="preserve">: Ex-Engineer. </w:t>
      </w:r>
      <w:hyperlink r:id="rId31" w:history="1">
        <w:r w:rsidRPr="007271B6">
          <w:rPr>
            <w:rFonts w:ascii="Times New Roman" w:eastAsia="Times New Roman" w:hAnsi="Times New Roman" w:cs="Times New Roman"/>
            <w:color w:val="0563C1" w:themeColor="hyperlink"/>
            <w:kern w:val="0"/>
            <w:sz w:val="24"/>
            <w:szCs w:val="24"/>
            <w:u w:val="single"/>
            <w14:ligatures w14:val="none"/>
          </w:rPr>
          <w:t>https://www.coindesk.com/business/2023/10/04/alameda-was-business-as-usual-before-collapse-ex-engineer/</w:t>
        </w:r>
      </w:hyperlink>
    </w:p>
    <w:p w14:paraId="60B37465" w14:textId="57431FB0" w:rsidR="00922245" w:rsidRPr="007271B6" w:rsidRDefault="00922245" w:rsidP="00922245">
      <w:pPr>
        <w:tabs>
          <w:tab w:val="left" w:pos="6310"/>
        </w:tabs>
        <w:spacing w:after="0" w:line="480" w:lineRule="auto"/>
        <w:ind w:left="720" w:hanging="720"/>
        <w:jc w:val="both"/>
        <w:rPr>
          <w:rFonts w:ascii="Times New Roman" w:hAnsi="Times New Roman" w:cs="Times New Roman"/>
          <w:kern w:val="0"/>
          <w:sz w:val="24"/>
          <w:szCs w:val="24"/>
          <w14:ligatures w14:val="none"/>
        </w:rPr>
      </w:pPr>
      <w:r w:rsidRPr="007271B6">
        <w:rPr>
          <w:rFonts w:ascii="Times New Roman" w:hAnsi="Times New Roman" w:cs="Times New Roman"/>
          <w:color w:val="222222"/>
          <w:kern w:val="0"/>
          <w:sz w:val="24"/>
          <w:szCs w:val="24"/>
          <w:shd w:val="clear" w:color="auto" w:fill="FFFFFF"/>
          <w14:ligatures w14:val="none"/>
        </w:rPr>
        <w:t xml:space="preserve">Rogge, M., (2021). Bringing corporate governance down to earth: from culmination outcomes to comprehensive outcomes in shareholder and stakeholder capitalism. </w:t>
      </w:r>
      <w:r w:rsidRPr="007271B6">
        <w:rPr>
          <w:rFonts w:ascii="Times New Roman" w:hAnsi="Times New Roman" w:cs="Times New Roman"/>
          <w:i/>
          <w:iCs/>
          <w:color w:val="222222"/>
          <w:kern w:val="0"/>
          <w:sz w:val="24"/>
          <w:szCs w:val="24"/>
          <w:shd w:val="clear" w:color="auto" w:fill="FFFFFF"/>
          <w14:ligatures w14:val="none"/>
        </w:rPr>
        <w:t xml:space="preserve">Notre Dame JL Ethics &amp; Pub. </w:t>
      </w:r>
      <w:proofErr w:type="spellStart"/>
      <w:r w:rsidRPr="007271B6">
        <w:rPr>
          <w:rFonts w:ascii="Times New Roman" w:hAnsi="Times New Roman" w:cs="Times New Roman"/>
          <w:i/>
          <w:iCs/>
          <w:color w:val="222222"/>
          <w:kern w:val="0"/>
          <w:sz w:val="24"/>
          <w:szCs w:val="24"/>
          <w:shd w:val="clear" w:color="auto" w:fill="FFFFFF"/>
          <w14:ligatures w14:val="none"/>
        </w:rPr>
        <w:t>Pol'y</w:t>
      </w:r>
      <w:proofErr w:type="spellEnd"/>
      <w:r w:rsidRPr="007271B6">
        <w:rPr>
          <w:rFonts w:ascii="Times New Roman" w:hAnsi="Times New Roman" w:cs="Times New Roman"/>
          <w:color w:val="222222"/>
          <w:kern w:val="0"/>
          <w:sz w:val="24"/>
          <w:szCs w:val="24"/>
          <w:shd w:val="clear" w:color="auto" w:fill="FFFFFF"/>
          <w14:ligatures w14:val="none"/>
        </w:rPr>
        <w:t>, </w:t>
      </w:r>
      <w:r w:rsidRPr="007271B6">
        <w:rPr>
          <w:rFonts w:ascii="Times New Roman" w:hAnsi="Times New Roman" w:cs="Times New Roman"/>
          <w:i/>
          <w:iCs/>
          <w:color w:val="222222"/>
          <w:kern w:val="0"/>
          <w:sz w:val="24"/>
          <w:szCs w:val="24"/>
          <w:shd w:val="clear" w:color="auto" w:fill="FFFFFF"/>
          <w14:ligatures w14:val="none"/>
        </w:rPr>
        <w:t>35</w:t>
      </w:r>
      <w:r w:rsidRPr="007271B6">
        <w:rPr>
          <w:rFonts w:ascii="Times New Roman" w:hAnsi="Times New Roman" w:cs="Times New Roman"/>
          <w:color w:val="222222"/>
          <w:kern w:val="0"/>
          <w:sz w:val="24"/>
          <w:szCs w:val="24"/>
          <w:shd w:val="clear" w:color="auto" w:fill="FFFFFF"/>
          <w14:ligatures w14:val="none"/>
        </w:rPr>
        <w:t xml:space="preserve">, p.241. </w:t>
      </w:r>
      <w:hyperlink r:id="rId32" w:history="1">
        <w:r w:rsidR="001151B8" w:rsidRPr="007271B6">
          <w:rPr>
            <w:rStyle w:val="Hyperlink"/>
            <w:rFonts w:ascii="Times New Roman" w:hAnsi="Times New Roman" w:cs="Times New Roman"/>
            <w:kern w:val="0"/>
            <w:sz w:val="24"/>
            <w:szCs w:val="24"/>
            <w:shd w:val="clear" w:color="auto" w:fill="FFFFFF"/>
            <w14:ligatures w14:val="none"/>
          </w:rPr>
          <w:t xml:space="preserve">Bringing Corporate Governance Down to Earth: From Culmination Outcomes to Comprehensive Outcomes in Shareholder and Stakeholder Capitalism by Malcolm </w:t>
        </w:r>
        <w:proofErr w:type="gramStart"/>
        <w:r w:rsidR="001151B8" w:rsidRPr="007271B6">
          <w:rPr>
            <w:rStyle w:val="Hyperlink"/>
            <w:rFonts w:ascii="Times New Roman" w:hAnsi="Times New Roman" w:cs="Times New Roman"/>
            <w:kern w:val="0"/>
            <w:sz w:val="24"/>
            <w:szCs w:val="24"/>
            <w:shd w:val="clear" w:color="auto" w:fill="FFFFFF"/>
            <w14:ligatures w14:val="none"/>
          </w:rPr>
          <w:t>Rogge :</w:t>
        </w:r>
        <w:proofErr w:type="gramEnd"/>
        <w:r w:rsidR="001151B8" w:rsidRPr="007271B6">
          <w:rPr>
            <w:rStyle w:val="Hyperlink"/>
            <w:rFonts w:ascii="Times New Roman" w:hAnsi="Times New Roman" w:cs="Times New Roman"/>
            <w:kern w:val="0"/>
            <w:sz w:val="24"/>
            <w:szCs w:val="24"/>
            <w:shd w:val="clear" w:color="auto" w:fill="FFFFFF"/>
            <w14:ligatures w14:val="none"/>
          </w:rPr>
          <w:t>: SSRN</w:t>
        </w:r>
      </w:hyperlink>
    </w:p>
    <w:p w14:paraId="5F853F2D" w14:textId="77777777" w:rsidR="00922245" w:rsidRPr="007271B6" w:rsidRDefault="00922245" w:rsidP="00922245">
      <w:pPr>
        <w:spacing w:after="0" w:line="480" w:lineRule="auto"/>
        <w:ind w:left="720" w:hanging="720"/>
        <w:rPr>
          <w:rFonts w:ascii="Times New Roman" w:eastAsia="Times New Roman" w:hAnsi="Times New Roman" w:cs="Times New Roman"/>
          <w:kern w:val="0"/>
          <w:sz w:val="24"/>
          <w:szCs w:val="24"/>
          <w14:ligatures w14:val="none"/>
        </w:rPr>
      </w:pPr>
      <w:r w:rsidRPr="007271B6">
        <w:rPr>
          <w:rFonts w:ascii="Times New Roman" w:eastAsia="Times New Roman" w:hAnsi="Times New Roman" w:cs="Times New Roman"/>
          <w:kern w:val="0"/>
          <w:sz w:val="24"/>
          <w:szCs w:val="24"/>
          <w14:ligatures w14:val="none"/>
        </w:rPr>
        <w:t xml:space="preserve">Roundy, P.T. and Bayer, M. (2019) 'To bridge or buffer? A resource dependence theory of nascent entrepreneurial ecosystems,' </w:t>
      </w:r>
      <w:r w:rsidRPr="007271B6">
        <w:rPr>
          <w:rFonts w:ascii="Times New Roman" w:eastAsia="Times New Roman" w:hAnsi="Times New Roman" w:cs="Times New Roman"/>
          <w:i/>
          <w:iCs/>
          <w:kern w:val="0"/>
          <w:sz w:val="24"/>
          <w:szCs w:val="24"/>
          <w14:ligatures w14:val="none"/>
        </w:rPr>
        <w:t>Journal of Entrepreneurship in Emerging Economies</w:t>
      </w:r>
      <w:r w:rsidRPr="007271B6">
        <w:rPr>
          <w:rFonts w:ascii="Times New Roman" w:eastAsia="Times New Roman" w:hAnsi="Times New Roman" w:cs="Times New Roman"/>
          <w:kern w:val="0"/>
          <w:sz w:val="24"/>
          <w:szCs w:val="24"/>
          <w14:ligatures w14:val="none"/>
        </w:rPr>
        <w:t xml:space="preserve">, 11(4), pp. 550–575. </w:t>
      </w:r>
      <w:hyperlink r:id="rId33" w:history="1">
        <w:r w:rsidRPr="007271B6">
          <w:rPr>
            <w:rFonts w:ascii="Times New Roman" w:eastAsia="Times New Roman" w:hAnsi="Times New Roman" w:cs="Times New Roman"/>
            <w:color w:val="0563C1" w:themeColor="hyperlink"/>
            <w:kern w:val="0"/>
            <w:sz w:val="24"/>
            <w:szCs w:val="24"/>
            <w:u w:val="single"/>
            <w14:ligatures w14:val="none"/>
          </w:rPr>
          <w:t>https://doi.org/10.1108/jeee-06-2018-0064</w:t>
        </w:r>
      </w:hyperlink>
      <w:r w:rsidRPr="007271B6">
        <w:rPr>
          <w:rFonts w:ascii="Times New Roman" w:eastAsia="Times New Roman" w:hAnsi="Times New Roman" w:cs="Times New Roman"/>
          <w:kern w:val="0"/>
          <w:sz w:val="24"/>
          <w:szCs w:val="24"/>
          <w14:ligatures w14:val="none"/>
        </w:rPr>
        <w:t xml:space="preserve"> </w:t>
      </w:r>
    </w:p>
    <w:p w14:paraId="7D1B2825" w14:textId="77777777" w:rsidR="00052857" w:rsidRDefault="00052857" w:rsidP="00922245">
      <w:pPr>
        <w:spacing w:after="200" w:line="480" w:lineRule="auto"/>
        <w:ind w:left="720" w:hanging="720"/>
        <w:rPr>
          <w:rFonts w:ascii="Times New Roman" w:hAnsi="Times New Roman" w:cs="Times New Roman"/>
          <w:kern w:val="0"/>
          <w:sz w:val="24"/>
          <w:szCs w:val="24"/>
        </w:rPr>
      </w:pPr>
    </w:p>
    <w:p w14:paraId="216C0CBD" w14:textId="4E786DDA" w:rsidR="00922245" w:rsidRPr="007271B6" w:rsidRDefault="00922245" w:rsidP="00922245">
      <w:pPr>
        <w:spacing w:after="200" w:line="480" w:lineRule="auto"/>
        <w:ind w:left="720" w:hanging="720"/>
        <w:rPr>
          <w:rFonts w:ascii="Times New Roman" w:hAnsi="Times New Roman" w:cs="Times New Roman"/>
          <w:kern w:val="0"/>
          <w:sz w:val="24"/>
          <w:szCs w:val="24"/>
        </w:rPr>
      </w:pPr>
      <w:r w:rsidRPr="007271B6">
        <w:rPr>
          <w:rFonts w:ascii="Times New Roman" w:hAnsi="Times New Roman" w:cs="Times New Roman"/>
          <w:kern w:val="0"/>
          <w:sz w:val="24"/>
          <w:szCs w:val="24"/>
        </w:rPr>
        <w:t>Roy, D., Anand, P. and Chandra, S., 2022. FTX Collapse: The Chronicle and the Implications. </w:t>
      </w:r>
      <w:proofErr w:type="spellStart"/>
      <w:r w:rsidRPr="007271B6">
        <w:rPr>
          <w:rFonts w:ascii="Times New Roman" w:hAnsi="Times New Roman" w:cs="Times New Roman"/>
          <w:i/>
          <w:iCs/>
          <w:kern w:val="0"/>
          <w:sz w:val="24"/>
          <w:szCs w:val="24"/>
        </w:rPr>
        <w:t>Vinimaya</w:t>
      </w:r>
      <w:proofErr w:type="spellEnd"/>
      <w:r w:rsidRPr="007271B6">
        <w:rPr>
          <w:rFonts w:ascii="Times New Roman" w:hAnsi="Times New Roman" w:cs="Times New Roman"/>
          <w:kern w:val="0"/>
          <w:sz w:val="24"/>
          <w:szCs w:val="24"/>
        </w:rPr>
        <w:t>, </w:t>
      </w:r>
      <w:r w:rsidRPr="007271B6">
        <w:rPr>
          <w:rFonts w:ascii="Times New Roman" w:hAnsi="Times New Roman" w:cs="Times New Roman"/>
          <w:i/>
          <w:iCs/>
          <w:kern w:val="0"/>
          <w:sz w:val="24"/>
          <w:szCs w:val="24"/>
        </w:rPr>
        <w:t>43</w:t>
      </w:r>
      <w:r w:rsidRPr="007271B6">
        <w:rPr>
          <w:rFonts w:ascii="Times New Roman" w:hAnsi="Times New Roman" w:cs="Times New Roman"/>
          <w:kern w:val="0"/>
          <w:sz w:val="24"/>
          <w:szCs w:val="24"/>
        </w:rPr>
        <w:t xml:space="preserve">(4), pp.45-51. Available at: </w:t>
      </w:r>
      <w:hyperlink r:id="rId34" w:history="1">
        <w:r w:rsidRPr="007271B6">
          <w:rPr>
            <w:rStyle w:val="Hyperlink"/>
            <w:rFonts w:ascii="Times New Roman" w:hAnsi="Times New Roman" w:cs="Times New Roman"/>
            <w:kern w:val="0"/>
            <w:sz w:val="24"/>
            <w:szCs w:val="24"/>
          </w:rPr>
          <w:t>https://search.proquest.com/openview/425834d5c75a9afff19581f31aff5915/1?pq-origsite=gscholar&amp;cbl=2044398</w:t>
        </w:r>
      </w:hyperlink>
    </w:p>
    <w:p w14:paraId="35011140" w14:textId="501498BD" w:rsidR="00367085" w:rsidRPr="007271B6" w:rsidRDefault="000D44E1" w:rsidP="00922245">
      <w:pPr>
        <w:shd w:val="clear" w:color="auto" w:fill="FFFFFF"/>
        <w:spacing w:after="0" w:line="480" w:lineRule="auto"/>
        <w:ind w:left="720" w:right="75" w:hanging="720"/>
        <w:contextualSpacing/>
        <w:rPr>
          <w:rFonts w:ascii="Times New Roman" w:eastAsia="Calibri" w:hAnsi="Times New Roman" w:cs="Times New Roman"/>
          <w:kern w:val="0"/>
          <w:sz w:val="24"/>
          <w:szCs w:val="24"/>
          <w14:ligatures w14:val="none"/>
        </w:rPr>
      </w:pPr>
      <w:r w:rsidRPr="007271B6">
        <w:rPr>
          <w:rFonts w:ascii="Times New Roman" w:eastAsia="Times New Roman" w:hAnsi="Times New Roman" w:cs="Times New Roman"/>
          <w:kern w:val="0"/>
          <w:sz w:val="24"/>
          <w:szCs w:val="24"/>
          <w14:ligatures w14:val="none"/>
        </w:rPr>
        <w:lastRenderedPageBreak/>
        <w:t>Saltz, J. S., &amp; Dewar, N., 2019. Data science ethical considerations: A systematic literature review and proposed project framework. </w:t>
      </w:r>
      <w:r w:rsidRPr="007271B6">
        <w:rPr>
          <w:rFonts w:ascii="Times New Roman" w:eastAsia="Times New Roman" w:hAnsi="Times New Roman" w:cs="Times New Roman"/>
          <w:i/>
          <w:iCs/>
          <w:kern w:val="0"/>
          <w:sz w:val="24"/>
          <w:szCs w:val="24"/>
          <w14:ligatures w14:val="none"/>
        </w:rPr>
        <w:t>Ethics and Information Technology</w:t>
      </w:r>
      <w:r w:rsidRPr="007271B6">
        <w:rPr>
          <w:rFonts w:ascii="Times New Roman" w:eastAsia="Times New Roman" w:hAnsi="Times New Roman" w:cs="Times New Roman"/>
          <w:kern w:val="0"/>
          <w:sz w:val="24"/>
          <w:szCs w:val="24"/>
          <w14:ligatures w14:val="none"/>
        </w:rPr>
        <w:t>, </w:t>
      </w:r>
      <w:r w:rsidRPr="007271B6">
        <w:rPr>
          <w:rFonts w:ascii="Times New Roman" w:eastAsia="Times New Roman" w:hAnsi="Times New Roman" w:cs="Times New Roman"/>
          <w:i/>
          <w:iCs/>
          <w:kern w:val="0"/>
          <w:sz w:val="24"/>
          <w:szCs w:val="24"/>
          <w14:ligatures w14:val="none"/>
        </w:rPr>
        <w:t>21</w:t>
      </w:r>
      <w:r w:rsidRPr="007271B6">
        <w:rPr>
          <w:rFonts w:ascii="Times New Roman" w:eastAsia="Times New Roman" w:hAnsi="Times New Roman" w:cs="Times New Roman"/>
          <w:kern w:val="0"/>
          <w:sz w:val="24"/>
          <w:szCs w:val="24"/>
          <w14:ligatures w14:val="none"/>
        </w:rPr>
        <w:t>(3), 197-208. </w:t>
      </w:r>
      <w:hyperlink r:id="rId35" w:history="1">
        <w:r w:rsidRPr="007271B6">
          <w:rPr>
            <w:rFonts w:ascii="Times New Roman" w:eastAsia="Times New Roman" w:hAnsi="Times New Roman" w:cs="Times New Roman"/>
            <w:color w:val="0563C1" w:themeColor="hyperlink"/>
            <w:kern w:val="0"/>
            <w:sz w:val="24"/>
            <w:szCs w:val="24"/>
            <w:u w:val="single"/>
            <w14:ligatures w14:val="none"/>
          </w:rPr>
          <w:t>https://doi.org/10.1007/s10676-019-09502-5</w:t>
        </w:r>
      </w:hyperlink>
    </w:p>
    <w:p w14:paraId="0A4E17D1" w14:textId="77777777" w:rsidR="00F808B3" w:rsidRPr="007271B6" w:rsidRDefault="00F808B3" w:rsidP="00F808B3">
      <w:pPr>
        <w:spacing w:after="0" w:line="480" w:lineRule="auto"/>
        <w:ind w:left="720" w:hanging="720"/>
        <w:rPr>
          <w:rFonts w:ascii="Times New Roman" w:eastAsia="Times New Roman" w:hAnsi="Times New Roman" w:cs="Times New Roman"/>
          <w:kern w:val="0"/>
          <w:sz w:val="24"/>
          <w:szCs w:val="24"/>
          <w14:ligatures w14:val="none"/>
        </w:rPr>
      </w:pPr>
      <w:proofErr w:type="spellStart"/>
      <w:r w:rsidRPr="007271B6">
        <w:rPr>
          <w:rFonts w:ascii="Times New Roman" w:eastAsia="Times New Roman" w:hAnsi="Times New Roman" w:cs="Times New Roman"/>
          <w:kern w:val="0"/>
          <w:sz w:val="24"/>
          <w:szCs w:val="24"/>
          <w14:ligatures w14:val="none"/>
        </w:rPr>
        <w:t>Sensoy</w:t>
      </w:r>
      <w:proofErr w:type="spellEnd"/>
      <w:r w:rsidRPr="007271B6">
        <w:rPr>
          <w:rFonts w:ascii="Times New Roman" w:eastAsia="Times New Roman" w:hAnsi="Times New Roman" w:cs="Times New Roman"/>
          <w:kern w:val="0"/>
          <w:sz w:val="24"/>
          <w:szCs w:val="24"/>
          <w14:ligatures w14:val="none"/>
        </w:rPr>
        <w:t xml:space="preserve">, A. </w:t>
      </w:r>
      <w:r w:rsidRPr="007271B6">
        <w:rPr>
          <w:rFonts w:ascii="Times New Roman" w:eastAsia="Times New Roman" w:hAnsi="Times New Roman" w:cs="Times New Roman"/>
          <w:i/>
          <w:iCs/>
          <w:kern w:val="0"/>
          <w:sz w:val="24"/>
          <w:szCs w:val="24"/>
          <w14:ligatures w14:val="none"/>
        </w:rPr>
        <w:t>et al.</w:t>
      </w:r>
      <w:r w:rsidRPr="007271B6">
        <w:rPr>
          <w:rFonts w:ascii="Times New Roman" w:eastAsia="Times New Roman" w:hAnsi="Times New Roman" w:cs="Times New Roman"/>
          <w:kern w:val="0"/>
          <w:sz w:val="24"/>
          <w:szCs w:val="24"/>
          <w14:ligatures w14:val="none"/>
        </w:rPr>
        <w:t xml:space="preserve"> (2021) 'High-frequency return and volatility spillovers among cryptocurrencies,' </w:t>
      </w:r>
      <w:r w:rsidRPr="007271B6">
        <w:rPr>
          <w:rFonts w:ascii="Times New Roman" w:eastAsia="Times New Roman" w:hAnsi="Times New Roman" w:cs="Times New Roman"/>
          <w:i/>
          <w:iCs/>
          <w:kern w:val="0"/>
          <w:sz w:val="24"/>
          <w:szCs w:val="24"/>
          <w14:ligatures w14:val="none"/>
        </w:rPr>
        <w:t>Applied Economics</w:t>
      </w:r>
      <w:r w:rsidRPr="007271B6">
        <w:rPr>
          <w:rFonts w:ascii="Times New Roman" w:eastAsia="Times New Roman" w:hAnsi="Times New Roman" w:cs="Times New Roman"/>
          <w:kern w:val="0"/>
          <w:sz w:val="24"/>
          <w:szCs w:val="24"/>
          <w14:ligatures w14:val="none"/>
        </w:rPr>
        <w:t xml:space="preserve">, 53(37), pp. 4310–4328. </w:t>
      </w:r>
      <w:hyperlink r:id="rId36" w:history="1">
        <w:r w:rsidRPr="007271B6">
          <w:rPr>
            <w:rFonts w:ascii="Times New Roman" w:eastAsia="Times New Roman" w:hAnsi="Times New Roman" w:cs="Times New Roman"/>
            <w:color w:val="0563C1" w:themeColor="hyperlink"/>
            <w:kern w:val="0"/>
            <w:sz w:val="24"/>
            <w:szCs w:val="24"/>
            <w:u w:val="single"/>
            <w14:ligatures w14:val="none"/>
          </w:rPr>
          <w:t>https://doi.org/10.1080/00036846.2021.1899119</w:t>
        </w:r>
      </w:hyperlink>
      <w:r w:rsidRPr="007271B6">
        <w:rPr>
          <w:rFonts w:ascii="Times New Roman" w:eastAsia="Times New Roman" w:hAnsi="Times New Roman" w:cs="Times New Roman"/>
          <w:kern w:val="0"/>
          <w:sz w:val="24"/>
          <w:szCs w:val="24"/>
          <w14:ligatures w14:val="none"/>
        </w:rPr>
        <w:t xml:space="preserve"> </w:t>
      </w:r>
    </w:p>
    <w:p w14:paraId="70F46498" w14:textId="77777777" w:rsidR="00F808B3" w:rsidRPr="007271B6" w:rsidRDefault="00F808B3" w:rsidP="00F808B3">
      <w:pPr>
        <w:spacing w:after="0" w:line="480" w:lineRule="auto"/>
        <w:ind w:left="720" w:hanging="720"/>
        <w:rPr>
          <w:rFonts w:ascii="Times New Roman" w:eastAsia="Times New Roman" w:hAnsi="Times New Roman" w:cs="Times New Roman"/>
          <w:kern w:val="0"/>
          <w:sz w:val="24"/>
          <w:szCs w:val="24"/>
          <w14:ligatures w14:val="none"/>
        </w:rPr>
      </w:pPr>
      <w:r w:rsidRPr="007271B6">
        <w:rPr>
          <w:rFonts w:ascii="Times New Roman" w:eastAsia="Times New Roman" w:hAnsi="Times New Roman" w:cs="Times New Roman"/>
          <w:kern w:val="0"/>
          <w:sz w:val="24"/>
          <w:szCs w:val="24"/>
          <w14:ligatures w14:val="none"/>
        </w:rPr>
        <w:t xml:space="preserve">Sent, E.-M. and Kroese, A.L.J. (2021) 'Commemorating Oliver Williamson, a founding father of transaction cost economics,' </w:t>
      </w:r>
      <w:r w:rsidRPr="007271B6">
        <w:rPr>
          <w:rFonts w:ascii="Times New Roman" w:eastAsia="Times New Roman" w:hAnsi="Times New Roman" w:cs="Times New Roman"/>
          <w:i/>
          <w:iCs/>
          <w:kern w:val="0"/>
          <w:sz w:val="24"/>
          <w:szCs w:val="24"/>
          <w14:ligatures w14:val="none"/>
        </w:rPr>
        <w:t>Journal of Institutional Economics</w:t>
      </w:r>
      <w:r w:rsidRPr="007271B6">
        <w:rPr>
          <w:rFonts w:ascii="Times New Roman" w:eastAsia="Times New Roman" w:hAnsi="Times New Roman" w:cs="Times New Roman"/>
          <w:kern w:val="0"/>
          <w:sz w:val="24"/>
          <w:szCs w:val="24"/>
          <w14:ligatures w14:val="none"/>
        </w:rPr>
        <w:t xml:space="preserve">, 18(2), pp. 181–193. </w:t>
      </w:r>
      <w:hyperlink r:id="rId37" w:history="1">
        <w:r w:rsidRPr="007271B6">
          <w:rPr>
            <w:rFonts w:ascii="Times New Roman" w:eastAsia="Times New Roman" w:hAnsi="Times New Roman" w:cs="Times New Roman"/>
            <w:color w:val="0563C1" w:themeColor="hyperlink"/>
            <w:kern w:val="0"/>
            <w:sz w:val="24"/>
            <w:szCs w:val="24"/>
            <w:u w:val="single"/>
            <w14:ligatures w14:val="none"/>
          </w:rPr>
          <w:t>https://doi.org/10.1017/s1744137421000606</w:t>
        </w:r>
      </w:hyperlink>
      <w:r w:rsidRPr="007271B6">
        <w:rPr>
          <w:rFonts w:ascii="Times New Roman" w:eastAsia="Times New Roman" w:hAnsi="Times New Roman" w:cs="Times New Roman"/>
          <w:kern w:val="0"/>
          <w:sz w:val="24"/>
          <w:szCs w:val="24"/>
          <w14:ligatures w14:val="none"/>
        </w:rPr>
        <w:t xml:space="preserve"> </w:t>
      </w:r>
    </w:p>
    <w:p w14:paraId="6AC419D8" w14:textId="77777777" w:rsidR="00F808B3" w:rsidRPr="007271B6" w:rsidRDefault="00F808B3" w:rsidP="00F808B3">
      <w:pPr>
        <w:spacing w:after="0" w:line="480" w:lineRule="auto"/>
        <w:ind w:left="720" w:hanging="720"/>
        <w:rPr>
          <w:rFonts w:ascii="Times New Roman" w:eastAsia="Times New Roman" w:hAnsi="Times New Roman" w:cs="Times New Roman"/>
          <w:kern w:val="0"/>
          <w:sz w:val="24"/>
          <w:szCs w:val="24"/>
          <w14:ligatures w14:val="none"/>
        </w:rPr>
      </w:pPr>
      <w:r w:rsidRPr="007271B6">
        <w:rPr>
          <w:rFonts w:ascii="Times New Roman" w:eastAsia="Times New Roman" w:hAnsi="Times New Roman" w:cs="Times New Roman"/>
          <w:kern w:val="0"/>
          <w:sz w:val="24"/>
          <w:szCs w:val="24"/>
          <w14:ligatures w14:val="none"/>
        </w:rPr>
        <w:t xml:space="preserve">Stakeholder Theory (2018) </w:t>
      </w:r>
      <w:r w:rsidRPr="007271B6">
        <w:rPr>
          <w:rFonts w:ascii="Times New Roman" w:eastAsia="Times New Roman" w:hAnsi="Times New Roman" w:cs="Times New Roman"/>
          <w:i/>
          <w:iCs/>
          <w:kern w:val="0"/>
          <w:sz w:val="24"/>
          <w:szCs w:val="24"/>
          <w14:ligatures w14:val="none"/>
        </w:rPr>
        <w:t>About Stakeholder Theory</w:t>
      </w:r>
      <w:r w:rsidRPr="007271B6">
        <w:rPr>
          <w:rFonts w:ascii="Times New Roman" w:eastAsia="Times New Roman" w:hAnsi="Times New Roman" w:cs="Times New Roman"/>
          <w:kern w:val="0"/>
          <w:sz w:val="24"/>
          <w:szCs w:val="24"/>
          <w14:ligatures w14:val="none"/>
        </w:rPr>
        <w:t xml:space="preserve">. </w:t>
      </w:r>
      <w:hyperlink r:id="rId38" w:history="1">
        <w:r w:rsidRPr="007271B6">
          <w:rPr>
            <w:rFonts w:ascii="Times New Roman" w:eastAsia="Times New Roman" w:hAnsi="Times New Roman" w:cs="Times New Roman"/>
            <w:color w:val="0563C1" w:themeColor="hyperlink"/>
            <w:kern w:val="0"/>
            <w:sz w:val="24"/>
            <w:szCs w:val="24"/>
            <w:u w:val="single"/>
            <w14:ligatures w14:val="none"/>
          </w:rPr>
          <w:t>http://stakeholdertheory.org/about/</w:t>
        </w:r>
      </w:hyperlink>
      <w:r w:rsidRPr="007271B6">
        <w:rPr>
          <w:rFonts w:ascii="Times New Roman" w:eastAsia="Times New Roman" w:hAnsi="Times New Roman" w:cs="Times New Roman"/>
          <w:kern w:val="0"/>
          <w:sz w:val="24"/>
          <w:szCs w:val="24"/>
          <w14:ligatures w14:val="none"/>
        </w:rPr>
        <w:t xml:space="preserve"> </w:t>
      </w:r>
    </w:p>
    <w:p w14:paraId="002072C7" w14:textId="77777777" w:rsidR="00F808B3" w:rsidRPr="007271B6" w:rsidRDefault="00F808B3" w:rsidP="00F808B3">
      <w:pPr>
        <w:spacing w:after="0" w:line="480" w:lineRule="auto"/>
        <w:ind w:left="720" w:hanging="720"/>
        <w:rPr>
          <w:rFonts w:ascii="Times New Roman" w:eastAsia="Times New Roman" w:hAnsi="Times New Roman" w:cs="Times New Roman"/>
          <w:kern w:val="0"/>
          <w:sz w:val="24"/>
          <w:szCs w:val="24"/>
          <w14:ligatures w14:val="none"/>
        </w:rPr>
      </w:pPr>
      <w:r w:rsidRPr="007271B6">
        <w:rPr>
          <w:rFonts w:ascii="Times New Roman" w:eastAsia="Times New Roman" w:hAnsi="Times New Roman" w:cs="Times New Roman"/>
          <w:kern w:val="0"/>
          <w:sz w:val="24"/>
          <w:szCs w:val="24"/>
          <w14:ligatures w14:val="none"/>
        </w:rPr>
        <w:t xml:space="preserve">Tekin, </w:t>
      </w:r>
      <w:proofErr w:type="gramStart"/>
      <w:r w:rsidRPr="007271B6">
        <w:rPr>
          <w:rFonts w:ascii="Times New Roman" w:eastAsia="Times New Roman" w:hAnsi="Times New Roman" w:cs="Times New Roman"/>
          <w:kern w:val="0"/>
          <w:sz w:val="24"/>
          <w:szCs w:val="24"/>
          <w14:ligatures w14:val="none"/>
        </w:rPr>
        <w:t>H.</w:t>
      </w:r>
      <w:proofErr w:type="gramEnd"/>
      <w:r w:rsidRPr="007271B6">
        <w:rPr>
          <w:rFonts w:ascii="Times New Roman" w:eastAsia="Times New Roman" w:hAnsi="Times New Roman" w:cs="Times New Roman"/>
          <w:kern w:val="0"/>
          <w:sz w:val="24"/>
          <w:szCs w:val="24"/>
          <w14:ligatures w14:val="none"/>
        </w:rPr>
        <w:t xml:space="preserve"> and Polat, A.Y. (2020) Agency theory: A review in finance. </w:t>
      </w:r>
      <w:r w:rsidRPr="007271B6">
        <w:rPr>
          <w:rFonts w:ascii="Times New Roman" w:eastAsia="Times New Roman" w:hAnsi="Times New Roman" w:cs="Times New Roman"/>
          <w:i/>
          <w:iCs/>
          <w:kern w:val="0"/>
          <w:sz w:val="24"/>
          <w:szCs w:val="24"/>
          <w14:ligatures w14:val="none"/>
        </w:rPr>
        <w:t xml:space="preserve">Anemon </w:t>
      </w:r>
      <w:proofErr w:type="spellStart"/>
      <w:r w:rsidRPr="007271B6">
        <w:rPr>
          <w:rFonts w:ascii="Times New Roman" w:eastAsia="Times New Roman" w:hAnsi="Times New Roman" w:cs="Times New Roman"/>
          <w:i/>
          <w:iCs/>
          <w:kern w:val="0"/>
          <w:sz w:val="24"/>
          <w:szCs w:val="24"/>
          <w14:ligatures w14:val="none"/>
        </w:rPr>
        <w:t>Muş</w:t>
      </w:r>
      <w:proofErr w:type="spellEnd"/>
      <w:r w:rsidRPr="007271B6">
        <w:rPr>
          <w:rFonts w:ascii="Times New Roman" w:eastAsia="Times New Roman" w:hAnsi="Times New Roman" w:cs="Times New Roman"/>
          <w:i/>
          <w:iCs/>
          <w:kern w:val="0"/>
          <w:sz w:val="24"/>
          <w:szCs w:val="24"/>
          <w14:ligatures w14:val="none"/>
        </w:rPr>
        <w:t xml:space="preserve"> Alparslan </w:t>
      </w:r>
      <w:proofErr w:type="spellStart"/>
      <w:r w:rsidRPr="007271B6">
        <w:rPr>
          <w:rFonts w:ascii="Times New Roman" w:eastAsia="Times New Roman" w:hAnsi="Times New Roman" w:cs="Times New Roman"/>
          <w:i/>
          <w:iCs/>
          <w:kern w:val="0"/>
          <w:sz w:val="24"/>
          <w:szCs w:val="24"/>
          <w14:ligatures w14:val="none"/>
        </w:rPr>
        <w:t>Üniversitesi</w:t>
      </w:r>
      <w:proofErr w:type="spellEnd"/>
      <w:r w:rsidRPr="007271B6">
        <w:rPr>
          <w:rFonts w:ascii="Times New Roman" w:eastAsia="Times New Roman" w:hAnsi="Times New Roman" w:cs="Times New Roman"/>
          <w:i/>
          <w:iCs/>
          <w:kern w:val="0"/>
          <w:sz w:val="24"/>
          <w:szCs w:val="24"/>
          <w14:ligatures w14:val="none"/>
        </w:rPr>
        <w:t xml:space="preserve"> </w:t>
      </w:r>
      <w:proofErr w:type="spellStart"/>
      <w:r w:rsidRPr="007271B6">
        <w:rPr>
          <w:rFonts w:ascii="Times New Roman" w:eastAsia="Times New Roman" w:hAnsi="Times New Roman" w:cs="Times New Roman"/>
          <w:i/>
          <w:iCs/>
          <w:kern w:val="0"/>
          <w:sz w:val="24"/>
          <w:szCs w:val="24"/>
          <w14:ligatures w14:val="none"/>
        </w:rPr>
        <w:t>Sosyal</w:t>
      </w:r>
      <w:proofErr w:type="spellEnd"/>
      <w:r w:rsidRPr="007271B6">
        <w:rPr>
          <w:rFonts w:ascii="Times New Roman" w:eastAsia="Times New Roman" w:hAnsi="Times New Roman" w:cs="Times New Roman"/>
          <w:i/>
          <w:iCs/>
          <w:kern w:val="0"/>
          <w:sz w:val="24"/>
          <w:szCs w:val="24"/>
          <w14:ligatures w14:val="none"/>
        </w:rPr>
        <w:t xml:space="preserve"> </w:t>
      </w:r>
      <w:proofErr w:type="spellStart"/>
      <w:r w:rsidRPr="007271B6">
        <w:rPr>
          <w:rFonts w:ascii="Times New Roman" w:eastAsia="Times New Roman" w:hAnsi="Times New Roman" w:cs="Times New Roman"/>
          <w:i/>
          <w:iCs/>
          <w:kern w:val="0"/>
          <w:sz w:val="24"/>
          <w:szCs w:val="24"/>
          <w14:ligatures w14:val="none"/>
        </w:rPr>
        <w:t>Bilimler</w:t>
      </w:r>
      <w:proofErr w:type="spellEnd"/>
      <w:r w:rsidRPr="007271B6">
        <w:rPr>
          <w:rFonts w:ascii="Times New Roman" w:eastAsia="Times New Roman" w:hAnsi="Times New Roman" w:cs="Times New Roman"/>
          <w:i/>
          <w:iCs/>
          <w:kern w:val="0"/>
          <w:sz w:val="24"/>
          <w:szCs w:val="24"/>
          <w14:ligatures w14:val="none"/>
        </w:rPr>
        <w:t xml:space="preserve"> </w:t>
      </w:r>
      <w:proofErr w:type="spellStart"/>
      <w:r w:rsidRPr="007271B6">
        <w:rPr>
          <w:rFonts w:ascii="Times New Roman" w:eastAsia="Times New Roman" w:hAnsi="Times New Roman" w:cs="Times New Roman"/>
          <w:i/>
          <w:iCs/>
          <w:kern w:val="0"/>
          <w:sz w:val="24"/>
          <w:szCs w:val="24"/>
          <w14:ligatures w14:val="none"/>
        </w:rPr>
        <w:t>Dergisi</w:t>
      </w:r>
      <w:proofErr w:type="spellEnd"/>
      <w:r w:rsidRPr="007271B6">
        <w:rPr>
          <w:rFonts w:ascii="Times New Roman" w:eastAsia="Times New Roman" w:hAnsi="Times New Roman" w:cs="Times New Roman"/>
          <w:kern w:val="0"/>
          <w:sz w:val="24"/>
          <w:szCs w:val="24"/>
          <w14:ligatures w14:val="none"/>
        </w:rPr>
        <w:t xml:space="preserve">, 8(4), pp. 1323–1329. </w:t>
      </w:r>
      <w:hyperlink r:id="rId39" w:history="1">
        <w:r w:rsidRPr="007271B6">
          <w:rPr>
            <w:rFonts w:ascii="Times New Roman" w:eastAsia="Times New Roman" w:hAnsi="Times New Roman" w:cs="Times New Roman"/>
            <w:color w:val="0563C1" w:themeColor="hyperlink"/>
            <w:kern w:val="0"/>
            <w:sz w:val="24"/>
            <w:szCs w:val="24"/>
            <w:u w:val="single"/>
            <w14:ligatures w14:val="none"/>
          </w:rPr>
          <w:t>https://doi.org/10.18506/anemon.712351</w:t>
        </w:r>
      </w:hyperlink>
      <w:r w:rsidRPr="007271B6">
        <w:rPr>
          <w:rFonts w:ascii="Times New Roman" w:eastAsia="Times New Roman" w:hAnsi="Times New Roman" w:cs="Times New Roman"/>
          <w:kern w:val="0"/>
          <w:sz w:val="24"/>
          <w:szCs w:val="24"/>
          <w14:ligatures w14:val="none"/>
        </w:rPr>
        <w:t xml:space="preserve"> </w:t>
      </w:r>
    </w:p>
    <w:p w14:paraId="77DFE0C8" w14:textId="77777777" w:rsidR="00F808B3" w:rsidRPr="007271B6" w:rsidRDefault="00F808B3" w:rsidP="00F808B3">
      <w:pPr>
        <w:spacing w:after="0" w:line="480" w:lineRule="auto"/>
        <w:ind w:left="720" w:hanging="720"/>
        <w:rPr>
          <w:rFonts w:ascii="Times New Roman" w:eastAsia="Times New Roman" w:hAnsi="Times New Roman" w:cs="Times New Roman"/>
          <w:kern w:val="0"/>
          <w:sz w:val="24"/>
          <w:szCs w:val="24"/>
          <w14:ligatures w14:val="none"/>
        </w:rPr>
      </w:pPr>
      <w:r w:rsidRPr="007271B6">
        <w:rPr>
          <w:rFonts w:ascii="Times New Roman" w:eastAsia="Times New Roman" w:hAnsi="Times New Roman" w:cs="Times New Roman"/>
          <w:kern w:val="0"/>
          <w:sz w:val="24"/>
          <w:szCs w:val="24"/>
          <w14:ligatures w14:val="none"/>
        </w:rPr>
        <w:t xml:space="preserve">Trautman, L.J. (2022) 'The FTX crypto debacle: largest fraud since Madoff?' </w:t>
      </w:r>
      <w:r w:rsidRPr="007271B6">
        <w:rPr>
          <w:rFonts w:ascii="Times New Roman" w:eastAsia="Times New Roman" w:hAnsi="Times New Roman" w:cs="Times New Roman"/>
          <w:i/>
          <w:iCs/>
          <w:kern w:val="0"/>
          <w:sz w:val="24"/>
          <w:szCs w:val="24"/>
          <w14:ligatures w14:val="none"/>
        </w:rPr>
        <w:t>Social Science Research Network</w:t>
      </w:r>
      <w:r w:rsidRPr="007271B6">
        <w:rPr>
          <w:rFonts w:ascii="Times New Roman" w:eastAsia="Times New Roman" w:hAnsi="Times New Roman" w:cs="Times New Roman"/>
          <w:kern w:val="0"/>
          <w:sz w:val="24"/>
          <w:szCs w:val="24"/>
          <w14:ligatures w14:val="none"/>
        </w:rPr>
        <w:t xml:space="preserve"> [Preprint]. </w:t>
      </w:r>
      <w:hyperlink r:id="rId40" w:history="1">
        <w:r w:rsidRPr="007271B6">
          <w:rPr>
            <w:rFonts w:ascii="Times New Roman" w:eastAsia="Times New Roman" w:hAnsi="Times New Roman" w:cs="Times New Roman"/>
            <w:color w:val="0563C1" w:themeColor="hyperlink"/>
            <w:kern w:val="0"/>
            <w:sz w:val="24"/>
            <w:szCs w:val="24"/>
            <w:u w:val="single"/>
            <w14:ligatures w14:val="none"/>
          </w:rPr>
          <w:t>https://doi.org/10</w:t>
        </w:r>
        <w:r w:rsidRPr="007271B6">
          <w:rPr>
            <w:rFonts w:ascii="Times New Roman" w:eastAsia="Times New Roman" w:hAnsi="Times New Roman" w:cs="Times New Roman"/>
            <w:color w:val="0563C1" w:themeColor="hyperlink"/>
            <w:kern w:val="0"/>
            <w:sz w:val="24"/>
            <w:szCs w:val="24"/>
            <w:u w:val="single"/>
            <w14:ligatures w14:val="none"/>
          </w:rPr>
          <w:t>.2139/ssrn.4290093</w:t>
        </w:r>
      </w:hyperlink>
      <w:r w:rsidRPr="007271B6">
        <w:rPr>
          <w:rFonts w:ascii="Times New Roman" w:eastAsia="Times New Roman" w:hAnsi="Times New Roman" w:cs="Times New Roman"/>
          <w:kern w:val="0"/>
          <w:sz w:val="24"/>
          <w:szCs w:val="24"/>
          <w14:ligatures w14:val="none"/>
        </w:rPr>
        <w:t xml:space="preserve"> </w:t>
      </w:r>
    </w:p>
    <w:p w14:paraId="62BF441A" w14:textId="77777777" w:rsidR="00F808B3" w:rsidRPr="007271B6" w:rsidRDefault="00F808B3" w:rsidP="00F808B3">
      <w:pPr>
        <w:spacing w:after="0" w:line="480" w:lineRule="auto"/>
        <w:ind w:left="720" w:hanging="720"/>
        <w:rPr>
          <w:rFonts w:ascii="Times New Roman" w:eastAsia="Times New Roman" w:hAnsi="Times New Roman" w:cs="Times New Roman"/>
          <w:kern w:val="0"/>
          <w:sz w:val="24"/>
          <w:szCs w:val="24"/>
          <w14:ligatures w14:val="none"/>
        </w:rPr>
      </w:pPr>
      <w:r w:rsidRPr="007271B6">
        <w:rPr>
          <w:rFonts w:ascii="Times New Roman" w:eastAsia="Times New Roman" w:hAnsi="Times New Roman" w:cs="Times New Roman"/>
          <w:kern w:val="0"/>
          <w:sz w:val="24"/>
          <w:szCs w:val="24"/>
          <w14:ligatures w14:val="none"/>
        </w:rPr>
        <w:t xml:space="preserve">Vidal-Tomás, D., Briola, A. and Aste, T. (2023) 'FTX's downfall and </w:t>
      </w:r>
      <w:proofErr w:type="spellStart"/>
      <w:r w:rsidRPr="007271B6">
        <w:rPr>
          <w:rFonts w:ascii="Times New Roman" w:eastAsia="Times New Roman" w:hAnsi="Times New Roman" w:cs="Times New Roman"/>
          <w:kern w:val="0"/>
          <w:sz w:val="24"/>
          <w:szCs w:val="24"/>
          <w14:ligatures w14:val="none"/>
        </w:rPr>
        <w:t>Binance's</w:t>
      </w:r>
      <w:proofErr w:type="spellEnd"/>
      <w:r w:rsidRPr="007271B6">
        <w:rPr>
          <w:rFonts w:ascii="Times New Roman" w:eastAsia="Times New Roman" w:hAnsi="Times New Roman" w:cs="Times New Roman"/>
          <w:kern w:val="0"/>
          <w:sz w:val="24"/>
          <w:szCs w:val="24"/>
          <w14:ligatures w14:val="none"/>
        </w:rPr>
        <w:t xml:space="preserve"> consolidation: The fragility of centralized digital finance,' </w:t>
      </w:r>
      <w:proofErr w:type="spellStart"/>
      <w:r w:rsidRPr="007271B6">
        <w:rPr>
          <w:rFonts w:ascii="Times New Roman" w:eastAsia="Times New Roman" w:hAnsi="Times New Roman" w:cs="Times New Roman"/>
          <w:i/>
          <w:iCs/>
          <w:kern w:val="0"/>
          <w:sz w:val="24"/>
          <w:szCs w:val="24"/>
          <w14:ligatures w14:val="none"/>
        </w:rPr>
        <w:t>Physica</w:t>
      </w:r>
      <w:proofErr w:type="spellEnd"/>
      <w:r w:rsidRPr="007271B6">
        <w:rPr>
          <w:rFonts w:ascii="Times New Roman" w:eastAsia="Times New Roman" w:hAnsi="Times New Roman" w:cs="Times New Roman"/>
          <w:i/>
          <w:iCs/>
          <w:kern w:val="0"/>
          <w:sz w:val="24"/>
          <w:szCs w:val="24"/>
          <w14:ligatures w14:val="none"/>
        </w:rPr>
        <w:t xml:space="preserve"> D: Nonlinear Phenomena</w:t>
      </w:r>
      <w:r w:rsidRPr="007271B6">
        <w:rPr>
          <w:rFonts w:ascii="Times New Roman" w:eastAsia="Times New Roman" w:hAnsi="Times New Roman" w:cs="Times New Roman"/>
          <w:kern w:val="0"/>
          <w:sz w:val="24"/>
          <w:szCs w:val="24"/>
          <w14:ligatures w14:val="none"/>
        </w:rPr>
        <w:t xml:space="preserve">, 625, p. 129044. </w:t>
      </w:r>
      <w:hyperlink r:id="rId41" w:history="1">
        <w:r w:rsidRPr="007271B6">
          <w:rPr>
            <w:rFonts w:ascii="Times New Roman" w:eastAsia="Times New Roman" w:hAnsi="Times New Roman" w:cs="Times New Roman"/>
            <w:color w:val="0563C1" w:themeColor="hyperlink"/>
            <w:kern w:val="0"/>
            <w:sz w:val="24"/>
            <w:szCs w:val="24"/>
            <w:u w:val="single"/>
            <w14:ligatures w14:val="none"/>
          </w:rPr>
          <w:t>https://doi.org/10.1016/j.physa.2023.129044</w:t>
        </w:r>
      </w:hyperlink>
      <w:r w:rsidRPr="007271B6">
        <w:rPr>
          <w:rFonts w:ascii="Times New Roman" w:eastAsia="Times New Roman" w:hAnsi="Times New Roman" w:cs="Times New Roman"/>
          <w:kern w:val="0"/>
          <w:sz w:val="24"/>
          <w:szCs w:val="24"/>
          <w14:ligatures w14:val="none"/>
        </w:rPr>
        <w:t xml:space="preserve">. </w:t>
      </w:r>
    </w:p>
    <w:p w14:paraId="52249E41" w14:textId="77777777" w:rsidR="00052857" w:rsidRDefault="00052857" w:rsidP="00922245">
      <w:pPr>
        <w:tabs>
          <w:tab w:val="left" w:pos="6310"/>
        </w:tabs>
        <w:spacing w:after="0" w:line="480" w:lineRule="auto"/>
        <w:ind w:left="720" w:hanging="720"/>
        <w:jc w:val="both"/>
        <w:rPr>
          <w:rFonts w:ascii="Times New Roman" w:hAnsi="Times New Roman" w:cs="Times New Roman"/>
          <w:color w:val="222222"/>
          <w:kern w:val="0"/>
          <w:sz w:val="24"/>
          <w:szCs w:val="24"/>
          <w:shd w:val="clear" w:color="auto" w:fill="FFFFFF"/>
          <w14:ligatures w14:val="none"/>
        </w:rPr>
      </w:pPr>
    </w:p>
    <w:p w14:paraId="37456FC0" w14:textId="77777777" w:rsidR="00052857" w:rsidRDefault="00052857" w:rsidP="00922245">
      <w:pPr>
        <w:tabs>
          <w:tab w:val="left" w:pos="6310"/>
        </w:tabs>
        <w:spacing w:after="0" w:line="480" w:lineRule="auto"/>
        <w:ind w:left="720" w:hanging="720"/>
        <w:jc w:val="both"/>
        <w:rPr>
          <w:rFonts w:ascii="Times New Roman" w:hAnsi="Times New Roman" w:cs="Times New Roman"/>
          <w:color w:val="222222"/>
          <w:kern w:val="0"/>
          <w:sz w:val="24"/>
          <w:szCs w:val="24"/>
          <w:shd w:val="clear" w:color="auto" w:fill="FFFFFF"/>
          <w14:ligatures w14:val="none"/>
        </w:rPr>
      </w:pPr>
    </w:p>
    <w:p w14:paraId="1F315128" w14:textId="61D80505" w:rsidR="00922245" w:rsidRPr="007271B6" w:rsidRDefault="00922245" w:rsidP="00922245">
      <w:pPr>
        <w:tabs>
          <w:tab w:val="left" w:pos="6310"/>
        </w:tabs>
        <w:spacing w:after="0" w:line="480" w:lineRule="auto"/>
        <w:ind w:left="720" w:hanging="720"/>
        <w:jc w:val="both"/>
        <w:rPr>
          <w:rFonts w:ascii="Times New Roman" w:hAnsi="Times New Roman" w:cs="Times New Roman"/>
          <w:kern w:val="0"/>
          <w:sz w:val="24"/>
          <w:szCs w:val="24"/>
          <w14:ligatures w14:val="none"/>
        </w:rPr>
      </w:pPr>
      <w:proofErr w:type="spellStart"/>
      <w:r w:rsidRPr="007271B6">
        <w:rPr>
          <w:rFonts w:ascii="Times New Roman" w:hAnsi="Times New Roman" w:cs="Times New Roman"/>
          <w:color w:val="222222"/>
          <w:kern w:val="0"/>
          <w:sz w:val="24"/>
          <w:szCs w:val="24"/>
          <w:shd w:val="clear" w:color="auto" w:fill="FFFFFF"/>
          <w14:ligatures w14:val="none"/>
        </w:rPr>
        <w:t>Zetzsche</w:t>
      </w:r>
      <w:proofErr w:type="spellEnd"/>
      <w:r w:rsidRPr="007271B6">
        <w:rPr>
          <w:rFonts w:ascii="Times New Roman" w:hAnsi="Times New Roman" w:cs="Times New Roman"/>
          <w:color w:val="222222"/>
          <w:kern w:val="0"/>
          <w:sz w:val="24"/>
          <w:szCs w:val="24"/>
          <w:shd w:val="clear" w:color="auto" w:fill="FFFFFF"/>
          <w14:ligatures w14:val="none"/>
        </w:rPr>
        <w:t xml:space="preserve">, D. A., Buckley, R. P., Arner, D. W., &amp; van Ek, M. (2023). Remaining regulatory challenges in digital finance and </w:t>
      </w:r>
      <w:proofErr w:type="gramStart"/>
      <w:r w:rsidRPr="007271B6">
        <w:rPr>
          <w:rFonts w:ascii="Times New Roman" w:hAnsi="Times New Roman" w:cs="Times New Roman"/>
          <w:color w:val="222222"/>
          <w:kern w:val="0"/>
          <w:sz w:val="24"/>
          <w:szCs w:val="24"/>
          <w:shd w:val="clear" w:color="auto" w:fill="FFFFFF"/>
          <w14:ligatures w14:val="none"/>
        </w:rPr>
        <w:t>crypto-assets</w:t>
      </w:r>
      <w:proofErr w:type="gramEnd"/>
      <w:r w:rsidRPr="007271B6">
        <w:rPr>
          <w:rFonts w:ascii="Times New Roman" w:hAnsi="Times New Roman" w:cs="Times New Roman"/>
          <w:color w:val="222222"/>
          <w:kern w:val="0"/>
          <w:sz w:val="24"/>
          <w:szCs w:val="24"/>
          <w:shd w:val="clear" w:color="auto" w:fill="FFFFFF"/>
          <w14:ligatures w14:val="none"/>
        </w:rPr>
        <w:t xml:space="preserve"> after </w:t>
      </w:r>
      <w:proofErr w:type="spellStart"/>
      <w:r w:rsidRPr="007271B6">
        <w:rPr>
          <w:rFonts w:ascii="Times New Roman" w:hAnsi="Times New Roman" w:cs="Times New Roman"/>
          <w:color w:val="222222"/>
          <w:kern w:val="0"/>
          <w:sz w:val="24"/>
          <w:szCs w:val="24"/>
          <w:shd w:val="clear" w:color="auto" w:fill="FFFFFF"/>
          <w14:ligatures w14:val="none"/>
        </w:rPr>
        <w:t>MiCA</w:t>
      </w:r>
      <w:proofErr w:type="spellEnd"/>
      <w:r w:rsidR="001151B8" w:rsidRPr="007271B6">
        <w:rPr>
          <w:rFonts w:ascii="Times New Roman" w:hAnsi="Times New Roman" w:cs="Times New Roman"/>
          <w:color w:val="222222"/>
          <w:kern w:val="0"/>
          <w:sz w:val="24"/>
          <w:szCs w:val="24"/>
          <w:shd w:val="clear" w:color="auto" w:fill="FFFFFF"/>
          <w14:ligatures w14:val="none"/>
        </w:rPr>
        <w:t xml:space="preserve"> [Preprint]. </w:t>
      </w:r>
      <w:hyperlink r:id="rId42" w:history="1">
        <w:r w:rsidR="001151B8" w:rsidRPr="007271B6">
          <w:rPr>
            <w:rStyle w:val="Hyperlink"/>
            <w:rFonts w:ascii="Times New Roman" w:hAnsi="Times New Roman" w:cs="Times New Roman"/>
            <w:kern w:val="0"/>
            <w:sz w:val="24"/>
            <w:szCs w:val="24"/>
            <w:shd w:val="clear" w:color="auto" w:fill="FFFFFF"/>
            <w14:ligatures w14:val="none"/>
          </w:rPr>
          <w:t xml:space="preserve">Remaining regulatory challenges in digital finance and </w:t>
        </w:r>
        <w:proofErr w:type="gramStart"/>
        <w:r w:rsidR="001151B8" w:rsidRPr="007271B6">
          <w:rPr>
            <w:rStyle w:val="Hyperlink"/>
            <w:rFonts w:ascii="Times New Roman" w:hAnsi="Times New Roman" w:cs="Times New Roman"/>
            <w:kern w:val="0"/>
            <w:sz w:val="24"/>
            <w:szCs w:val="24"/>
            <w:shd w:val="clear" w:color="auto" w:fill="FFFFFF"/>
            <w14:ligatures w14:val="none"/>
          </w:rPr>
          <w:t>crypto-assets</w:t>
        </w:r>
        <w:proofErr w:type="gramEnd"/>
        <w:r w:rsidR="001151B8" w:rsidRPr="007271B6">
          <w:rPr>
            <w:rStyle w:val="Hyperlink"/>
            <w:rFonts w:ascii="Times New Roman" w:hAnsi="Times New Roman" w:cs="Times New Roman"/>
            <w:kern w:val="0"/>
            <w:sz w:val="24"/>
            <w:szCs w:val="24"/>
            <w:shd w:val="clear" w:color="auto" w:fill="FFFFFF"/>
            <w14:ligatures w14:val="none"/>
          </w:rPr>
          <w:t xml:space="preserve"> after </w:t>
        </w:r>
        <w:proofErr w:type="spellStart"/>
        <w:r w:rsidR="001151B8" w:rsidRPr="007271B6">
          <w:rPr>
            <w:rStyle w:val="Hyperlink"/>
            <w:rFonts w:ascii="Times New Roman" w:hAnsi="Times New Roman" w:cs="Times New Roman"/>
            <w:kern w:val="0"/>
            <w:sz w:val="24"/>
            <w:szCs w:val="24"/>
            <w:shd w:val="clear" w:color="auto" w:fill="FFFFFF"/>
            <w14:ligatures w14:val="none"/>
          </w:rPr>
          <w:t>MiCA</w:t>
        </w:r>
        <w:proofErr w:type="spellEnd"/>
        <w:r w:rsidR="001151B8" w:rsidRPr="007271B6">
          <w:rPr>
            <w:rStyle w:val="Hyperlink"/>
            <w:rFonts w:ascii="Times New Roman" w:hAnsi="Times New Roman" w:cs="Times New Roman"/>
            <w:kern w:val="0"/>
            <w:sz w:val="24"/>
            <w:szCs w:val="24"/>
            <w:shd w:val="clear" w:color="auto" w:fill="FFFFFF"/>
            <w14:ligatures w14:val="none"/>
          </w:rPr>
          <w:t xml:space="preserve"> | Think Tank | European Parliament (europa.eu)</w:t>
        </w:r>
      </w:hyperlink>
      <w:r w:rsidRPr="007271B6">
        <w:rPr>
          <w:rFonts w:ascii="Times New Roman" w:hAnsi="Times New Roman" w:cs="Times New Roman"/>
          <w:color w:val="222222"/>
          <w:kern w:val="0"/>
          <w:sz w:val="24"/>
          <w:szCs w:val="24"/>
          <w:shd w:val="clear" w:color="auto" w:fill="FFFFFF"/>
          <w14:ligatures w14:val="none"/>
        </w:rPr>
        <w:t xml:space="preserve"> </w:t>
      </w:r>
    </w:p>
    <w:p w14:paraId="017EF2FC" w14:textId="77777777" w:rsidR="00922245" w:rsidRPr="007271B6" w:rsidRDefault="00922245" w:rsidP="008B2FC1">
      <w:pPr>
        <w:spacing w:after="200" w:line="480" w:lineRule="auto"/>
        <w:ind w:left="720" w:hanging="720"/>
        <w:rPr>
          <w:rFonts w:ascii="Times New Roman" w:hAnsi="Times New Roman" w:cs="Times New Roman"/>
          <w:kern w:val="0"/>
          <w:sz w:val="24"/>
          <w:szCs w:val="24"/>
        </w:rPr>
      </w:pPr>
    </w:p>
    <w:p w14:paraId="7058D614" w14:textId="77777777" w:rsidR="004656B2" w:rsidRPr="007271B6" w:rsidRDefault="004656B2" w:rsidP="008B2FC1">
      <w:pPr>
        <w:pStyle w:val="Heading1"/>
        <w:rPr>
          <w:lang w:val="en-GB"/>
        </w:rPr>
      </w:pPr>
    </w:p>
    <w:p w14:paraId="2F3EBA81" w14:textId="77777777" w:rsidR="00922245" w:rsidRDefault="00922245" w:rsidP="00922245"/>
    <w:p w14:paraId="211F7359" w14:textId="77777777" w:rsidR="00052857" w:rsidRDefault="00052857" w:rsidP="00922245"/>
    <w:p w14:paraId="59A60ED1" w14:textId="77777777" w:rsidR="00052857" w:rsidRDefault="00052857" w:rsidP="00922245"/>
    <w:p w14:paraId="5F09190F" w14:textId="77777777" w:rsidR="00052857" w:rsidRDefault="00052857" w:rsidP="00922245"/>
    <w:p w14:paraId="40C35243" w14:textId="77777777" w:rsidR="00052857" w:rsidRDefault="00052857" w:rsidP="00922245"/>
    <w:p w14:paraId="5F276D47" w14:textId="77777777" w:rsidR="00052857" w:rsidRDefault="00052857" w:rsidP="00922245"/>
    <w:p w14:paraId="0AE9FAF3" w14:textId="77777777" w:rsidR="00052857" w:rsidRDefault="00052857" w:rsidP="00922245"/>
    <w:p w14:paraId="0EF764BF" w14:textId="77777777" w:rsidR="00052857" w:rsidRDefault="00052857" w:rsidP="00922245"/>
    <w:p w14:paraId="7D6517E1" w14:textId="77777777" w:rsidR="00052857" w:rsidRDefault="00052857" w:rsidP="00922245"/>
    <w:p w14:paraId="4F73BEA4" w14:textId="77777777" w:rsidR="00052857" w:rsidRDefault="00052857" w:rsidP="00922245"/>
    <w:p w14:paraId="0C4BB6F5" w14:textId="77777777" w:rsidR="00052857" w:rsidRDefault="00052857" w:rsidP="00922245"/>
    <w:p w14:paraId="04E4178B" w14:textId="77777777" w:rsidR="00052857" w:rsidRDefault="00052857" w:rsidP="00922245"/>
    <w:p w14:paraId="3172B60D" w14:textId="77777777" w:rsidR="00052857" w:rsidRDefault="00052857" w:rsidP="00922245"/>
    <w:p w14:paraId="5487283A" w14:textId="77777777" w:rsidR="00052857" w:rsidRDefault="00052857" w:rsidP="00922245"/>
    <w:p w14:paraId="6C245589" w14:textId="77777777" w:rsidR="00052857" w:rsidRDefault="00052857" w:rsidP="00922245"/>
    <w:p w14:paraId="6DD3A746" w14:textId="77777777" w:rsidR="00052857" w:rsidRDefault="00052857" w:rsidP="00922245"/>
    <w:p w14:paraId="3CDED4DE" w14:textId="77777777" w:rsidR="00052857" w:rsidRDefault="00052857" w:rsidP="00922245"/>
    <w:p w14:paraId="30281700" w14:textId="77777777" w:rsidR="00052857" w:rsidRDefault="00052857" w:rsidP="00922245"/>
    <w:p w14:paraId="4EB74C77" w14:textId="77777777" w:rsidR="00052857" w:rsidRDefault="00052857" w:rsidP="00922245"/>
    <w:p w14:paraId="7D27D6A3" w14:textId="77777777" w:rsidR="00052857" w:rsidRDefault="00052857" w:rsidP="00922245"/>
    <w:p w14:paraId="244EB883" w14:textId="77777777" w:rsidR="00052857" w:rsidRDefault="00052857" w:rsidP="00922245"/>
    <w:p w14:paraId="7CCD940A" w14:textId="77777777" w:rsidR="00052857" w:rsidRDefault="00052857" w:rsidP="00922245"/>
    <w:p w14:paraId="7D05EC64" w14:textId="77777777" w:rsidR="00052857" w:rsidRPr="007271B6" w:rsidRDefault="00052857" w:rsidP="00922245"/>
    <w:p w14:paraId="71DED633" w14:textId="36BB693D" w:rsidR="00F808B3" w:rsidRPr="007271B6" w:rsidRDefault="008B2FC1" w:rsidP="008B2FC1">
      <w:pPr>
        <w:pStyle w:val="Heading1"/>
        <w:rPr>
          <w:lang w:val="en-GB"/>
        </w:rPr>
      </w:pPr>
      <w:bookmarkStart w:id="48" w:name="_Toc165583410"/>
      <w:r w:rsidRPr="007271B6">
        <w:rPr>
          <w:lang w:val="en-GB"/>
        </w:rPr>
        <w:t>Appendix</w:t>
      </w:r>
      <w:bookmarkEnd w:id="48"/>
      <w:r w:rsidRPr="007271B6">
        <w:rPr>
          <w:lang w:val="en-GB"/>
        </w:rPr>
        <w:t xml:space="preserve"> </w:t>
      </w:r>
    </w:p>
    <w:p w14:paraId="0CCC45BC" w14:textId="77777777" w:rsidR="00F808B3" w:rsidRPr="007271B6" w:rsidRDefault="00F808B3" w:rsidP="00F808B3">
      <w:pPr>
        <w:spacing w:after="200" w:line="276" w:lineRule="auto"/>
        <w:jc w:val="center"/>
        <w:rPr>
          <w:rFonts w:ascii="Times New Roman" w:hAnsi="Times New Roman" w:cs="Times New Roman"/>
          <w:kern w:val="0"/>
          <w:sz w:val="24"/>
          <w:szCs w:val="24"/>
        </w:rPr>
      </w:pPr>
      <w:r w:rsidRPr="007271B6">
        <w:rPr>
          <w:rFonts w:ascii="Times New Roman" w:hAnsi="Times New Roman" w:cs="Times New Roman"/>
          <w:kern w:val="0"/>
          <w:sz w:val="24"/>
          <w:szCs w:val="24"/>
        </w:rPr>
        <w:t>Demographic Information of the Respondents</w:t>
      </w:r>
    </w:p>
    <w:p w14:paraId="139C03A8" w14:textId="19E792C6" w:rsidR="00F808B3" w:rsidRPr="007271B6" w:rsidRDefault="00F808B3" w:rsidP="00F808B3">
      <w:pPr>
        <w:spacing w:after="200" w:line="276" w:lineRule="auto"/>
        <w:rPr>
          <w:rFonts w:ascii="Times New Roman" w:hAnsi="Times New Roman" w:cs="Times New Roman"/>
          <w:b/>
          <w:bCs/>
          <w:kern w:val="0"/>
          <w:sz w:val="24"/>
          <w:szCs w:val="24"/>
        </w:rPr>
      </w:pPr>
      <w:r w:rsidRPr="007271B6">
        <w:rPr>
          <w:rFonts w:ascii="Times New Roman" w:hAnsi="Times New Roman" w:cs="Times New Roman"/>
          <w:b/>
          <w:bCs/>
          <w:kern w:val="0"/>
          <w:sz w:val="24"/>
          <w:szCs w:val="24"/>
        </w:rPr>
        <w:t xml:space="preserve">Table </w:t>
      </w:r>
      <w:r w:rsidRPr="007271B6">
        <w:rPr>
          <w:rFonts w:ascii="Times New Roman" w:hAnsi="Times New Roman" w:cs="Times New Roman"/>
          <w:b/>
          <w:bCs/>
          <w:kern w:val="0"/>
          <w:sz w:val="24"/>
          <w:szCs w:val="24"/>
        </w:rPr>
        <w:fldChar w:fldCharType="begin"/>
      </w:r>
      <w:r w:rsidRPr="007271B6">
        <w:rPr>
          <w:rFonts w:ascii="Times New Roman" w:hAnsi="Times New Roman" w:cs="Times New Roman"/>
          <w:b/>
          <w:bCs/>
          <w:kern w:val="0"/>
          <w:sz w:val="24"/>
          <w:szCs w:val="24"/>
        </w:rPr>
        <w:instrText xml:space="preserve"> SEQ Table \* ARABIC </w:instrText>
      </w:r>
      <w:r w:rsidRPr="007271B6">
        <w:rPr>
          <w:rFonts w:ascii="Times New Roman" w:hAnsi="Times New Roman" w:cs="Times New Roman"/>
          <w:b/>
          <w:bCs/>
          <w:kern w:val="0"/>
          <w:sz w:val="24"/>
          <w:szCs w:val="24"/>
        </w:rPr>
        <w:fldChar w:fldCharType="separate"/>
      </w:r>
      <w:r w:rsidR="00DC4CD1" w:rsidRPr="007271B6">
        <w:rPr>
          <w:rFonts w:ascii="Times New Roman" w:hAnsi="Times New Roman" w:cs="Times New Roman"/>
          <w:b/>
          <w:bCs/>
          <w:noProof/>
          <w:kern w:val="0"/>
          <w:sz w:val="24"/>
          <w:szCs w:val="24"/>
        </w:rPr>
        <w:t>1</w:t>
      </w:r>
      <w:r w:rsidRPr="007271B6">
        <w:rPr>
          <w:rFonts w:ascii="Times New Roman" w:hAnsi="Times New Roman" w:cs="Times New Roman"/>
          <w:b/>
          <w:bCs/>
          <w:kern w:val="0"/>
          <w:sz w:val="24"/>
          <w:szCs w:val="24"/>
        </w:rPr>
        <w:fldChar w:fldCharType="end"/>
      </w:r>
      <w:r w:rsidRPr="007271B6">
        <w:rPr>
          <w:rFonts w:ascii="Times New Roman" w:hAnsi="Times New Roman" w:cs="Times New Roman"/>
          <w:b/>
          <w:bCs/>
          <w:kern w:val="0"/>
          <w:sz w:val="24"/>
          <w:szCs w:val="24"/>
        </w:rPr>
        <w:t>:</w:t>
      </w:r>
      <w:r w:rsidRPr="007271B6">
        <w:rPr>
          <w:rFonts w:ascii="Times New Roman" w:hAnsi="Times New Roman" w:cs="Times New Roman"/>
          <w:i/>
          <w:iCs/>
          <w:kern w:val="0"/>
          <w:sz w:val="24"/>
          <w:szCs w:val="24"/>
        </w:rPr>
        <w:t xml:space="preserve"> Respondents from Bloomberg Originals and CNBC interviews</w:t>
      </w:r>
    </w:p>
    <w:tbl>
      <w:tblPr>
        <w:tblStyle w:val="TableGrid"/>
        <w:tblW w:w="0" w:type="auto"/>
        <w:tblLook w:val="04A0" w:firstRow="1" w:lastRow="0" w:firstColumn="1" w:lastColumn="0" w:noHBand="0" w:noVBand="1"/>
      </w:tblPr>
      <w:tblGrid>
        <w:gridCol w:w="1351"/>
        <w:gridCol w:w="1787"/>
        <w:gridCol w:w="2310"/>
        <w:gridCol w:w="1094"/>
        <w:gridCol w:w="871"/>
        <w:gridCol w:w="1603"/>
      </w:tblGrid>
      <w:tr w:rsidR="00F808B3" w:rsidRPr="007271B6" w14:paraId="117C0004" w14:textId="77777777" w:rsidTr="00D175E7">
        <w:tc>
          <w:tcPr>
            <w:tcW w:w="1350" w:type="dxa"/>
          </w:tcPr>
          <w:p w14:paraId="63450D02"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Respondent No.</w:t>
            </w:r>
          </w:p>
        </w:tc>
        <w:tc>
          <w:tcPr>
            <w:tcW w:w="2057" w:type="dxa"/>
          </w:tcPr>
          <w:p w14:paraId="6B1102C8"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Name</w:t>
            </w:r>
          </w:p>
        </w:tc>
        <w:tc>
          <w:tcPr>
            <w:tcW w:w="2310" w:type="dxa"/>
          </w:tcPr>
          <w:p w14:paraId="06A49291"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Position/Employment</w:t>
            </w:r>
          </w:p>
        </w:tc>
        <w:tc>
          <w:tcPr>
            <w:tcW w:w="1211" w:type="dxa"/>
          </w:tcPr>
          <w:p w14:paraId="72978B55"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Gender</w:t>
            </w:r>
          </w:p>
        </w:tc>
        <w:tc>
          <w:tcPr>
            <w:tcW w:w="1045" w:type="dxa"/>
          </w:tcPr>
          <w:p w14:paraId="3AC920BC"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Age</w:t>
            </w:r>
          </w:p>
        </w:tc>
        <w:tc>
          <w:tcPr>
            <w:tcW w:w="1603" w:type="dxa"/>
          </w:tcPr>
          <w:p w14:paraId="50F992A7"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Education</w:t>
            </w:r>
          </w:p>
        </w:tc>
      </w:tr>
      <w:tr w:rsidR="00F808B3" w:rsidRPr="007271B6" w14:paraId="400E44DF" w14:textId="77777777" w:rsidTr="00D175E7">
        <w:tc>
          <w:tcPr>
            <w:tcW w:w="1350" w:type="dxa"/>
          </w:tcPr>
          <w:p w14:paraId="5D1949C8" w14:textId="0E0B7CA3" w:rsidR="00F808B3" w:rsidRPr="007271B6" w:rsidRDefault="00FC3E65"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1</w:t>
            </w:r>
          </w:p>
        </w:tc>
        <w:tc>
          <w:tcPr>
            <w:tcW w:w="2057" w:type="dxa"/>
          </w:tcPr>
          <w:p w14:paraId="2E305D91"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Sam Bankman-Fried</w:t>
            </w:r>
          </w:p>
        </w:tc>
        <w:tc>
          <w:tcPr>
            <w:tcW w:w="2310" w:type="dxa"/>
          </w:tcPr>
          <w:p w14:paraId="10824A56"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CEO FTX</w:t>
            </w:r>
          </w:p>
        </w:tc>
        <w:tc>
          <w:tcPr>
            <w:tcW w:w="1211" w:type="dxa"/>
          </w:tcPr>
          <w:p w14:paraId="716A83BB"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Male</w:t>
            </w:r>
          </w:p>
        </w:tc>
        <w:tc>
          <w:tcPr>
            <w:tcW w:w="1045" w:type="dxa"/>
          </w:tcPr>
          <w:p w14:paraId="1E4C8982"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31</w:t>
            </w:r>
          </w:p>
        </w:tc>
        <w:tc>
          <w:tcPr>
            <w:tcW w:w="1603" w:type="dxa"/>
          </w:tcPr>
          <w:p w14:paraId="7943FB58"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University Graduate</w:t>
            </w:r>
          </w:p>
        </w:tc>
      </w:tr>
      <w:tr w:rsidR="00F808B3" w:rsidRPr="007271B6" w14:paraId="4F4026BE" w14:textId="77777777" w:rsidTr="00D175E7">
        <w:tc>
          <w:tcPr>
            <w:tcW w:w="1350" w:type="dxa"/>
          </w:tcPr>
          <w:p w14:paraId="7E74FA0C" w14:textId="7E9B637D" w:rsidR="00F808B3" w:rsidRPr="007271B6" w:rsidRDefault="00FC3E65"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2</w:t>
            </w:r>
          </w:p>
        </w:tc>
        <w:tc>
          <w:tcPr>
            <w:tcW w:w="2057" w:type="dxa"/>
          </w:tcPr>
          <w:p w14:paraId="68A992CC" w14:textId="4458AB95" w:rsidR="00F808B3" w:rsidRPr="007271B6" w:rsidRDefault="00FC3E65"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 xml:space="preserve">Gary </w:t>
            </w:r>
            <w:r w:rsidR="00F808B3" w:rsidRPr="007271B6">
              <w:rPr>
                <w:rFonts w:ascii="Times New Roman" w:hAnsi="Times New Roman" w:cs="Times New Roman"/>
                <w:sz w:val="24"/>
                <w:szCs w:val="24"/>
                <w:lang w:val="en-GB"/>
              </w:rPr>
              <w:t>Wang</w:t>
            </w:r>
          </w:p>
        </w:tc>
        <w:tc>
          <w:tcPr>
            <w:tcW w:w="2310" w:type="dxa"/>
          </w:tcPr>
          <w:p w14:paraId="4C718070" w14:textId="2688CA3D"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 xml:space="preserve">FTX </w:t>
            </w:r>
            <w:r w:rsidR="00FC3E65" w:rsidRPr="007271B6">
              <w:rPr>
                <w:rFonts w:ascii="Times New Roman" w:hAnsi="Times New Roman" w:cs="Times New Roman"/>
                <w:sz w:val="24"/>
                <w:szCs w:val="24"/>
                <w:lang w:val="en-GB"/>
              </w:rPr>
              <w:t>Director of E</w:t>
            </w:r>
            <w:r w:rsidRPr="007271B6">
              <w:rPr>
                <w:rFonts w:ascii="Times New Roman" w:hAnsi="Times New Roman" w:cs="Times New Roman"/>
                <w:sz w:val="24"/>
                <w:szCs w:val="24"/>
                <w:lang w:val="en-GB"/>
              </w:rPr>
              <w:t>ngineer</w:t>
            </w:r>
            <w:r w:rsidR="00FC3E65" w:rsidRPr="007271B6">
              <w:rPr>
                <w:rFonts w:ascii="Times New Roman" w:hAnsi="Times New Roman" w:cs="Times New Roman"/>
                <w:sz w:val="24"/>
                <w:szCs w:val="24"/>
                <w:lang w:val="en-GB"/>
              </w:rPr>
              <w:t>ing</w:t>
            </w:r>
          </w:p>
        </w:tc>
        <w:tc>
          <w:tcPr>
            <w:tcW w:w="1211" w:type="dxa"/>
          </w:tcPr>
          <w:p w14:paraId="39592AD8"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Male</w:t>
            </w:r>
          </w:p>
        </w:tc>
        <w:tc>
          <w:tcPr>
            <w:tcW w:w="1045" w:type="dxa"/>
          </w:tcPr>
          <w:p w14:paraId="2CCD785C" w14:textId="28276A1E" w:rsidR="00F808B3" w:rsidRPr="007271B6" w:rsidRDefault="00FC3E65"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31</w:t>
            </w:r>
          </w:p>
        </w:tc>
        <w:tc>
          <w:tcPr>
            <w:tcW w:w="1603" w:type="dxa"/>
          </w:tcPr>
          <w:p w14:paraId="618F3DBB" w14:textId="3FBBBD4B" w:rsidR="00F808B3" w:rsidRPr="007271B6" w:rsidRDefault="00FC3E65"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Massachusetts Institute of Technology Graduate</w:t>
            </w:r>
          </w:p>
        </w:tc>
      </w:tr>
      <w:tr w:rsidR="00F808B3" w:rsidRPr="007271B6" w14:paraId="0507E822" w14:textId="77777777" w:rsidTr="00D175E7">
        <w:tc>
          <w:tcPr>
            <w:tcW w:w="1350" w:type="dxa"/>
          </w:tcPr>
          <w:p w14:paraId="6B1B31DE" w14:textId="27D2CACD" w:rsidR="00F808B3" w:rsidRPr="007271B6" w:rsidRDefault="00FC3E65"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3</w:t>
            </w:r>
          </w:p>
        </w:tc>
        <w:tc>
          <w:tcPr>
            <w:tcW w:w="2057" w:type="dxa"/>
          </w:tcPr>
          <w:p w14:paraId="0D55129A"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Caroline Ellison</w:t>
            </w:r>
          </w:p>
        </w:tc>
        <w:tc>
          <w:tcPr>
            <w:tcW w:w="2310" w:type="dxa"/>
          </w:tcPr>
          <w:p w14:paraId="13B768A7"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CEO Alameda Research</w:t>
            </w:r>
          </w:p>
        </w:tc>
        <w:tc>
          <w:tcPr>
            <w:tcW w:w="1211" w:type="dxa"/>
          </w:tcPr>
          <w:p w14:paraId="7E3685D0"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Female</w:t>
            </w:r>
          </w:p>
        </w:tc>
        <w:tc>
          <w:tcPr>
            <w:tcW w:w="1045" w:type="dxa"/>
          </w:tcPr>
          <w:p w14:paraId="0CB870C8"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29</w:t>
            </w:r>
          </w:p>
        </w:tc>
        <w:tc>
          <w:tcPr>
            <w:tcW w:w="1603" w:type="dxa"/>
          </w:tcPr>
          <w:p w14:paraId="1ACB51A5"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Stanford University Graduate</w:t>
            </w:r>
          </w:p>
        </w:tc>
      </w:tr>
      <w:tr w:rsidR="00F808B3" w:rsidRPr="007271B6" w14:paraId="22437435" w14:textId="77777777" w:rsidTr="00D175E7">
        <w:tc>
          <w:tcPr>
            <w:tcW w:w="1350" w:type="dxa"/>
          </w:tcPr>
          <w:p w14:paraId="1B6114E1" w14:textId="0A415DFD" w:rsidR="00F808B3" w:rsidRPr="007271B6" w:rsidRDefault="00FC3E65"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4</w:t>
            </w:r>
          </w:p>
        </w:tc>
        <w:tc>
          <w:tcPr>
            <w:tcW w:w="2057" w:type="dxa"/>
          </w:tcPr>
          <w:p w14:paraId="766ABBE0"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Brett Harrison</w:t>
            </w:r>
          </w:p>
        </w:tc>
        <w:tc>
          <w:tcPr>
            <w:tcW w:w="2310" w:type="dxa"/>
          </w:tcPr>
          <w:p w14:paraId="77B66CCB" w14:textId="151B6FC9"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FTX US exec</w:t>
            </w:r>
            <w:r w:rsidR="0099165B" w:rsidRPr="007271B6">
              <w:rPr>
                <w:rFonts w:ascii="Times New Roman" w:hAnsi="Times New Roman" w:cs="Times New Roman"/>
                <w:sz w:val="24"/>
                <w:szCs w:val="24"/>
                <w:lang w:val="en-GB"/>
              </w:rPr>
              <w:t>utive</w:t>
            </w:r>
          </w:p>
        </w:tc>
        <w:tc>
          <w:tcPr>
            <w:tcW w:w="1211" w:type="dxa"/>
          </w:tcPr>
          <w:p w14:paraId="2C78A1A8"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Male</w:t>
            </w:r>
          </w:p>
        </w:tc>
        <w:tc>
          <w:tcPr>
            <w:tcW w:w="1045" w:type="dxa"/>
          </w:tcPr>
          <w:p w14:paraId="2ADE71E4"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35</w:t>
            </w:r>
          </w:p>
        </w:tc>
        <w:tc>
          <w:tcPr>
            <w:tcW w:w="1603" w:type="dxa"/>
          </w:tcPr>
          <w:p w14:paraId="32C3F2B9"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Harvard University Graduate</w:t>
            </w:r>
          </w:p>
        </w:tc>
      </w:tr>
      <w:tr w:rsidR="00F808B3" w:rsidRPr="007271B6" w14:paraId="55D66E77" w14:textId="77777777" w:rsidTr="00D175E7">
        <w:tc>
          <w:tcPr>
            <w:tcW w:w="1350" w:type="dxa"/>
          </w:tcPr>
          <w:p w14:paraId="10CDD64B" w14:textId="33B33F86" w:rsidR="00F808B3" w:rsidRPr="007271B6" w:rsidRDefault="00FC3E65"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5</w:t>
            </w:r>
          </w:p>
        </w:tc>
        <w:tc>
          <w:tcPr>
            <w:tcW w:w="2057" w:type="dxa"/>
          </w:tcPr>
          <w:p w14:paraId="43A2C833"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John J. Ray III</w:t>
            </w:r>
          </w:p>
        </w:tc>
        <w:tc>
          <w:tcPr>
            <w:tcW w:w="2310" w:type="dxa"/>
          </w:tcPr>
          <w:p w14:paraId="56E714E8"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Interim FTX CEO</w:t>
            </w:r>
          </w:p>
        </w:tc>
        <w:tc>
          <w:tcPr>
            <w:tcW w:w="1211" w:type="dxa"/>
          </w:tcPr>
          <w:p w14:paraId="7A19F3F3"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Male</w:t>
            </w:r>
          </w:p>
        </w:tc>
        <w:tc>
          <w:tcPr>
            <w:tcW w:w="1045" w:type="dxa"/>
          </w:tcPr>
          <w:p w14:paraId="50B0B227"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65</w:t>
            </w:r>
          </w:p>
        </w:tc>
        <w:tc>
          <w:tcPr>
            <w:tcW w:w="1603" w:type="dxa"/>
          </w:tcPr>
          <w:p w14:paraId="25AF6C32"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The University of Massachusetts Graduate</w:t>
            </w:r>
          </w:p>
        </w:tc>
      </w:tr>
      <w:tr w:rsidR="00F808B3" w:rsidRPr="007271B6" w14:paraId="60093603" w14:textId="77777777" w:rsidTr="00D175E7">
        <w:tc>
          <w:tcPr>
            <w:tcW w:w="1350" w:type="dxa"/>
          </w:tcPr>
          <w:p w14:paraId="1E589CD4" w14:textId="457A2635" w:rsidR="00F808B3" w:rsidRPr="007271B6" w:rsidRDefault="00FC3E65"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6</w:t>
            </w:r>
          </w:p>
        </w:tc>
        <w:tc>
          <w:tcPr>
            <w:tcW w:w="2057" w:type="dxa"/>
          </w:tcPr>
          <w:p w14:paraId="48854370"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John Reed Stark</w:t>
            </w:r>
          </w:p>
        </w:tc>
        <w:tc>
          <w:tcPr>
            <w:tcW w:w="2310" w:type="dxa"/>
          </w:tcPr>
          <w:p w14:paraId="3B78F209" w14:textId="0D1B7E1F" w:rsidR="00F808B3" w:rsidRPr="007271B6" w:rsidRDefault="00FC3E65"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John Reed Stark Consulting LLC</w:t>
            </w:r>
          </w:p>
        </w:tc>
        <w:tc>
          <w:tcPr>
            <w:tcW w:w="1211" w:type="dxa"/>
          </w:tcPr>
          <w:p w14:paraId="29EA0EA6"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Male</w:t>
            </w:r>
          </w:p>
        </w:tc>
        <w:tc>
          <w:tcPr>
            <w:tcW w:w="1045" w:type="dxa"/>
          </w:tcPr>
          <w:p w14:paraId="1340C5CF"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60</w:t>
            </w:r>
          </w:p>
        </w:tc>
        <w:tc>
          <w:tcPr>
            <w:tcW w:w="1603" w:type="dxa"/>
          </w:tcPr>
          <w:p w14:paraId="36F13EF6"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 xml:space="preserve">Duke University </w:t>
            </w:r>
            <w:r w:rsidRPr="007271B6">
              <w:rPr>
                <w:rFonts w:ascii="Times New Roman" w:hAnsi="Times New Roman" w:cs="Times New Roman"/>
                <w:sz w:val="24"/>
                <w:szCs w:val="24"/>
                <w:lang w:val="en-GB"/>
              </w:rPr>
              <w:lastRenderedPageBreak/>
              <w:t>School of Law Graduate</w:t>
            </w:r>
          </w:p>
        </w:tc>
      </w:tr>
      <w:tr w:rsidR="00F808B3" w:rsidRPr="007271B6" w14:paraId="063A74F5" w14:textId="77777777" w:rsidTr="00D175E7">
        <w:tc>
          <w:tcPr>
            <w:tcW w:w="1350" w:type="dxa"/>
          </w:tcPr>
          <w:p w14:paraId="5C69F857" w14:textId="1C5A0388" w:rsidR="00F808B3" w:rsidRPr="007271B6" w:rsidRDefault="00FC3E65"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lastRenderedPageBreak/>
              <w:t>7</w:t>
            </w:r>
          </w:p>
        </w:tc>
        <w:tc>
          <w:tcPr>
            <w:tcW w:w="2057" w:type="dxa"/>
          </w:tcPr>
          <w:p w14:paraId="686906FB"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 xml:space="preserve">Max </w:t>
            </w:r>
            <w:proofErr w:type="spellStart"/>
            <w:r w:rsidRPr="007271B6">
              <w:rPr>
                <w:rFonts w:ascii="Times New Roman" w:hAnsi="Times New Roman" w:cs="Times New Roman"/>
                <w:sz w:val="24"/>
                <w:szCs w:val="24"/>
                <w:lang w:val="en-GB"/>
              </w:rPr>
              <w:t>Chafkin</w:t>
            </w:r>
            <w:proofErr w:type="spellEnd"/>
          </w:p>
        </w:tc>
        <w:tc>
          <w:tcPr>
            <w:tcW w:w="2310" w:type="dxa"/>
          </w:tcPr>
          <w:p w14:paraId="203DC22C"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Senior Reporter, Bloomberg Businessweek</w:t>
            </w:r>
          </w:p>
        </w:tc>
        <w:tc>
          <w:tcPr>
            <w:tcW w:w="1211" w:type="dxa"/>
          </w:tcPr>
          <w:p w14:paraId="7C4ED68A"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Male</w:t>
            </w:r>
          </w:p>
        </w:tc>
        <w:tc>
          <w:tcPr>
            <w:tcW w:w="1045" w:type="dxa"/>
          </w:tcPr>
          <w:p w14:paraId="7789740D"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40</w:t>
            </w:r>
          </w:p>
        </w:tc>
        <w:tc>
          <w:tcPr>
            <w:tcW w:w="1603" w:type="dxa"/>
          </w:tcPr>
          <w:p w14:paraId="6F3603BE"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Yale University Graduate</w:t>
            </w:r>
          </w:p>
        </w:tc>
      </w:tr>
      <w:tr w:rsidR="00F808B3" w:rsidRPr="007271B6" w14:paraId="170DA842" w14:textId="77777777" w:rsidTr="00D175E7">
        <w:tc>
          <w:tcPr>
            <w:tcW w:w="1350" w:type="dxa"/>
          </w:tcPr>
          <w:p w14:paraId="0BA581E5" w14:textId="5586B252" w:rsidR="00F808B3" w:rsidRPr="007271B6" w:rsidRDefault="00FC3E65"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8</w:t>
            </w:r>
          </w:p>
        </w:tc>
        <w:tc>
          <w:tcPr>
            <w:tcW w:w="2057" w:type="dxa"/>
          </w:tcPr>
          <w:p w14:paraId="6774EC15"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Anonymous</w:t>
            </w:r>
          </w:p>
        </w:tc>
        <w:tc>
          <w:tcPr>
            <w:tcW w:w="2310" w:type="dxa"/>
          </w:tcPr>
          <w:p w14:paraId="0B91BCD2"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Technology Investor/Venture capitalist</w:t>
            </w:r>
          </w:p>
        </w:tc>
        <w:tc>
          <w:tcPr>
            <w:tcW w:w="1211" w:type="dxa"/>
          </w:tcPr>
          <w:p w14:paraId="710579EF"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Male</w:t>
            </w:r>
          </w:p>
        </w:tc>
        <w:tc>
          <w:tcPr>
            <w:tcW w:w="1045" w:type="dxa"/>
          </w:tcPr>
          <w:p w14:paraId="7A23C81F"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25+</w:t>
            </w:r>
          </w:p>
        </w:tc>
        <w:tc>
          <w:tcPr>
            <w:tcW w:w="1603" w:type="dxa"/>
          </w:tcPr>
          <w:p w14:paraId="49C148AB" w14:textId="77777777" w:rsidR="00F808B3" w:rsidRPr="007271B6" w:rsidRDefault="00F808B3" w:rsidP="00F808B3">
            <w:pPr>
              <w:spacing w:after="200" w:line="276" w:lineRule="auto"/>
              <w:rPr>
                <w:rFonts w:ascii="Times New Roman" w:hAnsi="Times New Roman" w:cs="Times New Roman"/>
                <w:sz w:val="24"/>
                <w:szCs w:val="24"/>
                <w:lang w:val="en-GB"/>
              </w:rPr>
            </w:pPr>
            <w:r w:rsidRPr="007271B6">
              <w:rPr>
                <w:rFonts w:ascii="Times New Roman" w:hAnsi="Times New Roman" w:cs="Times New Roman"/>
                <w:sz w:val="24"/>
                <w:szCs w:val="24"/>
                <w:lang w:val="en-GB"/>
              </w:rPr>
              <w:t>?</w:t>
            </w:r>
          </w:p>
        </w:tc>
      </w:tr>
    </w:tbl>
    <w:p w14:paraId="01FCA12E" w14:textId="77777777" w:rsidR="00F808B3" w:rsidRPr="007271B6" w:rsidRDefault="00F808B3" w:rsidP="00F808B3">
      <w:pPr>
        <w:spacing w:after="200" w:line="276" w:lineRule="auto"/>
        <w:rPr>
          <w:rFonts w:ascii="Times New Roman" w:hAnsi="Times New Roman" w:cs="Times New Roman"/>
          <w:kern w:val="0"/>
          <w:sz w:val="24"/>
          <w:szCs w:val="24"/>
        </w:rPr>
      </w:pPr>
    </w:p>
    <w:p w14:paraId="53C013D6" w14:textId="77777777" w:rsidR="00F808B3" w:rsidRPr="007271B6" w:rsidRDefault="00F808B3" w:rsidP="00F808B3">
      <w:pPr>
        <w:spacing w:after="200" w:line="276" w:lineRule="auto"/>
        <w:rPr>
          <w:kern w:val="0"/>
        </w:rPr>
      </w:pPr>
    </w:p>
    <w:p w14:paraId="1311D71A" w14:textId="77777777" w:rsidR="00F808B3" w:rsidRPr="007271B6" w:rsidRDefault="00F808B3" w:rsidP="00F808B3"/>
    <w:sectPr w:rsidR="00F808B3" w:rsidRPr="007271B6" w:rsidSect="00A036E5">
      <w:footerReference w:type="even" r:id="rId43"/>
      <w:footerReference w:type="default" r:id="rId4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F9E40" w14:textId="77777777" w:rsidR="00846984" w:rsidRDefault="00846984" w:rsidP="00A036E5">
      <w:pPr>
        <w:spacing w:after="0" w:line="240" w:lineRule="auto"/>
      </w:pPr>
      <w:r>
        <w:separator/>
      </w:r>
    </w:p>
  </w:endnote>
  <w:endnote w:type="continuationSeparator" w:id="0">
    <w:p w14:paraId="1A19BD10" w14:textId="77777777" w:rsidR="00846984" w:rsidRDefault="00846984" w:rsidP="00A03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ucida Grande">
    <w:altName w:val="Segoe UI"/>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573DB" w14:textId="77777777" w:rsidR="00846984" w:rsidRDefault="00846984" w:rsidP="00A036E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3C57C6D" w14:textId="77777777" w:rsidR="00846984" w:rsidRDefault="008469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A9204" w14:textId="77777777" w:rsidR="00846984" w:rsidRDefault="00846984" w:rsidP="00A036E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C2F2A">
      <w:rPr>
        <w:rStyle w:val="PageNumber"/>
        <w:noProof/>
      </w:rPr>
      <w:t>41</w:t>
    </w:r>
    <w:r>
      <w:rPr>
        <w:rStyle w:val="PageNumber"/>
      </w:rPr>
      <w:fldChar w:fldCharType="end"/>
    </w:r>
  </w:p>
  <w:p w14:paraId="6120BFCA" w14:textId="77777777" w:rsidR="00846984" w:rsidRDefault="008469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1A638" w14:textId="77777777" w:rsidR="00846984" w:rsidRDefault="00846984" w:rsidP="00A036E5">
      <w:pPr>
        <w:spacing w:after="0" w:line="240" w:lineRule="auto"/>
      </w:pPr>
      <w:r>
        <w:separator/>
      </w:r>
    </w:p>
  </w:footnote>
  <w:footnote w:type="continuationSeparator" w:id="0">
    <w:p w14:paraId="6B13C49C" w14:textId="77777777" w:rsidR="00846984" w:rsidRDefault="00846984" w:rsidP="00A036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C10CC"/>
    <w:multiLevelType w:val="hybridMultilevel"/>
    <w:tmpl w:val="5EDA6EC6"/>
    <w:lvl w:ilvl="0" w:tplc="342CDF7E">
      <w:start w:val="1"/>
      <w:numFmt w:val="lowerRoman"/>
      <w:lvlText w:val="(%1)"/>
      <w:lvlJc w:val="left"/>
      <w:pPr>
        <w:ind w:left="1440" w:hanging="72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1" w15:restartNumberingAfterBreak="0">
    <w:nsid w:val="236C2144"/>
    <w:multiLevelType w:val="hybridMultilevel"/>
    <w:tmpl w:val="DBD88A84"/>
    <w:lvl w:ilvl="0" w:tplc="2FEA7182">
      <w:start w:val="1"/>
      <w:numFmt w:val="bullet"/>
      <w:lvlText w:val=""/>
      <w:lvlJc w:val="left"/>
      <w:pPr>
        <w:ind w:left="720" w:hanging="360"/>
      </w:pPr>
      <w:rPr>
        <w:rFonts w:ascii="Symbol" w:hAnsi="Symbol" w:hint="default"/>
      </w:rPr>
    </w:lvl>
    <w:lvl w:ilvl="1" w:tplc="21147834" w:tentative="1">
      <w:start w:val="1"/>
      <w:numFmt w:val="bullet"/>
      <w:lvlText w:val="o"/>
      <w:lvlJc w:val="left"/>
      <w:pPr>
        <w:ind w:left="1440" w:hanging="360"/>
      </w:pPr>
      <w:rPr>
        <w:rFonts w:ascii="Courier New" w:hAnsi="Courier New" w:cs="Courier New" w:hint="default"/>
      </w:rPr>
    </w:lvl>
    <w:lvl w:ilvl="2" w:tplc="09147DC2" w:tentative="1">
      <w:start w:val="1"/>
      <w:numFmt w:val="bullet"/>
      <w:lvlText w:val=""/>
      <w:lvlJc w:val="left"/>
      <w:pPr>
        <w:ind w:left="2160" w:hanging="360"/>
      </w:pPr>
      <w:rPr>
        <w:rFonts w:ascii="Wingdings" w:hAnsi="Wingdings" w:hint="default"/>
      </w:rPr>
    </w:lvl>
    <w:lvl w:ilvl="3" w:tplc="1F6A7CFC" w:tentative="1">
      <w:start w:val="1"/>
      <w:numFmt w:val="bullet"/>
      <w:lvlText w:val=""/>
      <w:lvlJc w:val="left"/>
      <w:pPr>
        <w:ind w:left="2880" w:hanging="360"/>
      </w:pPr>
      <w:rPr>
        <w:rFonts w:ascii="Symbol" w:hAnsi="Symbol" w:hint="default"/>
      </w:rPr>
    </w:lvl>
    <w:lvl w:ilvl="4" w:tplc="3336E8BA" w:tentative="1">
      <w:start w:val="1"/>
      <w:numFmt w:val="bullet"/>
      <w:lvlText w:val="o"/>
      <w:lvlJc w:val="left"/>
      <w:pPr>
        <w:ind w:left="3600" w:hanging="360"/>
      </w:pPr>
      <w:rPr>
        <w:rFonts w:ascii="Courier New" w:hAnsi="Courier New" w:cs="Courier New" w:hint="default"/>
      </w:rPr>
    </w:lvl>
    <w:lvl w:ilvl="5" w:tplc="C9AED72C" w:tentative="1">
      <w:start w:val="1"/>
      <w:numFmt w:val="bullet"/>
      <w:lvlText w:val=""/>
      <w:lvlJc w:val="left"/>
      <w:pPr>
        <w:ind w:left="4320" w:hanging="360"/>
      </w:pPr>
      <w:rPr>
        <w:rFonts w:ascii="Wingdings" w:hAnsi="Wingdings" w:hint="default"/>
      </w:rPr>
    </w:lvl>
    <w:lvl w:ilvl="6" w:tplc="6798CA96" w:tentative="1">
      <w:start w:val="1"/>
      <w:numFmt w:val="bullet"/>
      <w:lvlText w:val=""/>
      <w:lvlJc w:val="left"/>
      <w:pPr>
        <w:ind w:left="5040" w:hanging="360"/>
      </w:pPr>
      <w:rPr>
        <w:rFonts w:ascii="Symbol" w:hAnsi="Symbol" w:hint="default"/>
      </w:rPr>
    </w:lvl>
    <w:lvl w:ilvl="7" w:tplc="84902FF2" w:tentative="1">
      <w:start w:val="1"/>
      <w:numFmt w:val="bullet"/>
      <w:lvlText w:val="o"/>
      <w:lvlJc w:val="left"/>
      <w:pPr>
        <w:ind w:left="5760" w:hanging="360"/>
      </w:pPr>
      <w:rPr>
        <w:rFonts w:ascii="Courier New" w:hAnsi="Courier New" w:cs="Courier New" w:hint="default"/>
      </w:rPr>
    </w:lvl>
    <w:lvl w:ilvl="8" w:tplc="CF4E9C70" w:tentative="1">
      <w:start w:val="1"/>
      <w:numFmt w:val="bullet"/>
      <w:lvlText w:val=""/>
      <w:lvlJc w:val="left"/>
      <w:pPr>
        <w:ind w:left="6480" w:hanging="360"/>
      </w:pPr>
      <w:rPr>
        <w:rFonts w:ascii="Wingdings" w:hAnsi="Wingdings" w:hint="default"/>
      </w:rPr>
    </w:lvl>
  </w:abstractNum>
  <w:abstractNum w:abstractNumId="2" w15:restartNumberingAfterBreak="0">
    <w:nsid w:val="41F462A8"/>
    <w:multiLevelType w:val="hybridMultilevel"/>
    <w:tmpl w:val="331AC340"/>
    <w:lvl w:ilvl="0" w:tplc="1EFE759E">
      <w:start w:val="1"/>
      <w:numFmt w:val="bullet"/>
      <w:lvlText w:val=""/>
      <w:lvlJc w:val="left"/>
      <w:pPr>
        <w:ind w:left="720" w:hanging="360"/>
      </w:pPr>
      <w:rPr>
        <w:rFonts w:ascii="Symbol" w:hAnsi="Symbol" w:hint="default"/>
      </w:rPr>
    </w:lvl>
    <w:lvl w:ilvl="1" w:tplc="BD00554E" w:tentative="1">
      <w:start w:val="1"/>
      <w:numFmt w:val="bullet"/>
      <w:lvlText w:val="o"/>
      <w:lvlJc w:val="left"/>
      <w:pPr>
        <w:ind w:left="1440" w:hanging="360"/>
      </w:pPr>
      <w:rPr>
        <w:rFonts w:ascii="Courier New" w:hAnsi="Courier New" w:cs="Courier New" w:hint="default"/>
      </w:rPr>
    </w:lvl>
    <w:lvl w:ilvl="2" w:tplc="1E0AAD6A" w:tentative="1">
      <w:start w:val="1"/>
      <w:numFmt w:val="bullet"/>
      <w:lvlText w:val=""/>
      <w:lvlJc w:val="left"/>
      <w:pPr>
        <w:ind w:left="2160" w:hanging="360"/>
      </w:pPr>
      <w:rPr>
        <w:rFonts w:ascii="Wingdings" w:hAnsi="Wingdings" w:hint="default"/>
      </w:rPr>
    </w:lvl>
    <w:lvl w:ilvl="3" w:tplc="690EA402" w:tentative="1">
      <w:start w:val="1"/>
      <w:numFmt w:val="bullet"/>
      <w:lvlText w:val=""/>
      <w:lvlJc w:val="left"/>
      <w:pPr>
        <w:ind w:left="2880" w:hanging="360"/>
      </w:pPr>
      <w:rPr>
        <w:rFonts w:ascii="Symbol" w:hAnsi="Symbol" w:hint="default"/>
      </w:rPr>
    </w:lvl>
    <w:lvl w:ilvl="4" w:tplc="8D522C58" w:tentative="1">
      <w:start w:val="1"/>
      <w:numFmt w:val="bullet"/>
      <w:lvlText w:val="o"/>
      <w:lvlJc w:val="left"/>
      <w:pPr>
        <w:ind w:left="3600" w:hanging="360"/>
      </w:pPr>
      <w:rPr>
        <w:rFonts w:ascii="Courier New" w:hAnsi="Courier New" w:cs="Courier New" w:hint="default"/>
      </w:rPr>
    </w:lvl>
    <w:lvl w:ilvl="5" w:tplc="7C822786" w:tentative="1">
      <w:start w:val="1"/>
      <w:numFmt w:val="bullet"/>
      <w:lvlText w:val=""/>
      <w:lvlJc w:val="left"/>
      <w:pPr>
        <w:ind w:left="4320" w:hanging="360"/>
      </w:pPr>
      <w:rPr>
        <w:rFonts w:ascii="Wingdings" w:hAnsi="Wingdings" w:hint="default"/>
      </w:rPr>
    </w:lvl>
    <w:lvl w:ilvl="6" w:tplc="ABECF166" w:tentative="1">
      <w:start w:val="1"/>
      <w:numFmt w:val="bullet"/>
      <w:lvlText w:val=""/>
      <w:lvlJc w:val="left"/>
      <w:pPr>
        <w:ind w:left="5040" w:hanging="360"/>
      </w:pPr>
      <w:rPr>
        <w:rFonts w:ascii="Symbol" w:hAnsi="Symbol" w:hint="default"/>
      </w:rPr>
    </w:lvl>
    <w:lvl w:ilvl="7" w:tplc="5D502D64" w:tentative="1">
      <w:start w:val="1"/>
      <w:numFmt w:val="bullet"/>
      <w:lvlText w:val="o"/>
      <w:lvlJc w:val="left"/>
      <w:pPr>
        <w:ind w:left="5760" w:hanging="360"/>
      </w:pPr>
      <w:rPr>
        <w:rFonts w:ascii="Courier New" w:hAnsi="Courier New" w:cs="Courier New" w:hint="default"/>
      </w:rPr>
    </w:lvl>
    <w:lvl w:ilvl="8" w:tplc="BAB67228" w:tentative="1">
      <w:start w:val="1"/>
      <w:numFmt w:val="bullet"/>
      <w:lvlText w:val=""/>
      <w:lvlJc w:val="left"/>
      <w:pPr>
        <w:ind w:left="6480" w:hanging="360"/>
      </w:pPr>
      <w:rPr>
        <w:rFonts w:ascii="Wingdings" w:hAnsi="Wingdings" w:hint="default"/>
      </w:rPr>
    </w:lvl>
  </w:abstractNum>
  <w:abstractNum w:abstractNumId="3" w15:restartNumberingAfterBreak="0">
    <w:nsid w:val="720D2B9D"/>
    <w:multiLevelType w:val="hybridMultilevel"/>
    <w:tmpl w:val="F7C2634E"/>
    <w:lvl w:ilvl="0" w:tplc="B59476DA">
      <w:start w:val="201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61212224">
    <w:abstractNumId w:val="3"/>
  </w:num>
  <w:num w:numId="2" w16cid:durableId="863901130">
    <w:abstractNumId w:val="0"/>
  </w:num>
  <w:num w:numId="3" w16cid:durableId="966474182">
    <w:abstractNumId w:val="2"/>
  </w:num>
  <w:num w:numId="4" w16cid:durableId="16073496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8B3"/>
    <w:rsid w:val="00023E9E"/>
    <w:rsid w:val="0002761D"/>
    <w:rsid w:val="00052857"/>
    <w:rsid w:val="00053F16"/>
    <w:rsid w:val="00093854"/>
    <w:rsid w:val="000C2F2A"/>
    <w:rsid w:val="000D2E30"/>
    <w:rsid w:val="000D44E1"/>
    <w:rsid w:val="001144BD"/>
    <w:rsid w:val="001151B8"/>
    <w:rsid w:val="0012120C"/>
    <w:rsid w:val="00171415"/>
    <w:rsid w:val="001807C2"/>
    <w:rsid w:val="001A7E04"/>
    <w:rsid w:val="001C0E2D"/>
    <w:rsid w:val="00217A79"/>
    <w:rsid w:val="0023752E"/>
    <w:rsid w:val="002770D2"/>
    <w:rsid w:val="002D193D"/>
    <w:rsid w:val="00306861"/>
    <w:rsid w:val="003103C8"/>
    <w:rsid w:val="00322FC3"/>
    <w:rsid w:val="00331B03"/>
    <w:rsid w:val="00367085"/>
    <w:rsid w:val="003A73E3"/>
    <w:rsid w:val="003A7B3E"/>
    <w:rsid w:val="003F0977"/>
    <w:rsid w:val="003F546F"/>
    <w:rsid w:val="004656B2"/>
    <w:rsid w:val="004909ED"/>
    <w:rsid w:val="004A627F"/>
    <w:rsid w:val="004F3A5E"/>
    <w:rsid w:val="00523414"/>
    <w:rsid w:val="005C74BB"/>
    <w:rsid w:val="005E6483"/>
    <w:rsid w:val="005F2845"/>
    <w:rsid w:val="005F34DF"/>
    <w:rsid w:val="005F6A60"/>
    <w:rsid w:val="0060110A"/>
    <w:rsid w:val="00603030"/>
    <w:rsid w:val="006045BD"/>
    <w:rsid w:val="006162E4"/>
    <w:rsid w:val="00662610"/>
    <w:rsid w:val="006646B9"/>
    <w:rsid w:val="00692079"/>
    <w:rsid w:val="00694C71"/>
    <w:rsid w:val="006A1DEA"/>
    <w:rsid w:val="006A7490"/>
    <w:rsid w:val="006B6162"/>
    <w:rsid w:val="006D36E5"/>
    <w:rsid w:val="00722F58"/>
    <w:rsid w:val="007271B6"/>
    <w:rsid w:val="00747CA7"/>
    <w:rsid w:val="007525FB"/>
    <w:rsid w:val="007926E5"/>
    <w:rsid w:val="007A3E63"/>
    <w:rsid w:val="007C2E48"/>
    <w:rsid w:val="007E2B94"/>
    <w:rsid w:val="00802E71"/>
    <w:rsid w:val="00824280"/>
    <w:rsid w:val="00826BD1"/>
    <w:rsid w:val="00835A1E"/>
    <w:rsid w:val="00841022"/>
    <w:rsid w:val="00844385"/>
    <w:rsid w:val="00846984"/>
    <w:rsid w:val="00874CB0"/>
    <w:rsid w:val="008A701E"/>
    <w:rsid w:val="008B107C"/>
    <w:rsid w:val="008B2FC1"/>
    <w:rsid w:val="008B78CD"/>
    <w:rsid w:val="008C3460"/>
    <w:rsid w:val="008E52A0"/>
    <w:rsid w:val="008F6541"/>
    <w:rsid w:val="00905A2A"/>
    <w:rsid w:val="00907CCB"/>
    <w:rsid w:val="00922245"/>
    <w:rsid w:val="00923840"/>
    <w:rsid w:val="0092386A"/>
    <w:rsid w:val="009309B6"/>
    <w:rsid w:val="0094394C"/>
    <w:rsid w:val="00954EF4"/>
    <w:rsid w:val="009607CC"/>
    <w:rsid w:val="0099165B"/>
    <w:rsid w:val="009A78BB"/>
    <w:rsid w:val="009F1355"/>
    <w:rsid w:val="00A036E5"/>
    <w:rsid w:val="00A37152"/>
    <w:rsid w:val="00A67639"/>
    <w:rsid w:val="00AD1828"/>
    <w:rsid w:val="00AE0709"/>
    <w:rsid w:val="00AE2333"/>
    <w:rsid w:val="00AF3A75"/>
    <w:rsid w:val="00AF6F4A"/>
    <w:rsid w:val="00B06243"/>
    <w:rsid w:val="00B74058"/>
    <w:rsid w:val="00BE2E0A"/>
    <w:rsid w:val="00C7124F"/>
    <w:rsid w:val="00CB12E1"/>
    <w:rsid w:val="00CB630F"/>
    <w:rsid w:val="00CC06AB"/>
    <w:rsid w:val="00D148D6"/>
    <w:rsid w:val="00D175E7"/>
    <w:rsid w:val="00D42C75"/>
    <w:rsid w:val="00D47E24"/>
    <w:rsid w:val="00D56C6A"/>
    <w:rsid w:val="00D957E3"/>
    <w:rsid w:val="00D97307"/>
    <w:rsid w:val="00DA7F09"/>
    <w:rsid w:val="00DC43E0"/>
    <w:rsid w:val="00DC4CD1"/>
    <w:rsid w:val="00DF1D63"/>
    <w:rsid w:val="00E2020B"/>
    <w:rsid w:val="00E2610A"/>
    <w:rsid w:val="00E270F2"/>
    <w:rsid w:val="00E27D9A"/>
    <w:rsid w:val="00E329BF"/>
    <w:rsid w:val="00E42523"/>
    <w:rsid w:val="00E527E5"/>
    <w:rsid w:val="00E554C7"/>
    <w:rsid w:val="00E615ED"/>
    <w:rsid w:val="00E92396"/>
    <w:rsid w:val="00E96608"/>
    <w:rsid w:val="00F00C27"/>
    <w:rsid w:val="00F30629"/>
    <w:rsid w:val="00F72EE1"/>
    <w:rsid w:val="00F808B3"/>
    <w:rsid w:val="00F82DA3"/>
    <w:rsid w:val="00F85FD4"/>
    <w:rsid w:val="00FC3E65"/>
    <w:rsid w:val="00FD238A"/>
    <w:rsid w:val="00FF6FB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899B7DD"/>
  <w15:docId w15:val="{16AB16CC-A16F-4A2B-8DF2-B88CB6DC2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8B3"/>
  </w:style>
  <w:style w:type="paragraph" w:styleId="Heading1">
    <w:name w:val="heading 1"/>
    <w:basedOn w:val="Normal"/>
    <w:next w:val="Normal"/>
    <w:link w:val="Heading1Char"/>
    <w:uiPriority w:val="9"/>
    <w:qFormat/>
    <w:rsid w:val="004909ED"/>
    <w:pPr>
      <w:spacing w:after="0" w:line="480" w:lineRule="auto"/>
      <w:contextualSpacing/>
      <w:jc w:val="center"/>
      <w:outlineLvl w:val="0"/>
    </w:pPr>
    <w:rPr>
      <w:rFonts w:ascii="Times New Roman" w:eastAsia="Calibri" w:hAnsi="Times New Roman" w:cs="Times New Roman"/>
      <w:b/>
      <w:kern w:val="0"/>
      <w:sz w:val="24"/>
      <w:szCs w:val="24"/>
      <w:lang w:val="en-US"/>
      <w14:ligatures w14:val="none"/>
    </w:rPr>
  </w:style>
  <w:style w:type="paragraph" w:styleId="Heading2">
    <w:name w:val="heading 2"/>
    <w:basedOn w:val="Normal"/>
    <w:next w:val="Normal"/>
    <w:link w:val="Heading2Char"/>
    <w:uiPriority w:val="9"/>
    <w:unhideWhenUsed/>
    <w:qFormat/>
    <w:rsid w:val="008B2FC1"/>
    <w:pPr>
      <w:outlineLvl w:val="1"/>
    </w:pPr>
    <w:rPr>
      <w:rFonts w:ascii="Times New Roman" w:hAnsi="Times New Roman" w:cs="Times New Roman"/>
      <w:b/>
      <w:kern w:val="0"/>
      <w:sz w:val="24"/>
      <w:szCs w:val="24"/>
      <w14:ligatures w14:val="none"/>
    </w:rPr>
  </w:style>
  <w:style w:type="paragraph" w:styleId="Heading3">
    <w:name w:val="heading 3"/>
    <w:basedOn w:val="Normal"/>
    <w:next w:val="Normal"/>
    <w:link w:val="Heading3Char"/>
    <w:uiPriority w:val="9"/>
    <w:unhideWhenUsed/>
    <w:qFormat/>
    <w:rsid w:val="008B2FC1"/>
    <w:pPr>
      <w:ind w:firstLine="720"/>
      <w:outlineLvl w:val="2"/>
    </w:pPr>
    <w:rPr>
      <w:rFonts w:ascii="Times New Roman" w:hAnsi="Times New Roman" w:cs="Times New Roman"/>
      <w:b/>
      <w:i/>
      <w:kern w:val="0"/>
      <w:sz w:val="24"/>
      <w:szCs w:val="24"/>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808B3"/>
    <w:pPr>
      <w:spacing w:after="0" w:line="240" w:lineRule="auto"/>
    </w:pPr>
    <w:rPr>
      <w:kern w:val="0"/>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175E7"/>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175E7"/>
    <w:rPr>
      <w:rFonts w:ascii="Lucida Grande" w:hAnsi="Lucida Grande" w:cs="Lucida Grande"/>
      <w:sz w:val="18"/>
      <w:szCs w:val="18"/>
    </w:rPr>
  </w:style>
  <w:style w:type="character" w:customStyle="1" w:styleId="Heading1Char">
    <w:name w:val="Heading 1 Char"/>
    <w:basedOn w:val="DefaultParagraphFont"/>
    <w:link w:val="Heading1"/>
    <w:uiPriority w:val="9"/>
    <w:rsid w:val="004909ED"/>
    <w:rPr>
      <w:rFonts w:ascii="Times New Roman" w:eastAsia="Calibri" w:hAnsi="Times New Roman" w:cs="Times New Roman"/>
      <w:b/>
      <w:kern w:val="0"/>
      <w:sz w:val="24"/>
      <w:szCs w:val="24"/>
      <w:lang w:val="en-US"/>
      <w14:ligatures w14:val="none"/>
    </w:rPr>
  </w:style>
  <w:style w:type="character" w:customStyle="1" w:styleId="Heading2Char">
    <w:name w:val="Heading 2 Char"/>
    <w:basedOn w:val="DefaultParagraphFont"/>
    <w:link w:val="Heading2"/>
    <w:uiPriority w:val="9"/>
    <w:rsid w:val="008B2FC1"/>
    <w:rPr>
      <w:rFonts w:ascii="Times New Roman" w:hAnsi="Times New Roman" w:cs="Times New Roman"/>
      <w:b/>
      <w:kern w:val="0"/>
      <w:sz w:val="24"/>
      <w:szCs w:val="24"/>
      <w14:ligatures w14:val="none"/>
    </w:rPr>
  </w:style>
  <w:style w:type="character" w:customStyle="1" w:styleId="Heading3Char">
    <w:name w:val="Heading 3 Char"/>
    <w:basedOn w:val="DefaultParagraphFont"/>
    <w:link w:val="Heading3"/>
    <w:uiPriority w:val="9"/>
    <w:rsid w:val="008B2FC1"/>
    <w:rPr>
      <w:rFonts w:ascii="Times New Roman" w:hAnsi="Times New Roman" w:cs="Times New Roman"/>
      <w:b/>
      <w:i/>
      <w:kern w:val="0"/>
      <w:sz w:val="24"/>
      <w:szCs w:val="24"/>
      <w14:ligatures w14:val="none"/>
    </w:rPr>
  </w:style>
  <w:style w:type="paragraph" w:styleId="TOC1">
    <w:name w:val="toc 1"/>
    <w:basedOn w:val="Normal"/>
    <w:next w:val="Normal"/>
    <w:autoRedefine/>
    <w:uiPriority w:val="39"/>
    <w:unhideWhenUsed/>
    <w:rsid w:val="00923840"/>
  </w:style>
  <w:style w:type="paragraph" w:styleId="TOC2">
    <w:name w:val="toc 2"/>
    <w:basedOn w:val="Normal"/>
    <w:next w:val="Normal"/>
    <w:autoRedefine/>
    <w:uiPriority w:val="39"/>
    <w:unhideWhenUsed/>
    <w:rsid w:val="00923840"/>
    <w:pPr>
      <w:ind w:left="220"/>
    </w:pPr>
  </w:style>
  <w:style w:type="paragraph" w:styleId="TOC3">
    <w:name w:val="toc 3"/>
    <w:basedOn w:val="Normal"/>
    <w:next w:val="Normal"/>
    <w:autoRedefine/>
    <w:uiPriority w:val="39"/>
    <w:unhideWhenUsed/>
    <w:rsid w:val="00923840"/>
    <w:pPr>
      <w:ind w:left="440"/>
    </w:pPr>
  </w:style>
  <w:style w:type="paragraph" w:styleId="TOC4">
    <w:name w:val="toc 4"/>
    <w:basedOn w:val="Normal"/>
    <w:next w:val="Normal"/>
    <w:autoRedefine/>
    <w:uiPriority w:val="39"/>
    <w:unhideWhenUsed/>
    <w:rsid w:val="00923840"/>
    <w:pPr>
      <w:ind w:left="660"/>
    </w:pPr>
  </w:style>
  <w:style w:type="paragraph" w:styleId="TOC5">
    <w:name w:val="toc 5"/>
    <w:basedOn w:val="Normal"/>
    <w:next w:val="Normal"/>
    <w:autoRedefine/>
    <w:uiPriority w:val="39"/>
    <w:unhideWhenUsed/>
    <w:rsid w:val="00923840"/>
    <w:pPr>
      <w:ind w:left="880"/>
    </w:pPr>
  </w:style>
  <w:style w:type="paragraph" w:styleId="TOC6">
    <w:name w:val="toc 6"/>
    <w:basedOn w:val="Normal"/>
    <w:next w:val="Normal"/>
    <w:autoRedefine/>
    <w:uiPriority w:val="39"/>
    <w:unhideWhenUsed/>
    <w:rsid w:val="00923840"/>
    <w:pPr>
      <w:ind w:left="1100"/>
    </w:pPr>
  </w:style>
  <w:style w:type="paragraph" w:styleId="TOC7">
    <w:name w:val="toc 7"/>
    <w:basedOn w:val="Normal"/>
    <w:next w:val="Normal"/>
    <w:autoRedefine/>
    <w:uiPriority w:val="39"/>
    <w:unhideWhenUsed/>
    <w:rsid w:val="00923840"/>
    <w:pPr>
      <w:ind w:left="1320"/>
    </w:pPr>
  </w:style>
  <w:style w:type="paragraph" w:styleId="TOC8">
    <w:name w:val="toc 8"/>
    <w:basedOn w:val="Normal"/>
    <w:next w:val="Normal"/>
    <w:autoRedefine/>
    <w:uiPriority w:val="39"/>
    <w:unhideWhenUsed/>
    <w:rsid w:val="00923840"/>
    <w:pPr>
      <w:ind w:left="1540"/>
    </w:pPr>
  </w:style>
  <w:style w:type="paragraph" w:styleId="TOC9">
    <w:name w:val="toc 9"/>
    <w:basedOn w:val="Normal"/>
    <w:next w:val="Normal"/>
    <w:autoRedefine/>
    <w:uiPriority w:val="39"/>
    <w:unhideWhenUsed/>
    <w:rsid w:val="00923840"/>
    <w:pPr>
      <w:ind w:left="1760"/>
    </w:pPr>
  </w:style>
  <w:style w:type="paragraph" w:styleId="Header">
    <w:name w:val="header"/>
    <w:basedOn w:val="Normal"/>
    <w:link w:val="HeaderChar"/>
    <w:uiPriority w:val="99"/>
    <w:unhideWhenUsed/>
    <w:rsid w:val="00A036E5"/>
    <w:pPr>
      <w:tabs>
        <w:tab w:val="center" w:pos="4320"/>
        <w:tab w:val="right" w:pos="8640"/>
      </w:tabs>
      <w:spacing w:after="0" w:line="240" w:lineRule="auto"/>
    </w:pPr>
  </w:style>
  <w:style w:type="character" w:customStyle="1" w:styleId="HeaderChar">
    <w:name w:val="Header Char"/>
    <w:basedOn w:val="DefaultParagraphFont"/>
    <w:link w:val="Header"/>
    <w:uiPriority w:val="99"/>
    <w:rsid w:val="00A036E5"/>
  </w:style>
  <w:style w:type="paragraph" w:styleId="Footer">
    <w:name w:val="footer"/>
    <w:basedOn w:val="Normal"/>
    <w:link w:val="FooterChar"/>
    <w:uiPriority w:val="99"/>
    <w:unhideWhenUsed/>
    <w:rsid w:val="00A036E5"/>
    <w:pPr>
      <w:tabs>
        <w:tab w:val="center" w:pos="4320"/>
        <w:tab w:val="right" w:pos="8640"/>
      </w:tabs>
      <w:spacing w:after="0" w:line="240" w:lineRule="auto"/>
    </w:pPr>
  </w:style>
  <w:style w:type="character" w:customStyle="1" w:styleId="FooterChar">
    <w:name w:val="Footer Char"/>
    <w:basedOn w:val="DefaultParagraphFont"/>
    <w:link w:val="Footer"/>
    <w:uiPriority w:val="99"/>
    <w:rsid w:val="00A036E5"/>
  </w:style>
  <w:style w:type="character" w:styleId="PageNumber">
    <w:name w:val="page number"/>
    <w:basedOn w:val="DefaultParagraphFont"/>
    <w:uiPriority w:val="99"/>
    <w:semiHidden/>
    <w:unhideWhenUsed/>
    <w:rsid w:val="00A036E5"/>
  </w:style>
  <w:style w:type="character" w:styleId="CommentReference">
    <w:name w:val="annotation reference"/>
    <w:basedOn w:val="DefaultParagraphFont"/>
    <w:uiPriority w:val="99"/>
    <w:semiHidden/>
    <w:unhideWhenUsed/>
    <w:rsid w:val="00A036E5"/>
    <w:rPr>
      <w:sz w:val="18"/>
      <w:szCs w:val="18"/>
    </w:rPr>
  </w:style>
  <w:style w:type="paragraph" w:styleId="CommentText">
    <w:name w:val="annotation text"/>
    <w:basedOn w:val="Normal"/>
    <w:link w:val="CommentTextChar"/>
    <w:uiPriority w:val="99"/>
    <w:unhideWhenUsed/>
    <w:rsid w:val="00A036E5"/>
    <w:pPr>
      <w:spacing w:line="240" w:lineRule="auto"/>
    </w:pPr>
    <w:rPr>
      <w:sz w:val="24"/>
      <w:szCs w:val="24"/>
    </w:rPr>
  </w:style>
  <w:style w:type="character" w:customStyle="1" w:styleId="CommentTextChar">
    <w:name w:val="Comment Text Char"/>
    <w:basedOn w:val="DefaultParagraphFont"/>
    <w:link w:val="CommentText"/>
    <w:uiPriority w:val="99"/>
    <w:rsid w:val="00A036E5"/>
    <w:rPr>
      <w:sz w:val="24"/>
      <w:szCs w:val="24"/>
    </w:rPr>
  </w:style>
  <w:style w:type="paragraph" w:styleId="CommentSubject">
    <w:name w:val="annotation subject"/>
    <w:basedOn w:val="CommentText"/>
    <w:next w:val="CommentText"/>
    <w:link w:val="CommentSubjectChar"/>
    <w:uiPriority w:val="99"/>
    <w:semiHidden/>
    <w:unhideWhenUsed/>
    <w:rsid w:val="00A036E5"/>
    <w:rPr>
      <w:b/>
      <w:bCs/>
      <w:sz w:val="20"/>
      <w:szCs w:val="20"/>
    </w:rPr>
  </w:style>
  <w:style w:type="character" w:customStyle="1" w:styleId="CommentSubjectChar">
    <w:name w:val="Comment Subject Char"/>
    <w:basedOn w:val="CommentTextChar"/>
    <w:link w:val="CommentSubject"/>
    <w:uiPriority w:val="99"/>
    <w:semiHidden/>
    <w:rsid w:val="00A036E5"/>
    <w:rPr>
      <w:b/>
      <w:bCs/>
      <w:sz w:val="20"/>
      <w:szCs w:val="20"/>
    </w:rPr>
  </w:style>
  <w:style w:type="character" w:styleId="Hyperlink">
    <w:name w:val="Hyperlink"/>
    <w:basedOn w:val="DefaultParagraphFont"/>
    <w:uiPriority w:val="99"/>
    <w:unhideWhenUsed/>
    <w:rsid w:val="00922245"/>
    <w:rPr>
      <w:color w:val="0563C1" w:themeColor="hyperlink"/>
      <w:u w:val="single"/>
    </w:rPr>
  </w:style>
  <w:style w:type="character" w:styleId="UnresolvedMention">
    <w:name w:val="Unresolved Mention"/>
    <w:basedOn w:val="DefaultParagraphFont"/>
    <w:uiPriority w:val="99"/>
    <w:semiHidden/>
    <w:unhideWhenUsed/>
    <w:rsid w:val="009222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doi.org/10.2139/ssrn.4318880" TargetMode="External"/><Relationship Id="rId18" Type="http://schemas.openxmlformats.org/officeDocument/2006/relationships/hyperlink" Target="https://doi.org/10.1111/fire.12340" TargetMode="External"/><Relationship Id="rId26" Type="http://schemas.openxmlformats.org/officeDocument/2006/relationships/hyperlink" Target="https://doi.org/10.1016/j.techfore.2019.119751" TargetMode="External"/><Relationship Id="rId39" Type="http://schemas.openxmlformats.org/officeDocument/2006/relationships/hyperlink" Target="https://doi.org/10.18506/anemon.712351" TargetMode="External"/><Relationship Id="rId3" Type="http://schemas.openxmlformats.org/officeDocument/2006/relationships/settings" Target="settings.xml"/><Relationship Id="rId21" Type="http://schemas.openxmlformats.org/officeDocument/2006/relationships/hyperlink" Target="https://papers.ssrn.com/sol3/papers.cfm?abstract_id=2998830" TargetMode="External"/><Relationship Id="rId34" Type="http://schemas.openxmlformats.org/officeDocument/2006/relationships/hyperlink" Target="https://search.proquest.com/openview/425834d5c75a9afff19581f31aff5915/1?pq-origsite=gscholar&amp;cbl=2044398" TargetMode="External"/><Relationship Id="rId42" Type="http://schemas.openxmlformats.org/officeDocument/2006/relationships/hyperlink" Target="https://www.europarl.europa.eu/thinktank/en/document/IPOL_STU(2023)740083" TargetMode="External"/><Relationship Id="rId7" Type="http://schemas.openxmlformats.org/officeDocument/2006/relationships/diagramData" Target="diagrams/data1.xml"/><Relationship Id="rId12" Type="http://schemas.openxmlformats.org/officeDocument/2006/relationships/hyperlink" Target="https://doi.org/10.1108/cg-12-2019-0389" TargetMode="External"/><Relationship Id="rId17" Type="http://schemas.openxmlformats.org/officeDocument/2006/relationships/hyperlink" Target="https://doi.org/10.2139/ssrn.4283333" TargetMode="External"/><Relationship Id="rId25" Type="http://schemas.openxmlformats.org/officeDocument/2006/relationships/hyperlink" Target="https://openyls.law.yale.edu/bitstream/handle/20.500.13051/18354/FRAUD%20IN%20A%20LAND%20OF%20PLENTY.pdf?sequence=1&amp;isAllowed=y" TargetMode="External"/><Relationship Id="rId33" Type="http://schemas.openxmlformats.org/officeDocument/2006/relationships/hyperlink" Target="https://doi.org/10.1108/jeee-06-2018-0064" TargetMode="External"/><Relationship Id="rId38" Type="http://schemas.openxmlformats.org/officeDocument/2006/relationships/hyperlink" Target="http://stakeholdertheory.org/about/"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youtube.com/watch?v=3QpdU9LS540" TargetMode="External"/><Relationship Id="rId20" Type="http://schemas.openxmlformats.org/officeDocument/2006/relationships/hyperlink" Target="https://corpgov.law.harvard.edu/2022/02/21/2022-global-and-regional-trends-in-corporate-governance/" TargetMode="External"/><Relationship Id="rId29" Type="http://schemas.openxmlformats.org/officeDocument/2006/relationships/hyperlink" Target="https://doi.org/10.2139/ssrn.3963205" TargetMode="External"/><Relationship Id="rId41" Type="http://schemas.openxmlformats.org/officeDocument/2006/relationships/hyperlink" Target="https://doi.org/10.1016/j.physa.2023.129044"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hyperlink" Target="https://www.consumernotice.org/legal/crypto-bankruptcies/#:~:text=A%20number%20of%20cryptocurrency%20companies,than%20%242%20trillion%20in%202022" TargetMode="External"/><Relationship Id="rId32" Type="http://schemas.openxmlformats.org/officeDocument/2006/relationships/hyperlink" Target="https://papers.ssrn.com/sol3/papers.cfm?abstract_id=3572765" TargetMode="External"/><Relationship Id="rId37" Type="http://schemas.openxmlformats.org/officeDocument/2006/relationships/hyperlink" Target="https://doi.org/10.1017/s1744137421000606" TargetMode="External"/><Relationship Id="rId40" Type="http://schemas.openxmlformats.org/officeDocument/2006/relationships/hyperlink" Target="https://doi.org/10.2139/ssrn.4290093"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2139/ssrn.4372516" TargetMode="External"/><Relationship Id="rId23" Type="http://schemas.openxmlformats.org/officeDocument/2006/relationships/hyperlink" Target="https://assets.kpmg.com/content/dam/kpmg/cn/pdf/en/2022/11/the-collapse-of-ftx.pdf" TargetMode="External"/><Relationship Id="rId28" Type="http://schemas.openxmlformats.org/officeDocument/2006/relationships/hyperlink" Target="https://scholarship.law.vanderbilt.edu/vlr/vol75/iss1/6/" TargetMode="External"/><Relationship Id="rId36" Type="http://schemas.openxmlformats.org/officeDocument/2006/relationships/hyperlink" Target="https://doi.org/10.1080/00036846.2021.1899119" TargetMode="External"/><Relationship Id="rId10" Type="http://schemas.openxmlformats.org/officeDocument/2006/relationships/diagramColors" Target="diagrams/colors1.xml"/><Relationship Id="rId19" Type="http://schemas.openxmlformats.org/officeDocument/2006/relationships/hyperlink" Target="https://doi.org/10.48550/arxiv.2212.09436" TargetMode="External"/><Relationship Id="rId31" Type="http://schemas.openxmlformats.org/officeDocument/2006/relationships/hyperlink" Target="https://www.coindesk.com/business/2023/10/04/alameda-was-business-as-usual-before-collapse-ex-engineer/" TargetMode="External"/><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doi.org/10.3390/jrfm16070305" TargetMode="External"/><Relationship Id="rId22" Type="http://schemas.openxmlformats.org/officeDocument/2006/relationships/hyperlink" Target="https://doi.org/10.1093/cmlj/kmad019" TargetMode="External"/><Relationship Id="rId27" Type="http://schemas.openxmlformats.org/officeDocument/2006/relationships/hyperlink" Target="http://dspace.unive.it/bitstream/handle/10579/23547/858038-1274102.pdf?sequence=2" TargetMode="External"/><Relationship Id="rId30" Type="http://schemas.openxmlformats.org/officeDocument/2006/relationships/hyperlink" Target="https://papers.ssrn.com/sol3/papers.cfm?abstract_id=4360876" TargetMode="External"/><Relationship Id="rId35" Type="http://schemas.openxmlformats.org/officeDocument/2006/relationships/hyperlink" Target="https://doi.org/10.1007/s10676-019-09502-5" TargetMode="External"/><Relationship Id="rId43"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0C6EC5B-7FDB-48B9-9B62-395BA7F730F8}" type="doc">
      <dgm:prSet loTypeId="urn:microsoft.com/office/officeart/2005/8/layout/hierarchy2" loCatId="hierarchy" qsTypeId="urn:microsoft.com/office/officeart/2005/8/quickstyle/simple3" qsCatId="simple" csTypeId="urn:microsoft.com/office/officeart/2005/8/colors/accent1_2" csCatId="accent1" phldr="1"/>
      <dgm:spPr/>
      <dgm:t>
        <a:bodyPr/>
        <a:lstStyle/>
        <a:p>
          <a:endParaRPr lang="x-none"/>
        </a:p>
      </dgm:t>
    </dgm:pt>
    <dgm:pt modelId="{89A12213-B262-4894-ABF7-3AF93A3CED7E}">
      <dgm:prSet phldrT="[Text]"/>
      <dgm:spPr>
        <a:xfrm>
          <a:off x="3725" y="2656441"/>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US">
              <a:solidFill>
                <a:sysClr val="windowText" lastClr="000000"/>
              </a:solidFill>
              <a:latin typeface="Calibri" panose="020F0502020204030204"/>
              <a:ea typeface="+mn-ea"/>
              <a:cs typeface="+mn-cs"/>
            </a:rPr>
            <a:t>Corporate governance failure</a:t>
          </a:r>
          <a:endParaRPr lang="x-none">
            <a:solidFill>
              <a:sysClr val="windowText" lastClr="000000"/>
            </a:solidFill>
            <a:latin typeface="Calibri" panose="020F0502020204030204"/>
            <a:ea typeface="+mn-ea"/>
            <a:cs typeface="+mn-cs"/>
          </a:endParaRPr>
        </a:p>
      </dgm:t>
    </dgm:pt>
    <dgm:pt modelId="{8B750605-5BD9-43CF-87D8-1CB486539940}" type="parTrans" cxnId="{A0202459-0D83-473E-9F94-278EABBAFB34}">
      <dgm:prSet/>
      <dgm:spPr/>
      <dgm:t>
        <a:bodyPr/>
        <a:lstStyle/>
        <a:p>
          <a:endParaRPr lang="x-none"/>
        </a:p>
      </dgm:t>
    </dgm:pt>
    <dgm:pt modelId="{BBB03D00-7C98-46CE-A011-E65E7E013C31}" type="sibTrans" cxnId="{A0202459-0D83-473E-9F94-278EABBAFB34}">
      <dgm:prSet/>
      <dgm:spPr/>
      <dgm:t>
        <a:bodyPr/>
        <a:lstStyle/>
        <a:p>
          <a:endParaRPr lang="x-none"/>
        </a:p>
      </dgm:t>
    </dgm:pt>
    <dgm:pt modelId="{B9220782-FB01-4E1F-96D4-E83246FF793D}">
      <dgm:prSet phldrT="[Text]"/>
      <dgm:spPr>
        <a:xfrm>
          <a:off x="1620383" y="1660464"/>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US">
              <a:solidFill>
                <a:sysClr val="windowText" lastClr="000000"/>
              </a:solidFill>
              <a:latin typeface="Calibri" panose="020F0502020204030204"/>
              <a:ea typeface="+mn-ea"/>
              <a:cs typeface="+mn-cs"/>
            </a:rPr>
            <a:t>Absence of Governance</a:t>
          </a:r>
          <a:endParaRPr lang="x-none">
            <a:solidFill>
              <a:sysClr val="windowText" lastClr="000000"/>
            </a:solidFill>
            <a:latin typeface="Calibri" panose="020F0502020204030204"/>
            <a:ea typeface="+mn-ea"/>
            <a:cs typeface="+mn-cs"/>
          </a:endParaRPr>
        </a:p>
      </dgm:t>
    </dgm:pt>
    <dgm:pt modelId="{EE468AAC-F984-4B1A-9C40-FBFB089918B2}" type="parTrans" cxnId="{EBED3D9A-BDAC-4F6B-A4BD-9509E90C6059}">
      <dgm:prSet/>
      <dgm:spPr>
        <a:xfrm rot="17692822">
          <a:off x="840496" y="2438319"/>
          <a:ext cx="1097872" cy="17644"/>
        </a:xfrm>
        <a:custGeom>
          <a:avLst/>
          <a:gdLst/>
          <a:ahLst/>
          <a:cxnLst/>
          <a:rect l="0" t="0" r="0" b="0"/>
          <a:pathLst>
            <a:path>
              <a:moveTo>
                <a:pt x="0" y="8822"/>
              </a:moveTo>
              <a:lnTo>
                <a:pt x="1097872" y="8822"/>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x-none">
            <a:solidFill>
              <a:sysClr val="windowText" lastClr="000000">
                <a:hueOff val="0"/>
                <a:satOff val="0"/>
                <a:lumOff val="0"/>
                <a:alphaOff val="0"/>
              </a:sysClr>
            </a:solidFill>
            <a:latin typeface="Calibri" panose="020F0502020204030204"/>
            <a:ea typeface="+mn-ea"/>
            <a:cs typeface="+mn-cs"/>
          </a:endParaRPr>
        </a:p>
      </dgm:t>
    </dgm:pt>
    <dgm:pt modelId="{A49337F0-14BE-4D76-9288-4720BA0A7D10}" type="sibTrans" cxnId="{EBED3D9A-BDAC-4F6B-A4BD-9509E90C6059}">
      <dgm:prSet/>
      <dgm:spPr/>
      <dgm:t>
        <a:bodyPr/>
        <a:lstStyle/>
        <a:p>
          <a:endParaRPr lang="x-none"/>
        </a:p>
      </dgm:t>
    </dgm:pt>
    <dgm:pt modelId="{A289B8C2-A0B8-4BED-B621-ACF1BB4F8E6D}">
      <dgm:prSet phldrT="[Text]"/>
      <dgm:spPr>
        <a:xfrm>
          <a:off x="3237041" y="996479"/>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US">
              <a:solidFill>
                <a:sysClr val="windowText" lastClr="000000"/>
              </a:solidFill>
              <a:latin typeface="Calibri" panose="020F0502020204030204"/>
              <a:ea typeface="+mn-ea"/>
              <a:cs typeface="+mn-cs"/>
            </a:rPr>
            <a:t>Poor separation of responsibilities</a:t>
          </a:r>
          <a:endParaRPr lang="x-none">
            <a:solidFill>
              <a:sysClr val="windowText" lastClr="000000"/>
            </a:solidFill>
            <a:latin typeface="Calibri" panose="020F0502020204030204"/>
            <a:ea typeface="+mn-ea"/>
            <a:cs typeface="+mn-cs"/>
          </a:endParaRPr>
        </a:p>
      </dgm:t>
    </dgm:pt>
    <dgm:pt modelId="{DA4DF74F-AADF-49E1-BAD5-87F03C44B7E5}" type="parTrans" cxnId="{177F9B8B-F8ED-4CB1-977A-E556BB020682}">
      <dgm:prSet/>
      <dgm:spPr>
        <a:xfrm rot="18289469">
          <a:off x="2601667" y="1608339"/>
          <a:ext cx="808844" cy="17644"/>
        </a:xfrm>
        <a:custGeom>
          <a:avLst/>
          <a:gdLst/>
          <a:ahLst/>
          <a:cxnLst/>
          <a:rect l="0" t="0" r="0" b="0"/>
          <a:pathLst>
            <a:path>
              <a:moveTo>
                <a:pt x="0" y="8822"/>
              </a:moveTo>
              <a:lnTo>
                <a:pt x="808844" y="8822"/>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buNone/>
          </a:pPr>
          <a:endParaRPr lang="x-none">
            <a:solidFill>
              <a:sysClr val="windowText" lastClr="000000">
                <a:hueOff val="0"/>
                <a:satOff val="0"/>
                <a:lumOff val="0"/>
                <a:alphaOff val="0"/>
              </a:sysClr>
            </a:solidFill>
            <a:latin typeface="Calibri" panose="020F0502020204030204"/>
            <a:ea typeface="+mn-ea"/>
            <a:cs typeface="+mn-cs"/>
          </a:endParaRPr>
        </a:p>
      </dgm:t>
    </dgm:pt>
    <dgm:pt modelId="{471A160D-D2EF-4441-ABF8-FE9C265EA2E7}" type="sibTrans" cxnId="{177F9B8B-F8ED-4CB1-977A-E556BB020682}">
      <dgm:prSet/>
      <dgm:spPr/>
      <dgm:t>
        <a:bodyPr/>
        <a:lstStyle/>
        <a:p>
          <a:endParaRPr lang="x-none"/>
        </a:p>
      </dgm:t>
    </dgm:pt>
    <dgm:pt modelId="{F2706584-BB1F-4B28-9531-2F5DBAF9A9FD}">
      <dgm:prSet phldrT="[Text]"/>
      <dgm:spPr>
        <a:xfrm>
          <a:off x="3237041" y="1660464"/>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US">
              <a:solidFill>
                <a:sysClr val="windowText" lastClr="000000"/>
              </a:solidFill>
              <a:latin typeface="Calibri" panose="020F0502020204030204"/>
              <a:ea typeface="+mn-ea"/>
              <a:cs typeface="+mn-cs"/>
            </a:rPr>
            <a:t>lack of transparency &amp; Board Oversight</a:t>
          </a:r>
          <a:endParaRPr lang="x-none">
            <a:solidFill>
              <a:sysClr val="windowText" lastClr="000000"/>
            </a:solidFill>
            <a:latin typeface="Calibri" panose="020F0502020204030204"/>
            <a:ea typeface="+mn-ea"/>
            <a:cs typeface="+mn-cs"/>
          </a:endParaRPr>
        </a:p>
      </dgm:t>
    </dgm:pt>
    <dgm:pt modelId="{79AB40FB-D794-4EB4-B275-082FD4346614}" type="parTrans" cxnId="{788B4994-1B6C-4BF9-BFE4-2812D07023F0}">
      <dgm:prSet/>
      <dgm:spPr>
        <a:xfrm>
          <a:off x="2775138" y="1940331"/>
          <a:ext cx="461902" cy="17644"/>
        </a:xfrm>
        <a:custGeom>
          <a:avLst/>
          <a:gdLst/>
          <a:ahLst/>
          <a:cxnLst/>
          <a:rect l="0" t="0" r="0" b="0"/>
          <a:pathLst>
            <a:path>
              <a:moveTo>
                <a:pt x="0" y="8822"/>
              </a:moveTo>
              <a:lnTo>
                <a:pt x="461902" y="8822"/>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buNone/>
          </a:pPr>
          <a:endParaRPr lang="x-none">
            <a:solidFill>
              <a:sysClr val="windowText" lastClr="000000">
                <a:hueOff val="0"/>
                <a:satOff val="0"/>
                <a:lumOff val="0"/>
                <a:alphaOff val="0"/>
              </a:sysClr>
            </a:solidFill>
            <a:latin typeface="Calibri" panose="020F0502020204030204"/>
            <a:ea typeface="+mn-ea"/>
            <a:cs typeface="+mn-cs"/>
          </a:endParaRPr>
        </a:p>
      </dgm:t>
    </dgm:pt>
    <dgm:pt modelId="{46CAA27C-7D6B-46B7-AE2A-D866BD405AB8}" type="sibTrans" cxnId="{788B4994-1B6C-4BF9-BFE4-2812D07023F0}">
      <dgm:prSet/>
      <dgm:spPr/>
      <dgm:t>
        <a:bodyPr/>
        <a:lstStyle/>
        <a:p>
          <a:endParaRPr lang="x-none"/>
        </a:p>
      </dgm:t>
    </dgm:pt>
    <dgm:pt modelId="{CD53E4E5-B012-4F3D-96D7-FF410E675AA6}">
      <dgm:prSet phldrT="[Text]"/>
      <dgm:spPr>
        <a:xfrm>
          <a:off x="1620383" y="4316402"/>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US">
              <a:solidFill>
                <a:sysClr val="windowText" lastClr="000000"/>
              </a:solidFill>
              <a:latin typeface="Calibri" panose="020F0502020204030204"/>
              <a:ea typeface="+mn-ea"/>
              <a:cs typeface="+mn-cs"/>
            </a:rPr>
            <a:t>Absence of Policy Commitments</a:t>
          </a:r>
          <a:endParaRPr lang="x-none">
            <a:solidFill>
              <a:sysClr val="windowText" lastClr="000000"/>
            </a:solidFill>
            <a:latin typeface="Calibri" panose="020F0502020204030204"/>
            <a:ea typeface="+mn-ea"/>
            <a:cs typeface="+mn-cs"/>
          </a:endParaRPr>
        </a:p>
      </dgm:t>
    </dgm:pt>
    <dgm:pt modelId="{7D6F463E-89FA-48F3-B6DA-3F251D57C4C3}" type="parTrans" cxnId="{A7100D82-CF83-4C6C-A29D-4AE63C450259}">
      <dgm:prSet/>
      <dgm:spPr>
        <a:xfrm rot="4467012">
          <a:off x="527918" y="3766288"/>
          <a:ext cx="1723027" cy="17644"/>
        </a:xfrm>
        <a:custGeom>
          <a:avLst/>
          <a:gdLst/>
          <a:ahLst/>
          <a:cxnLst/>
          <a:rect l="0" t="0" r="0" b="0"/>
          <a:pathLst>
            <a:path>
              <a:moveTo>
                <a:pt x="0" y="8822"/>
              </a:moveTo>
              <a:lnTo>
                <a:pt x="1723027" y="8822"/>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x-none">
            <a:solidFill>
              <a:sysClr val="windowText" lastClr="000000">
                <a:hueOff val="0"/>
                <a:satOff val="0"/>
                <a:lumOff val="0"/>
                <a:alphaOff val="0"/>
              </a:sysClr>
            </a:solidFill>
            <a:latin typeface="Calibri" panose="020F0502020204030204"/>
            <a:ea typeface="+mn-ea"/>
            <a:cs typeface="+mn-cs"/>
          </a:endParaRPr>
        </a:p>
      </dgm:t>
    </dgm:pt>
    <dgm:pt modelId="{304D1A47-16F1-4C4C-AFFF-BCABD497E362}" type="sibTrans" cxnId="{A7100D82-CF83-4C6C-A29D-4AE63C450259}">
      <dgm:prSet/>
      <dgm:spPr/>
      <dgm:t>
        <a:bodyPr/>
        <a:lstStyle/>
        <a:p>
          <a:endParaRPr lang="x-none"/>
        </a:p>
      </dgm:t>
    </dgm:pt>
    <dgm:pt modelId="{7B445386-08AA-4BB1-82E9-CAC38C1043F3}">
      <dgm:prSet phldrT="[Text]"/>
      <dgm:spPr>
        <a:xfrm>
          <a:off x="3237041" y="3652417"/>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US">
              <a:solidFill>
                <a:sysClr val="windowText" lastClr="000000"/>
              </a:solidFill>
              <a:latin typeface="Calibri" panose="020F0502020204030204"/>
              <a:ea typeface="+mn-ea"/>
              <a:cs typeface="+mn-cs"/>
            </a:rPr>
            <a:t>Unethical practices</a:t>
          </a:r>
          <a:endParaRPr lang="x-none">
            <a:solidFill>
              <a:sysClr val="windowText" lastClr="000000"/>
            </a:solidFill>
            <a:latin typeface="Calibri" panose="020F0502020204030204"/>
            <a:ea typeface="+mn-ea"/>
            <a:cs typeface="+mn-cs"/>
          </a:endParaRPr>
        </a:p>
      </dgm:t>
    </dgm:pt>
    <dgm:pt modelId="{794BAE86-8BF9-43F0-9F0B-291FB0402146}" type="parTrans" cxnId="{DBED2D9A-382C-4E59-BE89-D1A2B2CA0515}">
      <dgm:prSet/>
      <dgm:spPr>
        <a:xfrm rot="18289469">
          <a:off x="2601667" y="4264276"/>
          <a:ext cx="808844" cy="17644"/>
        </a:xfrm>
        <a:custGeom>
          <a:avLst/>
          <a:gdLst/>
          <a:ahLst/>
          <a:cxnLst/>
          <a:rect l="0" t="0" r="0" b="0"/>
          <a:pathLst>
            <a:path>
              <a:moveTo>
                <a:pt x="0" y="8822"/>
              </a:moveTo>
              <a:lnTo>
                <a:pt x="808844" y="8822"/>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buNone/>
          </a:pPr>
          <a:endParaRPr lang="x-none">
            <a:solidFill>
              <a:sysClr val="windowText" lastClr="000000">
                <a:hueOff val="0"/>
                <a:satOff val="0"/>
                <a:lumOff val="0"/>
                <a:alphaOff val="0"/>
              </a:sysClr>
            </a:solidFill>
            <a:latin typeface="Calibri" panose="020F0502020204030204"/>
            <a:ea typeface="+mn-ea"/>
            <a:cs typeface="+mn-cs"/>
          </a:endParaRPr>
        </a:p>
      </dgm:t>
    </dgm:pt>
    <dgm:pt modelId="{92F9ECFE-605A-46CC-B007-A9A99E6330CF}" type="sibTrans" cxnId="{DBED2D9A-382C-4E59-BE89-D1A2B2CA0515}">
      <dgm:prSet/>
      <dgm:spPr/>
      <dgm:t>
        <a:bodyPr/>
        <a:lstStyle/>
        <a:p>
          <a:endParaRPr lang="x-none"/>
        </a:p>
      </dgm:t>
    </dgm:pt>
    <dgm:pt modelId="{6DA95FE2-A59E-43F7-BBE7-502F28573476}">
      <dgm:prSet/>
      <dgm:spPr>
        <a:xfrm>
          <a:off x="3237041" y="2324448"/>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US">
              <a:solidFill>
                <a:sysClr val="windowText" lastClr="000000"/>
              </a:solidFill>
              <a:latin typeface="Calibri" panose="020F0502020204030204"/>
              <a:ea typeface="+mn-ea"/>
              <a:cs typeface="+mn-cs"/>
            </a:rPr>
            <a:t>lack of decision making processes</a:t>
          </a:r>
          <a:endParaRPr lang="x-none">
            <a:solidFill>
              <a:sysClr val="windowText" lastClr="000000"/>
            </a:solidFill>
            <a:latin typeface="Calibri" panose="020F0502020204030204"/>
            <a:ea typeface="+mn-ea"/>
            <a:cs typeface="+mn-cs"/>
          </a:endParaRPr>
        </a:p>
      </dgm:t>
    </dgm:pt>
    <dgm:pt modelId="{71B9A327-7746-49D7-BB63-C9C77713B080}" type="parTrans" cxnId="{251D0E5A-DADF-4AAD-AF6F-695C8FE32479}">
      <dgm:prSet/>
      <dgm:spPr>
        <a:xfrm rot="3310531">
          <a:off x="2601667" y="2272323"/>
          <a:ext cx="808844" cy="17644"/>
        </a:xfrm>
        <a:custGeom>
          <a:avLst/>
          <a:gdLst/>
          <a:ahLst/>
          <a:cxnLst/>
          <a:rect l="0" t="0" r="0" b="0"/>
          <a:pathLst>
            <a:path>
              <a:moveTo>
                <a:pt x="0" y="8822"/>
              </a:moveTo>
              <a:lnTo>
                <a:pt x="808844" y="8822"/>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buNone/>
          </a:pPr>
          <a:endParaRPr lang="x-none">
            <a:solidFill>
              <a:sysClr val="windowText" lastClr="000000">
                <a:hueOff val="0"/>
                <a:satOff val="0"/>
                <a:lumOff val="0"/>
                <a:alphaOff val="0"/>
              </a:sysClr>
            </a:solidFill>
            <a:latin typeface="Calibri" panose="020F0502020204030204"/>
            <a:ea typeface="+mn-ea"/>
            <a:cs typeface="+mn-cs"/>
          </a:endParaRPr>
        </a:p>
      </dgm:t>
    </dgm:pt>
    <dgm:pt modelId="{411E0E9E-08B5-46BC-8348-4018A7B0458F}" type="sibTrans" cxnId="{251D0E5A-DADF-4AAD-AF6F-695C8FE32479}">
      <dgm:prSet/>
      <dgm:spPr/>
      <dgm:t>
        <a:bodyPr/>
        <a:lstStyle/>
        <a:p>
          <a:endParaRPr lang="x-none"/>
        </a:p>
      </dgm:t>
    </dgm:pt>
    <dgm:pt modelId="{B01655A4-4EA9-4EE7-AAD7-AE828D767377}">
      <dgm:prSet/>
      <dgm:spPr>
        <a:xfrm>
          <a:off x="4853698" y="1328472"/>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US">
              <a:solidFill>
                <a:sysClr val="windowText" lastClr="000000"/>
              </a:solidFill>
              <a:latin typeface="Calibri" panose="020F0502020204030204"/>
              <a:ea typeface="+mn-ea"/>
              <a:cs typeface="+mn-cs"/>
            </a:rPr>
            <a:t>Corporate governance practices</a:t>
          </a:r>
          <a:endParaRPr lang="x-none">
            <a:solidFill>
              <a:sysClr val="windowText" lastClr="000000"/>
            </a:solidFill>
            <a:latin typeface="Calibri" panose="020F0502020204030204"/>
            <a:ea typeface="+mn-ea"/>
            <a:cs typeface="+mn-cs"/>
          </a:endParaRPr>
        </a:p>
      </dgm:t>
    </dgm:pt>
    <dgm:pt modelId="{F429059C-8AD7-449F-9661-4193874B74B0}" type="parTrans" cxnId="{8331C8D9-2264-4F4F-B840-017FA6000BEA}">
      <dgm:prSet/>
      <dgm:spPr>
        <a:xfrm rot="2142401">
          <a:off x="4338330" y="1442342"/>
          <a:ext cx="568834" cy="17644"/>
        </a:xfrm>
        <a:custGeom>
          <a:avLst/>
          <a:gdLst/>
          <a:ahLst/>
          <a:cxnLst/>
          <a:rect l="0" t="0" r="0" b="0"/>
          <a:pathLst>
            <a:path>
              <a:moveTo>
                <a:pt x="0" y="8822"/>
              </a:moveTo>
              <a:lnTo>
                <a:pt x="568834" y="8822"/>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buNone/>
          </a:pPr>
          <a:endParaRPr lang="x-none">
            <a:solidFill>
              <a:sysClr val="windowText" lastClr="000000">
                <a:hueOff val="0"/>
                <a:satOff val="0"/>
                <a:lumOff val="0"/>
                <a:alphaOff val="0"/>
              </a:sysClr>
            </a:solidFill>
            <a:latin typeface="Calibri" panose="020F0502020204030204"/>
            <a:ea typeface="+mn-ea"/>
            <a:cs typeface="+mn-cs"/>
          </a:endParaRPr>
        </a:p>
      </dgm:t>
    </dgm:pt>
    <dgm:pt modelId="{999A8965-2F34-4D35-8F3E-BCF40C8549E6}" type="sibTrans" cxnId="{8331C8D9-2264-4F4F-B840-017FA6000BEA}">
      <dgm:prSet/>
      <dgm:spPr/>
      <dgm:t>
        <a:bodyPr/>
        <a:lstStyle/>
        <a:p>
          <a:endParaRPr lang="x-none"/>
        </a:p>
      </dgm:t>
    </dgm:pt>
    <dgm:pt modelId="{CD2DBD36-8456-4856-B815-45003630F4D0}">
      <dgm:prSet/>
      <dgm:spPr>
        <a:xfrm>
          <a:off x="3237041" y="4316402"/>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US">
              <a:solidFill>
                <a:sysClr val="windowText" lastClr="000000"/>
              </a:solidFill>
              <a:latin typeface="Calibri" panose="020F0502020204030204"/>
              <a:ea typeface="+mn-ea"/>
              <a:cs typeface="+mn-cs"/>
            </a:rPr>
            <a:t>Conflict of interest</a:t>
          </a:r>
          <a:endParaRPr lang="x-none">
            <a:solidFill>
              <a:sysClr val="windowText" lastClr="000000"/>
            </a:solidFill>
            <a:latin typeface="Calibri" panose="020F0502020204030204"/>
            <a:ea typeface="+mn-ea"/>
            <a:cs typeface="+mn-cs"/>
          </a:endParaRPr>
        </a:p>
      </dgm:t>
    </dgm:pt>
    <dgm:pt modelId="{43D4AFE0-2087-479E-A699-6539485D7B1D}" type="parTrans" cxnId="{77B2D0BF-B1B5-4737-AB20-7A8FB5F6463F}">
      <dgm:prSet/>
      <dgm:spPr>
        <a:xfrm>
          <a:off x="2775138" y="4596269"/>
          <a:ext cx="461902" cy="17644"/>
        </a:xfrm>
        <a:custGeom>
          <a:avLst/>
          <a:gdLst/>
          <a:ahLst/>
          <a:cxnLst/>
          <a:rect l="0" t="0" r="0" b="0"/>
          <a:pathLst>
            <a:path>
              <a:moveTo>
                <a:pt x="0" y="8822"/>
              </a:moveTo>
              <a:lnTo>
                <a:pt x="461902" y="8822"/>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buNone/>
          </a:pPr>
          <a:endParaRPr lang="x-none">
            <a:solidFill>
              <a:sysClr val="windowText" lastClr="000000">
                <a:hueOff val="0"/>
                <a:satOff val="0"/>
                <a:lumOff val="0"/>
                <a:alphaOff val="0"/>
              </a:sysClr>
            </a:solidFill>
            <a:latin typeface="Calibri" panose="020F0502020204030204"/>
            <a:ea typeface="+mn-ea"/>
            <a:cs typeface="+mn-cs"/>
          </a:endParaRPr>
        </a:p>
      </dgm:t>
    </dgm:pt>
    <dgm:pt modelId="{99C800C7-BD42-40A8-B445-E49DD64BC26C}" type="sibTrans" cxnId="{77B2D0BF-B1B5-4737-AB20-7A8FB5F6463F}">
      <dgm:prSet/>
      <dgm:spPr/>
      <dgm:t>
        <a:bodyPr/>
        <a:lstStyle/>
        <a:p>
          <a:endParaRPr lang="x-none"/>
        </a:p>
      </dgm:t>
    </dgm:pt>
    <dgm:pt modelId="{1C9A914B-282D-4C1E-8D95-462F251D317A}">
      <dgm:prSet/>
      <dgm:spPr>
        <a:xfrm>
          <a:off x="3237041" y="4980386"/>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US">
              <a:solidFill>
                <a:sysClr val="windowText" lastClr="000000"/>
              </a:solidFill>
              <a:latin typeface="Calibri" panose="020F0502020204030204"/>
              <a:ea typeface="+mn-ea"/>
              <a:cs typeface="+mn-cs"/>
            </a:rPr>
            <a:t>Poor organizational set up</a:t>
          </a:r>
          <a:endParaRPr lang="x-none">
            <a:solidFill>
              <a:sysClr val="windowText" lastClr="000000"/>
            </a:solidFill>
            <a:latin typeface="Calibri" panose="020F0502020204030204"/>
            <a:ea typeface="+mn-ea"/>
            <a:cs typeface="+mn-cs"/>
          </a:endParaRPr>
        </a:p>
      </dgm:t>
    </dgm:pt>
    <dgm:pt modelId="{E743029B-31EA-44C7-BD5A-18EA8088BF71}" type="parTrans" cxnId="{8AEEEDF7-F9E5-4081-84ED-D6188B6D3B21}">
      <dgm:prSet/>
      <dgm:spPr>
        <a:xfrm rot="3310531">
          <a:off x="2601667" y="4928261"/>
          <a:ext cx="808844" cy="17644"/>
        </a:xfrm>
        <a:custGeom>
          <a:avLst/>
          <a:gdLst/>
          <a:ahLst/>
          <a:cxnLst/>
          <a:rect l="0" t="0" r="0" b="0"/>
          <a:pathLst>
            <a:path>
              <a:moveTo>
                <a:pt x="0" y="8822"/>
              </a:moveTo>
              <a:lnTo>
                <a:pt x="808844" y="8822"/>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buNone/>
          </a:pPr>
          <a:endParaRPr lang="x-none">
            <a:solidFill>
              <a:sysClr val="windowText" lastClr="000000">
                <a:hueOff val="0"/>
                <a:satOff val="0"/>
                <a:lumOff val="0"/>
                <a:alphaOff val="0"/>
              </a:sysClr>
            </a:solidFill>
            <a:latin typeface="Calibri" panose="020F0502020204030204"/>
            <a:ea typeface="+mn-ea"/>
            <a:cs typeface="+mn-cs"/>
          </a:endParaRPr>
        </a:p>
      </dgm:t>
    </dgm:pt>
    <dgm:pt modelId="{2F42CBA4-336B-4BDB-8A12-C566DF66B6E1}" type="sibTrans" cxnId="{8AEEEDF7-F9E5-4081-84ED-D6188B6D3B21}">
      <dgm:prSet/>
      <dgm:spPr/>
      <dgm:t>
        <a:bodyPr/>
        <a:lstStyle/>
        <a:p>
          <a:endParaRPr lang="x-none"/>
        </a:p>
      </dgm:t>
    </dgm:pt>
    <dgm:pt modelId="{AECA2096-C5D6-40E8-AAC7-56DE69E1AD24}">
      <dgm:prSet/>
      <dgm:spPr>
        <a:xfrm>
          <a:off x="4853698" y="4316402"/>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GB">
              <a:solidFill>
                <a:sysClr val="windowText" lastClr="000000"/>
              </a:solidFill>
              <a:latin typeface="Calibri" panose="020F0502020204030204"/>
              <a:ea typeface="+mn-ea"/>
              <a:cs typeface="+mn-cs"/>
            </a:rPr>
            <a:t>Company issues</a:t>
          </a:r>
          <a:endParaRPr lang="x-none">
            <a:solidFill>
              <a:sysClr val="windowText" lastClr="000000"/>
            </a:solidFill>
            <a:latin typeface="Calibri" panose="020F0502020204030204"/>
            <a:ea typeface="+mn-ea"/>
            <a:cs typeface="+mn-cs"/>
          </a:endParaRPr>
        </a:p>
      </dgm:t>
    </dgm:pt>
    <dgm:pt modelId="{0D18BB16-8CFC-474D-B9BF-A65051505526}" type="parTrans" cxnId="{6195B1DC-3BD1-419B-B53B-97D754A71B16}">
      <dgm:prSet/>
      <dgm:spPr>
        <a:xfrm>
          <a:off x="4391796" y="4596269"/>
          <a:ext cx="461902" cy="17644"/>
        </a:xfrm>
        <a:custGeom>
          <a:avLst/>
          <a:gdLst/>
          <a:ahLst/>
          <a:cxnLst/>
          <a:rect l="0" t="0" r="0" b="0"/>
          <a:pathLst>
            <a:path>
              <a:moveTo>
                <a:pt x="0" y="8822"/>
              </a:moveTo>
              <a:lnTo>
                <a:pt x="461902" y="8822"/>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buNone/>
          </a:pPr>
          <a:endParaRPr lang="x-none">
            <a:solidFill>
              <a:sysClr val="windowText" lastClr="000000">
                <a:hueOff val="0"/>
                <a:satOff val="0"/>
                <a:lumOff val="0"/>
                <a:alphaOff val="0"/>
              </a:sysClr>
            </a:solidFill>
            <a:latin typeface="Calibri" panose="020F0502020204030204"/>
            <a:ea typeface="+mn-ea"/>
            <a:cs typeface="+mn-cs"/>
          </a:endParaRPr>
        </a:p>
      </dgm:t>
    </dgm:pt>
    <dgm:pt modelId="{05C2B482-DF0E-447C-A460-DF5D7121404C}" type="sibTrans" cxnId="{6195B1DC-3BD1-419B-B53B-97D754A71B16}">
      <dgm:prSet/>
      <dgm:spPr/>
      <dgm:t>
        <a:bodyPr/>
        <a:lstStyle/>
        <a:p>
          <a:endParaRPr lang="x-none"/>
        </a:p>
      </dgm:t>
    </dgm:pt>
    <dgm:pt modelId="{54989C5B-77D0-4582-9135-2B71C1391232}">
      <dgm:prSet/>
      <dgm:spPr>
        <a:xfrm>
          <a:off x="3237041" y="2988433"/>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US">
              <a:solidFill>
                <a:sysClr val="windowText" lastClr="000000"/>
              </a:solidFill>
              <a:latin typeface="Calibri" panose="020F0502020204030204"/>
              <a:ea typeface="+mn-ea"/>
              <a:cs typeface="+mn-cs"/>
            </a:rPr>
            <a:t>Absence of regulatory body</a:t>
          </a:r>
          <a:endParaRPr lang="x-none">
            <a:solidFill>
              <a:sysClr val="windowText" lastClr="000000"/>
            </a:solidFill>
            <a:latin typeface="Calibri" panose="020F0502020204030204"/>
            <a:ea typeface="+mn-ea"/>
            <a:cs typeface="+mn-cs"/>
          </a:endParaRPr>
        </a:p>
      </dgm:t>
    </dgm:pt>
    <dgm:pt modelId="{E5D1ABF5-A6A6-4E43-9750-C127F0CB3E5F}" type="parTrans" cxnId="{77279058-D474-42C9-8E6C-6E9D7FA7E22B}">
      <dgm:prSet/>
      <dgm:spPr>
        <a:xfrm rot="4249260">
          <a:off x="2303086" y="2604315"/>
          <a:ext cx="1406006" cy="17644"/>
        </a:xfrm>
        <a:custGeom>
          <a:avLst/>
          <a:gdLst/>
          <a:ahLst/>
          <a:cxnLst/>
          <a:rect l="0" t="0" r="0" b="0"/>
          <a:pathLst>
            <a:path>
              <a:moveTo>
                <a:pt x="0" y="8822"/>
              </a:moveTo>
              <a:lnTo>
                <a:pt x="1406006" y="8822"/>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buNone/>
          </a:pPr>
          <a:endParaRPr lang="x-none">
            <a:solidFill>
              <a:sysClr val="windowText" lastClr="000000">
                <a:hueOff val="0"/>
                <a:satOff val="0"/>
                <a:lumOff val="0"/>
                <a:alphaOff val="0"/>
              </a:sysClr>
            </a:solidFill>
            <a:latin typeface="Calibri" panose="020F0502020204030204"/>
            <a:ea typeface="+mn-ea"/>
            <a:cs typeface="+mn-cs"/>
          </a:endParaRPr>
        </a:p>
      </dgm:t>
    </dgm:pt>
    <dgm:pt modelId="{9B3F8760-0FAE-46CC-88A2-A9BCA4A96BEB}" type="sibTrans" cxnId="{77279058-D474-42C9-8E6C-6E9D7FA7E22B}">
      <dgm:prSet/>
      <dgm:spPr/>
      <dgm:t>
        <a:bodyPr/>
        <a:lstStyle/>
        <a:p>
          <a:endParaRPr lang="x-none"/>
        </a:p>
      </dgm:t>
    </dgm:pt>
    <dgm:pt modelId="{56283E62-7574-4539-8C62-F406038BB999}">
      <dgm:prSet/>
      <dgm:spPr>
        <a:xfrm>
          <a:off x="4853698" y="2988433"/>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buNone/>
          </a:pPr>
          <a:r>
            <a:rPr lang="en-US">
              <a:solidFill>
                <a:sysClr val="windowText" lastClr="000000"/>
              </a:solidFill>
              <a:latin typeface="Calibri" panose="020F0502020204030204"/>
              <a:ea typeface="+mn-ea"/>
              <a:cs typeface="+mn-cs"/>
            </a:rPr>
            <a:t>Regulations</a:t>
          </a:r>
          <a:endParaRPr lang="x-none">
            <a:solidFill>
              <a:sysClr val="windowText" lastClr="000000"/>
            </a:solidFill>
            <a:latin typeface="Calibri" panose="020F0502020204030204"/>
            <a:ea typeface="+mn-ea"/>
            <a:cs typeface="+mn-cs"/>
          </a:endParaRPr>
        </a:p>
      </dgm:t>
    </dgm:pt>
    <dgm:pt modelId="{3DE61909-8E27-45BD-91E4-D834621B2711}" type="parTrans" cxnId="{7B62A2F9-C672-476D-AB9C-3468948FF0A2}">
      <dgm:prSet/>
      <dgm:spPr>
        <a:xfrm>
          <a:off x="4391796" y="3268300"/>
          <a:ext cx="461902" cy="17644"/>
        </a:xfrm>
        <a:custGeom>
          <a:avLst/>
          <a:gdLst/>
          <a:ahLst/>
          <a:cxnLst/>
          <a:rect l="0" t="0" r="0" b="0"/>
          <a:pathLst>
            <a:path>
              <a:moveTo>
                <a:pt x="0" y="8822"/>
              </a:moveTo>
              <a:lnTo>
                <a:pt x="461902" y="8822"/>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buNone/>
          </a:pPr>
          <a:endParaRPr lang="x-none">
            <a:solidFill>
              <a:sysClr val="windowText" lastClr="000000">
                <a:hueOff val="0"/>
                <a:satOff val="0"/>
                <a:lumOff val="0"/>
                <a:alphaOff val="0"/>
              </a:sysClr>
            </a:solidFill>
            <a:latin typeface="Calibri" panose="020F0502020204030204"/>
            <a:ea typeface="+mn-ea"/>
            <a:cs typeface="+mn-cs"/>
          </a:endParaRPr>
        </a:p>
      </dgm:t>
    </dgm:pt>
    <dgm:pt modelId="{BE8F21C5-96F0-48FF-939D-3A2EB5B67DBD}" type="sibTrans" cxnId="{7B62A2F9-C672-476D-AB9C-3468948FF0A2}">
      <dgm:prSet/>
      <dgm:spPr/>
      <dgm:t>
        <a:bodyPr/>
        <a:lstStyle/>
        <a:p>
          <a:endParaRPr lang="x-none"/>
        </a:p>
      </dgm:t>
    </dgm:pt>
    <dgm:pt modelId="{5B65ED6E-C8B1-4338-87C7-9090432C19FC}">
      <dgm:prSet/>
      <dgm:spPr>
        <a:xfrm>
          <a:off x="4853698" y="664487"/>
          <a:ext cx="1154755" cy="577377"/>
        </a:xfrm>
        <a:prstGeom prst="roundRect">
          <a:avLst>
            <a:gd name="adj" fmla="val 10000"/>
          </a:avLst>
        </a:prstGeom>
        <a:noFill/>
        <a:ln>
          <a:noFill/>
        </a:ln>
        <a:effectLst/>
        <a:scene3d>
          <a:camera prst="orthographicFront"/>
          <a:lightRig rig="flat" dir="t"/>
        </a:scene3d>
        <a:sp3d prstMaterial="dkEdge">
          <a:bevelT w="8200" h="38100"/>
        </a:sp3d>
      </dgm:spPr>
      <dgm:t>
        <a:bodyPr/>
        <a:lstStyle/>
        <a:p>
          <a:pPr>
            <a:buNone/>
          </a:pPr>
          <a:r>
            <a:rPr lang="en-US" i="1">
              <a:solidFill>
                <a:sysClr val="windowText" lastClr="000000"/>
              </a:solidFill>
              <a:latin typeface="Calibri" panose="020F0502020204030204"/>
              <a:ea typeface="+mn-ea"/>
              <a:cs typeface="+mn-cs"/>
            </a:rPr>
            <a:t>Initial codes named</a:t>
          </a:r>
          <a:endParaRPr lang="x-none" i="1">
            <a:solidFill>
              <a:sysClr val="windowText" lastClr="000000"/>
            </a:solidFill>
            <a:latin typeface="Calibri" panose="020F0502020204030204"/>
            <a:ea typeface="+mn-ea"/>
            <a:cs typeface="+mn-cs"/>
          </a:endParaRPr>
        </a:p>
      </dgm:t>
    </dgm:pt>
    <dgm:pt modelId="{A1CE74CC-3DBC-49B6-8AB9-7F981F82A98A}" type="parTrans" cxnId="{8FDB5628-CB8D-4B1D-9C60-6042FD586A8A}">
      <dgm:prSet/>
      <dgm:spPr>
        <a:xfrm rot="19457599">
          <a:off x="4338330" y="1110350"/>
          <a:ext cx="568834" cy="17644"/>
        </a:xfrm>
        <a:custGeom>
          <a:avLst/>
          <a:gdLst/>
          <a:ahLst/>
          <a:cxnLst/>
          <a:rect l="0" t="0" r="0" b="0"/>
          <a:pathLst>
            <a:path>
              <a:moveTo>
                <a:pt x="0" y="8822"/>
              </a:moveTo>
              <a:lnTo>
                <a:pt x="568834" y="8822"/>
              </a:lnTo>
            </a:path>
          </a:pathLst>
        </a:custGeom>
        <a:noFill/>
        <a:ln w="12700" cap="flat" cmpd="sng" algn="ctr">
          <a:noFill/>
          <a:prstDash val="solid"/>
          <a:miter lim="800000"/>
        </a:ln>
        <a:effectLst/>
      </dgm:spPr>
      <dgm:t>
        <a:bodyPr/>
        <a:lstStyle/>
        <a:p>
          <a:pPr>
            <a:buNone/>
          </a:pPr>
          <a:endParaRPr lang="x-none">
            <a:solidFill>
              <a:sysClr val="windowText" lastClr="000000">
                <a:hueOff val="0"/>
                <a:satOff val="0"/>
                <a:lumOff val="0"/>
                <a:alphaOff val="0"/>
              </a:sysClr>
            </a:solidFill>
            <a:latin typeface="Calibri" panose="020F0502020204030204"/>
            <a:ea typeface="+mn-ea"/>
            <a:cs typeface="+mn-cs"/>
          </a:endParaRPr>
        </a:p>
      </dgm:t>
    </dgm:pt>
    <dgm:pt modelId="{86ADC232-41B7-4129-8495-85F121B15F45}" type="sibTrans" cxnId="{8FDB5628-CB8D-4B1D-9C60-6042FD586A8A}">
      <dgm:prSet/>
      <dgm:spPr/>
      <dgm:t>
        <a:bodyPr/>
        <a:lstStyle/>
        <a:p>
          <a:endParaRPr lang="x-none"/>
        </a:p>
      </dgm:t>
    </dgm:pt>
    <dgm:pt modelId="{C812B28B-573C-4AB9-B51B-8D3D5373F8B6}">
      <dgm:prSet/>
      <dgm:spPr>
        <a:xfrm>
          <a:off x="3237041" y="332495"/>
          <a:ext cx="1154755" cy="577377"/>
        </a:xfrm>
        <a:prstGeom prst="roundRect">
          <a:avLst>
            <a:gd name="adj" fmla="val 10000"/>
          </a:avLst>
        </a:prstGeom>
        <a:noFill/>
        <a:ln>
          <a:noFill/>
        </a:ln>
        <a:effectLst/>
        <a:scene3d>
          <a:camera prst="orthographicFront"/>
          <a:lightRig rig="flat" dir="t"/>
        </a:scene3d>
        <a:sp3d prstMaterial="dkEdge">
          <a:bevelT w="8200" h="38100"/>
        </a:sp3d>
      </dgm:spPr>
      <dgm:t>
        <a:bodyPr/>
        <a:lstStyle/>
        <a:p>
          <a:pPr>
            <a:buNone/>
          </a:pPr>
          <a:r>
            <a:rPr lang="en-US" i="1">
              <a:solidFill>
                <a:sysClr val="windowText" lastClr="000000"/>
              </a:solidFill>
              <a:latin typeface="Calibri" panose="020F0502020204030204"/>
              <a:ea typeface="+mn-ea"/>
              <a:cs typeface="+mn-cs"/>
            </a:rPr>
            <a:t>Expanded codes applied</a:t>
          </a:r>
          <a:endParaRPr lang="x-none" i="1">
            <a:solidFill>
              <a:sysClr val="windowText" lastClr="000000"/>
            </a:solidFill>
            <a:latin typeface="Calibri" panose="020F0502020204030204"/>
            <a:ea typeface="+mn-ea"/>
            <a:cs typeface="+mn-cs"/>
          </a:endParaRPr>
        </a:p>
      </dgm:t>
    </dgm:pt>
    <dgm:pt modelId="{E38CE7BD-C84C-456C-8236-C21CF7A4783E}" type="parTrans" cxnId="{CC54983C-C393-4926-ADA8-592CE4AD2F58}">
      <dgm:prSet/>
      <dgm:spPr>
        <a:xfrm rot="17350740">
          <a:off x="2303086" y="1276346"/>
          <a:ext cx="1406006" cy="17644"/>
        </a:xfrm>
        <a:custGeom>
          <a:avLst/>
          <a:gdLst/>
          <a:ahLst/>
          <a:cxnLst/>
          <a:rect l="0" t="0" r="0" b="0"/>
          <a:pathLst>
            <a:path>
              <a:moveTo>
                <a:pt x="0" y="8822"/>
              </a:moveTo>
              <a:lnTo>
                <a:pt x="1406006" y="8822"/>
              </a:lnTo>
            </a:path>
          </a:pathLst>
        </a:custGeom>
        <a:noFill/>
        <a:ln w="12700" cap="flat" cmpd="sng" algn="ctr">
          <a:noFill/>
          <a:prstDash val="solid"/>
          <a:miter lim="800000"/>
        </a:ln>
        <a:effectLst/>
      </dgm:spPr>
      <dgm:t>
        <a:bodyPr/>
        <a:lstStyle/>
        <a:p>
          <a:pPr>
            <a:buNone/>
          </a:pPr>
          <a:endParaRPr lang="x-none">
            <a:solidFill>
              <a:sysClr val="windowText" lastClr="000000">
                <a:hueOff val="0"/>
                <a:satOff val="0"/>
                <a:lumOff val="0"/>
                <a:alphaOff val="0"/>
              </a:sysClr>
            </a:solidFill>
            <a:latin typeface="Calibri" panose="020F0502020204030204"/>
            <a:ea typeface="+mn-ea"/>
            <a:cs typeface="+mn-cs"/>
          </a:endParaRPr>
        </a:p>
      </dgm:t>
    </dgm:pt>
    <dgm:pt modelId="{D24369ED-6FA3-449A-8A3B-4DF323FF4692}" type="sibTrans" cxnId="{CC54983C-C393-4926-ADA8-592CE4AD2F58}">
      <dgm:prSet/>
      <dgm:spPr/>
      <dgm:t>
        <a:bodyPr/>
        <a:lstStyle/>
        <a:p>
          <a:endParaRPr lang="x-none"/>
        </a:p>
      </dgm:t>
    </dgm:pt>
    <dgm:pt modelId="{73BDFE98-08D7-411E-9889-2751A0360C11}">
      <dgm:prSet/>
      <dgm:spPr>
        <a:xfrm>
          <a:off x="1620383" y="996479"/>
          <a:ext cx="1154755" cy="577377"/>
        </a:xfrm>
        <a:prstGeom prst="roundRect">
          <a:avLst>
            <a:gd name="adj" fmla="val 10000"/>
          </a:avLst>
        </a:prstGeom>
        <a:noFill/>
        <a:ln>
          <a:noFill/>
        </a:ln>
        <a:effectLst/>
        <a:scene3d>
          <a:camera prst="orthographicFront"/>
          <a:lightRig rig="flat" dir="t"/>
        </a:scene3d>
        <a:sp3d prstMaterial="dkEdge">
          <a:bevelT w="8200" h="38100"/>
        </a:sp3d>
      </dgm:spPr>
      <dgm:t>
        <a:bodyPr/>
        <a:lstStyle/>
        <a:p>
          <a:pPr>
            <a:buNone/>
          </a:pPr>
          <a:r>
            <a:rPr lang="en-US" i="1">
              <a:solidFill>
                <a:sysClr val="windowText" lastClr="000000"/>
              </a:solidFill>
              <a:latin typeface="Calibri" panose="020F0502020204030204"/>
              <a:ea typeface="+mn-ea"/>
              <a:cs typeface="+mn-cs"/>
            </a:rPr>
            <a:t>Final categorisation</a:t>
          </a:r>
          <a:endParaRPr lang="x-none" i="1">
            <a:solidFill>
              <a:sysClr val="windowText" lastClr="000000"/>
            </a:solidFill>
            <a:latin typeface="Calibri" panose="020F0502020204030204"/>
            <a:ea typeface="+mn-ea"/>
            <a:cs typeface="+mn-cs"/>
          </a:endParaRPr>
        </a:p>
      </dgm:t>
    </dgm:pt>
    <dgm:pt modelId="{38E5363A-FDCF-43A0-850C-9096564CA646}" type="parTrans" cxnId="{597151F3-02B1-4A64-8458-506ED941D54A}">
      <dgm:prSet/>
      <dgm:spPr>
        <a:xfrm rot="17132988">
          <a:off x="527918" y="2106327"/>
          <a:ext cx="1723027" cy="17644"/>
        </a:xfrm>
        <a:custGeom>
          <a:avLst/>
          <a:gdLst/>
          <a:ahLst/>
          <a:cxnLst/>
          <a:rect l="0" t="0" r="0" b="0"/>
          <a:pathLst>
            <a:path>
              <a:moveTo>
                <a:pt x="0" y="8822"/>
              </a:moveTo>
              <a:lnTo>
                <a:pt x="1723027" y="8822"/>
              </a:lnTo>
            </a:path>
          </a:pathLst>
        </a:custGeom>
        <a:noFill/>
        <a:ln w="12700" cap="flat" cmpd="sng" algn="ctr">
          <a:noFill/>
          <a:prstDash val="solid"/>
          <a:miter lim="800000"/>
        </a:ln>
        <a:effectLst/>
      </dgm:spPr>
      <dgm:t>
        <a:bodyPr/>
        <a:lstStyle/>
        <a:p>
          <a:pPr>
            <a:buNone/>
          </a:pPr>
          <a:endParaRPr lang="x-none">
            <a:solidFill>
              <a:sysClr val="windowText" lastClr="000000">
                <a:hueOff val="0"/>
                <a:satOff val="0"/>
                <a:lumOff val="0"/>
                <a:alphaOff val="0"/>
              </a:sysClr>
            </a:solidFill>
            <a:latin typeface="Calibri" panose="020F0502020204030204"/>
            <a:ea typeface="+mn-ea"/>
            <a:cs typeface="+mn-cs"/>
          </a:endParaRPr>
        </a:p>
      </dgm:t>
    </dgm:pt>
    <dgm:pt modelId="{0FAE1307-8505-40A4-A1E4-4774B947C658}" type="sibTrans" cxnId="{597151F3-02B1-4A64-8458-506ED941D54A}">
      <dgm:prSet/>
      <dgm:spPr/>
      <dgm:t>
        <a:bodyPr/>
        <a:lstStyle/>
        <a:p>
          <a:endParaRPr lang="x-none"/>
        </a:p>
      </dgm:t>
    </dgm:pt>
    <dgm:pt modelId="{BE481C91-96D0-4F4D-8702-216A122C27C4}">
      <dgm:prSet>
        <dgm:style>
          <a:lnRef idx="0">
            <a:scrgbClr r="0" g="0" b="0"/>
          </a:lnRef>
          <a:fillRef idx="0">
            <a:scrgbClr r="0" g="0" b="0"/>
          </a:fillRef>
          <a:effectRef idx="0">
            <a:scrgbClr r="0" g="0" b="0"/>
          </a:effectRef>
          <a:fontRef idx="minor">
            <a:schemeClr val="dk1"/>
          </a:fontRef>
        </dgm:style>
      </dgm:prSet>
      <dgm:spPr>
        <a:xfrm>
          <a:off x="3725" y="1992456"/>
          <a:ext cx="1154755" cy="577377"/>
        </a:xfrm>
        <a:prstGeom prst="roundRect">
          <a:avLst>
            <a:gd name="adj" fmla="val 10000"/>
          </a:avLst>
        </a:prstGeom>
        <a:noFill/>
        <a:ln>
          <a:noFill/>
        </a:ln>
        <a:effectLst/>
        <a:scene3d>
          <a:camera prst="orthographicFront"/>
          <a:lightRig rig="flat" dir="t"/>
        </a:scene3d>
        <a:sp3d/>
      </dgm:spPr>
      <dgm:t>
        <a:bodyPr/>
        <a:lstStyle/>
        <a:p>
          <a:pPr>
            <a:buNone/>
          </a:pPr>
          <a:r>
            <a:rPr lang="en-US" i="1">
              <a:solidFill>
                <a:sysClr val="windowText" lastClr="000000"/>
              </a:solidFill>
              <a:latin typeface="Calibri" panose="020F0502020204030204"/>
              <a:ea typeface="+mn-ea"/>
              <a:cs typeface="+mn-cs"/>
            </a:rPr>
            <a:t>Theme described</a:t>
          </a:r>
          <a:endParaRPr lang="x-none" i="1">
            <a:solidFill>
              <a:sysClr val="windowText" lastClr="000000"/>
            </a:solidFill>
            <a:latin typeface="Calibri" panose="020F0502020204030204"/>
            <a:ea typeface="+mn-ea"/>
            <a:cs typeface="+mn-cs"/>
          </a:endParaRPr>
        </a:p>
      </dgm:t>
    </dgm:pt>
    <dgm:pt modelId="{9CE17B4E-9A8F-4E6B-B58A-E88F5950A72A}" type="sibTrans" cxnId="{8E02428D-E63A-4280-AF7B-62C7F9300C41}">
      <dgm:prSet/>
      <dgm:spPr/>
      <dgm:t>
        <a:bodyPr/>
        <a:lstStyle/>
        <a:p>
          <a:endParaRPr lang="x-none"/>
        </a:p>
      </dgm:t>
    </dgm:pt>
    <dgm:pt modelId="{5B3DA0C2-6E84-429A-985E-6345B2880E53}" type="parTrans" cxnId="{8E02428D-E63A-4280-AF7B-62C7F9300C41}">
      <dgm:prSet/>
      <dgm:spPr/>
      <dgm:t>
        <a:bodyPr/>
        <a:lstStyle/>
        <a:p>
          <a:endParaRPr lang="x-none"/>
        </a:p>
      </dgm:t>
    </dgm:pt>
    <dgm:pt modelId="{16B69848-E7E9-4359-86B5-14BE73B23955}" type="pres">
      <dgm:prSet presAssocID="{B0C6EC5B-7FDB-48B9-9B62-395BA7F730F8}" presName="diagram" presStyleCnt="0">
        <dgm:presLayoutVars>
          <dgm:chPref val="1"/>
          <dgm:dir/>
          <dgm:animOne val="branch"/>
          <dgm:animLvl val="lvl"/>
          <dgm:resizeHandles val="exact"/>
        </dgm:presLayoutVars>
      </dgm:prSet>
      <dgm:spPr/>
    </dgm:pt>
    <dgm:pt modelId="{CD17B51C-908E-4DAA-8AC0-EAE01C44EB51}" type="pres">
      <dgm:prSet presAssocID="{BE481C91-96D0-4F4D-8702-216A122C27C4}" presName="root1" presStyleCnt="0"/>
      <dgm:spPr/>
    </dgm:pt>
    <dgm:pt modelId="{56CA30D0-3AA2-465F-B1CB-D9DF2445D55B}" type="pres">
      <dgm:prSet presAssocID="{BE481C91-96D0-4F4D-8702-216A122C27C4}" presName="LevelOneTextNode" presStyleLbl="node0" presStyleIdx="0" presStyleCnt="2">
        <dgm:presLayoutVars>
          <dgm:chPref val="3"/>
        </dgm:presLayoutVars>
      </dgm:prSet>
      <dgm:spPr/>
    </dgm:pt>
    <dgm:pt modelId="{6EEBB983-4696-4EFD-A809-6A2A5C36E989}" type="pres">
      <dgm:prSet presAssocID="{BE481C91-96D0-4F4D-8702-216A122C27C4}" presName="level2hierChild" presStyleCnt="0"/>
      <dgm:spPr/>
    </dgm:pt>
    <dgm:pt modelId="{A85ACB72-9EBB-4382-AE41-FB1D2DA37788}" type="pres">
      <dgm:prSet presAssocID="{89A12213-B262-4894-ABF7-3AF93A3CED7E}" presName="root1" presStyleCnt="0"/>
      <dgm:spPr/>
    </dgm:pt>
    <dgm:pt modelId="{E0DB5C4D-9BB1-4178-9C5D-4B89B8C0C0E4}" type="pres">
      <dgm:prSet presAssocID="{89A12213-B262-4894-ABF7-3AF93A3CED7E}" presName="LevelOneTextNode" presStyleLbl="node0" presStyleIdx="1" presStyleCnt="2">
        <dgm:presLayoutVars>
          <dgm:chPref val="3"/>
        </dgm:presLayoutVars>
      </dgm:prSet>
      <dgm:spPr/>
    </dgm:pt>
    <dgm:pt modelId="{6A05AC34-9BFA-40C1-AF68-386E825489E3}" type="pres">
      <dgm:prSet presAssocID="{89A12213-B262-4894-ABF7-3AF93A3CED7E}" presName="level2hierChild" presStyleCnt="0"/>
      <dgm:spPr/>
    </dgm:pt>
    <dgm:pt modelId="{940D479A-87C4-41E1-AC18-AE86E194580E}" type="pres">
      <dgm:prSet presAssocID="{38E5363A-FDCF-43A0-850C-9096564CA646}" presName="conn2-1" presStyleLbl="parChTrans1D2" presStyleIdx="0" presStyleCnt="3"/>
      <dgm:spPr/>
    </dgm:pt>
    <dgm:pt modelId="{39BBA9C3-CC8F-4CAD-AD27-DAEDED35880F}" type="pres">
      <dgm:prSet presAssocID="{38E5363A-FDCF-43A0-850C-9096564CA646}" presName="connTx" presStyleLbl="parChTrans1D2" presStyleIdx="0" presStyleCnt="3"/>
      <dgm:spPr/>
    </dgm:pt>
    <dgm:pt modelId="{293F043B-D1DF-49A4-8790-B56FD27D86CB}" type="pres">
      <dgm:prSet presAssocID="{73BDFE98-08D7-411E-9889-2751A0360C11}" presName="root2" presStyleCnt="0"/>
      <dgm:spPr/>
    </dgm:pt>
    <dgm:pt modelId="{F28A68E2-FFC5-4AF7-874A-DA4082EF6BCD}" type="pres">
      <dgm:prSet presAssocID="{73BDFE98-08D7-411E-9889-2751A0360C11}" presName="LevelTwoTextNode" presStyleLbl="node2" presStyleIdx="0" presStyleCnt="3">
        <dgm:presLayoutVars>
          <dgm:chPref val="3"/>
        </dgm:presLayoutVars>
      </dgm:prSet>
      <dgm:spPr/>
    </dgm:pt>
    <dgm:pt modelId="{0FD0C113-443A-4926-9F8B-F20CDABFA3C8}" type="pres">
      <dgm:prSet presAssocID="{73BDFE98-08D7-411E-9889-2751A0360C11}" presName="level3hierChild" presStyleCnt="0"/>
      <dgm:spPr/>
    </dgm:pt>
    <dgm:pt modelId="{A6A7BD2A-A205-429B-B5B2-53E80DB7127C}" type="pres">
      <dgm:prSet presAssocID="{EE468AAC-F984-4B1A-9C40-FBFB089918B2}" presName="conn2-1" presStyleLbl="parChTrans1D2" presStyleIdx="1" presStyleCnt="3"/>
      <dgm:spPr/>
    </dgm:pt>
    <dgm:pt modelId="{DEBEA84F-EC9C-47CE-A5F6-F7A457B18054}" type="pres">
      <dgm:prSet presAssocID="{EE468AAC-F984-4B1A-9C40-FBFB089918B2}" presName="connTx" presStyleLbl="parChTrans1D2" presStyleIdx="1" presStyleCnt="3"/>
      <dgm:spPr/>
    </dgm:pt>
    <dgm:pt modelId="{8551BB45-FFBD-4942-9F2F-2076B974C3E7}" type="pres">
      <dgm:prSet presAssocID="{B9220782-FB01-4E1F-96D4-E83246FF793D}" presName="root2" presStyleCnt="0"/>
      <dgm:spPr/>
    </dgm:pt>
    <dgm:pt modelId="{9B9CBDF1-9D86-4AF7-81BE-F3ADDF993432}" type="pres">
      <dgm:prSet presAssocID="{B9220782-FB01-4E1F-96D4-E83246FF793D}" presName="LevelTwoTextNode" presStyleLbl="node2" presStyleIdx="1" presStyleCnt="3">
        <dgm:presLayoutVars>
          <dgm:chPref val="3"/>
        </dgm:presLayoutVars>
      </dgm:prSet>
      <dgm:spPr/>
    </dgm:pt>
    <dgm:pt modelId="{F4491AB4-60CC-4C9B-9501-AFE72379EB37}" type="pres">
      <dgm:prSet presAssocID="{B9220782-FB01-4E1F-96D4-E83246FF793D}" presName="level3hierChild" presStyleCnt="0"/>
      <dgm:spPr/>
    </dgm:pt>
    <dgm:pt modelId="{BC4A6E2C-F5DD-44D7-97BC-1052C287B15B}" type="pres">
      <dgm:prSet presAssocID="{E38CE7BD-C84C-456C-8236-C21CF7A4783E}" presName="conn2-1" presStyleLbl="parChTrans1D3" presStyleIdx="0" presStyleCnt="8"/>
      <dgm:spPr/>
    </dgm:pt>
    <dgm:pt modelId="{651F77EB-5434-4481-BFAD-5910D4BADA84}" type="pres">
      <dgm:prSet presAssocID="{E38CE7BD-C84C-456C-8236-C21CF7A4783E}" presName="connTx" presStyleLbl="parChTrans1D3" presStyleIdx="0" presStyleCnt="8"/>
      <dgm:spPr/>
    </dgm:pt>
    <dgm:pt modelId="{3D93A9F3-0ABD-4544-8B25-6FDC5CD1423D}" type="pres">
      <dgm:prSet presAssocID="{C812B28B-573C-4AB9-B51B-8D3D5373F8B6}" presName="root2" presStyleCnt="0"/>
      <dgm:spPr/>
    </dgm:pt>
    <dgm:pt modelId="{99288FA1-4691-4426-BB53-2177155DAD7F}" type="pres">
      <dgm:prSet presAssocID="{C812B28B-573C-4AB9-B51B-8D3D5373F8B6}" presName="LevelTwoTextNode" presStyleLbl="node3" presStyleIdx="0" presStyleCnt="8">
        <dgm:presLayoutVars>
          <dgm:chPref val="3"/>
        </dgm:presLayoutVars>
      </dgm:prSet>
      <dgm:spPr/>
    </dgm:pt>
    <dgm:pt modelId="{3D11F41F-30B9-4047-9204-B537B8A2F2BB}" type="pres">
      <dgm:prSet presAssocID="{C812B28B-573C-4AB9-B51B-8D3D5373F8B6}" presName="level3hierChild" presStyleCnt="0"/>
      <dgm:spPr/>
    </dgm:pt>
    <dgm:pt modelId="{72F0C623-2CA7-4980-B514-A1ADD45C2B2F}" type="pres">
      <dgm:prSet presAssocID="{DA4DF74F-AADF-49E1-BAD5-87F03C44B7E5}" presName="conn2-1" presStyleLbl="parChTrans1D3" presStyleIdx="1" presStyleCnt="8"/>
      <dgm:spPr/>
    </dgm:pt>
    <dgm:pt modelId="{9CF72BF0-F4DB-4D74-B6E9-07254B6E827F}" type="pres">
      <dgm:prSet presAssocID="{DA4DF74F-AADF-49E1-BAD5-87F03C44B7E5}" presName="connTx" presStyleLbl="parChTrans1D3" presStyleIdx="1" presStyleCnt="8"/>
      <dgm:spPr/>
    </dgm:pt>
    <dgm:pt modelId="{2A5C0CDD-DACA-4F0D-92ED-B771A9A8619A}" type="pres">
      <dgm:prSet presAssocID="{A289B8C2-A0B8-4BED-B621-ACF1BB4F8E6D}" presName="root2" presStyleCnt="0"/>
      <dgm:spPr/>
    </dgm:pt>
    <dgm:pt modelId="{BABC3423-48DB-40F9-AEDA-EBA90976ACA5}" type="pres">
      <dgm:prSet presAssocID="{A289B8C2-A0B8-4BED-B621-ACF1BB4F8E6D}" presName="LevelTwoTextNode" presStyleLbl="node3" presStyleIdx="1" presStyleCnt="8">
        <dgm:presLayoutVars>
          <dgm:chPref val="3"/>
        </dgm:presLayoutVars>
      </dgm:prSet>
      <dgm:spPr/>
    </dgm:pt>
    <dgm:pt modelId="{1AE00073-5CC1-4C42-A72C-290371D63681}" type="pres">
      <dgm:prSet presAssocID="{A289B8C2-A0B8-4BED-B621-ACF1BB4F8E6D}" presName="level3hierChild" presStyleCnt="0"/>
      <dgm:spPr/>
    </dgm:pt>
    <dgm:pt modelId="{F074CC00-4F00-483B-8779-B20F1F711603}" type="pres">
      <dgm:prSet presAssocID="{A1CE74CC-3DBC-49B6-8AB9-7F981F82A98A}" presName="conn2-1" presStyleLbl="parChTrans1D4" presStyleIdx="0" presStyleCnt="4"/>
      <dgm:spPr/>
    </dgm:pt>
    <dgm:pt modelId="{F3C6865E-D224-4AA7-AEAB-A6E2D23612E9}" type="pres">
      <dgm:prSet presAssocID="{A1CE74CC-3DBC-49B6-8AB9-7F981F82A98A}" presName="connTx" presStyleLbl="parChTrans1D4" presStyleIdx="0" presStyleCnt="4"/>
      <dgm:spPr/>
    </dgm:pt>
    <dgm:pt modelId="{A15D3050-DF75-4CDE-B53F-452573F722E6}" type="pres">
      <dgm:prSet presAssocID="{5B65ED6E-C8B1-4338-87C7-9090432C19FC}" presName="root2" presStyleCnt="0"/>
      <dgm:spPr/>
    </dgm:pt>
    <dgm:pt modelId="{B899F2D9-7957-4C79-9837-BAC26526396A}" type="pres">
      <dgm:prSet presAssocID="{5B65ED6E-C8B1-4338-87C7-9090432C19FC}" presName="LevelTwoTextNode" presStyleLbl="node4" presStyleIdx="0" presStyleCnt="4">
        <dgm:presLayoutVars>
          <dgm:chPref val="3"/>
        </dgm:presLayoutVars>
      </dgm:prSet>
      <dgm:spPr/>
    </dgm:pt>
    <dgm:pt modelId="{826428D0-6967-448F-9085-D8DF54BA51BA}" type="pres">
      <dgm:prSet presAssocID="{5B65ED6E-C8B1-4338-87C7-9090432C19FC}" presName="level3hierChild" presStyleCnt="0"/>
      <dgm:spPr/>
    </dgm:pt>
    <dgm:pt modelId="{6B7B41CD-73F8-4EDD-9784-D3A470536440}" type="pres">
      <dgm:prSet presAssocID="{F429059C-8AD7-449F-9661-4193874B74B0}" presName="conn2-1" presStyleLbl="parChTrans1D4" presStyleIdx="1" presStyleCnt="4"/>
      <dgm:spPr/>
    </dgm:pt>
    <dgm:pt modelId="{63A70A40-C376-418C-B9BA-0FEE96AEA289}" type="pres">
      <dgm:prSet presAssocID="{F429059C-8AD7-449F-9661-4193874B74B0}" presName="connTx" presStyleLbl="parChTrans1D4" presStyleIdx="1" presStyleCnt="4"/>
      <dgm:spPr/>
    </dgm:pt>
    <dgm:pt modelId="{BD2AA9B5-7540-4C6D-81C8-0CB706644DDE}" type="pres">
      <dgm:prSet presAssocID="{B01655A4-4EA9-4EE7-AAD7-AE828D767377}" presName="root2" presStyleCnt="0"/>
      <dgm:spPr/>
    </dgm:pt>
    <dgm:pt modelId="{B3490752-86D6-4F14-A75A-95519E50FAB7}" type="pres">
      <dgm:prSet presAssocID="{B01655A4-4EA9-4EE7-AAD7-AE828D767377}" presName="LevelTwoTextNode" presStyleLbl="node4" presStyleIdx="1" presStyleCnt="4">
        <dgm:presLayoutVars>
          <dgm:chPref val="3"/>
        </dgm:presLayoutVars>
      </dgm:prSet>
      <dgm:spPr/>
    </dgm:pt>
    <dgm:pt modelId="{B1055180-2CDF-4B0B-8633-0F3B8746B106}" type="pres">
      <dgm:prSet presAssocID="{B01655A4-4EA9-4EE7-AAD7-AE828D767377}" presName="level3hierChild" presStyleCnt="0"/>
      <dgm:spPr/>
    </dgm:pt>
    <dgm:pt modelId="{D41CA4A8-BCB3-44C1-883C-2D1BFAE2DB7C}" type="pres">
      <dgm:prSet presAssocID="{79AB40FB-D794-4EB4-B275-082FD4346614}" presName="conn2-1" presStyleLbl="parChTrans1D3" presStyleIdx="2" presStyleCnt="8"/>
      <dgm:spPr/>
    </dgm:pt>
    <dgm:pt modelId="{8D5D5255-1F10-4888-AE68-33B7B7B659FC}" type="pres">
      <dgm:prSet presAssocID="{79AB40FB-D794-4EB4-B275-082FD4346614}" presName="connTx" presStyleLbl="parChTrans1D3" presStyleIdx="2" presStyleCnt="8"/>
      <dgm:spPr/>
    </dgm:pt>
    <dgm:pt modelId="{8DD76FDE-1036-4AFA-90A4-4ACE610F6AB0}" type="pres">
      <dgm:prSet presAssocID="{F2706584-BB1F-4B28-9531-2F5DBAF9A9FD}" presName="root2" presStyleCnt="0"/>
      <dgm:spPr/>
    </dgm:pt>
    <dgm:pt modelId="{55B5D840-B833-4E00-891E-AC73BD3016F4}" type="pres">
      <dgm:prSet presAssocID="{F2706584-BB1F-4B28-9531-2F5DBAF9A9FD}" presName="LevelTwoTextNode" presStyleLbl="node3" presStyleIdx="2" presStyleCnt="8">
        <dgm:presLayoutVars>
          <dgm:chPref val="3"/>
        </dgm:presLayoutVars>
      </dgm:prSet>
      <dgm:spPr/>
    </dgm:pt>
    <dgm:pt modelId="{C4A9FE04-E9A2-4197-B769-FFC0405E757C}" type="pres">
      <dgm:prSet presAssocID="{F2706584-BB1F-4B28-9531-2F5DBAF9A9FD}" presName="level3hierChild" presStyleCnt="0"/>
      <dgm:spPr/>
    </dgm:pt>
    <dgm:pt modelId="{00DA276B-E9FD-4223-BF11-EB0F3CF0C65A}" type="pres">
      <dgm:prSet presAssocID="{71B9A327-7746-49D7-BB63-C9C77713B080}" presName="conn2-1" presStyleLbl="parChTrans1D3" presStyleIdx="3" presStyleCnt="8"/>
      <dgm:spPr/>
    </dgm:pt>
    <dgm:pt modelId="{5D42D9FF-99EC-46E6-A99C-AD80216C3443}" type="pres">
      <dgm:prSet presAssocID="{71B9A327-7746-49D7-BB63-C9C77713B080}" presName="connTx" presStyleLbl="parChTrans1D3" presStyleIdx="3" presStyleCnt="8"/>
      <dgm:spPr/>
    </dgm:pt>
    <dgm:pt modelId="{38939C9B-76A7-447F-86CA-3B74B5292283}" type="pres">
      <dgm:prSet presAssocID="{6DA95FE2-A59E-43F7-BBE7-502F28573476}" presName="root2" presStyleCnt="0"/>
      <dgm:spPr/>
    </dgm:pt>
    <dgm:pt modelId="{A8922CBF-F0E7-40EB-8592-2BA3EA32AD13}" type="pres">
      <dgm:prSet presAssocID="{6DA95FE2-A59E-43F7-BBE7-502F28573476}" presName="LevelTwoTextNode" presStyleLbl="node3" presStyleIdx="3" presStyleCnt="8">
        <dgm:presLayoutVars>
          <dgm:chPref val="3"/>
        </dgm:presLayoutVars>
      </dgm:prSet>
      <dgm:spPr/>
    </dgm:pt>
    <dgm:pt modelId="{042DEDC4-27BA-44FE-8F5D-8E505DA8331C}" type="pres">
      <dgm:prSet presAssocID="{6DA95FE2-A59E-43F7-BBE7-502F28573476}" presName="level3hierChild" presStyleCnt="0"/>
      <dgm:spPr/>
    </dgm:pt>
    <dgm:pt modelId="{0C318193-B546-4317-BBC6-3A0A84D6666B}" type="pres">
      <dgm:prSet presAssocID="{E5D1ABF5-A6A6-4E43-9750-C127F0CB3E5F}" presName="conn2-1" presStyleLbl="parChTrans1D3" presStyleIdx="4" presStyleCnt="8"/>
      <dgm:spPr/>
    </dgm:pt>
    <dgm:pt modelId="{3BC1AC91-F49F-4E8D-A846-728A6D267B89}" type="pres">
      <dgm:prSet presAssocID="{E5D1ABF5-A6A6-4E43-9750-C127F0CB3E5F}" presName="connTx" presStyleLbl="parChTrans1D3" presStyleIdx="4" presStyleCnt="8"/>
      <dgm:spPr/>
    </dgm:pt>
    <dgm:pt modelId="{4428F7FA-1F93-4D2C-93D7-4152E9737F80}" type="pres">
      <dgm:prSet presAssocID="{54989C5B-77D0-4582-9135-2B71C1391232}" presName="root2" presStyleCnt="0"/>
      <dgm:spPr/>
    </dgm:pt>
    <dgm:pt modelId="{CAD87EB1-56A3-4CA2-A554-55F4C117DCD1}" type="pres">
      <dgm:prSet presAssocID="{54989C5B-77D0-4582-9135-2B71C1391232}" presName="LevelTwoTextNode" presStyleLbl="node3" presStyleIdx="4" presStyleCnt="8">
        <dgm:presLayoutVars>
          <dgm:chPref val="3"/>
        </dgm:presLayoutVars>
      </dgm:prSet>
      <dgm:spPr/>
    </dgm:pt>
    <dgm:pt modelId="{0AD34178-6DE4-4979-BA80-1656CD51F16E}" type="pres">
      <dgm:prSet presAssocID="{54989C5B-77D0-4582-9135-2B71C1391232}" presName="level3hierChild" presStyleCnt="0"/>
      <dgm:spPr/>
    </dgm:pt>
    <dgm:pt modelId="{3DA76114-FB8B-405A-BA20-6AA7343ADA29}" type="pres">
      <dgm:prSet presAssocID="{3DE61909-8E27-45BD-91E4-D834621B2711}" presName="conn2-1" presStyleLbl="parChTrans1D4" presStyleIdx="2" presStyleCnt="4"/>
      <dgm:spPr/>
    </dgm:pt>
    <dgm:pt modelId="{E86D3A18-6D5A-4855-AEE5-4A94DE772A51}" type="pres">
      <dgm:prSet presAssocID="{3DE61909-8E27-45BD-91E4-D834621B2711}" presName="connTx" presStyleLbl="parChTrans1D4" presStyleIdx="2" presStyleCnt="4"/>
      <dgm:spPr/>
    </dgm:pt>
    <dgm:pt modelId="{5F59009D-BF68-45D4-9FC7-87A85B5B3998}" type="pres">
      <dgm:prSet presAssocID="{56283E62-7574-4539-8C62-F406038BB999}" presName="root2" presStyleCnt="0"/>
      <dgm:spPr/>
    </dgm:pt>
    <dgm:pt modelId="{10DE85A1-358C-4A09-8362-439226BF97A9}" type="pres">
      <dgm:prSet presAssocID="{56283E62-7574-4539-8C62-F406038BB999}" presName="LevelTwoTextNode" presStyleLbl="node4" presStyleIdx="2" presStyleCnt="4">
        <dgm:presLayoutVars>
          <dgm:chPref val="3"/>
        </dgm:presLayoutVars>
      </dgm:prSet>
      <dgm:spPr/>
    </dgm:pt>
    <dgm:pt modelId="{C275C2CB-B8FE-42D8-816D-2282D4BD1F0D}" type="pres">
      <dgm:prSet presAssocID="{56283E62-7574-4539-8C62-F406038BB999}" presName="level3hierChild" presStyleCnt="0"/>
      <dgm:spPr/>
    </dgm:pt>
    <dgm:pt modelId="{6533728F-A91F-4060-8806-FB21ABC4821D}" type="pres">
      <dgm:prSet presAssocID="{7D6F463E-89FA-48F3-B6DA-3F251D57C4C3}" presName="conn2-1" presStyleLbl="parChTrans1D2" presStyleIdx="2" presStyleCnt="3"/>
      <dgm:spPr/>
    </dgm:pt>
    <dgm:pt modelId="{FDE16A21-919C-41E5-A8B9-6645C9B4876F}" type="pres">
      <dgm:prSet presAssocID="{7D6F463E-89FA-48F3-B6DA-3F251D57C4C3}" presName="connTx" presStyleLbl="parChTrans1D2" presStyleIdx="2" presStyleCnt="3"/>
      <dgm:spPr/>
    </dgm:pt>
    <dgm:pt modelId="{F26F926D-FBC8-44FE-8FEA-1F81A3DCEB5D}" type="pres">
      <dgm:prSet presAssocID="{CD53E4E5-B012-4F3D-96D7-FF410E675AA6}" presName="root2" presStyleCnt="0"/>
      <dgm:spPr/>
    </dgm:pt>
    <dgm:pt modelId="{327F8B60-8E8E-4C0F-9F1C-C322C11F5EBD}" type="pres">
      <dgm:prSet presAssocID="{CD53E4E5-B012-4F3D-96D7-FF410E675AA6}" presName="LevelTwoTextNode" presStyleLbl="node2" presStyleIdx="2" presStyleCnt="3">
        <dgm:presLayoutVars>
          <dgm:chPref val="3"/>
        </dgm:presLayoutVars>
      </dgm:prSet>
      <dgm:spPr/>
    </dgm:pt>
    <dgm:pt modelId="{A0D3DAF3-AB21-4764-9BB3-748D6A833F24}" type="pres">
      <dgm:prSet presAssocID="{CD53E4E5-B012-4F3D-96D7-FF410E675AA6}" presName="level3hierChild" presStyleCnt="0"/>
      <dgm:spPr/>
    </dgm:pt>
    <dgm:pt modelId="{F91EBE53-5013-4A8A-92A3-8D6EC112D4C6}" type="pres">
      <dgm:prSet presAssocID="{794BAE86-8BF9-43F0-9F0B-291FB0402146}" presName="conn2-1" presStyleLbl="parChTrans1D3" presStyleIdx="5" presStyleCnt="8"/>
      <dgm:spPr/>
    </dgm:pt>
    <dgm:pt modelId="{A60E0886-8CCE-4FAF-9C79-55675C8A3942}" type="pres">
      <dgm:prSet presAssocID="{794BAE86-8BF9-43F0-9F0B-291FB0402146}" presName="connTx" presStyleLbl="parChTrans1D3" presStyleIdx="5" presStyleCnt="8"/>
      <dgm:spPr/>
    </dgm:pt>
    <dgm:pt modelId="{D6D0A2FA-B4DE-43E3-99CD-82AF1A06FEB7}" type="pres">
      <dgm:prSet presAssocID="{7B445386-08AA-4BB1-82E9-CAC38C1043F3}" presName="root2" presStyleCnt="0"/>
      <dgm:spPr/>
    </dgm:pt>
    <dgm:pt modelId="{B7EC867B-5991-4EB9-A70C-B52B51589822}" type="pres">
      <dgm:prSet presAssocID="{7B445386-08AA-4BB1-82E9-CAC38C1043F3}" presName="LevelTwoTextNode" presStyleLbl="node3" presStyleIdx="5" presStyleCnt="8">
        <dgm:presLayoutVars>
          <dgm:chPref val="3"/>
        </dgm:presLayoutVars>
      </dgm:prSet>
      <dgm:spPr/>
    </dgm:pt>
    <dgm:pt modelId="{A6373F67-7040-4CF5-8C20-27B227113C7F}" type="pres">
      <dgm:prSet presAssocID="{7B445386-08AA-4BB1-82E9-CAC38C1043F3}" presName="level3hierChild" presStyleCnt="0"/>
      <dgm:spPr/>
    </dgm:pt>
    <dgm:pt modelId="{3A179C53-A1B4-418B-A67E-A2199F4FCFD9}" type="pres">
      <dgm:prSet presAssocID="{43D4AFE0-2087-479E-A699-6539485D7B1D}" presName="conn2-1" presStyleLbl="parChTrans1D3" presStyleIdx="6" presStyleCnt="8"/>
      <dgm:spPr/>
    </dgm:pt>
    <dgm:pt modelId="{53C4F697-5F8F-4221-8339-AAA3A922766C}" type="pres">
      <dgm:prSet presAssocID="{43D4AFE0-2087-479E-A699-6539485D7B1D}" presName="connTx" presStyleLbl="parChTrans1D3" presStyleIdx="6" presStyleCnt="8"/>
      <dgm:spPr/>
    </dgm:pt>
    <dgm:pt modelId="{9D018697-1048-46F8-BCC5-C66DB96273A8}" type="pres">
      <dgm:prSet presAssocID="{CD2DBD36-8456-4856-B815-45003630F4D0}" presName="root2" presStyleCnt="0"/>
      <dgm:spPr/>
    </dgm:pt>
    <dgm:pt modelId="{FD590A21-0469-4CEC-86E6-8729469E1DEB}" type="pres">
      <dgm:prSet presAssocID="{CD2DBD36-8456-4856-B815-45003630F4D0}" presName="LevelTwoTextNode" presStyleLbl="node3" presStyleIdx="6" presStyleCnt="8">
        <dgm:presLayoutVars>
          <dgm:chPref val="3"/>
        </dgm:presLayoutVars>
      </dgm:prSet>
      <dgm:spPr/>
    </dgm:pt>
    <dgm:pt modelId="{18E5C9DE-19CB-4DE1-842B-82C338793467}" type="pres">
      <dgm:prSet presAssocID="{CD2DBD36-8456-4856-B815-45003630F4D0}" presName="level3hierChild" presStyleCnt="0"/>
      <dgm:spPr/>
    </dgm:pt>
    <dgm:pt modelId="{A4C1A16B-D6BF-40CD-8E20-74BBE3C7F0B9}" type="pres">
      <dgm:prSet presAssocID="{0D18BB16-8CFC-474D-B9BF-A65051505526}" presName="conn2-1" presStyleLbl="parChTrans1D4" presStyleIdx="3" presStyleCnt="4"/>
      <dgm:spPr/>
    </dgm:pt>
    <dgm:pt modelId="{E5DD952D-9D94-472D-9262-14AFE8D74BCC}" type="pres">
      <dgm:prSet presAssocID="{0D18BB16-8CFC-474D-B9BF-A65051505526}" presName="connTx" presStyleLbl="parChTrans1D4" presStyleIdx="3" presStyleCnt="4"/>
      <dgm:spPr/>
    </dgm:pt>
    <dgm:pt modelId="{46BC7538-D3A6-4FCB-A12E-F6D243B2DBF3}" type="pres">
      <dgm:prSet presAssocID="{AECA2096-C5D6-40E8-AAC7-56DE69E1AD24}" presName="root2" presStyleCnt="0"/>
      <dgm:spPr/>
    </dgm:pt>
    <dgm:pt modelId="{E2D8712A-3412-4EA0-9586-88A291FD988D}" type="pres">
      <dgm:prSet presAssocID="{AECA2096-C5D6-40E8-AAC7-56DE69E1AD24}" presName="LevelTwoTextNode" presStyleLbl="node4" presStyleIdx="3" presStyleCnt="4">
        <dgm:presLayoutVars>
          <dgm:chPref val="3"/>
        </dgm:presLayoutVars>
      </dgm:prSet>
      <dgm:spPr/>
    </dgm:pt>
    <dgm:pt modelId="{18D4F18E-57C1-4C70-8B38-689E0EAF211A}" type="pres">
      <dgm:prSet presAssocID="{AECA2096-C5D6-40E8-AAC7-56DE69E1AD24}" presName="level3hierChild" presStyleCnt="0"/>
      <dgm:spPr/>
    </dgm:pt>
    <dgm:pt modelId="{0B8740F0-03C2-4CD8-BDB8-1C9CC3B0F550}" type="pres">
      <dgm:prSet presAssocID="{E743029B-31EA-44C7-BD5A-18EA8088BF71}" presName="conn2-1" presStyleLbl="parChTrans1D3" presStyleIdx="7" presStyleCnt="8"/>
      <dgm:spPr/>
    </dgm:pt>
    <dgm:pt modelId="{7B4368D6-D35E-4105-BB2B-5D14755F5B54}" type="pres">
      <dgm:prSet presAssocID="{E743029B-31EA-44C7-BD5A-18EA8088BF71}" presName="connTx" presStyleLbl="parChTrans1D3" presStyleIdx="7" presStyleCnt="8"/>
      <dgm:spPr/>
    </dgm:pt>
    <dgm:pt modelId="{1EC60F82-DC3E-4924-B2D6-E18DDFD4C7AF}" type="pres">
      <dgm:prSet presAssocID="{1C9A914B-282D-4C1E-8D95-462F251D317A}" presName="root2" presStyleCnt="0"/>
      <dgm:spPr/>
    </dgm:pt>
    <dgm:pt modelId="{3A3FC53C-81EE-4678-BBD9-81D3B2EC30D4}" type="pres">
      <dgm:prSet presAssocID="{1C9A914B-282D-4C1E-8D95-462F251D317A}" presName="LevelTwoTextNode" presStyleLbl="node3" presStyleIdx="7" presStyleCnt="8">
        <dgm:presLayoutVars>
          <dgm:chPref val="3"/>
        </dgm:presLayoutVars>
      </dgm:prSet>
      <dgm:spPr/>
    </dgm:pt>
    <dgm:pt modelId="{96D7C9A8-6E60-485E-93B6-0E52C759262E}" type="pres">
      <dgm:prSet presAssocID="{1C9A914B-282D-4C1E-8D95-462F251D317A}" presName="level3hierChild" presStyleCnt="0"/>
      <dgm:spPr/>
    </dgm:pt>
  </dgm:ptLst>
  <dgm:cxnLst>
    <dgm:cxn modelId="{03E8D200-C64A-41DF-BDF7-E2FF18E5AF40}" type="presOf" srcId="{43D4AFE0-2087-479E-A699-6539485D7B1D}" destId="{53C4F697-5F8F-4221-8339-AAA3A922766C}" srcOrd="1" destOrd="0" presId="urn:microsoft.com/office/officeart/2005/8/layout/hierarchy2"/>
    <dgm:cxn modelId="{7CB98906-B04F-44CD-9A52-BB3151B223DF}" type="presOf" srcId="{3DE61909-8E27-45BD-91E4-D834621B2711}" destId="{E86D3A18-6D5A-4855-AEE5-4A94DE772A51}" srcOrd="1" destOrd="0" presId="urn:microsoft.com/office/officeart/2005/8/layout/hierarchy2"/>
    <dgm:cxn modelId="{B55A1E07-230C-4DDC-990B-3B5E07C6F735}" type="presOf" srcId="{DA4DF74F-AADF-49E1-BAD5-87F03C44B7E5}" destId="{72F0C623-2CA7-4980-B514-A1ADD45C2B2F}" srcOrd="0" destOrd="0" presId="urn:microsoft.com/office/officeart/2005/8/layout/hierarchy2"/>
    <dgm:cxn modelId="{28FDCF08-E091-4185-BF7C-3CA66512D2F9}" type="presOf" srcId="{0D18BB16-8CFC-474D-B9BF-A65051505526}" destId="{E5DD952D-9D94-472D-9262-14AFE8D74BCC}" srcOrd="1" destOrd="0" presId="urn:microsoft.com/office/officeart/2005/8/layout/hierarchy2"/>
    <dgm:cxn modelId="{B4FBB40F-687B-4760-BCFE-6EE2F933FC0D}" type="presOf" srcId="{56283E62-7574-4539-8C62-F406038BB999}" destId="{10DE85A1-358C-4A09-8362-439226BF97A9}" srcOrd="0" destOrd="0" presId="urn:microsoft.com/office/officeart/2005/8/layout/hierarchy2"/>
    <dgm:cxn modelId="{1A0ECF12-1374-459D-855C-29CDFB398811}" type="presOf" srcId="{F2706584-BB1F-4B28-9531-2F5DBAF9A9FD}" destId="{55B5D840-B833-4E00-891E-AC73BD3016F4}" srcOrd="0" destOrd="0" presId="urn:microsoft.com/office/officeart/2005/8/layout/hierarchy2"/>
    <dgm:cxn modelId="{CB9AAC1A-A39B-4B7D-BB4B-AC06AEEA65CD}" type="presOf" srcId="{38E5363A-FDCF-43A0-850C-9096564CA646}" destId="{39BBA9C3-CC8F-4CAD-AD27-DAEDED35880F}" srcOrd="1" destOrd="0" presId="urn:microsoft.com/office/officeart/2005/8/layout/hierarchy2"/>
    <dgm:cxn modelId="{67ADB01E-77F9-4F0A-A5D0-3D97871319FE}" type="presOf" srcId="{79AB40FB-D794-4EB4-B275-082FD4346614}" destId="{8D5D5255-1F10-4888-AE68-33B7B7B659FC}" srcOrd="1" destOrd="0" presId="urn:microsoft.com/office/officeart/2005/8/layout/hierarchy2"/>
    <dgm:cxn modelId="{4AA17422-A92F-407F-93D7-52188A24A0A8}" type="presOf" srcId="{38E5363A-FDCF-43A0-850C-9096564CA646}" destId="{940D479A-87C4-41E1-AC18-AE86E194580E}" srcOrd="0" destOrd="0" presId="urn:microsoft.com/office/officeart/2005/8/layout/hierarchy2"/>
    <dgm:cxn modelId="{8FDB5628-CB8D-4B1D-9C60-6042FD586A8A}" srcId="{A289B8C2-A0B8-4BED-B621-ACF1BB4F8E6D}" destId="{5B65ED6E-C8B1-4338-87C7-9090432C19FC}" srcOrd="0" destOrd="0" parTransId="{A1CE74CC-3DBC-49B6-8AB9-7F981F82A98A}" sibTransId="{86ADC232-41B7-4129-8495-85F121B15F45}"/>
    <dgm:cxn modelId="{E9B55A2A-EB77-4E26-B70E-EACE7854F17D}" type="presOf" srcId="{7D6F463E-89FA-48F3-B6DA-3F251D57C4C3}" destId="{FDE16A21-919C-41E5-A8B9-6645C9B4876F}" srcOrd="1" destOrd="0" presId="urn:microsoft.com/office/officeart/2005/8/layout/hierarchy2"/>
    <dgm:cxn modelId="{C48A2A2D-E6F0-4232-9101-FCCB70C96698}" type="presOf" srcId="{89A12213-B262-4894-ABF7-3AF93A3CED7E}" destId="{E0DB5C4D-9BB1-4178-9C5D-4B89B8C0C0E4}" srcOrd="0" destOrd="0" presId="urn:microsoft.com/office/officeart/2005/8/layout/hierarchy2"/>
    <dgm:cxn modelId="{33471334-9195-4392-8657-09CF5D375425}" type="presOf" srcId="{F429059C-8AD7-449F-9661-4193874B74B0}" destId="{6B7B41CD-73F8-4EDD-9784-D3A470536440}" srcOrd="0" destOrd="0" presId="urn:microsoft.com/office/officeart/2005/8/layout/hierarchy2"/>
    <dgm:cxn modelId="{CC54983C-C393-4926-ADA8-592CE4AD2F58}" srcId="{B9220782-FB01-4E1F-96D4-E83246FF793D}" destId="{C812B28B-573C-4AB9-B51B-8D3D5373F8B6}" srcOrd="0" destOrd="0" parTransId="{E38CE7BD-C84C-456C-8236-C21CF7A4783E}" sibTransId="{D24369ED-6FA3-449A-8A3B-4DF323FF4692}"/>
    <dgm:cxn modelId="{36CB0340-E0BC-443F-AEE3-7CED382526B0}" type="presOf" srcId="{E5D1ABF5-A6A6-4E43-9750-C127F0CB3E5F}" destId="{0C318193-B546-4317-BBC6-3A0A84D6666B}" srcOrd="0" destOrd="0" presId="urn:microsoft.com/office/officeart/2005/8/layout/hierarchy2"/>
    <dgm:cxn modelId="{1E80DC5C-548A-40C8-B476-4A1D924F7818}" type="presOf" srcId="{79AB40FB-D794-4EB4-B275-082FD4346614}" destId="{D41CA4A8-BCB3-44C1-883C-2D1BFAE2DB7C}" srcOrd="0" destOrd="0" presId="urn:microsoft.com/office/officeart/2005/8/layout/hierarchy2"/>
    <dgm:cxn modelId="{5E469B5F-17E6-4C85-9B22-94A91214B083}" type="presOf" srcId="{71B9A327-7746-49D7-BB63-C9C77713B080}" destId="{00DA276B-E9FD-4223-BF11-EB0F3CF0C65A}" srcOrd="0" destOrd="0" presId="urn:microsoft.com/office/officeart/2005/8/layout/hierarchy2"/>
    <dgm:cxn modelId="{74020D49-8B21-4586-BD81-24C39D9CA4B4}" type="presOf" srcId="{E38CE7BD-C84C-456C-8236-C21CF7A4783E}" destId="{BC4A6E2C-F5DD-44D7-97BC-1052C287B15B}" srcOrd="0" destOrd="0" presId="urn:microsoft.com/office/officeart/2005/8/layout/hierarchy2"/>
    <dgm:cxn modelId="{8E288E6B-9205-41E4-A7D7-423305724A64}" type="presOf" srcId="{A1CE74CC-3DBC-49B6-8AB9-7F981F82A98A}" destId="{F074CC00-4F00-483B-8779-B20F1F711603}" srcOrd="0" destOrd="0" presId="urn:microsoft.com/office/officeart/2005/8/layout/hierarchy2"/>
    <dgm:cxn modelId="{766E994B-D87F-44AB-918B-B6979BEB5710}" type="presOf" srcId="{7D6F463E-89FA-48F3-B6DA-3F251D57C4C3}" destId="{6533728F-A91F-4060-8806-FB21ABC4821D}" srcOrd="0" destOrd="0" presId="urn:microsoft.com/office/officeart/2005/8/layout/hierarchy2"/>
    <dgm:cxn modelId="{8B7D9E6C-E5A0-4EB1-A666-C12704A64BF0}" type="presOf" srcId="{AECA2096-C5D6-40E8-AAC7-56DE69E1AD24}" destId="{E2D8712A-3412-4EA0-9586-88A291FD988D}" srcOrd="0" destOrd="0" presId="urn:microsoft.com/office/officeart/2005/8/layout/hierarchy2"/>
    <dgm:cxn modelId="{42E4956D-8EC5-47CB-8372-55C89696CCDD}" type="presOf" srcId="{EE468AAC-F984-4B1A-9C40-FBFB089918B2}" destId="{A6A7BD2A-A205-429B-B5B2-53E80DB7127C}" srcOrd="0" destOrd="0" presId="urn:microsoft.com/office/officeart/2005/8/layout/hierarchy2"/>
    <dgm:cxn modelId="{9616D94D-17F5-456B-ADB7-E1B3AE413AD0}" type="presOf" srcId="{E5D1ABF5-A6A6-4E43-9750-C127F0CB3E5F}" destId="{3BC1AC91-F49F-4E8D-A846-728A6D267B89}" srcOrd="1" destOrd="0" presId="urn:microsoft.com/office/officeart/2005/8/layout/hierarchy2"/>
    <dgm:cxn modelId="{F6433B6F-884B-4337-832A-BB93CFA0823E}" type="presOf" srcId="{E38CE7BD-C84C-456C-8236-C21CF7A4783E}" destId="{651F77EB-5434-4481-BFAD-5910D4BADA84}" srcOrd="1" destOrd="0" presId="urn:microsoft.com/office/officeart/2005/8/layout/hierarchy2"/>
    <dgm:cxn modelId="{7EA8E472-F2C2-4478-AE05-76F21AF8588D}" type="presOf" srcId="{73BDFE98-08D7-411E-9889-2751A0360C11}" destId="{F28A68E2-FFC5-4AF7-874A-DA4082EF6BCD}" srcOrd="0" destOrd="0" presId="urn:microsoft.com/office/officeart/2005/8/layout/hierarchy2"/>
    <dgm:cxn modelId="{0FD12375-4158-4545-A823-1532153235C2}" type="presOf" srcId="{B01655A4-4EA9-4EE7-AAD7-AE828D767377}" destId="{B3490752-86D6-4F14-A75A-95519E50FAB7}" srcOrd="0" destOrd="0" presId="urn:microsoft.com/office/officeart/2005/8/layout/hierarchy2"/>
    <dgm:cxn modelId="{77279058-D474-42C9-8E6C-6E9D7FA7E22B}" srcId="{B9220782-FB01-4E1F-96D4-E83246FF793D}" destId="{54989C5B-77D0-4582-9135-2B71C1391232}" srcOrd="4" destOrd="0" parTransId="{E5D1ABF5-A6A6-4E43-9750-C127F0CB3E5F}" sibTransId="{9B3F8760-0FAE-46CC-88A2-A9BCA4A96BEB}"/>
    <dgm:cxn modelId="{A0202459-0D83-473E-9F94-278EABBAFB34}" srcId="{B0C6EC5B-7FDB-48B9-9B62-395BA7F730F8}" destId="{89A12213-B262-4894-ABF7-3AF93A3CED7E}" srcOrd="1" destOrd="0" parTransId="{8B750605-5BD9-43CF-87D8-1CB486539940}" sibTransId="{BBB03D00-7C98-46CE-A011-E65E7E013C31}"/>
    <dgm:cxn modelId="{251D0E5A-DADF-4AAD-AF6F-695C8FE32479}" srcId="{B9220782-FB01-4E1F-96D4-E83246FF793D}" destId="{6DA95FE2-A59E-43F7-BBE7-502F28573476}" srcOrd="3" destOrd="0" parTransId="{71B9A327-7746-49D7-BB63-C9C77713B080}" sibTransId="{411E0E9E-08B5-46BC-8348-4018A7B0458F}"/>
    <dgm:cxn modelId="{BF601A7A-A3BF-4ED0-9CA8-3F05EFE8C7AC}" type="presOf" srcId="{A1CE74CC-3DBC-49B6-8AB9-7F981F82A98A}" destId="{F3C6865E-D224-4AA7-AEAB-A6E2D23612E9}" srcOrd="1" destOrd="0" presId="urn:microsoft.com/office/officeart/2005/8/layout/hierarchy2"/>
    <dgm:cxn modelId="{6FD1415A-7087-401E-88A1-7EE673D12BDC}" type="presOf" srcId="{794BAE86-8BF9-43F0-9F0B-291FB0402146}" destId="{A60E0886-8CCE-4FAF-9C79-55675C8A3942}" srcOrd="1" destOrd="0" presId="urn:microsoft.com/office/officeart/2005/8/layout/hierarchy2"/>
    <dgm:cxn modelId="{A7100D82-CF83-4C6C-A29D-4AE63C450259}" srcId="{89A12213-B262-4894-ABF7-3AF93A3CED7E}" destId="{CD53E4E5-B012-4F3D-96D7-FF410E675AA6}" srcOrd="2" destOrd="0" parTransId="{7D6F463E-89FA-48F3-B6DA-3F251D57C4C3}" sibTransId="{304D1A47-16F1-4C4C-AFFF-BCABD497E362}"/>
    <dgm:cxn modelId="{4C36AE85-3B16-4C71-B8B2-3F05E33FB671}" type="presOf" srcId="{CD53E4E5-B012-4F3D-96D7-FF410E675AA6}" destId="{327F8B60-8E8E-4C0F-9F1C-C322C11F5EBD}" srcOrd="0" destOrd="0" presId="urn:microsoft.com/office/officeart/2005/8/layout/hierarchy2"/>
    <dgm:cxn modelId="{4D0B4588-3127-4639-AAB3-DCA488D226D5}" type="presOf" srcId="{E743029B-31EA-44C7-BD5A-18EA8088BF71}" destId="{7B4368D6-D35E-4105-BB2B-5D14755F5B54}" srcOrd="1" destOrd="0" presId="urn:microsoft.com/office/officeart/2005/8/layout/hierarchy2"/>
    <dgm:cxn modelId="{4B0E748B-1321-4FE9-8DE8-F94924037877}" type="presOf" srcId="{DA4DF74F-AADF-49E1-BAD5-87F03C44B7E5}" destId="{9CF72BF0-F4DB-4D74-B6E9-07254B6E827F}" srcOrd="1" destOrd="0" presId="urn:microsoft.com/office/officeart/2005/8/layout/hierarchy2"/>
    <dgm:cxn modelId="{177F9B8B-F8ED-4CB1-977A-E556BB020682}" srcId="{B9220782-FB01-4E1F-96D4-E83246FF793D}" destId="{A289B8C2-A0B8-4BED-B621-ACF1BB4F8E6D}" srcOrd="1" destOrd="0" parTransId="{DA4DF74F-AADF-49E1-BAD5-87F03C44B7E5}" sibTransId="{471A160D-D2EF-4441-ABF8-FE9C265EA2E7}"/>
    <dgm:cxn modelId="{8E02428D-E63A-4280-AF7B-62C7F9300C41}" srcId="{B0C6EC5B-7FDB-48B9-9B62-395BA7F730F8}" destId="{BE481C91-96D0-4F4D-8702-216A122C27C4}" srcOrd="0" destOrd="0" parTransId="{5B3DA0C2-6E84-429A-985E-6345B2880E53}" sibTransId="{9CE17B4E-9A8F-4E6B-B58A-E88F5950A72A}"/>
    <dgm:cxn modelId="{788B4994-1B6C-4BF9-BFE4-2812D07023F0}" srcId="{B9220782-FB01-4E1F-96D4-E83246FF793D}" destId="{F2706584-BB1F-4B28-9531-2F5DBAF9A9FD}" srcOrd="2" destOrd="0" parTransId="{79AB40FB-D794-4EB4-B275-082FD4346614}" sibTransId="{46CAA27C-7D6B-46B7-AE2A-D866BD405AB8}"/>
    <dgm:cxn modelId="{DBED2D9A-382C-4E59-BE89-D1A2B2CA0515}" srcId="{CD53E4E5-B012-4F3D-96D7-FF410E675AA6}" destId="{7B445386-08AA-4BB1-82E9-CAC38C1043F3}" srcOrd="0" destOrd="0" parTransId="{794BAE86-8BF9-43F0-9F0B-291FB0402146}" sibTransId="{92F9ECFE-605A-46CC-B007-A9A99E6330CF}"/>
    <dgm:cxn modelId="{EBED3D9A-BDAC-4F6B-A4BD-9509E90C6059}" srcId="{89A12213-B262-4894-ABF7-3AF93A3CED7E}" destId="{B9220782-FB01-4E1F-96D4-E83246FF793D}" srcOrd="1" destOrd="0" parTransId="{EE468AAC-F984-4B1A-9C40-FBFB089918B2}" sibTransId="{A49337F0-14BE-4D76-9288-4720BA0A7D10}"/>
    <dgm:cxn modelId="{0047799A-1B3F-465B-AED8-2463E2806045}" type="presOf" srcId="{1C9A914B-282D-4C1E-8D95-462F251D317A}" destId="{3A3FC53C-81EE-4678-BBD9-81D3B2EC30D4}" srcOrd="0" destOrd="0" presId="urn:microsoft.com/office/officeart/2005/8/layout/hierarchy2"/>
    <dgm:cxn modelId="{0B38789D-DDBE-414F-8352-5F6EF765A841}" type="presOf" srcId="{0D18BB16-8CFC-474D-B9BF-A65051505526}" destId="{A4C1A16B-D6BF-40CD-8E20-74BBE3C7F0B9}" srcOrd="0" destOrd="0" presId="urn:microsoft.com/office/officeart/2005/8/layout/hierarchy2"/>
    <dgm:cxn modelId="{7BC794A0-F3C5-487F-B1F2-FC7C405AFE53}" type="presOf" srcId="{B0C6EC5B-7FDB-48B9-9B62-395BA7F730F8}" destId="{16B69848-E7E9-4359-86B5-14BE73B23955}" srcOrd="0" destOrd="0" presId="urn:microsoft.com/office/officeart/2005/8/layout/hierarchy2"/>
    <dgm:cxn modelId="{D037C5AB-1B00-47D7-ACA7-9CEBFB35E555}" type="presOf" srcId="{794BAE86-8BF9-43F0-9F0B-291FB0402146}" destId="{F91EBE53-5013-4A8A-92A3-8D6EC112D4C6}" srcOrd="0" destOrd="0" presId="urn:microsoft.com/office/officeart/2005/8/layout/hierarchy2"/>
    <dgm:cxn modelId="{02CA1FB0-7585-4AF4-AEC3-508E9D94F0A1}" type="presOf" srcId="{E743029B-31EA-44C7-BD5A-18EA8088BF71}" destId="{0B8740F0-03C2-4CD8-BDB8-1C9CC3B0F550}" srcOrd="0" destOrd="0" presId="urn:microsoft.com/office/officeart/2005/8/layout/hierarchy2"/>
    <dgm:cxn modelId="{6D1395B4-C17F-4BBA-8382-45CB53BB554C}" type="presOf" srcId="{6DA95FE2-A59E-43F7-BBE7-502F28573476}" destId="{A8922CBF-F0E7-40EB-8592-2BA3EA32AD13}" srcOrd="0" destOrd="0" presId="urn:microsoft.com/office/officeart/2005/8/layout/hierarchy2"/>
    <dgm:cxn modelId="{300500B5-390B-468C-A2D1-5EF8C2A052D3}" type="presOf" srcId="{CD2DBD36-8456-4856-B815-45003630F4D0}" destId="{FD590A21-0469-4CEC-86E6-8729469E1DEB}" srcOrd="0" destOrd="0" presId="urn:microsoft.com/office/officeart/2005/8/layout/hierarchy2"/>
    <dgm:cxn modelId="{58F94DBA-510D-42D6-9CE7-217AB1BCD740}" type="presOf" srcId="{3DE61909-8E27-45BD-91E4-D834621B2711}" destId="{3DA76114-FB8B-405A-BA20-6AA7343ADA29}" srcOrd="0" destOrd="0" presId="urn:microsoft.com/office/officeart/2005/8/layout/hierarchy2"/>
    <dgm:cxn modelId="{CC9F06BF-5077-44E6-ADCC-D129CF09C70C}" type="presOf" srcId="{54989C5B-77D0-4582-9135-2B71C1391232}" destId="{CAD87EB1-56A3-4CA2-A554-55F4C117DCD1}" srcOrd="0" destOrd="0" presId="urn:microsoft.com/office/officeart/2005/8/layout/hierarchy2"/>
    <dgm:cxn modelId="{7408BFBF-C681-4F44-A1D1-922930A5235E}" type="presOf" srcId="{C812B28B-573C-4AB9-B51B-8D3D5373F8B6}" destId="{99288FA1-4691-4426-BB53-2177155DAD7F}" srcOrd="0" destOrd="0" presId="urn:microsoft.com/office/officeart/2005/8/layout/hierarchy2"/>
    <dgm:cxn modelId="{77B2D0BF-B1B5-4737-AB20-7A8FB5F6463F}" srcId="{CD53E4E5-B012-4F3D-96D7-FF410E675AA6}" destId="{CD2DBD36-8456-4856-B815-45003630F4D0}" srcOrd="1" destOrd="0" parTransId="{43D4AFE0-2087-479E-A699-6539485D7B1D}" sibTransId="{99C800C7-BD42-40A8-B445-E49DD64BC26C}"/>
    <dgm:cxn modelId="{5A2914CC-EEBF-4E26-A30C-5B2C7AC13E41}" type="presOf" srcId="{43D4AFE0-2087-479E-A699-6539485D7B1D}" destId="{3A179C53-A1B4-418B-A67E-A2199F4FCFD9}" srcOrd="0" destOrd="0" presId="urn:microsoft.com/office/officeart/2005/8/layout/hierarchy2"/>
    <dgm:cxn modelId="{FC806CD9-0363-4BAD-A567-72433E4F62DD}" type="presOf" srcId="{A289B8C2-A0B8-4BED-B621-ACF1BB4F8E6D}" destId="{BABC3423-48DB-40F9-AEDA-EBA90976ACA5}" srcOrd="0" destOrd="0" presId="urn:microsoft.com/office/officeart/2005/8/layout/hierarchy2"/>
    <dgm:cxn modelId="{8331C8D9-2264-4F4F-B840-017FA6000BEA}" srcId="{A289B8C2-A0B8-4BED-B621-ACF1BB4F8E6D}" destId="{B01655A4-4EA9-4EE7-AAD7-AE828D767377}" srcOrd="1" destOrd="0" parTransId="{F429059C-8AD7-449F-9661-4193874B74B0}" sibTransId="{999A8965-2F34-4D35-8F3E-BCF40C8549E6}"/>
    <dgm:cxn modelId="{6195B1DC-3BD1-419B-B53B-97D754A71B16}" srcId="{CD2DBD36-8456-4856-B815-45003630F4D0}" destId="{AECA2096-C5D6-40E8-AAC7-56DE69E1AD24}" srcOrd="0" destOrd="0" parTransId="{0D18BB16-8CFC-474D-B9BF-A65051505526}" sibTransId="{05C2B482-DF0E-447C-A460-DF5D7121404C}"/>
    <dgm:cxn modelId="{20CA06EE-71BB-4430-99A4-EC389E9A0BCF}" type="presOf" srcId="{5B65ED6E-C8B1-4338-87C7-9090432C19FC}" destId="{B899F2D9-7957-4C79-9837-BAC26526396A}" srcOrd="0" destOrd="0" presId="urn:microsoft.com/office/officeart/2005/8/layout/hierarchy2"/>
    <dgm:cxn modelId="{7B5ED7EE-75DC-47B8-9458-3AD1E738A660}" type="presOf" srcId="{BE481C91-96D0-4F4D-8702-216A122C27C4}" destId="{56CA30D0-3AA2-465F-B1CB-D9DF2445D55B}" srcOrd="0" destOrd="0" presId="urn:microsoft.com/office/officeart/2005/8/layout/hierarchy2"/>
    <dgm:cxn modelId="{597151F3-02B1-4A64-8458-506ED941D54A}" srcId="{89A12213-B262-4894-ABF7-3AF93A3CED7E}" destId="{73BDFE98-08D7-411E-9889-2751A0360C11}" srcOrd="0" destOrd="0" parTransId="{38E5363A-FDCF-43A0-850C-9096564CA646}" sibTransId="{0FAE1307-8505-40A4-A1E4-4774B947C658}"/>
    <dgm:cxn modelId="{616D35F5-B37B-405F-8ED3-CB2FEA19E8C1}" type="presOf" srcId="{EE468AAC-F984-4B1A-9C40-FBFB089918B2}" destId="{DEBEA84F-EC9C-47CE-A5F6-F7A457B18054}" srcOrd="1" destOrd="0" presId="urn:microsoft.com/office/officeart/2005/8/layout/hierarchy2"/>
    <dgm:cxn modelId="{33FFB1F7-A10E-4FAA-A1DD-DDC52FC6E10B}" type="presOf" srcId="{B9220782-FB01-4E1F-96D4-E83246FF793D}" destId="{9B9CBDF1-9D86-4AF7-81BE-F3ADDF993432}" srcOrd="0" destOrd="0" presId="urn:microsoft.com/office/officeart/2005/8/layout/hierarchy2"/>
    <dgm:cxn modelId="{8AEEEDF7-F9E5-4081-84ED-D6188B6D3B21}" srcId="{CD53E4E5-B012-4F3D-96D7-FF410E675AA6}" destId="{1C9A914B-282D-4C1E-8D95-462F251D317A}" srcOrd="2" destOrd="0" parTransId="{E743029B-31EA-44C7-BD5A-18EA8088BF71}" sibTransId="{2F42CBA4-336B-4BDB-8A12-C566DF66B6E1}"/>
    <dgm:cxn modelId="{7B62A2F9-C672-476D-AB9C-3468948FF0A2}" srcId="{54989C5B-77D0-4582-9135-2B71C1391232}" destId="{56283E62-7574-4539-8C62-F406038BB999}" srcOrd="0" destOrd="0" parTransId="{3DE61909-8E27-45BD-91E4-D834621B2711}" sibTransId="{BE8F21C5-96F0-48FF-939D-3A2EB5B67DBD}"/>
    <dgm:cxn modelId="{676413FD-EEB7-4F39-9547-021C25A193A9}" type="presOf" srcId="{7B445386-08AA-4BB1-82E9-CAC38C1043F3}" destId="{B7EC867B-5991-4EB9-A70C-B52B51589822}" srcOrd="0" destOrd="0" presId="urn:microsoft.com/office/officeart/2005/8/layout/hierarchy2"/>
    <dgm:cxn modelId="{419254FE-1E1F-40DE-8FC3-0ABCB1945321}" type="presOf" srcId="{71B9A327-7746-49D7-BB63-C9C77713B080}" destId="{5D42D9FF-99EC-46E6-A99C-AD80216C3443}" srcOrd="1" destOrd="0" presId="urn:microsoft.com/office/officeart/2005/8/layout/hierarchy2"/>
    <dgm:cxn modelId="{2A2CBEFF-F231-446C-8DB4-A59B4A9154D7}" type="presOf" srcId="{F429059C-8AD7-449F-9661-4193874B74B0}" destId="{63A70A40-C376-418C-B9BA-0FEE96AEA289}" srcOrd="1" destOrd="0" presId="urn:microsoft.com/office/officeart/2005/8/layout/hierarchy2"/>
    <dgm:cxn modelId="{70C08E3A-E505-4191-A847-45A9DABB5AF2}" type="presParOf" srcId="{16B69848-E7E9-4359-86B5-14BE73B23955}" destId="{CD17B51C-908E-4DAA-8AC0-EAE01C44EB51}" srcOrd="0" destOrd="0" presId="urn:microsoft.com/office/officeart/2005/8/layout/hierarchy2"/>
    <dgm:cxn modelId="{D352D688-2B77-4260-B0AE-477FAED739DF}" type="presParOf" srcId="{CD17B51C-908E-4DAA-8AC0-EAE01C44EB51}" destId="{56CA30D0-3AA2-465F-B1CB-D9DF2445D55B}" srcOrd="0" destOrd="0" presId="urn:microsoft.com/office/officeart/2005/8/layout/hierarchy2"/>
    <dgm:cxn modelId="{7646C870-5D33-49C9-B65C-1D9AA9569DEE}" type="presParOf" srcId="{CD17B51C-908E-4DAA-8AC0-EAE01C44EB51}" destId="{6EEBB983-4696-4EFD-A809-6A2A5C36E989}" srcOrd="1" destOrd="0" presId="urn:microsoft.com/office/officeart/2005/8/layout/hierarchy2"/>
    <dgm:cxn modelId="{22482F09-935E-4C25-89DE-39FB05B93AF7}" type="presParOf" srcId="{16B69848-E7E9-4359-86B5-14BE73B23955}" destId="{A85ACB72-9EBB-4382-AE41-FB1D2DA37788}" srcOrd="1" destOrd="0" presId="urn:microsoft.com/office/officeart/2005/8/layout/hierarchy2"/>
    <dgm:cxn modelId="{C0AABB56-5AB7-4F20-93CA-59A70C05C972}" type="presParOf" srcId="{A85ACB72-9EBB-4382-AE41-FB1D2DA37788}" destId="{E0DB5C4D-9BB1-4178-9C5D-4B89B8C0C0E4}" srcOrd="0" destOrd="0" presId="urn:microsoft.com/office/officeart/2005/8/layout/hierarchy2"/>
    <dgm:cxn modelId="{BC7578AB-160E-4666-8845-F63E71166314}" type="presParOf" srcId="{A85ACB72-9EBB-4382-AE41-FB1D2DA37788}" destId="{6A05AC34-9BFA-40C1-AF68-386E825489E3}" srcOrd="1" destOrd="0" presId="urn:microsoft.com/office/officeart/2005/8/layout/hierarchy2"/>
    <dgm:cxn modelId="{F1DE0979-491E-42A9-8970-F86E29D15007}" type="presParOf" srcId="{6A05AC34-9BFA-40C1-AF68-386E825489E3}" destId="{940D479A-87C4-41E1-AC18-AE86E194580E}" srcOrd="0" destOrd="0" presId="urn:microsoft.com/office/officeart/2005/8/layout/hierarchy2"/>
    <dgm:cxn modelId="{D5EB41FE-574D-4C25-9426-4E108684CA5B}" type="presParOf" srcId="{940D479A-87C4-41E1-AC18-AE86E194580E}" destId="{39BBA9C3-CC8F-4CAD-AD27-DAEDED35880F}" srcOrd="0" destOrd="0" presId="urn:microsoft.com/office/officeart/2005/8/layout/hierarchy2"/>
    <dgm:cxn modelId="{6C2F990E-0278-47A0-8919-3A424D6F6CC8}" type="presParOf" srcId="{6A05AC34-9BFA-40C1-AF68-386E825489E3}" destId="{293F043B-D1DF-49A4-8790-B56FD27D86CB}" srcOrd="1" destOrd="0" presId="urn:microsoft.com/office/officeart/2005/8/layout/hierarchy2"/>
    <dgm:cxn modelId="{953489F2-DD2D-479E-9194-389466748E84}" type="presParOf" srcId="{293F043B-D1DF-49A4-8790-B56FD27D86CB}" destId="{F28A68E2-FFC5-4AF7-874A-DA4082EF6BCD}" srcOrd="0" destOrd="0" presId="urn:microsoft.com/office/officeart/2005/8/layout/hierarchy2"/>
    <dgm:cxn modelId="{A1EC7725-DBB8-42CA-88F1-D961850092A9}" type="presParOf" srcId="{293F043B-D1DF-49A4-8790-B56FD27D86CB}" destId="{0FD0C113-443A-4926-9F8B-F20CDABFA3C8}" srcOrd="1" destOrd="0" presId="urn:microsoft.com/office/officeart/2005/8/layout/hierarchy2"/>
    <dgm:cxn modelId="{6FC65E30-3FB8-4CEF-BE19-C0A2BA0EE670}" type="presParOf" srcId="{6A05AC34-9BFA-40C1-AF68-386E825489E3}" destId="{A6A7BD2A-A205-429B-B5B2-53E80DB7127C}" srcOrd="2" destOrd="0" presId="urn:microsoft.com/office/officeart/2005/8/layout/hierarchy2"/>
    <dgm:cxn modelId="{C7C04C13-FCD4-4F2C-A4EB-858B13E51594}" type="presParOf" srcId="{A6A7BD2A-A205-429B-B5B2-53E80DB7127C}" destId="{DEBEA84F-EC9C-47CE-A5F6-F7A457B18054}" srcOrd="0" destOrd="0" presId="urn:microsoft.com/office/officeart/2005/8/layout/hierarchy2"/>
    <dgm:cxn modelId="{06F37D0C-68C7-4BAF-9CB9-7A9EFD1CBE5E}" type="presParOf" srcId="{6A05AC34-9BFA-40C1-AF68-386E825489E3}" destId="{8551BB45-FFBD-4942-9F2F-2076B974C3E7}" srcOrd="3" destOrd="0" presId="urn:microsoft.com/office/officeart/2005/8/layout/hierarchy2"/>
    <dgm:cxn modelId="{FBB9E480-39FA-49BE-8643-D0E0DD4AC8B9}" type="presParOf" srcId="{8551BB45-FFBD-4942-9F2F-2076B974C3E7}" destId="{9B9CBDF1-9D86-4AF7-81BE-F3ADDF993432}" srcOrd="0" destOrd="0" presId="urn:microsoft.com/office/officeart/2005/8/layout/hierarchy2"/>
    <dgm:cxn modelId="{600F7847-3976-48EB-BE4D-B550CA5482A6}" type="presParOf" srcId="{8551BB45-FFBD-4942-9F2F-2076B974C3E7}" destId="{F4491AB4-60CC-4C9B-9501-AFE72379EB37}" srcOrd="1" destOrd="0" presId="urn:microsoft.com/office/officeart/2005/8/layout/hierarchy2"/>
    <dgm:cxn modelId="{EA8E42BF-6427-4A1F-B0BC-11B0B7133699}" type="presParOf" srcId="{F4491AB4-60CC-4C9B-9501-AFE72379EB37}" destId="{BC4A6E2C-F5DD-44D7-97BC-1052C287B15B}" srcOrd="0" destOrd="0" presId="urn:microsoft.com/office/officeart/2005/8/layout/hierarchy2"/>
    <dgm:cxn modelId="{D3DE4269-5BF7-47E8-98DC-CFEA42F20C97}" type="presParOf" srcId="{BC4A6E2C-F5DD-44D7-97BC-1052C287B15B}" destId="{651F77EB-5434-4481-BFAD-5910D4BADA84}" srcOrd="0" destOrd="0" presId="urn:microsoft.com/office/officeart/2005/8/layout/hierarchy2"/>
    <dgm:cxn modelId="{D876E9FD-507D-4B8A-A0C2-7DF9D8701E82}" type="presParOf" srcId="{F4491AB4-60CC-4C9B-9501-AFE72379EB37}" destId="{3D93A9F3-0ABD-4544-8B25-6FDC5CD1423D}" srcOrd="1" destOrd="0" presId="urn:microsoft.com/office/officeart/2005/8/layout/hierarchy2"/>
    <dgm:cxn modelId="{457DF91E-324A-4593-BC34-0315FAB4F43D}" type="presParOf" srcId="{3D93A9F3-0ABD-4544-8B25-6FDC5CD1423D}" destId="{99288FA1-4691-4426-BB53-2177155DAD7F}" srcOrd="0" destOrd="0" presId="urn:microsoft.com/office/officeart/2005/8/layout/hierarchy2"/>
    <dgm:cxn modelId="{9B475988-38FD-4B28-B2B4-A6895E1EDAEF}" type="presParOf" srcId="{3D93A9F3-0ABD-4544-8B25-6FDC5CD1423D}" destId="{3D11F41F-30B9-4047-9204-B537B8A2F2BB}" srcOrd="1" destOrd="0" presId="urn:microsoft.com/office/officeart/2005/8/layout/hierarchy2"/>
    <dgm:cxn modelId="{8A37634A-EA2D-4E63-9384-D905B99DAD8F}" type="presParOf" srcId="{F4491AB4-60CC-4C9B-9501-AFE72379EB37}" destId="{72F0C623-2CA7-4980-B514-A1ADD45C2B2F}" srcOrd="2" destOrd="0" presId="urn:microsoft.com/office/officeart/2005/8/layout/hierarchy2"/>
    <dgm:cxn modelId="{0B947F5F-80B3-497B-B29A-74A73E054E0B}" type="presParOf" srcId="{72F0C623-2CA7-4980-B514-A1ADD45C2B2F}" destId="{9CF72BF0-F4DB-4D74-B6E9-07254B6E827F}" srcOrd="0" destOrd="0" presId="urn:microsoft.com/office/officeart/2005/8/layout/hierarchy2"/>
    <dgm:cxn modelId="{A6A9F38D-91AF-4ED7-8BE4-EA08B4D61F28}" type="presParOf" srcId="{F4491AB4-60CC-4C9B-9501-AFE72379EB37}" destId="{2A5C0CDD-DACA-4F0D-92ED-B771A9A8619A}" srcOrd="3" destOrd="0" presId="urn:microsoft.com/office/officeart/2005/8/layout/hierarchy2"/>
    <dgm:cxn modelId="{9101C6BB-FDB8-4FB8-B54C-436237734170}" type="presParOf" srcId="{2A5C0CDD-DACA-4F0D-92ED-B771A9A8619A}" destId="{BABC3423-48DB-40F9-AEDA-EBA90976ACA5}" srcOrd="0" destOrd="0" presId="urn:microsoft.com/office/officeart/2005/8/layout/hierarchy2"/>
    <dgm:cxn modelId="{1FC3E3E0-F587-4C36-963D-91ABC3E0C4C6}" type="presParOf" srcId="{2A5C0CDD-DACA-4F0D-92ED-B771A9A8619A}" destId="{1AE00073-5CC1-4C42-A72C-290371D63681}" srcOrd="1" destOrd="0" presId="urn:microsoft.com/office/officeart/2005/8/layout/hierarchy2"/>
    <dgm:cxn modelId="{F7BF37BB-33A7-4783-8803-FD2A4AD939CF}" type="presParOf" srcId="{1AE00073-5CC1-4C42-A72C-290371D63681}" destId="{F074CC00-4F00-483B-8779-B20F1F711603}" srcOrd="0" destOrd="0" presId="urn:microsoft.com/office/officeart/2005/8/layout/hierarchy2"/>
    <dgm:cxn modelId="{05DAA6F4-2E8A-47F7-9548-DAB566B9C5F4}" type="presParOf" srcId="{F074CC00-4F00-483B-8779-B20F1F711603}" destId="{F3C6865E-D224-4AA7-AEAB-A6E2D23612E9}" srcOrd="0" destOrd="0" presId="urn:microsoft.com/office/officeart/2005/8/layout/hierarchy2"/>
    <dgm:cxn modelId="{64721736-7322-4A40-8F32-B1E7A34E05BF}" type="presParOf" srcId="{1AE00073-5CC1-4C42-A72C-290371D63681}" destId="{A15D3050-DF75-4CDE-B53F-452573F722E6}" srcOrd="1" destOrd="0" presId="urn:microsoft.com/office/officeart/2005/8/layout/hierarchy2"/>
    <dgm:cxn modelId="{AF9B1165-80B1-4CB6-A559-A72CAA41B720}" type="presParOf" srcId="{A15D3050-DF75-4CDE-B53F-452573F722E6}" destId="{B899F2D9-7957-4C79-9837-BAC26526396A}" srcOrd="0" destOrd="0" presId="urn:microsoft.com/office/officeart/2005/8/layout/hierarchy2"/>
    <dgm:cxn modelId="{C7A55C00-51BF-495C-98F4-70F3AC1C42AB}" type="presParOf" srcId="{A15D3050-DF75-4CDE-B53F-452573F722E6}" destId="{826428D0-6967-448F-9085-D8DF54BA51BA}" srcOrd="1" destOrd="0" presId="urn:microsoft.com/office/officeart/2005/8/layout/hierarchy2"/>
    <dgm:cxn modelId="{2811890C-318A-4D5B-89BA-BB6B7B830B68}" type="presParOf" srcId="{1AE00073-5CC1-4C42-A72C-290371D63681}" destId="{6B7B41CD-73F8-4EDD-9784-D3A470536440}" srcOrd="2" destOrd="0" presId="urn:microsoft.com/office/officeart/2005/8/layout/hierarchy2"/>
    <dgm:cxn modelId="{2F15CFA5-AFB1-41DB-ABF0-96C14EAB07E2}" type="presParOf" srcId="{6B7B41CD-73F8-4EDD-9784-D3A470536440}" destId="{63A70A40-C376-418C-B9BA-0FEE96AEA289}" srcOrd="0" destOrd="0" presId="urn:microsoft.com/office/officeart/2005/8/layout/hierarchy2"/>
    <dgm:cxn modelId="{B2FEA4B3-9E99-48E1-8546-8838864B3E23}" type="presParOf" srcId="{1AE00073-5CC1-4C42-A72C-290371D63681}" destId="{BD2AA9B5-7540-4C6D-81C8-0CB706644DDE}" srcOrd="3" destOrd="0" presId="urn:microsoft.com/office/officeart/2005/8/layout/hierarchy2"/>
    <dgm:cxn modelId="{635249E7-9F24-4BDD-A511-8F5F5CEFD526}" type="presParOf" srcId="{BD2AA9B5-7540-4C6D-81C8-0CB706644DDE}" destId="{B3490752-86D6-4F14-A75A-95519E50FAB7}" srcOrd="0" destOrd="0" presId="urn:microsoft.com/office/officeart/2005/8/layout/hierarchy2"/>
    <dgm:cxn modelId="{D122DD5E-8B79-4698-88D5-6F910A92D9B7}" type="presParOf" srcId="{BD2AA9B5-7540-4C6D-81C8-0CB706644DDE}" destId="{B1055180-2CDF-4B0B-8633-0F3B8746B106}" srcOrd="1" destOrd="0" presId="urn:microsoft.com/office/officeart/2005/8/layout/hierarchy2"/>
    <dgm:cxn modelId="{596C387A-09E9-45F1-B829-4E7BE628C8C6}" type="presParOf" srcId="{F4491AB4-60CC-4C9B-9501-AFE72379EB37}" destId="{D41CA4A8-BCB3-44C1-883C-2D1BFAE2DB7C}" srcOrd="4" destOrd="0" presId="urn:microsoft.com/office/officeart/2005/8/layout/hierarchy2"/>
    <dgm:cxn modelId="{642CF8C3-5769-4A38-B7E3-B40F4EADD868}" type="presParOf" srcId="{D41CA4A8-BCB3-44C1-883C-2D1BFAE2DB7C}" destId="{8D5D5255-1F10-4888-AE68-33B7B7B659FC}" srcOrd="0" destOrd="0" presId="urn:microsoft.com/office/officeart/2005/8/layout/hierarchy2"/>
    <dgm:cxn modelId="{9A490BB7-A775-4B7F-841B-B13E45D14BF2}" type="presParOf" srcId="{F4491AB4-60CC-4C9B-9501-AFE72379EB37}" destId="{8DD76FDE-1036-4AFA-90A4-4ACE610F6AB0}" srcOrd="5" destOrd="0" presId="urn:microsoft.com/office/officeart/2005/8/layout/hierarchy2"/>
    <dgm:cxn modelId="{2F51E277-1EE0-4746-A4A5-41412308D220}" type="presParOf" srcId="{8DD76FDE-1036-4AFA-90A4-4ACE610F6AB0}" destId="{55B5D840-B833-4E00-891E-AC73BD3016F4}" srcOrd="0" destOrd="0" presId="urn:microsoft.com/office/officeart/2005/8/layout/hierarchy2"/>
    <dgm:cxn modelId="{01AE8C6E-6760-42A2-9CD5-AA5012B33041}" type="presParOf" srcId="{8DD76FDE-1036-4AFA-90A4-4ACE610F6AB0}" destId="{C4A9FE04-E9A2-4197-B769-FFC0405E757C}" srcOrd="1" destOrd="0" presId="urn:microsoft.com/office/officeart/2005/8/layout/hierarchy2"/>
    <dgm:cxn modelId="{E6D5F6B4-C9AB-4FDB-94DC-79F421CDC3A2}" type="presParOf" srcId="{F4491AB4-60CC-4C9B-9501-AFE72379EB37}" destId="{00DA276B-E9FD-4223-BF11-EB0F3CF0C65A}" srcOrd="6" destOrd="0" presId="urn:microsoft.com/office/officeart/2005/8/layout/hierarchy2"/>
    <dgm:cxn modelId="{CCD99572-4A38-4159-9987-5C8CFBCD6B05}" type="presParOf" srcId="{00DA276B-E9FD-4223-BF11-EB0F3CF0C65A}" destId="{5D42D9FF-99EC-46E6-A99C-AD80216C3443}" srcOrd="0" destOrd="0" presId="urn:microsoft.com/office/officeart/2005/8/layout/hierarchy2"/>
    <dgm:cxn modelId="{BDB41382-575B-41F9-B74A-771E8FA88655}" type="presParOf" srcId="{F4491AB4-60CC-4C9B-9501-AFE72379EB37}" destId="{38939C9B-76A7-447F-86CA-3B74B5292283}" srcOrd="7" destOrd="0" presId="urn:microsoft.com/office/officeart/2005/8/layout/hierarchy2"/>
    <dgm:cxn modelId="{47F75BAD-BA35-449D-844F-B6873C9A9CD9}" type="presParOf" srcId="{38939C9B-76A7-447F-86CA-3B74B5292283}" destId="{A8922CBF-F0E7-40EB-8592-2BA3EA32AD13}" srcOrd="0" destOrd="0" presId="urn:microsoft.com/office/officeart/2005/8/layout/hierarchy2"/>
    <dgm:cxn modelId="{829FC589-31A9-4609-838F-85A7CC129549}" type="presParOf" srcId="{38939C9B-76A7-447F-86CA-3B74B5292283}" destId="{042DEDC4-27BA-44FE-8F5D-8E505DA8331C}" srcOrd="1" destOrd="0" presId="urn:microsoft.com/office/officeart/2005/8/layout/hierarchy2"/>
    <dgm:cxn modelId="{5F1744F1-D2FF-4445-B14E-1E17E6A45009}" type="presParOf" srcId="{F4491AB4-60CC-4C9B-9501-AFE72379EB37}" destId="{0C318193-B546-4317-BBC6-3A0A84D6666B}" srcOrd="8" destOrd="0" presId="urn:microsoft.com/office/officeart/2005/8/layout/hierarchy2"/>
    <dgm:cxn modelId="{D2CAF858-84CD-4D54-8678-C33BE1ABFAFC}" type="presParOf" srcId="{0C318193-B546-4317-BBC6-3A0A84D6666B}" destId="{3BC1AC91-F49F-4E8D-A846-728A6D267B89}" srcOrd="0" destOrd="0" presId="urn:microsoft.com/office/officeart/2005/8/layout/hierarchy2"/>
    <dgm:cxn modelId="{5F65BE10-6888-4FB3-AA4B-63DB7A79B897}" type="presParOf" srcId="{F4491AB4-60CC-4C9B-9501-AFE72379EB37}" destId="{4428F7FA-1F93-4D2C-93D7-4152E9737F80}" srcOrd="9" destOrd="0" presId="urn:microsoft.com/office/officeart/2005/8/layout/hierarchy2"/>
    <dgm:cxn modelId="{7C4B6B5A-3278-410E-9C6C-49EE5BB4BA60}" type="presParOf" srcId="{4428F7FA-1F93-4D2C-93D7-4152E9737F80}" destId="{CAD87EB1-56A3-4CA2-A554-55F4C117DCD1}" srcOrd="0" destOrd="0" presId="urn:microsoft.com/office/officeart/2005/8/layout/hierarchy2"/>
    <dgm:cxn modelId="{545A11CC-5D98-4312-B2CB-A2349819C82E}" type="presParOf" srcId="{4428F7FA-1F93-4D2C-93D7-4152E9737F80}" destId="{0AD34178-6DE4-4979-BA80-1656CD51F16E}" srcOrd="1" destOrd="0" presId="urn:microsoft.com/office/officeart/2005/8/layout/hierarchy2"/>
    <dgm:cxn modelId="{875456E3-809C-4A3D-9E2B-7E8192D3A635}" type="presParOf" srcId="{0AD34178-6DE4-4979-BA80-1656CD51F16E}" destId="{3DA76114-FB8B-405A-BA20-6AA7343ADA29}" srcOrd="0" destOrd="0" presId="urn:microsoft.com/office/officeart/2005/8/layout/hierarchy2"/>
    <dgm:cxn modelId="{E2ACBF86-0D7E-4987-A977-94F83C4E2595}" type="presParOf" srcId="{3DA76114-FB8B-405A-BA20-6AA7343ADA29}" destId="{E86D3A18-6D5A-4855-AEE5-4A94DE772A51}" srcOrd="0" destOrd="0" presId="urn:microsoft.com/office/officeart/2005/8/layout/hierarchy2"/>
    <dgm:cxn modelId="{1244C2EB-DA0F-426D-90C1-10FE36CF5AD9}" type="presParOf" srcId="{0AD34178-6DE4-4979-BA80-1656CD51F16E}" destId="{5F59009D-BF68-45D4-9FC7-87A85B5B3998}" srcOrd="1" destOrd="0" presId="urn:microsoft.com/office/officeart/2005/8/layout/hierarchy2"/>
    <dgm:cxn modelId="{E544D0C3-67CB-42C9-8611-E097F5245F2A}" type="presParOf" srcId="{5F59009D-BF68-45D4-9FC7-87A85B5B3998}" destId="{10DE85A1-358C-4A09-8362-439226BF97A9}" srcOrd="0" destOrd="0" presId="urn:microsoft.com/office/officeart/2005/8/layout/hierarchy2"/>
    <dgm:cxn modelId="{277DE923-1551-4079-9A58-3CDB7DA3D2E8}" type="presParOf" srcId="{5F59009D-BF68-45D4-9FC7-87A85B5B3998}" destId="{C275C2CB-B8FE-42D8-816D-2282D4BD1F0D}" srcOrd="1" destOrd="0" presId="urn:microsoft.com/office/officeart/2005/8/layout/hierarchy2"/>
    <dgm:cxn modelId="{E79413EF-BFCE-4CF2-AF56-8B63F6CFBB17}" type="presParOf" srcId="{6A05AC34-9BFA-40C1-AF68-386E825489E3}" destId="{6533728F-A91F-4060-8806-FB21ABC4821D}" srcOrd="4" destOrd="0" presId="urn:microsoft.com/office/officeart/2005/8/layout/hierarchy2"/>
    <dgm:cxn modelId="{8E9114CD-2249-48D5-AD19-45598C1762CF}" type="presParOf" srcId="{6533728F-A91F-4060-8806-FB21ABC4821D}" destId="{FDE16A21-919C-41E5-A8B9-6645C9B4876F}" srcOrd="0" destOrd="0" presId="urn:microsoft.com/office/officeart/2005/8/layout/hierarchy2"/>
    <dgm:cxn modelId="{D473FF85-DE96-49C2-8AC4-C9805DC9DD8B}" type="presParOf" srcId="{6A05AC34-9BFA-40C1-AF68-386E825489E3}" destId="{F26F926D-FBC8-44FE-8FEA-1F81A3DCEB5D}" srcOrd="5" destOrd="0" presId="urn:microsoft.com/office/officeart/2005/8/layout/hierarchy2"/>
    <dgm:cxn modelId="{18F0A3B3-782F-490B-A161-CC2F35CC85AE}" type="presParOf" srcId="{F26F926D-FBC8-44FE-8FEA-1F81A3DCEB5D}" destId="{327F8B60-8E8E-4C0F-9F1C-C322C11F5EBD}" srcOrd="0" destOrd="0" presId="urn:microsoft.com/office/officeart/2005/8/layout/hierarchy2"/>
    <dgm:cxn modelId="{ADA3C20D-9AEC-43A6-B20A-7E2EE50224B5}" type="presParOf" srcId="{F26F926D-FBC8-44FE-8FEA-1F81A3DCEB5D}" destId="{A0D3DAF3-AB21-4764-9BB3-748D6A833F24}" srcOrd="1" destOrd="0" presId="urn:microsoft.com/office/officeart/2005/8/layout/hierarchy2"/>
    <dgm:cxn modelId="{AA684DD5-1414-42FC-B63F-B02159A5D6BE}" type="presParOf" srcId="{A0D3DAF3-AB21-4764-9BB3-748D6A833F24}" destId="{F91EBE53-5013-4A8A-92A3-8D6EC112D4C6}" srcOrd="0" destOrd="0" presId="urn:microsoft.com/office/officeart/2005/8/layout/hierarchy2"/>
    <dgm:cxn modelId="{9E31D6F9-7DDB-49B1-BC2D-60D2A422D378}" type="presParOf" srcId="{F91EBE53-5013-4A8A-92A3-8D6EC112D4C6}" destId="{A60E0886-8CCE-4FAF-9C79-55675C8A3942}" srcOrd="0" destOrd="0" presId="urn:microsoft.com/office/officeart/2005/8/layout/hierarchy2"/>
    <dgm:cxn modelId="{592A80C0-FEE1-4F3B-B89B-25AD4721E636}" type="presParOf" srcId="{A0D3DAF3-AB21-4764-9BB3-748D6A833F24}" destId="{D6D0A2FA-B4DE-43E3-99CD-82AF1A06FEB7}" srcOrd="1" destOrd="0" presId="urn:microsoft.com/office/officeart/2005/8/layout/hierarchy2"/>
    <dgm:cxn modelId="{07A6A417-6A87-42E0-BB2E-D75A0CEE8007}" type="presParOf" srcId="{D6D0A2FA-B4DE-43E3-99CD-82AF1A06FEB7}" destId="{B7EC867B-5991-4EB9-A70C-B52B51589822}" srcOrd="0" destOrd="0" presId="urn:microsoft.com/office/officeart/2005/8/layout/hierarchy2"/>
    <dgm:cxn modelId="{DB2B3A72-9CC7-4E02-AF80-F3E47655D7D7}" type="presParOf" srcId="{D6D0A2FA-B4DE-43E3-99CD-82AF1A06FEB7}" destId="{A6373F67-7040-4CF5-8C20-27B227113C7F}" srcOrd="1" destOrd="0" presId="urn:microsoft.com/office/officeart/2005/8/layout/hierarchy2"/>
    <dgm:cxn modelId="{30260100-B638-4180-9537-D5AF7B9C636F}" type="presParOf" srcId="{A0D3DAF3-AB21-4764-9BB3-748D6A833F24}" destId="{3A179C53-A1B4-418B-A67E-A2199F4FCFD9}" srcOrd="2" destOrd="0" presId="urn:microsoft.com/office/officeart/2005/8/layout/hierarchy2"/>
    <dgm:cxn modelId="{B4384037-5D10-480C-A14F-3F2F92555968}" type="presParOf" srcId="{3A179C53-A1B4-418B-A67E-A2199F4FCFD9}" destId="{53C4F697-5F8F-4221-8339-AAA3A922766C}" srcOrd="0" destOrd="0" presId="urn:microsoft.com/office/officeart/2005/8/layout/hierarchy2"/>
    <dgm:cxn modelId="{F428D68E-EE36-4C2C-B4BF-16CE1B8AD954}" type="presParOf" srcId="{A0D3DAF3-AB21-4764-9BB3-748D6A833F24}" destId="{9D018697-1048-46F8-BCC5-C66DB96273A8}" srcOrd="3" destOrd="0" presId="urn:microsoft.com/office/officeart/2005/8/layout/hierarchy2"/>
    <dgm:cxn modelId="{BBFCB32B-A2B7-4C16-AF7D-78558A8D97DD}" type="presParOf" srcId="{9D018697-1048-46F8-BCC5-C66DB96273A8}" destId="{FD590A21-0469-4CEC-86E6-8729469E1DEB}" srcOrd="0" destOrd="0" presId="urn:microsoft.com/office/officeart/2005/8/layout/hierarchy2"/>
    <dgm:cxn modelId="{6981BCF5-6F1C-43C3-AC2D-D0659FF67A1E}" type="presParOf" srcId="{9D018697-1048-46F8-BCC5-C66DB96273A8}" destId="{18E5C9DE-19CB-4DE1-842B-82C338793467}" srcOrd="1" destOrd="0" presId="urn:microsoft.com/office/officeart/2005/8/layout/hierarchy2"/>
    <dgm:cxn modelId="{245305CD-D704-4D43-ABCF-52C034C2DCC1}" type="presParOf" srcId="{18E5C9DE-19CB-4DE1-842B-82C338793467}" destId="{A4C1A16B-D6BF-40CD-8E20-74BBE3C7F0B9}" srcOrd="0" destOrd="0" presId="urn:microsoft.com/office/officeart/2005/8/layout/hierarchy2"/>
    <dgm:cxn modelId="{9749BA18-2AA8-4DB1-AD7B-9A256221F97C}" type="presParOf" srcId="{A4C1A16B-D6BF-40CD-8E20-74BBE3C7F0B9}" destId="{E5DD952D-9D94-472D-9262-14AFE8D74BCC}" srcOrd="0" destOrd="0" presId="urn:microsoft.com/office/officeart/2005/8/layout/hierarchy2"/>
    <dgm:cxn modelId="{FF57E473-A02D-4C12-94C6-188667CF0F75}" type="presParOf" srcId="{18E5C9DE-19CB-4DE1-842B-82C338793467}" destId="{46BC7538-D3A6-4FCB-A12E-F6D243B2DBF3}" srcOrd="1" destOrd="0" presId="urn:microsoft.com/office/officeart/2005/8/layout/hierarchy2"/>
    <dgm:cxn modelId="{2809AE67-2786-449D-BA69-377DB938F404}" type="presParOf" srcId="{46BC7538-D3A6-4FCB-A12E-F6D243B2DBF3}" destId="{E2D8712A-3412-4EA0-9586-88A291FD988D}" srcOrd="0" destOrd="0" presId="urn:microsoft.com/office/officeart/2005/8/layout/hierarchy2"/>
    <dgm:cxn modelId="{E43C1CCC-7C5D-4BFD-8EEA-19AC36F15B7F}" type="presParOf" srcId="{46BC7538-D3A6-4FCB-A12E-F6D243B2DBF3}" destId="{18D4F18E-57C1-4C70-8B38-689E0EAF211A}" srcOrd="1" destOrd="0" presId="urn:microsoft.com/office/officeart/2005/8/layout/hierarchy2"/>
    <dgm:cxn modelId="{65A213AC-5496-4216-BEDF-F35A536A88A4}" type="presParOf" srcId="{A0D3DAF3-AB21-4764-9BB3-748D6A833F24}" destId="{0B8740F0-03C2-4CD8-BDB8-1C9CC3B0F550}" srcOrd="4" destOrd="0" presId="urn:microsoft.com/office/officeart/2005/8/layout/hierarchy2"/>
    <dgm:cxn modelId="{A39B2E02-ABEF-402D-B98E-FDE0563C256B}" type="presParOf" srcId="{0B8740F0-03C2-4CD8-BDB8-1C9CC3B0F550}" destId="{7B4368D6-D35E-4105-BB2B-5D14755F5B54}" srcOrd="0" destOrd="0" presId="urn:microsoft.com/office/officeart/2005/8/layout/hierarchy2"/>
    <dgm:cxn modelId="{A36D7636-FAD7-4B35-9CD4-5B7B509E80E8}" type="presParOf" srcId="{A0D3DAF3-AB21-4764-9BB3-748D6A833F24}" destId="{1EC60F82-DC3E-4924-B2D6-E18DDFD4C7AF}" srcOrd="5" destOrd="0" presId="urn:microsoft.com/office/officeart/2005/8/layout/hierarchy2"/>
    <dgm:cxn modelId="{A794A582-A93A-4F3E-9681-F550B1AC115E}" type="presParOf" srcId="{1EC60F82-DC3E-4924-B2D6-E18DDFD4C7AF}" destId="{3A3FC53C-81EE-4678-BBD9-81D3B2EC30D4}" srcOrd="0" destOrd="0" presId="urn:microsoft.com/office/officeart/2005/8/layout/hierarchy2"/>
    <dgm:cxn modelId="{2669B862-5B19-491D-9383-01C4B13DC225}" type="presParOf" srcId="{1EC60F82-DC3E-4924-B2D6-E18DDFD4C7AF}" destId="{96D7C9A8-6E60-485E-93B6-0E52C759262E}" srcOrd="1" destOrd="0" presId="urn:microsoft.com/office/officeart/2005/8/layout/hierarchy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CA30D0-3AA2-465F-B1CB-D9DF2445D55B}">
      <dsp:nvSpPr>
        <dsp:cNvPr id="0" name=""/>
        <dsp:cNvSpPr/>
      </dsp:nvSpPr>
      <dsp:spPr>
        <a:xfrm>
          <a:off x="3725" y="1992456"/>
          <a:ext cx="1154755" cy="577377"/>
        </a:xfrm>
        <a:prstGeom prst="roundRect">
          <a:avLst>
            <a:gd name="adj" fmla="val 10000"/>
          </a:avLst>
        </a:prstGeom>
        <a:noFill/>
        <a:ln>
          <a:noFill/>
        </a:ln>
        <a:effectLst/>
        <a:scene3d>
          <a:camera prst="orthographicFront"/>
          <a:lightRig rig="flat" dir="t"/>
        </a:scene3d>
        <a:sp3d/>
      </dsp:spPr>
      <dsp:style>
        <a:lnRef idx="0">
          <a:scrgbClr r="0" g="0" b="0"/>
        </a:lnRef>
        <a:fillRef idx="0">
          <a:scrgbClr r="0" g="0" b="0"/>
        </a:fillRef>
        <a:effectRef idx="0">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i="1" kern="1200">
              <a:solidFill>
                <a:sysClr val="windowText" lastClr="000000"/>
              </a:solidFill>
              <a:latin typeface="Calibri" panose="020F0502020204030204"/>
              <a:ea typeface="+mn-ea"/>
              <a:cs typeface="+mn-cs"/>
            </a:rPr>
            <a:t>Theme described</a:t>
          </a:r>
          <a:endParaRPr lang="x-none" sz="1200" i="1" kern="1200">
            <a:solidFill>
              <a:sysClr val="windowText" lastClr="000000"/>
            </a:solidFill>
            <a:latin typeface="Calibri" panose="020F0502020204030204"/>
            <a:ea typeface="+mn-ea"/>
            <a:cs typeface="+mn-cs"/>
          </a:endParaRPr>
        </a:p>
      </dsp:txBody>
      <dsp:txXfrm>
        <a:off x="20636" y="2009367"/>
        <a:ext cx="1120933" cy="543555"/>
      </dsp:txXfrm>
    </dsp:sp>
    <dsp:sp modelId="{E0DB5C4D-9BB1-4178-9C5D-4B89B8C0C0E4}">
      <dsp:nvSpPr>
        <dsp:cNvPr id="0" name=""/>
        <dsp:cNvSpPr/>
      </dsp:nvSpPr>
      <dsp:spPr>
        <a:xfrm>
          <a:off x="3725" y="2656441"/>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Corporate governance failure</a:t>
          </a:r>
          <a:endParaRPr lang="x-none" sz="1200" kern="1200">
            <a:solidFill>
              <a:sysClr val="windowText" lastClr="000000"/>
            </a:solidFill>
            <a:latin typeface="Calibri" panose="020F0502020204030204"/>
            <a:ea typeface="+mn-ea"/>
            <a:cs typeface="+mn-cs"/>
          </a:endParaRPr>
        </a:p>
      </dsp:txBody>
      <dsp:txXfrm>
        <a:off x="20636" y="2673352"/>
        <a:ext cx="1120933" cy="543555"/>
      </dsp:txXfrm>
    </dsp:sp>
    <dsp:sp modelId="{940D479A-87C4-41E1-AC18-AE86E194580E}">
      <dsp:nvSpPr>
        <dsp:cNvPr id="0" name=""/>
        <dsp:cNvSpPr/>
      </dsp:nvSpPr>
      <dsp:spPr>
        <a:xfrm rot="17132988">
          <a:off x="527918" y="2106327"/>
          <a:ext cx="1723027" cy="17644"/>
        </a:xfrm>
        <a:custGeom>
          <a:avLst/>
          <a:gdLst/>
          <a:ahLst/>
          <a:cxnLst/>
          <a:rect l="0" t="0" r="0" b="0"/>
          <a:pathLst>
            <a:path>
              <a:moveTo>
                <a:pt x="0" y="8822"/>
              </a:moveTo>
              <a:lnTo>
                <a:pt x="1723027" y="8822"/>
              </a:lnTo>
            </a:path>
          </a:pathLst>
        </a:custGeom>
        <a:noFill/>
        <a:ln w="12700" cap="flat" cmpd="sng" algn="ctr">
          <a:no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x-none" sz="500" kern="1200">
            <a:solidFill>
              <a:sysClr val="windowText" lastClr="000000">
                <a:hueOff val="0"/>
                <a:satOff val="0"/>
                <a:lumOff val="0"/>
                <a:alphaOff val="0"/>
              </a:sysClr>
            </a:solidFill>
            <a:latin typeface="Calibri" panose="020F0502020204030204"/>
            <a:ea typeface="+mn-ea"/>
            <a:cs typeface="+mn-cs"/>
          </a:endParaRPr>
        </a:p>
      </dsp:txBody>
      <dsp:txXfrm>
        <a:off x="1336385" y="2145100"/>
        <a:ext cx="0" cy="0"/>
      </dsp:txXfrm>
    </dsp:sp>
    <dsp:sp modelId="{F28A68E2-FFC5-4AF7-874A-DA4082EF6BCD}">
      <dsp:nvSpPr>
        <dsp:cNvPr id="0" name=""/>
        <dsp:cNvSpPr/>
      </dsp:nvSpPr>
      <dsp:spPr>
        <a:xfrm>
          <a:off x="1620383" y="996479"/>
          <a:ext cx="1154755" cy="577377"/>
        </a:xfrm>
        <a:prstGeom prst="roundRect">
          <a:avLst>
            <a:gd name="adj" fmla="val 10000"/>
          </a:avLst>
        </a:prstGeom>
        <a:no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i="1" kern="1200">
              <a:solidFill>
                <a:sysClr val="windowText" lastClr="000000"/>
              </a:solidFill>
              <a:latin typeface="Calibri" panose="020F0502020204030204"/>
              <a:ea typeface="+mn-ea"/>
              <a:cs typeface="+mn-cs"/>
            </a:rPr>
            <a:t>Final categorisation</a:t>
          </a:r>
          <a:endParaRPr lang="x-none" sz="1200" i="1" kern="1200">
            <a:solidFill>
              <a:sysClr val="windowText" lastClr="000000"/>
            </a:solidFill>
            <a:latin typeface="Calibri" panose="020F0502020204030204"/>
            <a:ea typeface="+mn-ea"/>
            <a:cs typeface="+mn-cs"/>
          </a:endParaRPr>
        </a:p>
      </dsp:txBody>
      <dsp:txXfrm>
        <a:off x="1637294" y="1013390"/>
        <a:ext cx="1120933" cy="543555"/>
      </dsp:txXfrm>
    </dsp:sp>
    <dsp:sp modelId="{A6A7BD2A-A205-429B-B5B2-53E80DB7127C}">
      <dsp:nvSpPr>
        <dsp:cNvPr id="0" name=""/>
        <dsp:cNvSpPr/>
      </dsp:nvSpPr>
      <dsp:spPr>
        <a:xfrm rot="17692822">
          <a:off x="840496" y="2438319"/>
          <a:ext cx="1097872" cy="17644"/>
        </a:xfrm>
        <a:custGeom>
          <a:avLst/>
          <a:gdLst/>
          <a:ahLst/>
          <a:cxnLst/>
          <a:rect l="0" t="0" r="0" b="0"/>
          <a:pathLst>
            <a:path>
              <a:moveTo>
                <a:pt x="0" y="8822"/>
              </a:moveTo>
              <a:lnTo>
                <a:pt x="1097872" y="8822"/>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x-none" sz="500" kern="1200">
            <a:solidFill>
              <a:sysClr val="windowText" lastClr="000000">
                <a:hueOff val="0"/>
                <a:satOff val="0"/>
                <a:lumOff val="0"/>
                <a:alphaOff val="0"/>
              </a:sysClr>
            </a:solidFill>
            <a:latin typeface="Calibri" panose="020F0502020204030204"/>
            <a:ea typeface="+mn-ea"/>
            <a:cs typeface="+mn-cs"/>
          </a:endParaRPr>
        </a:p>
      </dsp:txBody>
      <dsp:txXfrm>
        <a:off x="1352985" y="2460492"/>
        <a:ext cx="0" cy="0"/>
      </dsp:txXfrm>
    </dsp:sp>
    <dsp:sp modelId="{9B9CBDF1-9D86-4AF7-81BE-F3ADDF993432}">
      <dsp:nvSpPr>
        <dsp:cNvPr id="0" name=""/>
        <dsp:cNvSpPr/>
      </dsp:nvSpPr>
      <dsp:spPr>
        <a:xfrm>
          <a:off x="1620383" y="1660464"/>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Absence of Governance</a:t>
          </a:r>
          <a:endParaRPr lang="x-none" sz="1200" kern="1200">
            <a:solidFill>
              <a:sysClr val="windowText" lastClr="000000"/>
            </a:solidFill>
            <a:latin typeface="Calibri" panose="020F0502020204030204"/>
            <a:ea typeface="+mn-ea"/>
            <a:cs typeface="+mn-cs"/>
          </a:endParaRPr>
        </a:p>
      </dsp:txBody>
      <dsp:txXfrm>
        <a:off x="1637294" y="1677375"/>
        <a:ext cx="1120933" cy="543555"/>
      </dsp:txXfrm>
    </dsp:sp>
    <dsp:sp modelId="{BC4A6E2C-F5DD-44D7-97BC-1052C287B15B}">
      <dsp:nvSpPr>
        <dsp:cNvPr id="0" name=""/>
        <dsp:cNvSpPr/>
      </dsp:nvSpPr>
      <dsp:spPr>
        <a:xfrm rot="17350740">
          <a:off x="2303086" y="1276346"/>
          <a:ext cx="1406006" cy="17644"/>
        </a:xfrm>
        <a:custGeom>
          <a:avLst/>
          <a:gdLst/>
          <a:ahLst/>
          <a:cxnLst/>
          <a:rect l="0" t="0" r="0" b="0"/>
          <a:pathLst>
            <a:path>
              <a:moveTo>
                <a:pt x="0" y="8822"/>
              </a:moveTo>
              <a:lnTo>
                <a:pt x="1406006" y="8822"/>
              </a:lnTo>
            </a:path>
          </a:pathLst>
        </a:custGeom>
        <a:noFill/>
        <a:ln w="12700" cap="flat" cmpd="sng" algn="ctr">
          <a:no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x-none" sz="500" kern="1200">
            <a:solidFill>
              <a:sysClr val="windowText" lastClr="000000">
                <a:hueOff val="0"/>
                <a:satOff val="0"/>
                <a:lumOff val="0"/>
                <a:alphaOff val="0"/>
              </a:sysClr>
            </a:solidFill>
            <a:latin typeface="Calibri" panose="020F0502020204030204"/>
            <a:ea typeface="+mn-ea"/>
            <a:cs typeface="+mn-cs"/>
          </a:endParaRPr>
        </a:p>
      </dsp:txBody>
      <dsp:txXfrm>
        <a:off x="2961342" y="1306820"/>
        <a:ext cx="0" cy="0"/>
      </dsp:txXfrm>
    </dsp:sp>
    <dsp:sp modelId="{99288FA1-4691-4426-BB53-2177155DAD7F}">
      <dsp:nvSpPr>
        <dsp:cNvPr id="0" name=""/>
        <dsp:cNvSpPr/>
      </dsp:nvSpPr>
      <dsp:spPr>
        <a:xfrm>
          <a:off x="3237041" y="332495"/>
          <a:ext cx="1154755" cy="577377"/>
        </a:xfrm>
        <a:prstGeom prst="roundRect">
          <a:avLst>
            <a:gd name="adj" fmla="val 10000"/>
          </a:avLst>
        </a:prstGeom>
        <a:no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i="1" kern="1200">
              <a:solidFill>
                <a:sysClr val="windowText" lastClr="000000"/>
              </a:solidFill>
              <a:latin typeface="Calibri" panose="020F0502020204030204"/>
              <a:ea typeface="+mn-ea"/>
              <a:cs typeface="+mn-cs"/>
            </a:rPr>
            <a:t>Expanded codes applied</a:t>
          </a:r>
          <a:endParaRPr lang="x-none" sz="1200" i="1" kern="1200">
            <a:solidFill>
              <a:sysClr val="windowText" lastClr="000000"/>
            </a:solidFill>
            <a:latin typeface="Calibri" panose="020F0502020204030204"/>
            <a:ea typeface="+mn-ea"/>
            <a:cs typeface="+mn-cs"/>
          </a:endParaRPr>
        </a:p>
      </dsp:txBody>
      <dsp:txXfrm>
        <a:off x="3253952" y="349406"/>
        <a:ext cx="1120933" cy="543555"/>
      </dsp:txXfrm>
    </dsp:sp>
    <dsp:sp modelId="{72F0C623-2CA7-4980-B514-A1ADD45C2B2F}">
      <dsp:nvSpPr>
        <dsp:cNvPr id="0" name=""/>
        <dsp:cNvSpPr/>
      </dsp:nvSpPr>
      <dsp:spPr>
        <a:xfrm rot="18289469">
          <a:off x="2601667" y="1608339"/>
          <a:ext cx="808844" cy="17644"/>
        </a:xfrm>
        <a:custGeom>
          <a:avLst/>
          <a:gdLst/>
          <a:ahLst/>
          <a:cxnLst/>
          <a:rect l="0" t="0" r="0" b="0"/>
          <a:pathLst>
            <a:path>
              <a:moveTo>
                <a:pt x="0" y="8822"/>
              </a:moveTo>
              <a:lnTo>
                <a:pt x="808844" y="8822"/>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x-none" sz="500" kern="1200">
            <a:solidFill>
              <a:sysClr val="windowText" lastClr="000000">
                <a:hueOff val="0"/>
                <a:satOff val="0"/>
                <a:lumOff val="0"/>
                <a:alphaOff val="0"/>
              </a:sysClr>
            </a:solidFill>
            <a:latin typeface="Calibri" panose="020F0502020204030204"/>
            <a:ea typeface="+mn-ea"/>
            <a:cs typeface="+mn-cs"/>
          </a:endParaRPr>
        </a:p>
      </dsp:txBody>
      <dsp:txXfrm>
        <a:off x="2977942" y="1622212"/>
        <a:ext cx="0" cy="0"/>
      </dsp:txXfrm>
    </dsp:sp>
    <dsp:sp modelId="{BABC3423-48DB-40F9-AEDA-EBA90976ACA5}">
      <dsp:nvSpPr>
        <dsp:cNvPr id="0" name=""/>
        <dsp:cNvSpPr/>
      </dsp:nvSpPr>
      <dsp:spPr>
        <a:xfrm>
          <a:off x="3237041" y="996479"/>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Poor separation of responsibilities</a:t>
          </a:r>
          <a:endParaRPr lang="x-none" sz="1200" kern="1200">
            <a:solidFill>
              <a:sysClr val="windowText" lastClr="000000"/>
            </a:solidFill>
            <a:latin typeface="Calibri" panose="020F0502020204030204"/>
            <a:ea typeface="+mn-ea"/>
            <a:cs typeface="+mn-cs"/>
          </a:endParaRPr>
        </a:p>
      </dsp:txBody>
      <dsp:txXfrm>
        <a:off x="3253952" y="1013390"/>
        <a:ext cx="1120933" cy="543555"/>
      </dsp:txXfrm>
    </dsp:sp>
    <dsp:sp modelId="{F074CC00-4F00-483B-8779-B20F1F711603}">
      <dsp:nvSpPr>
        <dsp:cNvPr id="0" name=""/>
        <dsp:cNvSpPr/>
      </dsp:nvSpPr>
      <dsp:spPr>
        <a:xfrm rot="19457599">
          <a:off x="4338330" y="1110350"/>
          <a:ext cx="568834" cy="17644"/>
        </a:xfrm>
        <a:custGeom>
          <a:avLst/>
          <a:gdLst/>
          <a:ahLst/>
          <a:cxnLst/>
          <a:rect l="0" t="0" r="0" b="0"/>
          <a:pathLst>
            <a:path>
              <a:moveTo>
                <a:pt x="0" y="8822"/>
              </a:moveTo>
              <a:lnTo>
                <a:pt x="568834" y="8822"/>
              </a:lnTo>
            </a:path>
          </a:pathLst>
        </a:custGeom>
        <a:noFill/>
        <a:ln w="12700" cap="flat" cmpd="sng" algn="ctr">
          <a:no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x-none" sz="500" kern="1200">
            <a:solidFill>
              <a:sysClr val="windowText" lastClr="000000">
                <a:hueOff val="0"/>
                <a:satOff val="0"/>
                <a:lumOff val="0"/>
                <a:alphaOff val="0"/>
              </a:sysClr>
            </a:solidFill>
            <a:latin typeface="Calibri" panose="020F0502020204030204"/>
            <a:ea typeface="+mn-ea"/>
            <a:cs typeface="+mn-cs"/>
          </a:endParaRPr>
        </a:p>
      </dsp:txBody>
      <dsp:txXfrm>
        <a:off x="4602900" y="1115924"/>
        <a:ext cx="0" cy="0"/>
      </dsp:txXfrm>
    </dsp:sp>
    <dsp:sp modelId="{B899F2D9-7957-4C79-9837-BAC26526396A}">
      <dsp:nvSpPr>
        <dsp:cNvPr id="0" name=""/>
        <dsp:cNvSpPr/>
      </dsp:nvSpPr>
      <dsp:spPr>
        <a:xfrm>
          <a:off x="4853698" y="664487"/>
          <a:ext cx="1154755" cy="577377"/>
        </a:xfrm>
        <a:prstGeom prst="roundRect">
          <a:avLst>
            <a:gd name="adj" fmla="val 10000"/>
          </a:avLst>
        </a:prstGeom>
        <a:no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i="1" kern="1200">
              <a:solidFill>
                <a:sysClr val="windowText" lastClr="000000"/>
              </a:solidFill>
              <a:latin typeface="Calibri" panose="020F0502020204030204"/>
              <a:ea typeface="+mn-ea"/>
              <a:cs typeface="+mn-cs"/>
            </a:rPr>
            <a:t>Initial codes named</a:t>
          </a:r>
          <a:endParaRPr lang="x-none" sz="1200" i="1" kern="1200">
            <a:solidFill>
              <a:sysClr val="windowText" lastClr="000000"/>
            </a:solidFill>
            <a:latin typeface="Calibri" panose="020F0502020204030204"/>
            <a:ea typeface="+mn-ea"/>
            <a:cs typeface="+mn-cs"/>
          </a:endParaRPr>
        </a:p>
      </dsp:txBody>
      <dsp:txXfrm>
        <a:off x="4870609" y="681398"/>
        <a:ext cx="1120933" cy="543555"/>
      </dsp:txXfrm>
    </dsp:sp>
    <dsp:sp modelId="{6B7B41CD-73F8-4EDD-9784-D3A470536440}">
      <dsp:nvSpPr>
        <dsp:cNvPr id="0" name=""/>
        <dsp:cNvSpPr/>
      </dsp:nvSpPr>
      <dsp:spPr>
        <a:xfrm rot="2142401">
          <a:off x="4338330" y="1442342"/>
          <a:ext cx="568834" cy="17644"/>
        </a:xfrm>
        <a:custGeom>
          <a:avLst/>
          <a:gdLst/>
          <a:ahLst/>
          <a:cxnLst/>
          <a:rect l="0" t="0" r="0" b="0"/>
          <a:pathLst>
            <a:path>
              <a:moveTo>
                <a:pt x="0" y="8822"/>
              </a:moveTo>
              <a:lnTo>
                <a:pt x="568834" y="8822"/>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x-none" sz="500" kern="1200">
            <a:solidFill>
              <a:sysClr val="windowText" lastClr="000000">
                <a:hueOff val="0"/>
                <a:satOff val="0"/>
                <a:lumOff val="0"/>
                <a:alphaOff val="0"/>
              </a:sysClr>
            </a:solidFill>
            <a:latin typeface="Calibri" panose="020F0502020204030204"/>
            <a:ea typeface="+mn-ea"/>
            <a:cs typeface="+mn-cs"/>
          </a:endParaRPr>
        </a:p>
      </dsp:txBody>
      <dsp:txXfrm>
        <a:off x="4619499" y="1431318"/>
        <a:ext cx="0" cy="0"/>
      </dsp:txXfrm>
    </dsp:sp>
    <dsp:sp modelId="{B3490752-86D6-4F14-A75A-95519E50FAB7}">
      <dsp:nvSpPr>
        <dsp:cNvPr id="0" name=""/>
        <dsp:cNvSpPr/>
      </dsp:nvSpPr>
      <dsp:spPr>
        <a:xfrm>
          <a:off x="4853698" y="1328472"/>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Corporate governance practices</a:t>
          </a:r>
          <a:endParaRPr lang="x-none" sz="1200" kern="1200">
            <a:solidFill>
              <a:sysClr val="windowText" lastClr="000000"/>
            </a:solidFill>
            <a:latin typeface="Calibri" panose="020F0502020204030204"/>
            <a:ea typeface="+mn-ea"/>
            <a:cs typeface="+mn-cs"/>
          </a:endParaRPr>
        </a:p>
      </dsp:txBody>
      <dsp:txXfrm>
        <a:off x="4870609" y="1345383"/>
        <a:ext cx="1120933" cy="543555"/>
      </dsp:txXfrm>
    </dsp:sp>
    <dsp:sp modelId="{D41CA4A8-BCB3-44C1-883C-2D1BFAE2DB7C}">
      <dsp:nvSpPr>
        <dsp:cNvPr id="0" name=""/>
        <dsp:cNvSpPr/>
      </dsp:nvSpPr>
      <dsp:spPr>
        <a:xfrm>
          <a:off x="2775138" y="1940331"/>
          <a:ext cx="461902" cy="17644"/>
        </a:xfrm>
        <a:custGeom>
          <a:avLst/>
          <a:gdLst/>
          <a:ahLst/>
          <a:cxnLst/>
          <a:rect l="0" t="0" r="0" b="0"/>
          <a:pathLst>
            <a:path>
              <a:moveTo>
                <a:pt x="0" y="8822"/>
              </a:moveTo>
              <a:lnTo>
                <a:pt x="461902" y="8822"/>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x-none" sz="500" kern="1200">
            <a:solidFill>
              <a:sysClr val="windowText" lastClr="000000">
                <a:hueOff val="0"/>
                <a:satOff val="0"/>
                <a:lumOff val="0"/>
                <a:alphaOff val="0"/>
              </a:sysClr>
            </a:solidFill>
            <a:latin typeface="Calibri" panose="020F0502020204030204"/>
            <a:ea typeface="+mn-ea"/>
            <a:cs typeface="+mn-cs"/>
          </a:endParaRPr>
        </a:p>
      </dsp:txBody>
      <dsp:txXfrm>
        <a:off x="2994542" y="1937605"/>
        <a:ext cx="0" cy="0"/>
      </dsp:txXfrm>
    </dsp:sp>
    <dsp:sp modelId="{55B5D840-B833-4E00-891E-AC73BD3016F4}">
      <dsp:nvSpPr>
        <dsp:cNvPr id="0" name=""/>
        <dsp:cNvSpPr/>
      </dsp:nvSpPr>
      <dsp:spPr>
        <a:xfrm>
          <a:off x="3237041" y="1660464"/>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lack of transparency &amp; Board Oversight</a:t>
          </a:r>
          <a:endParaRPr lang="x-none" sz="1200" kern="1200">
            <a:solidFill>
              <a:sysClr val="windowText" lastClr="000000"/>
            </a:solidFill>
            <a:latin typeface="Calibri" panose="020F0502020204030204"/>
            <a:ea typeface="+mn-ea"/>
            <a:cs typeface="+mn-cs"/>
          </a:endParaRPr>
        </a:p>
      </dsp:txBody>
      <dsp:txXfrm>
        <a:off x="3253952" y="1677375"/>
        <a:ext cx="1120933" cy="543555"/>
      </dsp:txXfrm>
    </dsp:sp>
    <dsp:sp modelId="{00DA276B-E9FD-4223-BF11-EB0F3CF0C65A}">
      <dsp:nvSpPr>
        <dsp:cNvPr id="0" name=""/>
        <dsp:cNvSpPr/>
      </dsp:nvSpPr>
      <dsp:spPr>
        <a:xfrm rot="3310531">
          <a:off x="2601667" y="2272323"/>
          <a:ext cx="808844" cy="17644"/>
        </a:xfrm>
        <a:custGeom>
          <a:avLst/>
          <a:gdLst/>
          <a:ahLst/>
          <a:cxnLst/>
          <a:rect l="0" t="0" r="0" b="0"/>
          <a:pathLst>
            <a:path>
              <a:moveTo>
                <a:pt x="0" y="8822"/>
              </a:moveTo>
              <a:lnTo>
                <a:pt x="808844" y="8822"/>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x-none" sz="500" kern="1200">
            <a:solidFill>
              <a:sysClr val="windowText" lastClr="000000">
                <a:hueOff val="0"/>
                <a:satOff val="0"/>
                <a:lumOff val="0"/>
                <a:alphaOff val="0"/>
              </a:sysClr>
            </a:solidFill>
            <a:latin typeface="Calibri" panose="020F0502020204030204"/>
            <a:ea typeface="+mn-ea"/>
            <a:cs typeface="+mn-cs"/>
          </a:endParaRPr>
        </a:p>
      </dsp:txBody>
      <dsp:txXfrm>
        <a:off x="3011141" y="2252998"/>
        <a:ext cx="0" cy="0"/>
      </dsp:txXfrm>
    </dsp:sp>
    <dsp:sp modelId="{A8922CBF-F0E7-40EB-8592-2BA3EA32AD13}">
      <dsp:nvSpPr>
        <dsp:cNvPr id="0" name=""/>
        <dsp:cNvSpPr/>
      </dsp:nvSpPr>
      <dsp:spPr>
        <a:xfrm>
          <a:off x="3237041" y="2324448"/>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lack of decision making processes</a:t>
          </a:r>
          <a:endParaRPr lang="x-none" sz="1200" kern="1200">
            <a:solidFill>
              <a:sysClr val="windowText" lastClr="000000"/>
            </a:solidFill>
            <a:latin typeface="Calibri" panose="020F0502020204030204"/>
            <a:ea typeface="+mn-ea"/>
            <a:cs typeface="+mn-cs"/>
          </a:endParaRPr>
        </a:p>
      </dsp:txBody>
      <dsp:txXfrm>
        <a:off x="3253952" y="2341359"/>
        <a:ext cx="1120933" cy="543555"/>
      </dsp:txXfrm>
    </dsp:sp>
    <dsp:sp modelId="{0C318193-B546-4317-BBC6-3A0A84D6666B}">
      <dsp:nvSpPr>
        <dsp:cNvPr id="0" name=""/>
        <dsp:cNvSpPr/>
      </dsp:nvSpPr>
      <dsp:spPr>
        <a:xfrm rot="4249260">
          <a:off x="2303086" y="2604315"/>
          <a:ext cx="1406006" cy="17644"/>
        </a:xfrm>
        <a:custGeom>
          <a:avLst/>
          <a:gdLst/>
          <a:ahLst/>
          <a:cxnLst/>
          <a:rect l="0" t="0" r="0" b="0"/>
          <a:pathLst>
            <a:path>
              <a:moveTo>
                <a:pt x="0" y="8822"/>
              </a:moveTo>
              <a:lnTo>
                <a:pt x="1406006" y="8822"/>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x-none" sz="500" kern="1200">
            <a:solidFill>
              <a:sysClr val="windowText" lastClr="000000">
                <a:hueOff val="0"/>
                <a:satOff val="0"/>
                <a:lumOff val="0"/>
                <a:alphaOff val="0"/>
              </a:sysClr>
            </a:solidFill>
            <a:latin typeface="Calibri" panose="020F0502020204030204"/>
            <a:ea typeface="+mn-ea"/>
            <a:cs typeface="+mn-cs"/>
          </a:endParaRPr>
        </a:p>
      </dsp:txBody>
      <dsp:txXfrm>
        <a:off x="3027741" y="2568390"/>
        <a:ext cx="0" cy="0"/>
      </dsp:txXfrm>
    </dsp:sp>
    <dsp:sp modelId="{CAD87EB1-56A3-4CA2-A554-55F4C117DCD1}">
      <dsp:nvSpPr>
        <dsp:cNvPr id="0" name=""/>
        <dsp:cNvSpPr/>
      </dsp:nvSpPr>
      <dsp:spPr>
        <a:xfrm>
          <a:off x="3237041" y="2988433"/>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Absence of regulatory body</a:t>
          </a:r>
          <a:endParaRPr lang="x-none" sz="1200" kern="1200">
            <a:solidFill>
              <a:sysClr val="windowText" lastClr="000000"/>
            </a:solidFill>
            <a:latin typeface="Calibri" panose="020F0502020204030204"/>
            <a:ea typeface="+mn-ea"/>
            <a:cs typeface="+mn-cs"/>
          </a:endParaRPr>
        </a:p>
      </dsp:txBody>
      <dsp:txXfrm>
        <a:off x="3253952" y="3005344"/>
        <a:ext cx="1120933" cy="543555"/>
      </dsp:txXfrm>
    </dsp:sp>
    <dsp:sp modelId="{3DA76114-FB8B-405A-BA20-6AA7343ADA29}">
      <dsp:nvSpPr>
        <dsp:cNvPr id="0" name=""/>
        <dsp:cNvSpPr/>
      </dsp:nvSpPr>
      <dsp:spPr>
        <a:xfrm>
          <a:off x="4391796" y="3268300"/>
          <a:ext cx="461902" cy="17644"/>
        </a:xfrm>
        <a:custGeom>
          <a:avLst/>
          <a:gdLst/>
          <a:ahLst/>
          <a:cxnLst/>
          <a:rect l="0" t="0" r="0" b="0"/>
          <a:pathLst>
            <a:path>
              <a:moveTo>
                <a:pt x="0" y="8822"/>
              </a:moveTo>
              <a:lnTo>
                <a:pt x="461902" y="8822"/>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x-none" sz="500" kern="1200">
            <a:solidFill>
              <a:sysClr val="windowText" lastClr="000000">
                <a:hueOff val="0"/>
                <a:satOff val="0"/>
                <a:lumOff val="0"/>
                <a:alphaOff val="0"/>
              </a:sysClr>
            </a:solidFill>
            <a:latin typeface="Calibri" panose="020F0502020204030204"/>
            <a:ea typeface="+mn-ea"/>
            <a:cs typeface="+mn-cs"/>
          </a:endParaRPr>
        </a:p>
      </dsp:txBody>
      <dsp:txXfrm>
        <a:off x="4611200" y="3265574"/>
        <a:ext cx="0" cy="0"/>
      </dsp:txXfrm>
    </dsp:sp>
    <dsp:sp modelId="{10DE85A1-358C-4A09-8362-439226BF97A9}">
      <dsp:nvSpPr>
        <dsp:cNvPr id="0" name=""/>
        <dsp:cNvSpPr/>
      </dsp:nvSpPr>
      <dsp:spPr>
        <a:xfrm>
          <a:off x="4853698" y="2988433"/>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Regulations</a:t>
          </a:r>
          <a:endParaRPr lang="x-none" sz="1200" kern="1200">
            <a:solidFill>
              <a:sysClr val="windowText" lastClr="000000"/>
            </a:solidFill>
            <a:latin typeface="Calibri" panose="020F0502020204030204"/>
            <a:ea typeface="+mn-ea"/>
            <a:cs typeface="+mn-cs"/>
          </a:endParaRPr>
        </a:p>
      </dsp:txBody>
      <dsp:txXfrm>
        <a:off x="4870609" y="3005344"/>
        <a:ext cx="1120933" cy="543555"/>
      </dsp:txXfrm>
    </dsp:sp>
    <dsp:sp modelId="{6533728F-A91F-4060-8806-FB21ABC4821D}">
      <dsp:nvSpPr>
        <dsp:cNvPr id="0" name=""/>
        <dsp:cNvSpPr/>
      </dsp:nvSpPr>
      <dsp:spPr>
        <a:xfrm rot="4467012">
          <a:off x="527918" y="3766288"/>
          <a:ext cx="1723027" cy="17644"/>
        </a:xfrm>
        <a:custGeom>
          <a:avLst/>
          <a:gdLst/>
          <a:ahLst/>
          <a:cxnLst/>
          <a:rect l="0" t="0" r="0" b="0"/>
          <a:pathLst>
            <a:path>
              <a:moveTo>
                <a:pt x="0" y="8822"/>
              </a:moveTo>
              <a:lnTo>
                <a:pt x="1723027" y="8822"/>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x-none" sz="500" kern="1200">
            <a:solidFill>
              <a:sysClr val="windowText" lastClr="000000">
                <a:hueOff val="0"/>
                <a:satOff val="0"/>
                <a:lumOff val="0"/>
                <a:alphaOff val="0"/>
              </a:sysClr>
            </a:solidFill>
            <a:latin typeface="Calibri" panose="020F0502020204030204"/>
            <a:ea typeface="+mn-ea"/>
            <a:cs typeface="+mn-cs"/>
          </a:endParaRPr>
        </a:p>
      </dsp:txBody>
      <dsp:txXfrm>
        <a:off x="1419383" y="3722063"/>
        <a:ext cx="0" cy="0"/>
      </dsp:txXfrm>
    </dsp:sp>
    <dsp:sp modelId="{327F8B60-8E8E-4C0F-9F1C-C322C11F5EBD}">
      <dsp:nvSpPr>
        <dsp:cNvPr id="0" name=""/>
        <dsp:cNvSpPr/>
      </dsp:nvSpPr>
      <dsp:spPr>
        <a:xfrm>
          <a:off x="1620383" y="4316402"/>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Absence of Policy Commitments</a:t>
          </a:r>
          <a:endParaRPr lang="x-none" sz="1200" kern="1200">
            <a:solidFill>
              <a:sysClr val="windowText" lastClr="000000"/>
            </a:solidFill>
            <a:latin typeface="Calibri" panose="020F0502020204030204"/>
            <a:ea typeface="+mn-ea"/>
            <a:cs typeface="+mn-cs"/>
          </a:endParaRPr>
        </a:p>
      </dsp:txBody>
      <dsp:txXfrm>
        <a:off x="1637294" y="4333313"/>
        <a:ext cx="1120933" cy="543555"/>
      </dsp:txXfrm>
    </dsp:sp>
    <dsp:sp modelId="{F91EBE53-5013-4A8A-92A3-8D6EC112D4C6}">
      <dsp:nvSpPr>
        <dsp:cNvPr id="0" name=""/>
        <dsp:cNvSpPr/>
      </dsp:nvSpPr>
      <dsp:spPr>
        <a:xfrm rot="18289469">
          <a:off x="2601667" y="4264276"/>
          <a:ext cx="808844" cy="17644"/>
        </a:xfrm>
        <a:custGeom>
          <a:avLst/>
          <a:gdLst/>
          <a:ahLst/>
          <a:cxnLst/>
          <a:rect l="0" t="0" r="0" b="0"/>
          <a:pathLst>
            <a:path>
              <a:moveTo>
                <a:pt x="0" y="8822"/>
              </a:moveTo>
              <a:lnTo>
                <a:pt x="808844" y="8822"/>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x-none" sz="500" kern="1200">
            <a:solidFill>
              <a:sysClr val="windowText" lastClr="000000">
                <a:hueOff val="0"/>
                <a:satOff val="0"/>
                <a:lumOff val="0"/>
                <a:alphaOff val="0"/>
              </a:sysClr>
            </a:solidFill>
            <a:latin typeface="Calibri" panose="020F0502020204030204"/>
            <a:ea typeface="+mn-ea"/>
            <a:cs typeface="+mn-cs"/>
          </a:endParaRPr>
        </a:p>
      </dsp:txBody>
      <dsp:txXfrm>
        <a:off x="2977942" y="4278150"/>
        <a:ext cx="0" cy="0"/>
      </dsp:txXfrm>
    </dsp:sp>
    <dsp:sp modelId="{B7EC867B-5991-4EB9-A70C-B52B51589822}">
      <dsp:nvSpPr>
        <dsp:cNvPr id="0" name=""/>
        <dsp:cNvSpPr/>
      </dsp:nvSpPr>
      <dsp:spPr>
        <a:xfrm>
          <a:off x="3237041" y="3652417"/>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Unethical practices</a:t>
          </a:r>
          <a:endParaRPr lang="x-none" sz="1200" kern="1200">
            <a:solidFill>
              <a:sysClr val="windowText" lastClr="000000"/>
            </a:solidFill>
            <a:latin typeface="Calibri" panose="020F0502020204030204"/>
            <a:ea typeface="+mn-ea"/>
            <a:cs typeface="+mn-cs"/>
          </a:endParaRPr>
        </a:p>
      </dsp:txBody>
      <dsp:txXfrm>
        <a:off x="3253952" y="3669328"/>
        <a:ext cx="1120933" cy="543555"/>
      </dsp:txXfrm>
    </dsp:sp>
    <dsp:sp modelId="{3A179C53-A1B4-418B-A67E-A2199F4FCFD9}">
      <dsp:nvSpPr>
        <dsp:cNvPr id="0" name=""/>
        <dsp:cNvSpPr/>
      </dsp:nvSpPr>
      <dsp:spPr>
        <a:xfrm>
          <a:off x="2775138" y="4596269"/>
          <a:ext cx="461902" cy="17644"/>
        </a:xfrm>
        <a:custGeom>
          <a:avLst/>
          <a:gdLst/>
          <a:ahLst/>
          <a:cxnLst/>
          <a:rect l="0" t="0" r="0" b="0"/>
          <a:pathLst>
            <a:path>
              <a:moveTo>
                <a:pt x="0" y="8822"/>
              </a:moveTo>
              <a:lnTo>
                <a:pt x="461902" y="8822"/>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x-none" sz="500" kern="1200">
            <a:solidFill>
              <a:sysClr val="windowText" lastClr="000000">
                <a:hueOff val="0"/>
                <a:satOff val="0"/>
                <a:lumOff val="0"/>
                <a:alphaOff val="0"/>
              </a:sysClr>
            </a:solidFill>
            <a:latin typeface="Calibri" panose="020F0502020204030204"/>
            <a:ea typeface="+mn-ea"/>
            <a:cs typeface="+mn-cs"/>
          </a:endParaRPr>
        </a:p>
      </dsp:txBody>
      <dsp:txXfrm>
        <a:off x="2994542" y="4593543"/>
        <a:ext cx="0" cy="0"/>
      </dsp:txXfrm>
    </dsp:sp>
    <dsp:sp modelId="{FD590A21-0469-4CEC-86E6-8729469E1DEB}">
      <dsp:nvSpPr>
        <dsp:cNvPr id="0" name=""/>
        <dsp:cNvSpPr/>
      </dsp:nvSpPr>
      <dsp:spPr>
        <a:xfrm>
          <a:off x="3237041" y="4316402"/>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Conflict of interest</a:t>
          </a:r>
          <a:endParaRPr lang="x-none" sz="1200" kern="1200">
            <a:solidFill>
              <a:sysClr val="windowText" lastClr="000000"/>
            </a:solidFill>
            <a:latin typeface="Calibri" panose="020F0502020204030204"/>
            <a:ea typeface="+mn-ea"/>
            <a:cs typeface="+mn-cs"/>
          </a:endParaRPr>
        </a:p>
      </dsp:txBody>
      <dsp:txXfrm>
        <a:off x="3253952" y="4333313"/>
        <a:ext cx="1120933" cy="543555"/>
      </dsp:txXfrm>
    </dsp:sp>
    <dsp:sp modelId="{A4C1A16B-D6BF-40CD-8E20-74BBE3C7F0B9}">
      <dsp:nvSpPr>
        <dsp:cNvPr id="0" name=""/>
        <dsp:cNvSpPr/>
      </dsp:nvSpPr>
      <dsp:spPr>
        <a:xfrm>
          <a:off x="4391796" y="4596269"/>
          <a:ext cx="461902" cy="17644"/>
        </a:xfrm>
        <a:custGeom>
          <a:avLst/>
          <a:gdLst/>
          <a:ahLst/>
          <a:cxnLst/>
          <a:rect l="0" t="0" r="0" b="0"/>
          <a:pathLst>
            <a:path>
              <a:moveTo>
                <a:pt x="0" y="8822"/>
              </a:moveTo>
              <a:lnTo>
                <a:pt x="461902" y="8822"/>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x-none" sz="500" kern="1200">
            <a:solidFill>
              <a:sysClr val="windowText" lastClr="000000">
                <a:hueOff val="0"/>
                <a:satOff val="0"/>
                <a:lumOff val="0"/>
                <a:alphaOff val="0"/>
              </a:sysClr>
            </a:solidFill>
            <a:latin typeface="Calibri" panose="020F0502020204030204"/>
            <a:ea typeface="+mn-ea"/>
            <a:cs typeface="+mn-cs"/>
          </a:endParaRPr>
        </a:p>
      </dsp:txBody>
      <dsp:txXfrm>
        <a:off x="4611200" y="4593543"/>
        <a:ext cx="0" cy="0"/>
      </dsp:txXfrm>
    </dsp:sp>
    <dsp:sp modelId="{E2D8712A-3412-4EA0-9586-88A291FD988D}">
      <dsp:nvSpPr>
        <dsp:cNvPr id="0" name=""/>
        <dsp:cNvSpPr/>
      </dsp:nvSpPr>
      <dsp:spPr>
        <a:xfrm>
          <a:off x="4853698" y="4316402"/>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latin typeface="Calibri" panose="020F0502020204030204"/>
              <a:ea typeface="+mn-ea"/>
              <a:cs typeface="+mn-cs"/>
            </a:rPr>
            <a:t>Company issues</a:t>
          </a:r>
          <a:endParaRPr lang="x-none" sz="1200" kern="1200">
            <a:solidFill>
              <a:sysClr val="windowText" lastClr="000000"/>
            </a:solidFill>
            <a:latin typeface="Calibri" panose="020F0502020204030204"/>
            <a:ea typeface="+mn-ea"/>
            <a:cs typeface="+mn-cs"/>
          </a:endParaRPr>
        </a:p>
      </dsp:txBody>
      <dsp:txXfrm>
        <a:off x="4870609" y="4333313"/>
        <a:ext cx="1120933" cy="543555"/>
      </dsp:txXfrm>
    </dsp:sp>
    <dsp:sp modelId="{0B8740F0-03C2-4CD8-BDB8-1C9CC3B0F550}">
      <dsp:nvSpPr>
        <dsp:cNvPr id="0" name=""/>
        <dsp:cNvSpPr/>
      </dsp:nvSpPr>
      <dsp:spPr>
        <a:xfrm rot="3310531">
          <a:off x="2601667" y="4928261"/>
          <a:ext cx="808844" cy="17644"/>
        </a:xfrm>
        <a:custGeom>
          <a:avLst/>
          <a:gdLst/>
          <a:ahLst/>
          <a:cxnLst/>
          <a:rect l="0" t="0" r="0" b="0"/>
          <a:pathLst>
            <a:path>
              <a:moveTo>
                <a:pt x="0" y="8822"/>
              </a:moveTo>
              <a:lnTo>
                <a:pt x="808844" y="8822"/>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x-none" sz="500" kern="1200">
            <a:solidFill>
              <a:sysClr val="windowText" lastClr="000000">
                <a:hueOff val="0"/>
                <a:satOff val="0"/>
                <a:lumOff val="0"/>
                <a:alphaOff val="0"/>
              </a:sysClr>
            </a:solidFill>
            <a:latin typeface="Calibri" panose="020F0502020204030204"/>
            <a:ea typeface="+mn-ea"/>
            <a:cs typeface="+mn-cs"/>
          </a:endParaRPr>
        </a:p>
      </dsp:txBody>
      <dsp:txXfrm>
        <a:off x="3011141" y="4908936"/>
        <a:ext cx="0" cy="0"/>
      </dsp:txXfrm>
    </dsp:sp>
    <dsp:sp modelId="{3A3FC53C-81EE-4678-BBD9-81D3B2EC30D4}">
      <dsp:nvSpPr>
        <dsp:cNvPr id="0" name=""/>
        <dsp:cNvSpPr/>
      </dsp:nvSpPr>
      <dsp:spPr>
        <a:xfrm>
          <a:off x="3237041" y="4980386"/>
          <a:ext cx="1154755" cy="577377"/>
        </a:xfrm>
        <a:prstGeom prst="roundRect">
          <a:avLst>
            <a:gd name="adj" fmla="val 10000"/>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Poor organizational set up</a:t>
          </a:r>
          <a:endParaRPr lang="x-none" sz="1200" kern="1200">
            <a:solidFill>
              <a:sysClr val="windowText" lastClr="000000"/>
            </a:solidFill>
            <a:latin typeface="Calibri" panose="020F0502020204030204"/>
            <a:ea typeface="+mn-ea"/>
            <a:cs typeface="+mn-cs"/>
          </a:endParaRPr>
        </a:p>
      </dsp:txBody>
      <dsp:txXfrm>
        <a:off x="3253952" y="4997297"/>
        <a:ext cx="1120933" cy="54355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1724</TotalTime>
  <Pages>64</Pages>
  <Words>17776</Words>
  <Characters>101329</Characters>
  <Application>Microsoft Office Word</Application>
  <DocSecurity>0</DocSecurity>
  <Lines>844</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Fisher</dc:creator>
  <cp:keywords/>
  <dc:description/>
  <cp:lastModifiedBy>Adam Fisher</cp:lastModifiedBy>
  <cp:revision>51</cp:revision>
  <cp:lastPrinted>2024-05-01T16:24:00Z</cp:lastPrinted>
  <dcterms:created xsi:type="dcterms:W3CDTF">2024-05-01T09:45:00Z</dcterms:created>
  <dcterms:modified xsi:type="dcterms:W3CDTF">2024-05-02T22:02:00Z</dcterms:modified>
</cp:coreProperties>
</file>