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085A" w:rsidRDefault="00BC5905">
      <w:pPr>
        <w:jc w:val="center"/>
      </w:pPr>
      <w:r>
        <w:rPr>
          <w:noProof/>
        </w:rPr>
        <w:drawing>
          <wp:inline distT="0" distB="0" distL="0" distR="0">
            <wp:extent cx="3019846" cy="115268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19846" cy="1152686"/>
                    </a:xfrm>
                    <a:prstGeom prst="rect">
                      <a:avLst/>
                    </a:prstGeom>
                    <a:ln/>
                  </pic:spPr>
                </pic:pic>
              </a:graphicData>
            </a:graphic>
          </wp:inline>
        </w:drawing>
      </w:r>
    </w:p>
    <w:p w:rsidR="0065085A" w:rsidRDefault="0065085A"/>
    <w:p w:rsidR="001E48BF" w:rsidRDefault="001E48BF"/>
    <w:p w:rsidR="0065085A" w:rsidRPr="001E48BF" w:rsidRDefault="00BC5905">
      <w:pPr>
        <w:spacing w:before="240"/>
        <w:jc w:val="center"/>
        <w:rPr>
          <w:b/>
          <w:sz w:val="28"/>
          <w:szCs w:val="28"/>
        </w:rPr>
      </w:pPr>
      <w:r w:rsidRPr="001E48BF">
        <w:rPr>
          <w:b/>
          <w:sz w:val="28"/>
          <w:szCs w:val="28"/>
        </w:rPr>
        <w:t>Master of Business Administration Programme</w:t>
      </w:r>
    </w:p>
    <w:p w:rsidR="0065085A" w:rsidRDefault="00BC5905">
      <w:pPr>
        <w:spacing w:before="240"/>
        <w:jc w:val="center"/>
        <w:rPr>
          <w:b/>
          <w:sz w:val="28"/>
          <w:szCs w:val="28"/>
        </w:rPr>
      </w:pPr>
      <w:r w:rsidRPr="001E48BF">
        <w:rPr>
          <w:b/>
          <w:sz w:val="28"/>
          <w:szCs w:val="28"/>
        </w:rPr>
        <w:t>LCMB7035 - Dissertation</w:t>
      </w:r>
    </w:p>
    <w:p w:rsidR="001E48BF" w:rsidRDefault="001E48BF">
      <w:pPr>
        <w:spacing w:before="240"/>
        <w:jc w:val="center"/>
        <w:rPr>
          <w:b/>
          <w:i/>
          <w:sz w:val="32"/>
          <w:szCs w:val="32"/>
        </w:rPr>
      </w:pPr>
    </w:p>
    <w:p w:rsidR="001E48BF" w:rsidRDefault="00BC5905">
      <w:pPr>
        <w:spacing w:before="240"/>
        <w:jc w:val="center"/>
        <w:rPr>
          <w:b/>
          <w:iCs/>
          <w:sz w:val="36"/>
          <w:szCs w:val="36"/>
        </w:rPr>
      </w:pPr>
      <w:r w:rsidRPr="001E48BF">
        <w:rPr>
          <w:b/>
          <w:iCs/>
          <w:sz w:val="36"/>
          <w:szCs w:val="36"/>
        </w:rPr>
        <w:t xml:space="preserve">Strategic Adaptation of Supply-Chain Resilience at Jaguar Land Rover in the Aftermath of </w:t>
      </w:r>
      <w:proofErr w:type="spellStart"/>
      <w:r w:rsidRPr="001E48BF">
        <w:rPr>
          <w:b/>
          <w:iCs/>
          <w:sz w:val="36"/>
          <w:szCs w:val="36"/>
        </w:rPr>
        <w:t>Brexit</w:t>
      </w:r>
      <w:proofErr w:type="spellEnd"/>
      <w:r w:rsidRPr="001E48BF">
        <w:rPr>
          <w:b/>
          <w:iCs/>
          <w:sz w:val="36"/>
          <w:szCs w:val="36"/>
        </w:rPr>
        <w:t>: A Qualitative Secondary Data Study</w:t>
      </w:r>
    </w:p>
    <w:p w:rsidR="001E48BF" w:rsidRDefault="001E48BF">
      <w:pPr>
        <w:spacing w:before="240"/>
        <w:jc w:val="center"/>
        <w:rPr>
          <w:b/>
          <w:iCs/>
          <w:sz w:val="36"/>
          <w:szCs w:val="36"/>
        </w:rPr>
      </w:pPr>
    </w:p>
    <w:p w:rsidR="001E48BF" w:rsidRDefault="001E48BF" w:rsidP="001E48BF">
      <w:pPr>
        <w:spacing w:before="240"/>
        <w:jc w:val="center"/>
        <w:rPr>
          <w:rFonts w:ascii="Bahnschrift" w:hAnsi="Bahnschrift"/>
          <w:b/>
          <w:sz w:val="32"/>
          <w:szCs w:val="32"/>
        </w:rPr>
      </w:pPr>
      <w:r w:rsidRPr="006B2073">
        <w:rPr>
          <w:rFonts w:ascii="Bahnschrift" w:hAnsi="Bahnschrift"/>
          <w:b/>
          <w:sz w:val="32"/>
          <w:szCs w:val="32"/>
        </w:rPr>
        <w:t>Name:</w:t>
      </w:r>
      <w:r w:rsidRPr="006B2073">
        <w:rPr>
          <w:rFonts w:ascii="Bahnschrift" w:hAnsi="Bahnschrift"/>
          <w:bCs/>
          <w:sz w:val="28"/>
          <w:szCs w:val="28"/>
        </w:rPr>
        <w:t xml:space="preserve"> Armin </w:t>
      </w:r>
      <w:proofErr w:type="spellStart"/>
      <w:r w:rsidRPr="006B2073">
        <w:rPr>
          <w:rFonts w:ascii="Bahnschrift" w:hAnsi="Bahnschrift"/>
          <w:bCs/>
          <w:sz w:val="28"/>
          <w:szCs w:val="28"/>
        </w:rPr>
        <w:t>Farukbhai</w:t>
      </w:r>
      <w:proofErr w:type="spellEnd"/>
      <w:r w:rsidRPr="006B2073">
        <w:rPr>
          <w:rFonts w:ascii="Bahnschrift" w:hAnsi="Bahnschrift"/>
          <w:bCs/>
          <w:sz w:val="28"/>
          <w:szCs w:val="28"/>
        </w:rPr>
        <w:t xml:space="preserve"> </w:t>
      </w:r>
      <w:proofErr w:type="spellStart"/>
      <w:r w:rsidRPr="006B2073">
        <w:rPr>
          <w:rFonts w:ascii="Bahnschrift" w:hAnsi="Bahnschrift"/>
          <w:bCs/>
          <w:sz w:val="28"/>
          <w:szCs w:val="28"/>
        </w:rPr>
        <w:t>Bhohariya</w:t>
      </w:r>
      <w:proofErr w:type="spellEnd"/>
    </w:p>
    <w:p w:rsidR="001E48BF" w:rsidRPr="006B2073" w:rsidRDefault="001E48BF" w:rsidP="001E48BF">
      <w:pPr>
        <w:spacing w:before="240"/>
        <w:jc w:val="center"/>
        <w:rPr>
          <w:rFonts w:ascii="Arial Black" w:hAnsi="Arial Black"/>
          <w:bCs/>
          <w:sz w:val="28"/>
          <w:szCs w:val="28"/>
        </w:rPr>
      </w:pPr>
      <w:r w:rsidRPr="006B2073">
        <w:rPr>
          <w:rFonts w:ascii="Bahnschrift" w:hAnsi="Bahnschrift"/>
          <w:b/>
          <w:sz w:val="32"/>
          <w:szCs w:val="32"/>
        </w:rPr>
        <w:t>Student ID:</w:t>
      </w:r>
      <w:r>
        <w:rPr>
          <w:rFonts w:ascii="Bahnschrift" w:hAnsi="Bahnschrift"/>
          <w:bCs/>
          <w:sz w:val="28"/>
          <w:szCs w:val="28"/>
        </w:rPr>
        <w:t xml:space="preserve"> 2327511</w:t>
      </w:r>
    </w:p>
    <w:p w:rsidR="0065085A" w:rsidRPr="001E48BF" w:rsidRDefault="00BC5905">
      <w:pPr>
        <w:spacing w:before="240"/>
        <w:jc w:val="center"/>
        <w:rPr>
          <w:iCs/>
          <w:sz w:val="32"/>
          <w:szCs w:val="32"/>
        </w:rPr>
      </w:pPr>
      <w:bookmarkStart w:id="0" w:name="_GoBack"/>
      <w:bookmarkEnd w:id="0"/>
      <w:r w:rsidRPr="001E48BF">
        <w:rPr>
          <w:iCs/>
        </w:rPr>
        <w:br w:type="page"/>
      </w:r>
    </w:p>
    <w:p w:rsidR="0065085A" w:rsidRDefault="00BC5905">
      <w:pPr>
        <w:keepNext/>
        <w:keepLines/>
        <w:pBdr>
          <w:top w:val="nil"/>
          <w:left w:val="nil"/>
          <w:bottom w:val="nil"/>
          <w:right w:val="nil"/>
          <w:between w:val="nil"/>
        </w:pBdr>
        <w:spacing w:before="240" w:after="0"/>
        <w:jc w:val="center"/>
        <w:rPr>
          <w:b/>
          <w:i/>
          <w:color w:val="000000"/>
        </w:rPr>
      </w:pPr>
      <w:r>
        <w:rPr>
          <w:b/>
          <w:i/>
          <w:color w:val="000000"/>
        </w:rPr>
        <w:lastRenderedPageBreak/>
        <w:t>Table of Contents</w:t>
      </w:r>
    </w:p>
    <w:sdt>
      <w:sdtPr>
        <w:id w:val="-2078296815"/>
        <w:docPartObj>
          <w:docPartGallery w:val="Table of Contents"/>
          <w:docPartUnique/>
        </w:docPartObj>
      </w:sdtPr>
      <w:sdtEndPr/>
      <w:sdtContent>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w:instrText>
          </w:r>
          <w:r>
            <w:instrText>Heading 1,1,Heading 2,2,Heading 3,3,"</w:instrText>
          </w:r>
          <w:r>
            <w:fldChar w:fldCharType="separate"/>
          </w:r>
          <w:hyperlink w:anchor="_z41bh8qhqyzl">
            <w:r>
              <w:rPr>
                <w:color w:val="000000"/>
              </w:rPr>
              <w:t>1. Introduction</w:t>
            </w:r>
            <w:r>
              <w:rPr>
                <w:color w:val="000000"/>
              </w:rPr>
              <w:tab/>
              <w:t>3</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s0owz7e41ur7">
            <w:r>
              <w:rPr>
                <w:color w:val="000000"/>
              </w:rPr>
              <w:t>2. Literature review</w:t>
            </w:r>
            <w:r>
              <w:rPr>
                <w:color w:val="000000"/>
              </w:rPr>
              <w:tab/>
              <w:t>5</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4ytuk529nml7">
            <w:r>
              <w:rPr>
                <w:color w:val="000000"/>
              </w:rPr>
              <w:t>3. Methodology</w:t>
            </w:r>
            <w:r>
              <w:rPr>
                <w:color w:val="000000"/>
              </w:rPr>
              <w:tab/>
              <w:t>7</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vctvdwmkg04u">
            <w:r>
              <w:rPr>
                <w:color w:val="000000"/>
              </w:rPr>
              <w:t>4. Expected findi</w:t>
            </w:r>
            <w:r>
              <w:rPr>
                <w:color w:val="000000"/>
              </w:rPr>
              <w:t>ngs</w:t>
            </w:r>
            <w:r>
              <w:rPr>
                <w:color w:val="000000"/>
              </w:rPr>
              <w:tab/>
              <w:t>9</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cdjtzfwdyh3k">
            <w:r>
              <w:rPr>
                <w:color w:val="000000"/>
              </w:rPr>
              <w:t>5. Limitations</w:t>
            </w:r>
            <w:r>
              <w:rPr>
                <w:color w:val="000000"/>
              </w:rPr>
              <w:tab/>
              <w:t>9</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p5o1woiwnrn8">
            <w:r>
              <w:rPr>
                <w:color w:val="000000"/>
              </w:rPr>
              <w:t>6. Timeframe</w:t>
            </w:r>
            <w:r>
              <w:rPr>
                <w:color w:val="000000"/>
              </w:rPr>
              <w:tab/>
              <w:t>10</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z3qrq63120uy">
            <w:r>
              <w:rPr>
                <w:color w:val="000000"/>
              </w:rPr>
              <w:t>7. Conclusion</w:t>
            </w:r>
            <w:r>
              <w:rPr>
                <w:color w:val="000000"/>
              </w:rPr>
              <w:tab/>
              <w:t>10</w:t>
            </w:r>
          </w:hyperlink>
        </w:p>
        <w:p w:rsidR="0065085A" w:rsidRDefault="00BC5905">
          <w:pPr>
            <w:pBdr>
              <w:top w:val="nil"/>
              <w:left w:val="nil"/>
              <w:bottom w:val="nil"/>
              <w:right w:val="nil"/>
              <w:between w:val="nil"/>
            </w:pBdr>
            <w:tabs>
              <w:tab w:val="right" w:leader="dot" w:pos="9016"/>
            </w:tabs>
            <w:spacing w:after="100"/>
            <w:rPr>
              <w:rFonts w:ascii="Calibri" w:eastAsia="Calibri" w:hAnsi="Calibri" w:cs="Calibri"/>
              <w:color w:val="000000"/>
            </w:rPr>
          </w:pPr>
          <w:hyperlink w:anchor="_4ajneaf53dt8">
            <w:r>
              <w:rPr>
                <w:color w:val="000000"/>
              </w:rPr>
              <w:t>8. References</w:t>
            </w:r>
            <w:r>
              <w:rPr>
                <w:color w:val="000000"/>
              </w:rPr>
              <w:tab/>
              <w:t>10</w:t>
            </w:r>
          </w:hyperlink>
        </w:p>
        <w:p w:rsidR="0065085A" w:rsidRDefault="00BC5905">
          <w:r>
            <w:fldChar w:fldCharType="end"/>
          </w:r>
        </w:p>
      </w:sdtContent>
    </w:sdt>
    <w:p w:rsidR="0065085A" w:rsidRDefault="00BC5905">
      <w:r>
        <w:br w:type="page"/>
      </w:r>
    </w:p>
    <w:p w:rsidR="0065085A" w:rsidRDefault="00BC5905">
      <w:pPr>
        <w:pStyle w:val="Heading1"/>
      </w:pPr>
      <w:bookmarkStart w:id="1" w:name="_z41bh8qhqyzl" w:colFirst="0" w:colLast="0"/>
      <w:bookmarkEnd w:id="1"/>
      <w:r>
        <w:lastRenderedPageBreak/>
        <w:t>1. Introduction</w:t>
      </w:r>
    </w:p>
    <w:p w:rsidR="0065085A" w:rsidRDefault="00BC5905">
      <w:pPr>
        <w:rPr>
          <w:b/>
          <w:i/>
        </w:rPr>
      </w:pPr>
      <w:r>
        <w:rPr>
          <w:b/>
          <w:i/>
        </w:rPr>
        <w:t>Background</w:t>
      </w:r>
    </w:p>
    <w:p w:rsidR="0065085A" w:rsidRDefault="00BC5905">
      <w:r>
        <w:t>One of the most striking geopolitical developments that have taken place in the recent European history was the exit of the United Kingdom from the European Union (</w:t>
      </w:r>
      <w:proofErr w:type="spellStart"/>
      <w:r>
        <w:t>Bindi</w:t>
      </w:r>
      <w:proofErr w:type="spellEnd"/>
      <w:r>
        <w:t xml:space="preserve">, 2022). UK automotive industry is a major industry that is affected the most by the </w:t>
      </w:r>
      <w:proofErr w:type="spellStart"/>
      <w:r>
        <w:t>Br</w:t>
      </w:r>
      <w:r>
        <w:t>exit</w:t>
      </w:r>
      <w:proofErr w:type="spellEnd"/>
      <w:r>
        <w:t xml:space="preserve"> due to the close-knit connection with the European supply chains, just-in-time production, and reliance on the tariff-free trade and free movement of labour (Bailey </w:t>
      </w:r>
      <w:r>
        <w:rPr>
          <w:i/>
        </w:rPr>
        <w:t>et al.</w:t>
      </w:r>
      <w:r>
        <w:t xml:space="preserve"> 2023). </w:t>
      </w:r>
      <w:proofErr w:type="spellStart"/>
      <w:r>
        <w:rPr>
          <w:color w:val="EE0000"/>
        </w:rPr>
        <w:t>Brexit</w:t>
      </w:r>
      <w:proofErr w:type="spellEnd"/>
      <w:r>
        <w:rPr>
          <w:color w:val="EE0000"/>
        </w:rPr>
        <w:t xml:space="preserve"> also brought trade barriers, regulatory divergence, and labour sh</w:t>
      </w:r>
      <w:r>
        <w:rPr>
          <w:color w:val="EE0000"/>
        </w:rPr>
        <w:t>ortage which directly hit the structure of the supply chain and continuity of operations (</w:t>
      </w:r>
      <w:proofErr w:type="spellStart"/>
      <w:r>
        <w:rPr>
          <w:color w:val="EE0000"/>
        </w:rPr>
        <w:t>Bindi</w:t>
      </w:r>
      <w:proofErr w:type="spellEnd"/>
      <w:r>
        <w:rPr>
          <w:color w:val="EE0000"/>
        </w:rPr>
        <w:t>, 2022). These shocks have moved academic and managerial interest in supply chains, which were driven by efficiency into the area of resilience, dynamic capabili</w:t>
      </w:r>
      <w:r>
        <w:rPr>
          <w:color w:val="EE0000"/>
        </w:rPr>
        <w:t xml:space="preserve">ty, with agility, reconfiguring resources, and reducing the risk. </w:t>
      </w:r>
    </w:p>
    <w:p w:rsidR="0065085A" w:rsidRDefault="00BC5905">
      <w:pPr>
        <w:rPr>
          <w:color w:val="EE0000"/>
        </w:rPr>
      </w:pPr>
      <w:r>
        <w:t xml:space="preserve">The largest car manufacturer in the UK, Jaguar Land Rover (JLR) has found itself in the middle of these upheavals and has been tested as never before to restructure its supply-chain set up </w:t>
      </w:r>
      <w:r>
        <w:t>(</w:t>
      </w:r>
      <w:proofErr w:type="spellStart"/>
      <w:r>
        <w:t>Choudhary</w:t>
      </w:r>
      <w:proofErr w:type="spellEnd"/>
      <w:r>
        <w:t xml:space="preserve"> </w:t>
      </w:r>
      <w:r>
        <w:rPr>
          <w:i/>
        </w:rPr>
        <w:t>et al.</w:t>
      </w:r>
      <w:r>
        <w:t xml:space="preserve"> 2023). As the global supply chains are grappling with wider disruption concerns, such as semiconductor shortages and unpredictable logistical conditions, it is significant to understand how JLR has managed to adapt to the </w:t>
      </w:r>
      <w:proofErr w:type="spellStart"/>
      <w:r>
        <w:t>Brexit</w:t>
      </w:r>
      <w:proofErr w:type="spellEnd"/>
      <w:r>
        <w:t xml:space="preserve"> changes t</w:t>
      </w:r>
      <w:r>
        <w:t xml:space="preserve">o improve supply-chain resilience. </w:t>
      </w:r>
      <w:r>
        <w:rPr>
          <w:color w:val="EE0000"/>
        </w:rPr>
        <w:t xml:space="preserve">Placing </w:t>
      </w:r>
      <w:proofErr w:type="spellStart"/>
      <w:r>
        <w:rPr>
          <w:color w:val="EE0000"/>
        </w:rPr>
        <w:t>Brexit</w:t>
      </w:r>
      <w:proofErr w:type="spellEnd"/>
      <w:r>
        <w:rPr>
          <w:color w:val="EE0000"/>
        </w:rPr>
        <w:t xml:space="preserve"> as a real-world stress test, this research allots geopolitical uncertainty to the concepts of resilience theory and dynamic capabilities and uses JLR as a case study to explore strategic adaptation in the c</w:t>
      </w:r>
      <w:r>
        <w:rPr>
          <w:color w:val="EE0000"/>
        </w:rPr>
        <w:t>ontext of system disruption.</w:t>
      </w:r>
    </w:p>
    <w:p w:rsidR="0065085A" w:rsidRDefault="00BC5905">
      <w:pPr>
        <w:rPr>
          <w:b/>
          <w:i/>
        </w:rPr>
      </w:pPr>
      <w:r>
        <w:rPr>
          <w:b/>
          <w:i/>
        </w:rPr>
        <w:t>Research Problem</w:t>
      </w:r>
    </w:p>
    <w:p w:rsidR="0065085A" w:rsidRDefault="00BC5905">
      <w:r>
        <w:t>The resilience of the supply-chain has emerged as a vital strategic competence in the modern multinational activity (</w:t>
      </w:r>
      <w:proofErr w:type="spellStart"/>
      <w:r>
        <w:t>Irfan</w:t>
      </w:r>
      <w:proofErr w:type="spellEnd"/>
      <w:r>
        <w:t xml:space="preserve"> </w:t>
      </w:r>
      <w:r>
        <w:rPr>
          <w:i/>
        </w:rPr>
        <w:t>et al.</w:t>
      </w:r>
      <w:r>
        <w:t xml:space="preserve"> 2022). Though efficiency has been the centre stage in the literature of supply-c</w:t>
      </w:r>
      <w:r>
        <w:t xml:space="preserve">hain in past, currently there are paradigm shifts with efficiency focus to agility, flexibility, and resilience to risk in uncertain times. </w:t>
      </w:r>
      <w:proofErr w:type="spellStart"/>
      <w:r>
        <w:t>Brexit</w:t>
      </w:r>
      <w:proofErr w:type="spellEnd"/>
      <w:r>
        <w:t xml:space="preserve"> has placed an obstacle in the trade, customs, variable regulations, and labour, and this has put strain on th</w:t>
      </w:r>
      <w:r>
        <w:t xml:space="preserve">e preparedness and flexibility of the manufacturers in the UK (Bailey </w:t>
      </w:r>
      <w:r>
        <w:rPr>
          <w:i/>
        </w:rPr>
        <w:t>et al.</w:t>
      </w:r>
      <w:r>
        <w:t xml:space="preserve"> 2023). In that respect, JLR strategic response provides a profitable chance on the basis of which it is possible to analyse both the firm-level resilience mechanisms and the overa</w:t>
      </w:r>
      <w:r>
        <w:t>ll industry adaptation patterns.</w:t>
      </w:r>
    </w:p>
    <w:p w:rsidR="0065085A" w:rsidRDefault="00BC5905">
      <w:pPr>
        <w:rPr>
          <w:b/>
          <w:i/>
        </w:rPr>
      </w:pPr>
      <w:r>
        <w:rPr>
          <w:b/>
          <w:i/>
        </w:rPr>
        <w:t>Research Aim, Objectives, and Question</w:t>
      </w:r>
    </w:p>
    <w:p w:rsidR="0065085A" w:rsidRDefault="00BC5905">
      <w:pPr>
        <w:rPr>
          <w:b/>
        </w:rPr>
      </w:pPr>
      <w:r>
        <w:rPr>
          <w:b/>
        </w:rPr>
        <w:lastRenderedPageBreak/>
        <w:t>Research aim</w:t>
      </w:r>
    </w:p>
    <w:p w:rsidR="0065085A" w:rsidRDefault="00BC5905">
      <w:r>
        <w:t xml:space="preserve">The study will examine how Jaguar Land Rover (JLR) has adapted its supply-chain resilience to </w:t>
      </w:r>
      <w:proofErr w:type="spellStart"/>
      <w:r>
        <w:t>Brexit</w:t>
      </w:r>
      <w:proofErr w:type="spellEnd"/>
      <w:r>
        <w:t xml:space="preserve"> challenges and disruptions utilizing the qualitative and secondary dat</w:t>
      </w:r>
      <w:r>
        <w:t>a.</w:t>
      </w:r>
    </w:p>
    <w:p w:rsidR="0065085A" w:rsidRDefault="00BC5905">
      <w:pPr>
        <w:rPr>
          <w:b/>
        </w:rPr>
      </w:pPr>
      <w:r>
        <w:rPr>
          <w:b/>
        </w:rPr>
        <w:t>Research Objectives</w:t>
      </w:r>
    </w:p>
    <w:p w:rsidR="0065085A" w:rsidRDefault="00BC5905">
      <w:pPr>
        <w:numPr>
          <w:ilvl w:val="0"/>
          <w:numId w:val="3"/>
        </w:numPr>
        <w:pBdr>
          <w:top w:val="nil"/>
          <w:left w:val="nil"/>
          <w:bottom w:val="nil"/>
          <w:right w:val="nil"/>
          <w:between w:val="nil"/>
        </w:pBdr>
        <w:spacing w:after="0"/>
      </w:pPr>
      <w:r>
        <w:rPr>
          <w:color w:val="000000"/>
        </w:rPr>
        <w:t>To explore major post-</w:t>
      </w:r>
      <w:proofErr w:type="spellStart"/>
      <w:r>
        <w:rPr>
          <w:color w:val="000000"/>
        </w:rPr>
        <w:t>Brexit</w:t>
      </w:r>
      <w:proofErr w:type="spellEnd"/>
      <w:r>
        <w:rPr>
          <w:color w:val="000000"/>
        </w:rPr>
        <w:t xml:space="preserve"> problems influencing the resilience of the UK automobile industry supply chain.</w:t>
      </w:r>
    </w:p>
    <w:p w:rsidR="0065085A" w:rsidRDefault="00BC5905">
      <w:pPr>
        <w:numPr>
          <w:ilvl w:val="0"/>
          <w:numId w:val="3"/>
        </w:numPr>
        <w:pBdr>
          <w:top w:val="nil"/>
          <w:left w:val="nil"/>
          <w:bottom w:val="nil"/>
          <w:right w:val="nil"/>
          <w:between w:val="nil"/>
        </w:pBdr>
        <w:spacing w:after="0"/>
      </w:pPr>
      <w:r>
        <w:rPr>
          <w:color w:val="000000"/>
        </w:rPr>
        <w:t xml:space="preserve">To define the strategic responses that Jaguar Land Rover has been experiencing in attempts to enhance the resiliency of its supply-chain in the aftermath of the </w:t>
      </w:r>
      <w:proofErr w:type="spellStart"/>
      <w:r>
        <w:rPr>
          <w:color w:val="000000"/>
        </w:rPr>
        <w:t>Brexit</w:t>
      </w:r>
      <w:proofErr w:type="spellEnd"/>
      <w:r>
        <w:rPr>
          <w:color w:val="000000"/>
        </w:rPr>
        <w:t xml:space="preserve"> event.</w:t>
      </w:r>
    </w:p>
    <w:p w:rsidR="0065085A" w:rsidRDefault="00BC5905">
      <w:pPr>
        <w:numPr>
          <w:ilvl w:val="0"/>
          <w:numId w:val="3"/>
        </w:numPr>
        <w:pBdr>
          <w:top w:val="nil"/>
          <w:left w:val="nil"/>
          <w:bottom w:val="nil"/>
          <w:right w:val="nil"/>
          <w:between w:val="nil"/>
        </w:pBdr>
        <w:spacing w:after="0"/>
      </w:pPr>
      <w:r>
        <w:rPr>
          <w:color w:val="000000"/>
        </w:rPr>
        <w:t>To determine the effectiveness of the adaptive strategies used by JLR in assistin</w:t>
      </w:r>
      <w:r>
        <w:rPr>
          <w:color w:val="000000"/>
        </w:rPr>
        <w:t>g the company in dealing with supply-chain disruptions and continuity of operations.</w:t>
      </w:r>
    </w:p>
    <w:p w:rsidR="0065085A" w:rsidRDefault="00BC5905">
      <w:pPr>
        <w:numPr>
          <w:ilvl w:val="0"/>
          <w:numId w:val="3"/>
        </w:numPr>
        <w:pBdr>
          <w:top w:val="nil"/>
          <w:left w:val="nil"/>
          <w:bottom w:val="nil"/>
          <w:right w:val="nil"/>
          <w:between w:val="nil"/>
        </w:pBdr>
      </w:pPr>
      <w:r>
        <w:rPr>
          <w:color w:val="000000"/>
        </w:rPr>
        <w:t xml:space="preserve">To provide recommendations on how the supply-chain resilience in the UK automotive sector can be </w:t>
      </w:r>
      <w:proofErr w:type="gramStart"/>
      <w:r>
        <w:rPr>
          <w:color w:val="000000"/>
        </w:rPr>
        <w:t>improved,</w:t>
      </w:r>
      <w:proofErr w:type="gramEnd"/>
      <w:r>
        <w:rPr>
          <w:color w:val="000000"/>
        </w:rPr>
        <w:t xml:space="preserve"> based on the experience of JLR.</w:t>
      </w:r>
    </w:p>
    <w:p w:rsidR="0065085A" w:rsidRDefault="00BC5905">
      <w:pPr>
        <w:rPr>
          <w:b/>
        </w:rPr>
      </w:pPr>
      <w:r>
        <w:rPr>
          <w:b/>
        </w:rPr>
        <w:t>Research Questions</w:t>
      </w:r>
    </w:p>
    <w:p w:rsidR="0065085A" w:rsidRDefault="00BC5905">
      <w:pPr>
        <w:numPr>
          <w:ilvl w:val="0"/>
          <w:numId w:val="2"/>
        </w:numPr>
        <w:pBdr>
          <w:top w:val="nil"/>
          <w:left w:val="nil"/>
          <w:bottom w:val="nil"/>
          <w:right w:val="nil"/>
          <w:between w:val="nil"/>
        </w:pBdr>
        <w:spacing w:after="0"/>
        <w:rPr>
          <w:color w:val="EE0000"/>
        </w:rPr>
      </w:pPr>
      <w:r>
        <w:rPr>
          <w:color w:val="EE0000"/>
        </w:rPr>
        <w:t xml:space="preserve">What are the </w:t>
      </w:r>
      <w:r>
        <w:rPr>
          <w:color w:val="EE0000"/>
        </w:rPr>
        <w:t>main post-</w:t>
      </w:r>
      <w:proofErr w:type="spellStart"/>
      <w:r>
        <w:rPr>
          <w:color w:val="EE0000"/>
        </w:rPr>
        <w:t>Brexit</w:t>
      </w:r>
      <w:proofErr w:type="spellEnd"/>
      <w:r>
        <w:rPr>
          <w:color w:val="EE0000"/>
        </w:rPr>
        <w:t xml:space="preserve"> issues that have impacted supply-chain resilience in the UK automotive sector?</w:t>
      </w:r>
    </w:p>
    <w:p w:rsidR="0065085A" w:rsidRDefault="00BC5905">
      <w:pPr>
        <w:numPr>
          <w:ilvl w:val="0"/>
          <w:numId w:val="2"/>
        </w:numPr>
        <w:pBdr>
          <w:top w:val="nil"/>
          <w:left w:val="nil"/>
          <w:bottom w:val="nil"/>
          <w:right w:val="nil"/>
          <w:between w:val="nil"/>
        </w:pBdr>
        <w:spacing w:after="0"/>
      </w:pPr>
      <w:r>
        <w:rPr>
          <w:color w:val="000000"/>
        </w:rPr>
        <w:t xml:space="preserve">How has Jaguar Land Rover strategically changed its supply-chain to accommodate the </w:t>
      </w:r>
      <w:proofErr w:type="spellStart"/>
      <w:r>
        <w:rPr>
          <w:color w:val="000000"/>
        </w:rPr>
        <w:t>Brexit</w:t>
      </w:r>
      <w:proofErr w:type="spellEnd"/>
      <w:r>
        <w:rPr>
          <w:color w:val="000000"/>
        </w:rPr>
        <w:t xml:space="preserve"> disruptions?</w:t>
      </w:r>
    </w:p>
    <w:p w:rsidR="0065085A" w:rsidRDefault="00BC5905">
      <w:pPr>
        <w:numPr>
          <w:ilvl w:val="0"/>
          <w:numId w:val="2"/>
        </w:numPr>
        <w:pBdr>
          <w:top w:val="nil"/>
          <w:left w:val="nil"/>
          <w:bottom w:val="nil"/>
          <w:right w:val="nil"/>
          <w:between w:val="nil"/>
        </w:pBdr>
        <w:spacing w:after="0"/>
      </w:pPr>
      <w:r>
        <w:rPr>
          <w:color w:val="000000"/>
        </w:rPr>
        <w:t>To what extent have these strategic resilience and performance-related adaptations to supply chain efficiency been effective at JLR?</w:t>
      </w:r>
    </w:p>
    <w:p w:rsidR="0065085A" w:rsidRDefault="00BC5905">
      <w:pPr>
        <w:numPr>
          <w:ilvl w:val="0"/>
          <w:numId w:val="2"/>
        </w:numPr>
        <w:pBdr>
          <w:top w:val="nil"/>
          <w:left w:val="nil"/>
          <w:bottom w:val="nil"/>
          <w:right w:val="nil"/>
          <w:between w:val="nil"/>
        </w:pBdr>
        <w:rPr>
          <w:color w:val="EE0000"/>
        </w:rPr>
      </w:pPr>
      <w:r>
        <w:rPr>
          <w:color w:val="EE0000"/>
        </w:rPr>
        <w:t>What lessons from JLR’s post-</w:t>
      </w:r>
      <w:proofErr w:type="spellStart"/>
      <w:r>
        <w:rPr>
          <w:color w:val="EE0000"/>
        </w:rPr>
        <w:t>Brexit</w:t>
      </w:r>
      <w:proofErr w:type="spellEnd"/>
      <w:r>
        <w:rPr>
          <w:color w:val="EE0000"/>
        </w:rPr>
        <w:t xml:space="preserve"> supply-chain approach can inform resilience strategies in the wider UK automotive sector?</w:t>
      </w:r>
    </w:p>
    <w:p w:rsidR="0065085A" w:rsidRDefault="00BC5905">
      <w:r>
        <w:t>To accomplish these goals, this dissertation will be based on qualitative, secondary-sourced data in the form of industry reports,</w:t>
      </w:r>
      <w:r>
        <w:t xml:space="preserve"> corporate disclosures, policy analyses, and academic literature. </w:t>
      </w:r>
    </w:p>
    <w:p w:rsidR="0065085A" w:rsidRDefault="00BC5905">
      <w:pPr>
        <w:rPr>
          <w:b/>
          <w:i/>
        </w:rPr>
      </w:pPr>
      <w:r>
        <w:rPr>
          <w:b/>
          <w:i/>
        </w:rPr>
        <w:t>Research Rationale</w:t>
      </w:r>
    </w:p>
    <w:p w:rsidR="0065085A" w:rsidRDefault="00BC5905">
      <w:r>
        <w:t xml:space="preserve">The proposed study aims to provide practical and theoretical insights into the importance of resilience practices in the supply chain of automotive companies and related </w:t>
      </w:r>
      <w:r>
        <w:t>scholarly research by assessing the resilience practices of JLR in the post-</w:t>
      </w:r>
      <w:proofErr w:type="spellStart"/>
      <w:r>
        <w:t>Brexit</w:t>
      </w:r>
      <w:proofErr w:type="spellEnd"/>
      <w:r>
        <w:t xml:space="preserve"> period in detail and relating them to the current global business strategy and policy requirements. </w:t>
      </w:r>
      <w:r>
        <w:rPr>
          <w:color w:val="EE0000"/>
        </w:rPr>
        <w:t xml:space="preserve">While industry </w:t>
      </w:r>
      <w:r>
        <w:rPr>
          <w:color w:val="EE0000"/>
        </w:rPr>
        <w:lastRenderedPageBreak/>
        <w:t xml:space="preserve">reports have some details on operational effects of </w:t>
      </w:r>
      <w:proofErr w:type="spellStart"/>
      <w:r>
        <w:rPr>
          <w:color w:val="EE0000"/>
        </w:rPr>
        <w:t>Brexit</w:t>
      </w:r>
      <w:proofErr w:type="spellEnd"/>
      <w:r>
        <w:rPr>
          <w:color w:val="EE0000"/>
        </w:rPr>
        <w:t xml:space="preserve"> (Bailey </w:t>
      </w:r>
      <w:r>
        <w:rPr>
          <w:i/>
          <w:color w:val="EE0000"/>
        </w:rPr>
        <w:t>et al.</w:t>
      </w:r>
      <w:r>
        <w:rPr>
          <w:color w:val="EE0000"/>
        </w:rPr>
        <w:t xml:space="preserve"> 2023), scholarly research has not gone into details of how firms can strategically act and create resilience. The available literature examines effects of policy at macro-level without considering development of firm-level capabilities and </w:t>
      </w:r>
      <w:r>
        <w:rPr>
          <w:color w:val="EE0000"/>
        </w:rPr>
        <w:t>reconfiguration of supply chains in the long-term. This research fills that gap by offering empirical evidence on the adaptive practices of JLR to inform the arguments on dynamic capabilities, resilience theory, and post-</w:t>
      </w:r>
      <w:proofErr w:type="spellStart"/>
      <w:r>
        <w:rPr>
          <w:color w:val="EE0000"/>
        </w:rPr>
        <w:t>Brexit</w:t>
      </w:r>
      <w:proofErr w:type="spellEnd"/>
      <w:r>
        <w:rPr>
          <w:color w:val="EE0000"/>
        </w:rPr>
        <w:t xml:space="preserve"> strategic management in the </w:t>
      </w:r>
      <w:r>
        <w:rPr>
          <w:color w:val="EE0000"/>
        </w:rPr>
        <w:t>UK automotive industry.</w:t>
      </w:r>
    </w:p>
    <w:p w:rsidR="0065085A" w:rsidRDefault="00BC5905">
      <w:pPr>
        <w:pStyle w:val="Heading1"/>
      </w:pPr>
      <w:bookmarkStart w:id="2" w:name="_s0owz7e41ur7" w:colFirst="0" w:colLast="0"/>
      <w:bookmarkEnd w:id="2"/>
      <w:r>
        <w:t xml:space="preserve">2. Literature review </w:t>
      </w:r>
    </w:p>
    <w:p w:rsidR="0065085A" w:rsidRDefault="00BC5905">
      <w:pPr>
        <w:rPr>
          <w:b/>
          <w:i/>
        </w:rPr>
      </w:pPr>
      <w:r>
        <w:rPr>
          <w:b/>
          <w:i/>
        </w:rPr>
        <w:t>Supply-Chain Resilience: Ideas and Theory Foundations</w:t>
      </w:r>
    </w:p>
    <w:p w:rsidR="0065085A" w:rsidRDefault="00BC5905">
      <w:r>
        <w:t>The concept of supply-chain resilience (SCR) is usually referred to as the capacity of organisations to predict, absorb, adapt to, and recover in the wake o</w:t>
      </w:r>
      <w:r>
        <w:t xml:space="preserve">f disruptions, according to </w:t>
      </w:r>
      <w:proofErr w:type="spellStart"/>
      <w:r>
        <w:t>Gaudenzi</w:t>
      </w:r>
      <w:proofErr w:type="spellEnd"/>
      <w:r>
        <w:t xml:space="preserve"> </w:t>
      </w:r>
      <w:r>
        <w:rPr>
          <w:i/>
        </w:rPr>
        <w:t xml:space="preserve">et al. </w:t>
      </w:r>
      <w:r>
        <w:t>(2023). Resource-Based View (RBV) focuses on possession of distinctive capabilities, specifically, agility, technological integration, and risk-management systems, as the foundation of competitive resiliency (</w:t>
      </w:r>
      <w:proofErr w:type="spellStart"/>
      <w:r>
        <w:t>Tiw</w:t>
      </w:r>
      <w:r>
        <w:t>ari</w:t>
      </w:r>
      <w:proofErr w:type="spellEnd"/>
      <w:r>
        <w:t xml:space="preserve">, 2024). </w:t>
      </w:r>
    </w:p>
    <w:p w:rsidR="0065085A" w:rsidRDefault="00BC5905">
      <w:pPr>
        <w:jc w:val="center"/>
      </w:pPr>
      <w:r>
        <w:rPr>
          <w:noProof/>
        </w:rPr>
        <w:drawing>
          <wp:inline distT="0" distB="0" distL="0" distR="0">
            <wp:extent cx="2813891" cy="260369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813891" cy="2603697"/>
                    </a:xfrm>
                    <a:prstGeom prst="rect">
                      <a:avLst/>
                    </a:prstGeom>
                    <a:ln/>
                  </pic:spPr>
                </pic:pic>
              </a:graphicData>
            </a:graphic>
          </wp:inline>
        </w:drawing>
      </w:r>
    </w:p>
    <w:p w:rsidR="0065085A" w:rsidRDefault="00BC5905">
      <w:pPr>
        <w:jc w:val="center"/>
        <w:rPr>
          <w:b/>
        </w:rPr>
      </w:pPr>
      <w:r>
        <w:rPr>
          <w:b/>
        </w:rPr>
        <w:t>Figure: Resource-Based View (RBV)</w:t>
      </w:r>
    </w:p>
    <w:p w:rsidR="0065085A" w:rsidRDefault="00BC5905">
      <w:pPr>
        <w:jc w:val="center"/>
      </w:pPr>
      <w:r>
        <w:t xml:space="preserve">(Source: </w:t>
      </w:r>
      <w:proofErr w:type="spellStart"/>
      <w:r>
        <w:t>Jurevicius</w:t>
      </w:r>
      <w:proofErr w:type="spellEnd"/>
      <w:r>
        <w:t>, 2023)</w:t>
      </w:r>
    </w:p>
    <w:p w:rsidR="0065085A" w:rsidRDefault="00BC5905">
      <w:r>
        <w:t>In the meantime, the Dynamic Capabilities Theory implies the capability of a firm to detect the changing environments and rearrange assets in those environments, which is an import</w:t>
      </w:r>
      <w:r>
        <w:t xml:space="preserve">ant element in the changing regulatory environment of </w:t>
      </w:r>
      <w:proofErr w:type="spellStart"/>
      <w:r>
        <w:t>Brexit</w:t>
      </w:r>
      <w:proofErr w:type="spellEnd"/>
      <w:r>
        <w:t xml:space="preserve">. Nonetheless, </w:t>
      </w:r>
      <w:proofErr w:type="spellStart"/>
      <w:r>
        <w:t>Cantelmi</w:t>
      </w:r>
      <w:proofErr w:type="spellEnd"/>
      <w:r>
        <w:t xml:space="preserve"> </w:t>
      </w:r>
      <w:r>
        <w:rPr>
          <w:i/>
        </w:rPr>
        <w:t xml:space="preserve">et al. </w:t>
      </w:r>
      <w:r>
        <w:lastRenderedPageBreak/>
        <w:t>(2021) argued that resilience studies often lack real-world case depth and do not thoroughly investigate political disturbances compared to environmental or technolo</w:t>
      </w:r>
      <w:r>
        <w:t xml:space="preserve">gical shocks. </w:t>
      </w:r>
    </w:p>
    <w:p w:rsidR="0065085A" w:rsidRDefault="00BC5905">
      <w:r>
        <w:t xml:space="preserve">The literature on </w:t>
      </w:r>
      <w:proofErr w:type="spellStart"/>
      <w:r>
        <w:t>Brexit</w:t>
      </w:r>
      <w:proofErr w:type="spellEnd"/>
      <w:r>
        <w:t xml:space="preserve"> recognises the delays at customs, tariff risks, shortages of skilled labour, and compliance complications as the major problems affecting the manufacturers in the UK, according to </w:t>
      </w:r>
      <w:proofErr w:type="spellStart"/>
      <w:r>
        <w:t>Imtiaz</w:t>
      </w:r>
      <w:proofErr w:type="spellEnd"/>
      <w:r>
        <w:t xml:space="preserve"> and </w:t>
      </w:r>
      <w:proofErr w:type="spellStart"/>
      <w:r>
        <w:t>Muzaffar</w:t>
      </w:r>
      <w:proofErr w:type="spellEnd"/>
      <w:r>
        <w:t xml:space="preserve"> (2025). JITs, cr</w:t>
      </w:r>
      <w:r>
        <w:t xml:space="preserve">oss-border parts transfer, and EU talent reliance are the main factors that expose automotive supply chains. Other researchers mention the threat of regulatory divergence and low investment confidence after </w:t>
      </w:r>
      <w:proofErr w:type="spellStart"/>
      <w:r>
        <w:t>Brexit</w:t>
      </w:r>
      <w:proofErr w:type="spellEnd"/>
      <w:r>
        <w:t>. However, much of the empirical research i</w:t>
      </w:r>
      <w:r>
        <w:t>s at the industry-wide level, but not at the individual firm level, and this study bridges this gap by choosing Jaguar Land Rover (</w:t>
      </w:r>
      <w:proofErr w:type="spellStart"/>
      <w:r>
        <w:t>Chadha</w:t>
      </w:r>
      <w:proofErr w:type="spellEnd"/>
      <w:r>
        <w:t xml:space="preserve"> </w:t>
      </w:r>
      <w:r>
        <w:rPr>
          <w:i/>
        </w:rPr>
        <w:t xml:space="preserve">et al. </w:t>
      </w:r>
      <w:r>
        <w:t>2025).</w:t>
      </w:r>
    </w:p>
    <w:p w:rsidR="0065085A" w:rsidRDefault="00BC5905">
      <w:pPr>
        <w:rPr>
          <w:color w:val="EE0000"/>
        </w:rPr>
      </w:pPr>
      <w:r>
        <w:rPr>
          <w:color w:val="EE0000"/>
        </w:rPr>
        <w:t xml:space="preserve">Although the literature provides useful information about the macroeconomic effects of </w:t>
      </w:r>
      <w:proofErr w:type="spellStart"/>
      <w:r>
        <w:rPr>
          <w:color w:val="EE0000"/>
        </w:rPr>
        <w:t>Brexit</w:t>
      </w:r>
      <w:proofErr w:type="spellEnd"/>
      <w:r>
        <w:rPr>
          <w:color w:val="EE0000"/>
        </w:rPr>
        <w:t xml:space="preserve"> and overal</w:t>
      </w:r>
      <w:r>
        <w:rPr>
          <w:color w:val="EE0000"/>
        </w:rPr>
        <w:t xml:space="preserve">l supply-chain shocks, numerous articles assume a reactive approach where firms are subject to external shocks. Some of the analyses also believed policy reports at face value, without thought of bias of industry-lobbying viewpoints. Furthermore, there is </w:t>
      </w:r>
      <w:r>
        <w:rPr>
          <w:color w:val="EE0000"/>
        </w:rPr>
        <w:t>still a lack of empirical data suggesting that the theoretical framework can be converted into real-world strategic action only through a deep, organisation-level research.</w:t>
      </w:r>
    </w:p>
    <w:p w:rsidR="0065085A" w:rsidRDefault="00BC5905">
      <w:pPr>
        <w:rPr>
          <w:b/>
          <w:i/>
        </w:rPr>
      </w:pPr>
      <w:r>
        <w:rPr>
          <w:b/>
          <w:i/>
        </w:rPr>
        <w:t>Automotive Sector Strategies and Gaps</w:t>
      </w:r>
    </w:p>
    <w:p w:rsidR="0065085A" w:rsidRDefault="00BC5905">
      <w:r>
        <w:t xml:space="preserve">Existing studies highlight responses such as </w:t>
      </w:r>
      <w:r>
        <w:t xml:space="preserve">supplier diversification, </w:t>
      </w:r>
      <w:proofErr w:type="spellStart"/>
      <w:r>
        <w:t>reshoring</w:t>
      </w:r>
      <w:proofErr w:type="spellEnd"/>
      <w:r>
        <w:t xml:space="preserve">, alliance building, and sophisticated logistics planning (van </w:t>
      </w:r>
      <w:proofErr w:type="spellStart"/>
      <w:r>
        <w:t>Hoek</w:t>
      </w:r>
      <w:proofErr w:type="spellEnd"/>
      <w:r>
        <w:t xml:space="preserve"> and </w:t>
      </w:r>
      <w:proofErr w:type="spellStart"/>
      <w:r>
        <w:t>Dobrzykowski</w:t>
      </w:r>
      <w:proofErr w:type="spellEnd"/>
      <w:r>
        <w:t xml:space="preserve">, 2021; </w:t>
      </w:r>
      <w:proofErr w:type="spellStart"/>
      <w:r>
        <w:t>Moradlou</w:t>
      </w:r>
      <w:proofErr w:type="spellEnd"/>
      <w:r>
        <w:t xml:space="preserve"> </w:t>
      </w:r>
      <w:r>
        <w:rPr>
          <w:i/>
        </w:rPr>
        <w:t xml:space="preserve">et al. </w:t>
      </w:r>
      <w:r>
        <w:t>2025). Another policy area where the UK automotive industry has spurred digital supply-chain tools and engaged in</w:t>
      </w:r>
      <w:r>
        <w:t xml:space="preserve"> policy negotiations is to ensure continuity in trade. However, studies on firm-level presence amidst post-</w:t>
      </w:r>
      <w:proofErr w:type="spellStart"/>
      <w:r>
        <w:t>Brexit</w:t>
      </w:r>
      <w:proofErr w:type="spellEnd"/>
      <w:r>
        <w:t xml:space="preserve"> are limited, particularly regarding luxury manufacturers like JLR with complex global networks, according to </w:t>
      </w:r>
      <w:proofErr w:type="spellStart"/>
      <w:r>
        <w:t>Gorynia</w:t>
      </w:r>
      <w:proofErr w:type="spellEnd"/>
      <w:r>
        <w:t xml:space="preserve"> </w:t>
      </w:r>
      <w:r>
        <w:rPr>
          <w:i/>
        </w:rPr>
        <w:t xml:space="preserve">et al. </w:t>
      </w:r>
      <w:r>
        <w:t xml:space="preserve">(2021). Moreover, </w:t>
      </w:r>
      <w:r>
        <w:t xml:space="preserve">although researchers emphasise dynamic capabilities, the number of researchers with empirical examples of how companies </w:t>
      </w:r>
      <w:proofErr w:type="spellStart"/>
      <w:r>
        <w:t>operationalise</w:t>
      </w:r>
      <w:proofErr w:type="spellEnd"/>
      <w:r>
        <w:t xml:space="preserve"> such capabilities in the geopolitical disruption is minimal.  </w:t>
      </w:r>
    </w:p>
    <w:p w:rsidR="0065085A" w:rsidRDefault="00BC5905">
      <w:pPr>
        <w:rPr>
          <w:color w:val="EE0000"/>
        </w:rPr>
      </w:pPr>
      <w:r>
        <w:rPr>
          <w:color w:val="EE0000"/>
        </w:rPr>
        <w:t xml:space="preserve">Firm-level responses like diversification of suppliers, </w:t>
      </w:r>
      <w:proofErr w:type="spellStart"/>
      <w:r>
        <w:rPr>
          <w:color w:val="EE0000"/>
        </w:rPr>
        <w:t>reshoring</w:t>
      </w:r>
      <w:proofErr w:type="spellEnd"/>
      <w:r>
        <w:rPr>
          <w:color w:val="EE0000"/>
        </w:rPr>
        <w:t>, and increasing inventory buffers can be explained within the framework of Dynamic Capabilities as sensing risk, exploiting new supplier sources, and network reconfigurations. Similarly, loc</w:t>
      </w:r>
      <w:r>
        <w:rPr>
          <w:color w:val="EE0000"/>
        </w:rPr>
        <w:t>alisation initiatives and digital visibility technologies are also compatible with the Resource-Based View, enhancing distinctive operational assets (</w:t>
      </w:r>
      <w:proofErr w:type="spellStart"/>
      <w:r>
        <w:rPr>
          <w:color w:val="EE0000"/>
        </w:rPr>
        <w:t>Jurevicius</w:t>
      </w:r>
      <w:proofErr w:type="spellEnd"/>
      <w:r>
        <w:rPr>
          <w:color w:val="EE0000"/>
        </w:rPr>
        <w:t xml:space="preserve">, 2023). Thus, JLR’s </w:t>
      </w:r>
      <w:proofErr w:type="spellStart"/>
      <w:r>
        <w:rPr>
          <w:color w:val="EE0000"/>
        </w:rPr>
        <w:t>Brexit</w:t>
      </w:r>
      <w:proofErr w:type="spellEnd"/>
      <w:r>
        <w:rPr>
          <w:color w:val="EE0000"/>
        </w:rPr>
        <w:t xml:space="preserve">-driven </w:t>
      </w:r>
      <w:r>
        <w:rPr>
          <w:color w:val="EE0000"/>
        </w:rPr>
        <w:lastRenderedPageBreak/>
        <w:t>adaptations should not be seen merely as reactive tactics but</w:t>
      </w:r>
      <w:r>
        <w:rPr>
          <w:color w:val="EE0000"/>
        </w:rPr>
        <w:t xml:space="preserve"> as strategic capability-building processes supporting long-term resilience and competitive positioning.</w:t>
      </w:r>
    </w:p>
    <w:p w:rsidR="0065085A" w:rsidRDefault="00BC5905">
      <w:pPr>
        <w:rPr>
          <w:b/>
          <w:i/>
        </w:rPr>
      </w:pPr>
      <w:r>
        <w:rPr>
          <w:b/>
          <w:i/>
        </w:rPr>
        <w:t>Identified Research Gap</w:t>
      </w:r>
    </w:p>
    <w:p w:rsidR="0065085A" w:rsidRDefault="00BC5905">
      <w:r>
        <w:t xml:space="preserve">Despite the fact that the macroeconomic impacts of </w:t>
      </w:r>
      <w:proofErr w:type="spellStart"/>
      <w:r>
        <w:t>Brexit</w:t>
      </w:r>
      <w:proofErr w:type="spellEnd"/>
      <w:r>
        <w:t xml:space="preserve"> are well-reported, limited research explores the strategies of indivi</w:t>
      </w:r>
      <w:r>
        <w:t xml:space="preserve">dual automotive companies and their assessment of resilience strategies. </w:t>
      </w:r>
      <w:proofErr w:type="gramStart"/>
      <w:r>
        <w:t>Most of the literature focuses on macro-economic scenarios, sector-wide consequences, or policy debates (</w:t>
      </w:r>
      <w:proofErr w:type="spellStart"/>
      <w:r>
        <w:t>Lenormand</w:t>
      </w:r>
      <w:proofErr w:type="spellEnd"/>
      <w:r>
        <w:t xml:space="preserve"> </w:t>
      </w:r>
      <w:r>
        <w:rPr>
          <w:i/>
        </w:rPr>
        <w:t xml:space="preserve">et al. </w:t>
      </w:r>
      <w:r>
        <w:t xml:space="preserve">2023), offering insights into how individual firms </w:t>
      </w:r>
      <w:proofErr w:type="spellStart"/>
      <w:r>
        <w:t>operationa</w:t>
      </w:r>
      <w:r>
        <w:t>lise</w:t>
      </w:r>
      <w:proofErr w:type="spellEnd"/>
      <w:r>
        <w:t xml:space="preserve"> resilience frameworks in practice.</w:t>
      </w:r>
      <w:proofErr w:type="gramEnd"/>
      <w:r>
        <w:t xml:space="preserve"> Furthermore, existing studies tend to focus on short-term disruptions rather than long-term strategic transformation, organisational learning in post-</w:t>
      </w:r>
      <w:proofErr w:type="spellStart"/>
      <w:r>
        <w:t>Brexit</w:t>
      </w:r>
      <w:proofErr w:type="spellEnd"/>
      <w:r>
        <w:t xml:space="preserve"> environments, and digital supply chain integration. There i</w:t>
      </w:r>
      <w:r>
        <w:t xml:space="preserve">s also a lack of research connecting </w:t>
      </w:r>
      <w:proofErr w:type="spellStart"/>
      <w:r>
        <w:t>Brexit</w:t>
      </w:r>
      <w:proofErr w:type="spellEnd"/>
      <w:r>
        <w:t>-induced changes with theoretical models such as Dynamic Capabilities and Resource-Based View. The research is useful as it implements the viewpoints of resilience and dynamic capability to JLR post-</w:t>
      </w:r>
      <w:proofErr w:type="spellStart"/>
      <w:r>
        <w:t>Brexit</w:t>
      </w:r>
      <w:proofErr w:type="spellEnd"/>
      <w:r>
        <w:t xml:space="preserve"> strateg</w:t>
      </w:r>
      <w:r>
        <w:t xml:space="preserve">ies to provide valuable and theoretical understanding. </w:t>
      </w:r>
    </w:p>
    <w:p w:rsidR="0065085A" w:rsidRDefault="00BC5905">
      <w:pPr>
        <w:pStyle w:val="Heading1"/>
      </w:pPr>
      <w:bookmarkStart w:id="3" w:name="_4ytuk529nml7" w:colFirst="0" w:colLast="0"/>
      <w:bookmarkEnd w:id="3"/>
      <w:r>
        <w:t xml:space="preserve">3. Methodology </w:t>
      </w:r>
    </w:p>
    <w:p w:rsidR="0065085A" w:rsidRDefault="00BC5905">
      <w:pPr>
        <w:rPr>
          <w:b/>
          <w:i/>
        </w:rPr>
      </w:pPr>
      <w:r>
        <w:rPr>
          <w:b/>
          <w:i/>
        </w:rPr>
        <w:t>Research Approach</w:t>
      </w:r>
    </w:p>
    <w:p w:rsidR="0065085A" w:rsidRDefault="00BC5905">
      <w:r>
        <w:t xml:space="preserve">The study will be based on an </w:t>
      </w:r>
      <w:proofErr w:type="spellStart"/>
      <w:r>
        <w:t>interpretivist</w:t>
      </w:r>
      <w:proofErr w:type="spellEnd"/>
      <w:r>
        <w:t xml:space="preserve"> philosophy and inductive approach since it aims to explain the existing evidence and create understandings based on pract</w:t>
      </w:r>
      <w:r>
        <w:t xml:space="preserve">ical application in the real world instead of attempting to prove or disprove research objectives (Thorne, 2025). The responses of supply chains to </w:t>
      </w:r>
      <w:proofErr w:type="spellStart"/>
      <w:r>
        <w:t>Brexit</w:t>
      </w:r>
      <w:proofErr w:type="spellEnd"/>
      <w:r>
        <w:t xml:space="preserve"> are multi-layered and dynamic; therefore, </w:t>
      </w:r>
      <w:proofErr w:type="spellStart"/>
      <w:r>
        <w:t>interpretivism</w:t>
      </w:r>
      <w:proofErr w:type="spellEnd"/>
      <w:r>
        <w:t xml:space="preserve"> will be used to gain a subtle insight into t</w:t>
      </w:r>
      <w:r>
        <w:t>he decisions made within the management, the external forces, and resilience initiatives.</w:t>
      </w:r>
    </w:p>
    <w:p w:rsidR="0065085A" w:rsidRDefault="00BC5905">
      <w:pPr>
        <w:rPr>
          <w:b/>
          <w:i/>
        </w:rPr>
      </w:pPr>
      <w:r>
        <w:rPr>
          <w:b/>
          <w:i/>
        </w:rPr>
        <w:t>Research Method</w:t>
      </w:r>
    </w:p>
    <w:p w:rsidR="0065085A" w:rsidRDefault="00BC5905">
      <w:r>
        <w:t>This research embraces the qualitative research design in order to examine the strategies through which Jaguar Land Rover (JLR) has managed to respond</w:t>
      </w:r>
      <w:r>
        <w:t xml:space="preserve"> to </w:t>
      </w:r>
      <w:proofErr w:type="spellStart"/>
      <w:r>
        <w:t>Brexit</w:t>
      </w:r>
      <w:proofErr w:type="spellEnd"/>
      <w:r>
        <w:t xml:space="preserve"> with resilience in its supply chain (</w:t>
      </w:r>
      <w:proofErr w:type="spellStart"/>
      <w:r>
        <w:t>Muzari</w:t>
      </w:r>
      <w:proofErr w:type="spellEnd"/>
      <w:r>
        <w:t xml:space="preserve"> </w:t>
      </w:r>
      <w:r>
        <w:rPr>
          <w:i/>
        </w:rPr>
        <w:t xml:space="preserve">et al. </w:t>
      </w:r>
      <w:r>
        <w:t>2022). A qualitative methodology is suitable because the study will seek to establish an in-depth insight into the strategic response, explain organisational choices, and analyse multifaceted bu</w:t>
      </w:r>
      <w:r>
        <w:t>siness phenomena that will not be understood entirely based on numerical data (</w:t>
      </w:r>
      <w:proofErr w:type="spellStart"/>
      <w:r>
        <w:t>Muzari</w:t>
      </w:r>
      <w:proofErr w:type="spellEnd"/>
      <w:r>
        <w:t xml:space="preserve"> </w:t>
      </w:r>
      <w:r>
        <w:rPr>
          <w:i/>
        </w:rPr>
        <w:t xml:space="preserve">et al. </w:t>
      </w:r>
      <w:r>
        <w:t>2022). The consideration of contextual and industry-</w:t>
      </w:r>
      <w:r>
        <w:lastRenderedPageBreak/>
        <w:t>related variables affecting the supply-chain adjustment strategies can also be assessed by the qualitative inqu</w:t>
      </w:r>
      <w:r>
        <w:t>iry.</w:t>
      </w:r>
    </w:p>
    <w:p w:rsidR="0065085A" w:rsidRDefault="00BC5905">
      <w:pPr>
        <w:rPr>
          <w:b/>
          <w:i/>
        </w:rPr>
      </w:pPr>
      <w:r>
        <w:rPr>
          <w:b/>
          <w:i/>
        </w:rPr>
        <w:t>Data Collection Method: Secondary Data</w:t>
      </w:r>
    </w:p>
    <w:p w:rsidR="0065085A" w:rsidRDefault="00BC5905">
      <w:r>
        <w:t>The research involves the use of secondary qualitative data, which involves:</w:t>
      </w:r>
    </w:p>
    <w:p w:rsidR="0065085A" w:rsidRDefault="00BC5905">
      <w:pPr>
        <w:numPr>
          <w:ilvl w:val="0"/>
          <w:numId w:val="1"/>
        </w:numPr>
        <w:pBdr>
          <w:top w:val="nil"/>
          <w:left w:val="nil"/>
          <w:bottom w:val="nil"/>
          <w:right w:val="nil"/>
          <w:between w:val="nil"/>
        </w:pBdr>
        <w:spacing w:after="0"/>
        <w:rPr>
          <w:color w:val="000000"/>
        </w:rPr>
      </w:pPr>
      <w:r>
        <w:rPr>
          <w:color w:val="000000"/>
        </w:rPr>
        <w:t xml:space="preserve">Government publications (e.g., SMMT, UK Government </w:t>
      </w:r>
      <w:proofErr w:type="spellStart"/>
      <w:r>
        <w:rPr>
          <w:color w:val="000000"/>
        </w:rPr>
        <w:t>Brexit</w:t>
      </w:r>
      <w:proofErr w:type="spellEnd"/>
      <w:r>
        <w:rPr>
          <w:color w:val="000000"/>
        </w:rPr>
        <w:t xml:space="preserve"> reports) Industry publications (e.g., SMMT, UK Government publications, etc.)</w:t>
      </w:r>
    </w:p>
    <w:p w:rsidR="0065085A" w:rsidRDefault="00BC5905">
      <w:pPr>
        <w:numPr>
          <w:ilvl w:val="0"/>
          <w:numId w:val="1"/>
        </w:numPr>
        <w:pBdr>
          <w:top w:val="nil"/>
          <w:left w:val="nil"/>
          <w:bottom w:val="nil"/>
          <w:right w:val="nil"/>
          <w:between w:val="nil"/>
        </w:pBdr>
        <w:spacing w:after="0"/>
        <w:rPr>
          <w:color w:val="000000"/>
        </w:rPr>
      </w:pPr>
      <w:r>
        <w:rPr>
          <w:color w:val="000000"/>
        </w:rPr>
        <w:t>Books and academic journal articles.</w:t>
      </w:r>
    </w:p>
    <w:p w:rsidR="0065085A" w:rsidRDefault="00BC5905">
      <w:pPr>
        <w:numPr>
          <w:ilvl w:val="0"/>
          <w:numId w:val="1"/>
        </w:numPr>
        <w:pBdr>
          <w:top w:val="nil"/>
          <w:left w:val="nil"/>
          <w:bottom w:val="nil"/>
          <w:right w:val="nil"/>
          <w:between w:val="nil"/>
        </w:pBdr>
        <w:spacing w:after="0"/>
        <w:rPr>
          <w:color w:val="000000"/>
        </w:rPr>
      </w:pPr>
      <w:r>
        <w:rPr>
          <w:color w:val="000000"/>
        </w:rPr>
        <w:t>Sustainability statements, investor presentations, and JLR company reports.</w:t>
      </w:r>
    </w:p>
    <w:p w:rsidR="0065085A" w:rsidRDefault="00BC5905">
      <w:pPr>
        <w:numPr>
          <w:ilvl w:val="0"/>
          <w:numId w:val="1"/>
        </w:numPr>
        <w:pBdr>
          <w:top w:val="nil"/>
          <w:left w:val="nil"/>
          <w:bottom w:val="nil"/>
          <w:right w:val="nil"/>
          <w:between w:val="nil"/>
        </w:pBdr>
        <w:spacing w:after="0"/>
        <w:rPr>
          <w:color w:val="000000"/>
        </w:rPr>
      </w:pPr>
      <w:r>
        <w:rPr>
          <w:color w:val="000000"/>
        </w:rPr>
        <w:t>News sources and market surveys that have a good reputation (e.g., Financial Times, Bloomberg, PwC, McKinsey).</w:t>
      </w:r>
    </w:p>
    <w:p w:rsidR="0065085A" w:rsidRDefault="00BC5905">
      <w:pPr>
        <w:numPr>
          <w:ilvl w:val="0"/>
          <w:numId w:val="1"/>
        </w:numPr>
        <w:pBdr>
          <w:top w:val="nil"/>
          <w:left w:val="nil"/>
          <w:bottom w:val="nil"/>
          <w:right w:val="nil"/>
          <w:between w:val="nil"/>
        </w:pBdr>
        <w:rPr>
          <w:color w:val="000000"/>
        </w:rPr>
      </w:pPr>
      <w:r>
        <w:rPr>
          <w:color w:val="000000"/>
        </w:rPr>
        <w:t xml:space="preserve">Policy </w:t>
      </w:r>
      <w:proofErr w:type="spellStart"/>
      <w:r>
        <w:rPr>
          <w:color w:val="000000"/>
        </w:rPr>
        <w:t>Brexit</w:t>
      </w:r>
      <w:proofErr w:type="spellEnd"/>
      <w:r>
        <w:rPr>
          <w:color w:val="000000"/>
        </w:rPr>
        <w:t xml:space="preserve"> and trade documen</w:t>
      </w:r>
      <w:r>
        <w:rPr>
          <w:color w:val="000000"/>
        </w:rPr>
        <w:t>tation</w:t>
      </w:r>
    </w:p>
    <w:p w:rsidR="0065085A" w:rsidRDefault="00BC5905">
      <w:r>
        <w:t xml:space="preserve">Given the abundance of credible and publicly available data on the topics of </w:t>
      </w:r>
      <w:proofErr w:type="spellStart"/>
      <w:r>
        <w:t>Brexit</w:t>
      </w:r>
      <w:proofErr w:type="spellEnd"/>
      <w:r>
        <w:t xml:space="preserve"> and the automotive industry, the secondary data is fitting since it offers a plentiful sublimation (</w:t>
      </w:r>
      <w:proofErr w:type="spellStart"/>
      <w:r>
        <w:t>Mazhar</w:t>
      </w:r>
      <w:proofErr w:type="spellEnd"/>
      <w:r>
        <w:t xml:space="preserve"> </w:t>
      </w:r>
      <w:r>
        <w:rPr>
          <w:i/>
        </w:rPr>
        <w:t xml:space="preserve">et al. </w:t>
      </w:r>
      <w:r>
        <w:t>2021). It also enables access to historical and rea</w:t>
      </w:r>
      <w:r>
        <w:t>l-time evidence without direct organisational intervention, which is beneficial for examining strategic decisions over time.</w:t>
      </w:r>
    </w:p>
    <w:p w:rsidR="0065085A" w:rsidRDefault="00BC5905">
      <w:pPr>
        <w:rPr>
          <w:b/>
          <w:i/>
        </w:rPr>
      </w:pPr>
      <w:r>
        <w:rPr>
          <w:b/>
          <w:i/>
        </w:rPr>
        <w:t>Sampling Strategy</w:t>
      </w:r>
    </w:p>
    <w:p w:rsidR="0065085A" w:rsidRDefault="00BC5905">
      <w:r>
        <w:t>Through a purposive sampling strategy, relevant and high-quality secondary sources will be used (Ahmad and Wilkin</w:t>
      </w:r>
      <w:r>
        <w:t>s, 2025). The inclusion criteria will be credibility and relevancy of publication, reference to the post-</w:t>
      </w:r>
      <w:proofErr w:type="spellStart"/>
      <w:r>
        <w:t>Brexit</w:t>
      </w:r>
      <w:proofErr w:type="spellEnd"/>
      <w:r>
        <w:t xml:space="preserve"> supply chains, and direct reference to JLR or the UK automotive sector. Sources lacking reliability or academic value will be excluded. The sour</w:t>
      </w:r>
      <w:r>
        <w:t>ces that are not reliable or scholarly will be filtered out.</w:t>
      </w:r>
    </w:p>
    <w:p w:rsidR="0065085A" w:rsidRDefault="00BC5905">
      <w:pPr>
        <w:rPr>
          <w:b/>
          <w:i/>
        </w:rPr>
      </w:pPr>
      <w:r>
        <w:rPr>
          <w:b/>
          <w:i/>
        </w:rPr>
        <w:t>Data Analysis</w:t>
      </w:r>
    </w:p>
    <w:p w:rsidR="0065085A" w:rsidRDefault="00BC5905">
      <w:r>
        <w:t xml:space="preserve">The analysis of data will be done based on the thematic analysis with a 6-step framework presented by Braun and Clarke (2006) (Butter </w:t>
      </w:r>
      <w:r>
        <w:rPr>
          <w:i/>
        </w:rPr>
        <w:t xml:space="preserve">et al. </w:t>
      </w:r>
      <w:r>
        <w:t>2024). The main issues, including the di</w:t>
      </w:r>
      <w:r>
        <w:t>sruption of supply chains, resiliency approach, continuity of operations, localisation, and risk-reduction, will be defined and decoded. Themes are going to be matched with the available frameworks of resilience, such as Resource-Based View and Dynamic Cap</w:t>
      </w:r>
      <w:r>
        <w:t xml:space="preserve">abilities Theory, to determine how JLR used both resources and capabilities to deal with </w:t>
      </w:r>
      <w:proofErr w:type="spellStart"/>
      <w:r>
        <w:t>Brexit</w:t>
      </w:r>
      <w:proofErr w:type="spellEnd"/>
      <w:r>
        <w:t xml:space="preserve"> disruptions.</w:t>
      </w:r>
    </w:p>
    <w:p w:rsidR="0065085A" w:rsidRDefault="00BC5905">
      <w:pPr>
        <w:rPr>
          <w:b/>
          <w:i/>
        </w:rPr>
      </w:pPr>
      <w:r>
        <w:rPr>
          <w:b/>
          <w:i/>
        </w:rPr>
        <w:t>Ethical Considerations</w:t>
      </w:r>
    </w:p>
    <w:p w:rsidR="0065085A" w:rsidRDefault="00BC5905">
      <w:r>
        <w:lastRenderedPageBreak/>
        <w:t>Since the research involves the use of secondary data that is publicly accessible, no direct human involvement will be requi</w:t>
      </w:r>
      <w:r>
        <w:t xml:space="preserve">red, reducing the chances of any ethical risk. Nonetheless, academic integrity, transparency, and acknowledgement will be closely observed as a set of ethical principles (Manta </w:t>
      </w:r>
      <w:r>
        <w:rPr>
          <w:i/>
        </w:rPr>
        <w:t xml:space="preserve">et al. </w:t>
      </w:r>
      <w:r>
        <w:t>2025). Only reliable and licensed materials will be utilised, and they w</w:t>
      </w:r>
      <w:r>
        <w:t>ill also guarantee accuracy and respect for intellectual property. The confidentiality and privacy of the data are also provided as a matter of course, yet the rights of authors and institutions will be respected.</w:t>
      </w:r>
    </w:p>
    <w:p w:rsidR="0065085A" w:rsidRDefault="00BC5905">
      <w:pPr>
        <w:pStyle w:val="Heading1"/>
      </w:pPr>
      <w:bookmarkStart w:id="4" w:name="_vctvdwmkg04u" w:colFirst="0" w:colLast="0"/>
      <w:bookmarkEnd w:id="4"/>
      <w:r>
        <w:t xml:space="preserve">4. Expected findings </w:t>
      </w:r>
    </w:p>
    <w:p w:rsidR="0065085A" w:rsidRDefault="00BC5905">
      <w:r>
        <w:t>This study aims to e</w:t>
      </w:r>
      <w:r>
        <w:t xml:space="preserve">xplore the way JLR has strategically adapted its supply chain resilience after the </w:t>
      </w:r>
      <w:proofErr w:type="spellStart"/>
      <w:r>
        <w:t>Brexit</w:t>
      </w:r>
      <w:proofErr w:type="spellEnd"/>
      <w:r>
        <w:t xml:space="preserve"> situation. According to the current literature and the new report in the industry, it should be expected that the results will indicate both long-term structural appr</w:t>
      </w:r>
      <w:r>
        <w:t xml:space="preserve">oaches and short-term operational reactions on behalf of JLR. The expected actions </w:t>
      </w:r>
      <w:proofErr w:type="gramStart"/>
      <w:r>
        <w:t>that are</w:t>
      </w:r>
      <w:proofErr w:type="gramEnd"/>
      <w:r>
        <w:t xml:space="preserve"> likely to be implemented, including the increase of inventory cushioning, the digitalisation of supply chain monitoring, supplier diversification, and the regional </w:t>
      </w:r>
      <w:r>
        <w:t>and local sourcing initiatives. It is anticipated that the strategic adaptations of the company enhanced operational continuity and risk management capability even in the wake of with good trade-offs and high-cost implications. Its results can also provide</w:t>
      </w:r>
      <w:r>
        <w:t xml:space="preserve"> insights about the industry and recommendations to enhance resiliency in the supply chain in case of a geopolitical uncertainty, particularly to global automotive companies. </w:t>
      </w:r>
    </w:p>
    <w:p w:rsidR="0065085A" w:rsidRDefault="00BC5905">
      <w:pPr>
        <w:pStyle w:val="Heading1"/>
      </w:pPr>
      <w:bookmarkStart w:id="5" w:name="_cdjtzfwdyh3k" w:colFirst="0" w:colLast="0"/>
      <w:bookmarkEnd w:id="5"/>
      <w:r>
        <w:t xml:space="preserve">5. Limitations </w:t>
      </w:r>
    </w:p>
    <w:p w:rsidR="0065085A" w:rsidRDefault="00BC5905">
      <w:r>
        <w:t xml:space="preserve">The research recognises a number of limitations that could affect the results and the scale of the study. The reliance on secondary qualitative data restricts the richness of insights relative to primary interview (Cheong </w:t>
      </w:r>
      <w:r>
        <w:rPr>
          <w:i/>
        </w:rPr>
        <w:t>et al.</w:t>
      </w:r>
      <w:r>
        <w:t xml:space="preserve"> 2023), since information in</w:t>
      </w:r>
      <w:r>
        <w:t xml:space="preserve"> the public domain might not reflect much of what goes on inside JLR to make decisions. Moreover, certain data sources can be media or institutional biased but they need to be cross validated and interpretations made. Moreover, time might limit access to t</w:t>
      </w:r>
      <w:r>
        <w:t xml:space="preserve">he new post </w:t>
      </w:r>
      <w:proofErr w:type="spellStart"/>
      <w:r>
        <w:t>Brexit</w:t>
      </w:r>
      <w:proofErr w:type="spellEnd"/>
      <w:r>
        <w:t xml:space="preserve"> strategies and the majority of the current developments, which are only </w:t>
      </w:r>
      <w:proofErr w:type="spellStart"/>
      <w:r>
        <w:t>ongoing</w:t>
      </w:r>
      <w:proofErr w:type="spellEnd"/>
      <w:r>
        <w:t xml:space="preserve"> (Green </w:t>
      </w:r>
      <w:r>
        <w:rPr>
          <w:i/>
        </w:rPr>
        <w:t>et al.</w:t>
      </w:r>
      <w:r>
        <w:t xml:space="preserve"> 2022). The fact that the results are only generalised to the larger automotive sector might restrict the applicability of the results to the wh</w:t>
      </w:r>
      <w:r>
        <w:t xml:space="preserve">ole industry. Irrespective of such limitations, this research alleviates the drawbacks by relying on valid and heterogeneous sources, taking a strict thematic method of analysis, and framing the findings within theoretical foundations. </w:t>
      </w:r>
    </w:p>
    <w:p w:rsidR="0065085A" w:rsidRDefault="00BC5905">
      <w:pPr>
        <w:pStyle w:val="Heading1"/>
      </w:pPr>
      <w:bookmarkStart w:id="6" w:name="_p5o1woiwnrn8" w:colFirst="0" w:colLast="0"/>
      <w:bookmarkEnd w:id="6"/>
      <w:r>
        <w:lastRenderedPageBreak/>
        <w:t xml:space="preserve">6. Timeframe </w:t>
      </w:r>
    </w:p>
    <w:p w:rsidR="0065085A" w:rsidRDefault="00BC5905">
      <w:pPr>
        <w:jc w:val="center"/>
      </w:pPr>
      <w:r>
        <w:rPr>
          <w:noProof/>
        </w:rPr>
        <w:drawing>
          <wp:inline distT="0" distB="0" distL="0" distR="0">
            <wp:extent cx="5981700" cy="2661920"/>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5085A" w:rsidRDefault="00BC5905">
      <w:pPr>
        <w:jc w:val="center"/>
        <w:rPr>
          <w:b/>
        </w:rPr>
      </w:pPr>
      <w:r>
        <w:rPr>
          <w:b/>
        </w:rPr>
        <w:t xml:space="preserve">Figure: Gantt </w:t>
      </w:r>
      <w:proofErr w:type="gramStart"/>
      <w:r>
        <w:rPr>
          <w:b/>
        </w:rPr>
        <w:t>Chart</w:t>
      </w:r>
      <w:proofErr w:type="gramEnd"/>
    </w:p>
    <w:p w:rsidR="0065085A" w:rsidRDefault="00BC5905">
      <w:pPr>
        <w:jc w:val="center"/>
      </w:pPr>
      <w:r>
        <w:t>(Source: Self-made)</w:t>
      </w:r>
    </w:p>
    <w:p w:rsidR="0065085A" w:rsidRDefault="00BC5905">
      <w:pPr>
        <w:pStyle w:val="Heading1"/>
      </w:pPr>
      <w:bookmarkStart w:id="7" w:name="_z3qrq63120uy" w:colFirst="0" w:colLast="0"/>
      <w:bookmarkEnd w:id="7"/>
      <w:r>
        <w:t>7. Conclusion</w:t>
      </w:r>
    </w:p>
    <w:p w:rsidR="0065085A" w:rsidRDefault="00BC5905">
      <w:r>
        <w:t xml:space="preserve">It can be concluded that this dissertation is a detailed and coherent research proposal that will explore how Jaguar Land Rover has strategically adapted to the </w:t>
      </w:r>
      <w:proofErr w:type="spellStart"/>
      <w:r>
        <w:t>Brexit</w:t>
      </w:r>
      <w:proofErr w:type="spellEnd"/>
      <w:r>
        <w:t>-related supply chain challenges. B</w:t>
      </w:r>
      <w:r>
        <w:t>y utilising secondary data and a qualitative method, the study would target to come up with a meaningful conclusion of the states of continuity and resilience building in a disturbed geographical environment. The purpose and objectives of the study are ver</w:t>
      </w:r>
      <w:r>
        <w:t>y consistent to the existing scholarly debate about the resilience theory, supply chain management, and dynamic capabilities. The results will have practical and theoretical value to the automobile companies that will be challenged by the market volatility</w:t>
      </w:r>
      <w:r>
        <w:t xml:space="preserve"> and uncertainty. Finally, the research can gain both the reputation of JLR and the automobile business in Britain and the overall sphere of strategic management. </w:t>
      </w:r>
    </w:p>
    <w:p w:rsidR="0065085A" w:rsidRDefault="00BC5905">
      <w:pPr>
        <w:pStyle w:val="Heading1"/>
      </w:pPr>
      <w:bookmarkStart w:id="8" w:name="_4ajneaf53dt8" w:colFirst="0" w:colLast="0"/>
      <w:bookmarkEnd w:id="8"/>
      <w:r>
        <w:t>8. References</w:t>
      </w:r>
    </w:p>
    <w:p w:rsidR="0065085A" w:rsidRDefault="00BC5905">
      <w:proofErr w:type="gramStart"/>
      <w:r>
        <w:t>Ahmad, M. and Wilkins, S., (2025).</w:t>
      </w:r>
      <w:proofErr w:type="gramEnd"/>
      <w:r>
        <w:t xml:space="preserve"> Purposive sampling in qualitative research:</w:t>
      </w:r>
      <w:r>
        <w:t xml:space="preserve"> A framework for the entire journey. </w:t>
      </w:r>
      <w:proofErr w:type="gramStart"/>
      <w:r>
        <w:t>Quality &amp; Quantity, 59(2), pp.1461-1479.</w:t>
      </w:r>
      <w:proofErr w:type="gramEnd"/>
      <w:r>
        <w:t xml:space="preserve"> Available at: </w:t>
      </w:r>
      <w:hyperlink r:id="rId11">
        <w:r>
          <w:rPr>
            <w:color w:val="0563C1"/>
            <w:u w:val="single"/>
          </w:rPr>
          <w:t>https://link.springer.com/article/10.1007/s11135-024-02022-5</w:t>
        </w:r>
      </w:hyperlink>
      <w:r>
        <w:t xml:space="preserve"> </w:t>
      </w:r>
    </w:p>
    <w:p w:rsidR="0065085A" w:rsidRDefault="00BC5905">
      <w:proofErr w:type="gramStart"/>
      <w:r>
        <w:lastRenderedPageBreak/>
        <w:t xml:space="preserve">Bailey, D., De </w:t>
      </w:r>
      <w:proofErr w:type="spellStart"/>
      <w:r>
        <w:t>Ruyter</w:t>
      </w:r>
      <w:proofErr w:type="spellEnd"/>
      <w:r>
        <w:t>,</w:t>
      </w:r>
      <w:r>
        <w:t xml:space="preserve"> A., Hearne, D. and Ortega-</w:t>
      </w:r>
      <w:proofErr w:type="spellStart"/>
      <w:r>
        <w:t>Argilés</w:t>
      </w:r>
      <w:proofErr w:type="spellEnd"/>
      <w:r>
        <w:t>, R., (2023).</w:t>
      </w:r>
      <w:proofErr w:type="gramEnd"/>
      <w:r>
        <w:t xml:space="preserve"> Shocks, resilience and regional industry policy: </w:t>
      </w:r>
      <w:proofErr w:type="spellStart"/>
      <w:r>
        <w:t>Brexit</w:t>
      </w:r>
      <w:proofErr w:type="spellEnd"/>
      <w:r>
        <w:t xml:space="preserve"> and the automotive sector in two Midlands regions. </w:t>
      </w:r>
      <w:proofErr w:type="gramStart"/>
      <w:r>
        <w:t>Regional Studies, 57(6), pp.1141-1155.</w:t>
      </w:r>
      <w:proofErr w:type="gramEnd"/>
      <w:r>
        <w:t xml:space="preserve"> DOI: </w:t>
      </w:r>
      <w:hyperlink r:id="rId12">
        <w:r>
          <w:rPr>
            <w:color w:val="0563C1"/>
            <w:u w:val="single"/>
          </w:rPr>
          <w:t>https://doi.org/10.1080/00343404.2022.2071421</w:t>
        </w:r>
      </w:hyperlink>
      <w:r>
        <w:t xml:space="preserve"> </w:t>
      </w:r>
    </w:p>
    <w:p w:rsidR="0065085A" w:rsidRDefault="00BC5905">
      <w:proofErr w:type="spellStart"/>
      <w:proofErr w:type="gramStart"/>
      <w:r>
        <w:t>Bindi</w:t>
      </w:r>
      <w:proofErr w:type="spellEnd"/>
      <w:r>
        <w:t>, F., (2022).</w:t>
      </w:r>
      <w:proofErr w:type="gramEnd"/>
      <w:r>
        <w:t xml:space="preserve"> European Union foreign policy: A historical overview. In The Foreign Policy of the EU: Assessing Europe’s Role in the World. Brookings Press. Available at: </w:t>
      </w:r>
      <w:hyperlink r:id="rId13">
        <w:r>
          <w:rPr>
            <w:color w:val="0563C1"/>
            <w:u w:val="single"/>
          </w:rPr>
          <w:t>https://art.torvergata.it/bitstream/2108/360664/1/EUFP%20Intro%20and%20History.pdf</w:t>
        </w:r>
      </w:hyperlink>
      <w:r>
        <w:t xml:space="preserve"> </w:t>
      </w:r>
    </w:p>
    <w:p w:rsidR="0065085A" w:rsidRDefault="00BC5905">
      <w:proofErr w:type="gramStart"/>
      <w:r>
        <w:t xml:space="preserve">Butter, C.E., Goldie, C.L., Hall, J.H., </w:t>
      </w:r>
      <w:proofErr w:type="spellStart"/>
      <w:r>
        <w:t>Leadbitter</w:t>
      </w:r>
      <w:proofErr w:type="spellEnd"/>
      <w:r>
        <w:t xml:space="preserve">, K., </w:t>
      </w:r>
      <w:proofErr w:type="spellStart"/>
      <w:r>
        <w:t>Burkitt</w:t>
      </w:r>
      <w:proofErr w:type="spellEnd"/>
      <w:r>
        <w:t xml:space="preserve">, E.M., van den </w:t>
      </w:r>
      <w:proofErr w:type="spellStart"/>
      <w:r>
        <w:t>Bree</w:t>
      </w:r>
      <w:proofErr w:type="spellEnd"/>
      <w:r>
        <w:t>, M.B. and Gr</w:t>
      </w:r>
      <w:r>
        <w:t>een, J.M., (2024).</w:t>
      </w:r>
      <w:proofErr w:type="gramEnd"/>
      <w:r>
        <w:t xml:space="preserve"> </w:t>
      </w:r>
      <w:proofErr w:type="gramStart"/>
      <w:r>
        <w:t>Experiences and concerns of parents of children with a 16p11.</w:t>
      </w:r>
      <w:proofErr w:type="gramEnd"/>
      <w:r>
        <w:t xml:space="preserve"> 2 deletion or duplication </w:t>
      </w:r>
      <w:proofErr w:type="gramStart"/>
      <w:r>
        <w:t>diagnosis</w:t>
      </w:r>
      <w:proofErr w:type="gramEnd"/>
      <w:r>
        <w:t xml:space="preserve">: a reflexive thematic analysis. </w:t>
      </w:r>
      <w:proofErr w:type="gramStart"/>
      <w:r>
        <w:t>BMC psychology, 12(1), p.137.</w:t>
      </w:r>
      <w:proofErr w:type="gramEnd"/>
      <w:r>
        <w:t xml:space="preserve"> Available at: </w:t>
      </w:r>
      <w:hyperlink r:id="rId14">
        <w:r>
          <w:rPr>
            <w:color w:val="0563C1"/>
            <w:u w:val="single"/>
          </w:rPr>
          <w:t>https://link.springer.com/article/10.1186/s40359-024-01609-9</w:t>
        </w:r>
      </w:hyperlink>
      <w:r>
        <w:t xml:space="preserve"> </w:t>
      </w:r>
    </w:p>
    <w:p w:rsidR="0065085A" w:rsidRDefault="00BC5905">
      <w:proofErr w:type="spellStart"/>
      <w:r>
        <w:t>Cantelmi</w:t>
      </w:r>
      <w:proofErr w:type="spellEnd"/>
      <w:r>
        <w:t xml:space="preserve">, R., Di </w:t>
      </w:r>
      <w:proofErr w:type="spellStart"/>
      <w:r>
        <w:t>Gravio</w:t>
      </w:r>
      <w:proofErr w:type="spellEnd"/>
      <w:r>
        <w:t xml:space="preserve">, G. and </w:t>
      </w:r>
      <w:proofErr w:type="spellStart"/>
      <w:r>
        <w:t>Patriarca</w:t>
      </w:r>
      <w:proofErr w:type="spellEnd"/>
      <w:r>
        <w:t xml:space="preserve">, R., (2021). Reviewing qualitative research approaches in the context of critical infrastructure resilience. </w:t>
      </w:r>
      <w:proofErr w:type="gramStart"/>
      <w:r>
        <w:t>Environment Systems and De</w:t>
      </w:r>
      <w:r>
        <w:t>cisions, 41(3), pp.341-376.</w:t>
      </w:r>
      <w:proofErr w:type="gramEnd"/>
      <w:r>
        <w:t xml:space="preserve"> Available at: </w:t>
      </w:r>
      <w:hyperlink r:id="rId15">
        <w:r>
          <w:rPr>
            <w:color w:val="0563C1"/>
            <w:u w:val="single"/>
          </w:rPr>
          <w:t>https://link.springer.com/article/10.1007/s10669-020-09795-8</w:t>
        </w:r>
      </w:hyperlink>
      <w:r>
        <w:t xml:space="preserve"> </w:t>
      </w:r>
    </w:p>
    <w:p w:rsidR="0065085A" w:rsidRDefault="00BC5905">
      <w:proofErr w:type="spellStart"/>
      <w:proofErr w:type="gramStart"/>
      <w:r>
        <w:t>Chadha</w:t>
      </w:r>
      <w:proofErr w:type="spellEnd"/>
      <w:r>
        <w:t xml:space="preserve">, G., </w:t>
      </w:r>
      <w:proofErr w:type="spellStart"/>
      <w:r>
        <w:t>Singhania</w:t>
      </w:r>
      <w:proofErr w:type="spellEnd"/>
      <w:r>
        <w:t>, M. and Gupta, S., (2025).</w:t>
      </w:r>
      <w:proofErr w:type="gramEnd"/>
      <w:r>
        <w:t xml:space="preserve"> Greening the Narrative:</w:t>
      </w:r>
      <w:r>
        <w:t xml:space="preserve"> How Organizational Culture Impacts Environmental Disclosures. </w:t>
      </w:r>
      <w:proofErr w:type="gramStart"/>
      <w:r>
        <w:t>Business Strategy and the Environment.</w:t>
      </w:r>
      <w:proofErr w:type="gramEnd"/>
      <w:r>
        <w:t xml:space="preserve"> DOI: </w:t>
      </w:r>
      <w:hyperlink r:id="rId16">
        <w:r>
          <w:rPr>
            <w:color w:val="0563C1"/>
            <w:u w:val="single"/>
          </w:rPr>
          <w:t>https://doi.org/10.1002/bse.70155</w:t>
        </w:r>
      </w:hyperlink>
      <w:r>
        <w:t xml:space="preserve"> </w:t>
      </w:r>
    </w:p>
    <w:p w:rsidR="0065085A" w:rsidRDefault="00BC5905">
      <w:r>
        <w:t xml:space="preserve">Cheong, H.I., Lyons, A., Houghton, R. and </w:t>
      </w:r>
      <w:proofErr w:type="spellStart"/>
      <w:r>
        <w:t>Majumdar</w:t>
      </w:r>
      <w:proofErr w:type="spellEnd"/>
      <w:r>
        <w:t>, A., (2023</w:t>
      </w:r>
      <w:r>
        <w:t xml:space="preserve">). </w:t>
      </w:r>
      <w:proofErr w:type="gramStart"/>
      <w:r>
        <w:t>Secondary qualitative research methodology using online data within the context of social sciences.</w:t>
      </w:r>
      <w:proofErr w:type="gramEnd"/>
      <w:r>
        <w:t xml:space="preserve"> International Journal of Qualitative Methods, 22, p.16094069231180160. DOI: </w:t>
      </w:r>
      <w:hyperlink r:id="rId17">
        <w:r>
          <w:rPr>
            <w:color w:val="0563C1"/>
            <w:u w:val="single"/>
          </w:rPr>
          <w:t>https://doi.org/</w:t>
        </w:r>
        <w:r>
          <w:rPr>
            <w:color w:val="0563C1"/>
            <w:u w:val="single"/>
          </w:rPr>
          <w:t>10.1177/16094069231180160</w:t>
        </w:r>
      </w:hyperlink>
      <w:r>
        <w:t xml:space="preserve"> </w:t>
      </w:r>
    </w:p>
    <w:p w:rsidR="0065085A" w:rsidRDefault="00BC5905">
      <w:proofErr w:type="spellStart"/>
      <w:proofErr w:type="gramStart"/>
      <w:r>
        <w:t>Choudhary</w:t>
      </w:r>
      <w:proofErr w:type="spellEnd"/>
      <w:r>
        <w:t xml:space="preserve">, N.A., </w:t>
      </w:r>
      <w:proofErr w:type="spellStart"/>
      <w:r>
        <w:t>Ramkumar</w:t>
      </w:r>
      <w:proofErr w:type="spellEnd"/>
      <w:r>
        <w:t xml:space="preserve">, M., </w:t>
      </w:r>
      <w:proofErr w:type="spellStart"/>
      <w:r>
        <w:t>Schoenherr</w:t>
      </w:r>
      <w:proofErr w:type="spellEnd"/>
      <w:r>
        <w:t xml:space="preserve">, T., </w:t>
      </w:r>
      <w:proofErr w:type="spellStart"/>
      <w:r>
        <w:t>Rana</w:t>
      </w:r>
      <w:proofErr w:type="spellEnd"/>
      <w:r>
        <w:t xml:space="preserve">, N.P. and </w:t>
      </w:r>
      <w:proofErr w:type="spellStart"/>
      <w:r>
        <w:t>Dwivedi</w:t>
      </w:r>
      <w:proofErr w:type="spellEnd"/>
      <w:r>
        <w:t>, Y.K., (2023).</w:t>
      </w:r>
      <w:proofErr w:type="gramEnd"/>
      <w:r>
        <w:t xml:space="preserve"> Does </w:t>
      </w:r>
      <w:proofErr w:type="spellStart"/>
      <w:r>
        <w:t>reshoring</w:t>
      </w:r>
      <w:proofErr w:type="spellEnd"/>
      <w:r>
        <w:t xml:space="preserve"> affect the resilience and sustainability of supply chain networks? </w:t>
      </w:r>
      <w:proofErr w:type="gramStart"/>
      <w:r>
        <w:t>The cases of Apple and Jaguar Land Rover.</w:t>
      </w:r>
      <w:proofErr w:type="gramEnd"/>
      <w:r>
        <w:t xml:space="preserve"> </w:t>
      </w:r>
      <w:proofErr w:type="gramStart"/>
      <w:r>
        <w:t>British Journal of M</w:t>
      </w:r>
      <w:r>
        <w:t>anagement, 34(3), pp.1138-1156.</w:t>
      </w:r>
      <w:proofErr w:type="gramEnd"/>
      <w:r>
        <w:t xml:space="preserve"> DOI: </w:t>
      </w:r>
      <w:hyperlink r:id="rId18">
        <w:r>
          <w:rPr>
            <w:color w:val="0563C1"/>
            <w:u w:val="single"/>
          </w:rPr>
          <w:t>https://doi.org/10.1111/1467-8551.12614</w:t>
        </w:r>
      </w:hyperlink>
      <w:r>
        <w:t xml:space="preserve"> </w:t>
      </w:r>
    </w:p>
    <w:p w:rsidR="0065085A" w:rsidRDefault="00BC5905">
      <w:proofErr w:type="spellStart"/>
      <w:r>
        <w:t>Gaudenzi</w:t>
      </w:r>
      <w:proofErr w:type="spellEnd"/>
      <w:r>
        <w:t xml:space="preserve">, B., Pellegrino, R. and </w:t>
      </w:r>
      <w:proofErr w:type="spellStart"/>
      <w:r>
        <w:t>Confente</w:t>
      </w:r>
      <w:proofErr w:type="spellEnd"/>
      <w:r>
        <w:t>, I., (2023). Achieving supply chain resilience in an era of disruptions: a co</w:t>
      </w:r>
      <w:r>
        <w:t xml:space="preserve">nfiguration approach of capacities and strategies. Supply Chain Management: An International Journal, 28(7), pp.97-111. DOI: </w:t>
      </w:r>
      <w:hyperlink r:id="rId19">
        <w:r>
          <w:rPr>
            <w:color w:val="0563C1"/>
            <w:u w:val="single"/>
          </w:rPr>
          <w:t>https://doi.org/10.1108/SCM-09-2022-0383</w:t>
        </w:r>
      </w:hyperlink>
      <w:r>
        <w:t xml:space="preserve"> </w:t>
      </w:r>
    </w:p>
    <w:p w:rsidR="0065085A" w:rsidRDefault="00BC5905">
      <w:proofErr w:type="spellStart"/>
      <w:proofErr w:type="gramStart"/>
      <w:r>
        <w:lastRenderedPageBreak/>
        <w:t>Gorynia</w:t>
      </w:r>
      <w:proofErr w:type="spellEnd"/>
      <w:r>
        <w:t xml:space="preserve">, M., </w:t>
      </w:r>
      <w:proofErr w:type="spellStart"/>
      <w:r>
        <w:t>Jankowska</w:t>
      </w:r>
      <w:proofErr w:type="spellEnd"/>
      <w:r>
        <w:t>, B. an</w:t>
      </w:r>
      <w:r>
        <w:t xml:space="preserve">d </w:t>
      </w:r>
      <w:proofErr w:type="spellStart"/>
      <w:r>
        <w:t>Mroczek-Dąbrowska</w:t>
      </w:r>
      <w:proofErr w:type="spellEnd"/>
      <w:r>
        <w:t>, K. eds., (2021).</w:t>
      </w:r>
      <w:proofErr w:type="gramEnd"/>
      <w:r>
        <w:t xml:space="preserve"> </w:t>
      </w:r>
      <w:proofErr w:type="spellStart"/>
      <w:r>
        <w:t>Brexit</w:t>
      </w:r>
      <w:proofErr w:type="spellEnd"/>
      <w:r>
        <w:t xml:space="preserve"> and the future of the European Union: firm-level perspectives. </w:t>
      </w:r>
      <w:proofErr w:type="spellStart"/>
      <w:proofErr w:type="gramStart"/>
      <w:r>
        <w:t>Routledge</w:t>
      </w:r>
      <w:proofErr w:type="spellEnd"/>
      <w:r>
        <w:t>.</w:t>
      </w:r>
      <w:proofErr w:type="gramEnd"/>
      <w:r>
        <w:t xml:space="preserve"> Available at: </w:t>
      </w:r>
      <w:hyperlink r:id="rId20" w:anchor="v=onepage&amp;q&amp;f=false">
        <w:r>
          <w:rPr>
            <w:color w:val="0563C1"/>
            <w:u w:val="single"/>
          </w:rPr>
          <w:t>https://books.google.co.in/books?hl=en&amp;lr=&amp;id=4GMtEA</w:t>
        </w:r>
        <w:r>
          <w:rPr>
            <w:color w:val="0563C1"/>
            <w:u w:val="single"/>
          </w:rPr>
          <w:t>AAQBAJ&amp;oi=fnd&amp;pg=PA1969&amp;dq=studies+on+firm-level+presence+amidst+post-Brexit+are+limited,+particularly+regarding+luxury+manufacturers+like+JLR+with+complex+global+networks&amp;ots=DIoMABqafG&amp;sig=DSvqRpRtO14-ttfx9afeQiELsA0&amp;redir_esc=y#v=onepage&amp;q&amp;f=false</w:t>
        </w:r>
      </w:hyperlink>
      <w:r>
        <w:t xml:space="preserve"> </w:t>
      </w:r>
    </w:p>
    <w:p w:rsidR="0065085A" w:rsidRDefault="00BC5905">
      <w:r>
        <w:t>Gree</w:t>
      </w:r>
      <w:r>
        <w:t xml:space="preserve">n, C.L., Lamming, D.W. and Fontana, L., (2022). </w:t>
      </w:r>
      <w:proofErr w:type="gramStart"/>
      <w:r>
        <w:t>Molecular mechanisms of dietary restriction promoting health and longevity.</w:t>
      </w:r>
      <w:proofErr w:type="gramEnd"/>
      <w:r>
        <w:t xml:space="preserve"> </w:t>
      </w:r>
      <w:proofErr w:type="gramStart"/>
      <w:r>
        <w:t>Nature Reviews Molecular Cell Biology, 23(1), pp.56-73.</w:t>
      </w:r>
      <w:proofErr w:type="gramEnd"/>
      <w:r>
        <w:t xml:space="preserve"> Available at: </w:t>
      </w:r>
      <w:hyperlink r:id="rId21">
        <w:r>
          <w:rPr>
            <w:color w:val="0563C1"/>
            <w:u w:val="single"/>
          </w:rPr>
          <w:t>https://www.nature.com/articles/s41580-021-00411-4</w:t>
        </w:r>
      </w:hyperlink>
      <w:r>
        <w:t xml:space="preserve"> </w:t>
      </w:r>
    </w:p>
    <w:p w:rsidR="0065085A" w:rsidRDefault="00BC5905">
      <w:proofErr w:type="spellStart"/>
      <w:proofErr w:type="gramStart"/>
      <w:r>
        <w:t>Imtiaz</w:t>
      </w:r>
      <w:proofErr w:type="spellEnd"/>
      <w:r>
        <w:t xml:space="preserve">, A. and </w:t>
      </w:r>
      <w:proofErr w:type="spellStart"/>
      <w:r>
        <w:t>Muzaffar</w:t>
      </w:r>
      <w:proofErr w:type="spellEnd"/>
      <w:r>
        <w:t>, M., (2025).</w:t>
      </w:r>
      <w:proofErr w:type="gramEnd"/>
      <w:r>
        <w:t xml:space="preserve"> Trade Barriers and Broken Supply Chains: Economic Fallout of </w:t>
      </w:r>
      <w:proofErr w:type="spellStart"/>
      <w:r>
        <w:t>Brexit</w:t>
      </w:r>
      <w:proofErr w:type="spellEnd"/>
      <w:r>
        <w:t xml:space="preserve">. </w:t>
      </w:r>
      <w:proofErr w:type="gramStart"/>
      <w:r>
        <w:t>Journal of Development and Soc</w:t>
      </w:r>
      <w:r>
        <w:t>ial Sciences, 6(2), pp.80-90.</w:t>
      </w:r>
      <w:proofErr w:type="gramEnd"/>
      <w:r>
        <w:t xml:space="preserve"> Available at: </w:t>
      </w:r>
      <w:hyperlink r:id="rId22">
        <w:r>
          <w:rPr>
            <w:color w:val="0563C1"/>
            <w:u w:val="single"/>
          </w:rPr>
          <w:t>https://www.ojs.jdss.org.pk/journal/article/view/1371</w:t>
        </w:r>
      </w:hyperlink>
      <w:r>
        <w:t xml:space="preserve"> </w:t>
      </w:r>
    </w:p>
    <w:p w:rsidR="0065085A" w:rsidRDefault="00BC5905">
      <w:proofErr w:type="spellStart"/>
      <w:proofErr w:type="gramStart"/>
      <w:r>
        <w:t>Irfan</w:t>
      </w:r>
      <w:proofErr w:type="spellEnd"/>
      <w:r>
        <w:t xml:space="preserve">, I., </w:t>
      </w:r>
      <w:proofErr w:type="spellStart"/>
      <w:r>
        <w:t>Sumbal</w:t>
      </w:r>
      <w:proofErr w:type="spellEnd"/>
      <w:r>
        <w:t xml:space="preserve">, M.S.U.K., </w:t>
      </w:r>
      <w:proofErr w:type="spellStart"/>
      <w:r>
        <w:t>Khurshid</w:t>
      </w:r>
      <w:proofErr w:type="spellEnd"/>
      <w:r>
        <w:t>, F. and Chan, F.T., (2022).</w:t>
      </w:r>
      <w:proofErr w:type="gramEnd"/>
      <w:r>
        <w:t xml:space="preserve"> Toward a resilient</w:t>
      </w:r>
      <w:r>
        <w:t xml:space="preserve"> supply chain model: critical role of knowledge management and dynamic capabilities. </w:t>
      </w:r>
      <w:proofErr w:type="gramStart"/>
      <w:r>
        <w:t>Industrial management &amp; data systems, 122(5), pp.1153-1182.</w:t>
      </w:r>
      <w:proofErr w:type="gramEnd"/>
      <w:r>
        <w:t xml:space="preserve"> DOI: </w:t>
      </w:r>
      <w:hyperlink r:id="rId23">
        <w:r>
          <w:rPr>
            <w:color w:val="0563C1"/>
            <w:u w:val="single"/>
          </w:rPr>
          <w:t>https://doi.org/10.1108/IMDS-06-2021-0356</w:t>
        </w:r>
      </w:hyperlink>
      <w:r>
        <w:t xml:space="preserve"> </w:t>
      </w:r>
    </w:p>
    <w:p w:rsidR="0065085A" w:rsidRDefault="00BC5905">
      <w:proofErr w:type="spellStart"/>
      <w:r>
        <w:t>Ju</w:t>
      </w:r>
      <w:r>
        <w:t>revicius</w:t>
      </w:r>
      <w:proofErr w:type="spellEnd"/>
      <w:r>
        <w:t xml:space="preserve">, O. (2023). </w:t>
      </w:r>
      <w:proofErr w:type="gramStart"/>
      <w:r>
        <w:t>Resource-Based View.</w:t>
      </w:r>
      <w:proofErr w:type="gramEnd"/>
      <w:r>
        <w:t xml:space="preserve"> [</w:t>
      </w:r>
      <w:proofErr w:type="gramStart"/>
      <w:r>
        <w:t>online</w:t>
      </w:r>
      <w:proofErr w:type="gramEnd"/>
      <w:r>
        <w:t xml:space="preserve">] </w:t>
      </w:r>
      <w:proofErr w:type="gramStart"/>
      <w:r>
        <w:t>Strategic Management Insight.</w:t>
      </w:r>
      <w:proofErr w:type="gramEnd"/>
      <w:r>
        <w:t xml:space="preserve"> Available at: </w:t>
      </w:r>
      <w:hyperlink r:id="rId24">
        <w:r>
          <w:rPr>
            <w:color w:val="0563C1"/>
            <w:u w:val="single"/>
          </w:rPr>
          <w:t>https://strategicmanagementinsight.com/tools/resource-based-view/</w:t>
        </w:r>
      </w:hyperlink>
      <w:r>
        <w:t xml:space="preserve"> [Accessed </w:t>
      </w:r>
      <w:r>
        <w:t>30 Oct. 2025].</w:t>
      </w:r>
    </w:p>
    <w:p w:rsidR="0065085A" w:rsidRDefault="00BC5905">
      <w:proofErr w:type="spellStart"/>
      <w:r>
        <w:t>Lenormand</w:t>
      </w:r>
      <w:proofErr w:type="spellEnd"/>
      <w:r>
        <w:t xml:space="preserve">, T., Janet, D. and </w:t>
      </w:r>
      <w:proofErr w:type="spellStart"/>
      <w:r>
        <w:t>Devienne</w:t>
      </w:r>
      <w:proofErr w:type="spellEnd"/>
      <w:r>
        <w:t>, S., (2023). Assessing the prospects of the Sustainable Farming Scheme in Wales, fit for success or of limited relevance</w:t>
      </w:r>
      <w:proofErr w:type="gramStart"/>
      <w:r>
        <w:t>?.</w:t>
      </w:r>
      <w:proofErr w:type="gramEnd"/>
      <w:r>
        <w:t xml:space="preserve"> Available at: </w:t>
      </w:r>
      <w:hyperlink r:id="rId25">
        <w:r>
          <w:rPr>
            <w:color w:val="0563C1"/>
            <w:u w:val="single"/>
          </w:rPr>
          <w:t>https://ageconsearch.umn.edu/record/334518/?v=pdf</w:t>
        </w:r>
      </w:hyperlink>
      <w:r>
        <w:t xml:space="preserve"> </w:t>
      </w:r>
    </w:p>
    <w:p w:rsidR="0065085A" w:rsidRDefault="00BC5905">
      <w:proofErr w:type="gramStart"/>
      <w:r>
        <w:t xml:space="preserve">Manta, O., </w:t>
      </w:r>
      <w:proofErr w:type="spellStart"/>
      <w:r>
        <w:t>Militaru</w:t>
      </w:r>
      <w:proofErr w:type="spellEnd"/>
      <w:r>
        <w:t xml:space="preserve">, I. and </w:t>
      </w:r>
      <w:proofErr w:type="spellStart"/>
      <w:r>
        <w:t>Grigore</w:t>
      </w:r>
      <w:proofErr w:type="spellEnd"/>
      <w:r>
        <w:t>, R., (2025).</w:t>
      </w:r>
      <w:proofErr w:type="gramEnd"/>
      <w:r>
        <w:t xml:space="preserve"> </w:t>
      </w:r>
      <w:proofErr w:type="gramStart"/>
      <w:r>
        <w:t>Ensuring Academic Integrity: Tools and Mechanisms for a Transparent Educational Environment.</w:t>
      </w:r>
      <w:proofErr w:type="gramEnd"/>
      <w:r>
        <w:t xml:space="preserve"> Available at: </w:t>
      </w:r>
      <w:hyperlink r:id="rId26">
        <w:r>
          <w:rPr>
            <w:color w:val="0563C1"/>
            <w:u w:val="single"/>
          </w:rPr>
          <w:t>https://www.preprints.org/manuscript/202502.1680</w:t>
        </w:r>
      </w:hyperlink>
      <w:r>
        <w:t xml:space="preserve"> </w:t>
      </w:r>
    </w:p>
    <w:p w:rsidR="0065085A" w:rsidRDefault="00BC5905">
      <w:proofErr w:type="spellStart"/>
      <w:proofErr w:type="gramStart"/>
      <w:r>
        <w:t>Mazhar</w:t>
      </w:r>
      <w:proofErr w:type="spellEnd"/>
      <w:r>
        <w:t xml:space="preserve">, S.A., </w:t>
      </w:r>
      <w:proofErr w:type="spellStart"/>
      <w:r>
        <w:t>Anjum</w:t>
      </w:r>
      <w:proofErr w:type="spellEnd"/>
      <w:r>
        <w:t>, R., Anwar, A.I. and Khan, A.A., (2021).</w:t>
      </w:r>
      <w:proofErr w:type="gramEnd"/>
      <w:r>
        <w:t xml:space="preserve"> Methods of data collection: A fundamental tool of research. </w:t>
      </w:r>
      <w:proofErr w:type="gramStart"/>
      <w:r>
        <w:t>Journal of Integrated Community Health, 10(1), pp.6-10.</w:t>
      </w:r>
      <w:proofErr w:type="gramEnd"/>
      <w:r>
        <w:t xml:space="preserve"> Availab</w:t>
      </w:r>
      <w:r>
        <w:t xml:space="preserve">le at: </w:t>
      </w:r>
      <w:hyperlink r:id="rId27">
        <w:r>
          <w:rPr>
            <w:color w:val="0563C1"/>
            <w:u w:val="single"/>
          </w:rPr>
          <w:t>https://www.researchgate.net/profile/Syeda-Ayeman-Mazhar/publication/356269289_Methods_of_Data_Collection_A_Fundamental_Tool_of_Re</w:t>
        </w:r>
        <w:r>
          <w:rPr>
            <w:color w:val="0563C1"/>
            <w:u w:val="single"/>
          </w:rPr>
          <w:lastRenderedPageBreak/>
          <w:t>search/links/61fe7e23870587329e943cd1/Methods-of-Data-Collection-A-Fundamental-Tool-of-Research.pdf</w:t>
        </w:r>
      </w:hyperlink>
      <w:r>
        <w:t xml:space="preserve"> </w:t>
      </w:r>
    </w:p>
    <w:p w:rsidR="0065085A" w:rsidRDefault="00BC5905">
      <w:proofErr w:type="spellStart"/>
      <w:proofErr w:type="gramStart"/>
      <w:r>
        <w:t>Moradlou</w:t>
      </w:r>
      <w:proofErr w:type="spellEnd"/>
      <w:r>
        <w:t xml:space="preserve">, H., </w:t>
      </w:r>
      <w:proofErr w:type="spellStart"/>
      <w:r>
        <w:t>Skipworth</w:t>
      </w:r>
      <w:proofErr w:type="spellEnd"/>
      <w:r>
        <w:t xml:space="preserve">, </w:t>
      </w:r>
      <w:r>
        <w:t xml:space="preserve">H., </w:t>
      </w:r>
      <w:proofErr w:type="spellStart"/>
      <w:r>
        <w:t>Bals</w:t>
      </w:r>
      <w:proofErr w:type="spellEnd"/>
      <w:r>
        <w:t xml:space="preserve">, L., </w:t>
      </w:r>
      <w:proofErr w:type="spellStart"/>
      <w:r>
        <w:t>Aktas</w:t>
      </w:r>
      <w:proofErr w:type="spellEnd"/>
      <w:r>
        <w:t>, E. and Roscoe, S., (2025).</w:t>
      </w:r>
      <w:proofErr w:type="gramEnd"/>
      <w:r>
        <w:t xml:space="preserve"> Geopolitical disruptions and supply chain structural ambidexterity. </w:t>
      </w:r>
      <w:proofErr w:type="gramStart"/>
      <w:r>
        <w:t>International Journal of Operations &amp; Production Management, 45(4), pp.836-862.</w:t>
      </w:r>
      <w:proofErr w:type="gramEnd"/>
      <w:r>
        <w:t xml:space="preserve"> DOI: </w:t>
      </w:r>
      <w:hyperlink r:id="rId28">
        <w:r>
          <w:rPr>
            <w:color w:val="0563C1"/>
            <w:u w:val="single"/>
          </w:rPr>
          <w:t>https://doi.org/10.1108/IJOPM-11-2023-0915</w:t>
        </w:r>
      </w:hyperlink>
      <w:r>
        <w:t xml:space="preserve"> </w:t>
      </w:r>
    </w:p>
    <w:p w:rsidR="0065085A" w:rsidRDefault="00BC5905">
      <w:proofErr w:type="spellStart"/>
      <w:r>
        <w:t>Muzari</w:t>
      </w:r>
      <w:proofErr w:type="spellEnd"/>
      <w:r>
        <w:t xml:space="preserve">, T., </w:t>
      </w:r>
      <w:proofErr w:type="spellStart"/>
      <w:r>
        <w:t>Shava</w:t>
      </w:r>
      <w:proofErr w:type="spellEnd"/>
      <w:r>
        <w:t xml:space="preserve">, G.N. and </w:t>
      </w:r>
      <w:proofErr w:type="spellStart"/>
      <w:r>
        <w:t>Shonhiwa</w:t>
      </w:r>
      <w:proofErr w:type="spellEnd"/>
      <w:r>
        <w:t xml:space="preserve">, S., (2022). Qualitative research paradigm, a key research design for educational researchers, processes and procedures: A theoretical overview. </w:t>
      </w:r>
      <w:proofErr w:type="gramStart"/>
      <w:r>
        <w:t>Indiana Journal of Huma</w:t>
      </w:r>
      <w:r>
        <w:t>nities and Social Sciences, 3(1), pp.14-20.</w:t>
      </w:r>
      <w:proofErr w:type="gramEnd"/>
      <w:r>
        <w:t xml:space="preserve"> Available at: </w:t>
      </w:r>
      <w:hyperlink r:id="rId29">
        <w:r>
          <w:rPr>
            <w:color w:val="0563C1"/>
            <w:u w:val="single"/>
          </w:rPr>
          <w:t>https://indianapublications.com/articles/IJHSS_3(1)_14-20_61f38990115064.95135470.pdf</w:t>
        </w:r>
      </w:hyperlink>
      <w:r>
        <w:t xml:space="preserve"> </w:t>
      </w:r>
    </w:p>
    <w:p w:rsidR="0065085A" w:rsidRDefault="00BC5905">
      <w:proofErr w:type="gramStart"/>
      <w:r>
        <w:t>Thorne</w:t>
      </w:r>
      <w:r>
        <w:t>, S., (2025).</w:t>
      </w:r>
      <w:proofErr w:type="gramEnd"/>
      <w:r>
        <w:t xml:space="preserve"> Interpretive description: Qualitative research for applied practice (p. 354). </w:t>
      </w:r>
      <w:proofErr w:type="gramStart"/>
      <w:r>
        <w:t>Taylor &amp; Francis.</w:t>
      </w:r>
      <w:proofErr w:type="gramEnd"/>
      <w:r>
        <w:t xml:space="preserve"> Available at: </w:t>
      </w:r>
      <w:hyperlink r:id="rId30">
        <w:r>
          <w:rPr>
            <w:color w:val="0563C1"/>
            <w:u w:val="single"/>
          </w:rPr>
          <w:t>https://library.oapen.org/handle/20.500.12657/105881</w:t>
        </w:r>
      </w:hyperlink>
      <w:r>
        <w:t xml:space="preserve"> </w:t>
      </w:r>
    </w:p>
    <w:p w:rsidR="0065085A" w:rsidRDefault="00BC5905">
      <w:proofErr w:type="spellStart"/>
      <w:r>
        <w:t>Tiwari</w:t>
      </w:r>
      <w:proofErr w:type="spellEnd"/>
      <w:r>
        <w:t xml:space="preserve">, P. A. (2024). </w:t>
      </w:r>
      <w:proofErr w:type="gramStart"/>
      <w:r>
        <w:t>Moderating role of supply chain Re-engineering capabilities on artificial intelligence-based risk management and supply chain agility: a resource-based view.</w:t>
      </w:r>
      <w:proofErr w:type="gramEnd"/>
      <w:r>
        <w:t xml:space="preserve"> In Anticipating Future Business Trends: Navigating Artificial Intelligence I</w:t>
      </w:r>
      <w:r>
        <w:t xml:space="preserve">nnovations: Volume 1 (pp. 167-179). Cham: Springer Nature Switzerland. Available at: </w:t>
      </w:r>
      <w:hyperlink r:id="rId31">
        <w:r>
          <w:rPr>
            <w:color w:val="0563C1"/>
            <w:u w:val="single"/>
          </w:rPr>
          <w:t>https://link.springer.com/chapter/10.1007/978-3-031-63569-4_15</w:t>
        </w:r>
      </w:hyperlink>
      <w:r>
        <w:t xml:space="preserve"> </w:t>
      </w:r>
    </w:p>
    <w:p w:rsidR="0065085A" w:rsidRDefault="00BC5905">
      <w:proofErr w:type="gramStart"/>
      <w:r>
        <w:t>van</w:t>
      </w:r>
      <w:proofErr w:type="gramEnd"/>
      <w:r>
        <w:t xml:space="preserve"> </w:t>
      </w:r>
      <w:proofErr w:type="spellStart"/>
      <w:r>
        <w:t>Hoek</w:t>
      </w:r>
      <w:proofErr w:type="spellEnd"/>
      <w:r>
        <w:t xml:space="preserve">, R. and </w:t>
      </w:r>
      <w:proofErr w:type="spellStart"/>
      <w:r>
        <w:t>Dobrzyko</w:t>
      </w:r>
      <w:r>
        <w:t>wski</w:t>
      </w:r>
      <w:proofErr w:type="spellEnd"/>
      <w:r>
        <w:t xml:space="preserve">, D., (2021). Towards more balanced sourcing strategies–are supply chain risks caused by the COVID-19 pandemic driving </w:t>
      </w:r>
      <w:proofErr w:type="spellStart"/>
      <w:r>
        <w:t>reshoring</w:t>
      </w:r>
      <w:proofErr w:type="spellEnd"/>
      <w:r>
        <w:t xml:space="preserve"> considerations</w:t>
      </w:r>
      <w:proofErr w:type="gramStart"/>
      <w:r>
        <w:t>?.</w:t>
      </w:r>
      <w:proofErr w:type="gramEnd"/>
      <w:r>
        <w:t xml:space="preserve"> Supply Chain Management: An International Journal, 26(6), pp.689-701. DOI: </w:t>
      </w:r>
      <w:hyperlink r:id="rId32">
        <w:r>
          <w:rPr>
            <w:color w:val="0563C1"/>
            <w:u w:val="single"/>
          </w:rPr>
          <w:t>https://doi.org/10.1108/SCM-09-2020-0498</w:t>
        </w:r>
      </w:hyperlink>
      <w:r>
        <w:t xml:space="preserve"> </w:t>
      </w:r>
    </w:p>
    <w:p w:rsidR="0065085A" w:rsidRDefault="0065085A"/>
    <w:p w:rsidR="0065085A" w:rsidRDefault="0065085A"/>
    <w:p w:rsidR="0065085A" w:rsidRDefault="0065085A"/>
    <w:p w:rsidR="0065085A" w:rsidRDefault="0065085A">
      <w:pPr>
        <w:spacing w:line="278" w:lineRule="auto"/>
        <w:jc w:val="left"/>
      </w:pPr>
    </w:p>
    <w:sectPr w:rsidR="0065085A">
      <w:footerReference w:type="default" r:id="rId3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5905" w:rsidRDefault="00BC5905">
      <w:pPr>
        <w:spacing w:after="0" w:line="240" w:lineRule="auto"/>
      </w:pPr>
      <w:r>
        <w:separator/>
      </w:r>
    </w:p>
  </w:endnote>
  <w:endnote w:type="continuationSeparator" w:id="0">
    <w:p w:rsidR="00BC5905" w:rsidRDefault="00BC5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085A" w:rsidRDefault="00BC590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1E48BF">
      <w:rPr>
        <w:color w:val="000000"/>
      </w:rPr>
      <w:fldChar w:fldCharType="separate"/>
    </w:r>
    <w:r w:rsidR="001E48BF">
      <w:rPr>
        <w:noProof/>
        <w:color w:val="000000"/>
      </w:rPr>
      <w:t>13</w:t>
    </w:r>
    <w:r>
      <w:rPr>
        <w:color w:val="000000"/>
      </w:rPr>
      <w:fldChar w:fldCharType="end"/>
    </w:r>
  </w:p>
  <w:p w:rsidR="0065085A" w:rsidRDefault="0065085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5905" w:rsidRDefault="00BC5905">
      <w:pPr>
        <w:spacing w:after="0" w:line="240" w:lineRule="auto"/>
      </w:pPr>
      <w:r>
        <w:separator/>
      </w:r>
    </w:p>
  </w:footnote>
  <w:footnote w:type="continuationSeparator" w:id="0">
    <w:p w:rsidR="00BC5905" w:rsidRDefault="00BC59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9A674D"/>
    <w:multiLevelType w:val="multilevel"/>
    <w:tmpl w:val="927C36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452C78E0"/>
    <w:multiLevelType w:val="multilevel"/>
    <w:tmpl w:val="DE1A4A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7BD90AC6"/>
    <w:multiLevelType w:val="multilevel"/>
    <w:tmpl w:val="FED84F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5085A"/>
    <w:rsid w:val="001E48BF"/>
    <w:rsid w:val="0065085A"/>
    <w:rsid w:val="00BC590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gu-IN"/>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160" w:after="80"/>
      <w:outlineLvl w:val="2"/>
    </w:pPr>
    <w:rPr>
      <w:b/>
    </w:rPr>
  </w:style>
  <w:style w:type="paragraph" w:styleId="Heading4">
    <w:name w:val="heading 4"/>
    <w:basedOn w:val="Normal"/>
    <w:next w:val="Normal"/>
    <w:pPr>
      <w:keepNext/>
      <w:keepLines/>
      <w:spacing w:before="80" w:after="40"/>
      <w:outlineLvl w:val="3"/>
    </w:pPr>
    <w:rPr>
      <w:rFonts w:ascii="Calibri" w:eastAsia="Calibri" w:hAnsi="Calibri" w:cs="Calibri"/>
      <w:i/>
      <w:color w:val="2F5496"/>
    </w:rPr>
  </w:style>
  <w:style w:type="paragraph" w:styleId="Heading5">
    <w:name w:val="heading 5"/>
    <w:basedOn w:val="Normal"/>
    <w:next w:val="Normal"/>
    <w:pPr>
      <w:keepNext/>
      <w:keepLines/>
      <w:spacing w:before="80" w:after="40"/>
      <w:outlineLvl w:val="4"/>
    </w:pPr>
    <w:rPr>
      <w:rFonts w:ascii="Calibri" w:eastAsia="Calibri" w:hAnsi="Calibri" w:cs="Calibri"/>
      <w:color w:val="2F5496"/>
    </w:rPr>
  </w:style>
  <w:style w:type="paragraph" w:styleId="Heading6">
    <w:name w:val="heading 6"/>
    <w:basedOn w:val="Normal"/>
    <w:next w:val="Normal"/>
    <w:pPr>
      <w:keepNext/>
      <w:keepLines/>
      <w:spacing w:before="40" w:after="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Calibri" w:eastAsia="Calibri" w:hAnsi="Calibri" w:cs="Calibri"/>
      <w:sz w:val="56"/>
      <w:szCs w:val="56"/>
    </w:rPr>
  </w:style>
  <w:style w:type="paragraph" w:styleId="Subtitle">
    <w:name w:val="Subtitle"/>
    <w:basedOn w:val="Normal"/>
    <w:next w:val="Normal"/>
    <w:rPr>
      <w:rFonts w:ascii="Calibri" w:eastAsia="Calibri" w:hAnsi="Calibri" w:cs="Calibri"/>
      <w:color w:val="595959"/>
      <w:sz w:val="28"/>
      <w:szCs w:val="28"/>
    </w:rPr>
  </w:style>
  <w:style w:type="paragraph" w:styleId="BalloonText">
    <w:name w:val="Balloon Text"/>
    <w:basedOn w:val="Normal"/>
    <w:link w:val="BalloonTextChar"/>
    <w:uiPriority w:val="99"/>
    <w:semiHidden/>
    <w:unhideWhenUsed/>
    <w:rsid w:val="001E48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8B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gu-IN"/>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160" w:after="80"/>
      <w:outlineLvl w:val="2"/>
    </w:pPr>
    <w:rPr>
      <w:b/>
    </w:rPr>
  </w:style>
  <w:style w:type="paragraph" w:styleId="Heading4">
    <w:name w:val="heading 4"/>
    <w:basedOn w:val="Normal"/>
    <w:next w:val="Normal"/>
    <w:pPr>
      <w:keepNext/>
      <w:keepLines/>
      <w:spacing w:before="80" w:after="40"/>
      <w:outlineLvl w:val="3"/>
    </w:pPr>
    <w:rPr>
      <w:rFonts w:ascii="Calibri" w:eastAsia="Calibri" w:hAnsi="Calibri" w:cs="Calibri"/>
      <w:i/>
      <w:color w:val="2F5496"/>
    </w:rPr>
  </w:style>
  <w:style w:type="paragraph" w:styleId="Heading5">
    <w:name w:val="heading 5"/>
    <w:basedOn w:val="Normal"/>
    <w:next w:val="Normal"/>
    <w:pPr>
      <w:keepNext/>
      <w:keepLines/>
      <w:spacing w:before="80" w:after="40"/>
      <w:outlineLvl w:val="4"/>
    </w:pPr>
    <w:rPr>
      <w:rFonts w:ascii="Calibri" w:eastAsia="Calibri" w:hAnsi="Calibri" w:cs="Calibri"/>
      <w:color w:val="2F5496"/>
    </w:rPr>
  </w:style>
  <w:style w:type="paragraph" w:styleId="Heading6">
    <w:name w:val="heading 6"/>
    <w:basedOn w:val="Normal"/>
    <w:next w:val="Normal"/>
    <w:pPr>
      <w:keepNext/>
      <w:keepLines/>
      <w:spacing w:before="40" w:after="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Calibri" w:eastAsia="Calibri" w:hAnsi="Calibri" w:cs="Calibri"/>
      <w:sz w:val="56"/>
      <w:szCs w:val="56"/>
    </w:rPr>
  </w:style>
  <w:style w:type="paragraph" w:styleId="Subtitle">
    <w:name w:val="Subtitle"/>
    <w:basedOn w:val="Normal"/>
    <w:next w:val="Normal"/>
    <w:rPr>
      <w:rFonts w:ascii="Calibri" w:eastAsia="Calibri" w:hAnsi="Calibri" w:cs="Calibri"/>
      <w:color w:val="595959"/>
      <w:sz w:val="28"/>
      <w:szCs w:val="28"/>
    </w:rPr>
  </w:style>
  <w:style w:type="paragraph" w:styleId="BalloonText">
    <w:name w:val="Balloon Text"/>
    <w:basedOn w:val="Normal"/>
    <w:link w:val="BalloonTextChar"/>
    <w:uiPriority w:val="99"/>
    <w:semiHidden/>
    <w:unhideWhenUsed/>
    <w:rsid w:val="001E48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8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t.torvergata.it/bitstream/2108/360664/1/EUFP%20Intro%20and%20History.pdf" TargetMode="External"/><Relationship Id="rId18" Type="http://schemas.openxmlformats.org/officeDocument/2006/relationships/hyperlink" Target="https://doi.org/10.1111/1467-8551.12614" TargetMode="External"/><Relationship Id="rId26" Type="http://schemas.openxmlformats.org/officeDocument/2006/relationships/hyperlink" Target="https://www.preprints.org/manuscript/202502.1680" TargetMode="External"/><Relationship Id="rId3" Type="http://schemas.microsoft.com/office/2007/relationships/stylesWithEffects" Target="stylesWithEffects.xml"/><Relationship Id="rId21" Type="http://schemas.openxmlformats.org/officeDocument/2006/relationships/hyperlink" Target="https://www.nature.com/articles/s41580-021-00411-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80/00343404.2022.2071421" TargetMode="External"/><Relationship Id="rId17" Type="http://schemas.openxmlformats.org/officeDocument/2006/relationships/hyperlink" Target="https://doi.org/10.1177/16094069231180160" TargetMode="External"/><Relationship Id="rId25" Type="http://schemas.openxmlformats.org/officeDocument/2006/relationships/hyperlink" Target="https://ageconsearch.umn.edu/record/334518/?v=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2/bse.70155" TargetMode="External"/><Relationship Id="rId20" Type="http://schemas.openxmlformats.org/officeDocument/2006/relationships/hyperlink" Target="https://books.google.co.in/books?hl=en&amp;lr=&amp;id=4GMtEAAAQBAJ&amp;oi=fnd&amp;pg=PA1969&amp;dq=studies+on+firm-level+presence+amidst+post-Brexit+are+limited,+particularly+regarding+luxury+manufacturers+like+JLR+with+complex+global+networks&amp;ots=DIoMABqafG&amp;sig=DSvqRpRtO14-ttfx9afeQiELsA0&amp;redir_esc=y" TargetMode="External"/><Relationship Id="rId29" Type="http://schemas.openxmlformats.org/officeDocument/2006/relationships/hyperlink" Target="https://indianapublications.com/articles/IJHSS_3(1)_14-20_61f38990115064.95135470.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link.springer.com/article/10.1007/s11135-024-02022-5" TargetMode="External"/><Relationship Id="rId24" Type="http://schemas.openxmlformats.org/officeDocument/2006/relationships/hyperlink" Target="https://strategicmanagementinsight.com/tools/resource-based-view/" TargetMode="External"/><Relationship Id="rId32" Type="http://schemas.openxmlformats.org/officeDocument/2006/relationships/hyperlink" Target="https://doi.org/10.1108/SCM-09-2020-0498" TargetMode="External"/><Relationship Id="rId5" Type="http://schemas.openxmlformats.org/officeDocument/2006/relationships/webSettings" Target="webSettings.xml"/><Relationship Id="rId15" Type="http://schemas.openxmlformats.org/officeDocument/2006/relationships/hyperlink" Target="https://link.springer.com/article/10.1007/s10669-020-09795-8" TargetMode="External"/><Relationship Id="rId23" Type="http://schemas.openxmlformats.org/officeDocument/2006/relationships/hyperlink" Target="https://doi.org/10.1108/IMDS-06-2021-0356" TargetMode="External"/><Relationship Id="rId28" Type="http://schemas.openxmlformats.org/officeDocument/2006/relationships/hyperlink" Target="https://doi.org/10.1108/IJOPM-11-2023-0915" TargetMode="External"/><Relationship Id="rId10" Type="http://schemas.openxmlformats.org/officeDocument/2006/relationships/chart" Target="charts/chart1.xml"/><Relationship Id="rId19" Type="http://schemas.openxmlformats.org/officeDocument/2006/relationships/hyperlink" Target="https://doi.org/10.1108/SCM-09-2022-0383" TargetMode="External"/><Relationship Id="rId31" Type="http://schemas.openxmlformats.org/officeDocument/2006/relationships/hyperlink" Target="https://link.springer.com/chapter/10.1007/978-3-031-63569-4_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186/s40359-024-01609-9" TargetMode="External"/><Relationship Id="rId22" Type="http://schemas.openxmlformats.org/officeDocument/2006/relationships/hyperlink" Target="https://www.ojs.jdss.org.pk/journal/article/view/1371" TargetMode="External"/><Relationship Id="rId27"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0" Type="http://schemas.openxmlformats.org/officeDocument/2006/relationships/hyperlink" Target="https://library.oapen.org/handle/20.500.12657/105881"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Sheet7!$B$52</c:f>
              <c:strCache>
                <c:ptCount val="1"/>
                <c:pt idx="0">
                  <c:v>Start Date </c:v>
                </c:pt>
              </c:strCache>
            </c:strRef>
          </c:tx>
          <c:spPr>
            <a:noFill/>
            <a:ln>
              <a:noFill/>
            </a:ln>
            <a:effectLst/>
          </c:spPr>
          <c:invertIfNegative val="0"/>
          <c:cat>
            <c:strRef>
              <c:f>Sheet7!$A$53:$A$60</c:f>
              <c:strCache>
                <c:ptCount val="8"/>
                <c:pt idx="0">
                  <c:v>Identification of research area</c:v>
                </c:pt>
                <c:pt idx="1">
                  <c:v>Develop research questions</c:v>
                </c:pt>
                <c:pt idx="2">
                  <c:v>Research strategy recognition</c:v>
                </c:pt>
                <c:pt idx="3">
                  <c:v>Proposal Submission</c:v>
                </c:pt>
                <c:pt idx="4">
                  <c:v>Critical Review of Literature</c:v>
                </c:pt>
                <c:pt idx="5">
                  <c:v>Collection of Secondary data</c:v>
                </c:pt>
                <c:pt idx="6">
                  <c:v> Analysis of Data</c:v>
                </c:pt>
                <c:pt idx="7">
                  <c:v>Write first draft</c:v>
                </c:pt>
              </c:strCache>
            </c:strRef>
          </c:cat>
          <c:val>
            <c:numRef>
              <c:f>Sheet7!$B$53:$B$60</c:f>
              <c:numCache>
                <c:formatCode>m/d/yyyy</c:formatCode>
                <c:ptCount val="8"/>
                <c:pt idx="0">
                  <c:v>45947</c:v>
                </c:pt>
                <c:pt idx="1">
                  <c:v>45949</c:v>
                </c:pt>
                <c:pt idx="2">
                  <c:v>45951</c:v>
                </c:pt>
                <c:pt idx="3">
                  <c:v>45955</c:v>
                </c:pt>
                <c:pt idx="4">
                  <c:v>45963</c:v>
                </c:pt>
                <c:pt idx="5">
                  <c:v>45974</c:v>
                </c:pt>
                <c:pt idx="6">
                  <c:v>45987</c:v>
                </c:pt>
                <c:pt idx="7">
                  <c:v>45997</c:v>
                </c:pt>
              </c:numCache>
            </c:numRef>
          </c:val>
          <c:extLst xmlns:c16r2="http://schemas.microsoft.com/office/drawing/2015/06/chart">
            <c:ext xmlns:c16="http://schemas.microsoft.com/office/drawing/2014/chart" uri="{C3380CC4-5D6E-409C-BE32-E72D297353CC}">
              <c16:uniqueId val="{00000000-3149-4991-A55B-D8319BCD4C8C}"/>
            </c:ext>
          </c:extLst>
        </c:ser>
        <c:ser>
          <c:idx val="1"/>
          <c:order val="1"/>
          <c:tx>
            <c:strRef>
              <c:f>Sheet7!$D$52</c:f>
              <c:strCache>
                <c:ptCount val="1"/>
                <c:pt idx="0">
                  <c:v>Duration </c:v>
                </c:pt>
              </c:strCache>
            </c:strRef>
          </c:tx>
          <c:spPr>
            <a:solidFill>
              <a:schemeClr val="accent6">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Sheet7!$A$53:$A$60</c:f>
              <c:strCache>
                <c:ptCount val="8"/>
                <c:pt idx="0">
                  <c:v>Identification of research area</c:v>
                </c:pt>
                <c:pt idx="1">
                  <c:v>Develop research questions</c:v>
                </c:pt>
                <c:pt idx="2">
                  <c:v>Research strategy recognition</c:v>
                </c:pt>
                <c:pt idx="3">
                  <c:v>Proposal Submission</c:v>
                </c:pt>
                <c:pt idx="4">
                  <c:v>Critical Review of Literature</c:v>
                </c:pt>
                <c:pt idx="5">
                  <c:v>Collection of Secondary data</c:v>
                </c:pt>
                <c:pt idx="6">
                  <c:v> Analysis of Data</c:v>
                </c:pt>
                <c:pt idx="7">
                  <c:v>Write first draft</c:v>
                </c:pt>
              </c:strCache>
            </c:strRef>
          </c:cat>
          <c:val>
            <c:numRef>
              <c:f>Sheet7!$D$53:$D$60</c:f>
              <c:numCache>
                <c:formatCode>General</c:formatCode>
                <c:ptCount val="8"/>
                <c:pt idx="0">
                  <c:v>1</c:v>
                </c:pt>
                <c:pt idx="1">
                  <c:v>1</c:v>
                </c:pt>
                <c:pt idx="2">
                  <c:v>3</c:v>
                </c:pt>
                <c:pt idx="3">
                  <c:v>7</c:v>
                </c:pt>
                <c:pt idx="4">
                  <c:v>10</c:v>
                </c:pt>
                <c:pt idx="5">
                  <c:v>12</c:v>
                </c:pt>
                <c:pt idx="6">
                  <c:v>9</c:v>
                </c:pt>
                <c:pt idx="7">
                  <c:v>4</c:v>
                </c:pt>
              </c:numCache>
            </c:numRef>
          </c:val>
          <c:extLst xmlns:c16r2="http://schemas.microsoft.com/office/drawing/2015/06/chart">
            <c:ext xmlns:c16="http://schemas.microsoft.com/office/drawing/2014/chart" uri="{C3380CC4-5D6E-409C-BE32-E72D297353CC}">
              <c16:uniqueId val="{00000001-3149-4991-A55B-D8319BCD4C8C}"/>
            </c:ext>
          </c:extLst>
        </c:ser>
        <c:dLbls>
          <c:showLegendKey val="0"/>
          <c:showVal val="0"/>
          <c:showCatName val="0"/>
          <c:showSerName val="0"/>
          <c:showPercent val="0"/>
          <c:showBubbleSize val="0"/>
        </c:dLbls>
        <c:gapWidth val="150"/>
        <c:overlap val="100"/>
        <c:axId val="164765696"/>
        <c:axId val="164767232"/>
      </c:barChart>
      <c:catAx>
        <c:axId val="164765696"/>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767232"/>
        <c:crosses val="autoZero"/>
        <c:auto val="1"/>
        <c:lblAlgn val="ctr"/>
        <c:lblOffset val="100"/>
        <c:noMultiLvlLbl val="0"/>
      </c:catAx>
      <c:valAx>
        <c:axId val="164767232"/>
        <c:scaling>
          <c:orientation val="minMax"/>
          <c:max val="46019"/>
          <c:min val="45947"/>
        </c:scaling>
        <c:delete val="0"/>
        <c:axPos val="t"/>
        <c:majorGridlines>
          <c:spPr>
            <a:ln w="9525">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76569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accent2">
        <a:lumMod val="20000"/>
        <a:lumOff val="80000"/>
      </a:schemeClr>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3763</Words>
  <Characters>21454</Characters>
  <Application>Microsoft Office Word</Application>
  <DocSecurity>0</DocSecurity>
  <Lines>178</Lines>
  <Paragraphs>50</Paragraphs>
  <ScaleCrop>false</ScaleCrop>
  <Company/>
  <LinksUpToDate>false</LinksUpToDate>
  <CharactersWithSpaces>25167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2</cp:revision>
  <dcterms:created xsi:type="dcterms:W3CDTF">2025-11-05T11:16:00Z</dcterms:created>
  <dcterms:modified xsi:type="dcterms:W3CDTF">2025-11-05T11:21:00Z</dcterms:modified>
</cp:coreProperties>
</file>