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E45EF7D" w:rsidR="00C05BAE" w:rsidRPr="003D739A" w:rsidRDefault="0737453A">
      <w:pPr>
        <w:rPr>
          <w:rFonts w:ascii="Arial" w:hAnsi="Arial" w:cs="Arial"/>
          <w:sz w:val="22"/>
          <w:szCs w:val="22"/>
        </w:rPr>
      </w:pPr>
      <w:r w:rsidRPr="003D739A">
        <w:rPr>
          <w:rFonts w:ascii="Arial" w:hAnsi="Arial" w:cs="Arial"/>
          <w:sz w:val="22"/>
          <w:szCs w:val="22"/>
        </w:rPr>
        <w:t>Name: Anzhelika Volosianko</w:t>
      </w:r>
    </w:p>
    <w:p w14:paraId="64154A4A" w14:textId="5FF7F1FF" w:rsidR="0737453A" w:rsidRPr="003D739A" w:rsidRDefault="0737453A">
      <w:pPr>
        <w:rPr>
          <w:rFonts w:ascii="Arial" w:hAnsi="Arial" w:cs="Arial"/>
          <w:sz w:val="22"/>
          <w:szCs w:val="22"/>
        </w:rPr>
      </w:pPr>
      <w:r w:rsidRPr="003D739A">
        <w:rPr>
          <w:rFonts w:ascii="Arial" w:hAnsi="Arial" w:cs="Arial"/>
          <w:sz w:val="22"/>
          <w:szCs w:val="22"/>
        </w:rPr>
        <w:t>Student ID:</w:t>
      </w:r>
      <w:r w:rsidR="1FB81162" w:rsidRPr="003D739A">
        <w:rPr>
          <w:rFonts w:ascii="Arial" w:hAnsi="Arial" w:cs="Arial"/>
          <w:sz w:val="22"/>
          <w:szCs w:val="22"/>
        </w:rPr>
        <w:t xml:space="preserve"> 2440645</w:t>
      </w:r>
    </w:p>
    <w:p w14:paraId="7C0783CF" w14:textId="63089DCC" w:rsidR="0737453A" w:rsidRPr="003D739A" w:rsidRDefault="0737453A">
      <w:pPr>
        <w:rPr>
          <w:rFonts w:ascii="Arial" w:hAnsi="Arial" w:cs="Arial"/>
          <w:sz w:val="22"/>
          <w:szCs w:val="22"/>
        </w:rPr>
      </w:pPr>
      <w:r w:rsidRPr="003D739A">
        <w:rPr>
          <w:rFonts w:ascii="Arial" w:hAnsi="Arial" w:cs="Arial"/>
          <w:sz w:val="22"/>
          <w:szCs w:val="22"/>
        </w:rPr>
        <w:t>Module Code:</w:t>
      </w:r>
      <w:r w:rsidR="079BB78F" w:rsidRPr="003D739A">
        <w:rPr>
          <w:rFonts w:ascii="Arial" w:hAnsi="Arial" w:cs="Arial"/>
          <w:sz w:val="22"/>
          <w:szCs w:val="22"/>
        </w:rPr>
        <w:t xml:space="preserve"> LCHS4003</w:t>
      </w:r>
    </w:p>
    <w:p w14:paraId="29F85A5A" w14:textId="38B1C425" w:rsidR="0737453A" w:rsidRPr="003D739A" w:rsidRDefault="0737453A">
      <w:pPr>
        <w:rPr>
          <w:rFonts w:ascii="Arial" w:hAnsi="Arial" w:cs="Arial"/>
          <w:sz w:val="22"/>
          <w:szCs w:val="22"/>
        </w:rPr>
      </w:pPr>
      <w:r w:rsidRPr="003D739A">
        <w:rPr>
          <w:rFonts w:ascii="Arial" w:hAnsi="Arial" w:cs="Arial"/>
          <w:sz w:val="22"/>
          <w:szCs w:val="22"/>
        </w:rPr>
        <w:t>Module:</w:t>
      </w:r>
      <w:r w:rsidR="11CA1054" w:rsidRPr="003D739A">
        <w:rPr>
          <w:rFonts w:ascii="Arial" w:hAnsi="Arial" w:cs="Arial"/>
          <w:sz w:val="22"/>
          <w:szCs w:val="22"/>
        </w:rPr>
        <w:t xml:space="preserve"> Introduction to Health and Social Care </w:t>
      </w:r>
    </w:p>
    <w:p w14:paraId="029EE844" w14:textId="5FC96F28" w:rsidR="16ABACB5" w:rsidRPr="003D739A" w:rsidRDefault="16ABACB5">
      <w:pPr>
        <w:rPr>
          <w:rFonts w:ascii="Arial" w:hAnsi="Arial" w:cs="Arial"/>
          <w:sz w:val="22"/>
          <w:szCs w:val="22"/>
        </w:rPr>
      </w:pPr>
      <w:r w:rsidRPr="003D739A">
        <w:rPr>
          <w:rFonts w:ascii="Arial" w:hAnsi="Arial" w:cs="Arial"/>
          <w:sz w:val="22"/>
          <w:szCs w:val="22"/>
        </w:rPr>
        <w:t xml:space="preserve">Assignment Tittle: Written assignment </w:t>
      </w:r>
    </w:p>
    <w:p w14:paraId="0A5D3CC2" w14:textId="300675BA" w:rsidR="0737453A" w:rsidRPr="003D739A" w:rsidRDefault="0737453A">
      <w:pPr>
        <w:rPr>
          <w:rFonts w:ascii="Arial" w:hAnsi="Arial" w:cs="Arial"/>
          <w:sz w:val="22"/>
          <w:szCs w:val="22"/>
        </w:rPr>
      </w:pPr>
      <w:r w:rsidRPr="003D739A">
        <w:rPr>
          <w:rFonts w:ascii="Arial" w:hAnsi="Arial" w:cs="Arial"/>
          <w:sz w:val="22"/>
          <w:szCs w:val="22"/>
        </w:rPr>
        <w:t xml:space="preserve">Lecturer: </w:t>
      </w:r>
      <w:r w:rsidR="1087D7A3" w:rsidRPr="003D739A">
        <w:rPr>
          <w:rFonts w:ascii="Arial" w:hAnsi="Arial" w:cs="Arial"/>
          <w:sz w:val="22"/>
          <w:szCs w:val="22"/>
        </w:rPr>
        <w:t xml:space="preserve">Brian Mashumba </w:t>
      </w:r>
    </w:p>
    <w:p w14:paraId="325B77F5" w14:textId="5988ECB5" w:rsidR="68A035C4" w:rsidRPr="003D739A" w:rsidRDefault="68A035C4">
      <w:pPr>
        <w:rPr>
          <w:rFonts w:ascii="Arial" w:hAnsi="Arial" w:cs="Arial"/>
          <w:sz w:val="22"/>
          <w:szCs w:val="22"/>
        </w:rPr>
      </w:pPr>
    </w:p>
    <w:p w14:paraId="055CD2C8" w14:textId="1D8FA5CA" w:rsidR="68A035C4" w:rsidRDefault="68A035C4">
      <w:r>
        <w:br w:type="page"/>
      </w:r>
    </w:p>
    <w:p w14:paraId="55AF1C6D" w14:textId="109356E9" w:rsidR="0A028A76" w:rsidRPr="008E3CCE" w:rsidRDefault="702F6A32" w:rsidP="68A035C4">
      <w:pPr>
        <w:spacing w:before="240" w:after="240"/>
        <w:rPr>
          <w:rFonts w:ascii="Arial" w:hAnsi="Arial" w:cs="Arial"/>
          <w:sz w:val="22"/>
          <w:szCs w:val="22"/>
        </w:rPr>
      </w:pPr>
      <w:r w:rsidRPr="008E3CCE">
        <w:rPr>
          <w:rFonts w:ascii="Arial" w:eastAsia="system-ui" w:hAnsi="Arial" w:cs="Arial"/>
          <w:sz w:val="22"/>
          <w:szCs w:val="22"/>
        </w:rPr>
        <w:lastRenderedPageBreak/>
        <w:t>Effective communication is the cornerstone of delivering safe, person-centred care, especially in intricate community care settings like that of Mrs. Mann. As a 72-year-old woman recovering from hip replacement surgery, living alone, and relying on multiple professionals and agencies, clear and consistent communication is crucial to ensure continuity of care, patient safety, and positive rehabilitation outcomes. The recent incident involving inconsistent documentation and delayed medication adjustments underscores the risks that arise when communication systems are inadequate. In Mrs. Mann’s case, communication must occur on multiple levels: between care professionals, with her directly, and with her family members. Mrs. Mann’s limited English proficiency poses a significant communication barrier. Recognised under the Equality Act 2010, language can be a barrier to accessing services, and care providers have a legal obligation to make reasonable adjustments to ensure services are accessible and non-discriminatory. Relying solely on her daughter to interpret may not always be appropriate, especially for complex or sensitive medical information. Professional interpreters or translated written materials should be provided to support informed consent, comprehension of medication changes, and participation in care decisions. When communicating directly with Mrs. Mann, staff should use clear, simple language, avoid medical jargon, and regularly check for understanding. Visual aids, demonstrations (such as physiotherapy exercises), and translated care plans can further enhance comprehension. Additionally, respecting her cultural values and demonstrating patience align with person-centred care principles and foster trust. Communication with family members, especially Mrs. Mann’s daughter, is crucial. Family involvement can enhance adherence to care plans and provide emotional support. However, information sharing must adhere to consent and confidentiality guidelines. Regular updates and clear explanations help ensure that the daughter can effectively support her mother without feeling overwhelmed by responsibility. The Bristol Communication Model offers a valuable framework for improving communication in this scenario. The model emphasises communication as a two-way, interactive process that prioritises clarity, feedback, and shared understanding. By applying this model, we ensure that messages are not only delivered but also received and comprehended. For instance, after a medication change, care staff should confirm that Mrs. Mann comprehends the changes, the reasons behind them, and the correct medication regimen. Feedback loops, such as asking Mrs. Mann or her daughter to reiterate key information, can help prevent misunderstandings.</w:t>
      </w:r>
      <w:r w:rsidR="37DB027B" w:rsidRPr="008E3CCE">
        <w:rPr>
          <w:rFonts w:ascii="Arial" w:eastAsia="system-ui" w:hAnsi="Arial" w:cs="Arial"/>
          <w:sz w:val="22"/>
          <w:szCs w:val="22"/>
        </w:rPr>
        <w:t xml:space="preserve"> Good administrative skills are essential in health and social care practice, as they support safe, effective, and person-centred care. In the case of Mrs. Mann, strong administration is particularly crucial due to the involvement of multiple professionals, language barriers, and recent concerns about inconsistent documentation and delayed medication adjustments. Mrs. Mann receives care from a domiciliary care agency, her general practitioner (GP), and a community physiotherapist. Effective administrative practice ensures that all involved professionals have access to accurate and up-to-date information. Poor record keeping, as highlighted in this case, can lead to miscommunication, delays in treatment, and potential harm. The delayed medication adjustment exemplifies how administrative failures can directly impact patient safety and recovery outcomes. Record keeping is a fundamental administrative responsibility in health and social care. Records should be clear, accurate, factual, dated, and signed, reflecting the care provided and any changes in the service user’s condition. In Mrs. Mann’s case, consistent documentation of medication changes, physiotherapy progress, and mobility status is essential to ensure continuity of care across services. Accurate records also support accountability and facilitate effective review of </w:t>
      </w:r>
      <w:r w:rsidR="37DB027B" w:rsidRPr="008E3CCE">
        <w:rPr>
          <w:rFonts w:ascii="Arial" w:eastAsia="system-ui" w:hAnsi="Arial" w:cs="Arial"/>
          <w:sz w:val="22"/>
          <w:szCs w:val="22"/>
        </w:rPr>
        <w:lastRenderedPageBreak/>
        <w:t xml:space="preserve">concerns or incidents. Administrative skills are closely linked to legal responsibilities under the Data Protection Act 2018, which governs the collection, storage, sharing, and use of personal data. Mrs. Mann’s records contain sensitive personal and medical information, classified as special category data under the Act. Care providers must process this information lawfully, fairly, and transparently. They must ensure that records are securely stored, whether electronically or in paper form, and only accessible by authorised personnel. The principles of data protection also require that information shared between professionals, such as a GP and a physiotherapist, is relevant and necessary for Mrs. Mann’s care. When appropriate, consent should be obtained, and information sharing must always respect confidentiality. Given Mrs. Mann’s limited English, administrative staff must ensure she understands how her information is used, providing support like interpreters if necessary. This aligns with person-centred care and equality principles. Policy frameworks like the </w:t>
      </w:r>
      <w:r w:rsidR="37DB027B" w:rsidRPr="00D906C5">
        <w:rPr>
          <w:rFonts w:ascii="Arial" w:eastAsia="system-ui" w:hAnsi="Arial" w:cs="Arial"/>
          <w:sz w:val="22"/>
          <w:szCs w:val="22"/>
        </w:rPr>
        <w:t>Care Quality Commission (CQC) Fundamental Standards</w:t>
      </w:r>
      <w:r w:rsidR="37DB027B" w:rsidRPr="008E3CCE">
        <w:rPr>
          <w:rFonts w:ascii="Arial" w:eastAsia="system-ui" w:hAnsi="Arial" w:cs="Arial"/>
          <w:sz w:val="22"/>
          <w:szCs w:val="22"/>
        </w:rPr>
        <w:t xml:space="preserve"> emphasise the importance of good governance, accurate record-keeping, and safe systems. Adhering to these standards helps prevent errors, facilitates effective communication, and promotes high-quality care. In Mrs. Mann’s case, improved administrative practices could reduce the risk of further incidents, enhance coordination between services, and support her recovery and independence at home.</w:t>
      </w:r>
      <w:r w:rsidR="0C676D09" w:rsidRPr="008E3CCE">
        <w:rPr>
          <w:rFonts w:ascii="Arial" w:eastAsia="system-ui" w:hAnsi="Arial" w:cs="Arial"/>
          <w:sz w:val="22"/>
          <w:szCs w:val="22"/>
        </w:rPr>
        <w:t xml:space="preserve"> </w:t>
      </w:r>
      <w:r w:rsidR="37DB027B" w:rsidRPr="008E3CCE">
        <w:rPr>
          <w:rFonts w:ascii="Arial" w:eastAsia="system-ui" w:hAnsi="Arial" w:cs="Arial"/>
          <w:sz w:val="22"/>
          <w:szCs w:val="22"/>
        </w:rPr>
        <w:t>In essence, effective administrative skills form the foundation of safe practice, legal compliance, and high-quality care, making them crucial in managing complex cases like Mrs. Mann’s.</w:t>
      </w:r>
      <w:r w:rsidR="0A028A76" w:rsidRPr="008E3CCE">
        <w:rPr>
          <w:rFonts w:ascii="Arial" w:eastAsia="system-ui" w:hAnsi="Arial" w:cs="Arial"/>
          <w:sz w:val="22"/>
          <w:szCs w:val="22"/>
        </w:rPr>
        <w:t xml:space="preserve"> Effective collaborative working among health and social care professionals is crucial for delivering safe, coordinated, and person-centred care. For instance, consider Mrs. Mann, a 72-year-old woman recently discharged after hip replacement surgery. Collaborative practice involves bringing together the expertise of domiciliary care workers, the GP, and the community physiotherapist to support rehabilitation, manage medication changes, and monitor recovery. When professionals communicate and coordinate effectively, the risk of errors, such as the inconsistencies in Mrs. Mann’s care with incomplete documentation and delayed medication adjustments, is significantly reduced. In the UK, health and social care services increasingly employ multidisciplinary teams (MDTs) as a fundamental mechanism for integrated care. MDTs facilitate the sharing of information, joint planning of care, and real-time response to changing needs, particularly for older adults with complex care requirements post-discharge. MDTs have been proven to enhance understanding of roles, improve access to shared information, and promote continuity of care by ensuring actions align with common goals for the patient’s health and well-being. To foster effective collaboration, various approaches are employed, including regular inter-professional meetings, shared care records, and secure communication channels that provide all team members with up-to-date information. Clear leadership and defined responsibilities help reduce ambiguity about accountability for specific care aspects. Additionally, involving Mrs. Mann and her daughter in care planning discussions ensures transparency and shared decision-making—essential principles of person-centred care.</w:t>
      </w:r>
      <w:r w:rsidR="22AA43CC" w:rsidRPr="008E3CCE">
        <w:rPr>
          <w:rFonts w:ascii="Arial" w:eastAsia="system-ui" w:hAnsi="Arial" w:cs="Arial"/>
          <w:sz w:val="22"/>
          <w:szCs w:val="22"/>
        </w:rPr>
        <w:t xml:space="preserve"> </w:t>
      </w:r>
      <w:r w:rsidR="0A028A76" w:rsidRPr="008E3CCE">
        <w:rPr>
          <w:rFonts w:ascii="Arial" w:eastAsia="system-ui" w:hAnsi="Arial" w:cs="Arial"/>
          <w:sz w:val="22"/>
          <w:szCs w:val="22"/>
        </w:rPr>
        <w:t>However, common challenges in multi-agency working include differences in professional language or priorities, as well as practical barriers such as inconsistent documentation systems. To address these challenges, standardised documentation practices are adopted, secure digital record systems are implemented accessible to all professionals, and regular feedback loops are established to confirm information accuracy. Furthermore, emphasising mutual respect and understanding of each role’s contributions enhances collaboration and improves outcomes for service users like Mrs. Mann.</w:t>
      </w:r>
      <w:r w:rsidR="617B7749" w:rsidRPr="008E3CCE">
        <w:rPr>
          <w:rFonts w:ascii="Arial" w:eastAsia="system-ui" w:hAnsi="Arial" w:cs="Arial"/>
          <w:sz w:val="22"/>
          <w:szCs w:val="22"/>
        </w:rPr>
        <w:t xml:space="preserve"> </w:t>
      </w:r>
    </w:p>
    <w:p w14:paraId="052BA274" w14:textId="3CA4ACAB" w:rsidR="6BD0146E" w:rsidRDefault="6BD0146E"/>
    <w:p w14:paraId="1FC2E003" w14:textId="3A39C7D9" w:rsidR="52F0A94D" w:rsidRPr="003D739A" w:rsidRDefault="52F0A94D" w:rsidP="6BD0146E">
      <w:pPr>
        <w:spacing w:before="240" w:after="240"/>
        <w:rPr>
          <w:rFonts w:ascii="Arial" w:eastAsia="system-ui" w:hAnsi="Arial" w:cs="Arial"/>
          <w:sz w:val="22"/>
          <w:szCs w:val="22"/>
        </w:rPr>
      </w:pPr>
      <w:r w:rsidRPr="003D739A">
        <w:rPr>
          <w:rFonts w:ascii="Arial" w:eastAsia="system-ui" w:hAnsi="Arial" w:cs="Arial"/>
          <w:sz w:val="22"/>
          <w:szCs w:val="22"/>
        </w:rPr>
        <w:t xml:space="preserve">References </w:t>
      </w:r>
    </w:p>
    <w:p w14:paraId="05574882" w14:textId="6FACC998"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Health Education England (HEE), </w:t>
      </w:r>
      <w:r w:rsidRPr="003D739A">
        <w:rPr>
          <w:rFonts w:ascii="Arial" w:eastAsia="UICTFontTextStyleItalicBody" w:hAnsi="Arial" w:cs="Arial"/>
          <w:sz w:val="22"/>
          <w:szCs w:val="22"/>
        </w:rPr>
        <w:t>Multidisciplinary Team (MDT) Toolkit</w:t>
      </w:r>
      <w:r w:rsidRPr="003D739A">
        <w:rPr>
          <w:rFonts w:ascii="Arial" w:eastAsia="UICTFontTextStyleBody" w:hAnsi="Arial" w:cs="Arial"/>
          <w:sz w:val="22"/>
          <w:szCs w:val="22"/>
        </w:rPr>
        <w:t xml:space="preserve"> (NHS England). Available at: </w:t>
      </w:r>
      <w:hyperlink r:id="rId6">
        <w:r w:rsidRPr="003D739A">
          <w:rPr>
            <w:rStyle w:val="Hyperlink"/>
            <w:rFonts w:ascii="Arial" w:eastAsia="UICTFontTextStyleBody" w:hAnsi="Arial" w:cs="Arial"/>
            <w:sz w:val="22"/>
            <w:szCs w:val="22"/>
          </w:rPr>
          <w:t>https://www.hee.nhs.uk/our</w:t>
        </w:r>
      </w:hyperlink>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work/workforce</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transformation/multidisciplinary</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team</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mdt</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 xml:space="preserve">toolkit (Accessed: 18 December 2025).  </w:t>
      </w:r>
    </w:p>
    <w:p w14:paraId="3D78802D" w14:textId="213AC80F" w:rsidR="6BD0146E" w:rsidRPr="003D739A" w:rsidRDefault="6BD0146E" w:rsidP="6BD0146E">
      <w:pPr>
        <w:spacing w:before="279" w:after="279"/>
        <w:rPr>
          <w:rFonts w:ascii="Arial" w:hAnsi="Arial" w:cs="Arial"/>
          <w:sz w:val="22"/>
          <w:szCs w:val="22"/>
        </w:rPr>
      </w:pPr>
    </w:p>
    <w:p w14:paraId="2B6042F7" w14:textId="1EAADC82"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Social Care Institute for Excellence (SCIE), </w:t>
      </w:r>
      <w:r w:rsidRPr="003D739A">
        <w:rPr>
          <w:rFonts w:ascii="Arial" w:eastAsia="UICTFontTextStyleItalicBody" w:hAnsi="Arial" w:cs="Arial"/>
          <w:sz w:val="22"/>
          <w:szCs w:val="22"/>
        </w:rPr>
        <w:t>Multidisciplinary teams: Integrating care in places and neighbourhoods</w:t>
      </w:r>
      <w:r w:rsidRPr="003D739A">
        <w:rPr>
          <w:rFonts w:ascii="Arial" w:eastAsia="UICTFontTextStyleBody" w:hAnsi="Arial" w:cs="Arial"/>
          <w:sz w:val="22"/>
          <w:szCs w:val="22"/>
        </w:rPr>
        <w:t xml:space="preserve"> (2018, updated 2022). Available at: </w:t>
      </w:r>
      <w:hyperlink r:id="rId7">
        <w:r w:rsidRPr="003D739A">
          <w:rPr>
            <w:rStyle w:val="Hyperlink"/>
            <w:rFonts w:ascii="Arial" w:eastAsia="UICTFontTextStyleBody" w:hAnsi="Arial" w:cs="Arial"/>
            <w:sz w:val="22"/>
            <w:szCs w:val="22"/>
          </w:rPr>
          <w:t>https://www.scie.org.uk/integrated</w:t>
        </w:r>
      </w:hyperlink>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care/multidisciplinary</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 xml:space="preserve">teams/ (Accessed: 18 December 2025).  </w:t>
      </w:r>
    </w:p>
    <w:p w14:paraId="0E7B574A" w14:textId="332A8C18" w:rsidR="6BD0146E" w:rsidRPr="003D739A" w:rsidRDefault="6BD0146E" w:rsidP="6BD0146E">
      <w:pPr>
        <w:spacing w:before="279" w:after="279"/>
        <w:rPr>
          <w:rFonts w:ascii="Arial" w:hAnsi="Arial" w:cs="Arial"/>
          <w:sz w:val="22"/>
          <w:szCs w:val="22"/>
        </w:rPr>
      </w:pPr>
    </w:p>
    <w:p w14:paraId="433CF6DE" w14:textId="33DE8C4A"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Care Learning, </w:t>
      </w:r>
      <w:r w:rsidRPr="003D739A">
        <w:rPr>
          <w:rFonts w:ascii="Arial" w:eastAsia="UICTFontTextStyleItalicBody" w:hAnsi="Arial" w:cs="Arial"/>
          <w:sz w:val="22"/>
          <w:szCs w:val="22"/>
        </w:rPr>
        <w:t>What are Multidisciplinary Teams in Health and Social Care?</w:t>
      </w:r>
      <w:r w:rsidRPr="003D739A">
        <w:rPr>
          <w:rFonts w:ascii="Arial" w:eastAsia="UICTFontTextStyleBody" w:hAnsi="Arial" w:cs="Arial"/>
          <w:sz w:val="22"/>
          <w:szCs w:val="22"/>
        </w:rPr>
        <w:t xml:space="preserve"> Available at: </w:t>
      </w:r>
      <w:hyperlink r:id="rId8">
        <w:r w:rsidRPr="003D739A">
          <w:rPr>
            <w:rStyle w:val="Hyperlink"/>
            <w:rFonts w:ascii="Arial" w:eastAsia="UICTFontTextStyleBody" w:hAnsi="Arial" w:cs="Arial"/>
            <w:sz w:val="22"/>
            <w:szCs w:val="22"/>
          </w:rPr>
          <w:t>https://carelearning.org.uk/blog/workforce/what</w:t>
        </w:r>
      </w:hyperlink>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are</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multidisciplinary</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teams</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in</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health</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and</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social</w:t>
      </w:r>
      <w:r w:rsidRPr="003D739A">
        <w:rPr>
          <w:rFonts w:ascii="Segoe UI Symbol" w:eastAsia="UICTFontTextStyleBody" w:hAnsi="Segoe UI Symbol" w:cs="Segoe UI Symbol"/>
          <w:sz w:val="22"/>
          <w:szCs w:val="22"/>
        </w:rPr>
        <w:t>‑</w:t>
      </w:r>
      <w:r w:rsidRPr="003D739A">
        <w:rPr>
          <w:rFonts w:ascii="Arial" w:eastAsia="UICTFontTextStyleBody" w:hAnsi="Arial" w:cs="Arial"/>
          <w:sz w:val="22"/>
          <w:szCs w:val="22"/>
        </w:rPr>
        <w:t xml:space="preserve">care/ (Accessed: 18 December 2025).  </w:t>
      </w:r>
    </w:p>
    <w:p w14:paraId="468CB7F0" w14:textId="6CE9C1DA" w:rsidR="6BD0146E" w:rsidRPr="003D739A" w:rsidRDefault="6BD0146E" w:rsidP="6BD0146E">
      <w:pPr>
        <w:spacing w:before="279" w:after="279"/>
        <w:rPr>
          <w:rFonts w:ascii="Arial" w:hAnsi="Arial" w:cs="Arial"/>
          <w:sz w:val="22"/>
          <w:szCs w:val="22"/>
        </w:rPr>
      </w:pPr>
    </w:p>
    <w:p w14:paraId="327CF47F" w14:textId="02E113F5"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Department of Health and Social Care (2014) </w:t>
      </w:r>
      <w:r w:rsidRPr="003D739A">
        <w:rPr>
          <w:rFonts w:ascii="Arial" w:eastAsia="UICTFontTextStyleItalicBody" w:hAnsi="Arial" w:cs="Arial"/>
          <w:sz w:val="22"/>
          <w:szCs w:val="22"/>
        </w:rPr>
        <w:t>The Care Act 2014: Guidance for implementation</w:t>
      </w:r>
      <w:r w:rsidRPr="003D739A">
        <w:rPr>
          <w:rFonts w:ascii="Arial" w:eastAsia="UICTFontTextStyleBody" w:hAnsi="Arial" w:cs="Arial"/>
          <w:sz w:val="22"/>
          <w:szCs w:val="22"/>
        </w:rPr>
        <w:t>. London: DHSC.</w:t>
      </w:r>
    </w:p>
    <w:p w14:paraId="1F387AF7" w14:textId="772E2463" w:rsidR="6BD0146E" w:rsidRPr="003D739A" w:rsidRDefault="6BD0146E" w:rsidP="6BD0146E">
      <w:pPr>
        <w:spacing w:before="279" w:after="279"/>
        <w:rPr>
          <w:rFonts w:ascii="Arial" w:hAnsi="Arial" w:cs="Arial"/>
          <w:sz w:val="22"/>
          <w:szCs w:val="22"/>
        </w:rPr>
      </w:pPr>
    </w:p>
    <w:p w14:paraId="5618C913" w14:textId="6F2F4F44"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Equality and Human Rights Commission (2010) </w:t>
      </w:r>
      <w:r w:rsidRPr="003D739A">
        <w:rPr>
          <w:rFonts w:ascii="Arial" w:eastAsia="UICTFontTextStyleItalicBody" w:hAnsi="Arial" w:cs="Arial"/>
          <w:sz w:val="22"/>
          <w:szCs w:val="22"/>
        </w:rPr>
        <w:t>Equality Act 2010: Guidance</w:t>
      </w:r>
      <w:r w:rsidRPr="003D739A">
        <w:rPr>
          <w:rFonts w:ascii="Arial" w:eastAsia="UICTFontTextStyleBody" w:hAnsi="Arial" w:cs="Arial"/>
          <w:sz w:val="22"/>
          <w:szCs w:val="22"/>
        </w:rPr>
        <w:t>. London: Equality and Human Rights Commission.</w:t>
      </w:r>
    </w:p>
    <w:p w14:paraId="70094369" w14:textId="1777B7E2" w:rsidR="6BD0146E" w:rsidRPr="003D739A" w:rsidRDefault="6BD0146E" w:rsidP="6BD0146E">
      <w:pPr>
        <w:spacing w:before="279" w:after="279"/>
        <w:rPr>
          <w:rFonts w:ascii="Arial" w:hAnsi="Arial" w:cs="Arial"/>
          <w:sz w:val="22"/>
          <w:szCs w:val="22"/>
        </w:rPr>
      </w:pPr>
    </w:p>
    <w:p w14:paraId="45DAB8C0" w14:textId="663F11A2"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Health and Care Professions Council (HCPC) (2018) </w:t>
      </w:r>
      <w:r w:rsidRPr="003D739A">
        <w:rPr>
          <w:rFonts w:ascii="Arial" w:eastAsia="UICTFontTextStyleItalicBody" w:hAnsi="Arial" w:cs="Arial"/>
          <w:sz w:val="22"/>
          <w:szCs w:val="22"/>
        </w:rPr>
        <w:t>Standards of conduct, performance and ethics</w:t>
      </w:r>
      <w:r w:rsidRPr="003D739A">
        <w:rPr>
          <w:rFonts w:ascii="Arial" w:eastAsia="UICTFontTextStyleBody" w:hAnsi="Arial" w:cs="Arial"/>
          <w:sz w:val="22"/>
          <w:szCs w:val="22"/>
        </w:rPr>
        <w:t>. London: HCPC.</w:t>
      </w:r>
    </w:p>
    <w:p w14:paraId="1785BB65" w14:textId="4DD6134C" w:rsidR="6BD0146E" w:rsidRPr="003D739A" w:rsidRDefault="6BD0146E" w:rsidP="6BD0146E">
      <w:pPr>
        <w:spacing w:before="279" w:after="279"/>
        <w:rPr>
          <w:rFonts w:ascii="Arial" w:hAnsi="Arial" w:cs="Arial"/>
          <w:sz w:val="22"/>
          <w:szCs w:val="22"/>
        </w:rPr>
      </w:pPr>
    </w:p>
    <w:p w14:paraId="2180ACE8" w14:textId="28E2AA22"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NHS England (2021) </w:t>
      </w:r>
      <w:r w:rsidRPr="003D739A">
        <w:rPr>
          <w:rFonts w:ascii="Arial" w:eastAsia="UICTFontTextStyleItalicBody" w:hAnsi="Arial" w:cs="Arial"/>
          <w:sz w:val="22"/>
          <w:szCs w:val="22"/>
        </w:rPr>
        <w:t>Accessible information standard</w:t>
      </w:r>
      <w:r w:rsidRPr="003D739A">
        <w:rPr>
          <w:rFonts w:ascii="Arial" w:eastAsia="UICTFontTextStyleBody" w:hAnsi="Arial" w:cs="Arial"/>
          <w:sz w:val="22"/>
          <w:szCs w:val="22"/>
        </w:rPr>
        <w:t xml:space="preserve">. Available at: </w:t>
      </w:r>
      <w:hyperlink r:id="rId9">
        <w:r w:rsidRPr="003D739A">
          <w:rPr>
            <w:rStyle w:val="Hyperlink"/>
            <w:rFonts w:ascii="Arial" w:eastAsia="UICTFontTextStyleBody" w:hAnsi="Arial" w:cs="Arial"/>
            <w:sz w:val="22"/>
            <w:szCs w:val="22"/>
          </w:rPr>
          <w:t>https://www.england.nhs.uk/ourwork/accessibleinfo/</w:t>
        </w:r>
      </w:hyperlink>
      <w:r w:rsidRPr="003D739A">
        <w:rPr>
          <w:rFonts w:ascii="Arial" w:eastAsia="UICTFontTextStyleBody" w:hAnsi="Arial" w:cs="Arial"/>
          <w:sz w:val="22"/>
          <w:szCs w:val="22"/>
        </w:rPr>
        <w:t xml:space="preserve"> (Accessed: 18 December 2025).</w:t>
      </w:r>
    </w:p>
    <w:p w14:paraId="299F6129" w14:textId="6FD2B959" w:rsidR="6BD0146E" w:rsidRPr="003D739A" w:rsidRDefault="6BD0146E" w:rsidP="6BD0146E">
      <w:pPr>
        <w:spacing w:before="279" w:after="279"/>
        <w:rPr>
          <w:rFonts w:ascii="Arial" w:hAnsi="Arial" w:cs="Arial"/>
          <w:sz w:val="22"/>
          <w:szCs w:val="22"/>
        </w:rPr>
      </w:pPr>
    </w:p>
    <w:p w14:paraId="102E850C" w14:textId="3420E6E9" w:rsidR="3EE336A5" w:rsidRPr="003D739A" w:rsidRDefault="3EE336A5" w:rsidP="6BD0146E">
      <w:pPr>
        <w:spacing w:before="279" w:after="279"/>
        <w:rPr>
          <w:rFonts w:ascii="Arial" w:hAnsi="Arial" w:cs="Arial"/>
          <w:sz w:val="22"/>
          <w:szCs w:val="22"/>
        </w:rPr>
      </w:pPr>
      <w:r w:rsidRPr="003D739A">
        <w:rPr>
          <w:rFonts w:ascii="Arial" w:eastAsia="UICTFontTextStyleBody" w:hAnsi="Arial" w:cs="Arial"/>
          <w:sz w:val="22"/>
          <w:szCs w:val="22"/>
        </w:rPr>
        <w:t xml:space="preserve">Thompson, N. (2017) </w:t>
      </w:r>
      <w:r w:rsidRPr="003D739A">
        <w:rPr>
          <w:rFonts w:ascii="Arial" w:eastAsia="UICTFontTextStyleItalicBody" w:hAnsi="Arial" w:cs="Arial"/>
          <w:sz w:val="22"/>
          <w:szCs w:val="22"/>
        </w:rPr>
        <w:t>Communication and language: A handbook of theory and practice</w:t>
      </w:r>
      <w:r w:rsidRPr="003D739A">
        <w:rPr>
          <w:rFonts w:ascii="Arial" w:eastAsia="UICTFontTextStyleBody" w:hAnsi="Arial" w:cs="Arial"/>
          <w:sz w:val="22"/>
          <w:szCs w:val="22"/>
        </w:rPr>
        <w:t>. 2nd edn. London: Palgrave Macmillan.</w:t>
      </w:r>
    </w:p>
    <w:p w14:paraId="037DFACA" w14:textId="56EF1E93" w:rsidR="6BD0146E" w:rsidRPr="003D739A" w:rsidRDefault="6BD0146E" w:rsidP="6BD0146E">
      <w:pPr>
        <w:spacing w:before="240" w:after="240"/>
        <w:rPr>
          <w:rFonts w:ascii="Arial" w:eastAsia="system-ui" w:hAnsi="Arial" w:cs="Arial"/>
          <w:sz w:val="22"/>
          <w:szCs w:val="22"/>
        </w:rPr>
      </w:pPr>
    </w:p>
    <w:p w14:paraId="76E46787" w14:textId="3F1F55C6" w:rsidR="68A035C4" w:rsidRPr="003D739A" w:rsidRDefault="68A035C4" w:rsidP="68A035C4">
      <w:pPr>
        <w:spacing w:before="240" w:after="240"/>
        <w:rPr>
          <w:rFonts w:ascii="Arial" w:eastAsia="system-ui" w:hAnsi="Arial" w:cs="Arial"/>
          <w:sz w:val="22"/>
          <w:szCs w:val="22"/>
        </w:rPr>
      </w:pPr>
    </w:p>
    <w:p w14:paraId="6004576D" w14:textId="49F1532B" w:rsidR="68A035C4" w:rsidRDefault="68A035C4" w:rsidP="68A035C4">
      <w:pPr>
        <w:spacing w:before="240" w:after="240"/>
        <w:rPr>
          <w:rFonts w:ascii="system-ui" w:eastAsia="system-ui" w:hAnsi="system-ui" w:cs="system-ui"/>
        </w:rPr>
      </w:pPr>
    </w:p>
    <w:p w14:paraId="07218F0C" w14:textId="76EC0D68" w:rsidR="68A035C4" w:rsidRDefault="68A035C4" w:rsidP="68A035C4"/>
    <w:sectPr w:rsidR="68A035C4">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2B7B2" w14:textId="77777777" w:rsidR="000D49F5" w:rsidRDefault="000D49F5">
      <w:pPr>
        <w:spacing w:after="0" w:line="240" w:lineRule="auto"/>
      </w:pPr>
      <w:r>
        <w:separator/>
      </w:r>
    </w:p>
  </w:endnote>
  <w:endnote w:type="continuationSeparator" w:id="0">
    <w:p w14:paraId="1DBC53C7" w14:textId="77777777" w:rsidR="000D49F5" w:rsidRDefault="000D4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stem-ui">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A035C4" w14:paraId="09A53284" w14:textId="77777777" w:rsidTr="68A035C4">
      <w:trPr>
        <w:trHeight w:val="300"/>
      </w:trPr>
      <w:tc>
        <w:tcPr>
          <w:tcW w:w="3005" w:type="dxa"/>
        </w:tcPr>
        <w:p w14:paraId="00631FE9" w14:textId="38A899D6" w:rsidR="68A035C4" w:rsidRDefault="68A035C4" w:rsidP="68A035C4">
          <w:pPr>
            <w:pStyle w:val="Header"/>
            <w:ind w:left="-115"/>
          </w:pPr>
        </w:p>
      </w:tc>
      <w:tc>
        <w:tcPr>
          <w:tcW w:w="3005" w:type="dxa"/>
        </w:tcPr>
        <w:p w14:paraId="065101D5" w14:textId="6121C44E" w:rsidR="68A035C4" w:rsidRDefault="68A035C4" w:rsidP="68A035C4">
          <w:pPr>
            <w:pStyle w:val="Header"/>
            <w:jc w:val="center"/>
          </w:pPr>
        </w:p>
      </w:tc>
      <w:tc>
        <w:tcPr>
          <w:tcW w:w="3005" w:type="dxa"/>
        </w:tcPr>
        <w:p w14:paraId="659DA46F" w14:textId="0B180879" w:rsidR="68A035C4" w:rsidRDefault="68A035C4" w:rsidP="68A035C4">
          <w:pPr>
            <w:pStyle w:val="Header"/>
            <w:ind w:right="-115"/>
            <w:jc w:val="right"/>
          </w:pPr>
        </w:p>
      </w:tc>
    </w:tr>
  </w:tbl>
  <w:p w14:paraId="38765456" w14:textId="4319671B" w:rsidR="68A035C4" w:rsidRDefault="68A035C4" w:rsidP="68A03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88FFE" w14:textId="77777777" w:rsidR="000D49F5" w:rsidRDefault="000D49F5">
      <w:pPr>
        <w:spacing w:after="0" w:line="240" w:lineRule="auto"/>
      </w:pPr>
      <w:r>
        <w:separator/>
      </w:r>
    </w:p>
  </w:footnote>
  <w:footnote w:type="continuationSeparator" w:id="0">
    <w:p w14:paraId="40295E92" w14:textId="77777777" w:rsidR="000D49F5" w:rsidRDefault="000D4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8A035C4" w14:paraId="0EF776F3" w14:textId="77777777" w:rsidTr="68A035C4">
      <w:trPr>
        <w:trHeight w:val="300"/>
      </w:trPr>
      <w:tc>
        <w:tcPr>
          <w:tcW w:w="3005" w:type="dxa"/>
        </w:tcPr>
        <w:p w14:paraId="09312ADD" w14:textId="1B16A38D" w:rsidR="68A035C4" w:rsidRDefault="68A035C4" w:rsidP="68A035C4">
          <w:pPr>
            <w:pStyle w:val="Header"/>
            <w:ind w:left="-115"/>
          </w:pPr>
        </w:p>
      </w:tc>
      <w:tc>
        <w:tcPr>
          <w:tcW w:w="3005" w:type="dxa"/>
        </w:tcPr>
        <w:p w14:paraId="5E4D72E4" w14:textId="7C8D0C24" w:rsidR="68A035C4" w:rsidRDefault="68A035C4" w:rsidP="68A035C4">
          <w:pPr>
            <w:pStyle w:val="Header"/>
            <w:jc w:val="center"/>
          </w:pPr>
        </w:p>
      </w:tc>
      <w:tc>
        <w:tcPr>
          <w:tcW w:w="3005" w:type="dxa"/>
        </w:tcPr>
        <w:p w14:paraId="01689786" w14:textId="711F0B0A" w:rsidR="68A035C4" w:rsidRDefault="68A035C4" w:rsidP="68A035C4">
          <w:pPr>
            <w:pStyle w:val="Header"/>
            <w:ind w:right="-115"/>
            <w:jc w:val="right"/>
          </w:pPr>
        </w:p>
      </w:tc>
    </w:tr>
  </w:tbl>
  <w:p w14:paraId="45415C22" w14:textId="564B48C0" w:rsidR="68A035C4" w:rsidRDefault="68A035C4" w:rsidP="68A035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489A4D"/>
    <w:rsid w:val="000D49F5"/>
    <w:rsid w:val="003D739A"/>
    <w:rsid w:val="003E6938"/>
    <w:rsid w:val="008E3CCE"/>
    <w:rsid w:val="00C05BAE"/>
    <w:rsid w:val="00D906C5"/>
    <w:rsid w:val="0737453A"/>
    <w:rsid w:val="079BB78F"/>
    <w:rsid w:val="0A028A76"/>
    <w:rsid w:val="0C676D09"/>
    <w:rsid w:val="1087D7A3"/>
    <w:rsid w:val="11CA1054"/>
    <w:rsid w:val="16ABACB5"/>
    <w:rsid w:val="193E5FE9"/>
    <w:rsid w:val="1B11C834"/>
    <w:rsid w:val="1D066F36"/>
    <w:rsid w:val="1FB81162"/>
    <w:rsid w:val="22AA43CC"/>
    <w:rsid w:val="254E0FBF"/>
    <w:rsid w:val="37DB027B"/>
    <w:rsid w:val="3C05CE97"/>
    <w:rsid w:val="3EE336A5"/>
    <w:rsid w:val="43FEB943"/>
    <w:rsid w:val="4E27F692"/>
    <w:rsid w:val="52F0A94D"/>
    <w:rsid w:val="550AEB91"/>
    <w:rsid w:val="5C489A4D"/>
    <w:rsid w:val="617B7749"/>
    <w:rsid w:val="67AC2316"/>
    <w:rsid w:val="68A035C4"/>
    <w:rsid w:val="6BD0146E"/>
    <w:rsid w:val="6EE93AC8"/>
    <w:rsid w:val="702F6A32"/>
    <w:rsid w:val="7421D412"/>
    <w:rsid w:val="7637F88F"/>
    <w:rsid w:val="79FB6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89A4D"/>
  <w15:chartTrackingRefBased/>
  <w15:docId w15:val="{30EB66F7-A2A6-4803-811B-5BE04371E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68A035C4"/>
    <w:pPr>
      <w:tabs>
        <w:tab w:val="center" w:pos="4680"/>
        <w:tab w:val="right" w:pos="9360"/>
      </w:tabs>
      <w:spacing w:after="0" w:line="240" w:lineRule="auto"/>
    </w:pPr>
  </w:style>
  <w:style w:type="paragraph" w:styleId="Footer">
    <w:name w:val="footer"/>
    <w:basedOn w:val="Normal"/>
    <w:uiPriority w:val="99"/>
    <w:unhideWhenUsed/>
    <w:rsid w:val="68A035C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6BD0146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learning.org.uk/blog/workforce/wha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cie.org.uk/integrated"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e.nhs.uk/our"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ngland.nhs.uk/ourwork/accessibleinf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1478</Words>
  <Characters>8425</Characters>
  <Application>Microsoft Office Word</Application>
  <DocSecurity>0</DocSecurity>
  <Lines>70</Lines>
  <Paragraphs>19</Paragraphs>
  <ScaleCrop>false</ScaleCrop>
  <Company/>
  <LinksUpToDate>false</LinksUpToDate>
  <CharactersWithSpaces>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Anzhelika Volosianko (2440645)</dc:creator>
  <cp:keywords/>
  <dc:description/>
  <cp:lastModifiedBy>Anzhelika Volosianko (2440645)</cp:lastModifiedBy>
  <cp:revision>6</cp:revision>
  <dcterms:created xsi:type="dcterms:W3CDTF">2025-12-18T20:05:00Z</dcterms:created>
  <dcterms:modified xsi:type="dcterms:W3CDTF">2025-12-18T20:45:00Z</dcterms:modified>
</cp:coreProperties>
</file>