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EFF6A" w14:textId="77777777" w:rsidR="00C3207C" w:rsidRDefault="00C3207C" w:rsidP="00C3207C">
      <w:pPr>
        <w:jc w:val="center"/>
        <w:rPr>
          <w:b/>
          <w:sz w:val="52"/>
          <w:szCs w:val="52"/>
        </w:rPr>
      </w:pPr>
    </w:p>
    <w:p w14:paraId="042D7C11" w14:textId="7AD32E36" w:rsidR="009B3FB7" w:rsidRDefault="009B3FB7" w:rsidP="009B3FB7">
      <w:pPr>
        <w:rPr>
          <w:rFonts w:cs="Times New Roman"/>
          <w:color w:val="000000" w:themeColor="text1"/>
          <w:szCs w:val="24"/>
        </w:rPr>
      </w:pPr>
    </w:p>
    <w:p w14:paraId="4FB25794" w14:textId="77777777" w:rsidR="009B3FB7" w:rsidRDefault="00C3207C" w:rsidP="009B3FB7">
      <w:pPr>
        <w:jc w:val="center"/>
        <w:rPr>
          <w:b/>
          <w:sz w:val="56"/>
          <w:szCs w:val="56"/>
        </w:rPr>
      </w:pPr>
      <w:r w:rsidRPr="00C3207C">
        <w:rPr>
          <w:b/>
          <w:sz w:val="52"/>
          <w:szCs w:val="52"/>
        </w:rPr>
        <w:t>Managing People</w:t>
      </w:r>
      <w:r w:rsidR="009B3FB7">
        <w:rPr>
          <w:b/>
          <w:sz w:val="52"/>
          <w:szCs w:val="52"/>
        </w:rPr>
        <w:t xml:space="preserve"> - </w:t>
      </w:r>
      <w:r w:rsidR="009B3FB7" w:rsidRPr="00BA6B31">
        <w:rPr>
          <w:b/>
          <w:sz w:val="56"/>
          <w:szCs w:val="56"/>
        </w:rPr>
        <w:t xml:space="preserve">Assessment </w:t>
      </w:r>
      <w:r w:rsidR="009B3FB7">
        <w:rPr>
          <w:b/>
          <w:sz w:val="56"/>
          <w:szCs w:val="56"/>
        </w:rPr>
        <w:t>2</w:t>
      </w:r>
    </w:p>
    <w:p w14:paraId="7567B9E9" w14:textId="77777777" w:rsidR="009B3FB7" w:rsidRDefault="009B3FB7" w:rsidP="009B3FB7">
      <w:pPr>
        <w:rPr>
          <w:rFonts w:cs="Times New Roman"/>
          <w:color w:val="000000" w:themeColor="text1"/>
          <w:szCs w:val="24"/>
        </w:rPr>
      </w:pPr>
      <w:r w:rsidRPr="009D50A6">
        <w:rPr>
          <w:rFonts w:cs="Times New Roman"/>
          <w:color w:val="000000" w:themeColor="text1"/>
          <w:szCs w:val="24"/>
        </w:rPr>
        <w:t xml:space="preserve">Maria Cristina </w:t>
      </w:r>
      <w:proofErr w:type="spellStart"/>
      <w:r w:rsidRPr="009D50A6">
        <w:rPr>
          <w:rFonts w:cs="Times New Roman"/>
          <w:color w:val="000000" w:themeColor="text1"/>
          <w:szCs w:val="24"/>
        </w:rPr>
        <w:t>Iacobici</w:t>
      </w:r>
      <w:proofErr w:type="spellEnd"/>
      <w:r w:rsidRPr="009D50A6">
        <w:rPr>
          <w:rFonts w:cs="Times New Roman"/>
          <w:color w:val="000000" w:themeColor="text1"/>
          <w:szCs w:val="24"/>
        </w:rPr>
        <w:t xml:space="preserve"> (2011287)</w:t>
      </w:r>
    </w:p>
    <w:p w14:paraId="27540FAA" w14:textId="77777777" w:rsidR="009B3FB7" w:rsidRDefault="009B3FB7" w:rsidP="009B3FB7">
      <w:pPr>
        <w:rPr>
          <w:rFonts w:cs="Times New Roman"/>
          <w:color w:val="000000" w:themeColor="text1"/>
          <w:szCs w:val="24"/>
        </w:rPr>
      </w:pPr>
      <w:r>
        <w:rPr>
          <w:rFonts w:cs="Times New Roman"/>
          <w:color w:val="000000" w:themeColor="text1"/>
          <w:szCs w:val="24"/>
        </w:rPr>
        <w:t>LCBB5004</w:t>
      </w:r>
    </w:p>
    <w:p w14:paraId="5EE9B583" w14:textId="77777777" w:rsidR="009B3FB7" w:rsidRDefault="009B3FB7" w:rsidP="009B3FB7">
      <w:pPr>
        <w:rPr>
          <w:rFonts w:cs="Times New Roman"/>
          <w:color w:val="000000" w:themeColor="text1"/>
          <w:szCs w:val="24"/>
        </w:rPr>
      </w:pPr>
      <w:r>
        <w:rPr>
          <w:rFonts w:cs="Times New Roman"/>
          <w:color w:val="000000" w:themeColor="text1"/>
          <w:szCs w:val="24"/>
        </w:rPr>
        <w:t>Dr CHARLES OHAM</w:t>
      </w:r>
    </w:p>
    <w:p w14:paraId="4F7F4D9C" w14:textId="77777777" w:rsidR="009B3FB7" w:rsidRDefault="009B3FB7" w:rsidP="009B3FB7">
      <w:pPr>
        <w:jc w:val="center"/>
        <w:rPr>
          <w:b/>
          <w:sz w:val="56"/>
          <w:szCs w:val="56"/>
        </w:rPr>
      </w:pPr>
    </w:p>
    <w:p w14:paraId="339204AA" w14:textId="77777777" w:rsidR="009B3FB7" w:rsidRDefault="009B3FB7" w:rsidP="009B3FB7">
      <w:pPr>
        <w:rPr>
          <w:b/>
          <w:sz w:val="56"/>
          <w:szCs w:val="56"/>
        </w:rPr>
      </w:pPr>
    </w:p>
    <w:p w14:paraId="6AC94186" w14:textId="61D14006" w:rsidR="009B3FB7" w:rsidRDefault="009B3FB7" w:rsidP="009B3FB7">
      <w:pPr>
        <w:jc w:val="center"/>
        <w:rPr>
          <w:b/>
          <w:sz w:val="52"/>
          <w:szCs w:val="52"/>
        </w:rPr>
        <w:sectPr w:rsidR="009B3FB7" w:rsidSect="006678E7">
          <w:footerReference w:type="default" r:id="rId8"/>
          <w:pgSz w:w="12240" w:h="15840"/>
          <w:pgMar w:top="1440" w:right="1440" w:bottom="1440" w:left="1440" w:header="720" w:footer="720" w:gutter="0"/>
          <w:cols w:space="720"/>
          <w:docGrid w:linePitch="360"/>
        </w:sectPr>
      </w:pPr>
    </w:p>
    <w:sdt>
      <w:sdtPr>
        <w:rPr>
          <w:rFonts w:ascii="Arial" w:eastAsiaTheme="minorHAnsi" w:hAnsi="Arial" w:cstheme="minorBidi"/>
          <w:b w:val="0"/>
          <w:bCs w:val="0"/>
          <w:color w:val="auto"/>
          <w:sz w:val="22"/>
          <w:szCs w:val="22"/>
        </w:rPr>
        <w:id w:val="24741142"/>
        <w:docPartObj>
          <w:docPartGallery w:val="Table of Contents"/>
          <w:docPartUnique/>
        </w:docPartObj>
      </w:sdtPr>
      <w:sdtEndPr/>
      <w:sdtContent>
        <w:p w14:paraId="45E39E7A" w14:textId="77777777" w:rsidR="00D952D8" w:rsidRDefault="00D952D8" w:rsidP="00D952D8">
          <w:pPr>
            <w:pStyle w:val="TOCHeading"/>
            <w:jc w:val="center"/>
          </w:pPr>
          <w:r w:rsidRPr="00D952D8">
            <w:rPr>
              <w:rFonts w:ascii="Arial" w:hAnsi="Arial" w:cs="Arial"/>
              <w:color w:val="auto"/>
            </w:rPr>
            <w:t>Table of Contents</w:t>
          </w:r>
        </w:p>
        <w:p w14:paraId="48437E45" w14:textId="77777777" w:rsidR="00D952D8" w:rsidRDefault="00D952D8">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101889304" w:history="1">
            <w:r w:rsidRPr="00377B2C">
              <w:rPr>
                <w:rStyle w:val="Hyperlink"/>
                <w:noProof/>
              </w:rPr>
              <w:t>Introduction</w:t>
            </w:r>
            <w:r>
              <w:rPr>
                <w:noProof/>
                <w:webHidden/>
              </w:rPr>
              <w:tab/>
            </w:r>
            <w:r>
              <w:rPr>
                <w:noProof/>
                <w:webHidden/>
              </w:rPr>
              <w:fldChar w:fldCharType="begin"/>
            </w:r>
            <w:r>
              <w:rPr>
                <w:noProof/>
                <w:webHidden/>
              </w:rPr>
              <w:instrText xml:space="preserve"> PAGEREF _Toc101889304 \h </w:instrText>
            </w:r>
            <w:r>
              <w:rPr>
                <w:noProof/>
                <w:webHidden/>
              </w:rPr>
            </w:r>
            <w:r>
              <w:rPr>
                <w:noProof/>
                <w:webHidden/>
              </w:rPr>
              <w:fldChar w:fldCharType="separate"/>
            </w:r>
            <w:r>
              <w:rPr>
                <w:noProof/>
                <w:webHidden/>
              </w:rPr>
              <w:t>1</w:t>
            </w:r>
            <w:r>
              <w:rPr>
                <w:noProof/>
                <w:webHidden/>
              </w:rPr>
              <w:fldChar w:fldCharType="end"/>
            </w:r>
          </w:hyperlink>
        </w:p>
        <w:p w14:paraId="604FEFA3" w14:textId="77777777" w:rsidR="00D952D8" w:rsidRDefault="00B5386F">
          <w:pPr>
            <w:pStyle w:val="TOC1"/>
            <w:tabs>
              <w:tab w:val="right" w:leader="dot" w:pos="9350"/>
            </w:tabs>
            <w:rPr>
              <w:rFonts w:asciiTheme="minorHAnsi" w:eastAsiaTheme="minorEastAsia" w:hAnsiTheme="minorHAnsi"/>
              <w:noProof/>
              <w:lang w:val="en-US"/>
            </w:rPr>
          </w:pPr>
          <w:hyperlink w:anchor="_Toc101889305" w:history="1">
            <w:r w:rsidR="00D952D8" w:rsidRPr="00377B2C">
              <w:rPr>
                <w:rStyle w:val="Hyperlink"/>
                <w:noProof/>
              </w:rPr>
              <w:t>Tasks</w:t>
            </w:r>
            <w:r w:rsidR="00D952D8">
              <w:rPr>
                <w:noProof/>
                <w:webHidden/>
              </w:rPr>
              <w:tab/>
            </w:r>
            <w:r w:rsidR="00D952D8">
              <w:rPr>
                <w:noProof/>
                <w:webHidden/>
              </w:rPr>
              <w:fldChar w:fldCharType="begin"/>
            </w:r>
            <w:r w:rsidR="00D952D8">
              <w:rPr>
                <w:noProof/>
                <w:webHidden/>
              </w:rPr>
              <w:instrText xml:space="preserve"> PAGEREF _Toc101889305 \h </w:instrText>
            </w:r>
            <w:r w:rsidR="00D952D8">
              <w:rPr>
                <w:noProof/>
                <w:webHidden/>
              </w:rPr>
            </w:r>
            <w:r w:rsidR="00D952D8">
              <w:rPr>
                <w:noProof/>
                <w:webHidden/>
              </w:rPr>
              <w:fldChar w:fldCharType="separate"/>
            </w:r>
            <w:r w:rsidR="00D952D8">
              <w:rPr>
                <w:noProof/>
                <w:webHidden/>
              </w:rPr>
              <w:t>2</w:t>
            </w:r>
            <w:r w:rsidR="00D952D8">
              <w:rPr>
                <w:noProof/>
                <w:webHidden/>
              </w:rPr>
              <w:fldChar w:fldCharType="end"/>
            </w:r>
          </w:hyperlink>
        </w:p>
        <w:p w14:paraId="75A9207F" w14:textId="77777777" w:rsidR="00D952D8" w:rsidRDefault="00B5386F">
          <w:pPr>
            <w:pStyle w:val="TOC2"/>
            <w:tabs>
              <w:tab w:val="right" w:leader="dot" w:pos="9350"/>
            </w:tabs>
            <w:rPr>
              <w:rFonts w:asciiTheme="minorHAnsi" w:eastAsiaTheme="minorEastAsia" w:hAnsiTheme="minorHAnsi"/>
              <w:noProof/>
              <w:lang w:val="en-US"/>
            </w:rPr>
          </w:pPr>
          <w:hyperlink w:anchor="_Toc101889306" w:history="1">
            <w:r w:rsidR="00D952D8" w:rsidRPr="00377B2C">
              <w:rPr>
                <w:rStyle w:val="Hyperlink"/>
                <w:noProof/>
              </w:rPr>
              <w:t>Reviews the concept and drivers of employee engagement</w:t>
            </w:r>
            <w:r w:rsidR="00D952D8">
              <w:rPr>
                <w:noProof/>
                <w:webHidden/>
              </w:rPr>
              <w:tab/>
            </w:r>
            <w:r w:rsidR="00D952D8">
              <w:rPr>
                <w:noProof/>
                <w:webHidden/>
              </w:rPr>
              <w:fldChar w:fldCharType="begin"/>
            </w:r>
            <w:r w:rsidR="00D952D8">
              <w:rPr>
                <w:noProof/>
                <w:webHidden/>
              </w:rPr>
              <w:instrText xml:space="preserve"> PAGEREF _Toc101889306 \h </w:instrText>
            </w:r>
            <w:r w:rsidR="00D952D8">
              <w:rPr>
                <w:noProof/>
                <w:webHidden/>
              </w:rPr>
            </w:r>
            <w:r w:rsidR="00D952D8">
              <w:rPr>
                <w:noProof/>
                <w:webHidden/>
              </w:rPr>
              <w:fldChar w:fldCharType="separate"/>
            </w:r>
            <w:r w:rsidR="00D952D8">
              <w:rPr>
                <w:noProof/>
                <w:webHidden/>
              </w:rPr>
              <w:t>2</w:t>
            </w:r>
            <w:r w:rsidR="00D952D8">
              <w:rPr>
                <w:noProof/>
                <w:webHidden/>
              </w:rPr>
              <w:fldChar w:fldCharType="end"/>
            </w:r>
          </w:hyperlink>
        </w:p>
        <w:p w14:paraId="745091A2" w14:textId="77777777" w:rsidR="00D952D8" w:rsidRDefault="00B5386F">
          <w:pPr>
            <w:pStyle w:val="TOC2"/>
            <w:tabs>
              <w:tab w:val="right" w:leader="dot" w:pos="9350"/>
            </w:tabs>
            <w:rPr>
              <w:rFonts w:asciiTheme="minorHAnsi" w:eastAsiaTheme="minorEastAsia" w:hAnsiTheme="minorHAnsi"/>
              <w:noProof/>
              <w:lang w:val="en-US"/>
            </w:rPr>
          </w:pPr>
          <w:hyperlink w:anchor="_Toc101889307" w:history="1">
            <w:r w:rsidR="00D952D8" w:rsidRPr="00377B2C">
              <w:rPr>
                <w:rStyle w:val="Hyperlink"/>
                <w:noProof/>
              </w:rPr>
              <w:t>Evaluates diagnostic tools to measure engagement</w:t>
            </w:r>
            <w:r w:rsidR="00D952D8">
              <w:rPr>
                <w:noProof/>
                <w:webHidden/>
              </w:rPr>
              <w:tab/>
            </w:r>
            <w:r w:rsidR="00D952D8">
              <w:rPr>
                <w:noProof/>
                <w:webHidden/>
              </w:rPr>
              <w:fldChar w:fldCharType="begin"/>
            </w:r>
            <w:r w:rsidR="00D952D8">
              <w:rPr>
                <w:noProof/>
                <w:webHidden/>
              </w:rPr>
              <w:instrText xml:space="preserve"> PAGEREF _Toc101889307 \h </w:instrText>
            </w:r>
            <w:r w:rsidR="00D952D8">
              <w:rPr>
                <w:noProof/>
                <w:webHidden/>
              </w:rPr>
            </w:r>
            <w:r w:rsidR="00D952D8">
              <w:rPr>
                <w:noProof/>
                <w:webHidden/>
              </w:rPr>
              <w:fldChar w:fldCharType="separate"/>
            </w:r>
            <w:r w:rsidR="00D952D8">
              <w:rPr>
                <w:noProof/>
                <w:webHidden/>
              </w:rPr>
              <w:t>3</w:t>
            </w:r>
            <w:r w:rsidR="00D952D8">
              <w:rPr>
                <w:noProof/>
                <w:webHidden/>
              </w:rPr>
              <w:fldChar w:fldCharType="end"/>
            </w:r>
          </w:hyperlink>
        </w:p>
        <w:p w14:paraId="51EFEA76" w14:textId="77777777" w:rsidR="00D952D8" w:rsidRDefault="00B5386F">
          <w:pPr>
            <w:pStyle w:val="TOC2"/>
            <w:tabs>
              <w:tab w:val="right" w:leader="dot" w:pos="9350"/>
            </w:tabs>
            <w:rPr>
              <w:rFonts w:asciiTheme="minorHAnsi" w:eastAsiaTheme="minorEastAsia" w:hAnsiTheme="minorHAnsi"/>
              <w:noProof/>
              <w:lang w:val="en-US"/>
            </w:rPr>
          </w:pPr>
          <w:hyperlink w:anchor="_Toc101889308" w:history="1">
            <w:r w:rsidR="00D952D8" w:rsidRPr="00377B2C">
              <w:rPr>
                <w:rStyle w:val="Hyperlink"/>
                <w:noProof/>
              </w:rPr>
              <w:t>Constructs an employee value proposition from the ideas and analysis previously covered, including strategies to raise levels of engagement.</w:t>
            </w:r>
            <w:r w:rsidR="00D952D8">
              <w:rPr>
                <w:noProof/>
                <w:webHidden/>
              </w:rPr>
              <w:tab/>
            </w:r>
            <w:r w:rsidR="00D952D8">
              <w:rPr>
                <w:noProof/>
                <w:webHidden/>
              </w:rPr>
              <w:fldChar w:fldCharType="begin"/>
            </w:r>
            <w:r w:rsidR="00D952D8">
              <w:rPr>
                <w:noProof/>
                <w:webHidden/>
              </w:rPr>
              <w:instrText xml:space="preserve"> PAGEREF _Toc101889308 \h </w:instrText>
            </w:r>
            <w:r w:rsidR="00D952D8">
              <w:rPr>
                <w:noProof/>
                <w:webHidden/>
              </w:rPr>
            </w:r>
            <w:r w:rsidR="00D952D8">
              <w:rPr>
                <w:noProof/>
                <w:webHidden/>
              </w:rPr>
              <w:fldChar w:fldCharType="separate"/>
            </w:r>
            <w:r w:rsidR="00D952D8">
              <w:rPr>
                <w:noProof/>
                <w:webHidden/>
              </w:rPr>
              <w:t>4</w:t>
            </w:r>
            <w:r w:rsidR="00D952D8">
              <w:rPr>
                <w:noProof/>
                <w:webHidden/>
              </w:rPr>
              <w:fldChar w:fldCharType="end"/>
            </w:r>
          </w:hyperlink>
        </w:p>
        <w:p w14:paraId="7C029F62" w14:textId="77777777" w:rsidR="00D952D8" w:rsidRDefault="00B5386F">
          <w:pPr>
            <w:pStyle w:val="TOC1"/>
            <w:tabs>
              <w:tab w:val="right" w:leader="dot" w:pos="9350"/>
            </w:tabs>
            <w:rPr>
              <w:rFonts w:asciiTheme="minorHAnsi" w:eastAsiaTheme="minorEastAsia" w:hAnsiTheme="minorHAnsi"/>
              <w:noProof/>
              <w:lang w:val="en-US"/>
            </w:rPr>
          </w:pPr>
          <w:hyperlink w:anchor="_Toc101889309" w:history="1">
            <w:r w:rsidR="00D952D8" w:rsidRPr="00377B2C">
              <w:rPr>
                <w:rStyle w:val="Hyperlink"/>
                <w:noProof/>
              </w:rPr>
              <w:t>Conclusion</w:t>
            </w:r>
            <w:r w:rsidR="00D952D8">
              <w:rPr>
                <w:noProof/>
                <w:webHidden/>
              </w:rPr>
              <w:tab/>
            </w:r>
            <w:r w:rsidR="00D952D8">
              <w:rPr>
                <w:noProof/>
                <w:webHidden/>
              </w:rPr>
              <w:fldChar w:fldCharType="begin"/>
            </w:r>
            <w:r w:rsidR="00D952D8">
              <w:rPr>
                <w:noProof/>
                <w:webHidden/>
              </w:rPr>
              <w:instrText xml:space="preserve"> PAGEREF _Toc101889309 \h </w:instrText>
            </w:r>
            <w:r w:rsidR="00D952D8">
              <w:rPr>
                <w:noProof/>
                <w:webHidden/>
              </w:rPr>
            </w:r>
            <w:r w:rsidR="00D952D8">
              <w:rPr>
                <w:noProof/>
                <w:webHidden/>
              </w:rPr>
              <w:fldChar w:fldCharType="separate"/>
            </w:r>
            <w:r w:rsidR="00D952D8">
              <w:rPr>
                <w:noProof/>
                <w:webHidden/>
              </w:rPr>
              <w:t>6</w:t>
            </w:r>
            <w:r w:rsidR="00D952D8">
              <w:rPr>
                <w:noProof/>
                <w:webHidden/>
              </w:rPr>
              <w:fldChar w:fldCharType="end"/>
            </w:r>
          </w:hyperlink>
        </w:p>
        <w:p w14:paraId="0BA96FBC" w14:textId="77777777" w:rsidR="00D952D8" w:rsidRDefault="00B5386F">
          <w:pPr>
            <w:pStyle w:val="TOC1"/>
            <w:tabs>
              <w:tab w:val="right" w:leader="dot" w:pos="9350"/>
            </w:tabs>
            <w:rPr>
              <w:rFonts w:asciiTheme="minorHAnsi" w:eastAsiaTheme="minorEastAsia" w:hAnsiTheme="minorHAnsi"/>
              <w:noProof/>
              <w:lang w:val="en-US"/>
            </w:rPr>
          </w:pPr>
          <w:hyperlink w:anchor="_Toc101889310" w:history="1">
            <w:r w:rsidR="00D952D8" w:rsidRPr="00377B2C">
              <w:rPr>
                <w:rStyle w:val="Hyperlink"/>
                <w:noProof/>
              </w:rPr>
              <w:t>References</w:t>
            </w:r>
            <w:r w:rsidR="00D952D8">
              <w:rPr>
                <w:noProof/>
                <w:webHidden/>
              </w:rPr>
              <w:tab/>
            </w:r>
            <w:r w:rsidR="00D952D8">
              <w:rPr>
                <w:noProof/>
                <w:webHidden/>
              </w:rPr>
              <w:fldChar w:fldCharType="begin"/>
            </w:r>
            <w:r w:rsidR="00D952D8">
              <w:rPr>
                <w:noProof/>
                <w:webHidden/>
              </w:rPr>
              <w:instrText xml:space="preserve"> PAGEREF _Toc101889310 \h </w:instrText>
            </w:r>
            <w:r w:rsidR="00D952D8">
              <w:rPr>
                <w:noProof/>
                <w:webHidden/>
              </w:rPr>
            </w:r>
            <w:r w:rsidR="00D952D8">
              <w:rPr>
                <w:noProof/>
                <w:webHidden/>
              </w:rPr>
              <w:fldChar w:fldCharType="separate"/>
            </w:r>
            <w:r w:rsidR="00D952D8">
              <w:rPr>
                <w:noProof/>
                <w:webHidden/>
              </w:rPr>
              <w:t>7</w:t>
            </w:r>
            <w:r w:rsidR="00D952D8">
              <w:rPr>
                <w:noProof/>
                <w:webHidden/>
              </w:rPr>
              <w:fldChar w:fldCharType="end"/>
            </w:r>
          </w:hyperlink>
        </w:p>
        <w:p w14:paraId="7E303FF5" w14:textId="77777777" w:rsidR="00D952D8" w:rsidRDefault="00D952D8">
          <w:r>
            <w:fldChar w:fldCharType="end"/>
          </w:r>
        </w:p>
      </w:sdtContent>
    </w:sdt>
    <w:p w14:paraId="1C1290D8" w14:textId="77777777" w:rsidR="00561024" w:rsidRDefault="00561024" w:rsidP="00C3207C">
      <w:pPr>
        <w:jc w:val="center"/>
        <w:rPr>
          <w:b/>
          <w:sz w:val="52"/>
          <w:szCs w:val="52"/>
        </w:rPr>
        <w:sectPr w:rsidR="00561024" w:rsidSect="006678E7">
          <w:pgSz w:w="12240" w:h="15840"/>
          <w:pgMar w:top="1440" w:right="1440" w:bottom="1440" w:left="1440" w:header="720" w:footer="720" w:gutter="0"/>
          <w:cols w:space="720"/>
          <w:docGrid w:linePitch="360"/>
        </w:sectPr>
      </w:pPr>
    </w:p>
    <w:p w14:paraId="0F4B653F" w14:textId="77777777" w:rsidR="003D4B36" w:rsidRDefault="00561024" w:rsidP="00561024">
      <w:pPr>
        <w:pStyle w:val="Heading1"/>
      </w:pPr>
      <w:bookmarkStart w:id="0" w:name="_Toc101889304"/>
      <w:r>
        <w:lastRenderedPageBreak/>
        <w:t>Introduction</w:t>
      </w:r>
      <w:bookmarkEnd w:id="0"/>
      <w:r>
        <w:t xml:space="preserve"> </w:t>
      </w:r>
    </w:p>
    <w:p w14:paraId="5A77CCE5" w14:textId="77777777" w:rsidR="00EB47EA" w:rsidRDefault="00561024" w:rsidP="00561024">
      <w:pPr>
        <w:sectPr w:rsidR="00EB47EA" w:rsidSect="00D952D8">
          <w:footerReference w:type="default" r:id="rId9"/>
          <w:pgSz w:w="12240" w:h="15840"/>
          <w:pgMar w:top="1440" w:right="1440" w:bottom="1440" w:left="1440" w:header="720" w:footer="720" w:gutter="0"/>
          <w:pgNumType w:start="1"/>
          <w:cols w:space="720"/>
          <w:docGrid w:linePitch="360"/>
        </w:sectPr>
      </w:pPr>
      <w:r>
        <w:t xml:space="preserve">The following report is based on identifying drivers as well as concept of employee engagement. </w:t>
      </w:r>
      <w:r w:rsidR="00DE4D15" w:rsidRPr="00DE4D15">
        <w:t>Employees that are engaged care about their jobs and the success of the firm, and they think that their efforts have a beneficial influence on the bottom line of the organisation. Employee engagement is a word used in the field of human resources (HR) to refer to a worker's level of enthusiasm and dedication towards their job. The research will also contain diagnostic tools and effective procedures that take into consideration the value of workers to the overall bottom line of the organisation.</w:t>
      </w:r>
    </w:p>
    <w:p w14:paraId="40FC5112" w14:textId="77777777" w:rsidR="00561024" w:rsidRDefault="00EB47EA" w:rsidP="00EB47EA">
      <w:pPr>
        <w:pStyle w:val="Heading1"/>
      </w:pPr>
      <w:bookmarkStart w:id="1" w:name="_Toc101889305"/>
      <w:r>
        <w:lastRenderedPageBreak/>
        <w:t>Tasks</w:t>
      </w:r>
      <w:bookmarkEnd w:id="1"/>
      <w:r>
        <w:t xml:space="preserve"> </w:t>
      </w:r>
    </w:p>
    <w:p w14:paraId="2ABEFE40" w14:textId="77777777" w:rsidR="00EB47EA" w:rsidRDefault="00EB47EA" w:rsidP="00EB47EA">
      <w:pPr>
        <w:pStyle w:val="Heading2"/>
      </w:pPr>
      <w:bookmarkStart w:id="2" w:name="_Toc101889306"/>
      <w:r>
        <w:t>Reviews the concept and drivers of employee engagement</w:t>
      </w:r>
      <w:bookmarkEnd w:id="2"/>
    </w:p>
    <w:p w14:paraId="7C2CA780" w14:textId="77777777" w:rsidR="0064748B" w:rsidRDefault="00B83CEA" w:rsidP="00B83CEA">
      <w:r>
        <w:t>"Employee engagement" may be defined as "harnessing organisational members," and in this scenario, the workers will be employing actively exhibiting themselves on all three different levels of their being. After reviewing the definition, it is vital to comprehend the notion of employee engagement in order to be successful</w:t>
      </w:r>
      <w:r w:rsidR="0064748B">
        <w:t xml:space="preserve"> (</w:t>
      </w:r>
      <w:r w:rsidR="0064748B">
        <w:rPr>
          <w:shd w:val="clear" w:color="auto" w:fill="FFFFFF"/>
        </w:rPr>
        <w:t xml:space="preserve">Sun and </w:t>
      </w:r>
      <w:proofErr w:type="spellStart"/>
      <w:r w:rsidR="0064748B">
        <w:rPr>
          <w:shd w:val="clear" w:color="auto" w:fill="FFFFFF"/>
        </w:rPr>
        <w:t>Bunchapattanasakda</w:t>
      </w:r>
      <w:proofErr w:type="spellEnd"/>
      <w:r w:rsidR="0064748B">
        <w:rPr>
          <w:shd w:val="clear" w:color="auto" w:fill="FFFFFF"/>
        </w:rPr>
        <w:t>, 2019</w:t>
      </w:r>
      <w:r w:rsidR="0064748B">
        <w:t>)</w:t>
      </w:r>
      <w:r>
        <w:t xml:space="preserve">. The </w:t>
      </w:r>
      <w:r w:rsidR="0064748B">
        <w:t>level,</w:t>
      </w:r>
      <w:r>
        <w:t xml:space="preserve"> to which employees would do their jobs with a significant level of passion and devotion to their company, with doing so on a volunteer basis, may be determined as employee engagement. As a result, employee enjoyment does not always convert into passionate behaviour, because even if employees are satisfied with their occupations and the environment; for instance, their satisfaction does not always equate to high levels of engagement and commitment. Workers may not go the extra mile to be doing their jobs in a more efficient manner even if they are given the opportunity to do so; consequently, empowered is not a proper term. </w:t>
      </w:r>
    </w:p>
    <w:p w14:paraId="5822D9ED" w14:textId="77777777" w:rsidR="00B83CEA" w:rsidRDefault="00B83CEA" w:rsidP="00B83CEA">
      <w:r>
        <w:t>Workers can choose whether to be disinterested in their jobs for several reasons. There are many factors that influence employee engagement, including their level of pleasure as well as how they feel regarding their employment. As a result, their level of motivation is not taken into consideration because it could only be perceived as an effect of their engagement rather than the reason that encourages them to join.</w:t>
      </w:r>
    </w:p>
    <w:p w14:paraId="4C0F3FD3" w14:textId="77777777" w:rsidR="00B83CEA" w:rsidRDefault="00B83CEA" w:rsidP="00B83CEA">
      <w:r>
        <w:t xml:space="preserve">Employee involvement may be broken down into three basic components: (commitment, motivation as well as organisational citizenship). It is </w:t>
      </w:r>
      <w:proofErr w:type="gramStart"/>
      <w:r>
        <w:t>taken into account</w:t>
      </w:r>
      <w:proofErr w:type="gramEnd"/>
      <w:r>
        <w:t xml:space="preserve"> intrinsic motivation whenever a worker's work works as intended. This is especially true when financial incentives and emotions of acknowledgement are eliminated, and the workers are encouraged solely by the work itself, and they probably feel that work is a part of their lives and that they embrace it. According to the research, effective commitment is correlated with an emotional connection as well as attachment to the firm, as well as engagement in the organization's activities. Workers who are prepared to go above and beyond their work responsibilities make a major contribution to the overall effectiveness of their business, according to the third element, organisational citizenship</w:t>
      </w:r>
      <w:r w:rsidR="0064748B">
        <w:t xml:space="preserve"> (</w:t>
      </w:r>
      <w:r w:rsidR="0064748B">
        <w:rPr>
          <w:shd w:val="clear" w:color="auto" w:fill="FFFFFF"/>
        </w:rPr>
        <w:t>Ghosh et al., 2020</w:t>
      </w:r>
      <w:r w:rsidR="0064748B">
        <w:t>)</w:t>
      </w:r>
      <w:r>
        <w:t>.</w:t>
      </w:r>
    </w:p>
    <w:p w14:paraId="00105C9F" w14:textId="77777777" w:rsidR="00B83CEA" w:rsidRDefault="00B83CEA" w:rsidP="00B83CEA">
      <w:r>
        <w:t xml:space="preserve">Work engagement is characterised by three key characteristics: emotional involvement, physiological involvement, or intellectual involvement. Having a strong sense of belonging at </w:t>
      </w:r>
      <w:r>
        <w:lastRenderedPageBreak/>
        <w:t>work is more likely to occur if employees' colleagues have a favourable understanding of the organisation ’s policies and mission, which could only occur if there are results are promising between them because their co</w:t>
      </w:r>
      <w:r w:rsidR="00E82C23">
        <w:t>-</w:t>
      </w:r>
      <w:r>
        <w:t xml:space="preserve">workers. It is critical to have a well-functioning team </w:t>
      </w:r>
      <w:proofErr w:type="gramStart"/>
      <w:r>
        <w:t>and also</w:t>
      </w:r>
      <w:proofErr w:type="gramEnd"/>
      <w:r>
        <w:t xml:space="preserve"> to lead in a manner that empowers people to feel confident and comfortable in their own skin and abilities</w:t>
      </w:r>
      <w:r w:rsidR="0064748B">
        <w:t xml:space="preserve"> (</w:t>
      </w:r>
      <w:proofErr w:type="spellStart"/>
      <w:r w:rsidR="0064748B">
        <w:rPr>
          <w:shd w:val="clear" w:color="auto" w:fill="FFFFFF"/>
        </w:rPr>
        <w:t>Costantini</w:t>
      </w:r>
      <w:proofErr w:type="spellEnd"/>
      <w:r w:rsidR="0064748B">
        <w:rPr>
          <w:shd w:val="clear" w:color="auto" w:fill="FFFFFF"/>
        </w:rPr>
        <w:t xml:space="preserve"> et al., 2017</w:t>
      </w:r>
      <w:r w:rsidR="0064748B">
        <w:t>)</w:t>
      </w:r>
      <w:r>
        <w:t>. According to the emotional link that is formed between a person and his or her colleagues, the degree to which a person is emotionally committed in their profession will vary. When employees are well-versed in the firm's strategy and vision, they are more likely to pay attention to the company's plan and vision. The physical component has to do with how much physical as well as mental energy employees are prepared to put in, that could only be decided if they have a high level of confidence in their talents. There is also a psychological component to consider.</w:t>
      </w:r>
    </w:p>
    <w:p w14:paraId="0EBDE082" w14:textId="77777777" w:rsidR="00E82C23" w:rsidRDefault="00E82C23" w:rsidP="00E82C23">
      <w:pPr>
        <w:pStyle w:val="Heading2"/>
      </w:pPr>
      <w:bookmarkStart w:id="3" w:name="_Toc101889307"/>
      <w:r>
        <w:t>Evaluates diagnostic tools to measure engagement</w:t>
      </w:r>
      <w:bookmarkEnd w:id="3"/>
    </w:p>
    <w:p w14:paraId="255A9D2B" w14:textId="77777777" w:rsidR="00825560" w:rsidRDefault="00825560" w:rsidP="00825560">
      <w:r>
        <w:t xml:space="preserve">Based on the identified of diagnostic tools, it is evident that an evaluation of attitudes towards expanded use of these tools would provide any company with information pertaining to the benefits of such instruments. A direct correlation exists between the evaluation and diagnostic technique used by the organisation and the firm's return on investment inside its staff. Because of their significant level of involvement, the major stakeholders of the organisation might well be able to give important information about the level of interaction inside the company. The human resources department </w:t>
      </w:r>
      <w:proofErr w:type="gramStart"/>
      <w:r>
        <w:t>is in charge of</w:t>
      </w:r>
      <w:proofErr w:type="gramEnd"/>
      <w:r>
        <w:t xml:space="preserve"> developing a series of projects that, if implemented, will increase the level of involvement that has already been discovered</w:t>
      </w:r>
      <w:r w:rsidR="0064748B">
        <w:t xml:space="preserve"> (</w:t>
      </w:r>
      <w:r w:rsidR="0064748B">
        <w:rPr>
          <w:shd w:val="clear" w:color="auto" w:fill="FFFFFF"/>
        </w:rPr>
        <w:t>Hsu, 2017</w:t>
      </w:r>
      <w:r w:rsidR="0064748B">
        <w:t>)</w:t>
      </w:r>
      <w:r>
        <w:t>. When a company monitors as well as diagnoses the opinions of its employees, it provides the top management with the chance to gather critical information about the company's operations.</w:t>
      </w:r>
    </w:p>
    <w:p w14:paraId="204C35C3" w14:textId="77777777" w:rsidR="00825560" w:rsidRDefault="00825560" w:rsidP="00825560">
      <w:r>
        <w:t>When it comes to evaluating and diagnosing work engagement as well as levels of participation, one of the measures adopted is the Gallup 12 Survey. In this way, it will be easily identifiable the strong and weak points of employees' morale and, if required, take efforts to enhance those aspects of their lives. This would be seen as a significant measure of how invested individuals are in the business' culture. It is a critical tool for the firm because it enables it to undertake benchmarking to see how successful it has been in its attempts to increase motivation in the workplace</w:t>
      </w:r>
      <w:r w:rsidR="0064748B">
        <w:t xml:space="preserve"> (</w:t>
      </w:r>
      <w:r w:rsidR="0064748B">
        <w:rPr>
          <w:shd w:val="clear" w:color="auto" w:fill="FFFFFF"/>
        </w:rPr>
        <w:t>Lin et al., 2020</w:t>
      </w:r>
      <w:r w:rsidR="0064748B">
        <w:t>)</w:t>
      </w:r>
      <w:r>
        <w:t>.</w:t>
      </w:r>
    </w:p>
    <w:p w14:paraId="26B73183" w14:textId="77777777" w:rsidR="00825560" w:rsidRDefault="00825560" w:rsidP="00825560">
      <w:r>
        <w:t xml:space="preserve">The statistical nature of the data enables for connections between worker emotional as well as cognitive participation, as well as other characteristics, like turnover as well as profitability, to be established. In order to boost performance, managers should use this tool to identify the </w:t>
      </w:r>
      <w:r>
        <w:lastRenderedPageBreak/>
        <w:t>twelve most important criteria that must be satisfied. It also offers the workers with a platform from which to communicate with the company's management, and since it is a two-way procedure, workers are capable to add their opinions and ideas to the firm's effective communication.</w:t>
      </w:r>
    </w:p>
    <w:p w14:paraId="5CF346DB" w14:textId="77777777" w:rsidR="00825560" w:rsidRDefault="00825560" w:rsidP="00825560">
      <w:r>
        <w:t xml:space="preserve">In addition to making an educated choice on how to continue, </w:t>
      </w:r>
      <w:r w:rsidR="0064748B">
        <w:t>it is important to</w:t>
      </w:r>
      <w:r>
        <w:t xml:space="preserve"> first understand whatever has been done. This might be accomplished via a dialogue with dependable co</w:t>
      </w:r>
      <w:r w:rsidR="0064748B">
        <w:t>-</w:t>
      </w:r>
      <w:r>
        <w:t>workers. To get the most out of a diagnostic instrument used to assess employee engagement, it's vital to follow these four stages. The second step involves holding open and honest feedback meetings in which the results are disclosed and the effect on the company is addressed. Emphasis should be placed on displaying true outcomes that reflect the rates of worker engagement in the organisation during these sessions</w:t>
      </w:r>
      <w:r w:rsidR="0064748B">
        <w:t xml:space="preserve"> (</w:t>
      </w:r>
      <w:r w:rsidR="0064748B">
        <w:rPr>
          <w:shd w:val="clear" w:color="auto" w:fill="FFFFFF"/>
        </w:rPr>
        <w:t xml:space="preserve">Burnett and </w:t>
      </w:r>
      <w:proofErr w:type="spellStart"/>
      <w:r w:rsidR="0064748B">
        <w:rPr>
          <w:shd w:val="clear" w:color="auto" w:fill="FFFFFF"/>
        </w:rPr>
        <w:t>Lisk</w:t>
      </w:r>
      <w:proofErr w:type="spellEnd"/>
      <w:r w:rsidR="0064748B">
        <w:rPr>
          <w:shd w:val="clear" w:color="auto" w:fill="FFFFFF"/>
        </w:rPr>
        <w:t>, 2019</w:t>
      </w:r>
      <w:r w:rsidR="0064748B">
        <w:t>)</w:t>
      </w:r>
      <w:r>
        <w:t>.</w:t>
      </w:r>
    </w:p>
    <w:p w14:paraId="7BF21858" w14:textId="77777777" w:rsidR="00825560" w:rsidRDefault="00825560" w:rsidP="00825560">
      <w:r>
        <w:t>An in-depth examination of the most challenging challenges to encouraging work engagement will ensue, such as the formation of assigned teamwork as well as the usage of technology designated as "collaborative" technology. The last step will be the development of an action strategy to fix the challenges that have already been highlighted as being impeding the development of worker engagement inside the company. When discussing the achievement that has been achieved and the methods used to do it, which is the last component of the method, employee engagement can be further increased.</w:t>
      </w:r>
    </w:p>
    <w:p w14:paraId="119CF18A" w14:textId="77777777" w:rsidR="006432D8" w:rsidRDefault="006432D8" w:rsidP="006432D8">
      <w:pPr>
        <w:pStyle w:val="Heading2"/>
      </w:pPr>
      <w:bookmarkStart w:id="4" w:name="_Toc101889308"/>
      <w:r>
        <w:t>Constructs an employee value proposition from the ideas and analysis previously covered, including strategies to raise levels of engagement.</w:t>
      </w:r>
      <w:bookmarkEnd w:id="4"/>
    </w:p>
    <w:p w14:paraId="4CEB017D" w14:textId="77777777" w:rsidR="00A0547A" w:rsidRDefault="00A0547A" w:rsidP="00A0547A">
      <w:r>
        <w:t xml:space="preserve">At ADNOC, they encourage collaboration because we believe that working collaboratively is the most effective method to accomplish the long-term goals of both the workers as well as the firm in the long run. There are a range of approaches that may be used to promote employee engagement. "They can find greatness if we work together," says ADNOC's executive vice president (EVP). "It cannot be completed alone, but working together, we can achieve all of our goals." A common purpose must be established in order for employees to properly comprehend and convey the key motives that drive the company's </w:t>
      </w:r>
      <w:proofErr w:type="gramStart"/>
      <w:r>
        <w:t>actions</w:t>
      </w:r>
      <w:proofErr w:type="gramEnd"/>
      <w:r>
        <w:t xml:space="preserve"> and this is the most important and first stage</w:t>
      </w:r>
      <w:r w:rsidR="00954598">
        <w:t xml:space="preserve"> (</w:t>
      </w:r>
      <w:proofErr w:type="spellStart"/>
      <w:r w:rsidR="00954598">
        <w:rPr>
          <w:shd w:val="clear" w:color="auto" w:fill="FFFFFF"/>
        </w:rPr>
        <w:t>AlKhoori</w:t>
      </w:r>
      <w:proofErr w:type="spellEnd"/>
      <w:r w:rsidR="00954598">
        <w:rPr>
          <w:shd w:val="clear" w:color="auto" w:fill="FFFFFF"/>
        </w:rPr>
        <w:t>, 2022</w:t>
      </w:r>
      <w:r w:rsidR="00954598">
        <w:t>)</w:t>
      </w:r>
      <w:r>
        <w:t>.</w:t>
      </w:r>
    </w:p>
    <w:p w14:paraId="6EA507C0" w14:textId="77777777" w:rsidR="00A0547A" w:rsidRDefault="00A0547A" w:rsidP="00A0547A">
      <w:r>
        <w:t xml:space="preserve">When management says they are redoing work on improving resources, it means they are doing so with an eye towards improving resources. This means they are doing so with an eye towards improving resources depending on the job assessment, job ideologies, as well as negotiation just on responsibilities, as well as bargaining the limits as well as boundaries one </w:t>
      </w:r>
      <w:r>
        <w:lastRenderedPageBreak/>
        <w:t>which exist between employees. In order to increase employee engagement, it is essential to develop a captivating vision for the organisation. This allows employees to link their daily actions with the organization's long-term objectives. It is also possible that the company will perform periodic readiness assessments, which will be used to aid management in evaluating the competences and preparation of their employees and providing the firm's new proposals. Some other alternatives include offering individual coaching to employees, which may aid the firm's human capital in growing and improving in terms of both volume and quality, among other things</w:t>
      </w:r>
      <w:r w:rsidR="00954598">
        <w:t xml:space="preserve"> (</w:t>
      </w:r>
      <w:proofErr w:type="spellStart"/>
      <w:r w:rsidR="00954598">
        <w:rPr>
          <w:shd w:val="clear" w:color="auto" w:fill="FFFFFF"/>
        </w:rPr>
        <w:t>Arasanmi</w:t>
      </w:r>
      <w:proofErr w:type="spellEnd"/>
      <w:r w:rsidR="00954598">
        <w:rPr>
          <w:shd w:val="clear" w:color="auto" w:fill="FFFFFF"/>
        </w:rPr>
        <w:t xml:space="preserve"> and Krishna, 2019</w:t>
      </w:r>
      <w:r w:rsidR="00954598">
        <w:t>)</w:t>
      </w:r>
      <w:r>
        <w:t>.</w:t>
      </w:r>
    </w:p>
    <w:p w14:paraId="4C274DCE" w14:textId="77777777" w:rsidR="00A0547A" w:rsidRDefault="00A0547A" w:rsidP="00A0547A">
      <w:r>
        <w:t xml:space="preserve">The first and most important issue to address is the reactionary decision-making procedure, which is a significant impediment to raising employee engagement levels. The development of a participatory culture that fosters worker ownership of results and consensus upon </w:t>
      </w:r>
      <w:r w:rsidR="00954598">
        <w:t>those organisational objectives</w:t>
      </w:r>
      <w:r>
        <w:t xml:space="preserve"> is a strategy that could be applied by businesses as a necessary component of their overall strategy. As a result of variations in management style, employees may believe that they are getting unjustly treated by their employers. When a corporation is unable to detect problems once they have a negative effect on employee performance, the procedure might well be discovered.</w:t>
      </w:r>
    </w:p>
    <w:p w14:paraId="1AE0B7D2" w14:textId="77777777" w:rsidR="003C5B14" w:rsidRDefault="00A0547A" w:rsidP="00A0547A">
      <w:r>
        <w:t>A firm's ability to successfully communicate information is severely limited when methods of communication are tight as well as cultural norms embedded in the organisation restrict the free flow of information</w:t>
      </w:r>
      <w:r w:rsidR="00954598">
        <w:t xml:space="preserve"> (</w:t>
      </w:r>
      <w:proofErr w:type="spellStart"/>
      <w:r w:rsidR="00954598">
        <w:rPr>
          <w:shd w:val="clear" w:color="auto" w:fill="FFFFFF"/>
        </w:rPr>
        <w:t>Mascarenhas</w:t>
      </w:r>
      <w:proofErr w:type="spellEnd"/>
      <w:r w:rsidR="00954598">
        <w:rPr>
          <w:shd w:val="clear" w:color="auto" w:fill="FFFFFF"/>
        </w:rPr>
        <w:t>, 2019</w:t>
      </w:r>
      <w:r w:rsidR="00954598">
        <w:t>)</w:t>
      </w:r>
      <w:r>
        <w:t>. Communication channels that are unclear may have a detrimental influence on engagement since it is not the number of channels that matters, but rather how explicit they are as well as when they are utilised that determines engagement. The company's culture encourages employees to work excessive hours, which leads in a poor work-life balance for everyone. Employee engagement may be hampered by a leader's leadership style, especially if the principles behind that style are not made plain to them in advance. Because certain jobs in a corporation have high turnover rates, it is reasonable to assume that their levels of participation will be lower. This might provide a hurdle to employee retention and recruitment.</w:t>
      </w:r>
    </w:p>
    <w:p w14:paraId="39F8C0EA" w14:textId="77777777" w:rsidR="003C5B14" w:rsidRDefault="003C5B14" w:rsidP="00A0547A">
      <w:pPr>
        <w:sectPr w:rsidR="003C5B14" w:rsidSect="006678E7">
          <w:pgSz w:w="12240" w:h="15840"/>
          <w:pgMar w:top="1440" w:right="1440" w:bottom="1440" w:left="1440" w:header="720" w:footer="720" w:gutter="0"/>
          <w:cols w:space="720"/>
          <w:docGrid w:linePitch="360"/>
        </w:sectPr>
      </w:pPr>
    </w:p>
    <w:p w14:paraId="170DB1BE" w14:textId="77777777" w:rsidR="00825560" w:rsidRDefault="003C5B14" w:rsidP="003C5B14">
      <w:pPr>
        <w:pStyle w:val="Heading1"/>
      </w:pPr>
      <w:bookmarkStart w:id="5" w:name="_Toc101889309"/>
      <w:r>
        <w:lastRenderedPageBreak/>
        <w:t>Conclusion</w:t>
      </w:r>
      <w:bookmarkEnd w:id="5"/>
    </w:p>
    <w:p w14:paraId="03688C9C" w14:textId="77777777" w:rsidR="007C1134" w:rsidRDefault="003C5B14" w:rsidP="003C5B14">
      <w:pPr>
        <w:sectPr w:rsidR="007C1134" w:rsidSect="006678E7">
          <w:pgSz w:w="12240" w:h="15840"/>
          <w:pgMar w:top="1440" w:right="1440" w:bottom="1440" w:left="1440" w:header="720" w:footer="720" w:gutter="0"/>
          <w:cols w:space="720"/>
          <w:docGrid w:linePitch="360"/>
        </w:sectPr>
      </w:pPr>
      <w:r w:rsidRPr="003C5B14">
        <w:t>Creating a climate that fosters employee engagement is crucial, according to the conclusions of the study described above. Although employees may be satisfied with their work and their workplace environment despite this, it is concluded that although they are comfortable with the monetary advantages they receive as a result their work, engagement somehow doesn't translate into enthusiastic behaviour because employee engagement is predominantly tied to their financial benefits. To illustrate the positive influence that diagnostic tools would have on an organisation's workforce, diagnostic tools are used to analyse employee attitudes.</w:t>
      </w:r>
    </w:p>
    <w:p w14:paraId="5CE6F431" w14:textId="77777777" w:rsidR="003C5B14" w:rsidRDefault="007C1134" w:rsidP="007C1134">
      <w:pPr>
        <w:pStyle w:val="Heading1"/>
      </w:pPr>
      <w:bookmarkStart w:id="6" w:name="_Toc101889310"/>
      <w:r>
        <w:lastRenderedPageBreak/>
        <w:t>References</w:t>
      </w:r>
      <w:bookmarkEnd w:id="6"/>
    </w:p>
    <w:p w14:paraId="2332EC7F" w14:textId="77777777" w:rsidR="00954598" w:rsidRDefault="00954598" w:rsidP="00954598">
      <w:proofErr w:type="spellStart"/>
      <w:r>
        <w:rPr>
          <w:shd w:val="clear" w:color="auto" w:fill="FFFFFF"/>
        </w:rPr>
        <w:t>AlKhoori</w:t>
      </w:r>
      <w:proofErr w:type="spellEnd"/>
      <w:r>
        <w:rPr>
          <w:shd w:val="clear" w:color="auto" w:fill="FFFFFF"/>
        </w:rPr>
        <w:t>, I., 2022. A Critical Review of Change Management and Technology Adoption Factors to Drive Organisational Performance: A Study of the Abu Dhabi National Oil Company (ADNOC). </w:t>
      </w:r>
      <w:r>
        <w:rPr>
          <w:i/>
          <w:iCs/>
          <w:shd w:val="clear" w:color="auto" w:fill="FFFFFF"/>
        </w:rPr>
        <w:t>PQDT-Global</w:t>
      </w:r>
      <w:r>
        <w:rPr>
          <w:shd w:val="clear" w:color="auto" w:fill="FFFFFF"/>
        </w:rPr>
        <w:t>.</w:t>
      </w:r>
    </w:p>
    <w:p w14:paraId="73A77ECE" w14:textId="77777777" w:rsidR="00954598" w:rsidRDefault="00954598" w:rsidP="00954598">
      <w:pPr>
        <w:rPr>
          <w:shd w:val="clear" w:color="auto" w:fill="FFFFFF"/>
        </w:rPr>
      </w:pPr>
      <w:proofErr w:type="spellStart"/>
      <w:r>
        <w:rPr>
          <w:shd w:val="clear" w:color="auto" w:fill="FFFFFF"/>
        </w:rPr>
        <w:t>Arasanmi</w:t>
      </w:r>
      <w:proofErr w:type="spellEnd"/>
      <w:r>
        <w:rPr>
          <w:shd w:val="clear" w:color="auto" w:fill="FFFFFF"/>
        </w:rPr>
        <w:t>, C.N. and Krishna, A., 2019. Linking the employee value proposition (EVP) to employee behavioural outcomes. </w:t>
      </w:r>
      <w:r>
        <w:rPr>
          <w:i/>
          <w:iCs/>
          <w:shd w:val="clear" w:color="auto" w:fill="FFFFFF"/>
        </w:rPr>
        <w:t>Industrial and Commercial Training</w:t>
      </w:r>
      <w:r>
        <w:rPr>
          <w:shd w:val="clear" w:color="auto" w:fill="FFFFFF"/>
        </w:rPr>
        <w:t>.</w:t>
      </w:r>
    </w:p>
    <w:p w14:paraId="7BB8874A" w14:textId="77777777" w:rsidR="00954598" w:rsidRDefault="00954598" w:rsidP="00954598">
      <w:pPr>
        <w:rPr>
          <w:shd w:val="clear" w:color="auto" w:fill="FFFFFF"/>
        </w:rPr>
      </w:pPr>
      <w:r>
        <w:rPr>
          <w:shd w:val="clear" w:color="auto" w:fill="FFFFFF"/>
        </w:rPr>
        <w:t xml:space="preserve">Burnett, J.R. and </w:t>
      </w:r>
      <w:proofErr w:type="spellStart"/>
      <w:r>
        <w:rPr>
          <w:shd w:val="clear" w:color="auto" w:fill="FFFFFF"/>
        </w:rPr>
        <w:t>Lisk</w:t>
      </w:r>
      <w:proofErr w:type="spellEnd"/>
      <w:r>
        <w:rPr>
          <w:shd w:val="clear" w:color="auto" w:fill="FFFFFF"/>
        </w:rPr>
        <w:t>, T.C., 2019. The future of employee engagement: Real-time monitoring and digital tools for engaging a workforce. </w:t>
      </w:r>
      <w:r>
        <w:rPr>
          <w:i/>
          <w:iCs/>
          <w:shd w:val="clear" w:color="auto" w:fill="FFFFFF"/>
        </w:rPr>
        <w:t>International Studies of Management &amp; Organization</w:t>
      </w:r>
      <w:r>
        <w:rPr>
          <w:shd w:val="clear" w:color="auto" w:fill="FFFFFF"/>
        </w:rPr>
        <w:t>, </w:t>
      </w:r>
      <w:r>
        <w:rPr>
          <w:i/>
          <w:iCs/>
          <w:shd w:val="clear" w:color="auto" w:fill="FFFFFF"/>
        </w:rPr>
        <w:t>49</w:t>
      </w:r>
      <w:r>
        <w:rPr>
          <w:shd w:val="clear" w:color="auto" w:fill="FFFFFF"/>
        </w:rPr>
        <w:t>(1), pp.108-119.</w:t>
      </w:r>
    </w:p>
    <w:p w14:paraId="712B15CB" w14:textId="77777777" w:rsidR="00954598" w:rsidRDefault="00954598" w:rsidP="00954598">
      <w:pPr>
        <w:rPr>
          <w:shd w:val="clear" w:color="auto" w:fill="FFFFFF"/>
        </w:rPr>
      </w:pPr>
      <w:proofErr w:type="spellStart"/>
      <w:r>
        <w:rPr>
          <w:shd w:val="clear" w:color="auto" w:fill="FFFFFF"/>
        </w:rPr>
        <w:t>Costantini</w:t>
      </w:r>
      <w:proofErr w:type="spellEnd"/>
      <w:r>
        <w:rPr>
          <w:shd w:val="clear" w:color="auto" w:fill="FFFFFF"/>
        </w:rPr>
        <w:t xml:space="preserve">, A., De Paola, F., Ceschi, A., Sartori, R., </w:t>
      </w:r>
      <w:proofErr w:type="spellStart"/>
      <w:r>
        <w:rPr>
          <w:shd w:val="clear" w:color="auto" w:fill="FFFFFF"/>
        </w:rPr>
        <w:t>Meneghini</w:t>
      </w:r>
      <w:proofErr w:type="spellEnd"/>
      <w:r>
        <w:rPr>
          <w:shd w:val="clear" w:color="auto" w:fill="FFFFFF"/>
        </w:rPr>
        <w:t>, A.M. and Di Fabio, A., 2017. Work engagement and psychological capital in the Italian public administration: A new resource-based intervention programme. </w:t>
      </w:r>
      <w:r>
        <w:rPr>
          <w:i/>
          <w:iCs/>
          <w:shd w:val="clear" w:color="auto" w:fill="FFFFFF"/>
        </w:rPr>
        <w:t>SA Journal of Industrial Psychology</w:t>
      </w:r>
      <w:r>
        <w:rPr>
          <w:shd w:val="clear" w:color="auto" w:fill="FFFFFF"/>
        </w:rPr>
        <w:t>, </w:t>
      </w:r>
      <w:r>
        <w:rPr>
          <w:i/>
          <w:iCs/>
          <w:shd w:val="clear" w:color="auto" w:fill="FFFFFF"/>
        </w:rPr>
        <w:t>43</w:t>
      </w:r>
      <w:r>
        <w:rPr>
          <w:shd w:val="clear" w:color="auto" w:fill="FFFFFF"/>
        </w:rPr>
        <w:t>(1), pp.1-11.</w:t>
      </w:r>
    </w:p>
    <w:p w14:paraId="1CF00CF3" w14:textId="77777777" w:rsidR="00954598" w:rsidRDefault="00954598" w:rsidP="00954598">
      <w:pPr>
        <w:rPr>
          <w:shd w:val="clear" w:color="auto" w:fill="FFFFFF"/>
        </w:rPr>
      </w:pPr>
      <w:r>
        <w:rPr>
          <w:shd w:val="clear" w:color="auto" w:fill="FFFFFF"/>
        </w:rPr>
        <w:t>Ghosh, D., Sekiguchi, T. and Fujimoto, Y., 2020. Psychological detachment: A creativity perspective on the link between intrinsic motivation and employee engagement. </w:t>
      </w:r>
      <w:r>
        <w:rPr>
          <w:i/>
          <w:iCs/>
          <w:shd w:val="clear" w:color="auto" w:fill="FFFFFF"/>
        </w:rPr>
        <w:t>Personnel review</w:t>
      </w:r>
      <w:r>
        <w:rPr>
          <w:shd w:val="clear" w:color="auto" w:fill="FFFFFF"/>
        </w:rPr>
        <w:t>.</w:t>
      </w:r>
    </w:p>
    <w:p w14:paraId="402D9806" w14:textId="77777777" w:rsidR="00954598" w:rsidRDefault="00954598" w:rsidP="00954598">
      <w:pPr>
        <w:rPr>
          <w:shd w:val="clear" w:color="auto" w:fill="FFFFFF"/>
        </w:rPr>
      </w:pPr>
      <w:r>
        <w:rPr>
          <w:shd w:val="clear" w:color="auto" w:fill="FFFFFF"/>
        </w:rPr>
        <w:t>Hsu, M., 2017. Neuromarketing: inside the mind of the consumer. </w:t>
      </w:r>
      <w:r>
        <w:rPr>
          <w:i/>
          <w:iCs/>
          <w:shd w:val="clear" w:color="auto" w:fill="FFFFFF"/>
        </w:rPr>
        <w:t>California management review</w:t>
      </w:r>
      <w:r>
        <w:rPr>
          <w:shd w:val="clear" w:color="auto" w:fill="FFFFFF"/>
        </w:rPr>
        <w:t>, </w:t>
      </w:r>
      <w:r>
        <w:rPr>
          <w:i/>
          <w:iCs/>
          <w:shd w:val="clear" w:color="auto" w:fill="FFFFFF"/>
        </w:rPr>
        <w:t>59</w:t>
      </w:r>
      <w:r>
        <w:rPr>
          <w:shd w:val="clear" w:color="auto" w:fill="FFFFFF"/>
        </w:rPr>
        <w:t>(4), pp.5-22.</w:t>
      </w:r>
    </w:p>
    <w:p w14:paraId="302DFE8A" w14:textId="77777777" w:rsidR="00954598" w:rsidRDefault="00954598" w:rsidP="00954598">
      <w:pPr>
        <w:rPr>
          <w:shd w:val="clear" w:color="auto" w:fill="FFFFFF"/>
        </w:rPr>
      </w:pPr>
      <w:r>
        <w:rPr>
          <w:shd w:val="clear" w:color="auto" w:fill="FFFFFF"/>
        </w:rPr>
        <w:t xml:space="preserve">Lin, C., Tu, P. and </w:t>
      </w:r>
      <w:proofErr w:type="spellStart"/>
      <w:r>
        <w:rPr>
          <w:shd w:val="clear" w:color="auto" w:fill="FFFFFF"/>
        </w:rPr>
        <w:t>Beitsch</w:t>
      </w:r>
      <w:proofErr w:type="spellEnd"/>
      <w:r>
        <w:rPr>
          <w:shd w:val="clear" w:color="auto" w:fill="FFFFFF"/>
        </w:rPr>
        <w:t>, L.M., 2020. Confidence and receptivity for COVID-19 vaccines: a rapid systematic review. </w:t>
      </w:r>
      <w:r>
        <w:rPr>
          <w:i/>
          <w:iCs/>
          <w:shd w:val="clear" w:color="auto" w:fill="FFFFFF"/>
        </w:rPr>
        <w:t>Vaccines</w:t>
      </w:r>
      <w:r>
        <w:rPr>
          <w:shd w:val="clear" w:color="auto" w:fill="FFFFFF"/>
        </w:rPr>
        <w:t>, </w:t>
      </w:r>
      <w:r>
        <w:rPr>
          <w:i/>
          <w:iCs/>
          <w:shd w:val="clear" w:color="auto" w:fill="FFFFFF"/>
        </w:rPr>
        <w:t>9</w:t>
      </w:r>
      <w:r>
        <w:rPr>
          <w:shd w:val="clear" w:color="auto" w:fill="FFFFFF"/>
        </w:rPr>
        <w:t>(1), p.16.</w:t>
      </w:r>
    </w:p>
    <w:p w14:paraId="6F8ABE3C" w14:textId="77777777" w:rsidR="00954598" w:rsidRDefault="00954598" w:rsidP="00954598">
      <w:pPr>
        <w:rPr>
          <w:shd w:val="clear" w:color="auto" w:fill="FFFFFF"/>
        </w:rPr>
      </w:pPr>
      <w:proofErr w:type="spellStart"/>
      <w:r>
        <w:rPr>
          <w:shd w:val="clear" w:color="auto" w:fill="FFFFFF"/>
        </w:rPr>
        <w:t>Mascarenhas</w:t>
      </w:r>
      <w:proofErr w:type="spellEnd"/>
      <w:r>
        <w:rPr>
          <w:shd w:val="clear" w:color="auto" w:fill="FFFFFF"/>
        </w:rPr>
        <w:t xml:space="preserve">, B.G., 2019. Employer branding, employee value proposition, and employee experience: </w:t>
      </w:r>
      <w:proofErr w:type="gramStart"/>
      <w:r>
        <w:rPr>
          <w:shd w:val="clear" w:color="auto" w:fill="FFFFFF"/>
        </w:rPr>
        <w:t>New</w:t>
      </w:r>
      <w:proofErr w:type="gramEnd"/>
      <w:r>
        <w:rPr>
          <w:shd w:val="clear" w:color="auto" w:fill="FFFFFF"/>
        </w:rPr>
        <w:t xml:space="preserve"> approaches for people management in organizations. In </w:t>
      </w:r>
      <w:r>
        <w:rPr>
          <w:i/>
          <w:iCs/>
          <w:shd w:val="clear" w:color="auto" w:fill="FFFFFF"/>
        </w:rPr>
        <w:t>Strategic Employee Communication</w:t>
      </w:r>
      <w:r>
        <w:rPr>
          <w:shd w:val="clear" w:color="auto" w:fill="FFFFFF"/>
        </w:rPr>
        <w:t> (pp. 97-103). Palgrave Macmillan, Cham.</w:t>
      </w:r>
    </w:p>
    <w:p w14:paraId="38B0F64A" w14:textId="77777777" w:rsidR="00954598" w:rsidRDefault="00954598" w:rsidP="00954598">
      <w:pPr>
        <w:rPr>
          <w:shd w:val="clear" w:color="auto" w:fill="FFFFFF"/>
        </w:rPr>
      </w:pPr>
      <w:r>
        <w:rPr>
          <w:shd w:val="clear" w:color="auto" w:fill="FFFFFF"/>
        </w:rPr>
        <w:t xml:space="preserve">Sun, L. and </w:t>
      </w:r>
      <w:proofErr w:type="spellStart"/>
      <w:r>
        <w:rPr>
          <w:shd w:val="clear" w:color="auto" w:fill="FFFFFF"/>
        </w:rPr>
        <w:t>Bunchapattanasakda</w:t>
      </w:r>
      <w:proofErr w:type="spellEnd"/>
      <w:r>
        <w:rPr>
          <w:shd w:val="clear" w:color="auto" w:fill="FFFFFF"/>
        </w:rPr>
        <w:t>, C., 2019. Employee engagement: A literature review. </w:t>
      </w:r>
      <w:r>
        <w:rPr>
          <w:i/>
          <w:iCs/>
          <w:shd w:val="clear" w:color="auto" w:fill="FFFFFF"/>
        </w:rPr>
        <w:t>International Journal of Human Resource Studies</w:t>
      </w:r>
      <w:r>
        <w:rPr>
          <w:shd w:val="clear" w:color="auto" w:fill="FFFFFF"/>
        </w:rPr>
        <w:t>, </w:t>
      </w:r>
      <w:r>
        <w:rPr>
          <w:i/>
          <w:iCs/>
          <w:shd w:val="clear" w:color="auto" w:fill="FFFFFF"/>
        </w:rPr>
        <w:t>9</w:t>
      </w:r>
      <w:r>
        <w:rPr>
          <w:shd w:val="clear" w:color="auto" w:fill="FFFFFF"/>
        </w:rPr>
        <w:t>(1), pp.63-80.</w:t>
      </w:r>
    </w:p>
    <w:p w14:paraId="77E53D56" w14:textId="77777777" w:rsidR="007C1134" w:rsidRPr="007C1134" w:rsidRDefault="007C1134" w:rsidP="007C1134"/>
    <w:sectPr w:rsidR="007C1134" w:rsidRPr="007C1134" w:rsidSect="00667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43A493" w14:textId="77777777" w:rsidR="00B5386F" w:rsidRDefault="00B5386F" w:rsidP="00F34ADB">
      <w:pPr>
        <w:spacing w:after="0" w:line="240" w:lineRule="auto"/>
      </w:pPr>
      <w:r>
        <w:separator/>
      </w:r>
    </w:p>
  </w:endnote>
  <w:endnote w:type="continuationSeparator" w:id="0">
    <w:p w14:paraId="432F5F02" w14:textId="77777777" w:rsidR="00B5386F" w:rsidRDefault="00B5386F" w:rsidP="00F34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4A8A3" w14:textId="77777777" w:rsidR="00F34ADB" w:rsidRDefault="00F34ADB">
    <w:pPr>
      <w:pStyle w:val="Footer"/>
    </w:pPr>
  </w:p>
  <w:p w14:paraId="5A7631D5" w14:textId="77777777" w:rsidR="00F34ADB" w:rsidRDefault="00F34A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741141"/>
      <w:docPartObj>
        <w:docPartGallery w:val="Page Numbers (Bottom of Page)"/>
        <w:docPartUnique/>
      </w:docPartObj>
    </w:sdtPr>
    <w:sdtEndPr/>
    <w:sdtContent>
      <w:p w14:paraId="7742A381" w14:textId="77777777" w:rsidR="00D952D8" w:rsidRDefault="00B5386F">
        <w:pPr>
          <w:pStyle w:val="Footer"/>
          <w:jc w:val="right"/>
        </w:pPr>
        <w:r>
          <w:fldChar w:fldCharType="begin"/>
        </w:r>
        <w:r>
          <w:instrText xml:space="preserve"> PAGE   \* MERGEFORMAT </w:instrText>
        </w:r>
        <w:r>
          <w:fldChar w:fldCharType="separate"/>
        </w:r>
        <w:r w:rsidR="00D952D8">
          <w:rPr>
            <w:noProof/>
          </w:rPr>
          <w:t>7</w:t>
        </w:r>
        <w:r>
          <w:rPr>
            <w:noProof/>
          </w:rPr>
          <w:fldChar w:fldCharType="end"/>
        </w:r>
      </w:p>
    </w:sdtContent>
  </w:sdt>
  <w:p w14:paraId="528787CB" w14:textId="77777777" w:rsidR="00D952D8" w:rsidRDefault="00D952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1EB7E" w14:textId="77777777" w:rsidR="00B5386F" w:rsidRDefault="00B5386F" w:rsidP="00F34ADB">
      <w:pPr>
        <w:spacing w:after="0" w:line="240" w:lineRule="auto"/>
      </w:pPr>
      <w:r>
        <w:separator/>
      </w:r>
    </w:p>
  </w:footnote>
  <w:footnote w:type="continuationSeparator" w:id="0">
    <w:p w14:paraId="325E21BA" w14:textId="77777777" w:rsidR="00B5386F" w:rsidRDefault="00B5386F" w:rsidP="00F34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D4C18"/>
    <w:multiLevelType w:val="hybridMultilevel"/>
    <w:tmpl w:val="E9366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2AC67A6"/>
    <w:multiLevelType w:val="hybridMultilevel"/>
    <w:tmpl w:val="40345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7C05E05"/>
    <w:multiLevelType w:val="hybridMultilevel"/>
    <w:tmpl w:val="5B424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9B1243"/>
    <w:multiLevelType w:val="hybridMultilevel"/>
    <w:tmpl w:val="B2223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1362042">
    <w:abstractNumId w:val="1"/>
  </w:num>
  <w:num w:numId="2" w16cid:durableId="1356076572">
    <w:abstractNumId w:val="2"/>
  </w:num>
  <w:num w:numId="3" w16cid:durableId="1374698868">
    <w:abstractNumId w:val="0"/>
  </w:num>
  <w:num w:numId="4" w16cid:durableId="15861835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61024"/>
    <w:rsid w:val="000007A5"/>
    <w:rsid w:val="0000274E"/>
    <w:rsid w:val="00005FC0"/>
    <w:rsid w:val="000365B1"/>
    <w:rsid w:val="00040F09"/>
    <w:rsid w:val="00051FA6"/>
    <w:rsid w:val="00063B1B"/>
    <w:rsid w:val="00066FCF"/>
    <w:rsid w:val="00072BAC"/>
    <w:rsid w:val="00077B16"/>
    <w:rsid w:val="00083FBE"/>
    <w:rsid w:val="00096A91"/>
    <w:rsid w:val="000A0EC5"/>
    <w:rsid w:val="000A3DA5"/>
    <w:rsid w:val="000A60B2"/>
    <w:rsid w:val="000A7234"/>
    <w:rsid w:val="000C3E85"/>
    <w:rsid w:val="000C4638"/>
    <w:rsid w:val="000D3CE2"/>
    <w:rsid w:val="000D44CB"/>
    <w:rsid w:val="000E0562"/>
    <w:rsid w:val="000E1EF6"/>
    <w:rsid w:val="00110801"/>
    <w:rsid w:val="00111CA3"/>
    <w:rsid w:val="001264D3"/>
    <w:rsid w:val="00126908"/>
    <w:rsid w:val="00130081"/>
    <w:rsid w:val="0013715F"/>
    <w:rsid w:val="0019130B"/>
    <w:rsid w:val="001A0421"/>
    <w:rsid w:val="001A73FC"/>
    <w:rsid w:val="001A771C"/>
    <w:rsid w:val="001C6AD0"/>
    <w:rsid w:val="001E757A"/>
    <w:rsid w:val="0020173F"/>
    <w:rsid w:val="00207A19"/>
    <w:rsid w:val="00232CB6"/>
    <w:rsid w:val="00235005"/>
    <w:rsid w:val="0025054A"/>
    <w:rsid w:val="00250B42"/>
    <w:rsid w:val="002550F8"/>
    <w:rsid w:val="00264F20"/>
    <w:rsid w:val="00280207"/>
    <w:rsid w:val="002839FC"/>
    <w:rsid w:val="002B0BE6"/>
    <w:rsid w:val="002C339B"/>
    <w:rsid w:val="002C33AC"/>
    <w:rsid w:val="002D0125"/>
    <w:rsid w:val="002D09B2"/>
    <w:rsid w:val="002D14F1"/>
    <w:rsid w:val="002D1745"/>
    <w:rsid w:val="002E5BC6"/>
    <w:rsid w:val="0030126D"/>
    <w:rsid w:val="003104EB"/>
    <w:rsid w:val="00327EF4"/>
    <w:rsid w:val="00332481"/>
    <w:rsid w:val="00390FC8"/>
    <w:rsid w:val="0039167D"/>
    <w:rsid w:val="003A5EEC"/>
    <w:rsid w:val="003B05D7"/>
    <w:rsid w:val="003B1461"/>
    <w:rsid w:val="003B202C"/>
    <w:rsid w:val="003C4C8B"/>
    <w:rsid w:val="003C5B14"/>
    <w:rsid w:val="003C5D94"/>
    <w:rsid w:val="003C6CBE"/>
    <w:rsid w:val="003C6DDB"/>
    <w:rsid w:val="003C7646"/>
    <w:rsid w:val="003D223D"/>
    <w:rsid w:val="003D4B36"/>
    <w:rsid w:val="003F01CB"/>
    <w:rsid w:val="004158BC"/>
    <w:rsid w:val="00417AB2"/>
    <w:rsid w:val="004311D9"/>
    <w:rsid w:val="00433EEE"/>
    <w:rsid w:val="00434DA8"/>
    <w:rsid w:val="004506ED"/>
    <w:rsid w:val="00470756"/>
    <w:rsid w:val="00497C0A"/>
    <w:rsid w:val="004D27A1"/>
    <w:rsid w:val="004D5127"/>
    <w:rsid w:val="004D6959"/>
    <w:rsid w:val="004E799A"/>
    <w:rsid w:val="00506C53"/>
    <w:rsid w:val="00515425"/>
    <w:rsid w:val="00516BC1"/>
    <w:rsid w:val="0051778C"/>
    <w:rsid w:val="00531096"/>
    <w:rsid w:val="0053264B"/>
    <w:rsid w:val="0053425A"/>
    <w:rsid w:val="005359BA"/>
    <w:rsid w:val="00542682"/>
    <w:rsid w:val="00561024"/>
    <w:rsid w:val="0056435F"/>
    <w:rsid w:val="00573C74"/>
    <w:rsid w:val="00577E15"/>
    <w:rsid w:val="00590FDB"/>
    <w:rsid w:val="00592B98"/>
    <w:rsid w:val="00593C2A"/>
    <w:rsid w:val="00597B6F"/>
    <w:rsid w:val="005A5B12"/>
    <w:rsid w:val="005B233A"/>
    <w:rsid w:val="005C28EE"/>
    <w:rsid w:val="005D4D92"/>
    <w:rsid w:val="00615E20"/>
    <w:rsid w:val="0063334C"/>
    <w:rsid w:val="006432D8"/>
    <w:rsid w:val="00644F95"/>
    <w:rsid w:val="00646FC0"/>
    <w:rsid w:val="0064748B"/>
    <w:rsid w:val="00656E1C"/>
    <w:rsid w:val="00660AEE"/>
    <w:rsid w:val="006678E7"/>
    <w:rsid w:val="0067242E"/>
    <w:rsid w:val="00673290"/>
    <w:rsid w:val="006946A2"/>
    <w:rsid w:val="00697765"/>
    <w:rsid w:val="006C0520"/>
    <w:rsid w:val="006C5562"/>
    <w:rsid w:val="006D7F60"/>
    <w:rsid w:val="00707E72"/>
    <w:rsid w:val="00712BB3"/>
    <w:rsid w:val="00736455"/>
    <w:rsid w:val="00741FA7"/>
    <w:rsid w:val="007435BE"/>
    <w:rsid w:val="00744B25"/>
    <w:rsid w:val="00746AAB"/>
    <w:rsid w:val="00747307"/>
    <w:rsid w:val="00765401"/>
    <w:rsid w:val="00772512"/>
    <w:rsid w:val="0079479E"/>
    <w:rsid w:val="0079648B"/>
    <w:rsid w:val="007B3E61"/>
    <w:rsid w:val="007B5E33"/>
    <w:rsid w:val="007C1134"/>
    <w:rsid w:val="007D5464"/>
    <w:rsid w:val="007D78E2"/>
    <w:rsid w:val="007E22AE"/>
    <w:rsid w:val="00801533"/>
    <w:rsid w:val="00825560"/>
    <w:rsid w:val="00825C12"/>
    <w:rsid w:val="008330C7"/>
    <w:rsid w:val="0086180F"/>
    <w:rsid w:val="00876E63"/>
    <w:rsid w:val="008922ED"/>
    <w:rsid w:val="008A0FC2"/>
    <w:rsid w:val="008D42F3"/>
    <w:rsid w:val="008D5E92"/>
    <w:rsid w:val="008D7A8A"/>
    <w:rsid w:val="008F5823"/>
    <w:rsid w:val="008F6235"/>
    <w:rsid w:val="009051A3"/>
    <w:rsid w:val="009112ED"/>
    <w:rsid w:val="0093793B"/>
    <w:rsid w:val="00937D4F"/>
    <w:rsid w:val="009417FA"/>
    <w:rsid w:val="009533BB"/>
    <w:rsid w:val="00954598"/>
    <w:rsid w:val="009643F7"/>
    <w:rsid w:val="00967CC0"/>
    <w:rsid w:val="009900B1"/>
    <w:rsid w:val="009A0917"/>
    <w:rsid w:val="009A3D6F"/>
    <w:rsid w:val="009B0B47"/>
    <w:rsid w:val="009B3FB7"/>
    <w:rsid w:val="009D7BB2"/>
    <w:rsid w:val="009F0A32"/>
    <w:rsid w:val="00A00239"/>
    <w:rsid w:val="00A03CF1"/>
    <w:rsid w:val="00A0547A"/>
    <w:rsid w:val="00A22C1F"/>
    <w:rsid w:val="00A373FB"/>
    <w:rsid w:val="00A376B8"/>
    <w:rsid w:val="00A409EB"/>
    <w:rsid w:val="00A45788"/>
    <w:rsid w:val="00A560D2"/>
    <w:rsid w:val="00A6496F"/>
    <w:rsid w:val="00A661D2"/>
    <w:rsid w:val="00A71368"/>
    <w:rsid w:val="00A747A9"/>
    <w:rsid w:val="00A83C99"/>
    <w:rsid w:val="00A95905"/>
    <w:rsid w:val="00AD06EE"/>
    <w:rsid w:val="00AD78E3"/>
    <w:rsid w:val="00AE40BD"/>
    <w:rsid w:val="00AF6239"/>
    <w:rsid w:val="00AF6C29"/>
    <w:rsid w:val="00B24411"/>
    <w:rsid w:val="00B30102"/>
    <w:rsid w:val="00B34DA3"/>
    <w:rsid w:val="00B5102E"/>
    <w:rsid w:val="00B531D6"/>
    <w:rsid w:val="00B5386F"/>
    <w:rsid w:val="00B5418B"/>
    <w:rsid w:val="00B56397"/>
    <w:rsid w:val="00B73A1E"/>
    <w:rsid w:val="00B74096"/>
    <w:rsid w:val="00B762F6"/>
    <w:rsid w:val="00B83CEA"/>
    <w:rsid w:val="00B966D5"/>
    <w:rsid w:val="00BB3AB2"/>
    <w:rsid w:val="00BC7794"/>
    <w:rsid w:val="00BC7E35"/>
    <w:rsid w:val="00BD19F0"/>
    <w:rsid w:val="00BD42E1"/>
    <w:rsid w:val="00BE0BF0"/>
    <w:rsid w:val="00C21387"/>
    <w:rsid w:val="00C24C92"/>
    <w:rsid w:val="00C3207C"/>
    <w:rsid w:val="00C5341A"/>
    <w:rsid w:val="00C564D8"/>
    <w:rsid w:val="00C73AF4"/>
    <w:rsid w:val="00CA3C19"/>
    <w:rsid w:val="00CB0F8E"/>
    <w:rsid w:val="00CB494B"/>
    <w:rsid w:val="00CC0026"/>
    <w:rsid w:val="00CC4B86"/>
    <w:rsid w:val="00CD4A11"/>
    <w:rsid w:val="00D0566E"/>
    <w:rsid w:val="00D136FD"/>
    <w:rsid w:val="00D258B1"/>
    <w:rsid w:val="00D27A1C"/>
    <w:rsid w:val="00D402CA"/>
    <w:rsid w:val="00D426BB"/>
    <w:rsid w:val="00D62D58"/>
    <w:rsid w:val="00D729AC"/>
    <w:rsid w:val="00D73F56"/>
    <w:rsid w:val="00D75973"/>
    <w:rsid w:val="00D91E16"/>
    <w:rsid w:val="00D952D8"/>
    <w:rsid w:val="00D95B56"/>
    <w:rsid w:val="00DB19C2"/>
    <w:rsid w:val="00DB77F4"/>
    <w:rsid w:val="00DC33C2"/>
    <w:rsid w:val="00DD15D0"/>
    <w:rsid w:val="00DE4D15"/>
    <w:rsid w:val="00DF3921"/>
    <w:rsid w:val="00E0711A"/>
    <w:rsid w:val="00E10DAD"/>
    <w:rsid w:val="00E22A79"/>
    <w:rsid w:val="00E30647"/>
    <w:rsid w:val="00E37ED8"/>
    <w:rsid w:val="00E4104F"/>
    <w:rsid w:val="00E44A4C"/>
    <w:rsid w:val="00E53750"/>
    <w:rsid w:val="00E67DA5"/>
    <w:rsid w:val="00E73C71"/>
    <w:rsid w:val="00E82C23"/>
    <w:rsid w:val="00E87D77"/>
    <w:rsid w:val="00EB195A"/>
    <w:rsid w:val="00EB47EA"/>
    <w:rsid w:val="00EB75B2"/>
    <w:rsid w:val="00EC02D0"/>
    <w:rsid w:val="00EC5146"/>
    <w:rsid w:val="00ED0355"/>
    <w:rsid w:val="00EE291C"/>
    <w:rsid w:val="00EE3549"/>
    <w:rsid w:val="00EE6E9D"/>
    <w:rsid w:val="00F104E6"/>
    <w:rsid w:val="00F14D7B"/>
    <w:rsid w:val="00F30B71"/>
    <w:rsid w:val="00F34ADB"/>
    <w:rsid w:val="00F44E94"/>
    <w:rsid w:val="00F53E9C"/>
    <w:rsid w:val="00F7512C"/>
    <w:rsid w:val="00F7603A"/>
    <w:rsid w:val="00F848A6"/>
    <w:rsid w:val="00F873BE"/>
    <w:rsid w:val="00FA732F"/>
    <w:rsid w:val="00FB0DA3"/>
    <w:rsid w:val="00FB3354"/>
    <w:rsid w:val="00FB5058"/>
    <w:rsid w:val="00FC662C"/>
    <w:rsid w:val="00FD426B"/>
    <w:rsid w:val="00FE14FE"/>
    <w:rsid w:val="00FF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12C06"/>
  <w15:docId w15:val="{E969FB58-D98B-2E41-962F-4A03D9E6E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3D6F"/>
    <w:pPr>
      <w:spacing w:line="360" w:lineRule="auto"/>
      <w:jc w:val="both"/>
    </w:pPr>
    <w:rPr>
      <w:rFonts w:ascii="Arial" w:hAnsi="Arial"/>
      <w:lang w:val="en-GB"/>
    </w:rPr>
  </w:style>
  <w:style w:type="paragraph" w:styleId="Heading1">
    <w:name w:val="heading 1"/>
    <w:basedOn w:val="Normal"/>
    <w:next w:val="Normal"/>
    <w:link w:val="Heading1Char"/>
    <w:uiPriority w:val="9"/>
    <w:qFormat/>
    <w:rsid w:val="002D174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D1745"/>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1745"/>
    <w:rPr>
      <w:rFonts w:ascii="Times New Roman" w:eastAsiaTheme="majorEastAsia" w:hAnsi="Times New Roman" w:cstheme="majorBidi"/>
      <w:bCs/>
      <w:sz w:val="24"/>
      <w:szCs w:val="26"/>
      <w:u w:val="single"/>
    </w:rPr>
  </w:style>
  <w:style w:type="character" w:customStyle="1" w:styleId="Heading1Char">
    <w:name w:val="Heading 1 Char"/>
    <w:basedOn w:val="DefaultParagraphFont"/>
    <w:link w:val="Heading1"/>
    <w:uiPriority w:val="9"/>
    <w:rsid w:val="002D1745"/>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2017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73F"/>
    <w:rPr>
      <w:rFonts w:ascii="Tahoma" w:hAnsi="Tahoma" w:cs="Tahoma"/>
      <w:sz w:val="16"/>
      <w:szCs w:val="16"/>
    </w:rPr>
  </w:style>
  <w:style w:type="paragraph" w:styleId="Caption">
    <w:name w:val="caption"/>
    <w:basedOn w:val="Normal"/>
    <w:next w:val="Normal"/>
    <w:uiPriority w:val="35"/>
    <w:unhideWhenUsed/>
    <w:qFormat/>
    <w:rsid w:val="0020173F"/>
    <w:pPr>
      <w:spacing w:line="240" w:lineRule="auto"/>
    </w:pPr>
    <w:rPr>
      <w:b/>
      <w:bCs/>
      <w:color w:val="4F81BD" w:themeColor="accent1"/>
      <w:sz w:val="18"/>
      <w:szCs w:val="18"/>
    </w:rPr>
  </w:style>
  <w:style w:type="table" w:styleId="TableGrid">
    <w:name w:val="Table Grid"/>
    <w:basedOn w:val="TableNormal"/>
    <w:uiPriority w:val="59"/>
    <w:rsid w:val="003C5D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24C92"/>
    <w:pPr>
      <w:ind w:left="720"/>
      <w:contextualSpacing/>
    </w:pPr>
  </w:style>
  <w:style w:type="character" w:customStyle="1" w:styleId="apple-converted-space">
    <w:name w:val="apple-converted-space"/>
    <w:basedOn w:val="DefaultParagraphFont"/>
    <w:rsid w:val="003D4B36"/>
  </w:style>
  <w:style w:type="paragraph" w:styleId="TOCHeading">
    <w:name w:val="TOC Heading"/>
    <w:basedOn w:val="Heading1"/>
    <w:next w:val="Normal"/>
    <w:uiPriority w:val="39"/>
    <w:semiHidden/>
    <w:unhideWhenUsed/>
    <w:qFormat/>
    <w:rsid w:val="00E53750"/>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3750"/>
    <w:pPr>
      <w:spacing w:after="100"/>
    </w:pPr>
  </w:style>
  <w:style w:type="paragraph" w:styleId="TOC2">
    <w:name w:val="toc 2"/>
    <w:basedOn w:val="Normal"/>
    <w:next w:val="Normal"/>
    <w:autoRedefine/>
    <w:uiPriority w:val="39"/>
    <w:unhideWhenUsed/>
    <w:rsid w:val="00E53750"/>
    <w:pPr>
      <w:spacing w:after="100"/>
      <w:ind w:left="240"/>
    </w:pPr>
  </w:style>
  <w:style w:type="character" w:styleId="Hyperlink">
    <w:name w:val="Hyperlink"/>
    <w:basedOn w:val="DefaultParagraphFont"/>
    <w:uiPriority w:val="99"/>
    <w:unhideWhenUsed/>
    <w:rsid w:val="00E53750"/>
    <w:rPr>
      <w:color w:val="0000FF" w:themeColor="hyperlink"/>
      <w:u w:val="single"/>
    </w:rPr>
  </w:style>
  <w:style w:type="paragraph" w:styleId="TableofFigures">
    <w:name w:val="table of figures"/>
    <w:basedOn w:val="Normal"/>
    <w:next w:val="Normal"/>
    <w:uiPriority w:val="99"/>
    <w:unhideWhenUsed/>
    <w:rsid w:val="00801533"/>
    <w:pPr>
      <w:spacing w:after="0"/>
    </w:pPr>
  </w:style>
  <w:style w:type="paragraph" w:styleId="Header">
    <w:name w:val="header"/>
    <w:basedOn w:val="Normal"/>
    <w:link w:val="HeaderChar"/>
    <w:uiPriority w:val="99"/>
    <w:semiHidden/>
    <w:unhideWhenUsed/>
    <w:rsid w:val="00F34AD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4ADB"/>
    <w:rPr>
      <w:rFonts w:ascii="Times New Roman" w:hAnsi="Times New Roman"/>
      <w:sz w:val="24"/>
    </w:rPr>
  </w:style>
  <w:style w:type="paragraph" w:styleId="Footer">
    <w:name w:val="footer"/>
    <w:basedOn w:val="Normal"/>
    <w:link w:val="FooterChar"/>
    <w:uiPriority w:val="99"/>
    <w:unhideWhenUsed/>
    <w:rsid w:val="00F34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AD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Downloads\template%20(1)%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178A63-9290-4331-A4C8-C87D975AFB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C:\Users\HP\Downloads\template (1) (2).dotx</Template>
  <TotalTime>1</TotalTime>
  <Pages>9</Pages>
  <Words>2119</Words>
  <Characters>12080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Maria Iacobici (2011287)</cp:lastModifiedBy>
  <cp:revision>2</cp:revision>
  <dcterms:created xsi:type="dcterms:W3CDTF">2022-05-09T16:32:00Z</dcterms:created>
  <dcterms:modified xsi:type="dcterms:W3CDTF">2022-05-09T16:32:00Z</dcterms:modified>
</cp:coreProperties>
</file>