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533DC" w14:textId="5921F196" w:rsidR="002B442B" w:rsidRDefault="003B3325" w:rsidP="002B442B">
      <w:pPr>
        <w:rPr>
          <w:rFonts w:asciiTheme="majorHAnsi" w:hAnsiTheme="majorHAnsi" w:cstheme="majorHAnsi"/>
          <w:b/>
          <w:bCs/>
          <w:sz w:val="32"/>
          <w:szCs w:val="32"/>
        </w:rPr>
      </w:pPr>
      <w:r>
        <w:rPr>
          <w:noProof/>
        </w:rPr>
        <w:drawing>
          <wp:inline distT="0" distB="0" distL="0" distR="0" wp14:anchorId="06DC72AB" wp14:editId="298C1B3D">
            <wp:extent cx="1809750" cy="723900"/>
            <wp:effectExtent l="0" t="0" r="0" b="0"/>
            <wp:docPr id="341" name="Picture 34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41" name="Picture 341" descr="A black background with white text&#10;&#10;AI-generated content may be incorrect."/>
                    <pic:cNvPicPr/>
                  </pic:nvPicPr>
                  <pic:blipFill>
                    <a:blip r:embed="rId7"/>
                    <a:stretch>
                      <a:fillRect/>
                    </a:stretch>
                  </pic:blipFill>
                  <pic:spPr>
                    <a:xfrm>
                      <a:off x="0" y="0"/>
                      <a:ext cx="1809750" cy="723900"/>
                    </a:xfrm>
                    <a:prstGeom prst="rect">
                      <a:avLst/>
                    </a:prstGeom>
                  </pic:spPr>
                </pic:pic>
              </a:graphicData>
            </a:graphic>
          </wp:inline>
        </w:drawing>
      </w:r>
    </w:p>
    <w:p w14:paraId="09833EB1" w14:textId="5B74A0E1" w:rsidR="002B442B" w:rsidRPr="005371A1" w:rsidRDefault="003B3325" w:rsidP="005371A1">
      <w:pPr>
        <w:pStyle w:val="NoSpacing"/>
        <w:numPr>
          <w:ilvl w:val="0"/>
          <w:numId w:val="9"/>
        </w:numPr>
        <w:rPr>
          <w:b/>
          <w:bCs/>
          <w:sz w:val="32"/>
          <w:szCs w:val="32"/>
        </w:rPr>
      </w:pPr>
      <w:r w:rsidRPr="005371A1">
        <w:rPr>
          <w:b/>
          <w:bCs/>
          <w:sz w:val="32"/>
          <w:szCs w:val="32"/>
        </w:rPr>
        <w:t xml:space="preserve">Organisational Culture: Individual report </w:t>
      </w:r>
      <w:r w:rsidR="00F0747A" w:rsidRPr="005371A1">
        <w:rPr>
          <w:b/>
          <w:bCs/>
          <w:sz w:val="32"/>
          <w:szCs w:val="32"/>
        </w:rPr>
        <w:t>(Toyota</w:t>
      </w:r>
      <w:r w:rsidRPr="005371A1">
        <w:rPr>
          <w:b/>
          <w:bCs/>
          <w:sz w:val="32"/>
          <w:szCs w:val="32"/>
        </w:rPr>
        <w:t>)</w:t>
      </w:r>
    </w:p>
    <w:p w14:paraId="67424307" w14:textId="4C6742DF" w:rsidR="002B442B" w:rsidRPr="005371A1" w:rsidRDefault="002B442B" w:rsidP="005371A1">
      <w:pPr>
        <w:pStyle w:val="NoSpacing"/>
        <w:numPr>
          <w:ilvl w:val="0"/>
          <w:numId w:val="9"/>
        </w:numPr>
        <w:rPr>
          <w:b/>
          <w:bCs/>
          <w:sz w:val="32"/>
          <w:szCs w:val="32"/>
        </w:rPr>
      </w:pPr>
      <w:r w:rsidRPr="005371A1">
        <w:rPr>
          <w:b/>
          <w:bCs/>
          <w:sz w:val="32"/>
          <w:szCs w:val="32"/>
        </w:rPr>
        <w:t xml:space="preserve">Assessment Component 1 </w:t>
      </w:r>
    </w:p>
    <w:p w14:paraId="741248D8" w14:textId="77777777" w:rsidR="002B442B" w:rsidRPr="005371A1" w:rsidRDefault="002B442B" w:rsidP="005371A1">
      <w:pPr>
        <w:pStyle w:val="NoSpacing"/>
        <w:numPr>
          <w:ilvl w:val="0"/>
          <w:numId w:val="9"/>
        </w:numPr>
        <w:rPr>
          <w:b/>
          <w:bCs/>
          <w:sz w:val="32"/>
          <w:szCs w:val="32"/>
        </w:rPr>
      </w:pPr>
      <w:r w:rsidRPr="005371A1">
        <w:rPr>
          <w:b/>
          <w:bCs/>
          <w:sz w:val="32"/>
          <w:szCs w:val="32"/>
        </w:rPr>
        <w:t>Student Name: Sara Laassiri</w:t>
      </w:r>
    </w:p>
    <w:p w14:paraId="7C81767C" w14:textId="5D58B036" w:rsidR="002B442B" w:rsidRPr="005371A1" w:rsidRDefault="002B442B" w:rsidP="005371A1">
      <w:pPr>
        <w:pStyle w:val="NoSpacing"/>
        <w:numPr>
          <w:ilvl w:val="0"/>
          <w:numId w:val="9"/>
        </w:numPr>
        <w:rPr>
          <w:b/>
          <w:bCs/>
          <w:sz w:val="32"/>
          <w:szCs w:val="32"/>
        </w:rPr>
      </w:pPr>
      <w:r w:rsidRPr="005371A1">
        <w:rPr>
          <w:b/>
          <w:bCs/>
          <w:sz w:val="32"/>
          <w:szCs w:val="32"/>
        </w:rPr>
        <w:t xml:space="preserve">Student ID: </w:t>
      </w:r>
      <w:r w:rsidR="008E2D4F" w:rsidRPr="005371A1">
        <w:rPr>
          <w:b/>
          <w:bCs/>
          <w:sz w:val="32"/>
          <w:szCs w:val="32"/>
        </w:rPr>
        <w:t>2318737</w:t>
      </w:r>
    </w:p>
    <w:p w14:paraId="440FC2EF" w14:textId="77777777" w:rsidR="00135370" w:rsidRPr="005371A1" w:rsidRDefault="00135370" w:rsidP="005371A1">
      <w:pPr>
        <w:pStyle w:val="NoSpacing"/>
        <w:numPr>
          <w:ilvl w:val="0"/>
          <w:numId w:val="9"/>
        </w:numPr>
        <w:rPr>
          <w:b/>
          <w:bCs/>
          <w:sz w:val="32"/>
          <w:szCs w:val="32"/>
          <w:lang w:val="en-GB"/>
        </w:rPr>
      </w:pPr>
      <w:r w:rsidRPr="005371A1">
        <w:rPr>
          <w:b/>
          <w:bCs/>
          <w:sz w:val="32"/>
          <w:szCs w:val="32"/>
          <w:lang w:val="en-GB"/>
        </w:rPr>
        <w:t>Lecturer: David Oyebisi</w:t>
      </w:r>
    </w:p>
    <w:p w14:paraId="02E1CD7D" w14:textId="57ED4227" w:rsidR="002B442B" w:rsidRPr="005371A1" w:rsidRDefault="002B442B" w:rsidP="005371A1">
      <w:pPr>
        <w:pStyle w:val="NoSpacing"/>
        <w:numPr>
          <w:ilvl w:val="0"/>
          <w:numId w:val="9"/>
        </w:numPr>
        <w:rPr>
          <w:b/>
          <w:bCs/>
          <w:sz w:val="32"/>
          <w:szCs w:val="32"/>
        </w:rPr>
      </w:pPr>
      <w:r w:rsidRPr="005371A1">
        <w:rPr>
          <w:b/>
          <w:bCs/>
          <w:sz w:val="32"/>
          <w:szCs w:val="32"/>
        </w:rPr>
        <w:t>Module: LCLM 5005 – Organisational Culture</w:t>
      </w:r>
    </w:p>
    <w:p w14:paraId="2B94DAED" w14:textId="517FDCF9" w:rsidR="002B442B" w:rsidRPr="005371A1" w:rsidRDefault="002B442B" w:rsidP="005371A1">
      <w:pPr>
        <w:pStyle w:val="NoSpacing"/>
        <w:numPr>
          <w:ilvl w:val="0"/>
          <w:numId w:val="9"/>
        </w:numPr>
        <w:rPr>
          <w:b/>
          <w:bCs/>
          <w:sz w:val="32"/>
          <w:szCs w:val="32"/>
        </w:rPr>
      </w:pPr>
      <w:r w:rsidRPr="005371A1">
        <w:rPr>
          <w:b/>
          <w:bCs/>
          <w:sz w:val="32"/>
          <w:szCs w:val="32"/>
        </w:rPr>
        <w:t>Submission Date:</w:t>
      </w:r>
      <w:r w:rsidR="002C0E0D" w:rsidRPr="005371A1">
        <w:rPr>
          <w:b/>
          <w:bCs/>
          <w:sz w:val="32"/>
          <w:szCs w:val="32"/>
        </w:rPr>
        <w:t>11</w:t>
      </w:r>
      <w:r w:rsidR="009E2CFB" w:rsidRPr="005371A1">
        <w:rPr>
          <w:b/>
          <w:bCs/>
          <w:sz w:val="32"/>
          <w:szCs w:val="32"/>
        </w:rPr>
        <w:t>/</w:t>
      </w:r>
      <w:r w:rsidR="00860D56" w:rsidRPr="005371A1">
        <w:rPr>
          <w:b/>
          <w:bCs/>
          <w:sz w:val="32"/>
          <w:szCs w:val="32"/>
        </w:rPr>
        <w:t>11</w:t>
      </w:r>
      <w:r w:rsidR="009E2CFB" w:rsidRPr="005371A1">
        <w:rPr>
          <w:b/>
          <w:bCs/>
          <w:sz w:val="32"/>
          <w:szCs w:val="32"/>
        </w:rPr>
        <w:t>/</w:t>
      </w:r>
      <w:r w:rsidR="00860D56" w:rsidRPr="005371A1">
        <w:rPr>
          <w:b/>
          <w:bCs/>
          <w:sz w:val="32"/>
          <w:szCs w:val="32"/>
        </w:rPr>
        <w:t>2025</w:t>
      </w:r>
    </w:p>
    <w:p w14:paraId="089F7784" w14:textId="77777777" w:rsidR="002B442B" w:rsidRPr="005371A1" w:rsidRDefault="002B442B" w:rsidP="002B442B">
      <w:pPr>
        <w:rPr>
          <w:b/>
          <w:bCs/>
          <w:color w:val="000000" w:themeColor="text1"/>
          <w:sz w:val="32"/>
          <w:szCs w:val="32"/>
        </w:rPr>
      </w:pPr>
    </w:p>
    <w:p w14:paraId="68B8BD05" w14:textId="77777777" w:rsidR="002B442B" w:rsidRPr="00D16C32" w:rsidRDefault="002B442B" w:rsidP="002B442B">
      <w:pPr>
        <w:rPr>
          <w:b/>
          <w:bCs/>
          <w:color w:val="000000" w:themeColor="text1"/>
        </w:rPr>
      </w:pPr>
    </w:p>
    <w:p w14:paraId="12386041" w14:textId="77777777" w:rsidR="002B442B" w:rsidRDefault="002B442B" w:rsidP="002B442B"/>
    <w:p w14:paraId="17D1659F" w14:textId="77777777" w:rsidR="002B442B" w:rsidRDefault="002B442B" w:rsidP="002B442B"/>
    <w:p w14:paraId="57344D97" w14:textId="77777777" w:rsidR="002B442B" w:rsidRDefault="002B442B" w:rsidP="002B442B"/>
    <w:p w14:paraId="0C9188FA" w14:textId="77777777" w:rsidR="002B442B" w:rsidRDefault="002B442B" w:rsidP="002B442B"/>
    <w:p w14:paraId="4640A09B" w14:textId="77777777" w:rsidR="002B442B" w:rsidRDefault="002B442B" w:rsidP="002B442B"/>
    <w:p w14:paraId="385E4695" w14:textId="77777777" w:rsidR="002B442B" w:rsidRDefault="002B442B" w:rsidP="002B442B"/>
    <w:p w14:paraId="13C687AA" w14:textId="77777777" w:rsidR="002B442B" w:rsidRDefault="002B442B" w:rsidP="002B442B"/>
    <w:p w14:paraId="424F4DD0" w14:textId="77777777" w:rsidR="002B442B" w:rsidRDefault="002B442B" w:rsidP="002B442B"/>
    <w:p w14:paraId="77690238" w14:textId="77777777" w:rsidR="002B442B" w:rsidRDefault="002B442B" w:rsidP="002B442B"/>
    <w:p w14:paraId="1287207F" w14:textId="77777777" w:rsidR="002B442B" w:rsidRDefault="002B442B" w:rsidP="002B442B"/>
    <w:p w14:paraId="64F66F3E" w14:textId="77777777" w:rsidR="002B442B" w:rsidRDefault="002B442B" w:rsidP="002B442B"/>
    <w:p w14:paraId="5D1685D2" w14:textId="77777777" w:rsidR="002B442B" w:rsidRDefault="002B442B" w:rsidP="002B442B"/>
    <w:p w14:paraId="4418C37F" w14:textId="77777777" w:rsidR="002B442B" w:rsidRDefault="002B442B" w:rsidP="002B442B"/>
    <w:p w14:paraId="0510C2CC" w14:textId="77777777" w:rsidR="002B442B" w:rsidRDefault="002B442B" w:rsidP="002B442B"/>
    <w:p w14:paraId="6F0DAF8C" w14:textId="77777777" w:rsidR="002B442B" w:rsidRDefault="002B442B" w:rsidP="002B442B"/>
    <w:p w14:paraId="7B148AD6" w14:textId="77777777" w:rsidR="002B442B" w:rsidRDefault="002B442B" w:rsidP="002B442B"/>
    <w:p w14:paraId="5E1F330B" w14:textId="77777777" w:rsidR="002B442B" w:rsidRPr="00D16C32" w:rsidRDefault="002B442B" w:rsidP="002B442B">
      <w:pPr>
        <w:rPr>
          <w:rFonts w:asciiTheme="majorHAnsi" w:hAnsiTheme="majorHAnsi" w:cstheme="majorHAnsi"/>
          <w:b/>
          <w:bCs/>
          <w:sz w:val="32"/>
          <w:szCs w:val="32"/>
        </w:rPr>
      </w:pPr>
      <w:r w:rsidRPr="00D16C32">
        <w:rPr>
          <w:rFonts w:asciiTheme="majorHAnsi" w:hAnsiTheme="majorHAnsi" w:cstheme="majorHAnsi"/>
          <w:b/>
          <w:bCs/>
          <w:sz w:val="32"/>
          <w:szCs w:val="32"/>
        </w:rPr>
        <w:t>Table of Contents</w:t>
      </w:r>
    </w:p>
    <w:p w14:paraId="3E504297" w14:textId="099F68B0" w:rsidR="00820278" w:rsidRDefault="00FA2EB6" w:rsidP="00A25438">
      <w:pPr>
        <w:pStyle w:val="ListParagraph"/>
        <w:numPr>
          <w:ilvl w:val="0"/>
          <w:numId w:val="2"/>
        </w:numPr>
      </w:pPr>
      <w:r w:rsidRPr="00A25438">
        <w:rPr>
          <w:rFonts w:asciiTheme="majorHAnsi" w:hAnsiTheme="majorHAnsi" w:cstheme="majorHAnsi"/>
          <w:b/>
          <w:bCs/>
        </w:rPr>
        <w:lastRenderedPageBreak/>
        <w:t>Introduction</w:t>
      </w:r>
      <w:r>
        <w:t xml:space="preserve"> </w:t>
      </w:r>
    </w:p>
    <w:p w14:paraId="50BC021E" w14:textId="05F932D5" w:rsidR="00FA2EB6" w:rsidRPr="00A25438" w:rsidRDefault="00FA2EB6" w:rsidP="00A25438">
      <w:pPr>
        <w:pStyle w:val="ListParagraph"/>
        <w:numPr>
          <w:ilvl w:val="0"/>
          <w:numId w:val="2"/>
        </w:numPr>
        <w:rPr>
          <w:rFonts w:asciiTheme="majorHAnsi" w:hAnsiTheme="majorHAnsi" w:cstheme="majorHAnsi"/>
          <w:b/>
          <w:bCs/>
        </w:rPr>
      </w:pPr>
      <w:r w:rsidRPr="00A25438">
        <w:rPr>
          <w:rFonts w:asciiTheme="majorHAnsi" w:hAnsiTheme="majorHAnsi" w:cstheme="majorHAnsi"/>
          <w:b/>
          <w:bCs/>
        </w:rPr>
        <w:t xml:space="preserve">Organisational Culture </w:t>
      </w:r>
      <w:r w:rsidR="00375FAF" w:rsidRPr="00A25438">
        <w:rPr>
          <w:rFonts w:asciiTheme="majorHAnsi" w:hAnsiTheme="majorHAnsi" w:cstheme="majorHAnsi"/>
          <w:b/>
          <w:bCs/>
        </w:rPr>
        <w:t>of Toyota</w:t>
      </w:r>
      <w:r w:rsidR="002C0E0D" w:rsidRPr="00A25438">
        <w:rPr>
          <w:rFonts w:asciiTheme="majorHAnsi" w:hAnsiTheme="majorHAnsi" w:cstheme="majorHAnsi"/>
          <w:b/>
          <w:bCs/>
        </w:rPr>
        <w:t>’s</w:t>
      </w:r>
    </w:p>
    <w:p w14:paraId="54DEE84B" w14:textId="77777777" w:rsidR="008C5420" w:rsidRPr="00A25438" w:rsidRDefault="008C5420" w:rsidP="00A25438">
      <w:pPr>
        <w:pStyle w:val="ListParagraph"/>
        <w:numPr>
          <w:ilvl w:val="0"/>
          <w:numId w:val="2"/>
        </w:numPr>
        <w:rPr>
          <w:rFonts w:asciiTheme="majorHAnsi" w:hAnsiTheme="majorHAnsi" w:cstheme="majorHAnsi"/>
          <w:b/>
          <w:bCs/>
        </w:rPr>
      </w:pPr>
      <w:r w:rsidRPr="00A25438">
        <w:rPr>
          <w:rFonts w:asciiTheme="majorHAnsi" w:hAnsiTheme="majorHAnsi" w:cstheme="majorHAnsi"/>
          <w:b/>
          <w:bCs/>
        </w:rPr>
        <w:t>Influence of Culture on Structure and Decision-Making</w:t>
      </w:r>
    </w:p>
    <w:p w14:paraId="553E65DF" w14:textId="1B334740" w:rsidR="00BB07F6" w:rsidRPr="00A25438" w:rsidRDefault="00BB07F6" w:rsidP="00A25438">
      <w:pPr>
        <w:pStyle w:val="ListParagraph"/>
        <w:numPr>
          <w:ilvl w:val="0"/>
          <w:numId w:val="2"/>
        </w:numPr>
        <w:rPr>
          <w:b/>
          <w:bCs/>
          <w:color w:val="000000" w:themeColor="text1"/>
        </w:rPr>
      </w:pPr>
      <w:r w:rsidRPr="00A25438">
        <w:rPr>
          <w:b/>
          <w:bCs/>
          <w:color w:val="000000" w:themeColor="text1"/>
        </w:rPr>
        <w:t>Influence of Culture on Organisational Structure</w:t>
      </w:r>
    </w:p>
    <w:p w14:paraId="7E60B0CE" w14:textId="77777777" w:rsidR="00F47B69" w:rsidRPr="00A25438" w:rsidRDefault="00F47B69" w:rsidP="00A25438">
      <w:pPr>
        <w:pStyle w:val="ListParagraph"/>
        <w:numPr>
          <w:ilvl w:val="0"/>
          <w:numId w:val="2"/>
        </w:numPr>
        <w:rPr>
          <w:rFonts w:asciiTheme="majorHAnsi" w:hAnsiTheme="majorHAnsi" w:cstheme="majorHAnsi"/>
          <w:b/>
          <w:bCs/>
        </w:rPr>
      </w:pPr>
      <w:r w:rsidRPr="00A25438">
        <w:rPr>
          <w:rFonts w:asciiTheme="majorHAnsi" w:hAnsiTheme="majorHAnsi" w:cstheme="majorHAnsi"/>
          <w:b/>
          <w:bCs/>
        </w:rPr>
        <w:t>Identifying Cultural Types: Models and Frameworks</w:t>
      </w:r>
    </w:p>
    <w:p w14:paraId="3E9F6414" w14:textId="77777777" w:rsidR="008D6898" w:rsidRDefault="008D6898" w:rsidP="00A25438">
      <w:pPr>
        <w:pStyle w:val="ListParagraph"/>
        <w:numPr>
          <w:ilvl w:val="0"/>
          <w:numId w:val="2"/>
        </w:numPr>
        <w:rPr>
          <w:rFonts w:asciiTheme="majorHAnsi" w:hAnsiTheme="majorHAnsi" w:cstheme="majorHAnsi"/>
          <w:b/>
          <w:bCs/>
        </w:rPr>
      </w:pPr>
      <w:r w:rsidRPr="00A25438">
        <w:rPr>
          <w:rFonts w:asciiTheme="majorHAnsi" w:hAnsiTheme="majorHAnsi" w:cstheme="majorHAnsi"/>
          <w:b/>
          <w:bCs/>
        </w:rPr>
        <w:t>Culture and the External Environment</w:t>
      </w:r>
    </w:p>
    <w:p w14:paraId="788EECD4" w14:textId="77777777" w:rsidR="00EA444F" w:rsidRPr="00EA444F" w:rsidRDefault="00EA444F" w:rsidP="00EA444F">
      <w:pPr>
        <w:pStyle w:val="ListParagraph"/>
        <w:numPr>
          <w:ilvl w:val="0"/>
          <w:numId w:val="2"/>
        </w:numPr>
        <w:rPr>
          <w:rFonts w:asciiTheme="majorHAnsi" w:hAnsiTheme="majorHAnsi" w:cstheme="majorHAnsi"/>
          <w:b/>
          <w:bCs/>
        </w:rPr>
      </w:pPr>
      <w:r w:rsidRPr="00EA444F">
        <w:rPr>
          <w:rFonts w:asciiTheme="majorHAnsi" w:hAnsiTheme="majorHAnsi" w:cstheme="majorHAnsi"/>
          <w:b/>
          <w:bCs/>
        </w:rPr>
        <w:t>Organisational Culture as a Barrier</w:t>
      </w:r>
    </w:p>
    <w:p w14:paraId="126645C2" w14:textId="4AE9C6A4" w:rsidR="00EA444F" w:rsidRDefault="005C5FBE" w:rsidP="00A25438">
      <w:pPr>
        <w:pStyle w:val="ListParagraph"/>
        <w:numPr>
          <w:ilvl w:val="0"/>
          <w:numId w:val="2"/>
        </w:numPr>
        <w:rPr>
          <w:rFonts w:asciiTheme="majorHAnsi" w:hAnsiTheme="majorHAnsi" w:cstheme="majorHAnsi"/>
          <w:b/>
          <w:bCs/>
        </w:rPr>
      </w:pPr>
      <w:r w:rsidRPr="00FE5325">
        <w:rPr>
          <w:rFonts w:asciiTheme="majorHAnsi" w:hAnsiTheme="majorHAnsi" w:cstheme="majorHAnsi"/>
          <w:b/>
          <w:bCs/>
        </w:rPr>
        <w:t>Impact of Culture on Organisational Performance</w:t>
      </w:r>
    </w:p>
    <w:p w14:paraId="24E61934" w14:textId="27219DAD" w:rsidR="005C5FBE" w:rsidRDefault="005A55A5" w:rsidP="00A25438">
      <w:pPr>
        <w:pStyle w:val="ListParagraph"/>
        <w:numPr>
          <w:ilvl w:val="0"/>
          <w:numId w:val="2"/>
        </w:numPr>
        <w:rPr>
          <w:rFonts w:asciiTheme="majorHAnsi" w:hAnsiTheme="majorHAnsi" w:cstheme="majorHAnsi"/>
          <w:b/>
          <w:bCs/>
        </w:rPr>
      </w:pPr>
      <w:r>
        <w:rPr>
          <w:rFonts w:asciiTheme="majorHAnsi" w:hAnsiTheme="majorHAnsi" w:cstheme="majorHAnsi"/>
          <w:b/>
          <w:bCs/>
        </w:rPr>
        <w:t>Conclusion</w:t>
      </w:r>
    </w:p>
    <w:p w14:paraId="690CB250" w14:textId="707A6BD3" w:rsidR="005A55A5" w:rsidRPr="00A25438" w:rsidRDefault="005A55A5" w:rsidP="00A25438">
      <w:pPr>
        <w:pStyle w:val="ListParagraph"/>
        <w:numPr>
          <w:ilvl w:val="0"/>
          <w:numId w:val="2"/>
        </w:numPr>
        <w:rPr>
          <w:rFonts w:asciiTheme="majorHAnsi" w:hAnsiTheme="majorHAnsi" w:cstheme="majorHAnsi"/>
          <w:b/>
          <w:bCs/>
        </w:rPr>
      </w:pPr>
      <w:r>
        <w:rPr>
          <w:rFonts w:asciiTheme="majorHAnsi" w:hAnsiTheme="majorHAnsi" w:cstheme="majorHAnsi"/>
          <w:b/>
          <w:bCs/>
        </w:rPr>
        <w:t xml:space="preserve">Reference </w:t>
      </w:r>
    </w:p>
    <w:p w14:paraId="682F9FF9" w14:textId="77777777" w:rsidR="00820278" w:rsidRPr="00FE5325" w:rsidRDefault="00820278" w:rsidP="00FA2EB6">
      <w:pPr>
        <w:rPr>
          <w:rFonts w:asciiTheme="majorHAnsi" w:hAnsiTheme="majorHAnsi" w:cstheme="majorHAnsi"/>
          <w:b/>
          <w:bCs/>
          <w:sz w:val="24"/>
          <w:szCs w:val="24"/>
        </w:rPr>
      </w:pPr>
    </w:p>
    <w:p w14:paraId="6DF61E36" w14:textId="77777777" w:rsidR="002B442B" w:rsidRDefault="002B442B" w:rsidP="002B442B"/>
    <w:p w14:paraId="15F1E911" w14:textId="77777777" w:rsidR="002B442B" w:rsidRDefault="002B442B" w:rsidP="002B442B"/>
    <w:p w14:paraId="7C86F6EE" w14:textId="77777777" w:rsidR="002B442B" w:rsidRDefault="002B442B" w:rsidP="002B442B"/>
    <w:p w14:paraId="60BC0CC8" w14:textId="77777777" w:rsidR="002B442B" w:rsidRDefault="002B442B" w:rsidP="002B442B"/>
    <w:p w14:paraId="29434C78" w14:textId="77777777" w:rsidR="002B442B" w:rsidRDefault="002B442B" w:rsidP="002B442B"/>
    <w:p w14:paraId="15D95C15" w14:textId="77777777" w:rsidR="002B442B" w:rsidRDefault="002B442B" w:rsidP="002B442B"/>
    <w:p w14:paraId="4EAE45DA" w14:textId="77777777" w:rsidR="002B442B" w:rsidRDefault="002B442B" w:rsidP="002B442B"/>
    <w:p w14:paraId="0EBAAD31" w14:textId="77777777" w:rsidR="002B442B" w:rsidRDefault="002B442B" w:rsidP="002B442B"/>
    <w:p w14:paraId="2A92E0FB" w14:textId="77777777" w:rsidR="002B442B" w:rsidRDefault="002B442B" w:rsidP="002B442B"/>
    <w:p w14:paraId="5FCDCF27" w14:textId="77777777" w:rsidR="002B442B" w:rsidRDefault="002B442B" w:rsidP="002B442B"/>
    <w:p w14:paraId="7591006E" w14:textId="77777777" w:rsidR="002B442B" w:rsidRDefault="002B442B" w:rsidP="002B442B"/>
    <w:p w14:paraId="56CA6010" w14:textId="77777777" w:rsidR="002B442B" w:rsidRDefault="002B442B" w:rsidP="002B442B"/>
    <w:p w14:paraId="2CD4396E" w14:textId="77777777" w:rsidR="002B442B" w:rsidRDefault="002B442B" w:rsidP="002B442B"/>
    <w:p w14:paraId="64ABEEDA" w14:textId="77777777" w:rsidR="002B442B" w:rsidRDefault="002B442B" w:rsidP="002B442B"/>
    <w:p w14:paraId="75801EA8" w14:textId="77777777" w:rsidR="002B442B" w:rsidRDefault="002B442B" w:rsidP="002B442B"/>
    <w:p w14:paraId="4F24F962" w14:textId="77777777" w:rsidR="002B442B" w:rsidRDefault="002B442B" w:rsidP="002B442B"/>
    <w:p w14:paraId="5880033C" w14:textId="77777777" w:rsidR="002B442B" w:rsidRPr="001A35ED" w:rsidRDefault="002B442B" w:rsidP="00ED137A">
      <w:pPr>
        <w:pStyle w:val="ListParagraph"/>
        <w:numPr>
          <w:ilvl w:val="0"/>
          <w:numId w:val="3"/>
        </w:numPr>
        <w:rPr>
          <w:color w:val="D86DCB" w:themeColor="accent5" w:themeTint="99"/>
        </w:rPr>
      </w:pPr>
      <w:r w:rsidRPr="001A35ED">
        <w:rPr>
          <w:color w:val="D86DCB" w:themeColor="accent5" w:themeTint="99"/>
        </w:rPr>
        <w:t>Introduction</w:t>
      </w:r>
    </w:p>
    <w:p w14:paraId="4208FE72" w14:textId="77777777" w:rsidR="002B442B" w:rsidRDefault="002B442B" w:rsidP="002B442B">
      <w:r w:rsidRPr="00C92689">
        <w:t xml:space="preserve">Organisational culture is a fundamental concept in management theory that specifies the shared values, beliefs, norms, and practices which direct employees' </w:t>
      </w:r>
      <w:proofErr w:type="spellStart"/>
      <w:r w:rsidRPr="00C92689">
        <w:t>behaviour</w:t>
      </w:r>
      <w:proofErr w:type="spellEnd"/>
      <w:r w:rsidRPr="00C92689">
        <w:t xml:space="preserve"> and organisations' functioning. Mullins and Christy (2016) characterize culture as "how things are done around here", which shows how it influences motivation, communication, decision-</w:t>
      </w:r>
      <w:r w:rsidRPr="00C92689">
        <w:lastRenderedPageBreak/>
        <w:t xml:space="preserve">making, and overall organisational performance. In a global business context marked by diversity, competition, and accelerating technological transformation, organisational culture has become essential to understand and manage </w:t>
      </w:r>
      <w:proofErr w:type="gramStart"/>
      <w:r w:rsidRPr="00C92689">
        <w:t>in order to</w:t>
      </w:r>
      <w:proofErr w:type="gramEnd"/>
      <w:r w:rsidRPr="00C92689">
        <w:t xml:space="preserve"> maintain performance and agility.</w:t>
      </w:r>
    </w:p>
    <w:p w14:paraId="6E163999" w14:textId="77777777" w:rsidR="002B442B" w:rsidRDefault="002B442B" w:rsidP="002B442B">
      <w:r w:rsidRPr="00E1184D">
        <w:t xml:space="preserve">This report examines Toyota Motor Corporation, one of the world’s largest and most successful automobile manufacturers, founded in Japan in 1937. Toyota operates in over 170 countries and employs more than 370,000 people (Toyota, 2024). The company is widely </w:t>
      </w:r>
      <w:proofErr w:type="spellStart"/>
      <w:r w:rsidRPr="00E1184D">
        <w:t>recognised</w:t>
      </w:r>
      <w:proofErr w:type="spellEnd"/>
      <w:r w:rsidRPr="00E1184D">
        <w:t xml:space="preserve"> for its distinctive organisational culture known as “The Toyota Way”, built around two core principles</w:t>
      </w:r>
      <w:r>
        <w:t xml:space="preserve"> </w:t>
      </w:r>
      <w:r w:rsidRPr="00E1184D">
        <w:t>continuous improvement (Kaizen) and respect for people (Liker, 2021). These values underpin Toyota’s global reputation for quality, innovation, and reliability.</w:t>
      </w:r>
    </w:p>
    <w:p w14:paraId="65AC88C8" w14:textId="77777777" w:rsidR="002B442B" w:rsidRDefault="002B442B" w:rsidP="002B442B">
      <w:r>
        <w:t xml:space="preserve">The report will critically assess Toyota's organisational culture influence on structure and decision-making processes. The report will also explore how certain theoretical models — including Schein's organisational culture model, Hofstede's cultural dimensions, and Handy's cultural types — can be employed </w:t>
      </w:r>
      <w:proofErr w:type="gramStart"/>
      <w:r>
        <w:t>in order to</w:t>
      </w:r>
      <w:proofErr w:type="gramEnd"/>
      <w:r>
        <w:t xml:space="preserve"> identify and explain Toyota's cultural traits. Also, the report will analyze how Toyota's culture allows it to respond to external environmental forces such as globalisation, competition, and pressure on sustainability. Finally, it will conclude whether Toyota's culture is a hindrance or a facilitator for efficient operation and quantify its overall impact on organisational performance, and lastly, suggest how it may be enhanced.</w:t>
      </w:r>
    </w:p>
    <w:p w14:paraId="27085792" w14:textId="77777777" w:rsidR="002B442B" w:rsidRDefault="002B442B" w:rsidP="002B442B">
      <w:r>
        <w:t>By this analysis, the report aims to show how the deeply embedded cultural values of Toyota have contributed to its sustained global success and stability in a varying business climate.</w:t>
      </w:r>
    </w:p>
    <w:p w14:paraId="061439A2" w14:textId="77777777" w:rsidR="002B442B" w:rsidRPr="00ED137A" w:rsidRDefault="002B442B" w:rsidP="00ED137A">
      <w:pPr>
        <w:pStyle w:val="ListParagraph"/>
        <w:numPr>
          <w:ilvl w:val="0"/>
          <w:numId w:val="3"/>
        </w:numPr>
        <w:rPr>
          <w:b/>
          <w:bCs/>
          <w:color w:val="D86DCB" w:themeColor="accent5" w:themeTint="99"/>
        </w:rPr>
      </w:pPr>
      <w:r w:rsidRPr="00ED137A">
        <w:rPr>
          <w:b/>
          <w:bCs/>
          <w:color w:val="D86DCB" w:themeColor="accent5" w:themeTint="99"/>
        </w:rPr>
        <w:t>Organisational Culture of Toyota</w:t>
      </w:r>
    </w:p>
    <w:p w14:paraId="50F3BB2A" w14:textId="77777777" w:rsidR="002B442B" w:rsidRDefault="002B442B" w:rsidP="002B442B">
      <w:r>
        <w:t>Toyota Motor Corporation has one of the most distinctive and best-studied organisational cultures in the world. Its organisational culture, richly grained in Japanese philosophy and social mores, shaped its operations, leadership, and worldwide success. The company's guiding principles are embedded in what has been described as "The Toyota Way", a two-pronged system of continuous improvement (Kaizen) and respect for people (Liker, 2021). These beliefs guide all areas of the organisation, influencing how employees collaborate, solve problems, and aim for perfection.</w:t>
      </w:r>
    </w:p>
    <w:p w14:paraId="316026C1" w14:textId="77777777" w:rsidR="002B442B" w:rsidRPr="00991183" w:rsidRDefault="002B442B" w:rsidP="002B442B">
      <w:r>
        <w:t>Kaizen philosophies capture Toyota's belief that improvement is not an isolated event but rather a continuous process. All staff are encouraged to find inefficiencies and propose solutions, developing a culture of shared accountability for organisational success (Imai, 2012). This behavior renders problem-solving a collaborative activity and instills the notion that quality and innovation are everybody's responsibility. To illustrate, assembly-line workers are empowered to halt the assembly line if they detect a defect — open proof of trust and</w:t>
      </w:r>
      <w:r w:rsidRPr="00CE463B">
        <w:t xml:space="preserve"> </w:t>
      </w:r>
      <w:r>
        <w:t>empowerment (Hino, 2019). All these practices are signs of Toyota's commitment to long-term quality rather than short-term profitability.</w:t>
      </w:r>
    </w:p>
    <w:p w14:paraId="50BB948D" w14:textId="77777777" w:rsidR="002B442B" w:rsidRDefault="002B442B" w:rsidP="002B442B">
      <w:r>
        <w:t xml:space="preserve">The second pillar, respect for people, highlights the people-oriented culture of Toyota. Employees are treated as part of the success team of the organisation and are encouraged to upgrade their abilities by learning through training and mentoring (Liker, 2021). This respect is not just limited to the employees but is extended to customers, suppliers, and society, lending </w:t>
      </w:r>
      <w:r>
        <w:lastRenderedPageBreak/>
        <w:t>Toyota's business model an ethical and relational orientation. Since, as Hofstede (2011) notes, Japanese collectivist culture emphasizes harmony, cooperation, and consensus, these are strong roots within Toyota's corporate life.</w:t>
      </w:r>
    </w:p>
    <w:p w14:paraId="473EC847" w14:textId="77777777" w:rsidR="002B442B" w:rsidRDefault="002B442B" w:rsidP="002B442B">
      <w:r>
        <w:t xml:space="preserve">Schein's (2017) three-level organisational culture model describes Toyota's operations at the internal level. At artifacts level, above-board items such as uniforms, teamwork ceremonies, and the Andon cord symbolize openness and accountability. espoused values such as Kaizen, respect, and ongoing learning are openly espoused as company principles and leadership </w:t>
      </w:r>
      <w:proofErr w:type="spellStart"/>
      <w:r>
        <w:t>behaviour</w:t>
      </w:r>
      <w:proofErr w:type="spellEnd"/>
      <w:r>
        <w:t xml:space="preserve">. Finally, the underlying assumptions, traditionally unexpressed, relate to harmony, self-discipline, and collective responsibility. These underlying assumptions are the unspoken pillars that underpin Toyota's stability, innovation, and </w:t>
      </w:r>
      <w:proofErr w:type="gramStart"/>
      <w:r>
        <w:t>excellence</w:t>
      </w:r>
      <w:proofErr w:type="gramEnd"/>
      <w:r>
        <w:t xml:space="preserve"> reputation.</w:t>
      </w:r>
    </w:p>
    <w:p w14:paraId="4E962A94" w14:textId="77777777" w:rsidR="002B442B" w:rsidRDefault="002B442B" w:rsidP="002B442B">
      <w:r>
        <w:t>As a rule, Toyota culture is both extremely disciplined and extremely human. Discipline and empowerment, tradition and innovation, hierarchy and teamwork coexist in it. This balance of culture has helped Toyota maintain success over decades and remain both operationally excellent and responsive to the contexts of globalisation.</w:t>
      </w:r>
    </w:p>
    <w:p w14:paraId="71EC40FC" w14:textId="77777777" w:rsidR="002B442B" w:rsidRPr="00ED137A" w:rsidRDefault="002B442B" w:rsidP="00ED137A">
      <w:pPr>
        <w:pStyle w:val="ListParagraph"/>
        <w:numPr>
          <w:ilvl w:val="0"/>
          <w:numId w:val="3"/>
        </w:numPr>
        <w:rPr>
          <w:b/>
          <w:bCs/>
          <w:color w:val="D86DCB" w:themeColor="accent5" w:themeTint="99"/>
        </w:rPr>
      </w:pPr>
      <w:r w:rsidRPr="00ED137A">
        <w:rPr>
          <w:b/>
          <w:bCs/>
          <w:color w:val="D86DCB" w:themeColor="accent5" w:themeTint="99"/>
        </w:rPr>
        <w:t>Influence of Culture on Structure and Decision-Making</w:t>
      </w:r>
    </w:p>
    <w:p w14:paraId="0F85FFDB" w14:textId="77777777" w:rsidR="002B442B" w:rsidRDefault="002B442B" w:rsidP="002B442B">
      <w:r w:rsidRPr="00AA7309">
        <w:t>Organisational structure and decision-making processes are directly influenced by the underlying culture of a company. In the case of Toyota Motor Corporation, the cultural values of Kaizen (continuous improvement) and respect for people form the backbone of its structural design and managerial decision-making systems. These cultural foundations ensure that efficiency, collaboration, and empowerment coexist harmoniously, creating an organisation that is both disciplined and adaptable.</w:t>
      </w:r>
    </w:p>
    <w:p w14:paraId="22B53539" w14:textId="77777777" w:rsidR="002B442B" w:rsidRPr="00540565" w:rsidRDefault="002B442B" w:rsidP="00540565">
      <w:pPr>
        <w:pStyle w:val="ListParagraph"/>
        <w:numPr>
          <w:ilvl w:val="0"/>
          <w:numId w:val="3"/>
        </w:numPr>
        <w:rPr>
          <w:b/>
          <w:bCs/>
          <w:color w:val="D86DCB" w:themeColor="accent5" w:themeTint="99"/>
        </w:rPr>
      </w:pPr>
      <w:r w:rsidRPr="00540565">
        <w:rPr>
          <w:b/>
          <w:bCs/>
          <w:color w:val="D86DCB" w:themeColor="accent5" w:themeTint="99"/>
        </w:rPr>
        <w:t>Influence of Culture on Organisational Structure</w:t>
      </w:r>
    </w:p>
    <w:p w14:paraId="1CC79C2F" w14:textId="77777777" w:rsidR="002B442B" w:rsidRDefault="002B442B" w:rsidP="002B442B">
      <w:pPr>
        <w:rPr>
          <w:b/>
          <w:bCs/>
          <w:color w:val="595959" w:themeColor="text1" w:themeTint="A6"/>
        </w:rPr>
      </w:pPr>
      <w:r w:rsidRPr="005305E2">
        <w:rPr>
          <w:b/>
          <w:bCs/>
          <w:color w:val="595959" w:themeColor="text1" w:themeTint="A6"/>
        </w:rPr>
        <w:t xml:space="preserve">Toyota’s structure is often described as a hybrid model, combining elements of functional, divisional, and team-based structures. This blend allows the company to maintain standardisation and control while remaining flexible enough to respond to local markets. The emphasis on teamwork and communication reflects Toyota’s Japanese collectivist culture, where cooperation and group achievement are </w:t>
      </w:r>
      <w:proofErr w:type="spellStart"/>
      <w:r w:rsidRPr="005305E2">
        <w:rPr>
          <w:b/>
          <w:bCs/>
          <w:color w:val="595959" w:themeColor="text1" w:themeTint="A6"/>
        </w:rPr>
        <w:t>prioritised</w:t>
      </w:r>
      <w:proofErr w:type="spellEnd"/>
      <w:r w:rsidRPr="005305E2">
        <w:rPr>
          <w:b/>
          <w:bCs/>
          <w:color w:val="595959" w:themeColor="text1" w:themeTint="A6"/>
        </w:rPr>
        <w:t xml:space="preserve"> over individual performance </w:t>
      </w:r>
      <w:r>
        <w:rPr>
          <w:b/>
          <w:bCs/>
          <w:color w:val="595959" w:themeColor="text1" w:themeTint="A6"/>
        </w:rPr>
        <w:t>(</w:t>
      </w:r>
      <w:r w:rsidRPr="005305E2">
        <w:rPr>
          <w:b/>
          <w:bCs/>
          <w:color w:val="595959" w:themeColor="text1" w:themeTint="A6"/>
        </w:rPr>
        <w:t>Hofstede, 2011).</w:t>
      </w:r>
    </w:p>
    <w:p w14:paraId="30BF6DB3" w14:textId="77777777" w:rsidR="002B442B" w:rsidRDefault="002B442B" w:rsidP="002B442B">
      <w:pPr>
        <w:rPr>
          <w:b/>
          <w:bCs/>
          <w:color w:val="595959" w:themeColor="text1" w:themeTint="A6"/>
        </w:rPr>
      </w:pPr>
      <w:r w:rsidRPr="00D30456">
        <w:rPr>
          <w:b/>
          <w:bCs/>
          <w:color w:val="595959" w:themeColor="text1" w:themeTint="A6"/>
        </w:rPr>
        <w:t>The Toyota Production System (TPS) is one such cultural and structural integration. At the heart of its design is faith in the creation of value through interaction and mutual learning. Employees work in independent small groups specializing in specific processes and goals, promoting cooperation and accountability within the team (Ohno, 1988). Each team can exercise control over quality and stop production when required — a move that indicates the belief in employees at every level (Liker, 2021). Decentralized authority is demonstrated here as an indication of the belief in entrusting decision-making authority at the location nearest action so that problems are solved with the highest efficiency.</w:t>
      </w:r>
    </w:p>
    <w:p w14:paraId="3AE02F77" w14:textId="77777777" w:rsidR="002B442B" w:rsidRDefault="002B442B" w:rsidP="002B442B">
      <w:pPr>
        <w:rPr>
          <w:b/>
          <w:bCs/>
          <w:color w:val="595959" w:themeColor="text1" w:themeTint="A6"/>
        </w:rPr>
      </w:pPr>
      <w:r w:rsidRPr="0081737C">
        <w:rPr>
          <w:b/>
          <w:bCs/>
          <w:color w:val="595959" w:themeColor="text1" w:themeTint="A6"/>
        </w:rPr>
        <w:t xml:space="preserve">In line with Handy’s (1993) typology of organisational culture, Toyota exhibits strong elements of a role </w:t>
      </w:r>
      <w:proofErr w:type="gramStart"/>
      <w:r w:rsidRPr="0081737C">
        <w:rPr>
          <w:b/>
          <w:bCs/>
          <w:color w:val="595959" w:themeColor="text1" w:themeTint="A6"/>
        </w:rPr>
        <w:t xml:space="preserve">culture </w:t>
      </w:r>
      <w:r>
        <w:rPr>
          <w:b/>
          <w:bCs/>
          <w:color w:val="595959" w:themeColor="text1" w:themeTint="A6"/>
        </w:rPr>
        <w:t xml:space="preserve"> </w:t>
      </w:r>
      <w:r w:rsidRPr="0081737C">
        <w:rPr>
          <w:b/>
          <w:bCs/>
          <w:color w:val="595959" w:themeColor="text1" w:themeTint="A6"/>
        </w:rPr>
        <w:t>where</w:t>
      </w:r>
      <w:proofErr w:type="gramEnd"/>
      <w:r w:rsidRPr="0081737C">
        <w:rPr>
          <w:b/>
          <w:bCs/>
          <w:color w:val="595959" w:themeColor="text1" w:themeTint="A6"/>
        </w:rPr>
        <w:t xml:space="preserve"> clearly defined duties, rules</w:t>
      </w:r>
      <w:r>
        <w:rPr>
          <w:b/>
          <w:bCs/>
          <w:color w:val="595959" w:themeColor="text1" w:themeTint="A6"/>
        </w:rPr>
        <w:t xml:space="preserve"> </w:t>
      </w:r>
      <w:r w:rsidRPr="0081737C">
        <w:rPr>
          <w:b/>
          <w:bCs/>
          <w:color w:val="595959" w:themeColor="text1" w:themeTint="A6"/>
        </w:rPr>
        <w:t>and procedures provide stability</w:t>
      </w:r>
      <w:r>
        <w:rPr>
          <w:b/>
          <w:bCs/>
          <w:color w:val="595959" w:themeColor="text1" w:themeTint="A6"/>
        </w:rPr>
        <w:t xml:space="preserve"> </w:t>
      </w:r>
      <w:r w:rsidRPr="0081737C">
        <w:rPr>
          <w:b/>
          <w:bCs/>
          <w:color w:val="595959" w:themeColor="text1" w:themeTint="A6"/>
        </w:rPr>
        <w:t xml:space="preserve">  with aspects of a task culture, which values problem-solving and adaptability. This hybrid enables Toyota to balance control with innovation. Moreover, Schein’s (2017) </w:t>
      </w:r>
      <w:r w:rsidRPr="0081737C">
        <w:rPr>
          <w:b/>
          <w:bCs/>
          <w:color w:val="595959" w:themeColor="text1" w:themeTint="A6"/>
        </w:rPr>
        <w:lastRenderedPageBreak/>
        <w:t xml:space="preserve">model explains how the company’s visible structures (artifacts) such as open workspaces, collaborative tools, and </w:t>
      </w:r>
      <w:proofErr w:type="spellStart"/>
      <w:r w:rsidRPr="0081737C">
        <w:rPr>
          <w:b/>
          <w:bCs/>
          <w:color w:val="595959" w:themeColor="text1" w:themeTint="A6"/>
        </w:rPr>
        <w:t>standardised</w:t>
      </w:r>
      <w:proofErr w:type="spellEnd"/>
      <w:r w:rsidRPr="0081737C">
        <w:rPr>
          <w:b/>
          <w:bCs/>
          <w:color w:val="595959" w:themeColor="text1" w:themeTint="A6"/>
        </w:rPr>
        <w:t xml:space="preserve"> </w:t>
      </w:r>
      <w:proofErr w:type="gramStart"/>
      <w:r w:rsidRPr="0081737C">
        <w:rPr>
          <w:b/>
          <w:bCs/>
          <w:color w:val="595959" w:themeColor="text1" w:themeTint="A6"/>
        </w:rPr>
        <w:t>processes  reflect</w:t>
      </w:r>
      <w:proofErr w:type="gramEnd"/>
      <w:r w:rsidRPr="0081737C">
        <w:rPr>
          <w:b/>
          <w:bCs/>
          <w:color w:val="595959" w:themeColor="text1" w:themeTint="A6"/>
        </w:rPr>
        <w:t xml:space="preserve"> deeper assumptions about unity, respect, and precision.</w:t>
      </w:r>
    </w:p>
    <w:p w14:paraId="4589ADFD" w14:textId="0C488B6C" w:rsidR="002B442B" w:rsidRDefault="002B442B" w:rsidP="002B442B">
      <w:r w:rsidRPr="00CB7501">
        <w:t xml:space="preserve">Long-term orientation philosophy also affects the organisational structure. The promotion is more seniority- and group-result-oriented rather than competition-oriented, showing Japanese cultural values of loyalty and patience (Hofstede, 2011). This ensures continuity and institutional memory, contributing to Toyota's stability in the long </w:t>
      </w:r>
      <w:proofErr w:type="gramStart"/>
      <w:r w:rsidRPr="00CB7501">
        <w:t>term.</w:t>
      </w:r>
      <w:r w:rsidR="008059B1">
        <w:t>+</w:t>
      </w:r>
      <w:proofErr w:type="gramEnd"/>
      <w:r w:rsidR="008059B1">
        <w:t>++++++</w:t>
      </w:r>
    </w:p>
    <w:p w14:paraId="43BA28BD" w14:textId="77777777" w:rsidR="007C2D27" w:rsidRDefault="007C2D27" w:rsidP="002B442B"/>
    <w:p w14:paraId="0C81CAD4" w14:textId="77777777" w:rsidR="007C2D27" w:rsidRDefault="007C2D27" w:rsidP="002B442B"/>
    <w:p w14:paraId="6DBF29D7" w14:textId="77777777" w:rsidR="007C2D27" w:rsidRDefault="007C2D27" w:rsidP="002B442B"/>
    <w:p w14:paraId="4DE4A0DF" w14:textId="15775EBB" w:rsidR="002B442B" w:rsidRPr="00540565" w:rsidRDefault="002B442B" w:rsidP="00540565">
      <w:pPr>
        <w:pStyle w:val="ListParagraph"/>
        <w:numPr>
          <w:ilvl w:val="0"/>
          <w:numId w:val="3"/>
        </w:numPr>
        <w:rPr>
          <w:color w:val="D86DCB" w:themeColor="accent5" w:themeTint="99"/>
        </w:rPr>
      </w:pPr>
      <w:r w:rsidRPr="00540565">
        <w:rPr>
          <w:rFonts w:asciiTheme="majorHAnsi" w:hAnsiTheme="majorHAnsi" w:cstheme="majorHAnsi"/>
          <w:b/>
          <w:bCs/>
          <w:color w:val="D86DCB" w:themeColor="accent5" w:themeTint="99"/>
        </w:rPr>
        <w:t>Influence of Culture on Structure and Decision-Making</w:t>
      </w:r>
    </w:p>
    <w:p w14:paraId="56FC5C4F" w14:textId="77777777" w:rsidR="002B442B" w:rsidRPr="00BF03DA" w:rsidRDefault="002B442B" w:rsidP="002B442B">
      <w:pPr>
        <w:rPr>
          <w:color w:val="000000" w:themeColor="text1"/>
        </w:rPr>
      </w:pPr>
      <w:r w:rsidRPr="00BF03DA">
        <w:rPr>
          <w:color w:val="000000" w:themeColor="text1"/>
        </w:rPr>
        <w:t>Decision-making at Toyota is a clear expression of its cultural roots. The company’s process, known as nemawashi, literally means “laying the groundwork”. It involves consulting all relevant stakeholders, discussing potential outcomes, and building consensus before formal approval (Imai, 2012). This participative style ensures that decisions are well-considered, minimise resistance, and reflect shared ownership of outcomes.</w:t>
      </w:r>
    </w:p>
    <w:p w14:paraId="2A6E1F9D" w14:textId="77777777" w:rsidR="002B442B" w:rsidRDefault="002B442B" w:rsidP="002B442B">
      <w:pPr>
        <w:rPr>
          <w:color w:val="000000" w:themeColor="text1"/>
        </w:rPr>
      </w:pPr>
      <w:r w:rsidRPr="00BF03DA">
        <w:rPr>
          <w:color w:val="000000" w:themeColor="text1"/>
        </w:rPr>
        <w:t>While nemawashi may slow the pace of decision-making, it strengthens commitment and implementation quality. According to Huczynski and Buchanan (2020), involving employees in decision-making enhances motivation and trust, especially in collectivist cultures. At Toyota, this inclusiveness translates into a culture of shared accountability, where employees view decision outcomes as collective achievements rather than management impositions.</w:t>
      </w:r>
    </w:p>
    <w:p w14:paraId="5DBF8680" w14:textId="77777777" w:rsidR="002B442B" w:rsidRPr="00826B8F" w:rsidRDefault="002B442B" w:rsidP="002B442B">
      <w:pPr>
        <w:rPr>
          <w:color w:val="000000" w:themeColor="text1"/>
        </w:rPr>
      </w:pPr>
      <w:r w:rsidRPr="00826B8F">
        <w:rPr>
          <w:color w:val="000000" w:themeColor="text1"/>
        </w:rPr>
        <w:t>In contrast to Western organisations that often adopt rapid, top-down decision-making for efficiency, Toyota’s approach reflects a low power distance orientation, promoting equality and open dialogue across ranks (Hofstede, 2011). Leaders act as facilitators rather than authoritarian figures, supporting subordinates’ development through guidance and mutual respect. This participative leadership style aligns with Theory Y (McGregor, 2006), which assumes employees are self-motivated, responsible, and capable of contributing creatively to organisational goals.</w:t>
      </w:r>
    </w:p>
    <w:p w14:paraId="1797CCBF" w14:textId="77777777" w:rsidR="002B442B" w:rsidRPr="00826B8F" w:rsidRDefault="002B442B" w:rsidP="002B442B">
      <w:pPr>
        <w:rPr>
          <w:color w:val="000000" w:themeColor="text1"/>
        </w:rPr>
      </w:pPr>
    </w:p>
    <w:p w14:paraId="3596729C" w14:textId="77777777" w:rsidR="002B442B" w:rsidRDefault="002B442B" w:rsidP="002B442B">
      <w:pPr>
        <w:rPr>
          <w:color w:val="000000" w:themeColor="text1"/>
        </w:rPr>
      </w:pPr>
      <w:r w:rsidRPr="00826B8F">
        <w:rPr>
          <w:color w:val="000000" w:themeColor="text1"/>
        </w:rPr>
        <w:t>Furthermore, the company’s commitment to continuous improvement directly influences its decision-making philosophy. Every decision, whether operational or strategic, is viewed as an opportunity to learn and refine. Mistakes are treated not as failures but as lessons — an application of the hansei principle, meaning self-reflection and learning from experience (Hino, 2019). This mindset promotes organisational learning and long-term capability building</w:t>
      </w:r>
    </w:p>
    <w:p w14:paraId="67B79F7D" w14:textId="0A0C9A26" w:rsidR="002B442B" w:rsidRDefault="00540565" w:rsidP="002B442B">
      <w:pPr>
        <w:rPr>
          <w:b/>
          <w:bCs/>
          <w:color w:val="E59EDC" w:themeColor="accent5" w:themeTint="66"/>
        </w:rPr>
      </w:pPr>
      <w:r>
        <w:rPr>
          <w:b/>
          <w:bCs/>
          <w:color w:val="E59EDC" w:themeColor="accent5" w:themeTint="66"/>
        </w:rPr>
        <w:t>5-1</w:t>
      </w:r>
      <w:r w:rsidR="002B442B" w:rsidRPr="008416AC">
        <w:rPr>
          <w:b/>
          <w:bCs/>
          <w:color w:val="E59EDC" w:themeColor="accent5" w:themeTint="66"/>
        </w:rPr>
        <w:t>Balancing Efficiency and Empowerment</w:t>
      </w:r>
      <w:r w:rsidR="002B442B">
        <w:rPr>
          <w:b/>
          <w:bCs/>
          <w:color w:val="E59EDC" w:themeColor="accent5" w:themeTint="66"/>
        </w:rPr>
        <w:t xml:space="preserve"> </w:t>
      </w:r>
    </w:p>
    <w:p w14:paraId="0A6E6FEE" w14:textId="77777777" w:rsidR="002B442B" w:rsidRPr="00F77430" w:rsidRDefault="002B442B" w:rsidP="002B442B">
      <w:pPr>
        <w:rPr>
          <w:b/>
          <w:bCs/>
          <w:color w:val="000000" w:themeColor="text1"/>
        </w:rPr>
      </w:pPr>
      <w:r w:rsidRPr="00F77430">
        <w:rPr>
          <w:b/>
          <w:bCs/>
          <w:color w:val="000000" w:themeColor="text1"/>
        </w:rPr>
        <w:t xml:space="preserve">Toyota’s culture successfully balances efficiency through structured systems with empowerment through participative decision-making. This balance ensures that while the </w:t>
      </w:r>
      <w:r w:rsidRPr="00F77430">
        <w:rPr>
          <w:b/>
          <w:bCs/>
          <w:color w:val="000000" w:themeColor="text1"/>
        </w:rPr>
        <w:lastRenderedPageBreak/>
        <w:t xml:space="preserve">company maintains strict quality standards and operational discipline, it also harnesses the creativity and insight of its employees. However, this same cultural strength can sometimes limit speed in decision-making, especially in fast-paced global markets where rapid innovation is essential. Despite this, Toyota’s strong cultural foundation ensures </w:t>
      </w:r>
      <w:proofErr w:type="gramStart"/>
      <w:r w:rsidRPr="00F77430">
        <w:rPr>
          <w:b/>
          <w:bCs/>
          <w:color w:val="000000" w:themeColor="text1"/>
        </w:rPr>
        <w:t>that even</w:t>
      </w:r>
      <w:proofErr w:type="gramEnd"/>
      <w:r w:rsidRPr="00F77430">
        <w:rPr>
          <w:b/>
          <w:bCs/>
          <w:color w:val="000000" w:themeColor="text1"/>
        </w:rPr>
        <w:t xml:space="preserve"> complex decisions are implemented with precision and commitment, </w:t>
      </w:r>
      <w:proofErr w:type="spellStart"/>
      <w:r w:rsidRPr="00F77430">
        <w:rPr>
          <w:b/>
          <w:bCs/>
          <w:color w:val="000000" w:themeColor="text1"/>
        </w:rPr>
        <w:t>minimising</w:t>
      </w:r>
      <w:proofErr w:type="spellEnd"/>
      <w:r w:rsidRPr="00F77430">
        <w:rPr>
          <w:b/>
          <w:bCs/>
          <w:color w:val="000000" w:themeColor="text1"/>
        </w:rPr>
        <w:t xml:space="preserve"> risk and fostering sustainable success.</w:t>
      </w:r>
    </w:p>
    <w:p w14:paraId="49C8B80E" w14:textId="77777777" w:rsidR="002B442B" w:rsidRDefault="002B442B" w:rsidP="002B442B"/>
    <w:p w14:paraId="3449CC93" w14:textId="77777777" w:rsidR="002B442B" w:rsidRPr="00540565" w:rsidRDefault="002B442B" w:rsidP="00540565">
      <w:pPr>
        <w:pStyle w:val="ListParagraph"/>
        <w:numPr>
          <w:ilvl w:val="0"/>
          <w:numId w:val="3"/>
        </w:numPr>
        <w:rPr>
          <w:rFonts w:asciiTheme="majorHAnsi" w:hAnsiTheme="majorHAnsi" w:cstheme="majorHAnsi"/>
          <w:b/>
          <w:bCs/>
        </w:rPr>
      </w:pPr>
      <w:r w:rsidRPr="00540565">
        <w:rPr>
          <w:rFonts w:asciiTheme="majorHAnsi" w:hAnsiTheme="majorHAnsi" w:cstheme="majorHAnsi"/>
          <w:b/>
          <w:bCs/>
          <w:color w:val="D86DCB" w:themeColor="accent5" w:themeTint="99"/>
        </w:rPr>
        <w:t>Identifying Cultural Types: Models and Frameworks</w:t>
      </w:r>
    </w:p>
    <w:p w14:paraId="280D3EB1" w14:textId="73E0B0AC" w:rsidR="002B442B" w:rsidRPr="00BF03DA" w:rsidRDefault="003849D9" w:rsidP="002B442B">
      <w:pPr>
        <w:rPr>
          <w:color w:val="000000" w:themeColor="text1"/>
        </w:rPr>
      </w:pPr>
      <w:r w:rsidRPr="003849D9">
        <w:rPr>
          <w:color w:val="000000" w:themeColor="text1"/>
        </w:rPr>
        <w:t xml:space="preserve">To comprehend organisational culture, it is necessary to use analytical models that uncover the visible and non-visible forces that underpin the </w:t>
      </w:r>
      <w:proofErr w:type="spellStart"/>
      <w:r w:rsidRPr="003849D9">
        <w:rPr>
          <w:color w:val="000000" w:themeColor="text1"/>
        </w:rPr>
        <w:t>behaviour</w:t>
      </w:r>
      <w:proofErr w:type="spellEnd"/>
      <w:r w:rsidRPr="003849D9">
        <w:rPr>
          <w:color w:val="000000" w:themeColor="text1"/>
        </w:rPr>
        <w:t xml:space="preserve"> of employees and managerial </w:t>
      </w:r>
      <w:proofErr w:type="gramStart"/>
      <w:r w:rsidRPr="003849D9">
        <w:rPr>
          <w:color w:val="000000" w:themeColor="text1"/>
        </w:rPr>
        <w:t>decision</w:t>
      </w:r>
      <w:proofErr w:type="gramEnd"/>
      <w:r w:rsidRPr="003849D9">
        <w:rPr>
          <w:color w:val="000000" w:themeColor="text1"/>
        </w:rPr>
        <w:t xml:space="preserve">. Cultural models like Schein's model of organisational culture (2017), Hofstede's cultural dimensions (2011), and Handy's cultural types (1993) enable us to have a comprehensive analysis of Toyota's corporate culture. Together, these models present how Toyota's long-standing values — Kaizen (improvement for the better), people respect, and </w:t>
      </w:r>
      <w:proofErr w:type="spellStart"/>
      <w:proofErr w:type="gramStart"/>
      <w:r w:rsidRPr="003849D9">
        <w:rPr>
          <w:color w:val="000000" w:themeColor="text1"/>
        </w:rPr>
        <w:t>genchi</w:t>
      </w:r>
      <w:proofErr w:type="spellEnd"/>
      <w:r w:rsidR="00E36267">
        <w:rPr>
          <w:color w:val="000000" w:themeColor="text1"/>
        </w:rPr>
        <w:t xml:space="preserve"> </w:t>
      </w:r>
      <w:r w:rsidRPr="003849D9">
        <w:rPr>
          <w:color w:val="000000" w:themeColor="text1"/>
        </w:rPr>
        <w:t xml:space="preserve"> </w:t>
      </w:r>
      <w:proofErr w:type="spellStart"/>
      <w:r w:rsidRPr="003849D9">
        <w:rPr>
          <w:color w:val="000000" w:themeColor="text1"/>
        </w:rPr>
        <w:t>genbutsu</w:t>
      </w:r>
      <w:proofErr w:type="spellEnd"/>
      <w:proofErr w:type="gramEnd"/>
      <w:r w:rsidRPr="003849D9">
        <w:rPr>
          <w:color w:val="000000" w:themeColor="text1"/>
        </w:rPr>
        <w:t xml:space="preserve"> (go and </w:t>
      </w:r>
      <w:r w:rsidR="00E36267" w:rsidRPr="003849D9">
        <w:rPr>
          <w:color w:val="000000" w:themeColor="text1"/>
        </w:rPr>
        <w:t>see)</w:t>
      </w:r>
      <w:r w:rsidRPr="003849D9">
        <w:rPr>
          <w:color w:val="000000" w:themeColor="text1"/>
        </w:rPr>
        <w:t xml:space="preserve"> are embedded in its cultural environment and global operations.</w:t>
      </w:r>
    </w:p>
    <w:p w14:paraId="1F2AD74E" w14:textId="01881A12" w:rsidR="002B442B" w:rsidRPr="006D7FA9" w:rsidRDefault="00B81C15" w:rsidP="002B442B">
      <w:pPr>
        <w:rPr>
          <w:b/>
          <w:bCs/>
          <w:color w:val="0F9ED5" w:themeColor="accent4"/>
        </w:rPr>
      </w:pPr>
      <w:r w:rsidRPr="006D7FA9">
        <w:rPr>
          <w:b/>
          <w:bCs/>
          <w:color w:val="0F9ED5" w:themeColor="accent4"/>
        </w:rPr>
        <w:t>Schein’s Three-Level Model of Organisational Culture</w:t>
      </w:r>
    </w:p>
    <w:p w14:paraId="48EF50F3" w14:textId="254B1E3C" w:rsidR="002B442B" w:rsidRDefault="00B27C5E">
      <w:r>
        <w:t xml:space="preserve"> </w:t>
      </w:r>
      <w:r w:rsidR="00AA4D06" w:rsidRPr="00AA4D06">
        <w:t>Schein (2017) identifies organisational culture as consisting of three interconnected levels: artifacts, espoused values, and basic underlying assumptions. Applying this framework to Toyota provides a deep understanding of how visible practices align with deeper, invisible beliefs.</w:t>
      </w:r>
    </w:p>
    <w:p w14:paraId="216F1A61" w14:textId="4203FA09" w:rsidR="00AA4D06" w:rsidRDefault="007B2859">
      <w:r w:rsidRPr="007B2859">
        <w:t>On the first level, artifacts are Toyota's physical environments, rituals, and symbols. The company's factories are constructed upon the Toyota Production System (TPS), where the working areas are open, communication flows easily, and everyone can access the Andon cord a device enabling workers to stop production in the event of a defect (Ohno, 1988). This open system depicts trust, cooperation, and accountability. Regular team meetings and quality circles also represent cultural artifacts that promote openness and collective problem-solving (Liker, 2021).</w:t>
      </w:r>
      <w:r w:rsidR="009867D9">
        <w:t xml:space="preserve"> </w:t>
      </w:r>
    </w:p>
    <w:p w14:paraId="3DF15842" w14:textId="77777777" w:rsidR="002A1052" w:rsidRDefault="002A1052" w:rsidP="002A1052">
      <w:r>
        <w:t>The second level, espoused values, reflects Toyota's declared principles and beliefs, encapsulated in The Toyota Way. Its two pillars — respect for people and Kaizen — guide employee behavior and decision-making. These values encourage employees to seek incremental improvement while fostering mutual respect across hierarchies (Imai, 2012). Managers, for example, are expected to support employee development rather than exercising power, resonating with a participative and people-centered leadership style (Hino, 2019).</w:t>
      </w:r>
    </w:p>
    <w:p w14:paraId="6ED3B2E4" w14:textId="77777777" w:rsidR="002A1052" w:rsidRDefault="002A1052" w:rsidP="002A1052"/>
    <w:p w14:paraId="57CCFA34" w14:textId="4A82C9A4" w:rsidR="009867D9" w:rsidRDefault="002A1052" w:rsidP="002A1052">
      <w:r>
        <w:t xml:space="preserve">At the deepest level are the basic underlying assumptions that are the unconscious, shared beliefs of the company. Toyota assumes that employees are naturally motivated to work for the success of the organisation and that ongoing learning is required in the long term for expansion. These assumptions are indicative of Japanese cultural values of harmony, humility, and collective responsibility (Hofstede, 2011). The alignment between artifacts, values, and </w:t>
      </w:r>
      <w:r>
        <w:lastRenderedPageBreak/>
        <w:t>assumptions explains Toyota's internal consistency and durability since all three layers reinforce one another.</w:t>
      </w:r>
    </w:p>
    <w:p w14:paraId="06E8A9E3" w14:textId="71D04991" w:rsidR="00A8138F" w:rsidRDefault="00A8138F" w:rsidP="00F61D5E">
      <w:r>
        <w:t>Toyota's culture is shaped by Japanese national values and its corporate global philosophy. In accordance with Hofstede's cultural dimensions, Toyota has low to moderate power distance, high collectivism, strong uncertainty avoidance, long-term orientation, and equally masculine and feminine values. The workers are encouraged to propose ideas, teamwork is stressed, and decision-making is conservative and forward-looking.</w:t>
      </w:r>
    </w:p>
    <w:p w14:paraId="32214298" w14:textId="714855F1" w:rsidR="00A8138F" w:rsidRDefault="00A8138F" w:rsidP="00F61D5E">
      <w:r>
        <w:t xml:space="preserve">Using Handy's model, Toyota has the combination of role culture (process, bureaucratic structure, quality control) and task culture (innovation, problem-solving teams). The combination of the two counteracts stagnation and fixation. Toyota reduces </w:t>
      </w:r>
      <w:proofErr w:type="gramStart"/>
      <w:r>
        <w:t>bureaucracy</w:t>
      </w:r>
      <w:proofErr w:type="gramEnd"/>
      <w:r>
        <w:t xml:space="preserve"> limiting innovation by ongoing improvement and employee involvement in tools like Kaizen and quality circles.</w:t>
      </w:r>
    </w:p>
    <w:p w14:paraId="09C0BA1D" w14:textId="023681EF" w:rsidR="002A1052" w:rsidRDefault="00A8138F" w:rsidP="00A8138F">
      <w:r>
        <w:t>In total, Toyota's culture combines corporate values, global adaptability, and Japanese traditions. These combine to form a dynamic system that sustains long-term success, innovation, teamwork, and operational excellence.</w:t>
      </w:r>
      <w:r w:rsidR="008E1BCE">
        <w:t xml:space="preserve"> </w:t>
      </w:r>
    </w:p>
    <w:p w14:paraId="4B712A7C" w14:textId="77777777" w:rsidR="008E1BCE" w:rsidRPr="000E4E09" w:rsidRDefault="008E1BCE" w:rsidP="000E4E09">
      <w:pPr>
        <w:pStyle w:val="ListParagraph"/>
        <w:numPr>
          <w:ilvl w:val="0"/>
          <w:numId w:val="3"/>
        </w:numPr>
        <w:rPr>
          <w:rFonts w:asciiTheme="majorHAnsi" w:hAnsiTheme="majorHAnsi" w:cstheme="majorHAnsi"/>
          <w:b/>
          <w:bCs/>
          <w:color w:val="D86DCB" w:themeColor="accent5" w:themeTint="99"/>
        </w:rPr>
      </w:pPr>
      <w:r w:rsidRPr="000E4E09">
        <w:rPr>
          <w:rFonts w:asciiTheme="majorHAnsi" w:hAnsiTheme="majorHAnsi" w:cstheme="majorHAnsi"/>
          <w:b/>
          <w:bCs/>
          <w:color w:val="D86DCB" w:themeColor="accent5" w:themeTint="99"/>
        </w:rPr>
        <w:t>Culture and the External Environment</w:t>
      </w:r>
    </w:p>
    <w:p w14:paraId="0A6C0113" w14:textId="63BDA27E" w:rsidR="00A0567C" w:rsidRDefault="00A0567C" w:rsidP="00A0567C">
      <w:pPr>
        <w:rPr>
          <w:rFonts w:asciiTheme="majorHAnsi" w:hAnsiTheme="majorHAnsi" w:cstheme="majorHAnsi"/>
          <w:b/>
          <w:bCs/>
          <w:color w:val="000000" w:themeColor="text1"/>
          <w:sz w:val="24"/>
          <w:szCs w:val="24"/>
        </w:rPr>
      </w:pPr>
      <w:r w:rsidRPr="00A0567C">
        <w:rPr>
          <w:rFonts w:asciiTheme="majorHAnsi" w:hAnsiTheme="majorHAnsi" w:cstheme="majorHAnsi"/>
          <w:b/>
          <w:bCs/>
          <w:color w:val="000000" w:themeColor="text1"/>
          <w:sz w:val="24"/>
          <w:szCs w:val="24"/>
        </w:rPr>
        <w:t>The external world in which today's organisations operate is characterised by globalisation, technological transformation, financial instability, and growing environmental awareness. Firms must establish cultures, for competitiveness and survivability, that not only align with internal aspirations but also enable accommodation to the external world. Toyota Motor Corporation has shown remarkable longevity and flexibility through its strong, value-</w:t>
      </w:r>
      <w:r w:rsidR="001627A2" w:rsidRPr="00A0567C">
        <w:rPr>
          <w:rFonts w:asciiTheme="majorHAnsi" w:hAnsiTheme="majorHAnsi" w:cstheme="majorHAnsi"/>
          <w:b/>
          <w:bCs/>
          <w:color w:val="000000" w:themeColor="text1"/>
          <w:sz w:val="24"/>
          <w:szCs w:val="24"/>
        </w:rPr>
        <w:t>centered</w:t>
      </w:r>
      <w:r w:rsidRPr="00A0567C">
        <w:rPr>
          <w:rFonts w:asciiTheme="majorHAnsi" w:hAnsiTheme="majorHAnsi" w:cstheme="majorHAnsi"/>
          <w:b/>
          <w:bCs/>
          <w:color w:val="000000" w:themeColor="text1"/>
          <w:sz w:val="24"/>
          <w:szCs w:val="24"/>
        </w:rPr>
        <w:t xml:space="preserve"> culture. The Toyota </w:t>
      </w:r>
      <w:proofErr w:type="gramStart"/>
      <w:r w:rsidRPr="00A0567C">
        <w:rPr>
          <w:rFonts w:asciiTheme="majorHAnsi" w:hAnsiTheme="majorHAnsi" w:cstheme="majorHAnsi"/>
          <w:b/>
          <w:bCs/>
          <w:color w:val="000000" w:themeColor="text1"/>
          <w:sz w:val="24"/>
          <w:szCs w:val="24"/>
        </w:rPr>
        <w:t>Way  founded</w:t>
      </w:r>
      <w:proofErr w:type="gramEnd"/>
      <w:r w:rsidRPr="00A0567C">
        <w:rPr>
          <w:rFonts w:asciiTheme="majorHAnsi" w:hAnsiTheme="majorHAnsi" w:cstheme="majorHAnsi"/>
          <w:b/>
          <w:bCs/>
          <w:color w:val="000000" w:themeColor="text1"/>
          <w:sz w:val="24"/>
          <w:szCs w:val="24"/>
        </w:rPr>
        <w:t xml:space="preserve"> on Kaizen (continual improvement) and respect for </w:t>
      </w:r>
      <w:proofErr w:type="gramStart"/>
      <w:r w:rsidRPr="00A0567C">
        <w:rPr>
          <w:rFonts w:asciiTheme="majorHAnsi" w:hAnsiTheme="majorHAnsi" w:cstheme="majorHAnsi"/>
          <w:b/>
          <w:bCs/>
          <w:color w:val="000000" w:themeColor="text1"/>
          <w:sz w:val="24"/>
          <w:szCs w:val="24"/>
        </w:rPr>
        <w:t xml:space="preserve">people </w:t>
      </w:r>
      <w:r w:rsidR="001627A2">
        <w:rPr>
          <w:rFonts w:asciiTheme="majorHAnsi" w:hAnsiTheme="majorHAnsi" w:cstheme="majorHAnsi"/>
          <w:b/>
          <w:bCs/>
          <w:color w:val="000000" w:themeColor="text1"/>
          <w:sz w:val="24"/>
          <w:szCs w:val="24"/>
        </w:rPr>
        <w:t xml:space="preserve"> </w:t>
      </w:r>
      <w:r w:rsidRPr="00A0567C">
        <w:rPr>
          <w:rFonts w:asciiTheme="majorHAnsi" w:hAnsiTheme="majorHAnsi" w:cstheme="majorHAnsi"/>
          <w:b/>
          <w:bCs/>
          <w:color w:val="000000" w:themeColor="text1"/>
          <w:sz w:val="24"/>
          <w:szCs w:val="24"/>
        </w:rPr>
        <w:t>provides</w:t>
      </w:r>
      <w:proofErr w:type="gramEnd"/>
      <w:r w:rsidRPr="00A0567C">
        <w:rPr>
          <w:rFonts w:asciiTheme="majorHAnsi" w:hAnsiTheme="majorHAnsi" w:cstheme="majorHAnsi"/>
          <w:b/>
          <w:bCs/>
          <w:color w:val="000000" w:themeColor="text1"/>
          <w:sz w:val="24"/>
          <w:szCs w:val="24"/>
        </w:rPr>
        <w:t xml:space="preserve"> an agile but stable environment that allows the company to evolve in response to shifting global demands.</w:t>
      </w:r>
    </w:p>
    <w:p w14:paraId="3A010AC9" w14:textId="77777777" w:rsidR="008953B1" w:rsidRDefault="008953B1" w:rsidP="008953B1">
      <w:pPr>
        <w:rPr>
          <w:rFonts w:asciiTheme="majorHAnsi" w:hAnsiTheme="majorHAnsi" w:cstheme="majorHAnsi"/>
          <w:b/>
          <w:bCs/>
          <w:color w:val="4C94D8" w:themeColor="text2" w:themeTint="80"/>
          <w:sz w:val="24"/>
          <w:szCs w:val="24"/>
        </w:rPr>
      </w:pPr>
      <w:r w:rsidRPr="008953B1">
        <w:rPr>
          <w:rFonts w:asciiTheme="majorHAnsi" w:hAnsiTheme="majorHAnsi" w:cstheme="majorHAnsi"/>
          <w:b/>
          <w:bCs/>
          <w:color w:val="4C94D8" w:themeColor="text2" w:themeTint="80"/>
          <w:sz w:val="24"/>
          <w:szCs w:val="24"/>
        </w:rPr>
        <w:t>Cultural Adaptation to Globalisation</w:t>
      </w:r>
    </w:p>
    <w:p w14:paraId="5BF666E9" w14:textId="03FF358D" w:rsidR="00240BDC" w:rsidRDefault="00240BDC" w:rsidP="00240BDC">
      <w:pPr>
        <w:rPr>
          <w:rFonts w:asciiTheme="majorHAnsi" w:hAnsiTheme="majorHAnsi" w:cstheme="majorHAnsi"/>
          <w:b/>
          <w:bCs/>
          <w:color w:val="0E2841" w:themeColor="text2"/>
          <w:sz w:val="24"/>
          <w:szCs w:val="24"/>
        </w:rPr>
      </w:pPr>
      <w:r w:rsidRPr="00240BDC">
        <w:rPr>
          <w:rFonts w:asciiTheme="majorHAnsi" w:hAnsiTheme="majorHAnsi" w:cstheme="majorHAnsi"/>
          <w:b/>
          <w:bCs/>
          <w:color w:val="0E2841" w:themeColor="text2"/>
          <w:sz w:val="24"/>
          <w:szCs w:val="24"/>
        </w:rPr>
        <w:t xml:space="preserve">Toyota operates in over 170 countries and succeeds globally by addressing the global consistency-local responsiveness paradox. On the journey of Bartlett and Ghoshal's transnational model, Toyota maintains core principles of long-run orientation and harmony throughout the whole </w:t>
      </w:r>
      <w:r w:rsidR="001F2EE5" w:rsidRPr="00240BDC">
        <w:rPr>
          <w:rFonts w:asciiTheme="majorHAnsi" w:hAnsiTheme="majorHAnsi" w:cstheme="majorHAnsi"/>
          <w:b/>
          <w:bCs/>
          <w:color w:val="0E2841" w:themeColor="text2"/>
          <w:sz w:val="24"/>
          <w:szCs w:val="24"/>
        </w:rPr>
        <w:t>operations but</w:t>
      </w:r>
      <w:r w:rsidRPr="00240BDC">
        <w:rPr>
          <w:rFonts w:asciiTheme="majorHAnsi" w:hAnsiTheme="majorHAnsi" w:cstheme="majorHAnsi"/>
          <w:b/>
          <w:bCs/>
          <w:color w:val="0E2841" w:themeColor="text2"/>
          <w:sz w:val="24"/>
          <w:szCs w:val="24"/>
        </w:rPr>
        <w:t xml:space="preserve"> allows region-level subsidiaries like Toyota UK and USA to be local in the adaptation of practices to local culture and regulations.</w:t>
      </w:r>
    </w:p>
    <w:p w14:paraId="722C73A7" w14:textId="3515EBF5" w:rsidR="00781F8F" w:rsidRPr="00240BDC" w:rsidRDefault="00781F8F" w:rsidP="00781F8F">
      <w:pPr>
        <w:rPr>
          <w:rFonts w:asciiTheme="majorHAnsi" w:hAnsiTheme="majorHAnsi" w:cstheme="majorHAnsi"/>
          <w:b/>
          <w:bCs/>
          <w:color w:val="0E2841" w:themeColor="text2"/>
          <w:sz w:val="24"/>
          <w:szCs w:val="24"/>
        </w:rPr>
      </w:pPr>
      <w:r w:rsidRPr="00240BDC">
        <w:rPr>
          <w:rFonts w:asciiTheme="majorHAnsi" w:hAnsiTheme="majorHAnsi" w:cstheme="majorHAnsi"/>
          <w:b/>
          <w:bCs/>
          <w:color w:val="0E2841" w:themeColor="text2"/>
          <w:sz w:val="24"/>
          <w:szCs w:val="24"/>
        </w:rPr>
        <w:t>This "global" strategy (Liker, 2021) reconciles high levels and common corporate identity without imposing purely Japanese administration. Toyota promotes cross-cultural integration by way of cross-cultural training, rotation of employees, and leadership development. In response to Denison's (1990) model, Toyota reconciles adaptability to local environments with close employee commitment, leveraging teamwork and empowerment to remain consistent, innovative, and culturally sensitive throughout global markets.</w:t>
      </w:r>
    </w:p>
    <w:p w14:paraId="1500C2B9" w14:textId="77777777" w:rsidR="006E2FBA" w:rsidRDefault="00A82530" w:rsidP="00240BDC">
      <w:pPr>
        <w:rPr>
          <w:rFonts w:asciiTheme="majorHAnsi" w:hAnsiTheme="majorHAnsi" w:cstheme="majorHAnsi"/>
          <w:b/>
          <w:bCs/>
          <w:color w:val="4C94D8" w:themeColor="text2" w:themeTint="80"/>
          <w:sz w:val="24"/>
          <w:szCs w:val="24"/>
        </w:rPr>
      </w:pPr>
      <w:r w:rsidRPr="00A82530">
        <w:rPr>
          <w:rFonts w:asciiTheme="majorHAnsi" w:hAnsiTheme="majorHAnsi" w:cstheme="majorHAnsi"/>
          <w:b/>
          <w:bCs/>
          <w:color w:val="4C94D8" w:themeColor="text2" w:themeTint="80"/>
          <w:sz w:val="24"/>
          <w:szCs w:val="24"/>
        </w:rPr>
        <w:lastRenderedPageBreak/>
        <w:t xml:space="preserve">Cultural Adaptation to Technological </w:t>
      </w:r>
      <w:r w:rsidR="005F73A8" w:rsidRPr="00A82530">
        <w:rPr>
          <w:rFonts w:asciiTheme="majorHAnsi" w:hAnsiTheme="majorHAnsi" w:cstheme="majorHAnsi"/>
          <w:b/>
          <w:bCs/>
          <w:color w:val="4C94D8" w:themeColor="text2" w:themeTint="80"/>
          <w:sz w:val="24"/>
          <w:szCs w:val="24"/>
        </w:rPr>
        <w:t>Change</w:t>
      </w:r>
      <w:r w:rsidR="006E2FBA">
        <w:rPr>
          <w:rFonts w:asciiTheme="majorHAnsi" w:hAnsiTheme="majorHAnsi" w:cstheme="majorHAnsi"/>
          <w:b/>
          <w:bCs/>
          <w:color w:val="4C94D8" w:themeColor="text2" w:themeTint="80"/>
          <w:sz w:val="24"/>
          <w:szCs w:val="24"/>
        </w:rPr>
        <w:t xml:space="preserve"> </w:t>
      </w:r>
    </w:p>
    <w:p w14:paraId="16D6D482" w14:textId="2160FADB" w:rsidR="00240BDC" w:rsidRDefault="005F73A8" w:rsidP="00240BDC">
      <w:pPr>
        <w:rPr>
          <w:rFonts w:asciiTheme="majorHAnsi" w:hAnsiTheme="majorHAnsi" w:cstheme="majorHAnsi"/>
          <w:b/>
          <w:bCs/>
          <w:color w:val="000000" w:themeColor="text1"/>
          <w:sz w:val="24"/>
          <w:szCs w:val="24"/>
        </w:rPr>
      </w:pPr>
      <w:r>
        <w:rPr>
          <w:rFonts w:asciiTheme="majorHAnsi" w:hAnsiTheme="majorHAnsi" w:cstheme="majorHAnsi"/>
          <w:b/>
          <w:bCs/>
          <w:color w:val="4C94D8" w:themeColor="text2" w:themeTint="80"/>
          <w:sz w:val="24"/>
          <w:szCs w:val="24"/>
        </w:rPr>
        <w:t xml:space="preserve"> </w:t>
      </w:r>
      <w:r w:rsidRPr="006E2FBA">
        <w:rPr>
          <w:rFonts w:asciiTheme="majorHAnsi" w:hAnsiTheme="majorHAnsi" w:cstheme="majorHAnsi"/>
          <w:b/>
          <w:bCs/>
          <w:color w:val="000000" w:themeColor="text1"/>
          <w:sz w:val="24"/>
          <w:szCs w:val="24"/>
        </w:rPr>
        <w:t>The culture at Toyota supports rapid technological change in the automobile industry. The Kaizen principle encourages continuous improvement and openness to innovation. According to Schein (2017), strong cultures support learning. The investment in hybrid and hydrogen at Toyota, including the Prius, is indicative of long-term innovation and sustainability of the company. However, such consensus-building in Toyota, or nemawashi, does slow down decision-making, hence limiting agility. According to Kotter (2012), too much stability inhibits adaptation. Recognizing this, Toyota has fostered faster and more entrepreneurial thinking in research and development. Over time, it has evolved its culture to balance precision with speed (Imai, 2012; Toma and Naruo, 2017).</w:t>
      </w:r>
      <w:r w:rsidR="0096477C">
        <w:rPr>
          <w:rFonts w:asciiTheme="majorHAnsi" w:hAnsiTheme="majorHAnsi" w:cstheme="majorHAnsi"/>
          <w:b/>
          <w:bCs/>
          <w:color w:val="000000" w:themeColor="text1"/>
          <w:sz w:val="24"/>
          <w:szCs w:val="24"/>
        </w:rPr>
        <w:t xml:space="preserve"> </w:t>
      </w:r>
    </w:p>
    <w:p w14:paraId="1219CE47" w14:textId="3C8E9D5A" w:rsidR="0096477C" w:rsidRPr="0096477C" w:rsidRDefault="0096477C" w:rsidP="00240BDC">
      <w:pPr>
        <w:rPr>
          <w:rFonts w:asciiTheme="majorHAnsi" w:hAnsiTheme="majorHAnsi" w:cstheme="majorHAnsi"/>
          <w:b/>
          <w:bCs/>
          <w:color w:val="45B0E1" w:themeColor="accent1" w:themeTint="99"/>
          <w:sz w:val="24"/>
          <w:szCs w:val="24"/>
        </w:rPr>
      </w:pPr>
      <w:r w:rsidRPr="0096477C">
        <w:rPr>
          <w:rFonts w:asciiTheme="majorHAnsi" w:hAnsiTheme="majorHAnsi" w:cstheme="majorHAnsi"/>
          <w:b/>
          <w:bCs/>
          <w:color w:val="45B0E1" w:themeColor="accent1" w:themeTint="99"/>
          <w:sz w:val="24"/>
          <w:szCs w:val="24"/>
        </w:rPr>
        <w:t>Cultural Adaptation to Environmental and Social Pressures</w:t>
      </w:r>
    </w:p>
    <w:p w14:paraId="4E67EE02" w14:textId="6615A90A" w:rsidR="00A82530" w:rsidRDefault="00E94EBD" w:rsidP="00240BDC">
      <w:pPr>
        <w:rPr>
          <w:rFonts w:asciiTheme="majorHAnsi" w:hAnsiTheme="majorHAnsi" w:cstheme="majorHAnsi"/>
          <w:b/>
          <w:bCs/>
          <w:color w:val="000000" w:themeColor="text1"/>
          <w:sz w:val="24"/>
          <w:szCs w:val="24"/>
        </w:rPr>
      </w:pPr>
      <w:r w:rsidRPr="00E94EBD">
        <w:rPr>
          <w:rFonts w:asciiTheme="majorHAnsi" w:hAnsiTheme="majorHAnsi" w:cstheme="majorHAnsi"/>
          <w:b/>
          <w:bCs/>
          <w:color w:val="000000" w:themeColor="text1"/>
          <w:sz w:val="24"/>
          <w:szCs w:val="24"/>
        </w:rPr>
        <w:t xml:space="preserve">Environmental sustainability remains a significant external pressure on the automotive industry. Toyota’s </w:t>
      </w:r>
      <w:r w:rsidR="006238AA" w:rsidRPr="00E94EBD">
        <w:rPr>
          <w:rFonts w:asciiTheme="majorHAnsi" w:hAnsiTheme="majorHAnsi" w:cstheme="majorHAnsi"/>
          <w:b/>
          <w:bCs/>
          <w:color w:val="000000" w:themeColor="text1"/>
          <w:sz w:val="24"/>
          <w:szCs w:val="24"/>
        </w:rPr>
        <w:t>continuous development</w:t>
      </w:r>
      <w:r w:rsidRPr="00E94EBD">
        <w:rPr>
          <w:rFonts w:asciiTheme="majorHAnsi" w:hAnsiTheme="majorHAnsi" w:cstheme="majorHAnsi"/>
          <w:b/>
          <w:bCs/>
          <w:color w:val="000000" w:themeColor="text1"/>
          <w:sz w:val="24"/>
          <w:szCs w:val="24"/>
        </w:rPr>
        <w:t xml:space="preserve"> supports its proactive response through initiatives such as the Toyota Environmental Challenge 2050, which reaches for carbon neutrality and zero waste (Toyota, 2024). This reflects ethical responsibility and respect for the planet. According to Mullins and Christy (2016), it follows that a strong culture enhances ethical decisions by actions aligned with social expectations. For example, Toyota has several ongoing projects in support of sustainability, supply chain policies, and community </w:t>
      </w:r>
      <w:proofErr w:type="spellStart"/>
      <w:r w:rsidRPr="00E94EBD">
        <w:rPr>
          <w:rFonts w:asciiTheme="majorHAnsi" w:hAnsiTheme="majorHAnsi" w:cstheme="majorHAnsi"/>
          <w:b/>
          <w:bCs/>
          <w:color w:val="000000" w:themeColor="text1"/>
          <w:sz w:val="24"/>
          <w:szCs w:val="24"/>
        </w:rPr>
        <w:t>programmes</w:t>
      </w:r>
      <w:proofErr w:type="spellEnd"/>
      <w:r w:rsidRPr="00E94EBD">
        <w:rPr>
          <w:rFonts w:asciiTheme="majorHAnsi" w:hAnsiTheme="majorHAnsi" w:cstheme="majorHAnsi"/>
          <w:b/>
          <w:bCs/>
          <w:color w:val="000000" w:themeColor="text1"/>
          <w:sz w:val="24"/>
          <w:szCs w:val="24"/>
        </w:rPr>
        <w:t>, including inclusive employment and disaster relief initiatives. These demonstrate Denison's (1990) mission trait and Hofstede's (2011) collectivist values, leading to stakeholder trust and long-term social responsibility.</w:t>
      </w:r>
    </w:p>
    <w:p w14:paraId="63C42E99" w14:textId="6F1043DF" w:rsidR="002B78D1" w:rsidRDefault="002B78D1" w:rsidP="002B78D1">
      <w:pPr>
        <w:rPr>
          <w:rFonts w:asciiTheme="majorHAnsi" w:hAnsiTheme="majorHAnsi" w:cstheme="majorHAnsi"/>
          <w:b/>
          <w:bCs/>
          <w:color w:val="45B0E1" w:themeColor="accent1" w:themeTint="99"/>
          <w:sz w:val="24"/>
          <w:szCs w:val="24"/>
        </w:rPr>
      </w:pPr>
      <w:r w:rsidRPr="002B78D1">
        <w:rPr>
          <w:rFonts w:asciiTheme="majorHAnsi" w:hAnsiTheme="majorHAnsi" w:cstheme="majorHAnsi"/>
          <w:b/>
          <w:bCs/>
          <w:color w:val="45B0E1" w:themeColor="accent1" w:themeTint="99"/>
          <w:sz w:val="24"/>
          <w:szCs w:val="24"/>
        </w:rPr>
        <w:t>The Role of Culture in Managing Crisis and Change</w:t>
      </w:r>
      <w:r>
        <w:rPr>
          <w:rFonts w:asciiTheme="majorHAnsi" w:hAnsiTheme="majorHAnsi" w:cstheme="majorHAnsi"/>
          <w:b/>
          <w:bCs/>
          <w:color w:val="45B0E1" w:themeColor="accent1" w:themeTint="99"/>
          <w:sz w:val="24"/>
          <w:szCs w:val="24"/>
        </w:rPr>
        <w:t xml:space="preserve"> </w:t>
      </w:r>
    </w:p>
    <w:p w14:paraId="71C5EAEB" w14:textId="77777777" w:rsidR="00BA0634" w:rsidRPr="007F2399" w:rsidRDefault="00BA0634" w:rsidP="00BA0634">
      <w:pPr>
        <w:rPr>
          <w:rFonts w:asciiTheme="majorHAnsi" w:hAnsiTheme="majorHAnsi" w:cstheme="majorHAnsi"/>
          <w:b/>
          <w:bCs/>
          <w:color w:val="000000" w:themeColor="text1"/>
          <w:sz w:val="24"/>
          <w:szCs w:val="24"/>
        </w:rPr>
      </w:pPr>
      <w:r w:rsidRPr="007F2399">
        <w:rPr>
          <w:rFonts w:asciiTheme="majorHAnsi" w:hAnsiTheme="majorHAnsi" w:cstheme="majorHAnsi"/>
          <w:b/>
          <w:bCs/>
          <w:color w:val="000000" w:themeColor="text1"/>
          <w:sz w:val="24"/>
          <w:szCs w:val="24"/>
        </w:rPr>
        <w:t>Toyota’s strong organisational culture has also been instrumental in navigating crises. Following the 2010 global vehicle recall, the company demonstrated accountability and learning through hansei (self-reflection). Rather than denying responsibility, Toyota restructured its quality assurance processes and decentralised decision-making to prevent recurrence (Ulrich and Smallwood, 2019). This response exemplifies Argyris and Schön’s (1996) concept of double-loop learning, where organisations adapt not only their procedures but also their underlying values.</w:t>
      </w:r>
    </w:p>
    <w:p w14:paraId="50D220C5" w14:textId="77777777" w:rsidR="00BA0634" w:rsidRPr="00BA0634" w:rsidRDefault="00BA0634" w:rsidP="00BA0634">
      <w:pPr>
        <w:rPr>
          <w:rFonts w:asciiTheme="majorHAnsi" w:hAnsiTheme="majorHAnsi" w:cstheme="majorHAnsi"/>
          <w:b/>
          <w:bCs/>
          <w:color w:val="45B0E1" w:themeColor="accent1" w:themeTint="99"/>
          <w:sz w:val="24"/>
          <w:szCs w:val="24"/>
        </w:rPr>
      </w:pPr>
    </w:p>
    <w:p w14:paraId="284018E2" w14:textId="40E0E45F" w:rsidR="00BA0634" w:rsidRDefault="00BA0634" w:rsidP="00BA0634">
      <w:pPr>
        <w:rPr>
          <w:rFonts w:asciiTheme="majorHAnsi" w:hAnsiTheme="majorHAnsi" w:cstheme="majorHAnsi"/>
          <w:b/>
          <w:bCs/>
          <w:color w:val="000000" w:themeColor="text1"/>
          <w:sz w:val="24"/>
          <w:szCs w:val="24"/>
        </w:rPr>
      </w:pPr>
      <w:r w:rsidRPr="007F2399">
        <w:rPr>
          <w:rFonts w:asciiTheme="majorHAnsi" w:hAnsiTheme="majorHAnsi" w:cstheme="majorHAnsi"/>
          <w:b/>
          <w:bCs/>
          <w:color w:val="000000" w:themeColor="text1"/>
          <w:sz w:val="24"/>
          <w:szCs w:val="24"/>
        </w:rPr>
        <w:t>The ability to recover from crises without losing its core identity highlights Toyota’s cultural resilience. Its combination of discipline, humility, and continuous learning creates a dynamic capability that allows adaptation to changing external conditions while maintaining integrity and performance.</w:t>
      </w:r>
      <w:r w:rsidR="0002185E">
        <w:rPr>
          <w:rFonts w:asciiTheme="majorHAnsi" w:hAnsiTheme="majorHAnsi" w:cstheme="majorHAnsi"/>
          <w:b/>
          <w:bCs/>
          <w:color w:val="000000" w:themeColor="text1"/>
          <w:sz w:val="24"/>
          <w:szCs w:val="24"/>
        </w:rPr>
        <w:t xml:space="preserve"> </w:t>
      </w:r>
    </w:p>
    <w:p w14:paraId="0B6D4F48" w14:textId="125D433F" w:rsidR="0002185E" w:rsidRDefault="00897ED1" w:rsidP="00BA0634">
      <w:pPr>
        <w:rPr>
          <w:rFonts w:asciiTheme="majorHAnsi" w:hAnsiTheme="majorHAnsi" w:cstheme="majorHAnsi"/>
          <w:b/>
          <w:bCs/>
          <w:color w:val="000000" w:themeColor="text1"/>
          <w:sz w:val="24"/>
          <w:szCs w:val="24"/>
        </w:rPr>
      </w:pPr>
      <w:r>
        <w:rPr>
          <w:rFonts w:asciiTheme="majorHAnsi" w:hAnsiTheme="majorHAnsi" w:cstheme="majorHAnsi"/>
          <w:b/>
          <w:bCs/>
          <w:color w:val="000000" w:themeColor="text1"/>
          <w:sz w:val="24"/>
          <w:szCs w:val="24"/>
        </w:rPr>
        <w:t>I</w:t>
      </w:r>
      <w:r w:rsidRPr="0002185E">
        <w:rPr>
          <w:rFonts w:asciiTheme="majorHAnsi" w:hAnsiTheme="majorHAnsi" w:cstheme="majorHAnsi"/>
          <w:b/>
          <w:bCs/>
          <w:color w:val="000000" w:themeColor="text1"/>
          <w:sz w:val="24"/>
          <w:szCs w:val="24"/>
        </w:rPr>
        <w:t>n</w:t>
      </w:r>
      <w:r w:rsidR="0002185E" w:rsidRPr="0002185E">
        <w:rPr>
          <w:rFonts w:asciiTheme="majorHAnsi" w:hAnsiTheme="majorHAnsi" w:cstheme="majorHAnsi"/>
          <w:b/>
          <w:bCs/>
          <w:color w:val="000000" w:themeColor="text1"/>
          <w:sz w:val="24"/>
          <w:szCs w:val="24"/>
        </w:rPr>
        <w:t xml:space="preserve"> summary, Toyota’s organisational culture acts as a strategic asset that enables adaptation to globalisation, technology, and sustainability challenges. By maintaining a </w:t>
      </w:r>
      <w:r w:rsidR="0002185E" w:rsidRPr="0002185E">
        <w:rPr>
          <w:rFonts w:asciiTheme="majorHAnsi" w:hAnsiTheme="majorHAnsi" w:cstheme="majorHAnsi"/>
          <w:b/>
          <w:bCs/>
          <w:color w:val="000000" w:themeColor="text1"/>
          <w:sz w:val="24"/>
          <w:szCs w:val="24"/>
        </w:rPr>
        <w:lastRenderedPageBreak/>
        <w:t>balance between its traditional values and evolving external demands, Toyota demonstrates that a strong culture can be both stable and flexible. Its Kaizen philosophy, respect for people, and long-term orientation ensure not only survival but sustained success in a complex and rapidly changing global environment.</w:t>
      </w:r>
    </w:p>
    <w:p w14:paraId="12CCA37D" w14:textId="77777777" w:rsidR="00052A58" w:rsidRPr="004A5B42" w:rsidRDefault="00052A58" w:rsidP="004A5B42">
      <w:pPr>
        <w:pStyle w:val="ListParagraph"/>
        <w:numPr>
          <w:ilvl w:val="0"/>
          <w:numId w:val="3"/>
        </w:numPr>
        <w:rPr>
          <w:rFonts w:asciiTheme="majorHAnsi" w:hAnsiTheme="majorHAnsi" w:cstheme="majorHAnsi"/>
          <w:b/>
          <w:bCs/>
          <w:color w:val="E97132" w:themeColor="accent2"/>
        </w:rPr>
      </w:pPr>
      <w:r w:rsidRPr="004A5B42">
        <w:rPr>
          <w:rFonts w:asciiTheme="majorHAnsi" w:hAnsiTheme="majorHAnsi" w:cstheme="majorHAnsi"/>
          <w:b/>
          <w:bCs/>
          <w:color w:val="E97132" w:themeColor="accent2"/>
        </w:rPr>
        <w:t>Organisational Culture as a Barrier</w:t>
      </w:r>
    </w:p>
    <w:p w14:paraId="2190E166" w14:textId="118597EC" w:rsidR="00DB5449" w:rsidRDefault="00DB5449" w:rsidP="0007049C">
      <w:pPr>
        <w:rPr>
          <w:rFonts w:asciiTheme="majorHAnsi" w:hAnsiTheme="majorHAnsi" w:cstheme="majorHAnsi"/>
          <w:b/>
          <w:bCs/>
          <w:color w:val="000000" w:themeColor="text1"/>
          <w:sz w:val="24"/>
          <w:szCs w:val="24"/>
        </w:rPr>
      </w:pPr>
      <w:r w:rsidRPr="00DB5449">
        <w:rPr>
          <w:rFonts w:asciiTheme="majorHAnsi" w:hAnsiTheme="majorHAnsi" w:cstheme="majorHAnsi"/>
          <w:b/>
          <w:bCs/>
          <w:color w:val="000000" w:themeColor="text1"/>
          <w:sz w:val="24"/>
          <w:szCs w:val="24"/>
        </w:rPr>
        <w:t xml:space="preserve">Although Toyota's culture is highly acclaimed for its promotion of excellence, learning, and innovation, it is not without flaws. A strong organizational culture will promote cohesion and consistency but may also limit flexibility, delay decision-making, and constrain creativity. According to Mullins and Christy (2016), when cultural norms have been deeply ingrained, they will inhibit the process of change by discouraging behaviors that run against the grain of established ways of doing things. </w:t>
      </w:r>
    </w:p>
    <w:p w14:paraId="537CAFDA" w14:textId="77777777" w:rsidR="006F6053" w:rsidRPr="006F6053" w:rsidRDefault="006F6053" w:rsidP="006F6053">
      <w:pPr>
        <w:rPr>
          <w:rFonts w:asciiTheme="majorHAnsi" w:hAnsiTheme="majorHAnsi" w:cstheme="majorHAnsi"/>
          <w:b/>
          <w:bCs/>
          <w:color w:val="000000" w:themeColor="text1"/>
          <w:sz w:val="24"/>
          <w:szCs w:val="24"/>
          <w:lang w:val="en-GB"/>
        </w:rPr>
      </w:pPr>
      <w:r w:rsidRPr="006F6053">
        <w:rPr>
          <w:rFonts w:asciiTheme="majorHAnsi" w:hAnsiTheme="majorHAnsi" w:cstheme="majorHAnsi"/>
          <w:b/>
          <w:bCs/>
          <w:color w:val="000000" w:themeColor="text1"/>
          <w:sz w:val="24"/>
          <w:szCs w:val="24"/>
          <w:lang w:val="en-GB"/>
        </w:rPr>
        <w:t xml:space="preserve">Toyota’s culture promotes discipline, quality, and collective commitment but can slow decision-making and limit radical innovation. Practices like </w:t>
      </w:r>
      <w:proofErr w:type="spellStart"/>
      <w:r w:rsidRPr="006F6053">
        <w:rPr>
          <w:rFonts w:asciiTheme="majorHAnsi" w:hAnsiTheme="majorHAnsi" w:cstheme="majorHAnsi"/>
          <w:b/>
          <w:bCs/>
          <w:color w:val="000000" w:themeColor="text1"/>
          <w:sz w:val="24"/>
          <w:szCs w:val="24"/>
          <w:lang w:val="en-GB"/>
        </w:rPr>
        <w:t>nemawashi</w:t>
      </w:r>
      <w:proofErr w:type="spellEnd"/>
      <w:r w:rsidRPr="006F6053">
        <w:rPr>
          <w:rFonts w:asciiTheme="majorHAnsi" w:hAnsiTheme="majorHAnsi" w:cstheme="majorHAnsi"/>
          <w:b/>
          <w:bCs/>
          <w:color w:val="000000" w:themeColor="text1"/>
          <w:sz w:val="24"/>
          <w:szCs w:val="24"/>
          <w:lang w:val="en-GB"/>
        </w:rPr>
        <w:t xml:space="preserve"> and risk-averse approaches delayed its early response to electric vehicle markets (Imai, 2012; Fujimoto, 2019), reflecting high uncertainty avoidance (Hofstede, 2011) and cultural inertia (Kotter, 2012). While Kaizen encourages incremental improvement, initiatives such as the Toyota Research Institute aim to foster agility and innovation (Cameron and Quinn, 2011; Toma and Naruo, 2017). Cross-cultural tensions exist in global operations, but leadership programmes and empowerment efforts help balance tradition with flexibility (Schein, 2017; Toyota, 2024).</w:t>
      </w:r>
    </w:p>
    <w:p w14:paraId="195B9CB9" w14:textId="537B2714" w:rsidR="002355EE" w:rsidRPr="003D0486" w:rsidRDefault="002355EE" w:rsidP="00E506E6">
      <w:pPr>
        <w:rPr>
          <w:rFonts w:asciiTheme="majorHAnsi" w:hAnsiTheme="majorHAnsi" w:cstheme="majorHAnsi"/>
          <w:b/>
          <w:bCs/>
          <w:color w:val="F1A983" w:themeColor="accent2" w:themeTint="99"/>
          <w:sz w:val="24"/>
          <w:szCs w:val="24"/>
        </w:rPr>
      </w:pPr>
    </w:p>
    <w:p w14:paraId="44004BCA" w14:textId="7650BE8D" w:rsidR="00667243" w:rsidRDefault="00D933C7" w:rsidP="00667243">
      <w:pPr>
        <w:rPr>
          <w:b/>
          <w:bCs/>
          <w:color w:val="00B0F0"/>
        </w:rPr>
      </w:pPr>
      <w:r>
        <w:rPr>
          <w:b/>
          <w:bCs/>
          <w:color w:val="00B0F0"/>
        </w:rPr>
        <w:t>9-</w:t>
      </w:r>
      <w:r w:rsidR="00667243" w:rsidRPr="00A334B0">
        <w:rPr>
          <w:b/>
          <w:bCs/>
          <w:color w:val="00B0F0"/>
        </w:rPr>
        <w:t>Impact of Culture on Organisational Performance</w:t>
      </w:r>
    </w:p>
    <w:p w14:paraId="1132D7A0" w14:textId="767DCE1E" w:rsidR="00FB4124" w:rsidRPr="00FB4124" w:rsidRDefault="00FB4124" w:rsidP="00FB4124">
      <w:pPr>
        <w:rPr>
          <w:b/>
          <w:bCs/>
          <w:color w:val="0D0D0D" w:themeColor="text1" w:themeTint="F2"/>
        </w:rPr>
      </w:pPr>
      <w:r w:rsidRPr="00FB4124">
        <w:rPr>
          <w:b/>
          <w:bCs/>
          <w:color w:val="0D0D0D" w:themeColor="text1" w:themeTint="F2"/>
        </w:rPr>
        <w:t xml:space="preserve">Toyota </w:t>
      </w:r>
      <w:r w:rsidR="005D242E">
        <w:rPr>
          <w:b/>
          <w:bCs/>
          <w:color w:val="0D0D0D" w:themeColor="text1" w:themeTint="F2"/>
        </w:rPr>
        <w:t>‘</w:t>
      </w:r>
      <w:r w:rsidRPr="00FB4124">
        <w:rPr>
          <w:b/>
          <w:bCs/>
          <w:color w:val="0D0D0D" w:themeColor="text1" w:themeTint="F2"/>
        </w:rPr>
        <w:t>s   cultural emphasis on continuous improvement and teamwork has been the driving force behind its superior performance for decades. The philosophy of Kaizen fosters involvement in process improvements from all grades of employees, thereby allowing efficiency, innovation, and assured quality (Imai, 2012). Empirical studies confirm that such participative practices enhance organisational learning and productivity levels, as suggested by Shah and Ward (2017). Thus, the success of the lean manufacturing system is not a purely technical feat with which Toyota has been credited; it is instead cultural-performance-based, reflecting shared values on precision, collaboration, and accountability.</w:t>
      </w:r>
    </w:p>
    <w:p w14:paraId="5F06685F" w14:textId="1ED2A075" w:rsidR="00FB4124" w:rsidRPr="00FB4124" w:rsidRDefault="00FB4124" w:rsidP="00FB4124">
      <w:pPr>
        <w:rPr>
          <w:b/>
          <w:bCs/>
          <w:color w:val="0D0D0D" w:themeColor="text1" w:themeTint="F2"/>
        </w:rPr>
      </w:pPr>
      <w:r w:rsidRPr="00FB4124">
        <w:rPr>
          <w:b/>
          <w:bCs/>
          <w:color w:val="0D0D0D" w:themeColor="text1" w:themeTint="F2"/>
        </w:rPr>
        <w:t>The respect for people principle of Toyota also ensures, from a motivational point of view, that high morale and loyalty characterize the company's employees. It invests much in the development of its staff and job security, which is reminiscent of lifetime employment in Japan. The approach will also be consistent with Herzberg's Motivation-Hygiene Theory, 2008, indicating that elements such as recognition, accomplishment, and responsibility include increasing job satisfaction. Low labor mobility and employee commitment within the company denotes the success of this motivational strategy inculcated in the culture.</w:t>
      </w:r>
    </w:p>
    <w:p w14:paraId="684FB101" w14:textId="71286C46" w:rsidR="00FB4124" w:rsidRPr="00FB4124" w:rsidRDefault="00FB4124" w:rsidP="00FB4124">
      <w:pPr>
        <w:rPr>
          <w:b/>
          <w:bCs/>
          <w:color w:val="0D0D0D" w:themeColor="text1" w:themeTint="F2"/>
        </w:rPr>
      </w:pPr>
      <w:r w:rsidRPr="00FB4124">
        <w:rPr>
          <w:b/>
          <w:bCs/>
          <w:color w:val="0D0D0D" w:themeColor="text1" w:themeTint="F2"/>
        </w:rPr>
        <w:lastRenderedPageBreak/>
        <w:t>Culturally, the commitment of Toyota to ethical conduct and social responsibility enhances its reputation and customer trust. The organization's environmental initiatives, such as the Toyota Environmental Challenge 2050, show how cultural values can extend beyond internal performance to global sustainability. This earned Toyota a leading position in the ranking of sustainability and furthered the strength of its brand image in the global market.</w:t>
      </w:r>
    </w:p>
    <w:p w14:paraId="5822DBC9" w14:textId="544654B2" w:rsidR="002874CE" w:rsidRPr="00FB4124" w:rsidRDefault="00FB4124" w:rsidP="00FB4124">
      <w:pPr>
        <w:rPr>
          <w:b/>
          <w:bCs/>
          <w:color w:val="0D0D0D" w:themeColor="text1" w:themeTint="F2"/>
        </w:rPr>
      </w:pPr>
      <w:r w:rsidRPr="00FB4124">
        <w:rPr>
          <w:b/>
          <w:bCs/>
          <w:color w:val="0D0D0D" w:themeColor="text1" w:themeTint="F2"/>
        </w:rPr>
        <w:t xml:space="preserve">However, as noted above, Toyota's focus on structure and consensus sometimes </w:t>
      </w:r>
      <w:proofErr w:type="gramStart"/>
      <w:r w:rsidRPr="00FB4124">
        <w:rPr>
          <w:b/>
          <w:bCs/>
          <w:color w:val="0D0D0D" w:themeColor="text1" w:themeTint="F2"/>
        </w:rPr>
        <w:t xml:space="preserve">works  </w:t>
      </w:r>
      <w:proofErr w:type="spellStart"/>
      <w:r w:rsidRPr="00FB4124">
        <w:rPr>
          <w:b/>
          <w:bCs/>
          <w:color w:val="0D0D0D" w:themeColor="text1" w:themeTint="F2"/>
        </w:rPr>
        <w:t>gainst</w:t>
      </w:r>
      <w:proofErr w:type="spellEnd"/>
      <w:proofErr w:type="gramEnd"/>
      <w:r w:rsidRPr="00FB4124">
        <w:rPr>
          <w:b/>
          <w:bCs/>
          <w:color w:val="0D0D0D" w:themeColor="text1" w:themeTint="F2"/>
        </w:rPr>
        <w:t xml:space="preserve"> the potential for radical innovation. The historical resistance of the company to fully electric vehicles epitomizes how routines deeply entrenched within an organization act as barriers to change (Fujimoto, 2019). Since then, Toyota has reacted by investing in hydrogen and battery-electric research, showing its capacity to evolve while remaining anchored in its core values.</w:t>
      </w:r>
    </w:p>
    <w:p w14:paraId="1C549C4F" w14:textId="735BC5F6" w:rsidR="009A7E25" w:rsidRPr="000136C3" w:rsidRDefault="009A7E25" w:rsidP="000136C3">
      <w:pPr>
        <w:rPr>
          <w:rFonts w:asciiTheme="majorHAnsi" w:hAnsiTheme="majorHAnsi" w:cstheme="majorHAnsi"/>
          <w:b/>
          <w:bCs/>
          <w:color w:val="000000" w:themeColor="text1"/>
          <w:sz w:val="24"/>
          <w:szCs w:val="24"/>
        </w:rPr>
      </w:pPr>
    </w:p>
    <w:p w14:paraId="54E139D6" w14:textId="004BDE95" w:rsidR="002B24FD" w:rsidRPr="004033A1" w:rsidRDefault="004033A1" w:rsidP="004033A1">
      <w:pPr>
        <w:ind w:left="426"/>
        <w:rPr>
          <w:rFonts w:asciiTheme="majorHAnsi" w:hAnsiTheme="majorHAnsi" w:cstheme="majorHAnsi"/>
          <w:b/>
          <w:bCs/>
          <w:color w:val="D86DCB" w:themeColor="accent5" w:themeTint="99"/>
        </w:rPr>
      </w:pPr>
      <w:r>
        <w:rPr>
          <w:rFonts w:asciiTheme="majorHAnsi" w:hAnsiTheme="majorHAnsi" w:cstheme="majorHAnsi"/>
          <w:b/>
          <w:bCs/>
          <w:color w:val="D86DCB" w:themeColor="accent5" w:themeTint="99"/>
        </w:rPr>
        <w:t>10.</w:t>
      </w:r>
      <w:r w:rsidR="002B24FD" w:rsidRPr="004033A1">
        <w:rPr>
          <w:rFonts w:asciiTheme="majorHAnsi" w:hAnsiTheme="majorHAnsi" w:cstheme="majorHAnsi"/>
          <w:b/>
          <w:bCs/>
          <w:color w:val="D86DCB" w:themeColor="accent5" w:themeTint="99"/>
        </w:rPr>
        <w:t>Conclusion</w:t>
      </w:r>
    </w:p>
    <w:p w14:paraId="31266C2F" w14:textId="6EFFE851" w:rsidR="000136C3" w:rsidRPr="000136C3" w:rsidRDefault="000136C3" w:rsidP="000136C3">
      <w:pPr>
        <w:rPr>
          <w:rFonts w:asciiTheme="majorHAnsi" w:hAnsiTheme="majorHAnsi" w:cstheme="majorHAnsi"/>
          <w:b/>
          <w:bCs/>
          <w:color w:val="000000" w:themeColor="text1"/>
          <w:sz w:val="24"/>
          <w:szCs w:val="24"/>
        </w:rPr>
      </w:pPr>
      <w:r w:rsidRPr="000136C3">
        <w:rPr>
          <w:rFonts w:asciiTheme="majorHAnsi" w:hAnsiTheme="majorHAnsi" w:cstheme="majorHAnsi"/>
          <w:b/>
          <w:bCs/>
          <w:color w:val="000000" w:themeColor="text1"/>
          <w:sz w:val="24"/>
          <w:szCs w:val="24"/>
        </w:rPr>
        <w:t>In conclusion, Toyota’s organisational culture has been a fundamental driver of its success, enabling excellence in quality, innovation, and ethical conduct. Kaizen ensures continuous improvement, while respect for people fosters loyalty and engagement. Together, these principles create a disciplined yet human-centered culture.</w:t>
      </w:r>
    </w:p>
    <w:p w14:paraId="6E2B3D3E" w14:textId="574FA39E" w:rsidR="000136C3" w:rsidRPr="000136C3" w:rsidRDefault="000136C3" w:rsidP="000136C3">
      <w:pPr>
        <w:rPr>
          <w:rFonts w:asciiTheme="majorHAnsi" w:hAnsiTheme="majorHAnsi" w:cstheme="majorHAnsi"/>
          <w:b/>
          <w:bCs/>
          <w:color w:val="000000" w:themeColor="text1"/>
          <w:sz w:val="24"/>
          <w:szCs w:val="24"/>
        </w:rPr>
      </w:pPr>
      <w:r w:rsidRPr="000136C3">
        <w:rPr>
          <w:rFonts w:asciiTheme="majorHAnsi" w:hAnsiTheme="majorHAnsi" w:cstheme="majorHAnsi"/>
          <w:b/>
          <w:bCs/>
          <w:color w:val="000000" w:themeColor="text1"/>
          <w:sz w:val="24"/>
          <w:szCs w:val="24"/>
        </w:rPr>
        <w:t>However, the same strengths supporting Toyota’s stability can limit adaptability. To thrive amid technological disruption and competition, Toyota must adopt a more dynamic, innovative-oriented culture without losing its core values, balancing tradition with transformation for sustainable performance.</w:t>
      </w:r>
    </w:p>
    <w:p w14:paraId="3FDD27B7" w14:textId="77777777" w:rsidR="00C81CDF" w:rsidRPr="000B1FED" w:rsidRDefault="00C81CDF" w:rsidP="00DB5449">
      <w:pPr>
        <w:rPr>
          <w:rFonts w:asciiTheme="majorHAnsi" w:hAnsiTheme="majorHAnsi" w:cstheme="majorHAnsi"/>
          <w:b/>
          <w:bCs/>
          <w:color w:val="000000" w:themeColor="text1"/>
          <w:sz w:val="24"/>
          <w:szCs w:val="24"/>
        </w:rPr>
      </w:pPr>
    </w:p>
    <w:p w14:paraId="2D9436C8" w14:textId="77777777" w:rsidR="00DB5449" w:rsidRPr="000B1FED" w:rsidRDefault="00DB5449" w:rsidP="00052A58">
      <w:pPr>
        <w:rPr>
          <w:rFonts w:asciiTheme="majorHAnsi" w:hAnsiTheme="majorHAnsi" w:cstheme="majorHAnsi"/>
          <w:b/>
          <w:bCs/>
          <w:color w:val="000000" w:themeColor="text1"/>
          <w:sz w:val="24"/>
          <w:szCs w:val="24"/>
        </w:rPr>
      </w:pPr>
    </w:p>
    <w:p w14:paraId="55B4B17D" w14:textId="58EE89A8" w:rsidR="00450A94" w:rsidRPr="00A660AB" w:rsidRDefault="00A660AB" w:rsidP="00A660AB">
      <w:pPr>
        <w:ind w:left="426"/>
        <w:rPr>
          <w:rFonts w:asciiTheme="majorHAnsi" w:hAnsiTheme="majorHAnsi" w:cstheme="majorHAnsi"/>
          <w:b/>
          <w:bCs/>
          <w:color w:val="D86DCB" w:themeColor="accent5" w:themeTint="99"/>
        </w:rPr>
      </w:pPr>
      <w:r>
        <w:rPr>
          <w:rFonts w:asciiTheme="majorHAnsi" w:hAnsiTheme="majorHAnsi" w:cstheme="majorHAnsi"/>
          <w:b/>
          <w:bCs/>
          <w:color w:val="D86DCB" w:themeColor="accent5" w:themeTint="99"/>
        </w:rPr>
        <w:t>11.</w:t>
      </w:r>
      <w:r w:rsidR="006F52D5" w:rsidRPr="00A660AB">
        <w:rPr>
          <w:rFonts w:asciiTheme="majorHAnsi" w:hAnsiTheme="majorHAnsi" w:cstheme="majorHAnsi"/>
          <w:b/>
          <w:bCs/>
          <w:color w:val="D86DCB" w:themeColor="accent5" w:themeTint="99"/>
        </w:rPr>
        <w:t xml:space="preserve">Reference’s </w:t>
      </w:r>
      <w:r w:rsidR="005C6B47" w:rsidRPr="00A660AB">
        <w:rPr>
          <w:rFonts w:asciiTheme="majorHAnsi" w:hAnsiTheme="majorHAnsi" w:cstheme="majorHAnsi"/>
          <w:b/>
          <w:bCs/>
          <w:color w:val="D86DCB" w:themeColor="accent5" w:themeTint="99"/>
        </w:rPr>
        <w:t xml:space="preserve"> </w:t>
      </w:r>
    </w:p>
    <w:p w14:paraId="5D3CF848" w14:textId="77777777" w:rsidR="00214E6B" w:rsidRPr="000B1FED" w:rsidRDefault="00214E6B" w:rsidP="002B78D1">
      <w:pPr>
        <w:rPr>
          <w:rFonts w:asciiTheme="majorHAnsi" w:hAnsiTheme="majorHAnsi" w:cstheme="majorHAnsi"/>
          <w:b/>
          <w:bCs/>
          <w:color w:val="000000" w:themeColor="text1"/>
          <w:sz w:val="24"/>
          <w:szCs w:val="24"/>
        </w:rPr>
      </w:pPr>
    </w:p>
    <w:p w14:paraId="02088BD8" w14:textId="4B99258F"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Cameron, K. and Quinn, R. (2011) </w:t>
      </w:r>
      <w:r w:rsidRPr="00117744">
        <w:rPr>
          <w:rFonts w:asciiTheme="majorHAnsi" w:hAnsiTheme="majorHAnsi" w:cstheme="majorHAnsi"/>
          <w:b/>
          <w:bCs/>
          <w:i/>
          <w:iCs/>
          <w:color w:val="000000" w:themeColor="text1"/>
        </w:rPr>
        <w:t>Diagnosing and Changing Organisational Culture: Based on the Competing Values Framework</w:t>
      </w:r>
      <w:r w:rsidRPr="00117744">
        <w:rPr>
          <w:rFonts w:asciiTheme="majorHAnsi" w:hAnsiTheme="majorHAnsi" w:cstheme="majorHAnsi"/>
          <w:b/>
          <w:bCs/>
          <w:color w:val="000000" w:themeColor="text1"/>
        </w:rPr>
        <w:t>. 3rd ed. San Francisco: Jossey-Bass.</w:t>
      </w:r>
    </w:p>
    <w:p w14:paraId="1CE97C57" w14:textId="4FEBDF74"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Fujimoto, T. (2019) </w:t>
      </w:r>
      <w:r w:rsidRPr="00117744">
        <w:rPr>
          <w:rFonts w:asciiTheme="majorHAnsi" w:hAnsiTheme="majorHAnsi" w:cstheme="majorHAnsi"/>
          <w:b/>
          <w:bCs/>
          <w:i/>
          <w:iCs/>
          <w:color w:val="000000" w:themeColor="text1"/>
        </w:rPr>
        <w:t>The Evolution of a Manufacturing System at Toyota</w:t>
      </w:r>
      <w:r w:rsidRPr="00117744">
        <w:rPr>
          <w:rFonts w:asciiTheme="majorHAnsi" w:hAnsiTheme="majorHAnsi" w:cstheme="majorHAnsi"/>
          <w:b/>
          <w:bCs/>
          <w:color w:val="000000" w:themeColor="text1"/>
        </w:rPr>
        <w:t>. Oxford: Oxford University Press.</w:t>
      </w:r>
    </w:p>
    <w:p w14:paraId="4453E927" w14:textId="3B1AC40F"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Handy, C. (1993) </w:t>
      </w:r>
      <w:r w:rsidRPr="00117744">
        <w:rPr>
          <w:rFonts w:asciiTheme="majorHAnsi" w:hAnsiTheme="majorHAnsi" w:cstheme="majorHAnsi"/>
          <w:b/>
          <w:bCs/>
          <w:i/>
          <w:iCs/>
          <w:color w:val="000000" w:themeColor="text1"/>
        </w:rPr>
        <w:t>Understanding Organizations</w:t>
      </w:r>
      <w:r w:rsidRPr="00117744">
        <w:rPr>
          <w:rFonts w:asciiTheme="majorHAnsi" w:hAnsiTheme="majorHAnsi" w:cstheme="majorHAnsi"/>
          <w:b/>
          <w:bCs/>
          <w:color w:val="000000" w:themeColor="text1"/>
        </w:rPr>
        <w:t>. Penguin UK.</w:t>
      </w:r>
    </w:p>
    <w:p w14:paraId="62245BF3" w14:textId="600FA1E9"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Hino, S. (2019) </w:t>
      </w:r>
      <w:r w:rsidRPr="00117744">
        <w:rPr>
          <w:rFonts w:asciiTheme="majorHAnsi" w:hAnsiTheme="majorHAnsi" w:cstheme="majorHAnsi"/>
          <w:b/>
          <w:bCs/>
          <w:i/>
          <w:iCs/>
          <w:color w:val="000000" w:themeColor="text1"/>
        </w:rPr>
        <w:t>Inside the Mind of Toyota: Management Principles for Enduring Growth</w:t>
      </w:r>
      <w:r w:rsidRPr="00117744">
        <w:rPr>
          <w:rFonts w:asciiTheme="majorHAnsi" w:hAnsiTheme="majorHAnsi" w:cstheme="majorHAnsi"/>
          <w:b/>
          <w:bCs/>
          <w:color w:val="000000" w:themeColor="text1"/>
        </w:rPr>
        <w:t>. CRC Press.</w:t>
      </w:r>
    </w:p>
    <w:p w14:paraId="27E870DD" w14:textId="71C039EE"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Hofstede, G., 2011. ‘Dimensionalizing cultures: The Hofstede model in context’. </w:t>
      </w:r>
      <w:r w:rsidRPr="00117744">
        <w:rPr>
          <w:rFonts w:asciiTheme="majorHAnsi" w:hAnsiTheme="majorHAnsi" w:cstheme="majorHAnsi"/>
          <w:b/>
          <w:bCs/>
          <w:i/>
          <w:iCs/>
          <w:color w:val="000000" w:themeColor="text1"/>
        </w:rPr>
        <w:t>Online Readings in Psychology and Culture</w:t>
      </w:r>
      <w:r w:rsidRPr="00117744">
        <w:rPr>
          <w:rFonts w:asciiTheme="majorHAnsi" w:hAnsiTheme="majorHAnsi" w:cstheme="majorHAnsi"/>
          <w:b/>
          <w:bCs/>
          <w:color w:val="000000" w:themeColor="text1"/>
        </w:rPr>
        <w:t>, 2(1), p.8.</w:t>
      </w:r>
    </w:p>
    <w:p w14:paraId="1B3EA43B" w14:textId="28A020F3"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lastRenderedPageBreak/>
        <w:t xml:space="preserve">Hofstede, G. (2011) ‘Dimensionalizing Cultures: The Hofstede Model in Context’. </w:t>
      </w:r>
      <w:r w:rsidRPr="00117744">
        <w:rPr>
          <w:rFonts w:asciiTheme="majorHAnsi" w:hAnsiTheme="majorHAnsi" w:cstheme="majorHAnsi"/>
          <w:b/>
          <w:bCs/>
          <w:i/>
          <w:iCs/>
          <w:color w:val="000000" w:themeColor="text1"/>
        </w:rPr>
        <w:t>Online Readings in Psychology and Culture</w:t>
      </w:r>
      <w:r w:rsidRPr="00117744">
        <w:rPr>
          <w:rFonts w:asciiTheme="majorHAnsi" w:hAnsiTheme="majorHAnsi" w:cstheme="majorHAnsi"/>
          <w:b/>
          <w:bCs/>
          <w:color w:val="000000" w:themeColor="text1"/>
        </w:rPr>
        <w:t>, 2(1), pp. 1–26.</w:t>
      </w:r>
    </w:p>
    <w:p w14:paraId="4D2F2C05" w14:textId="59692CDA"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Imai, M. (2012) </w:t>
      </w:r>
      <w:r w:rsidRPr="00117744">
        <w:rPr>
          <w:rFonts w:asciiTheme="majorHAnsi" w:hAnsiTheme="majorHAnsi" w:cstheme="majorHAnsi"/>
          <w:b/>
          <w:bCs/>
          <w:i/>
          <w:iCs/>
          <w:color w:val="000000" w:themeColor="text1"/>
        </w:rPr>
        <w:t>Kaizen: The Key to Japan’s Competitive Success</w:t>
      </w:r>
      <w:r w:rsidRPr="00117744">
        <w:rPr>
          <w:rFonts w:asciiTheme="majorHAnsi" w:hAnsiTheme="majorHAnsi" w:cstheme="majorHAnsi"/>
          <w:b/>
          <w:bCs/>
          <w:color w:val="000000" w:themeColor="text1"/>
        </w:rPr>
        <w:t>. New York: McGraw-Hill.</w:t>
      </w:r>
    </w:p>
    <w:p w14:paraId="25B8ABB0" w14:textId="732EF04B"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Liker, J. (2021) </w:t>
      </w:r>
      <w:r w:rsidRPr="00117744">
        <w:rPr>
          <w:rFonts w:asciiTheme="majorHAnsi" w:hAnsiTheme="majorHAnsi" w:cstheme="majorHAnsi"/>
          <w:b/>
          <w:bCs/>
          <w:i/>
          <w:iCs/>
          <w:color w:val="000000" w:themeColor="text1"/>
        </w:rPr>
        <w:t>The Toyota Way: 14 Management Principles from the World’s Greatest Manufacturer</w:t>
      </w:r>
      <w:r w:rsidRPr="00117744">
        <w:rPr>
          <w:rFonts w:asciiTheme="majorHAnsi" w:hAnsiTheme="majorHAnsi" w:cstheme="majorHAnsi"/>
          <w:b/>
          <w:bCs/>
          <w:color w:val="000000" w:themeColor="text1"/>
        </w:rPr>
        <w:t>. 2nd ed. New York: McGraw-Hill.</w:t>
      </w:r>
    </w:p>
    <w:p w14:paraId="389F39AF" w14:textId="12532D01"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Liker, J., 2020. </w:t>
      </w:r>
      <w:r w:rsidRPr="00117744">
        <w:rPr>
          <w:rFonts w:asciiTheme="majorHAnsi" w:hAnsiTheme="majorHAnsi" w:cstheme="majorHAnsi"/>
          <w:b/>
          <w:bCs/>
          <w:i/>
          <w:iCs/>
          <w:color w:val="000000" w:themeColor="text1"/>
        </w:rPr>
        <w:t>The Toyota Way: 14 Management Principles from the World's Greatest Manufacturer</w:t>
      </w:r>
      <w:r w:rsidRPr="00117744">
        <w:rPr>
          <w:rFonts w:asciiTheme="majorHAnsi" w:hAnsiTheme="majorHAnsi" w:cstheme="majorHAnsi"/>
          <w:b/>
          <w:bCs/>
          <w:color w:val="000000" w:themeColor="text1"/>
        </w:rPr>
        <w:t>. McGraw-Hill.</w:t>
      </w:r>
    </w:p>
    <w:p w14:paraId="4F74B1A2" w14:textId="40208378"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Mullins, L.J. and Christy, G., 2016. </w:t>
      </w:r>
      <w:r w:rsidRPr="00117744">
        <w:rPr>
          <w:rFonts w:asciiTheme="majorHAnsi" w:hAnsiTheme="majorHAnsi" w:cstheme="majorHAnsi"/>
          <w:b/>
          <w:bCs/>
          <w:i/>
          <w:iCs/>
          <w:color w:val="000000" w:themeColor="text1"/>
        </w:rPr>
        <w:t>Management &amp; Organizational Behaviour (Vol. 148).</w:t>
      </w:r>
      <w:r w:rsidRPr="00117744">
        <w:rPr>
          <w:rFonts w:asciiTheme="majorHAnsi" w:hAnsiTheme="majorHAnsi" w:cstheme="majorHAnsi"/>
          <w:b/>
          <w:bCs/>
          <w:color w:val="000000" w:themeColor="text1"/>
        </w:rPr>
        <w:t xml:space="preserve"> FT Pitman.</w:t>
      </w:r>
    </w:p>
    <w:p w14:paraId="4ACF837F" w14:textId="0FB7D039"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Mullins, L. and Christy, G. (2016) </w:t>
      </w:r>
      <w:r w:rsidRPr="00117744">
        <w:rPr>
          <w:rFonts w:asciiTheme="majorHAnsi" w:hAnsiTheme="majorHAnsi" w:cstheme="majorHAnsi"/>
          <w:b/>
          <w:bCs/>
          <w:i/>
          <w:iCs/>
          <w:color w:val="000000" w:themeColor="text1"/>
        </w:rPr>
        <w:t>Management and Organisational Behaviour</w:t>
      </w:r>
      <w:r w:rsidRPr="00117744">
        <w:rPr>
          <w:rFonts w:asciiTheme="majorHAnsi" w:hAnsiTheme="majorHAnsi" w:cstheme="majorHAnsi"/>
          <w:b/>
          <w:bCs/>
          <w:color w:val="000000" w:themeColor="text1"/>
        </w:rPr>
        <w:t>. 11th ed. Harlow: Pearson Education.</w:t>
      </w:r>
    </w:p>
    <w:p w14:paraId="15F46B57" w14:textId="28CAD4E6"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Schein, E. (2017) </w:t>
      </w:r>
      <w:r w:rsidRPr="00117744">
        <w:rPr>
          <w:rFonts w:asciiTheme="majorHAnsi" w:hAnsiTheme="majorHAnsi" w:cstheme="majorHAnsi"/>
          <w:b/>
          <w:bCs/>
          <w:i/>
          <w:iCs/>
          <w:color w:val="000000" w:themeColor="text1"/>
        </w:rPr>
        <w:t>Organizational Culture and Leadership</w:t>
      </w:r>
      <w:r w:rsidRPr="00117744">
        <w:rPr>
          <w:rFonts w:asciiTheme="majorHAnsi" w:hAnsiTheme="majorHAnsi" w:cstheme="majorHAnsi"/>
          <w:b/>
          <w:bCs/>
          <w:color w:val="000000" w:themeColor="text1"/>
        </w:rPr>
        <w:t>. 5th ed. Hoboken: Wiley.</w:t>
      </w:r>
    </w:p>
    <w:p w14:paraId="5CC6B807" w14:textId="727AEF2B"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Toyota (2024) </w:t>
      </w:r>
      <w:r w:rsidRPr="00117744">
        <w:rPr>
          <w:rFonts w:asciiTheme="majorHAnsi" w:hAnsiTheme="majorHAnsi" w:cstheme="majorHAnsi"/>
          <w:b/>
          <w:bCs/>
          <w:i/>
          <w:iCs/>
          <w:color w:val="000000" w:themeColor="text1"/>
        </w:rPr>
        <w:t>Annual Report 2024</w:t>
      </w:r>
      <w:r w:rsidRPr="00117744">
        <w:rPr>
          <w:rFonts w:asciiTheme="majorHAnsi" w:hAnsiTheme="majorHAnsi" w:cstheme="majorHAnsi"/>
          <w:b/>
          <w:bCs/>
          <w:color w:val="000000" w:themeColor="text1"/>
        </w:rPr>
        <w:t xml:space="preserve">. Available at: </w:t>
      </w:r>
      <w:hyperlink r:id="rId8" w:tgtFrame="_new" w:history="1">
        <w:r w:rsidRPr="00117744">
          <w:rPr>
            <w:rStyle w:val="Hyperlink"/>
            <w:rFonts w:asciiTheme="majorHAnsi" w:hAnsiTheme="majorHAnsi" w:cstheme="majorHAnsi"/>
            <w:b/>
            <w:bCs/>
          </w:rPr>
          <w:t>https://global.toyota/en/</w:t>
        </w:r>
      </w:hyperlink>
      <w:r w:rsidRPr="00117744">
        <w:rPr>
          <w:rFonts w:asciiTheme="majorHAnsi" w:hAnsiTheme="majorHAnsi" w:cstheme="majorHAnsi"/>
          <w:b/>
          <w:bCs/>
          <w:color w:val="000000" w:themeColor="text1"/>
        </w:rPr>
        <w:t xml:space="preserve"> (Accessed: 16 October 2025).</w:t>
      </w:r>
    </w:p>
    <w:p w14:paraId="4E8ED310" w14:textId="61C4EB1E" w:rsidR="00413836" w:rsidRPr="00117744" w:rsidRDefault="00413836" w:rsidP="00117744">
      <w:pPr>
        <w:pStyle w:val="ListParagraph"/>
        <w:numPr>
          <w:ilvl w:val="0"/>
          <w:numId w:val="7"/>
        </w:numPr>
        <w:rPr>
          <w:rFonts w:asciiTheme="majorHAnsi" w:hAnsiTheme="majorHAnsi" w:cstheme="majorHAnsi"/>
          <w:b/>
          <w:bCs/>
          <w:color w:val="000000" w:themeColor="text1"/>
        </w:rPr>
      </w:pPr>
      <w:r w:rsidRPr="00117744">
        <w:rPr>
          <w:rFonts w:asciiTheme="majorHAnsi" w:hAnsiTheme="majorHAnsi" w:cstheme="majorHAnsi"/>
          <w:b/>
          <w:bCs/>
          <w:color w:val="000000" w:themeColor="text1"/>
        </w:rPr>
        <w:t xml:space="preserve">Toyota (2024) </w:t>
      </w:r>
      <w:r w:rsidRPr="00117744">
        <w:rPr>
          <w:rFonts w:asciiTheme="majorHAnsi" w:hAnsiTheme="majorHAnsi" w:cstheme="majorHAnsi"/>
          <w:b/>
          <w:bCs/>
          <w:i/>
          <w:iCs/>
          <w:color w:val="000000" w:themeColor="text1"/>
        </w:rPr>
        <w:t>Sustainability Report 2024</w:t>
      </w:r>
      <w:r w:rsidRPr="00117744">
        <w:rPr>
          <w:rFonts w:asciiTheme="majorHAnsi" w:hAnsiTheme="majorHAnsi" w:cstheme="majorHAnsi"/>
          <w:b/>
          <w:bCs/>
          <w:color w:val="000000" w:themeColor="text1"/>
        </w:rPr>
        <w:t xml:space="preserve">. Available at: </w:t>
      </w:r>
      <w:hyperlink r:id="rId9" w:tgtFrame="_new" w:history="1">
        <w:r w:rsidRPr="00117744">
          <w:rPr>
            <w:rStyle w:val="Hyperlink"/>
            <w:rFonts w:asciiTheme="majorHAnsi" w:hAnsiTheme="majorHAnsi" w:cstheme="majorHAnsi"/>
            <w:b/>
            <w:bCs/>
          </w:rPr>
          <w:t>https://global.toyota/en/</w:t>
        </w:r>
      </w:hyperlink>
      <w:r w:rsidRPr="00117744">
        <w:rPr>
          <w:rFonts w:asciiTheme="majorHAnsi" w:hAnsiTheme="majorHAnsi" w:cstheme="majorHAnsi"/>
          <w:b/>
          <w:bCs/>
          <w:color w:val="000000" w:themeColor="text1"/>
        </w:rPr>
        <w:t xml:space="preserve"> (Accessed: 16 October 2025).</w:t>
      </w:r>
    </w:p>
    <w:p w14:paraId="4B056C2F" w14:textId="77777777" w:rsidR="002B78D1" w:rsidRPr="00413836" w:rsidRDefault="002B78D1" w:rsidP="00240BDC">
      <w:pPr>
        <w:rPr>
          <w:rFonts w:asciiTheme="majorHAnsi" w:hAnsiTheme="majorHAnsi" w:cstheme="majorHAnsi"/>
          <w:b/>
          <w:bCs/>
          <w:color w:val="000000" w:themeColor="text1"/>
          <w:sz w:val="24"/>
          <w:szCs w:val="24"/>
          <w:lang w:val="en-GB"/>
        </w:rPr>
      </w:pPr>
    </w:p>
    <w:p w14:paraId="2324362D" w14:textId="77777777" w:rsidR="00E94EBD" w:rsidRPr="000B1FED" w:rsidRDefault="00E94EBD" w:rsidP="00240BDC">
      <w:pPr>
        <w:rPr>
          <w:rFonts w:asciiTheme="majorHAnsi" w:hAnsiTheme="majorHAnsi" w:cstheme="majorHAnsi"/>
          <w:b/>
          <w:bCs/>
          <w:color w:val="000000" w:themeColor="text1"/>
          <w:sz w:val="24"/>
          <w:szCs w:val="24"/>
        </w:rPr>
      </w:pPr>
    </w:p>
    <w:p w14:paraId="2DD0FB8D" w14:textId="77777777" w:rsidR="00A0567C" w:rsidRPr="00FB4124" w:rsidRDefault="00A0567C" w:rsidP="008E1BCE">
      <w:pPr>
        <w:rPr>
          <w:rFonts w:asciiTheme="majorHAnsi" w:hAnsiTheme="majorHAnsi" w:cstheme="majorHAnsi"/>
          <w:b/>
          <w:bCs/>
          <w:color w:val="0D0D0D" w:themeColor="text1" w:themeTint="F2"/>
          <w:sz w:val="24"/>
          <w:szCs w:val="24"/>
        </w:rPr>
      </w:pPr>
    </w:p>
    <w:p w14:paraId="67EB5D8F" w14:textId="77777777" w:rsidR="008E1BCE" w:rsidRDefault="008E1BCE" w:rsidP="00A8138F"/>
    <w:sectPr w:rsidR="008E1B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42179" w14:textId="77777777" w:rsidR="008F2963" w:rsidRDefault="008F2963" w:rsidP="009D5B7C">
      <w:pPr>
        <w:spacing w:after="0" w:line="240" w:lineRule="auto"/>
      </w:pPr>
      <w:r>
        <w:separator/>
      </w:r>
    </w:p>
  </w:endnote>
  <w:endnote w:type="continuationSeparator" w:id="0">
    <w:p w14:paraId="2E2E72AD" w14:textId="77777777" w:rsidR="008F2963" w:rsidRDefault="008F2963" w:rsidP="009D5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F50E2" w14:textId="77777777" w:rsidR="008F2963" w:rsidRDefault="008F2963" w:rsidP="009D5B7C">
      <w:pPr>
        <w:spacing w:after="0" w:line="240" w:lineRule="auto"/>
      </w:pPr>
      <w:r>
        <w:separator/>
      </w:r>
    </w:p>
  </w:footnote>
  <w:footnote w:type="continuationSeparator" w:id="0">
    <w:p w14:paraId="38A8353D" w14:textId="77777777" w:rsidR="008F2963" w:rsidRDefault="008F2963" w:rsidP="009D5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F0CBD"/>
    <w:multiLevelType w:val="hybridMultilevel"/>
    <w:tmpl w:val="CCC8C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A35EC"/>
    <w:multiLevelType w:val="hybridMultilevel"/>
    <w:tmpl w:val="24C62390"/>
    <w:lvl w:ilvl="0" w:tplc="0809000F">
      <w:start w:val="1"/>
      <w:numFmt w:val="decimal"/>
      <w:lvlText w:val="%1."/>
      <w:lvlJc w:val="left"/>
      <w:pPr>
        <w:ind w:left="720" w:hanging="360"/>
      </w:pPr>
      <w:rPr>
        <w:color w:val="D86DCB" w:themeColor="accent5" w:themeTint="99"/>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5EB5E5D"/>
    <w:multiLevelType w:val="hybridMultilevel"/>
    <w:tmpl w:val="ADBA4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F5FAF"/>
    <w:multiLevelType w:val="hybridMultilevel"/>
    <w:tmpl w:val="24F429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DE2904"/>
    <w:multiLevelType w:val="hybridMultilevel"/>
    <w:tmpl w:val="D1C27516"/>
    <w:lvl w:ilvl="0" w:tplc="624468D2">
      <w:start w:val="1"/>
      <w:numFmt w:val="decimal"/>
      <w:lvlText w:val="%1."/>
      <w:lvlJc w:val="left"/>
      <w:pPr>
        <w:ind w:left="720" w:hanging="360"/>
      </w:pPr>
      <w:rPr>
        <w:b/>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53167A"/>
    <w:multiLevelType w:val="hybridMultilevel"/>
    <w:tmpl w:val="D2D84E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87D4A34"/>
    <w:multiLevelType w:val="hybridMultilevel"/>
    <w:tmpl w:val="C1D20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0161F5"/>
    <w:multiLevelType w:val="hybridMultilevel"/>
    <w:tmpl w:val="62F4C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4062D6"/>
    <w:multiLevelType w:val="hybridMultilevel"/>
    <w:tmpl w:val="32F663B2"/>
    <w:lvl w:ilvl="0" w:tplc="493ABD34">
      <w:start w:val="1"/>
      <w:numFmt w:val="decimal"/>
      <w:lvlText w:val="%1."/>
      <w:lvlJc w:val="left"/>
      <w:pPr>
        <w:ind w:left="360" w:hanging="360"/>
      </w:pPr>
      <w:rPr>
        <w:color w:val="D86DCB" w:themeColor="accent5" w:themeTint="99"/>
      </w:rPr>
    </w:lvl>
    <w:lvl w:ilvl="1" w:tplc="44026AD2">
      <w:numFmt w:val="bullet"/>
      <w:lvlText w:val=""/>
      <w:lvlJc w:val="left"/>
      <w:pPr>
        <w:ind w:left="1014" w:hanging="360"/>
      </w:pPr>
      <w:rPr>
        <w:rFonts w:ascii="Aptos Display" w:eastAsiaTheme="minorEastAsia" w:hAnsi="Aptos Display" w:cstheme="majorHAnsi" w:hint="default"/>
      </w:r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num w:numId="1" w16cid:durableId="892816957">
    <w:abstractNumId w:val="6"/>
  </w:num>
  <w:num w:numId="2" w16cid:durableId="1332173334">
    <w:abstractNumId w:val="4"/>
  </w:num>
  <w:num w:numId="3" w16cid:durableId="1249778054">
    <w:abstractNumId w:val="8"/>
  </w:num>
  <w:num w:numId="4" w16cid:durableId="1732538848">
    <w:abstractNumId w:val="1"/>
  </w:num>
  <w:num w:numId="5" w16cid:durableId="90008923">
    <w:abstractNumId w:val="0"/>
  </w:num>
  <w:num w:numId="6" w16cid:durableId="1904637377">
    <w:abstractNumId w:val="3"/>
  </w:num>
  <w:num w:numId="7" w16cid:durableId="1954170989">
    <w:abstractNumId w:val="5"/>
  </w:num>
  <w:num w:numId="8" w16cid:durableId="1739016244">
    <w:abstractNumId w:val="2"/>
  </w:num>
  <w:num w:numId="9" w16cid:durableId="13569310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42B"/>
    <w:rsid w:val="00010FDD"/>
    <w:rsid w:val="000136C3"/>
    <w:rsid w:val="0002185E"/>
    <w:rsid w:val="00052A58"/>
    <w:rsid w:val="00061AD3"/>
    <w:rsid w:val="0007049C"/>
    <w:rsid w:val="000B1FED"/>
    <w:rsid w:val="000B698E"/>
    <w:rsid w:val="000E4550"/>
    <w:rsid w:val="000E4E09"/>
    <w:rsid w:val="000F16D4"/>
    <w:rsid w:val="0011767D"/>
    <w:rsid w:val="00117744"/>
    <w:rsid w:val="00126B82"/>
    <w:rsid w:val="00135370"/>
    <w:rsid w:val="001627A2"/>
    <w:rsid w:val="00194852"/>
    <w:rsid w:val="001A35ED"/>
    <w:rsid w:val="001F2EE5"/>
    <w:rsid w:val="00214E6B"/>
    <w:rsid w:val="00220907"/>
    <w:rsid w:val="002355EE"/>
    <w:rsid w:val="00240BDC"/>
    <w:rsid w:val="002874CE"/>
    <w:rsid w:val="002A1052"/>
    <w:rsid w:val="002B24FD"/>
    <w:rsid w:val="002B442B"/>
    <w:rsid w:val="002B78D1"/>
    <w:rsid w:val="002C0E0D"/>
    <w:rsid w:val="0031117C"/>
    <w:rsid w:val="00313836"/>
    <w:rsid w:val="00352655"/>
    <w:rsid w:val="00375FAF"/>
    <w:rsid w:val="003849D9"/>
    <w:rsid w:val="003B3325"/>
    <w:rsid w:val="003D0486"/>
    <w:rsid w:val="003D0A21"/>
    <w:rsid w:val="003F44F0"/>
    <w:rsid w:val="004033A1"/>
    <w:rsid w:val="00413836"/>
    <w:rsid w:val="00450A94"/>
    <w:rsid w:val="00467015"/>
    <w:rsid w:val="00472437"/>
    <w:rsid w:val="0048211A"/>
    <w:rsid w:val="00490E6C"/>
    <w:rsid w:val="004A5B42"/>
    <w:rsid w:val="004C3CE9"/>
    <w:rsid w:val="004F07B4"/>
    <w:rsid w:val="004F216F"/>
    <w:rsid w:val="00520377"/>
    <w:rsid w:val="005371A1"/>
    <w:rsid w:val="00540565"/>
    <w:rsid w:val="005604CB"/>
    <w:rsid w:val="0057647E"/>
    <w:rsid w:val="005A55A5"/>
    <w:rsid w:val="005C32CC"/>
    <w:rsid w:val="005C5FBE"/>
    <w:rsid w:val="005C6B47"/>
    <w:rsid w:val="005D242E"/>
    <w:rsid w:val="005F73A8"/>
    <w:rsid w:val="006238AA"/>
    <w:rsid w:val="0065487D"/>
    <w:rsid w:val="00667243"/>
    <w:rsid w:val="0067363E"/>
    <w:rsid w:val="0068439F"/>
    <w:rsid w:val="006A6920"/>
    <w:rsid w:val="006C2A73"/>
    <w:rsid w:val="006D7FA9"/>
    <w:rsid w:val="006E15DD"/>
    <w:rsid w:val="006E2FBA"/>
    <w:rsid w:val="006F3870"/>
    <w:rsid w:val="006F52D5"/>
    <w:rsid w:val="006F6053"/>
    <w:rsid w:val="00754C2C"/>
    <w:rsid w:val="007604A2"/>
    <w:rsid w:val="0077433B"/>
    <w:rsid w:val="00777EDD"/>
    <w:rsid w:val="00781F8F"/>
    <w:rsid w:val="00784797"/>
    <w:rsid w:val="00785C47"/>
    <w:rsid w:val="007B2859"/>
    <w:rsid w:val="007C2D27"/>
    <w:rsid w:val="007E10EB"/>
    <w:rsid w:val="007F1B7E"/>
    <w:rsid w:val="007F2399"/>
    <w:rsid w:val="008059B1"/>
    <w:rsid w:val="00820278"/>
    <w:rsid w:val="00823C05"/>
    <w:rsid w:val="00850386"/>
    <w:rsid w:val="008535BC"/>
    <w:rsid w:val="00860D56"/>
    <w:rsid w:val="00887E3C"/>
    <w:rsid w:val="00891F0A"/>
    <w:rsid w:val="008953B1"/>
    <w:rsid w:val="00897ED1"/>
    <w:rsid w:val="008C5420"/>
    <w:rsid w:val="008D6898"/>
    <w:rsid w:val="008E1BCE"/>
    <w:rsid w:val="008E2D4F"/>
    <w:rsid w:val="008F2963"/>
    <w:rsid w:val="0096477C"/>
    <w:rsid w:val="009867D9"/>
    <w:rsid w:val="00996856"/>
    <w:rsid w:val="009A4B3C"/>
    <w:rsid w:val="009A7E25"/>
    <w:rsid w:val="009D5B7C"/>
    <w:rsid w:val="009E0CD0"/>
    <w:rsid w:val="009E2CFB"/>
    <w:rsid w:val="009F7478"/>
    <w:rsid w:val="00A00B6C"/>
    <w:rsid w:val="00A0567C"/>
    <w:rsid w:val="00A06EE1"/>
    <w:rsid w:val="00A25438"/>
    <w:rsid w:val="00A334B0"/>
    <w:rsid w:val="00A47861"/>
    <w:rsid w:val="00A660AB"/>
    <w:rsid w:val="00A8138F"/>
    <w:rsid w:val="00A82530"/>
    <w:rsid w:val="00AA4D06"/>
    <w:rsid w:val="00AC05D0"/>
    <w:rsid w:val="00B26BF5"/>
    <w:rsid w:val="00B27C5E"/>
    <w:rsid w:val="00B55AFC"/>
    <w:rsid w:val="00B67D50"/>
    <w:rsid w:val="00B76DD0"/>
    <w:rsid w:val="00B81C15"/>
    <w:rsid w:val="00BA0634"/>
    <w:rsid w:val="00BB07F6"/>
    <w:rsid w:val="00BB6901"/>
    <w:rsid w:val="00BC40A6"/>
    <w:rsid w:val="00C55926"/>
    <w:rsid w:val="00C604F5"/>
    <w:rsid w:val="00C630FD"/>
    <w:rsid w:val="00C81CDF"/>
    <w:rsid w:val="00C83C5C"/>
    <w:rsid w:val="00D16C32"/>
    <w:rsid w:val="00D64C86"/>
    <w:rsid w:val="00D933C7"/>
    <w:rsid w:val="00DB5449"/>
    <w:rsid w:val="00DE3A44"/>
    <w:rsid w:val="00E02BB9"/>
    <w:rsid w:val="00E36267"/>
    <w:rsid w:val="00E506E6"/>
    <w:rsid w:val="00E94EBD"/>
    <w:rsid w:val="00E97929"/>
    <w:rsid w:val="00EA444F"/>
    <w:rsid w:val="00EC0344"/>
    <w:rsid w:val="00EC1E0A"/>
    <w:rsid w:val="00ED137A"/>
    <w:rsid w:val="00ED3CA2"/>
    <w:rsid w:val="00EF11C1"/>
    <w:rsid w:val="00F0747A"/>
    <w:rsid w:val="00F11334"/>
    <w:rsid w:val="00F47B69"/>
    <w:rsid w:val="00F61D5E"/>
    <w:rsid w:val="00FA2EB6"/>
    <w:rsid w:val="00FB4124"/>
    <w:rsid w:val="00FE40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774A2"/>
  <w15:chartTrackingRefBased/>
  <w15:docId w15:val="{86D8C2EA-7EA5-4A64-827C-30700A7D3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42B"/>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2B442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2B442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B442B"/>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B442B"/>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2B442B"/>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2B442B"/>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2B442B"/>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2B442B"/>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2B442B"/>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4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4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4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4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4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4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4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4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42B"/>
    <w:rPr>
      <w:rFonts w:eastAsiaTheme="majorEastAsia" w:cstheme="majorBidi"/>
      <w:color w:val="272727" w:themeColor="text1" w:themeTint="D8"/>
    </w:rPr>
  </w:style>
  <w:style w:type="paragraph" w:styleId="Title">
    <w:name w:val="Title"/>
    <w:basedOn w:val="Normal"/>
    <w:next w:val="Normal"/>
    <w:link w:val="TitleChar"/>
    <w:uiPriority w:val="10"/>
    <w:qFormat/>
    <w:rsid w:val="002B442B"/>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B44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42B"/>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B44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42B"/>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2B442B"/>
    <w:rPr>
      <w:i/>
      <w:iCs/>
      <w:color w:val="404040" w:themeColor="text1" w:themeTint="BF"/>
    </w:rPr>
  </w:style>
  <w:style w:type="paragraph" w:styleId="ListParagraph">
    <w:name w:val="List Paragraph"/>
    <w:basedOn w:val="Normal"/>
    <w:uiPriority w:val="34"/>
    <w:qFormat/>
    <w:rsid w:val="002B442B"/>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2B442B"/>
    <w:rPr>
      <w:i/>
      <w:iCs/>
      <w:color w:val="0F4761" w:themeColor="accent1" w:themeShade="BF"/>
    </w:rPr>
  </w:style>
  <w:style w:type="paragraph" w:styleId="IntenseQuote">
    <w:name w:val="Intense Quote"/>
    <w:basedOn w:val="Normal"/>
    <w:next w:val="Normal"/>
    <w:link w:val="IntenseQuoteChar"/>
    <w:uiPriority w:val="30"/>
    <w:qFormat/>
    <w:rsid w:val="002B442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2B442B"/>
    <w:rPr>
      <w:i/>
      <w:iCs/>
      <w:color w:val="0F4761" w:themeColor="accent1" w:themeShade="BF"/>
    </w:rPr>
  </w:style>
  <w:style w:type="character" w:styleId="IntenseReference">
    <w:name w:val="Intense Reference"/>
    <w:basedOn w:val="DefaultParagraphFont"/>
    <w:uiPriority w:val="32"/>
    <w:qFormat/>
    <w:rsid w:val="002B442B"/>
    <w:rPr>
      <w:b/>
      <w:bCs/>
      <w:smallCaps/>
      <w:color w:val="0F4761" w:themeColor="accent1" w:themeShade="BF"/>
      <w:spacing w:val="5"/>
    </w:rPr>
  </w:style>
  <w:style w:type="character" w:styleId="Hyperlink">
    <w:name w:val="Hyperlink"/>
    <w:basedOn w:val="DefaultParagraphFont"/>
    <w:uiPriority w:val="99"/>
    <w:unhideWhenUsed/>
    <w:rsid w:val="009D5B7C"/>
    <w:rPr>
      <w:color w:val="467886" w:themeColor="hyperlink"/>
      <w:u w:val="single"/>
    </w:rPr>
  </w:style>
  <w:style w:type="character" w:styleId="UnresolvedMention">
    <w:name w:val="Unresolved Mention"/>
    <w:basedOn w:val="DefaultParagraphFont"/>
    <w:uiPriority w:val="99"/>
    <w:semiHidden/>
    <w:unhideWhenUsed/>
    <w:rsid w:val="00413836"/>
    <w:rPr>
      <w:color w:val="605E5C"/>
      <w:shd w:val="clear" w:color="auto" w:fill="E1DFDD"/>
    </w:rPr>
  </w:style>
  <w:style w:type="paragraph" w:styleId="NoSpacing">
    <w:name w:val="No Spacing"/>
    <w:uiPriority w:val="1"/>
    <w:qFormat/>
    <w:rsid w:val="005371A1"/>
    <w:pPr>
      <w:spacing w:after="0" w:line="240" w:lineRule="auto"/>
    </w:pPr>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e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lobal.toyota/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661</TotalTime>
  <Pages>11</Pages>
  <Words>3768</Words>
  <Characters>21481</Characters>
  <Application>Microsoft Office Word</Application>
  <DocSecurity>0</DocSecurity>
  <Lines>179</Lines>
  <Paragraphs>50</Paragraphs>
  <ScaleCrop>false</ScaleCrop>
  <Company/>
  <LinksUpToDate>false</LinksUpToDate>
  <CharactersWithSpaces>25199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Laassiri</dc:creator>
  <cp:keywords/>
  <dc:description/>
  <cp:lastModifiedBy>Sara Laassiri</cp:lastModifiedBy>
  <cp:revision>152</cp:revision>
  <dcterms:created xsi:type="dcterms:W3CDTF">2025-10-26T10:07:00Z</dcterms:created>
  <dcterms:modified xsi:type="dcterms:W3CDTF">2025-11-09T19:19:00Z</dcterms:modified>
</cp:coreProperties>
</file>