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3A2359" w14:textId="61C2ED82" w:rsidR="00F13186" w:rsidRDefault="00546C0D">
      <w:pPr>
        <w:rPr>
          <w:b/>
          <w:bCs/>
        </w:rPr>
      </w:pPr>
      <w:proofErr w:type="gramStart"/>
      <w:r>
        <w:rPr>
          <w:b/>
          <w:bCs/>
        </w:rPr>
        <w:t>Name..</w:t>
      </w:r>
      <w:proofErr w:type="gramEnd"/>
      <w:r w:rsidR="00E57F94">
        <w:rPr>
          <w:b/>
          <w:bCs/>
        </w:rPr>
        <w:t xml:space="preserve"> </w:t>
      </w:r>
      <w:r w:rsidR="00526854">
        <w:rPr>
          <w:b/>
          <w:bCs/>
        </w:rPr>
        <w:t>Julie Shehzad</w:t>
      </w:r>
    </w:p>
    <w:p w14:paraId="4CC9549A" w14:textId="383D7E5E" w:rsidR="00546C0D" w:rsidRDefault="00E57F94">
      <w:pPr>
        <w:rPr>
          <w:b/>
          <w:bCs/>
        </w:rPr>
      </w:pPr>
      <w:r>
        <w:rPr>
          <w:b/>
          <w:bCs/>
        </w:rPr>
        <w:t xml:space="preserve">Student </w:t>
      </w:r>
      <w:proofErr w:type="gramStart"/>
      <w:r>
        <w:rPr>
          <w:b/>
          <w:bCs/>
        </w:rPr>
        <w:t>number..</w:t>
      </w:r>
      <w:proofErr w:type="gramEnd"/>
      <w:r w:rsidR="00526854">
        <w:rPr>
          <w:b/>
          <w:bCs/>
        </w:rPr>
        <w:t>2409972</w:t>
      </w:r>
    </w:p>
    <w:p w14:paraId="5872CE73" w14:textId="0E059162" w:rsidR="00E57F94" w:rsidRDefault="00E57F94">
      <w:pPr>
        <w:rPr>
          <w:b/>
          <w:bCs/>
        </w:rPr>
      </w:pPr>
      <w:r>
        <w:rPr>
          <w:b/>
          <w:bCs/>
        </w:rPr>
        <w:t xml:space="preserve">Module </w:t>
      </w:r>
      <w:proofErr w:type="gramStart"/>
      <w:r>
        <w:rPr>
          <w:b/>
          <w:bCs/>
        </w:rPr>
        <w:t>code..</w:t>
      </w:r>
      <w:proofErr w:type="gramEnd"/>
      <w:r w:rsidR="00526854">
        <w:rPr>
          <w:b/>
          <w:bCs/>
        </w:rPr>
        <w:t>BM</w:t>
      </w:r>
      <w:r w:rsidR="0099639A">
        <w:rPr>
          <w:b/>
          <w:bCs/>
        </w:rPr>
        <w:t>HP2016</w:t>
      </w:r>
    </w:p>
    <w:p w14:paraId="654C6317" w14:textId="02FEDC3E" w:rsidR="00E57F94" w:rsidRDefault="00E57F94">
      <w:pPr>
        <w:rPr>
          <w:b/>
          <w:bCs/>
        </w:rPr>
      </w:pPr>
      <w:r>
        <w:rPr>
          <w:b/>
          <w:bCs/>
        </w:rPr>
        <w:t xml:space="preserve">Assignment </w:t>
      </w:r>
      <w:proofErr w:type="spellStart"/>
      <w:r>
        <w:rPr>
          <w:b/>
          <w:bCs/>
        </w:rPr>
        <w:t>title..</w:t>
      </w:r>
      <w:r w:rsidR="0099639A">
        <w:rPr>
          <w:b/>
          <w:bCs/>
        </w:rPr>
        <w:t>COMPNENT</w:t>
      </w:r>
      <w:proofErr w:type="spellEnd"/>
      <w:r w:rsidR="0099639A">
        <w:rPr>
          <w:b/>
          <w:bCs/>
        </w:rPr>
        <w:t xml:space="preserve"> 2</w:t>
      </w:r>
    </w:p>
    <w:p w14:paraId="73EC5170" w14:textId="77777777" w:rsidR="00F13186" w:rsidRDefault="00F13186">
      <w:pPr>
        <w:rPr>
          <w:b/>
          <w:bCs/>
        </w:rPr>
      </w:pPr>
    </w:p>
    <w:p w14:paraId="4906E03C" w14:textId="77777777" w:rsidR="00F13186" w:rsidRDefault="00F13186">
      <w:pPr>
        <w:rPr>
          <w:b/>
          <w:bCs/>
        </w:rPr>
      </w:pPr>
    </w:p>
    <w:p w14:paraId="3987DC9A" w14:textId="77777777" w:rsidR="00F13186" w:rsidRDefault="00F13186">
      <w:pPr>
        <w:rPr>
          <w:b/>
          <w:bCs/>
        </w:rPr>
      </w:pPr>
    </w:p>
    <w:p w14:paraId="6AE51586" w14:textId="77777777" w:rsidR="00F13186" w:rsidRDefault="00F13186">
      <w:pPr>
        <w:rPr>
          <w:b/>
          <w:bCs/>
        </w:rPr>
      </w:pPr>
    </w:p>
    <w:p w14:paraId="1602ADE0" w14:textId="77777777" w:rsidR="00F13186" w:rsidRDefault="00F13186">
      <w:pPr>
        <w:rPr>
          <w:b/>
          <w:bCs/>
        </w:rPr>
      </w:pPr>
    </w:p>
    <w:p w14:paraId="0EA19A56" w14:textId="74195FEE" w:rsidR="00F669E4" w:rsidRDefault="005C0D7B">
      <w:pPr>
        <w:rPr>
          <w:b/>
          <w:bCs/>
        </w:rPr>
      </w:pPr>
      <w:r>
        <w:rPr>
          <w:b/>
          <w:bCs/>
        </w:rPr>
        <w:t xml:space="preserve"> </w:t>
      </w:r>
      <w:r w:rsidR="00F669E4">
        <w:rPr>
          <w:b/>
          <w:bCs/>
        </w:rPr>
        <w:t xml:space="preserve">Evaluation of </w:t>
      </w:r>
      <w:proofErr w:type="gramStart"/>
      <w:r w:rsidR="00F669E4">
        <w:rPr>
          <w:b/>
          <w:bCs/>
        </w:rPr>
        <w:t>person centred</w:t>
      </w:r>
      <w:proofErr w:type="gramEnd"/>
      <w:r w:rsidR="00F669E4">
        <w:rPr>
          <w:b/>
          <w:bCs/>
        </w:rPr>
        <w:t xml:space="preserve"> care and partnership working in health and social care </w:t>
      </w:r>
      <w:r w:rsidR="00097B03">
        <w:rPr>
          <w:b/>
          <w:bCs/>
        </w:rPr>
        <w:t>practice.</w:t>
      </w:r>
    </w:p>
    <w:p w14:paraId="345D5311" w14:textId="77777777" w:rsidR="00F669E4" w:rsidRDefault="00F669E4">
      <w:pPr>
        <w:rPr>
          <w:b/>
          <w:bCs/>
        </w:rPr>
      </w:pPr>
    </w:p>
    <w:p w14:paraId="29428508" w14:textId="10083599" w:rsidR="00F669E4" w:rsidRDefault="00F669E4" w:rsidP="00F669E4">
      <w:pPr>
        <w:pStyle w:val="ListParagraph"/>
        <w:numPr>
          <w:ilvl w:val="0"/>
          <w:numId w:val="1"/>
        </w:numPr>
        <w:rPr>
          <w:b/>
          <w:bCs/>
        </w:rPr>
      </w:pPr>
      <w:r>
        <w:rPr>
          <w:b/>
          <w:bCs/>
        </w:rPr>
        <w:t>Introduction</w:t>
      </w:r>
    </w:p>
    <w:p w14:paraId="047956C8" w14:textId="088C67B9" w:rsidR="00F669E4" w:rsidRDefault="00F669E4" w:rsidP="00F669E4">
      <w:pPr>
        <w:ind w:left="360"/>
      </w:pPr>
      <w:r>
        <w:t xml:space="preserve">Person centred care (PCC) and partnership working (PW) are central to modern health and social care in the </w:t>
      </w:r>
      <w:r w:rsidR="00097B03">
        <w:t>United Kingdom</w:t>
      </w:r>
      <w:r>
        <w:t xml:space="preserve">, shaping the delivery of compassionate, collaborative, and effective care. Both approaches emphasise treating individuals as active participants in their care rather than passive recipients. The importance of these frameworks has been re enforced through government policy and professional codes that advocate for dignity, autonomy, and respect within the care setting (Department of health and social </w:t>
      </w:r>
      <w:proofErr w:type="gramStart"/>
      <w:r w:rsidR="00097B03">
        <w:t>care( DHSC</w:t>
      </w:r>
      <w:proofErr w:type="gramEnd"/>
      <w:r>
        <w:t>), (2021).</w:t>
      </w:r>
    </w:p>
    <w:p w14:paraId="6B58D052" w14:textId="493CBBA5" w:rsidR="00097B03" w:rsidRDefault="00F669E4" w:rsidP="00097B03">
      <w:pPr>
        <w:ind w:left="360"/>
      </w:pPr>
      <w:r>
        <w:t xml:space="preserve">This report evaluates the principles and practises of PCC and PW in community mental health services. It explores the benefits and </w:t>
      </w:r>
      <w:r w:rsidR="00097B03">
        <w:t>limitations</w:t>
      </w:r>
      <w:r>
        <w:t xml:space="preserve"> of PCC, critically analyses McCormack and </w:t>
      </w:r>
      <w:r w:rsidR="00097B03">
        <w:t>McCance’s</w:t>
      </w:r>
      <w:r>
        <w:t xml:space="preserve"> person centred nursing framework, and examines ethical foundations underpinning care. It also evaluates partnership working, its application within community mental health, and </w:t>
      </w:r>
      <w:r w:rsidR="00097B03">
        <w:t>relevant</w:t>
      </w:r>
      <w:r>
        <w:t xml:space="preserve"> policy and legislation. Finally, it provides </w:t>
      </w:r>
      <w:r w:rsidR="00097B03">
        <w:t>recommendations</w:t>
      </w:r>
      <w:r>
        <w:t xml:space="preserve"> for enhancing the </w:t>
      </w:r>
      <w:r w:rsidR="00097B03">
        <w:t>integration</w:t>
      </w:r>
      <w:r>
        <w:t xml:space="preserve"> of PCC and PW </w:t>
      </w:r>
      <w:r w:rsidR="00097B03">
        <w:t xml:space="preserve">across </w:t>
      </w:r>
      <w:proofErr w:type="spellStart"/>
      <w:r w:rsidR="00097B03">
        <w:t>Uk</w:t>
      </w:r>
      <w:proofErr w:type="spellEnd"/>
      <w:r w:rsidR="00097B03">
        <w:t xml:space="preserve"> health and social care.</w:t>
      </w:r>
    </w:p>
    <w:p w14:paraId="68A8B595" w14:textId="77777777" w:rsidR="00097B03" w:rsidRDefault="00097B03" w:rsidP="00097B03">
      <w:pPr>
        <w:ind w:left="360"/>
      </w:pPr>
    </w:p>
    <w:p w14:paraId="7902C09E" w14:textId="06ED0208" w:rsidR="00097B03" w:rsidRDefault="00097B03" w:rsidP="00097B03">
      <w:pPr>
        <w:pStyle w:val="ListParagraph"/>
        <w:numPr>
          <w:ilvl w:val="0"/>
          <w:numId w:val="1"/>
        </w:numPr>
        <w:rPr>
          <w:b/>
          <w:bCs/>
        </w:rPr>
      </w:pPr>
      <w:r>
        <w:rPr>
          <w:b/>
          <w:bCs/>
        </w:rPr>
        <w:t xml:space="preserve">Definition and evaluation of </w:t>
      </w:r>
      <w:proofErr w:type="gramStart"/>
      <w:r>
        <w:rPr>
          <w:b/>
          <w:bCs/>
        </w:rPr>
        <w:t>person centred</w:t>
      </w:r>
      <w:proofErr w:type="gramEnd"/>
      <w:r>
        <w:rPr>
          <w:b/>
          <w:bCs/>
        </w:rPr>
        <w:t xml:space="preserve"> care.</w:t>
      </w:r>
    </w:p>
    <w:p w14:paraId="65D458AE" w14:textId="77777777" w:rsidR="00097B03" w:rsidRDefault="00097B03" w:rsidP="00097B03">
      <w:pPr>
        <w:pStyle w:val="ListParagraph"/>
        <w:rPr>
          <w:b/>
          <w:bCs/>
        </w:rPr>
      </w:pPr>
    </w:p>
    <w:p w14:paraId="5E18C841" w14:textId="77777777" w:rsidR="00097B03" w:rsidRDefault="00097B03" w:rsidP="00097B03">
      <w:r>
        <w:t xml:space="preserve">Person centred care is an approach that places individual at the centre of their care decisions, respecting their preferences, beliefs, and values (NHS England,2023). It prioritises seeing the person </w:t>
      </w:r>
      <w:proofErr w:type="gramStart"/>
      <w:r>
        <w:t>“ behind</w:t>
      </w:r>
      <w:proofErr w:type="gramEnd"/>
      <w:r>
        <w:t xml:space="preserve"> the diagnosis” acknowledging their lived </w:t>
      </w:r>
      <w:r>
        <w:lastRenderedPageBreak/>
        <w:t>experiences, and promoting empowerment and choice (McCormick and McCance, 2017). The Care Quality Commission (CQC,2022) describes PCC as providing care that is tailored to meet personal needs while ensuring dignity, compassion, and respect.</w:t>
      </w:r>
    </w:p>
    <w:p w14:paraId="6911F193" w14:textId="77777777" w:rsidR="00097B03" w:rsidRDefault="00097B03" w:rsidP="00097B03">
      <w:pPr>
        <w:rPr>
          <w:b/>
          <w:bCs/>
        </w:rPr>
      </w:pPr>
      <w:r>
        <w:rPr>
          <w:b/>
          <w:bCs/>
        </w:rPr>
        <w:t>Benefits of PCC</w:t>
      </w:r>
    </w:p>
    <w:p w14:paraId="5AF414AE" w14:textId="77777777" w:rsidR="000B295E" w:rsidRDefault="00097B03" w:rsidP="00097B03">
      <w:r>
        <w:t xml:space="preserve">The benefits of PCC are well documented. Research suggests that PCC leads to improved patient satisfaction, better adherence to treatment, and enhanced health outcomes (Santana at el,.2018). Within mental health settings PCC helps to build trust and reduce stigma by promoting equality between professional’s and service users. It also improves communication and engagement, fostering a </w:t>
      </w:r>
      <w:proofErr w:type="gramStart"/>
      <w:r>
        <w:t>recovery oriented</w:t>
      </w:r>
      <w:proofErr w:type="gramEnd"/>
      <w:r>
        <w:t xml:space="preserve"> approach (Slade,2017). Moreover, staff working with PCC frameworks often report greater professional satisfaction due to more meaningful patient interactions </w:t>
      </w:r>
      <w:r w:rsidR="000B295E">
        <w:t>(McCormack and McCance,2017).</w:t>
      </w:r>
    </w:p>
    <w:p w14:paraId="46E29BBE" w14:textId="77777777" w:rsidR="000B295E" w:rsidRDefault="000B295E" w:rsidP="00097B03"/>
    <w:p w14:paraId="606D2EAE" w14:textId="63E48650" w:rsidR="000B295E" w:rsidRDefault="000B295E" w:rsidP="00097B03">
      <w:pPr>
        <w:rPr>
          <w:b/>
          <w:bCs/>
        </w:rPr>
      </w:pPr>
      <w:r>
        <w:rPr>
          <w:b/>
          <w:bCs/>
        </w:rPr>
        <w:t>Limitations Of PCC</w:t>
      </w:r>
    </w:p>
    <w:p w14:paraId="62D552F0" w14:textId="5360D2B8" w:rsidR="003A379F" w:rsidRDefault="000B295E" w:rsidP="003A379F">
      <w:r>
        <w:t xml:space="preserve">Despite its advantages, PCC faces practical challenges. Time pressures, staff shortages, and heavy </w:t>
      </w:r>
      <w:proofErr w:type="spellStart"/>
      <w:r>
        <w:t>case loads</w:t>
      </w:r>
      <w:proofErr w:type="spellEnd"/>
      <w:r>
        <w:t xml:space="preserve"> often limit the ability to deliver truly individualised </w:t>
      </w:r>
      <w:proofErr w:type="gramStart"/>
      <w:r>
        <w:t>care  (</w:t>
      </w:r>
      <w:proofErr w:type="gramEnd"/>
      <w:r>
        <w:t xml:space="preserve">NHS confederation,2020). Organisational cultures focuses on targets and risk managements can conflict with the </w:t>
      </w:r>
      <w:proofErr w:type="gramStart"/>
      <w:r>
        <w:t xml:space="preserve">flexibility </w:t>
      </w:r>
      <w:r w:rsidR="005C0D7B">
        <w:t xml:space="preserve"> </w:t>
      </w:r>
      <w:r w:rsidR="003A379F">
        <w:t>needed</w:t>
      </w:r>
      <w:proofErr w:type="gramEnd"/>
      <w:r w:rsidR="003A379F">
        <w:t xml:space="preserve"> for person-centred approaches. Additionally, communication barriers and lack of service-user involvement in care planning can undermine PCC principles (Redding, 2016). Therefore, while PCC is the ideal standard, its implementation requires sufficient resources, training, and leadership commitment.</w:t>
      </w:r>
    </w:p>
    <w:p w14:paraId="2CDBBBC6" w14:textId="77777777" w:rsidR="003A379F" w:rsidRDefault="003A379F" w:rsidP="003A379F"/>
    <w:p w14:paraId="039EA35A" w14:textId="62832CD6" w:rsidR="003A379F" w:rsidRPr="00541B64" w:rsidRDefault="003A379F" w:rsidP="003A379F">
      <w:pPr>
        <w:rPr>
          <w:b/>
          <w:bCs/>
        </w:rPr>
      </w:pPr>
      <w:r w:rsidRPr="00541B64">
        <w:rPr>
          <w:b/>
          <w:bCs/>
        </w:rPr>
        <w:t>3. Theoretical Framework: McCormack &amp; McCance Person-Centred Nursing Framework</w:t>
      </w:r>
    </w:p>
    <w:p w14:paraId="77ED54A9" w14:textId="77777777" w:rsidR="003A379F" w:rsidRDefault="003A379F" w:rsidP="003A379F"/>
    <w:p w14:paraId="66D5D499" w14:textId="77777777" w:rsidR="003A379F" w:rsidRDefault="003A379F" w:rsidP="003A379F">
      <w:r>
        <w:t>The McCormack and McCance Person-Centred Nursing Framework (2017) provides a structured model for delivering PCC. It identifies four key components: prerequisites, care environment, person-centred processes, and expected outcomes.</w:t>
      </w:r>
    </w:p>
    <w:p w14:paraId="3449DF81" w14:textId="77777777" w:rsidR="003A379F" w:rsidRDefault="003A379F" w:rsidP="003A379F">
      <w:r>
        <w:tab/>
        <w:t>•</w:t>
      </w:r>
      <w:r>
        <w:tab/>
        <w:t>Prerequisites relate to the qualities of the healthcare professional, such as commitment, empathy, and self-awareness.</w:t>
      </w:r>
    </w:p>
    <w:p w14:paraId="11101D40" w14:textId="77777777" w:rsidR="003A379F" w:rsidRDefault="003A379F" w:rsidP="003A379F">
      <w:r>
        <w:tab/>
        <w:t>•</w:t>
      </w:r>
      <w:r>
        <w:tab/>
        <w:t>The care environment refers to the organisational culture, leadership, and teamwork that support person-centred practice.</w:t>
      </w:r>
    </w:p>
    <w:p w14:paraId="323EDB5F" w14:textId="77777777" w:rsidR="003A379F" w:rsidRDefault="003A379F" w:rsidP="003A379F">
      <w:r>
        <w:tab/>
        <w:t>•</w:t>
      </w:r>
      <w:r>
        <w:tab/>
        <w:t>Person-centred processes involve active engagement, shared decision-making, and authentic relationships with service users.</w:t>
      </w:r>
    </w:p>
    <w:p w14:paraId="30728B0D" w14:textId="77777777" w:rsidR="003A379F" w:rsidRDefault="003A379F" w:rsidP="003A379F">
      <w:r>
        <w:lastRenderedPageBreak/>
        <w:tab/>
        <w:t>•</w:t>
      </w:r>
      <w:r>
        <w:tab/>
        <w:t>The outcomes include satisfaction, well-being, and a sense of empowerment for both patients and staff (McCormack &amp; McCance, 2017).</w:t>
      </w:r>
    </w:p>
    <w:p w14:paraId="354D4CC3" w14:textId="77777777" w:rsidR="003A379F" w:rsidRDefault="003A379F" w:rsidP="003A379F"/>
    <w:p w14:paraId="7186A2EA" w14:textId="77777777" w:rsidR="003A379F" w:rsidRDefault="003A379F" w:rsidP="003A379F">
      <w:r>
        <w:t>In community mental health, this model encourages practitioners to understand the person’s story, promote recovery, and tailor support to individual goals. It also highlights the importance of reflective practice and emotional intelligence in promoting therapeutic relationships.</w:t>
      </w:r>
    </w:p>
    <w:p w14:paraId="5524CF30" w14:textId="77777777" w:rsidR="003A379F" w:rsidRPr="00541B64" w:rsidRDefault="003A379F" w:rsidP="003A379F">
      <w:pPr>
        <w:rPr>
          <w:b/>
          <w:bCs/>
        </w:rPr>
      </w:pPr>
    </w:p>
    <w:p w14:paraId="002D38BC" w14:textId="77777777" w:rsidR="003A379F" w:rsidRPr="00541B64" w:rsidRDefault="003A379F" w:rsidP="003A379F">
      <w:pPr>
        <w:rPr>
          <w:b/>
          <w:bCs/>
        </w:rPr>
      </w:pPr>
      <w:r w:rsidRPr="00541B64">
        <w:rPr>
          <w:b/>
          <w:bCs/>
        </w:rPr>
        <w:t>Critical Evaluation</w:t>
      </w:r>
    </w:p>
    <w:p w14:paraId="61E64508" w14:textId="77777777" w:rsidR="003A379F" w:rsidRDefault="003A379F" w:rsidP="003A379F"/>
    <w:p w14:paraId="59F341B6" w14:textId="77777777" w:rsidR="003A379F" w:rsidRDefault="003A379F" w:rsidP="003A379F">
      <w:r>
        <w:t>A strength of this model is its holistic nature—it integrates psychological, emotional, and organisational aspects of care (Dewing &amp; McCormack, 2019). It provides a clear framework for embedding PCC into daily practice while supporting professional accountability. However, its limitation lies in its complexity; applying it consistently across diverse teams and services can be challenging. The model also assumes adequate time and resources, which may not always be available in community settings. Nevertheless, it remains a valuable foundation for guiding compassionate, evidence-based mental health care.</w:t>
      </w:r>
    </w:p>
    <w:p w14:paraId="642CCA5E" w14:textId="77777777" w:rsidR="003A379F" w:rsidRDefault="003A379F" w:rsidP="003A379F"/>
    <w:p w14:paraId="46F768AE" w14:textId="031357FE" w:rsidR="003A379F" w:rsidRPr="00541B64" w:rsidRDefault="003A379F" w:rsidP="003A379F">
      <w:pPr>
        <w:rPr>
          <w:b/>
          <w:bCs/>
        </w:rPr>
      </w:pPr>
      <w:r w:rsidRPr="00541B64">
        <w:rPr>
          <w:b/>
          <w:bCs/>
        </w:rPr>
        <w:t>4. Ethical Fundamentals in Health and Social Care</w:t>
      </w:r>
    </w:p>
    <w:p w14:paraId="1C77BCC5" w14:textId="77777777" w:rsidR="003A379F" w:rsidRDefault="003A379F" w:rsidP="003A379F"/>
    <w:p w14:paraId="38919813" w14:textId="77777777" w:rsidR="003A379F" w:rsidRDefault="003A379F" w:rsidP="003A379F">
      <w:r>
        <w:t>Ethics are central to both PCC and PW. The four core principles—autonomy, beneficence, non-maleficence, and justice—form the ethical foundation of health and social care (Beauchamp &amp; Childress, 2019).</w:t>
      </w:r>
    </w:p>
    <w:p w14:paraId="4483E7D2" w14:textId="77777777" w:rsidR="003A379F" w:rsidRDefault="003A379F" w:rsidP="003A379F">
      <w:r>
        <w:tab/>
        <w:t>•</w:t>
      </w:r>
      <w:r>
        <w:tab/>
        <w:t>Autonomy promotes individual choice and informed consent, essential in mental health contexts where service users’ decision-making capacity may fluctuate.</w:t>
      </w:r>
    </w:p>
    <w:p w14:paraId="136131BE" w14:textId="77777777" w:rsidR="003A379F" w:rsidRDefault="003A379F" w:rsidP="003A379F">
      <w:r>
        <w:tab/>
        <w:t>•</w:t>
      </w:r>
      <w:r>
        <w:tab/>
        <w:t>Beneficence ensures that professionals act in the person’s best interest.</w:t>
      </w:r>
    </w:p>
    <w:p w14:paraId="12BE0052" w14:textId="77777777" w:rsidR="003A379F" w:rsidRDefault="003A379F" w:rsidP="003A379F">
      <w:r>
        <w:tab/>
        <w:t>•</w:t>
      </w:r>
      <w:r>
        <w:tab/>
        <w:t>Non-maleficence requires avoidance of harm, including emotional or psychological distress.</w:t>
      </w:r>
    </w:p>
    <w:p w14:paraId="1E1F0968" w14:textId="77777777" w:rsidR="003A379F" w:rsidRDefault="003A379F" w:rsidP="003A379F">
      <w:r>
        <w:tab/>
        <w:t>•</w:t>
      </w:r>
      <w:r>
        <w:tab/>
        <w:t>Justice involves fairness, equality, and respect for human rights.</w:t>
      </w:r>
    </w:p>
    <w:p w14:paraId="27B8966D" w14:textId="77777777" w:rsidR="003A379F" w:rsidRDefault="003A379F" w:rsidP="003A379F"/>
    <w:p w14:paraId="6F6F9D8D" w14:textId="77777777" w:rsidR="003A379F" w:rsidRDefault="003A379F" w:rsidP="003A379F">
      <w:r>
        <w:t xml:space="preserve">The Nursing and Midwifery Council (NMC, 2018) Code reinforces these principles, emphasising respect, confidentiality, and professional integrity. Similarly, the Health </w:t>
      </w:r>
      <w:r>
        <w:lastRenderedPageBreak/>
        <w:t>and Care Professions Council (HCPC, 2023) highlights accountability and ethical decision-making in interprofessional practice.</w:t>
      </w:r>
    </w:p>
    <w:p w14:paraId="27FC0EC7" w14:textId="77777777" w:rsidR="003A379F" w:rsidRDefault="003A379F" w:rsidP="003A379F"/>
    <w:p w14:paraId="0BCFB8FF" w14:textId="77777777" w:rsidR="003A379F" w:rsidRDefault="003A379F" w:rsidP="003A379F">
      <w:r>
        <w:t>In community mental health, ethical dilemmas often arise regarding confidentiality, consent, and safeguarding. For example, when a person expresses suicidal thoughts, professionals must balance respect for autonomy with their duty of care. Effective communication and collaborative decision-making can help resolve such tensions, ensuring both ethical compliance and compassionate care (Banks, 2020).</w:t>
      </w:r>
    </w:p>
    <w:p w14:paraId="3AF8B3CD" w14:textId="77777777" w:rsidR="003A379F" w:rsidRPr="009317B5" w:rsidRDefault="003A379F" w:rsidP="003A379F">
      <w:pPr>
        <w:rPr>
          <w:b/>
          <w:bCs/>
        </w:rPr>
      </w:pPr>
    </w:p>
    <w:p w14:paraId="5D156AD0" w14:textId="77777777" w:rsidR="00102B99" w:rsidRDefault="003A379F" w:rsidP="003A379F">
      <w:pPr>
        <w:rPr>
          <w:b/>
          <w:bCs/>
        </w:rPr>
      </w:pPr>
      <w:r w:rsidRPr="009317B5">
        <w:rPr>
          <w:b/>
          <w:bCs/>
        </w:rPr>
        <w:t>5. Evaluation of Partnership Working</w:t>
      </w:r>
    </w:p>
    <w:p w14:paraId="6C9F0AB8" w14:textId="79376472" w:rsidR="003A379F" w:rsidRPr="009317B5" w:rsidRDefault="003A379F" w:rsidP="003A379F">
      <w:pPr>
        <w:rPr>
          <w:b/>
          <w:bCs/>
        </w:rPr>
      </w:pPr>
      <w:r>
        <w:t>Partnership Working (PW) refers to professionals and organisations collaborating to provide coordinated, holistic care (Social Care Institute for Excellence [SCIE], 2022). It involves shared decision-making, resource pooling, and joint accountability among health, social, and voluntary sectors.</w:t>
      </w:r>
    </w:p>
    <w:p w14:paraId="2C6B2FA7" w14:textId="77777777" w:rsidR="003A379F" w:rsidRPr="009317B5" w:rsidRDefault="003A379F" w:rsidP="003A379F">
      <w:pPr>
        <w:rPr>
          <w:b/>
          <w:bCs/>
        </w:rPr>
      </w:pPr>
    </w:p>
    <w:p w14:paraId="270FE86B" w14:textId="77777777" w:rsidR="003A379F" w:rsidRPr="009317B5" w:rsidRDefault="003A379F" w:rsidP="003A379F">
      <w:pPr>
        <w:rPr>
          <w:b/>
          <w:bCs/>
        </w:rPr>
      </w:pPr>
      <w:r w:rsidRPr="009317B5">
        <w:rPr>
          <w:b/>
          <w:bCs/>
        </w:rPr>
        <w:t>Benefits</w:t>
      </w:r>
    </w:p>
    <w:p w14:paraId="3F6A8020" w14:textId="77777777" w:rsidR="003A379F" w:rsidRDefault="003A379F" w:rsidP="003A379F">
      <w:r>
        <w:t>Effective PW enhances service quality by integrating physical, psychological, and social support. In community mental health, multi-disciplinary teams (MDTs) that include nurses, psychiatrists, social workers, and peer-support specialists can deliver holistic interventions. Studies show that PW improves patient safety, reduces hospital admissions, and promotes continuity of care (Glasby &amp; Dickinson, 2014). Service users benefit from consistent communication and a more seamless care journey.</w:t>
      </w:r>
    </w:p>
    <w:p w14:paraId="73C22F20" w14:textId="77777777" w:rsidR="003A379F" w:rsidRDefault="003A379F" w:rsidP="003A379F"/>
    <w:p w14:paraId="7B96E737" w14:textId="77777777" w:rsidR="003A379F" w:rsidRPr="009317B5" w:rsidRDefault="003A379F" w:rsidP="003A379F">
      <w:pPr>
        <w:rPr>
          <w:b/>
          <w:bCs/>
        </w:rPr>
      </w:pPr>
      <w:r w:rsidRPr="009317B5">
        <w:rPr>
          <w:b/>
          <w:bCs/>
        </w:rPr>
        <w:t>Challenges</w:t>
      </w:r>
    </w:p>
    <w:p w14:paraId="64C93906" w14:textId="77777777" w:rsidR="003A379F" w:rsidRDefault="003A379F" w:rsidP="003A379F">
      <w:r>
        <w:t>However, PW is not without challenges. Differing professional priorities, unequal power dynamics, and limited funding can hinder collaboration (Cameron et al., 2014). Communication breakdowns may lead to fragmented care or duplication of services. Furthermore, confidentiality concerns and differing data systems between NHS and social care organisations can restrict effective information sharing. Overcoming these barriers requires trust, leadership, and clear governance structures.</w:t>
      </w:r>
    </w:p>
    <w:p w14:paraId="169D9637" w14:textId="77777777" w:rsidR="003A379F" w:rsidRDefault="003A379F" w:rsidP="003A379F"/>
    <w:p w14:paraId="2EDA3686" w14:textId="1375A037" w:rsidR="003A379F" w:rsidRPr="00F71012" w:rsidRDefault="003A379F" w:rsidP="003A379F">
      <w:pPr>
        <w:rPr>
          <w:b/>
          <w:bCs/>
        </w:rPr>
      </w:pPr>
      <w:r w:rsidRPr="00F71012">
        <w:rPr>
          <w:b/>
          <w:bCs/>
        </w:rPr>
        <w:t>6. Application of Partnership Working in Community Mental Health</w:t>
      </w:r>
    </w:p>
    <w:p w14:paraId="066CBE31" w14:textId="55AD01FB" w:rsidR="003A379F" w:rsidRDefault="003A379F" w:rsidP="003A379F">
      <w:r>
        <w:t xml:space="preserve">In community mental health, partnership working is fundamental to recovery-focused support. Services such as Community Mental Health Teams (CMHTs) bring together </w:t>
      </w:r>
      <w:r>
        <w:lastRenderedPageBreak/>
        <w:t>professionals from multiple disciplines to support individuals living independently in the community.</w:t>
      </w:r>
    </w:p>
    <w:p w14:paraId="14C90A29" w14:textId="77777777" w:rsidR="003A379F" w:rsidRDefault="003A379F" w:rsidP="003A379F"/>
    <w:p w14:paraId="7F978EBF" w14:textId="77777777" w:rsidR="003A379F" w:rsidRPr="00F71012" w:rsidRDefault="003A379F" w:rsidP="003A379F">
      <w:pPr>
        <w:rPr>
          <w:b/>
          <w:bCs/>
        </w:rPr>
      </w:pPr>
      <w:r w:rsidRPr="00F71012">
        <w:rPr>
          <w:b/>
          <w:bCs/>
        </w:rPr>
        <w:t>Example of Practice</w:t>
      </w:r>
    </w:p>
    <w:p w14:paraId="2BCD46BA" w14:textId="77777777" w:rsidR="003A379F" w:rsidRDefault="003A379F" w:rsidP="003A379F">
      <w:r>
        <w:t>Consider the case of Sarah, a 35-year-old woman with severe depression and anxiety. A CMHT including a mental health nurse, social worker, and psychologist collaborates with Sarah to develop a personalised care plan. The team holds regular multi-agency meetings to monitor her progress, and Sarah actively participates in setting her own recovery goals. Voluntary organisations such as Mind and local housing services are also involved, addressing her social needs and financial stressors.</w:t>
      </w:r>
    </w:p>
    <w:p w14:paraId="7D1F0EAE" w14:textId="77777777" w:rsidR="003A379F" w:rsidRPr="00F71012" w:rsidRDefault="003A379F" w:rsidP="003A379F">
      <w:pPr>
        <w:rPr>
          <w:b/>
          <w:bCs/>
        </w:rPr>
      </w:pPr>
    </w:p>
    <w:p w14:paraId="2B83237F" w14:textId="77777777" w:rsidR="003A379F" w:rsidRPr="00F71012" w:rsidRDefault="003A379F" w:rsidP="003A379F">
      <w:pPr>
        <w:rPr>
          <w:b/>
          <w:bCs/>
        </w:rPr>
      </w:pPr>
      <w:r w:rsidRPr="00F71012">
        <w:rPr>
          <w:b/>
          <w:bCs/>
        </w:rPr>
        <w:t>Evaluation</w:t>
      </w:r>
    </w:p>
    <w:p w14:paraId="60F58365" w14:textId="77777777" w:rsidR="003A379F" w:rsidRDefault="003A379F" w:rsidP="003A379F"/>
    <w:p w14:paraId="45BEA5BD" w14:textId="77777777" w:rsidR="003A379F" w:rsidRDefault="003A379F" w:rsidP="003A379F">
      <w:r>
        <w:t>This example demonstrates how PW supports PCC principles by enabling joint decision-making and recognising the individual as an expert in their own experience. Research indicates that such collaborative models improve engagement and recovery outcomes (NHS England, 2023). Nevertheless, successful implementation depends on clear communication, shared documentation systems, and mutual respect among professionals. Where these elements are lacking, service fragmentation and patient disengagement may occur.</w:t>
      </w:r>
    </w:p>
    <w:p w14:paraId="3DE91AA7" w14:textId="77777777" w:rsidR="003A379F" w:rsidRDefault="003A379F" w:rsidP="003A379F"/>
    <w:p w14:paraId="7DF2E764" w14:textId="679A318F" w:rsidR="003A379F" w:rsidRPr="00F71012" w:rsidRDefault="003A379F" w:rsidP="003A379F">
      <w:pPr>
        <w:rPr>
          <w:b/>
          <w:bCs/>
        </w:rPr>
      </w:pPr>
      <w:r w:rsidRPr="00F71012">
        <w:rPr>
          <w:b/>
          <w:bCs/>
        </w:rPr>
        <w:t>7. Policy and Legislation</w:t>
      </w:r>
    </w:p>
    <w:p w14:paraId="6AA3EC2C" w14:textId="77777777" w:rsidR="003A379F" w:rsidRDefault="003A379F" w:rsidP="003A379F"/>
    <w:p w14:paraId="2DA85623" w14:textId="77777777" w:rsidR="003A379F" w:rsidRDefault="003A379F" w:rsidP="003A379F">
      <w:r>
        <w:t>The UK policy landscape strongly supports PCC and PW. The Health and Social Care Act (2012) introduced the concept of integrated care and placed greater emphasis on service-user choice and control. The Care Act (2014) further reinforced these values, establishing a legal duty for local authorities to promote individual well-being and partnership working.</w:t>
      </w:r>
    </w:p>
    <w:p w14:paraId="2DFD43C0" w14:textId="77777777" w:rsidR="003A379F" w:rsidRDefault="003A379F" w:rsidP="003A379F"/>
    <w:p w14:paraId="681CD7B7" w14:textId="77777777" w:rsidR="003A379F" w:rsidRDefault="003A379F" w:rsidP="003A379F">
      <w:r>
        <w:t>The NHS Long Term Plan (2019) prioritises person-centred, community-based care and aims to improve integration across health and social care systems. It highlights the need for personalised care planning and support for self-management. Similarly, the Mental Capacity Act (2005) ensures that individuals who lack capacity are still involved in decisions as much as possible, upholding autonomy and dignity.</w:t>
      </w:r>
    </w:p>
    <w:p w14:paraId="358C85CF" w14:textId="77777777" w:rsidR="003A379F" w:rsidRDefault="003A379F" w:rsidP="003A379F"/>
    <w:p w14:paraId="6AF6397A" w14:textId="77777777" w:rsidR="003A379F" w:rsidRDefault="003A379F" w:rsidP="003A379F">
      <w:r>
        <w:t>In addition, the Equality Act (2010) protects service users from discrimination, ensuring equitable access to care. Policies such as the Five Year Forward View for Mental Health (NHS England, 2016) promote collaborative, recovery-focused support, aligning with both PCC and PW principles.</w:t>
      </w:r>
    </w:p>
    <w:p w14:paraId="0307F103" w14:textId="77777777" w:rsidR="003A379F" w:rsidRDefault="003A379F" w:rsidP="003A379F"/>
    <w:p w14:paraId="62B5C4F2" w14:textId="77777777" w:rsidR="003A379F" w:rsidRDefault="003A379F" w:rsidP="003A379F">
      <w:r>
        <w:t>Together, these frameworks establish a legal and ethical foundation for professionals to deliver care that respects individuality, promotes equality, and fosters collaboration across sectors.</w:t>
      </w:r>
    </w:p>
    <w:p w14:paraId="72517558" w14:textId="77777777" w:rsidR="003A379F" w:rsidRDefault="003A379F" w:rsidP="003A379F"/>
    <w:p w14:paraId="64BF691E" w14:textId="065E8527" w:rsidR="003A379F" w:rsidRPr="00F71012" w:rsidRDefault="003A379F" w:rsidP="003A379F">
      <w:pPr>
        <w:rPr>
          <w:b/>
          <w:bCs/>
        </w:rPr>
      </w:pPr>
      <w:r w:rsidRPr="00F71012">
        <w:rPr>
          <w:b/>
          <w:bCs/>
        </w:rPr>
        <w:t>8. Recommendations and Future Development</w:t>
      </w:r>
    </w:p>
    <w:p w14:paraId="1E307ECA" w14:textId="77777777" w:rsidR="003A379F" w:rsidRDefault="003A379F" w:rsidP="003A379F"/>
    <w:p w14:paraId="457CCB85" w14:textId="77777777" w:rsidR="003A379F" w:rsidRDefault="003A379F" w:rsidP="003A379F">
      <w:r>
        <w:t>To strengthen the integration of PCC and PW in UK health and social care, several strategies are recommended:</w:t>
      </w:r>
    </w:p>
    <w:p w14:paraId="5F9899BC" w14:textId="77777777" w:rsidR="003A379F" w:rsidRDefault="003A379F" w:rsidP="003A379F">
      <w:r>
        <w:tab/>
        <w:t>1.</w:t>
      </w:r>
      <w:r>
        <w:tab/>
        <w:t>Enhanced Training: Continuous professional development focusing on communication, empathy, and cultural competence should be prioritised to ensure consistent PCC delivery (CQC, 2022).</w:t>
      </w:r>
    </w:p>
    <w:p w14:paraId="7C4EBB20" w14:textId="77777777" w:rsidR="003A379F" w:rsidRDefault="003A379F" w:rsidP="003A379F">
      <w:r>
        <w:tab/>
        <w:t>2.</w:t>
      </w:r>
      <w:r>
        <w:tab/>
        <w:t>Improved Digital Integration: Shared electronic health records could facilitate smoother information exchange between health and social care providers.</w:t>
      </w:r>
    </w:p>
    <w:p w14:paraId="736DC829" w14:textId="77777777" w:rsidR="003A379F" w:rsidRDefault="003A379F" w:rsidP="003A379F">
      <w:r>
        <w:tab/>
        <w:t>3.</w:t>
      </w:r>
      <w:r>
        <w:tab/>
        <w:t xml:space="preserve">Service User Involvement: Greater inclusion of individuals with lived experience in service design, evaluation, and </w:t>
      </w:r>
      <w:proofErr w:type="gramStart"/>
      <w:r>
        <w:t>policy-making</w:t>
      </w:r>
      <w:proofErr w:type="gramEnd"/>
      <w:r>
        <w:t xml:space="preserve"> would ensure care remains relevant and empowering (DHSC, 2021).</w:t>
      </w:r>
    </w:p>
    <w:p w14:paraId="55A4D1BE" w14:textId="77777777" w:rsidR="003A379F" w:rsidRDefault="003A379F" w:rsidP="003A379F">
      <w:r>
        <w:tab/>
        <w:t>4.</w:t>
      </w:r>
      <w:r>
        <w:tab/>
        <w:t>Leadership and Organisational Culture: Managers should foster a culture that values collaboration, reflection, and emotional intelligence within teams.</w:t>
      </w:r>
    </w:p>
    <w:p w14:paraId="2F0F41D0" w14:textId="77777777" w:rsidR="003A379F" w:rsidRDefault="003A379F" w:rsidP="003A379F">
      <w:r>
        <w:tab/>
        <w:t>5.</w:t>
      </w:r>
      <w:r>
        <w:tab/>
        <w:t>Adequate Resources: Sustained government investment is essential to address workforce shortages and reduce time pressures that limit person-centred practice.</w:t>
      </w:r>
    </w:p>
    <w:p w14:paraId="775C8F97" w14:textId="77777777" w:rsidR="003A379F" w:rsidRDefault="003A379F" w:rsidP="003A379F"/>
    <w:p w14:paraId="34FD9B8D" w14:textId="77777777" w:rsidR="003A379F" w:rsidRDefault="003A379F" w:rsidP="003A379F">
      <w:r>
        <w:t>Implementing these recommendations would enhance the quality, safety, and sustainability of care delivery across community mental health services.</w:t>
      </w:r>
    </w:p>
    <w:p w14:paraId="00454845" w14:textId="77777777" w:rsidR="003A379F" w:rsidRDefault="003A379F" w:rsidP="003A379F"/>
    <w:p w14:paraId="756CB75B" w14:textId="75CDD98C" w:rsidR="003A379F" w:rsidRPr="00F71012" w:rsidRDefault="003A379F" w:rsidP="003A379F">
      <w:pPr>
        <w:rPr>
          <w:b/>
          <w:bCs/>
        </w:rPr>
      </w:pPr>
      <w:r w:rsidRPr="00F71012">
        <w:rPr>
          <w:b/>
          <w:bCs/>
        </w:rPr>
        <w:t>9. Conclusion</w:t>
      </w:r>
    </w:p>
    <w:p w14:paraId="66C30C47" w14:textId="77777777" w:rsidR="003A379F" w:rsidRDefault="003A379F" w:rsidP="003A379F"/>
    <w:p w14:paraId="63BAE11F" w14:textId="77777777" w:rsidR="003A379F" w:rsidRDefault="003A379F" w:rsidP="003A379F">
      <w:r>
        <w:lastRenderedPageBreak/>
        <w:t xml:space="preserve">Person-Centred Care and Partnership Working are integral to delivering compassionate, equitable, and effective health and social care in the UK. The McCormack and McCance framework </w:t>
      </w:r>
      <w:proofErr w:type="gramStart"/>
      <w:r>
        <w:t>provides</w:t>
      </w:r>
      <w:proofErr w:type="gramEnd"/>
      <w:r>
        <w:t xml:space="preserve"> a robust theoretical foundation for implementing PCC, while ethical principles ensure care remains respectful and just. Partnership working enhances these values through collaboration and shared decision-making. However, both approaches require supportive policy, leadership, and adequate resources to be fully realised. By continuing to embed PCC and PW within professional practice, the UK can achieve more inclusive, person-focused care that meets the diverse needs of its population.</w:t>
      </w:r>
    </w:p>
    <w:p w14:paraId="135B6098" w14:textId="77777777" w:rsidR="003A379F" w:rsidRDefault="003A379F" w:rsidP="003A379F"/>
    <w:p w14:paraId="5DD0C59A" w14:textId="77777777" w:rsidR="00F71012" w:rsidRDefault="00F71012" w:rsidP="003A379F">
      <w:pPr>
        <w:rPr>
          <w:b/>
          <w:bCs/>
        </w:rPr>
      </w:pPr>
    </w:p>
    <w:p w14:paraId="1342E55D" w14:textId="77777777" w:rsidR="00F71012" w:rsidRDefault="00F71012" w:rsidP="003A379F">
      <w:pPr>
        <w:rPr>
          <w:b/>
          <w:bCs/>
        </w:rPr>
      </w:pPr>
    </w:p>
    <w:p w14:paraId="48F6B8B2" w14:textId="77777777" w:rsidR="00F71012" w:rsidRDefault="00F71012" w:rsidP="003A379F">
      <w:pPr>
        <w:rPr>
          <w:b/>
          <w:bCs/>
        </w:rPr>
      </w:pPr>
    </w:p>
    <w:p w14:paraId="0FD6F68E" w14:textId="77777777" w:rsidR="00F71012" w:rsidRDefault="00F71012" w:rsidP="003A379F">
      <w:pPr>
        <w:rPr>
          <w:b/>
          <w:bCs/>
        </w:rPr>
      </w:pPr>
    </w:p>
    <w:p w14:paraId="2D7C1E97" w14:textId="77777777" w:rsidR="00F71012" w:rsidRDefault="00F71012" w:rsidP="003A379F">
      <w:pPr>
        <w:rPr>
          <w:b/>
          <w:bCs/>
        </w:rPr>
      </w:pPr>
    </w:p>
    <w:p w14:paraId="75E89C86" w14:textId="77777777" w:rsidR="00F71012" w:rsidRDefault="00F71012" w:rsidP="003A379F">
      <w:pPr>
        <w:rPr>
          <w:b/>
          <w:bCs/>
        </w:rPr>
      </w:pPr>
    </w:p>
    <w:p w14:paraId="0F0291FE" w14:textId="77777777" w:rsidR="00F71012" w:rsidRDefault="00F71012" w:rsidP="003A379F">
      <w:pPr>
        <w:rPr>
          <w:b/>
          <w:bCs/>
        </w:rPr>
      </w:pPr>
    </w:p>
    <w:p w14:paraId="65AB243E" w14:textId="77777777" w:rsidR="00F71012" w:rsidRDefault="00F71012" w:rsidP="003A379F">
      <w:pPr>
        <w:rPr>
          <w:b/>
          <w:bCs/>
        </w:rPr>
      </w:pPr>
    </w:p>
    <w:p w14:paraId="48DDA681" w14:textId="77777777" w:rsidR="00F71012" w:rsidRDefault="00F71012" w:rsidP="003A379F">
      <w:pPr>
        <w:rPr>
          <w:b/>
          <w:bCs/>
        </w:rPr>
      </w:pPr>
    </w:p>
    <w:p w14:paraId="6E536D4E" w14:textId="77777777" w:rsidR="00F71012" w:rsidRDefault="00F71012" w:rsidP="003A379F">
      <w:pPr>
        <w:rPr>
          <w:b/>
          <w:bCs/>
        </w:rPr>
      </w:pPr>
    </w:p>
    <w:p w14:paraId="241F6851" w14:textId="77777777" w:rsidR="00F71012" w:rsidRDefault="00F71012" w:rsidP="003A379F">
      <w:pPr>
        <w:rPr>
          <w:b/>
          <w:bCs/>
        </w:rPr>
      </w:pPr>
    </w:p>
    <w:p w14:paraId="4AE20DA1" w14:textId="77777777" w:rsidR="00F71012" w:rsidRDefault="00F71012" w:rsidP="003A379F">
      <w:pPr>
        <w:rPr>
          <w:b/>
          <w:bCs/>
        </w:rPr>
      </w:pPr>
    </w:p>
    <w:p w14:paraId="558B9CC4" w14:textId="77777777" w:rsidR="00F71012" w:rsidRDefault="00F71012" w:rsidP="003A379F">
      <w:pPr>
        <w:rPr>
          <w:b/>
          <w:bCs/>
        </w:rPr>
      </w:pPr>
    </w:p>
    <w:p w14:paraId="602E76F3" w14:textId="77777777" w:rsidR="00F71012" w:rsidRDefault="00F71012" w:rsidP="003A379F">
      <w:pPr>
        <w:rPr>
          <w:b/>
          <w:bCs/>
        </w:rPr>
      </w:pPr>
    </w:p>
    <w:p w14:paraId="29373899" w14:textId="77777777" w:rsidR="00F71012" w:rsidRDefault="00F71012" w:rsidP="003A379F">
      <w:pPr>
        <w:rPr>
          <w:b/>
          <w:bCs/>
        </w:rPr>
      </w:pPr>
    </w:p>
    <w:p w14:paraId="29EFC23E" w14:textId="77777777" w:rsidR="00F71012" w:rsidRDefault="00F71012" w:rsidP="003A379F">
      <w:pPr>
        <w:rPr>
          <w:b/>
          <w:bCs/>
        </w:rPr>
      </w:pPr>
    </w:p>
    <w:p w14:paraId="679E36F9" w14:textId="77777777" w:rsidR="00F71012" w:rsidRDefault="00F71012" w:rsidP="003A379F">
      <w:pPr>
        <w:rPr>
          <w:b/>
          <w:bCs/>
        </w:rPr>
      </w:pPr>
    </w:p>
    <w:p w14:paraId="66B16315" w14:textId="77777777" w:rsidR="00F71012" w:rsidRDefault="00F71012" w:rsidP="003A379F">
      <w:pPr>
        <w:rPr>
          <w:b/>
          <w:bCs/>
        </w:rPr>
      </w:pPr>
    </w:p>
    <w:p w14:paraId="47E08054" w14:textId="77777777" w:rsidR="00F71012" w:rsidRDefault="00F71012" w:rsidP="003A379F">
      <w:pPr>
        <w:rPr>
          <w:b/>
          <w:bCs/>
        </w:rPr>
      </w:pPr>
    </w:p>
    <w:p w14:paraId="6999CF43" w14:textId="77777777" w:rsidR="00F71012" w:rsidRDefault="00F71012" w:rsidP="003A379F">
      <w:pPr>
        <w:rPr>
          <w:b/>
          <w:bCs/>
        </w:rPr>
      </w:pPr>
    </w:p>
    <w:p w14:paraId="41B90709" w14:textId="77777777" w:rsidR="00F71012" w:rsidRDefault="00F71012" w:rsidP="003A379F">
      <w:pPr>
        <w:rPr>
          <w:b/>
          <w:bCs/>
        </w:rPr>
      </w:pPr>
    </w:p>
    <w:p w14:paraId="7A81AFB7" w14:textId="77777777" w:rsidR="00F71012" w:rsidRDefault="00F71012" w:rsidP="003A379F">
      <w:pPr>
        <w:rPr>
          <w:b/>
          <w:bCs/>
        </w:rPr>
      </w:pPr>
    </w:p>
    <w:p w14:paraId="798D1B2D" w14:textId="77777777" w:rsidR="00F71012" w:rsidRDefault="00F71012" w:rsidP="003A379F">
      <w:pPr>
        <w:rPr>
          <w:b/>
          <w:bCs/>
        </w:rPr>
      </w:pPr>
    </w:p>
    <w:p w14:paraId="22CAB9EC" w14:textId="77777777" w:rsidR="00F71012" w:rsidRDefault="00F71012" w:rsidP="003A379F">
      <w:pPr>
        <w:rPr>
          <w:b/>
          <w:bCs/>
        </w:rPr>
      </w:pPr>
    </w:p>
    <w:p w14:paraId="4547D6D4" w14:textId="77777777" w:rsidR="00F71012" w:rsidRDefault="00F71012" w:rsidP="003A379F">
      <w:pPr>
        <w:rPr>
          <w:b/>
          <w:bCs/>
        </w:rPr>
      </w:pPr>
    </w:p>
    <w:p w14:paraId="05844ADC" w14:textId="6BEB8485" w:rsidR="003A379F" w:rsidRPr="00F71012" w:rsidRDefault="003A379F" w:rsidP="003A379F">
      <w:pPr>
        <w:rPr>
          <w:b/>
          <w:bCs/>
        </w:rPr>
      </w:pPr>
      <w:r w:rsidRPr="00F71012">
        <w:rPr>
          <w:b/>
          <w:bCs/>
        </w:rPr>
        <w:t>10. References</w:t>
      </w:r>
    </w:p>
    <w:p w14:paraId="3F388AA0" w14:textId="77777777" w:rsidR="003A379F" w:rsidRDefault="003A379F" w:rsidP="003A379F"/>
    <w:p w14:paraId="772AF882" w14:textId="77777777" w:rsidR="003A379F" w:rsidRDefault="003A379F" w:rsidP="003A379F">
      <w:r>
        <w:t>Banks, S. (2020) Ethics and Values in Social Work. 5th ed. London: Red Globe Press.</w:t>
      </w:r>
    </w:p>
    <w:p w14:paraId="468C9201" w14:textId="77777777" w:rsidR="003A379F" w:rsidRDefault="003A379F" w:rsidP="003A379F">
      <w:r>
        <w:t>Beauchamp, T.L. and Childress, J.F. (2019) Principles of Biomedical Ethics. 8th ed. Oxford: Oxford University Press.</w:t>
      </w:r>
    </w:p>
    <w:p w14:paraId="19CA1718" w14:textId="77777777" w:rsidR="003A379F" w:rsidRDefault="003A379F" w:rsidP="003A379F">
      <w:r>
        <w:t xml:space="preserve">Cameron, A., </w:t>
      </w:r>
      <w:proofErr w:type="spellStart"/>
      <w:r>
        <w:t>Lart</w:t>
      </w:r>
      <w:proofErr w:type="spellEnd"/>
      <w:r>
        <w:t xml:space="preserve">, R., Bostock, L. and </w:t>
      </w:r>
      <w:proofErr w:type="spellStart"/>
      <w:r>
        <w:t>Coomber</w:t>
      </w:r>
      <w:proofErr w:type="spellEnd"/>
      <w:r>
        <w:t>, C. (2014) ‘Factors that promote and hinder joint and integrated working between health and social care services: a review of research literature’, Health &amp; Social Care in the Community, 22(3), pp. 225–233.</w:t>
      </w:r>
    </w:p>
    <w:p w14:paraId="78E4A851" w14:textId="77777777" w:rsidR="003A379F" w:rsidRDefault="003A379F" w:rsidP="003A379F">
      <w:r>
        <w:t>Care Quality Commission (CQC) (2022) What is person-centred care? [Online]. Available at: https://www.cqc.org.uk/ (Accessed: 4 November 2025).</w:t>
      </w:r>
    </w:p>
    <w:p w14:paraId="771A18E5" w14:textId="77777777" w:rsidR="003A379F" w:rsidRDefault="003A379F" w:rsidP="003A379F">
      <w:r>
        <w:t>Department of Health and Social Care (DHSC) (2021) People at the Heart of Care: Adult Social Care Reform White Paper. London: HMSO.</w:t>
      </w:r>
    </w:p>
    <w:p w14:paraId="3F39F191" w14:textId="77777777" w:rsidR="003A379F" w:rsidRDefault="003A379F" w:rsidP="003A379F">
      <w:r>
        <w:t>Dewing, J. and McCormack, B. (2019) Person-Centred Practice Frameworks for Nursing and Health Care. Oxford: Wiley Blackwell.</w:t>
      </w:r>
    </w:p>
    <w:p w14:paraId="2CF52291" w14:textId="77777777" w:rsidR="003A379F" w:rsidRDefault="003A379F" w:rsidP="003A379F">
      <w:r>
        <w:t>Equality Act (2010) c.15. London: The Stationery Office.</w:t>
      </w:r>
    </w:p>
    <w:p w14:paraId="533BD4D0" w14:textId="77777777" w:rsidR="003A379F" w:rsidRDefault="003A379F" w:rsidP="003A379F">
      <w:r>
        <w:t>Glasby, J. and Dickinson, H. (2014) Partnership Working in Health and Social Care. 2nd ed. Bristol: Policy Press.</w:t>
      </w:r>
    </w:p>
    <w:p w14:paraId="39601BFC" w14:textId="77777777" w:rsidR="003A379F" w:rsidRDefault="003A379F" w:rsidP="003A379F">
      <w:r>
        <w:t>Health and Social Care Act (2012) c.7. London: The Stationery Office.</w:t>
      </w:r>
    </w:p>
    <w:p w14:paraId="371E6605" w14:textId="77777777" w:rsidR="003A379F" w:rsidRDefault="003A379F" w:rsidP="003A379F">
      <w:r>
        <w:t>Mental Capacity Act (2005) c.9. London: The Stationery Office.</w:t>
      </w:r>
    </w:p>
    <w:p w14:paraId="243C8EA2" w14:textId="77777777" w:rsidR="003A379F" w:rsidRDefault="003A379F" w:rsidP="003A379F">
      <w:r>
        <w:t>McCormack, B. and McCance, T. (2017) Person-Centred Practice in Nursing and Health Care: Theory and Practice. 2nd ed. Oxford: Wiley Blackwell.</w:t>
      </w:r>
    </w:p>
    <w:p w14:paraId="423894E6" w14:textId="77777777" w:rsidR="003A379F" w:rsidRDefault="003A379F" w:rsidP="003A379F">
      <w:r>
        <w:t>NHS Confederation (2020) Person-Centred Care: Principles and Practice. [Online]. Available at: https://www.nhsconfed.org/ (Accessed: 4 November 2025).</w:t>
      </w:r>
    </w:p>
    <w:p w14:paraId="0FB5104D" w14:textId="77777777" w:rsidR="003A379F" w:rsidRDefault="003A379F" w:rsidP="003A379F">
      <w:r>
        <w:t>NHS England (2016) The Five Year Forward View for Mental Health. London: NHS England.</w:t>
      </w:r>
    </w:p>
    <w:p w14:paraId="303F1E29" w14:textId="77777777" w:rsidR="003A379F" w:rsidRDefault="003A379F" w:rsidP="003A379F">
      <w:r>
        <w:t>NHS England (2023) Personalised Care and Support Planning Handbook. [Online]. Available at: https://www.england.nhs.uk/ (Accessed: 4 November 2025).</w:t>
      </w:r>
    </w:p>
    <w:p w14:paraId="0074C99D" w14:textId="77777777" w:rsidR="003A379F" w:rsidRDefault="003A379F" w:rsidP="003A379F">
      <w:r>
        <w:lastRenderedPageBreak/>
        <w:t>NMC (2018) The Code: Professional Standards of Practice and Behaviour for Nurses, Midwives and Nursing Associates. London: NMC.</w:t>
      </w:r>
    </w:p>
    <w:p w14:paraId="1B6740CA" w14:textId="77777777" w:rsidR="003A379F" w:rsidRDefault="003A379F" w:rsidP="003A379F">
      <w:r>
        <w:t>Redding, D. (2016) ‘The narrative for person-centred coordinated care’, Journal of Integrated Care, 24(3), pp. 117–124.</w:t>
      </w:r>
    </w:p>
    <w:p w14:paraId="632D3410" w14:textId="77777777" w:rsidR="003A379F" w:rsidRDefault="003A379F" w:rsidP="003A379F">
      <w:r>
        <w:t>Santana, M.J. et al. (2018) ‘How to practice person-centred care: A conceptual framework’, Health Expectations, 21(2), pp. 429–440.</w:t>
      </w:r>
    </w:p>
    <w:p w14:paraId="5833355F" w14:textId="77777777" w:rsidR="003A379F" w:rsidRDefault="003A379F" w:rsidP="003A379F">
      <w:r>
        <w:t>SCIE (2022) Partnership Working in Health and Social Care. [Online]. Available at: https://www.scie.org.uk/ (Accessed: 4 November 2025).</w:t>
      </w:r>
    </w:p>
    <w:p w14:paraId="228D38D1" w14:textId="3F9360CB" w:rsidR="00097B03" w:rsidRPr="00097B03" w:rsidRDefault="003A379F" w:rsidP="00097B03">
      <w:r>
        <w:t>Slade, M. (2017) Implementing Recovery through Organisational Change. Cambridge: Cambridge University Press.</w:t>
      </w:r>
    </w:p>
    <w:sectPr w:rsidR="00097B03" w:rsidRPr="00097B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49F3B60"/>
    <w:multiLevelType w:val="hybridMultilevel"/>
    <w:tmpl w:val="D2A20F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377795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9E4"/>
    <w:rsid w:val="000202D2"/>
    <w:rsid w:val="00097B03"/>
    <w:rsid w:val="000B295E"/>
    <w:rsid w:val="00102B99"/>
    <w:rsid w:val="003107A2"/>
    <w:rsid w:val="003A379F"/>
    <w:rsid w:val="00526854"/>
    <w:rsid w:val="00541B64"/>
    <w:rsid w:val="00546C0D"/>
    <w:rsid w:val="005C0D7B"/>
    <w:rsid w:val="00877DF6"/>
    <w:rsid w:val="009317B5"/>
    <w:rsid w:val="00965AC4"/>
    <w:rsid w:val="0099639A"/>
    <w:rsid w:val="00E57F94"/>
    <w:rsid w:val="00F13186"/>
    <w:rsid w:val="00F669E4"/>
    <w:rsid w:val="00F710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7E10C2B"/>
  <w15:chartTrackingRefBased/>
  <w15:docId w15:val="{C3FC9493-C876-784B-86D1-BB12C969C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69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69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69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69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69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69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69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69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69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69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69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69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69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69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69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69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69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69E4"/>
    <w:rPr>
      <w:rFonts w:eastAsiaTheme="majorEastAsia" w:cstheme="majorBidi"/>
      <w:color w:val="272727" w:themeColor="text1" w:themeTint="D8"/>
    </w:rPr>
  </w:style>
  <w:style w:type="paragraph" w:styleId="Title">
    <w:name w:val="Title"/>
    <w:basedOn w:val="Normal"/>
    <w:next w:val="Normal"/>
    <w:link w:val="TitleChar"/>
    <w:uiPriority w:val="10"/>
    <w:qFormat/>
    <w:rsid w:val="00F669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69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69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69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69E4"/>
    <w:pPr>
      <w:spacing w:before="160"/>
      <w:jc w:val="center"/>
    </w:pPr>
    <w:rPr>
      <w:i/>
      <w:iCs/>
      <w:color w:val="404040" w:themeColor="text1" w:themeTint="BF"/>
    </w:rPr>
  </w:style>
  <w:style w:type="character" w:customStyle="1" w:styleId="QuoteChar">
    <w:name w:val="Quote Char"/>
    <w:basedOn w:val="DefaultParagraphFont"/>
    <w:link w:val="Quote"/>
    <w:uiPriority w:val="29"/>
    <w:rsid w:val="00F669E4"/>
    <w:rPr>
      <w:i/>
      <w:iCs/>
      <w:color w:val="404040" w:themeColor="text1" w:themeTint="BF"/>
    </w:rPr>
  </w:style>
  <w:style w:type="paragraph" w:styleId="ListParagraph">
    <w:name w:val="List Paragraph"/>
    <w:basedOn w:val="Normal"/>
    <w:uiPriority w:val="34"/>
    <w:qFormat/>
    <w:rsid w:val="00F669E4"/>
    <w:pPr>
      <w:ind w:left="720"/>
      <w:contextualSpacing/>
    </w:pPr>
  </w:style>
  <w:style w:type="character" w:styleId="IntenseEmphasis">
    <w:name w:val="Intense Emphasis"/>
    <w:basedOn w:val="DefaultParagraphFont"/>
    <w:uiPriority w:val="21"/>
    <w:qFormat/>
    <w:rsid w:val="00F669E4"/>
    <w:rPr>
      <w:i/>
      <w:iCs/>
      <w:color w:val="0F4761" w:themeColor="accent1" w:themeShade="BF"/>
    </w:rPr>
  </w:style>
  <w:style w:type="paragraph" w:styleId="IntenseQuote">
    <w:name w:val="Intense Quote"/>
    <w:basedOn w:val="Normal"/>
    <w:next w:val="Normal"/>
    <w:link w:val="IntenseQuoteChar"/>
    <w:uiPriority w:val="30"/>
    <w:qFormat/>
    <w:rsid w:val="00F669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69E4"/>
    <w:rPr>
      <w:i/>
      <w:iCs/>
      <w:color w:val="0F4761" w:themeColor="accent1" w:themeShade="BF"/>
    </w:rPr>
  </w:style>
  <w:style w:type="character" w:styleId="IntenseReference">
    <w:name w:val="Intense Reference"/>
    <w:basedOn w:val="DefaultParagraphFont"/>
    <w:uiPriority w:val="32"/>
    <w:qFormat/>
    <w:rsid w:val="00F669E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41</TotalTime>
  <Pages>9</Pages>
  <Words>2137</Words>
  <Characters>12183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Tamara Shehzad (2409972)</dc:creator>
  <cp:keywords/>
  <dc:description/>
  <cp:lastModifiedBy>Julie Tamara Shehzad (2409972)</cp:lastModifiedBy>
  <cp:revision>12</cp:revision>
  <dcterms:created xsi:type="dcterms:W3CDTF">2025-11-14T17:01:00Z</dcterms:created>
  <dcterms:modified xsi:type="dcterms:W3CDTF">2025-11-14T17:50:00Z</dcterms:modified>
</cp:coreProperties>
</file>