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233"/>
        <w:gridCol w:w="5233"/>
      </w:tblGrid>
      <w:tr w:rsidR="0087009A" w14:paraId="6D6C3E98" w14:textId="77777777">
        <w:tblPrEx>
          <w:tblCellMar>
            <w:top w:w="0" w:type="dxa"/>
            <w:bottom w:w="0" w:type="dxa"/>
          </w:tblCellMar>
        </w:tblPrEx>
        <w:tc>
          <w:tcPr>
            <w:tcW w:w="5233" w:type="dxa"/>
            <w:shd w:val="clear" w:color="auto" w:fill="DCEFE8"/>
            <w:tcMar>
              <w:top w:w="95" w:type="dxa"/>
              <w:left w:w="170" w:type="dxa"/>
              <w:bottom w:w="95" w:type="dxa"/>
              <w:right w:w="170" w:type="dxa"/>
            </w:tcMar>
            <w:vAlign w:val="center"/>
          </w:tcPr>
          <w:p w14:paraId="6D6C3E96" w14:textId="77777777" w:rsidR="0087009A" w:rsidRDefault="00CD1C6E">
            <w:r>
              <w:rPr>
                <w:b/>
                <w:bCs/>
                <w:color w:val="0E5A45"/>
                <w:sz w:val="18"/>
                <w:szCs w:val="18"/>
              </w:rPr>
              <w:t xml:space="preserve">Module:  </w:t>
            </w:r>
            <w:r>
              <w:rPr>
                <w:color w:val="262626"/>
                <w:sz w:val="18"/>
                <w:szCs w:val="18"/>
              </w:rPr>
              <w:t>LCHS4003</w:t>
            </w:r>
          </w:p>
        </w:tc>
        <w:tc>
          <w:tcPr>
            <w:tcW w:w="5233" w:type="dxa"/>
            <w:shd w:val="clear" w:color="auto" w:fill="DCEFE8"/>
            <w:tcMar>
              <w:top w:w="95" w:type="dxa"/>
              <w:left w:w="170" w:type="dxa"/>
              <w:bottom w:w="95" w:type="dxa"/>
              <w:right w:w="170" w:type="dxa"/>
            </w:tcMar>
            <w:vAlign w:val="center"/>
          </w:tcPr>
          <w:p w14:paraId="6D6C3E97" w14:textId="77777777" w:rsidR="0087009A" w:rsidRDefault="00CD1C6E">
            <w:r>
              <w:rPr>
                <w:b/>
                <w:bCs/>
                <w:color w:val="0E5A45"/>
                <w:sz w:val="18"/>
                <w:szCs w:val="18"/>
              </w:rPr>
              <w:t xml:space="preserve">Lecturer:  </w:t>
            </w:r>
            <w:r>
              <w:rPr>
                <w:color w:val="262626"/>
                <w:sz w:val="18"/>
                <w:szCs w:val="18"/>
              </w:rPr>
              <w:t xml:space="preserve">Vivian </w:t>
            </w:r>
            <w:proofErr w:type="spellStart"/>
            <w:r>
              <w:rPr>
                <w:color w:val="262626"/>
                <w:sz w:val="18"/>
                <w:szCs w:val="18"/>
              </w:rPr>
              <w:t>Osuchukwu</w:t>
            </w:r>
            <w:proofErr w:type="spellEnd"/>
          </w:p>
        </w:tc>
      </w:tr>
      <w:tr w:rsidR="0087009A" w14:paraId="6D6C3E9B" w14:textId="77777777">
        <w:tblPrEx>
          <w:tblCellMar>
            <w:top w:w="0" w:type="dxa"/>
            <w:bottom w:w="0" w:type="dxa"/>
          </w:tblCellMar>
        </w:tblPrEx>
        <w:tc>
          <w:tcPr>
            <w:tcW w:w="5233" w:type="dxa"/>
            <w:shd w:val="clear" w:color="auto" w:fill="DCEFE8"/>
            <w:tcMar>
              <w:top w:w="95" w:type="dxa"/>
              <w:left w:w="170" w:type="dxa"/>
              <w:bottom w:w="95" w:type="dxa"/>
              <w:right w:w="170" w:type="dxa"/>
            </w:tcMar>
            <w:vAlign w:val="center"/>
          </w:tcPr>
          <w:p w14:paraId="6D6C3E99" w14:textId="77777777" w:rsidR="0087009A" w:rsidRDefault="00CD1C6E">
            <w:r>
              <w:rPr>
                <w:b/>
                <w:bCs/>
                <w:color w:val="0E5A45"/>
                <w:sz w:val="18"/>
                <w:szCs w:val="18"/>
              </w:rPr>
              <w:t xml:space="preserve">Module title:  </w:t>
            </w:r>
            <w:r>
              <w:rPr>
                <w:color w:val="262626"/>
                <w:sz w:val="18"/>
                <w:szCs w:val="18"/>
              </w:rPr>
              <w:t>Introduction to Health and Social Care</w:t>
            </w:r>
          </w:p>
        </w:tc>
        <w:tc>
          <w:tcPr>
            <w:tcW w:w="5233" w:type="dxa"/>
            <w:shd w:val="clear" w:color="auto" w:fill="DCEFE8"/>
            <w:tcMar>
              <w:top w:w="95" w:type="dxa"/>
              <w:left w:w="170" w:type="dxa"/>
              <w:bottom w:w="95" w:type="dxa"/>
              <w:right w:w="170" w:type="dxa"/>
            </w:tcMar>
            <w:vAlign w:val="center"/>
          </w:tcPr>
          <w:p w14:paraId="6D6C3E9A" w14:textId="77777777" w:rsidR="0087009A" w:rsidRDefault="00CD1C6E">
            <w:r>
              <w:rPr>
                <w:b/>
                <w:bCs/>
                <w:color w:val="0E5A45"/>
                <w:sz w:val="18"/>
                <w:szCs w:val="18"/>
              </w:rPr>
              <w:t xml:space="preserve">Student:  </w:t>
            </w:r>
            <w:r>
              <w:rPr>
                <w:color w:val="262626"/>
                <w:sz w:val="18"/>
                <w:szCs w:val="18"/>
              </w:rPr>
              <w:t>Lavinia Anamaria Zamfir</w:t>
            </w:r>
          </w:p>
        </w:tc>
      </w:tr>
    </w:tbl>
    <w:p w14:paraId="6D6C3E9C" w14:textId="77777777" w:rsidR="0087009A" w:rsidRDefault="0087009A">
      <w:pPr>
        <w:spacing w:after="7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150"/>
        <w:gridCol w:w="9316"/>
      </w:tblGrid>
      <w:tr w:rsidR="0087009A" w14:paraId="6D6C3EA0" w14:textId="77777777">
        <w:tblPrEx>
          <w:tblCellMar>
            <w:top w:w="0" w:type="dxa"/>
            <w:bottom w:w="0" w:type="dxa"/>
          </w:tblCellMar>
        </w:tblPrEx>
        <w:tc>
          <w:tcPr>
            <w:tcW w:w="1150" w:type="dxa"/>
            <w:shd w:val="clear" w:color="auto" w:fill="0E5A45"/>
            <w:tcMar>
              <w:top w:w="200" w:type="dxa"/>
              <w:left w:w="200" w:type="dxa"/>
              <w:bottom w:w="200" w:type="dxa"/>
              <w:right w:w="60" w:type="dxa"/>
            </w:tcMar>
            <w:vAlign w:val="center"/>
          </w:tcPr>
          <w:p w14:paraId="6D6C3E9D" w14:textId="3BFDBE09" w:rsidR="0087009A" w:rsidRDefault="0087009A">
            <w:pPr>
              <w:jc w:val="center"/>
            </w:pPr>
          </w:p>
        </w:tc>
        <w:tc>
          <w:tcPr>
            <w:tcW w:w="9316" w:type="dxa"/>
            <w:shd w:val="clear" w:color="auto" w:fill="0E5A45"/>
            <w:tcMar>
              <w:top w:w="200" w:type="dxa"/>
              <w:left w:w="120" w:type="dxa"/>
              <w:bottom w:w="200" w:type="dxa"/>
              <w:right w:w="220" w:type="dxa"/>
            </w:tcMar>
            <w:vAlign w:val="center"/>
          </w:tcPr>
          <w:p w14:paraId="6D6C3E9E" w14:textId="77777777" w:rsidR="0087009A" w:rsidRDefault="00CD1C6E">
            <w:pPr>
              <w:spacing w:after="30"/>
            </w:pPr>
            <w:r>
              <w:rPr>
                <w:b/>
                <w:bCs/>
                <w:color w:val="FFFFFF"/>
                <w:sz w:val="38"/>
                <w:szCs w:val="38"/>
              </w:rPr>
              <w:t>PHARMACY SERVICES IN THE UK</w:t>
            </w:r>
          </w:p>
          <w:p w14:paraId="6D6C3E9F" w14:textId="77777777" w:rsidR="0087009A" w:rsidRDefault="00CD1C6E">
            <w:r>
              <w:rPr>
                <w:color w:val="BFE3D6"/>
                <w:sz w:val="19"/>
                <w:szCs w:val="19"/>
              </w:rPr>
              <w:t xml:space="preserve">A healthcare </w:t>
            </w:r>
            <w:proofErr w:type="gramStart"/>
            <w:r>
              <w:rPr>
                <w:color w:val="BFE3D6"/>
                <w:sz w:val="19"/>
                <w:szCs w:val="19"/>
              </w:rPr>
              <w:t>poster  ·</w:t>
            </w:r>
            <w:proofErr w:type="gramEnd"/>
            <w:r>
              <w:rPr>
                <w:color w:val="BFE3D6"/>
                <w:sz w:val="19"/>
                <w:szCs w:val="19"/>
              </w:rPr>
              <w:t xml:space="preserve">  LCHS4003 Introduction to Health and Social </w:t>
            </w:r>
            <w:proofErr w:type="gramStart"/>
            <w:r>
              <w:rPr>
                <w:color w:val="BFE3D6"/>
                <w:sz w:val="19"/>
                <w:szCs w:val="19"/>
              </w:rPr>
              <w:t>Care  ·</w:t>
            </w:r>
            <w:proofErr w:type="gramEnd"/>
            <w:r>
              <w:rPr>
                <w:color w:val="BFE3D6"/>
                <w:sz w:val="19"/>
                <w:szCs w:val="19"/>
              </w:rPr>
              <w:t xml:space="preserve">  Task 1</w:t>
            </w:r>
          </w:p>
        </w:tc>
      </w:tr>
    </w:tbl>
    <w:p w14:paraId="6D6C3EA1" w14:textId="77777777" w:rsidR="0087009A" w:rsidRDefault="0087009A">
      <w:pPr>
        <w:spacing w:after="7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87009A" w14:paraId="6D6C3EA4" w14:textId="77777777">
        <w:tblPrEx>
          <w:tblCellMar>
            <w:top w:w="0" w:type="dxa"/>
            <w:bottom w:w="0" w:type="dxa"/>
          </w:tblCellMar>
        </w:tblPrEx>
        <w:tc>
          <w:tcPr>
            <w:tcW w:w="10466" w:type="dxa"/>
            <w:shd w:val="clear" w:color="auto" w:fill="DCEFE8"/>
            <w:tcMar>
              <w:top w:w="120" w:type="dxa"/>
              <w:left w:w="170" w:type="dxa"/>
              <w:bottom w:w="120" w:type="dxa"/>
              <w:right w:w="170" w:type="dxa"/>
            </w:tcMar>
          </w:tcPr>
          <w:p w14:paraId="6D6C3EA2" w14:textId="77777777" w:rsidR="0087009A" w:rsidRDefault="00CD1C6E">
            <w:pPr>
              <w:spacing w:after="70"/>
            </w:pPr>
            <w:r>
              <w:rPr>
                <w:b/>
                <w:bCs/>
                <w:color w:val="0E5A45"/>
                <w:sz w:val="23"/>
                <w:szCs w:val="23"/>
              </w:rPr>
              <w:t>What is a pharmacy service?</w:t>
            </w:r>
          </w:p>
          <w:p w14:paraId="6D6C3EA3" w14:textId="77777777" w:rsidR="0087009A" w:rsidRDefault="00CD1C6E">
            <w:pPr>
              <w:spacing w:after="90" w:line="252" w:lineRule="auto"/>
            </w:pPr>
            <w:r>
              <w:rPr>
                <w:color w:val="262626"/>
                <w:sz w:val="19"/>
                <w:szCs w:val="19"/>
              </w:rPr>
              <w:t>A pharmacy is where people collect medicines and get advice about their health. Pharmacists are trained professionals who dispense medicines prescribed by doctors, help patients take them correctly, and advise on minor illnesses such as colds or rashes. Most people can walk in without an appointment, making pharmacies one of the quickest, most convenient ways to get health support (NHS England, 2023). Found on most high streets and in many supermarkets, they are far easier to reach than a GP surgery, so the</w:t>
            </w:r>
            <w:r>
              <w:rPr>
                <w:color w:val="262626"/>
                <w:sz w:val="19"/>
                <w:szCs w:val="19"/>
              </w:rPr>
              <w:t xml:space="preserve"> NHS relies on them heavily to manage demand.</w:t>
            </w:r>
          </w:p>
        </w:tc>
      </w:tr>
    </w:tbl>
    <w:p w14:paraId="6D6C3EA5" w14:textId="77777777" w:rsidR="0087009A" w:rsidRDefault="0087009A">
      <w:pPr>
        <w:spacing w:after="7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2489"/>
        <w:gridCol w:w="170"/>
        <w:gridCol w:w="2489"/>
        <w:gridCol w:w="170"/>
        <w:gridCol w:w="2489"/>
        <w:gridCol w:w="170"/>
        <w:gridCol w:w="2489"/>
      </w:tblGrid>
      <w:tr w:rsidR="0087009A" w14:paraId="6D6C3EB1" w14:textId="77777777">
        <w:tblPrEx>
          <w:tblCellMar>
            <w:top w:w="0" w:type="dxa"/>
            <w:bottom w:w="0" w:type="dxa"/>
          </w:tblCellMar>
        </w:tblPrEx>
        <w:tc>
          <w:tcPr>
            <w:tcW w:w="2489" w:type="dxa"/>
            <w:shd w:val="clear" w:color="auto" w:fill="DCEFE8"/>
            <w:tcMar>
              <w:top w:w="130" w:type="dxa"/>
              <w:left w:w="80" w:type="dxa"/>
              <w:bottom w:w="130" w:type="dxa"/>
              <w:right w:w="80" w:type="dxa"/>
            </w:tcMar>
            <w:vAlign w:val="center"/>
          </w:tcPr>
          <w:p w14:paraId="6D6C3EA6" w14:textId="77777777" w:rsidR="0087009A" w:rsidRDefault="00CD1C6E">
            <w:pPr>
              <w:spacing w:after="20"/>
              <w:jc w:val="center"/>
            </w:pPr>
            <w:r>
              <w:rPr>
                <w:b/>
                <w:bCs/>
                <w:color w:val="0E5A45"/>
                <w:sz w:val="34"/>
                <w:szCs w:val="34"/>
              </w:rPr>
              <w:t>11,500</w:t>
            </w:r>
          </w:p>
          <w:p w14:paraId="6D6C3EA7" w14:textId="77777777" w:rsidR="0087009A" w:rsidRDefault="00CD1C6E">
            <w:pPr>
              <w:jc w:val="center"/>
            </w:pPr>
            <w:r>
              <w:rPr>
                <w:color w:val="5F6470"/>
                <w:sz w:val="14"/>
                <w:szCs w:val="14"/>
              </w:rPr>
              <w:t>community pharmacies</w:t>
            </w:r>
          </w:p>
        </w:tc>
        <w:tc>
          <w:tcPr>
            <w:tcW w:w="170" w:type="dxa"/>
          </w:tcPr>
          <w:p w14:paraId="6D6C3EA8" w14:textId="77777777" w:rsidR="0087009A" w:rsidRDefault="0087009A"/>
        </w:tc>
        <w:tc>
          <w:tcPr>
            <w:tcW w:w="2489" w:type="dxa"/>
            <w:shd w:val="clear" w:color="auto" w:fill="DCEFE8"/>
            <w:tcMar>
              <w:top w:w="130" w:type="dxa"/>
              <w:left w:w="80" w:type="dxa"/>
              <w:bottom w:w="130" w:type="dxa"/>
              <w:right w:w="80" w:type="dxa"/>
            </w:tcMar>
            <w:vAlign w:val="center"/>
          </w:tcPr>
          <w:p w14:paraId="6D6C3EA9" w14:textId="77777777" w:rsidR="0087009A" w:rsidRDefault="00CD1C6E">
            <w:pPr>
              <w:spacing w:after="20"/>
              <w:jc w:val="center"/>
            </w:pPr>
            <w:r>
              <w:rPr>
                <w:b/>
                <w:bCs/>
                <w:color w:val="0E5A45"/>
                <w:sz w:val="34"/>
                <w:szCs w:val="34"/>
              </w:rPr>
              <w:t>1.1bn</w:t>
            </w:r>
          </w:p>
          <w:p w14:paraId="6D6C3EAA" w14:textId="77777777" w:rsidR="0087009A" w:rsidRDefault="00CD1C6E">
            <w:pPr>
              <w:jc w:val="center"/>
            </w:pPr>
            <w:r>
              <w:rPr>
                <w:color w:val="5F6470"/>
                <w:sz w:val="14"/>
                <w:szCs w:val="14"/>
              </w:rPr>
              <w:t>prescription items / year</w:t>
            </w:r>
          </w:p>
        </w:tc>
        <w:tc>
          <w:tcPr>
            <w:tcW w:w="170" w:type="dxa"/>
          </w:tcPr>
          <w:p w14:paraId="6D6C3EAB" w14:textId="77777777" w:rsidR="0087009A" w:rsidRDefault="0087009A"/>
        </w:tc>
        <w:tc>
          <w:tcPr>
            <w:tcW w:w="2489" w:type="dxa"/>
            <w:shd w:val="clear" w:color="auto" w:fill="DCEFE8"/>
            <w:tcMar>
              <w:top w:w="130" w:type="dxa"/>
              <w:left w:w="80" w:type="dxa"/>
              <w:bottom w:w="130" w:type="dxa"/>
              <w:right w:w="80" w:type="dxa"/>
            </w:tcMar>
            <w:vAlign w:val="center"/>
          </w:tcPr>
          <w:p w14:paraId="6D6C3EAC" w14:textId="77777777" w:rsidR="0087009A" w:rsidRDefault="00CD1C6E">
            <w:pPr>
              <w:spacing w:after="20"/>
              <w:jc w:val="center"/>
            </w:pPr>
            <w:r>
              <w:rPr>
                <w:b/>
                <w:bCs/>
                <w:color w:val="0E5A45"/>
                <w:sz w:val="34"/>
                <w:szCs w:val="34"/>
              </w:rPr>
              <w:t>89%</w:t>
            </w:r>
          </w:p>
          <w:p w14:paraId="6D6C3EAD" w14:textId="77777777" w:rsidR="0087009A" w:rsidRDefault="00CD1C6E">
            <w:pPr>
              <w:jc w:val="center"/>
            </w:pPr>
            <w:r>
              <w:rPr>
                <w:color w:val="5F6470"/>
                <w:sz w:val="14"/>
                <w:szCs w:val="14"/>
              </w:rPr>
              <w:t>within a 20-min walk</w:t>
            </w:r>
          </w:p>
        </w:tc>
        <w:tc>
          <w:tcPr>
            <w:tcW w:w="170" w:type="dxa"/>
          </w:tcPr>
          <w:p w14:paraId="6D6C3EAE" w14:textId="77777777" w:rsidR="0087009A" w:rsidRDefault="0087009A"/>
        </w:tc>
        <w:tc>
          <w:tcPr>
            <w:tcW w:w="2489" w:type="dxa"/>
            <w:shd w:val="clear" w:color="auto" w:fill="DCEFE8"/>
            <w:tcMar>
              <w:top w:w="130" w:type="dxa"/>
              <w:left w:w="80" w:type="dxa"/>
              <w:bottom w:w="130" w:type="dxa"/>
              <w:right w:w="80" w:type="dxa"/>
            </w:tcMar>
            <w:vAlign w:val="center"/>
          </w:tcPr>
          <w:p w14:paraId="6D6C3EAF" w14:textId="77777777" w:rsidR="0087009A" w:rsidRDefault="00CD1C6E">
            <w:pPr>
              <w:spacing w:after="20"/>
              <w:jc w:val="center"/>
            </w:pPr>
            <w:r>
              <w:rPr>
                <w:b/>
                <w:bCs/>
                <w:color w:val="0E5A45"/>
                <w:sz w:val="34"/>
                <w:szCs w:val="34"/>
              </w:rPr>
              <w:t>£26</w:t>
            </w:r>
          </w:p>
          <w:p w14:paraId="6D6C3EB0" w14:textId="77777777" w:rsidR="0087009A" w:rsidRDefault="00CD1C6E">
            <w:pPr>
              <w:jc w:val="center"/>
            </w:pPr>
            <w:r>
              <w:rPr>
                <w:color w:val="5F6470"/>
                <w:sz w:val="14"/>
                <w:szCs w:val="14"/>
              </w:rPr>
              <w:t>per visit vs £39 GP</w:t>
            </w:r>
          </w:p>
        </w:tc>
      </w:tr>
    </w:tbl>
    <w:p w14:paraId="6D6C3EB2" w14:textId="77777777" w:rsidR="0087009A" w:rsidRDefault="0087009A">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87009A" w14:paraId="6D6C3EB6" w14:textId="77777777">
        <w:tblPrEx>
          <w:tblCellMar>
            <w:top w:w="0" w:type="dxa"/>
            <w:bottom w:w="0" w:type="dxa"/>
          </w:tblCellMar>
        </w:tblPrEx>
        <w:tc>
          <w:tcPr>
            <w:tcW w:w="10466" w:type="dxa"/>
            <w:shd w:val="clear" w:color="auto" w:fill="EEF7F3"/>
            <w:tcMar>
              <w:top w:w="120" w:type="dxa"/>
              <w:left w:w="170" w:type="dxa"/>
              <w:bottom w:w="120" w:type="dxa"/>
              <w:right w:w="170" w:type="dxa"/>
            </w:tcMar>
          </w:tcPr>
          <w:p w14:paraId="6D6C3EB3" w14:textId="77777777" w:rsidR="0087009A" w:rsidRDefault="00CD1C6E">
            <w:pPr>
              <w:spacing w:after="70"/>
            </w:pPr>
            <w:r>
              <w:rPr>
                <w:b/>
                <w:bCs/>
                <w:color w:val="0E5A45"/>
                <w:sz w:val="23"/>
                <w:szCs w:val="23"/>
              </w:rPr>
              <w:t>A short history</w:t>
            </w:r>
          </w:p>
          <w:p w14:paraId="6D6C3EB4" w14:textId="77777777" w:rsidR="0087009A" w:rsidRDefault="00CD1C6E">
            <w:pPr>
              <w:spacing w:after="90" w:line="252" w:lineRule="auto"/>
            </w:pPr>
            <w:r>
              <w:rPr>
                <w:color w:val="262626"/>
                <w:sz w:val="19"/>
                <w:szCs w:val="19"/>
              </w:rPr>
              <w:t>Pharmacies have existed for centuries, once run by apothecaries who mixed and sold herbal remedies. The Pharmacy Act 1852 was the first UK law to regulate who could work as a pharmacist, creating a professional register (Anderson, 2005).</w:t>
            </w:r>
          </w:p>
          <w:p w14:paraId="6D6C3EB5" w14:textId="77777777" w:rsidR="0087009A" w:rsidRDefault="00CD1C6E">
            <w:pPr>
              <w:spacing w:line="252" w:lineRule="auto"/>
            </w:pPr>
            <w:r>
              <w:rPr>
                <w:color w:val="262626"/>
                <w:sz w:val="19"/>
                <w:szCs w:val="19"/>
              </w:rPr>
              <w:t>The biggest change came in 1948 with the NHS, which made prescriptions accessible to everyone for the first time (Rivett, 2018). The NHS (Pharmaceutical Services) Regulations 2005 let pharmacists offer clinical services, the NHS Long Term Plan (2019) expanded their role, and Pharmacy First launched in January 2024 (NHS England, 2024).</w:t>
            </w:r>
          </w:p>
        </w:tc>
      </w:tr>
    </w:tbl>
    <w:p w14:paraId="6D6C3EB7" w14:textId="77777777" w:rsidR="0087009A" w:rsidRDefault="0087009A">
      <w:pPr>
        <w:spacing w:after="60"/>
      </w:pPr>
    </w:p>
    <w:p w14:paraId="6D6C3EB8" w14:textId="77777777" w:rsidR="0087009A" w:rsidRDefault="00CD1C6E">
      <w:pPr>
        <w:spacing w:after="80"/>
      </w:pPr>
      <w:r>
        <w:rPr>
          <w:b/>
          <w:bCs/>
          <w:color w:val="0E5A45"/>
          <w:sz w:val="23"/>
          <w:szCs w:val="23"/>
        </w:rPr>
        <w:t>How the role has grown</w:t>
      </w: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2094"/>
        <w:gridCol w:w="2093"/>
        <w:gridCol w:w="2093"/>
        <w:gridCol w:w="2093"/>
        <w:gridCol w:w="2093"/>
      </w:tblGrid>
      <w:tr w:rsidR="0087009A" w14:paraId="6D6C3EC3" w14:textId="77777777">
        <w:tblPrEx>
          <w:tblCellMar>
            <w:top w:w="0" w:type="dxa"/>
            <w:bottom w:w="0" w:type="dxa"/>
          </w:tblCellMar>
        </w:tblPrEx>
        <w:tc>
          <w:tcPr>
            <w:tcW w:w="2093" w:type="dxa"/>
            <w:tcBorders>
              <w:top w:val="single" w:sz="18" w:space="0" w:color="1B8A66"/>
              <w:left w:val="single" w:sz="18" w:space="0" w:color="FFFFFF"/>
              <w:bottom w:val="single" w:sz="18" w:space="0" w:color="FFFFFF"/>
              <w:right w:val="single" w:sz="18" w:space="0" w:color="FFFFFF"/>
            </w:tcBorders>
            <w:shd w:val="clear" w:color="auto" w:fill="DCEFE8"/>
            <w:tcMar>
              <w:top w:w="110" w:type="dxa"/>
              <w:left w:w="90" w:type="dxa"/>
              <w:bottom w:w="110" w:type="dxa"/>
              <w:right w:w="90" w:type="dxa"/>
            </w:tcMar>
          </w:tcPr>
          <w:p w14:paraId="6D6C3EB9" w14:textId="77777777" w:rsidR="0087009A" w:rsidRDefault="00CD1C6E">
            <w:pPr>
              <w:spacing w:after="30"/>
            </w:pPr>
            <w:r>
              <w:rPr>
                <w:b/>
                <w:bCs/>
                <w:color w:val="0E5A45"/>
                <w:sz w:val="24"/>
                <w:szCs w:val="24"/>
              </w:rPr>
              <w:t>1852</w:t>
            </w:r>
          </w:p>
          <w:p w14:paraId="6D6C3EBA" w14:textId="77777777" w:rsidR="0087009A" w:rsidRDefault="00CD1C6E">
            <w:r>
              <w:rPr>
                <w:color w:val="33403A"/>
                <w:sz w:val="14"/>
                <w:szCs w:val="14"/>
              </w:rPr>
              <w:t>Pharmacy Act regulates the profession</w:t>
            </w:r>
          </w:p>
        </w:tc>
        <w:tc>
          <w:tcPr>
            <w:tcW w:w="2093" w:type="dxa"/>
            <w:tcBorders>
              <w:top w:val="single" w:sz="18" w:space="0" w:color="1B8A66"/>
              <w:left w:val="single" w:sz="18" w:space="0" w:color="FFFFFF"/>
              <w:bottom w:val="single" w:sz="18" w:space="0" w:color="FFFFFF"/>
              <w:right w:val="single" w:sz="18" w:space="0" w:color="FFFFFF"/>
            </w:tcBorders>
            <w:shd w:val="clear" w:color="auto" w:fill="DCEFE8"/>
            <w:tcMar>
              <w:top w:w="110" w:type="dxa"/>
              <w:left w:w="90" w:type="dxa"/>
              <w:bottom w:w="110" w:type="dxa"/>
              <w:right w:w="90" w:type="dxa"/>
            </w:tcMar>
          </w:tcPr>
          <w:p w14:paraId="6D6C3EBB" w14:textId="77777777" w:rsidR="0087009A" w:rsidRDefault="00CD1C6E">
            <w:pPr>
              <w:spacing w:after="30"/>
            </w:pPr>
            <w:r>
              <w:rPr>
                <w:b/>
                <w:bCs/>
                <w:color w:val="0E5A45"/>
                <w:sz w:val="24"/>
                <w:szCs w:val="24"/>
              </w:rPr>
              <w:t>1948</w:t>
            </w:r>
          </w:p>
          <w:p w14:paraId="6D6C3EBC" w14:textId="77777777" w:rsidR="0087009A" w:rsidRDefault="00CD1C6E">
            <w:r>
              <w:rPr>
                <w:color w:val="33403A"/>
                <w:sz w:val="14"/>
                <w:szCs w:val="14"/>
              </w:rPr>
              <w:t>Free NHS prescriptions for all</w:t>
            </w:r>
          </w:p>
        </w:tc>
        <w:tc>
          <w:tcPr>
            <w:tcW w:w="2093" w:type="dxa"/>
            <w:tcBorders>
              <w:top w:val="single" w:sz="18" w:space="0" w:color="1B8A66"/>
              <w:left w:val="single" w:sz="18" w:space="0" w:color="FFFFFF"/>
              <w:bottom w:val="single" w:sz="18" w:space="0" w:color="FFFFFF"/>
              <w:right w:val="single" w:sz="18" w:space="0" w:color="FFFFFF"/>
            </w:tcBorders>
            <w:shd w:val="clear" w:color="auto" w:fill="DCEFE8"/>
            <w:tcMar>
              <w:top w:w="110" w:type="dxa"/>
              <w:left w:w="90" w:type="dxa"/>
              <w:bottom w:w="110" w:type="dxa"/>
              <w:right w:w="90" w:type="dxa"/>
            </w:tcMar>
          </w:tcPr>
          <w:p w14:paraId="6D6C3EBD" w14:textId="77777777" w:rsidR="0087009A" w:rsidRDefault="00CD1C6E">
            <w:pPr>
              <w:spacing w:after="30"/>
            </w:pPr>
            <w:r>
              <w:rPr>
                <w:b/>
                <w:bCs/>
                <w:color w:val="0E5A45"/>
                <w:sz w:val="24"/>
                <w:szCs w:val="24"/>
              </w:rPr>
              <w:t>2005</w:t>
            </w:r>
          </w:p>
          <w:p w14:paraId="6D6C3EBE" w14:textId="77777777" w:rsidR="0087009A" w:rsidRDefault="00CD1C6E">
            <w:r>
              <w:rPr>
                <w:color w:val="33403A"/>
                <w:sz w:val="14"/>
                <w:szCs w:val="14"/>
              </w:rPr>
              <w:t>Pharmacists offer clinical services</w:t>
            </w:r>
          </w:p>
        </w:tc>
        <w:tc>
          <w:tcPr>
            <w:tcW w:w="2093" w:type="dxa"/>
            <w:tcBorders>
              <w:top w:val="single" w:sz="18" w:space="0" w:color="1B8A66"/>
              <w:left w:val="single" w:sz="18" w:space="0" w:color="FFFFFF"/>
              <w:bottom w:val="single" w:sz="18" w:space="0" w:color="FFFFFF"/>
              <w:right w:val="single" w:sz="18" w:space="0" w:color="FFFFFF"/>
            </w:tcBorders>
            <w:shd w:val="clear" w:color="auto" w:fill="DCEFE8"/>
            <w:tcMar>
              <w:top w:w="110" w:type="dxa"/>
              <w:left w:w="90" w:type="dxa"/>
              <w:bottom w:w="110" w:type="dxa"/>
              <w:right w:w="90" w:type="dxa"/>
            </w:tcMar>
          </w:tcPr>
          <w:p w14:paraId="6D6C3EBF" w14:textId="77777777" w:rsidR="0087009A" w:rsidRDefault="00CD1C6E">
            <w:pPr>
              <w:spacing w:after="30"/>
            </w:pPr>
            <w:r>
              <w:rPr>
                <w:b/>
                <w:bCs/>
                <w:color w:val="0E5A45"/>
                <w:sz w:val="24"/>
                <w:szCs w:val="24"/>
              </w:rPr>
              <w:t>2019</w:t>
            </w:r>
          </w:p>
          <w:p w14:paraId="6D6C3EC0" w14:textId="77777777" w:rsidR="0087009A" w:rsidRDefault="00CD1C6E">
            <w:r>
              <w:rPr>
                <w:color w:val="33403A"/>
                <w:sz w:val="14"/>
                <w:szCs w:val="14"/>
              </w:rPr>
              <w:t>Long Term Plan expands the role</w:t>
            </w:r>
          </w:p>
        </w:tc>
        <w:tc>
          <w:tcPr>
            <w:tcW w:w="2093" w:type="dxa"/>
            <w:tcBorders>
              <w:top w:val="single" w:sz="18" w:space="0" w:color="1B8A66"/>
              <w:left w:val="single" w:sz="18" w:space="0" w:color="FFFFFF"/>
              <w:bottom w:val="single" w:sz="18" w:space="0" w:color="FFFFFF"/>
              <w:right w:val="single" w:sz="18" w:space="0" w:color="FFFFFF"/>
            </w:tcBorders>
            <w:shd w:val="clear" w:color="auto" w:fill="DCEFE8"/>
            <w:tcMar>
              <w:top w:w="110" w:type="dxa"/>
              <w:left w:w="90" w:type="dxa"/>
              <w:bottom w:w="110" w:type="dxa"/>
              <w:right w:w="90" w:type="dxa"/>
            </w:tcMar>
          </w:tcPr>
          <w:p w14:paraId="6D6C3EC1" w14:textId="77777777" w:rsidR="0087009A" w:rsidRDefault="00CD1C6E">
            <w:pPr>
              <w:spacing w:after="30"/>
            </w:pPr>
            <w:r>
              <w:rPr>
                <w:b/>
                <w:bCs/>
                <w:color w:val="0E5A45"/>
                <w:sz w:val="24"/>
                <w:szCs w:val="24"/>
              </w:rPr>
              <w:t>2024</w:t>
            </w:r>
          </w:p>
          <w:p w14:paraId="6D6C3EC2" w14:textId="77777777" w:rsidR="0087009A" w:rsidRDefault="00CD1C6E">
            <w:r>
              <w:rPr>
                <w:color w:val="33403A"/>
                <w:sz w:val="14"/>
                <w:szCs w:val="14"/>
              </w:rPr>
              <w:t>Pharmacy First launches</w:t>
            </w:r>
          </w:p>
        </w:tc>
      </w:tr>
    </w:tbl>
    <w:p w14:paraId="6D6C3EC4" w14:textId="77777777" w:rsidR="0087009A" w:rsidRDefault="0087009A">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87009A" w14:paraId="6D6C3ED4" w14:textId="77777777">
        <w:tblPrEx>
          <w:tblCellMar>
            <w:top w:w="0" w:type="dxa"/>
            <w:bottom w:w="0" w:type="dxa"/>
          </w:tblCellMar>
        </w:tblPrEx>
        <w:tc>
          <w:tcPr>
            <w:tcW w:w="10466" w:type="dxa"/>
            <w:shd w:val="clear" w:color="auto" w:fill="EEF7F3"/>
            <w:tcMar>
              <w:top w:w="120" w:type="dxa"/>
              <w:left w:w="170" w:type="dxa"/>
              <w:bottom w:w="120" w:type="dxa"/>
              <w:right w:w="170" w:type="dxa"/>
            </w:tcMar>
          </w:tcPr>
          <w:p w14:paraId="6D6C3EC5" w14:textId="77777777" w:rsidR="0087009A" w:rsidRDefault="00CD1C6E">
            <w:pPr>
              <w:spacing w:after="70"/>
            </w:pPr>
            <w:r>
              <w:rPr>
                <w:b/>
                <w:bCs/>
                <w:color w:val="0E5A45"/>
                <w:sz w:val="23"/>
                <w:szCs w:val="23"/>
              </w:rPr>
              <w:t>How pharmacy services work today</w:t>
            </w:r>
          </w:p>
          <w:tbl>
            <w:tblPr>
              <w:tblW w:w="100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238"/>
              <w:gridCol w:w="262"/>
              <w:gridCol w:w="4500"/>
            </w:tblGrid>
            <w:tr w:rsidR="0087009A" w14:paraId="6D6C3EC9" w14:textId="77777777">
              <w:tblPrEx>
                <w:tblCellMar>
                  <w:top w:w="0" w:type="dxa"/>
                  <w:bottom w:w="0" w:type="dxa"/>
                </w:tblCellMar>
              </w:tblPrEx>
              <w:tc>
                <w:tcPr>
                  <w:tcW w:w="5900" w:type="dxa"/>
                  <w:tcMar>
                    <w:top w:w="0" w:type="dxa"/>
                    <w:left w:w="0" w:type="dxa"/>
                    <w:bottom w:w="0" w:type="dxa"/>
                    <w:right w:w="0" w:type="dxa"/>
                  </w:tcMar>
                  <w:vAlign w:val="center"/>
                </w:tcPr>
                <w:p w14:paraId="6D6C3EC6" w14:textId="77777777" w:rsidR="0087009A" w:rsidRDefault="00CD1C6E">
                  <w:pPr>
                    <w:spacing w:line="252" w:lineRule="auto"/>
                  </w:pPr>
                  <w:r>
                    <w:rPr>
                      <w:color w:val="262626"/>
                      <w:sz w:val="19"/>
                      <w:szCs w:val="19"/>
                    </w:rPr>
                    <w:t>Every day, pharmacies dispense medicines from prescriptions, advise on minor illnesses without an appointment, give flu and COVID-19 vaccinations, check blood pressure and blood sugar, and help people manage long-term conditions such as asthma or diabetes — referring on to a GP or hospital when needed. Since January 2024, Pharmacy First lets pharmacists treat seven common conditions with no GP appointment, expected to help around 1.5 million extra patients a year (NHS England, 2024).</w:t>
                  </w:r>
                </w:p>
              </w:tc>
              <w:tc>
                <w:tcPr>
                  <w:tcW w:w="300" w:type="dxa"/>
                </w:tcPr>
                <w:p w14:paraId="6D6C3EC7" w14:textId="77777777" w:rsidR="0087009A" w:rsidRDefault="0087009A"/>
              </w:tc>
              <w:tc>
                <w:tcPr>
                  <w:tcW w:w="3800" w:type="dxa"/>
                  <w:tcMar>
                    <w:top w:w="0" w:type="dxa"/>
                    <w:left w:w="0" w:type="dxa"/>
                    <w:bottom w:w="0" w:type="dxa"/>
                    <w:right w:w="0" w:type="dxa"/>
                  </w:tcMar>
                  <w:vAlign w:val="center"/>
                </w:tcPr>
                <w:p w14:paraId="6D6C3EC8" w14:textId="77777777" w:rsidR="0087009A" w:rsidRDefault="00CD1C6E">
                  <w:pPr>
                    <w:jc w:val="center"/>
                  </w:pPr>
                  <w:r>
                    <w:rPr>
                      <w:noProof/>
                    </w:rPr>
                    <w:drawing>
                      <wp:inline distT="0" distB="0" distL="0" distR="0" wp14:anchorId="6D6C3F08" wp14:editId="6D6C3F09">
                        <wp:extent cx="2857500" cy="1276350"/>
                        <wp:effectExtent l="0" t="0" r="0" b="0"/>
                        <wp:docPr id="1913194968" name="visual" descr="Cost to the NHS: pharmacist 26 pounds vs GP 39 pounds" title="Vis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857500" cy="1276350"/>
                                </a:xfrm>
                                <a:prstGeom prst="rect">
                                  <a:avLst/>
                                </a:prstGeom>
                              </pic:spPr>
                            </pic:pic>
                          </a:graphicData>
                        </a:graphic>
                      </wp:inline>
                    </w:drawing>
                  </w:r>
                </w:p>
              </w:tc>
            </w:tr>
          </w:tbl>
          <w:p w14:paraId="6D6C3ECA" w14:textId="77777777" w:rsidR="0087009A" w:rsidRDefault="00CD1C6E">
            <w:pPr>
              <w:spacing w:before="40" w:after="60"/>
            </w:pPr>
            <w:r>
              <w:rPr>
                <w:b/>
                <w:bCs/>
                <w:color w:val="0E5A45"/>
                <w:sz w:val="17"/>
                <w:szCs w:val="17"/>
              </w:rPr>
              <w:t>Pharmacy First — seven conditions treated without a GP referral</w:t>
            </w:r>
          </w:p>
          <w:tbl>
            <w:tblPr>
              <w:tblW w:w="9996"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CellMar>
                <w:left w:w="10" w:type="dxa"/>
                <w:right w:w="10" w:type="dxa"/>
              </w:tblCellMar>
              <w:tblLook w:val="04A0" w:firstRow="1" w:lastRow="0" w:firstColumn="1" w:lastColumn="0" w:noHBand="0" w:noVBand="1"/>
            </w:tblPr>
            <w:tblGrid>
              <w:gridCol w:w="1428"/>
              <w:gridCol w:w="1428"/>
              <w:gridCol w:w="1428"/>
              <w:gridCol w:w="1428"/>
              <w:gridCol w:w="1428"/>
              <w:gridCol w:w="1428"/>
              <w:gridCol w:w="1428"/>
            </w:tblGrid>
            <w:tr w:rsidR="0087009A" w14:paraId="6D6C3ED2" w14:textId="77777777">
              <w:tblPrEx>
                <w:tblCellMar>
                  <w:top w:w="0" w:type="dxa"/>
                  <w:bottom w:w="0" w:type="dxa"/>
                </w:tblCellMar>
              </w:tblPrEx>
              <w:tc>
                <w:tcPr>
                  <w:tcW w:w="1428" w:type="dxa"/>
                  <w:shd w:val="clear" w:color="auto" w:fill="1B8A66"/>
                  <w:tcMar>
                    <w:top w:w="70" w:type="dxa"/>
                    <w:left w:w="40" w:type="dxa"/>
                    <w:bottom w:w="70" w:type="dxa"/>
                    <w:right w:w="40" w:type="dxa"/>
                  </w:tcMar>
                  <w:vAlign w:val="center"/>
                </w:tcPr>
                <w:p w14:paraId="6D6C3ECB" w14:textId="77777777" w:rsidR="0087009A" w:rsidRDefault="00CD1C6E">
                  <w:pPr>
                    <w:jc w:val="center"/>
                  </w:pPr>
                  <w:r>
                    <w:rPr>
                      <w:b/>
                      <w:bCs/>
                      <w:color w:val="FFFFFF"/>
                      <w:sz w:val="15"/>
                      <w:szCs w:val="15"/>
                    </w:rPr>
                    <w:t>Earache</w:t>
                  </w:r>
                </w:p>
              </w:tc>
              <w:tc>
                <w:tcPr>
                  <w:tcW w:w="1428" w:type="dxa"/>
                  <w:shd w:val="clear" w:color="auto" w:fill="1B8A66"/>
                  <w:tcMar>
                    <w:top w:w="70" w:type="dxa"/>
                    <w:left w:w="40" w:type="dxa"/>
                    <w:bottom w:w="70" w:type="dxa"/>
                    <w:right w:w="40" w:type="dxa"/>
                  </w:tcMar>
                  <w:vAlign w:val="center"/>
                </w:tcPr>
                <w:p w14:paraId="6D6C3ECC" w14:textId="77777777" w:rsidR="0087009A" w:rsidRDefault="00CD1C6E">
                  <w:pPr>
                    <w:jc w:val="center"/>
                  </w:pPr>
                  <w:r>
                    <w:rPr>
                      <w:b/>
                      <w:bCs/>
                      <w:color w:val="FFFFFF"/>
                      <w:sz w:val="15"/>
                      <w:szCs w:val="15"/>
                    </w:rPr>
                    <w:t>Sore throat</w:t>
                  </w:r>
                </w:p>
              </w:tc>
              <w:tc>
                <w:tcPr>
                  <w:tcW w:w="1428" w:type="dxa"/>
                  <w:shd w:val="clear" w:color="auto" w:fill="1B8A66"/>
                  <w:tcMar>
                    <w:top w:w="70" w:type="dxa"/>
                    <w:left w:w="40" w:type="dxa"/>
                    <w:bottom w:w="70" w:type="dxa"/>
                    <w:right w:w="40" w:type="dxa"/>
                  </w:tcMar>
                  <w:vAlign w:val="center"/>
                </w:tcPr>
                <w:p w14:paraId="6D6C3ECD" w14:textId="77777777" w:rsidR="0087009A" w:rsidRDefault="00CD1C6E">
                  <w:pPr>
                    <w:jc w:val="center"/>
                  </w:pPr>
                  <w:r>
                    <w:rPr>
                      <w:b/>
                      <w:bCs/>
                      <w:color w:val="FFFFFF"/>
                      <w:sz w:val="15"/>
                      <w:szCs w:val="15"/>
                    </w:rPr>
                    <w:t>Sinusitis</w:t>
                  </w:r>
                </w:p>
              </w:tc>
              <w:tc>
                <w:tcPr>
                  <w:tcW w:w="1428" w:type="dxa"/>
                  <w:shd w:val="clear" w:color="auto" w:fill="1B8A66"/>
                  <w:tcMar>
                    <w:top w:w="70" w:type="dxa"/>
                    <w:left w:w="40" w:type="dxa"/>
                    <w:bottom w:w="70" w:type="dxa"/>
                    <w:right w:w="40" w:type="dxa"/>
                  </w:tcMar>
                  <w:vAlign w:val="center"/>
                </w:tcPr>
                <w:p w14:paraId="6D6C3ECE" w14:textId="77777777" w:rsidR="0087009A" w:rsidRDefault="00CD1C6E">
                  <w:pPr>
                    <w:jc w:val="center"/>
                  </w:pPr>
                  <w:r>
                    <w:rPr>
                      <w:b/>
                      <w:bCs/>
                      <w:color w:val="FFFFFF"/>
                      <w:sz w:val="15"/>
                      <w:szCs w:val="15"/>
                    </w:rPr>
                    <w:t>UTI</w:t>
                  </w:r>
                </w:p>
              </w:tc>
              <w:tc>
                <w:tcPr>
                  <w:tcW w:w="1428" w:type="dxa"/>
                  <w:shd w:val="clear" w:color="auto" w:fill="1B8A66"/>
                  <w:tcMar>
                    <w:top w:w="70" w:type="dxa"/>
                    <w:left w:w="40" w:type="dxa"/>
                    <w:bottom w:w="70" w:type="dxa"/>
                    <w:right w:w="40" w:type="dxa"/>
                  </w:tcMar>
                  <w:vAlign w:val="center"/>
                </w:tcPr>
                <w:p w14:paraId="6D6C3ECF" w14:textId="77777777" w:rsidR="0087009A" w:rsidRDefault="00CD1C6E">
                  <w:pPr>
                    <w:jc w:val="center"/>
                  </w:pPr>
                  <w:r>
                    <w:rPr>
                      <w:b/>
                      <w:bCs/>
                      <w:color w:val="FFFFFF"/>
                      <w:sz w:val="15"/>
                      <w:szCs w:val="15"/>
                    </w:rPr>
                    <w:t>Insect bites</w:t>
                  </w:r>
                </w:p>
              </w:tc>
              <w:tc>
                <w:tcPr>
                  <w:tcW w:w="1428" w:type="dxa"/>
                  <w:shd w:val="clear" w:color="auto" w:fill="1B8A66"/>
                  <w:tcMar>
                    <w:top w:w="70" w:type="dxa"/>
                    <w:left w:w="40" w:type="dxa"/>
                    <w:bottom w:w="70" w:type="dxa"/>
                    <w:right w:w="40" w:type="dxa"/>
                  </w:tcMar>
                  <w:vAlign w:val="center"/>
                </w:tcPr>
                <w:p w14:paraId="6D6C3ED0" w14:textId="77777777" w:rsidR="0087009A" w:rsidRDefault="00CD1C6E">
                  <w:pPr>
                    <w:jc w:val="center"/>
                  </w:pPr>
                  <w:r>
                    <w:rPr>
                      <w:b/>
                      <w:bCs/>
                      <w:color w:val="FFFFFF"/>
                      <w:sz w:val="15"/>
                      <w:szCs w:val="15"/>
                    </w:rPr>
                    <w:t>Shingles</w:t>
                  </w:r>
                </w:p>
              </w:tc>
              <w:tc>
                <w:tcPr>
                  <w:tcW w:w="1428" w:type="dxa"/>
                  <w:shd w:val="clear" w:color="auto" w:fill="1B8A66"/>
                  <w:tcMar>
                    <w:top w:w="70" w:type="dxa"/>
                    <w:left w:w="40" w:type="dxa"/>
                    <w:bottom w:w="70" w:type="dxa"/>
                    <w:right w:w="40" w:type="dxa"/>
                  </w:tcMar>
                  <w:vAlign w:val="center"/>
                </w:tcPr>
                <w:p w14:paraId="6D6C3ED1" w14:textId="77777777" w:rsidR="0087009A" w:rsidRDefault="00CD1C6E">
                  <w:pPr>
                    <w:jc w:val="center"/>
                  </w:pPr>
                  <w:r>
                    <w:rPr>
                      <w:b/>
                      <w:bCs/>
                      <w:color w:val="FFFFFF"/>
                      <w:sz w:val="15"/>
                      <w:szCs w:val="15"/>
                    </w:rPr>
                    <w:t>Impetigo</w:t>
                  </w:r>
                </w:p>
              </w:tc>
            </w:tr>
          </w:tbl>
          <w:p w14:paraId="6D6C3ED3" w14:textId="77777777" w:rsidR="0087009A" w:rsidRDefault="0087009A"/>
        </w:tc>
      </w:tr>
    </w:tbl>
    <w:p w14:paraId="6D6C3ED5" w14:textId="77777777" w:rsidR="0087009A" w:rsidRDefault="0087009A">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87009A" w14:paraId="6D6C3ED8" w14:textId="77777777">
        <w:tblPrEx>
          <w:tblCellMar>
            <w:top w:w="0" w:type="dxa"/>
            <w:bottom w:w="0" w:type="dxa"/>
          </w:tblCellMar>
        </w:tblPrEx>
        <w:trPr>
          <w:cantSplit/>
        </w:trPr>
        <w:tc>
          <w:tcPr>
            <w:tcW w:w="10466" w:type="dxa"/>
            <w:shd w:val="clear" w:color="auto" w:fill="EEF7F3"/>
            <w:tcMar>
              <w:top w:w="120" w:type="dxa"/>
              <w:left w:w="170" w:type="dxa"/>
              <w:bottom w:w="120" w:type="dxa"/>
              <w:right w:w="170" w:type="dxa"/>
            </w:tcMar>
          </w:tcPr>
          <w:p w14:paraId="6D6C3ED6" w14:textId="77777777" w:rsidR="0087009A" w:rsidRDefault="00CD1C6E">
            <w:pPr>
              <w:spacing w:after="70"/>
            </w:pPr>
            <w:r>
              <w:rPr>
                <w:b/>
                <w:bCs/>
                <w:color w:val="0E5A45"/>
                <w:sz w:val="23"/>
                <w:szCs w:val="23"/>
              </w:rPr>
              <w:lastRenderedPageBreak/>
              <w:t>Quick and close to home</w:t>
            </w:r>
          </w:p>
          <w:p w14:paraId="6D6C3ED7" w14:textId="77777777" w:rsidR="0087009A" w:rsidRDefault="00CD1C6E">
            <w:pPr>
              <w:jc w:val="center"/>
            </w:pPr>
            <w:r>
              <w:rPr>
                <w:noProof/>
              </w:rPr>
              <w:drawing>
                <wp:inline distT="0" distB="0" distL="0" distR="0" wp14:anchorId="6D6C3F0A" wp14:editId="6D6C3F0B">
                  <wp:extent cx="6191250" cy="1247775"/>
                  <wp:effectExtent l="0" t="0" r="0" b="0"/>
                  <wp:docPr id="1993390319" name="visual" descr="Pictograph: nearly 9 in 10 people live within a 20-minute walk of a pharmacy" title="Vis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191250" cy="1247775"/>
                          </a:xfrm>
                          <a:prstGeom prst="rect">
                            <a:avLst/>
                          </a:prstGeom>
                        </pic:spPr>
                      </pic:pic>
                    </a:graphicData>
                  </a:graphic>
                </wp:inline>
              </w:drawing>
            </w:r>
          </w:p>
        </w:tc>
      </w:tr>
    </w:tbl>
    <w:p w14:paraId="6D6C3ED9" w14:textId="77777777" w:rsidR="0087009A" w:rsidRDefault="0087009A">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133"/>
        <w:gridCol w:w="200"/>
        <w:gridCol w:w="5133"/>
      </w:tblGrid>
      <w:tr w:rsidR="0087009A" w14:paraId="6D6C3EDF" w14:textId="77777777">
        <w:tblPrEx>
          <w:tblCellMar>
            <w:top w:w="0" w:type="dxa"/>
            <w:bottom w:w="0" w:type="dxa"/>
          </w:tblCellMar>
        </w:tblPrEx>
        <w:trPr>
          <w:cantSplit/>
        </w:trPr>
        <w:tc>
          <w:tcPr>
            <w:tcW w:w="5133" w:type="dxa"/>
            <w:shd w:val="clear" w:color="auto" w:fill="ECE7F6"/>
            <w:tcMar>
              <w:top w:w="150" w:type="dxa"/>
              <w:left w:w="170" w:type="dxa"/>
              <w:bottom w:w="150" w:type="dxa"/>
              <w:right w:w="170" w:type="dxa"/>
            </w:tcMar>
          </w:tcPr>
          <w:p w14:paraId="6D6C3EDA" w14:textId="77777777" w:rsidR="0087009A" w:rsidRDefault="00CD1C6E">
            <w:pPr>
              <w:spacing w:after="70"/>
            </w:pPr>
            <w:r>
              <w:rPr>
                <w:b/>
                <w:bCs/>
                <w:color w:val="4B3488"/>
                <w:sz w:val="23"/>
                <w:szCs w:val="23"/>
              </w:rPr>
              <w:t>Problem 1 — closures and staffing</w:t>
            </w:r>
          </w:p>
          <w:p w14:paraId="6D6C3EDB" w14:textId="77777777" w:rsidR="0087009A" w:rsidRDefault="00CD1C6E">
            <w:pPr>
              <w:spacing w:line="252" w:lineRule="auto"/>
            </w:pPr>
            <w:r>
              <w:rPr>
                <w:color w:val="262626"/>
                <w:sz w:val="19"/>
                <w:szCs w:val="19"/>
              </w:rPr>
              <w:t>Between 2016 and 2023 around 1,200 pharmacies closed because they could not afford to stay open (Company Chemists’ Association, 2023). The NHS pays pharmacies less per patient than GP surgeries, so many pharmacists leave the NHS or move abroad for better conditions (Nuffield Trust, 2023) — and in some areas patients must now travel much further to their nearest pharmacy.</w:t>
            </w:r>
          </w:p>
        </w:tc>
        <w:tc>
          <w:tcPr>
            <w:tcW w:w="200" w:type="dxa"/>
          </w:tcPr>
          <w:p w14:paraId="6D6C3EDC" w14:textId="77777777" w:rsidR="0087009A" w:rsidRDefault="0087009A"/>
        </w:tc>
        <w:tc>
          <w:tcPr>
            <w:tcW w:w="5133" w:type="dxa"/>
            <w:shd w:val="clear" w:color="auto" w:fill="FCEBD8"/>
            <w:tcMar>
              <w:top w:w="150" w:type="dxa"/>
              <w:left w:w="170" w:type="dxa"/>
              <w:bottom w:w="150" w:type="dxa"/>
              <w:right w:w="170" w:type="dxa"/>
            </w:tcMar>
          </w:tcPr>
          <w:p w14:paraId="6D6C3EDD" w14:textId="77777777" w:rsidR="0087009A" w:rsidRDefault="00CD1C6E">
            <w:pPr>
              <w:spacing w:after="70"/>
            </w:pPr>
            <w:r>
              <w:rPr>
                <w:b/>
                <w:bCs/>
                <w:color w:val="9A531A"/>
                <w:sz w:val="23"/>
                <w:szCs w:val="23"/>
              </w:rPr>
              <w:t>Problem 2 — disconnected IT systems</w:t>
            </w:r>
          </w:p>
          <w:p w14:paraId="6D6C3EDE" w14:textId="77777777" w:rsidR="0087009A" w:rsidRDefault="00CD1C6E">
            <w:pPr>
              <w:spacing w:line="252" w:lineRule="auto"/>
            </w:pPr>
            <w:r>
              <w:rPr>
                <w:color w:val="262626"/>
                <w:sz w:val="19"/>
                <w:szCs w:val="19"/>
              </w:rPr>
              <w:t>Pharmacy computer systems often cannot connect with those used by GPs and hospitals, so a pharmacist treating someone through Pharmacy First may not see what other medicines they take (NHS Digital, 2022). The Health Foundation (2022) found these gaps slow treatment and can put patients at risk, so better digital links are needed before such schemes can work as safely as they should.</w:t>
            </w:r>
          </w:p>
        </w:tc>
      </w:tr>
    </w:tbl>
    <w:p w14:paraId="6D6C3EE0" w14:textId="77777777" w:rsidR="0087009A" w:rsidRDefault="0087009A">
      <w:pPr>
        <w:spacing w:after="70"/>
      </w:pPr>
    </w:p>
    <w:p w14:paraId="6D6C3EE1" w14:textId="77777777" w:rsidR="0087009A" w:rsidRDefault="00CD1C6E">
      <w:pPr>
        <w:pBdr>
          <w:top w:val="single" w:sz="4" w:space="4" w:color="0E5A45"/>
        </w:pBdr>
        <w:spacing w:after="90"/>
      </w:pPr>
      <w:r>
        <w:rPr>
          <w:b/>
          <w:bCs/>
          <w:color w:val="0E5A45"/>
          <w:sz w:val="19"/>
          <w:szCs w:val="19"/>
        </w:rPr>
        <w:t>References</w:t>
      </w:r>
    </w:p>
    <w:p w14:paraId="6D6C3EE2" w14:textId="77777777" w:rsidR="0087009A" w:rsidRDefault="00CD1C6E">
      <w:pPr>
        <w:spacing w:after="55"/>
        <w:ind w:left="320" w:hanging="320"/>
      </w:pPr>
      <w:r>
        <w:rPr>
          <w:color w:val="262626"/>
          <w:sz w:val="17"/>
          <w:szCs w:val="17"/>
        </w:rPr>
        <w:t xml:space="preserve">Anderson, S. (2005) </w:t>
      </w:r>
      <w:r>
        <w:rPr>
          <w:i/>
          <w:iCs/>
          <w:color w:val="262626"/>
          <w:sz w:val="17"/>
          <w:szCs w:val="17"/>
        </w:rPr>
        <w:t>Making Medicines: A Brief History of Pharmacy and Pharmaceuticals.</w:t>
      </w:r>
      <w:r>
        <w:rPr>
          <w:color w:val="262626"/>
          <w:sz w:val="17"/>
          <w:szCs w:val="17"/>
        </w:rPr>
        <w:t xml:space="preserve"> London: Pharmaceutical Press.</w:t>
      </w:r>
    </w:p>
    <w:p w14:paraId="6D6C3EE3" w14:textId="77777777" w:rsidR="0087009A" w:rsidRDefault="00CD1C6E">
      <w:pPr>
        <w:spacing w:after="55"/>
        <w:ind w:left="320" w:hanging="320"/>
      </w:pPr>
      <w:r>
        <w:rPr>
          <w:color w:val="262626"/>
          <w:sz w:val="17"/>
          <w:szCs w:val="17"/>
        </w:rPr>
        <w:t xml:space="preserve">Company Chemists’ Association (2023) </w:t>
      </w:r>
      <w:r>
        <w:rPr>
          <w:i/>
          <w:iCs/>
          <w:color w:val="262626"/>
          <w:sz w:val="17"/>
          <w:szCs w:val="17"/>
        </w:rPr>
        <w:t>State of the Sector Report 2023.</w:t>
      </w:r>
      <w:r>
        <w:rPr>
          <w:color w:val="262626"/>
          <w:sz w:val="17"/>
          <w:szCs w:val="17"/>
        </w:rPr>
        <w:t xml:space="preserve"> Available at: https://www.companychemists.com (Accessed: 10 June 2026).</w:t>
      </w:r>
    </w:p>
    <w:p w14:paraId="6D6C3EE4" w14:textId="77777777" w:rsidR="0087009A" w:rsidRDefault="00CD1C6E">
      <w:pPr>
        <w:spacing w:after="55"/>
        <w:ind w:left="320" w:hanging="320"/>
      </w:pPr>
      <w:r>
        <w:rPr>
          <w:color w:val="262626"/>
          <w:sz w:val="17"/>
          <w:szCs w:val="17"/>
        </w:rPr>
        <w:t xml:space="preserve">Health Foundation (2022) </w:t>
      </w:r>
      <w:r>
        <w:rPr>
          <w:i/>
          <w:iCs/>
          <w:color w:val="262626"/>
          <w:sz w:val="17"/>
          <w:szCs w:val="17"/>
        </w:rPr>
        <w:t>Digital Technology and NHS Pharmacies.</w:t>
      </w:r>
      <w:r>
        <w:rPr>
          <w:color w:val="262626"/>
          <w:sz w:val="17"/>
          <w:szCs w:val="17"/>
        </w:rPr>
        <w:t xml:space="preserve"> London: Health Foundation.</w:t>
      </w:r>
    </w:p>
    <w:p w14:paraId="6D6C3EE5" w14:textId="77777777" w:rsidR="0087009A" w:rsidRDefault="00CD1C6E">
      <w:pPr>
        <w:spacing w:after="55"/>
        <w:ind w:left="320" w:hanging="320"/>
      </w:pPr>
      <w:r>
        <w:rPr>
          <w:color w:val="262626"/>
          <w:sz w:val="17"/>
          <w:szCs w:val="17"/>
        </w:rPr>
        <w:t xml:space="preserve">NHS Digital (2022) </w:t>
      </w:r>
      <w:r>
        <w:rPr>
          <w:i/>
          <w:iCs/>
          <w:color w:val="262626"/>
          <w:sz w:val="17"/>
          <w:szCs w:val="17"/>
        </w:rPr>
        <w:t>Electronic Prescription Service: Annual Report.</w:t>
      </w:r>
      <w:r>
        <w:rPr>
          <w:color w:val="262626"/>
          <w:sz w:val="17"/>
          <w:szCs w:val="17"/>
        </w:rPr>
        <w:t xml:space="preserve"> Available at: https://digital.nhs.uk (Accessed: 10 June 2026).</w:t>
      </w:r>
    </w:p>
    <w:p w14:paraId="6D6C3EE6" w14:textId="77777777" w:rsidR="0087009A" w:rsidRDefault="00CD1C6E">
      <w:pPr>
        <w:spacing w:after="55"/>
        <w:ind w:left="320" w:hanging="320"/>
      </w:pPr>
      <w:r>
        <w:rPr>
          <w:color w:val="262626"/>
          <w:sz w:val="17"/>
          <w:szCs w:val="17"/>
        </w:rPr>
        <w:t xml:space="preserve">NHS England (2019) </w:t>
      </w:r>
      <w:r>
        <w:rPr>
          <w:i/>
          <w:iCs/>
          <w:color w:val="262626"/>
          <w:sz w:val="17"/>
          <w:szCs w:val="17"/>
        </w:rPr>
        <w:t>The NHS Long Term Plan.</w:t>
      </w:r>
      <w:r>
        <w:rPr>
          <w:color w:val="262626"/>
          <w:sz w:val="17"/>
          <w:szCs w:val="17"/>
        </w:rPr>
        <w:t xml:space="preserve"> Available at: https://www.longtermplan.nhs.uk (Accessed: 10 June 2026).</w:t>
      </w:r>
    </w:p>
    <w:p w14:paraId="6D6C3EE7" w14:textId="77777777" w:rsidR="0087009A" w:rsidRDefault="00CD1C6E">
      <w:pPr>
        <w:spacing w:after="55"/>
        <w:ind w:left="320" w:hanging="320"/>
      </w:pPr>
      <w:r>
        <w:rPr>
          <w:color w:val="262626"/>
          <w:sz w:val="17"/>
          <w:szCs w:val="17"/>
        </w:rPr>
        <w:t xml:space="preserve">NHS England (2023) </w:t>
      </w:r>
      <w:r>
        <w:rPr>
          <w:i/>
          <w:iCs/>
          <w:color w:val="262626"/>
          <w:sz w:val="17"/>
          <w:szCs w:val="17"/>
        </w:rPr>
        <w:t>Community Pharmacy: Contractual Framework.</w:t>
      </w:r>
      <w:r>
        <w:rPr>
          <w:color w:val="262626"/>
          <w:sz w:val="17"/>
          <w:szCs w:val="17"/>
        </w:rPr>
        <w:t xml:space="preserve"> Available at: https://www.england.nhs.uk (Accessed: 10 June 2026).</w:t>
      </w:r>
    </w:p>
    <w:p w14:paraId="6D6C3EE8" w14:textId="77777777" w:rsidR="0087009A" w:rsidRDefault="00CD1C6E">
      <w:pPr>
        <w:spacing w:after="55"/>
        <w:ind w:left="320" w:hanging="320"/>
      </w:pPr>
      <w:r>
        <w:rPr>
          <w:color w:val="262626"/>
          <w:sz w:val="17"/>
          <w:szCs w:val="17"/>
        </w:rPr>
        <w:t xml:space="preserve">NHS England (2024) </w:t>
      </w:r>
      <w:r>
        <w:rPr>
          <w:i/>
          <w:iCs/>
          <w:color w:val="262626"/>
          <w:sz w:val="17"/>
          <w:szCs w:val="17"/>
        </w:rPr>
        <w:t>Pharmacy First.</w:t>
      </w:r>
      <w:r>
        <w:rPr>
          <w:color w:val="262626"/>
          <w:sz w:val="17"/>
          <w:szCs w:val="17"/>
        </w:rPr>
        <w:t xml:space="preserve"> Available at: https://www.england.nhs.uk/pharmacyfirst (Accessed: 10 June 2026).</w:t>
      </w:r>
    </w:p>
    <w:p w14:paraId="6D6C3EE9" w14:textId="77777777" w:rsidR="0087009A" w:rsidRDefault="00CD1C6E">
      <w:pPr>
        <w:spacing w:after="55"/>
        <w:ind w:left="320" w:hanging="320"/>
      </w:pPr>
      <w:r>
        <w:rPr>
          <w:color w:val="262626"/>
          <w:sz w:val="17"/>
          <w:szCs w:val="17"/>
        </w:rPr>
        <w:t xml:space="preserve">Nuffield Trust (2023) </w:t>
      </w:r>
      <w:r>
        <w:rPr>
          <w:i/>
          <w:iCs/>
          <w:color w:val="262626"/>
          <w:sz w:val="17"/>
          <w:szCs w:val="17"/>
        </w:rPr>
        <w:t>Community Pharmacy: The Funding Gap.</w:t>
      </w:r>
      <w:r>
        <w:rPr>
          <w:color w:val="262626"/>
          <w:sz w:val="17"/>
          <w:szCs w:val="17"/>
        </w:rPr>
        <w:t xml:space="preserve"> London: Nuffield Trust.</w:t>
      </w:r>
    </w:p>
    <w:p w14:paraId="6D6C3EEA" w14:textId="77777777" w:rsidR="0087009A" w:rsidRDefault="00CD1C6E">
      <w:pPr>
        <w:spacing w:after="55"/>
        <w:ind w:left="320" w:hanging="320"/>
      </w:pPr>
      <w:r>
        <w:rPr>
          <w:color w:val="262626"/>
          <w:sz w:val="17"/>
          <w:szCs w:val="17"/>
        </w:rPr>
        <w:t xml:space="preserve">PSNC (2023) </w:t>
      </w:r>
      <w:r>
        <w:rPr>
          <w:i/>
          <w:iCs/>
          <w:color w:val="262626"/>
          <w:sz w:val="17"/>
          <w:szCs w:val="17"/>
        </w:rPr>
        <w:t>NHS Community Pharmacy Statistics.</w:t>
      </w:r>
      <w:r>
        <w:rPr>
          <w:color w:val="262626"/>
          <w:sz w:val="17"/>
          <w:szCs w:val="17"/>
        </w:rPr>
        <w:t xml:space="preserve"> Available at: https://psnc.org.uk (Accessed: 10 June 2026).</w:t>
      </w:r>
    </w:p>
    <w:p w14:paraId="6D6C3EEB" w14:textId="77777777" w:rsidR="0087009A" w:rsidRDefault="00CD1C6E">
      <w:pPr>
        <w:spacing w:after="55"/>
        <w:ind w:left="320" w:hanging="320"/>
      </w:pPr>
      <w:r>
        <w:rPr>
          <w:color w:val="262626"/>
          <w:sz w:val="17"/>
          <w:szCs w:val="17"/>
        </w:rPr>
        <w:t xml:space="preserve">Rivett, G. (2018) </w:t>
      </w:r>
      <w:r>
        <w:rPr>
          <w:i/>
          <w:iCs/>
          <w:color w:val="262626"/>
          <w:sz w:val="17"/>
          <w:szCs w:val="17"/>
        </w:rPr>
        <w:t>National Health Service History.</w:t>
      </w:r>
      <w:r>
        <w:rPr>
          <w:color w:val="262626"/>
          <w:sz w:val="17"/>
          <w:szCs w:val="17"/>
        </w:rPr>
        <w:t xml:space="preserve"> Available at: https://www.nhshistory.net (Accessed: 10 June 2026).</w:t>
      </w:r>
    </w:p>
    <w:p w14:paraId="6D6C3EEC" w14:textId="77777777" w:rsidR="0087009A" w:rsidRDefault="0087009A">
      <w:pPr>
        <w:sectPr w:rsidR="0087009A">
          <w:footerReference w:type="default" r:id="rId9"/>
          <w:pgSz w:w="11906" w:h="16838"/>
          <w:pgMar w:top="720" w:right="720" w:bottom="720" w:left="720" w:header="708" w:footer="708" w:gutter="0"/>
          <w:cols w:space="720"/>
          <w:docGrid w:linePitch="360"/>
        </w:sectPr>
      </w:pPr>
    </w:p>
    <w:p w14:paraId="6D6C3EED" w14:textId="77777777" w:rsidR="0087009A" w:rsidRDefault="00CD1C6E">
      <w:pPr>
        <w:pageBreakBefore/>
        <w:spacing w:after="40"/>
      </w:pPr>
      <w:r>
        <w:rPr>
          <w:b/>
          <w:bCs/>
          <w:color w:val="0E5A45"/>
          <w:sz w:val="34"/>
          <w:szCs w:val="34"/>
        </w:rPr>
        <w:lastRenderedPageBreak/>
        <w:t>Residential Care Homes</w:t>
      </w:r>
    </w:p>
    <w:p w14:paraId="6D6C3EEE" w14:textId="77777777" w:rsidR="0087009A" w:rsidRDefault="00CD1C6E">
      <w:pPr>
        <w:spacing w:after="160"/>
      </w:pPr>
      <w:r>
        <w:rPr>
          <w:i/>
          <w:iCs/>
          <w:color w:val="5F6470"/>
        </w:rPr>
        <w:t xml:space="preserve">Where they came from, how they work, and why they </w:t>
      </w:r>
      <w:proofErr w:type="gramStart"/>
      <w:r>
        <w:rPr>
          <w:i/>
          <w:iCs/>
          <w:color w:val="5F6470"/>
        </w:rPr>
        <w:t>matter  ·</w:t>
      </w:r>
      <w:proofErr w:type="gramEnd"/>
      <w:r>
        <w:rPr>
          <w:i/>
          <w:iCs/>
          <w:color w:val="5F6470"/>
        </w:rPr>
        <w:t xml:space="preserve">  LCHS4003 Task 2</w:t>
      </w:r>
    </w:p>
    <w:p w14:paraId="6D6C3EEF" w14:textId="77777777" w:rsidR="0087009A" w:rsidRDefault="00CD1C6E">
      <w:pPr>
        <w:spacing w:before="200" w:after="100"/>
      </w:pPr>
      <w:r>
        <w:rPr>
          <w:b/>
          <w:bCs/>
          <w:color w:val="0E5A45"/>
          <w:sz w:val="26"/>
          <w:szCs w:val="26"/>
        </w:rPr>
        <w:t>Introduction</w:t>
      </w:r>
    </w:p>
    <w:p w14:paraId="6D6C3EF0" w14:textId="77777777" w:rsidR="0087009A" w:rsidRDefault="00CD1C6E">
      <w:pPr>
        <w:spacing w:after="160" w:line="276" w:lineRule="auto"/>
        <w:jc w:val="both"/>
      </w:pPr>
      <w:r>
        <w:rPr>
          <w:color w:val="262626"/>
          <w:sz w:val="22"/>
          <w:szCs w:val="22"/>
        </w:rPr>
        <w:t>Residential care homes are places where people who can no longer manage at home go to live and receive daily support. Staff help with everyday tasks like washing, dressing, eating, and taking medicines. This essay looks at where residential care came from, how it works today, and why it matters for the people who use it.</w:t>
      </w:r>
    </w:p>
    <w:p w14:paraId="6D6C3EF1" w14:textId="77777777" w:rsidR="0087009A" w:rsidRDefault="00CD1C6E">
      <w:pPr>
        <w:spacing w:before="200" w:after="100"/>
      </w:pPr>
      <w:r>
        <w:rPr>
          <w:b/>
          <w:bCs/>
          <w:color w:val="0E5A45"/>
          <w:sz w:val="26"/>
          <w:szCs w:val="26"/>
        </w:rPr>
        <w:t>Where it all started</w:t>
      </w:r>
    </w:p>
    <w:p w14:paraId="6D6C3EF2" w14:textId="77777777" w:rsidR="0087009A" w:rsidRDefault="00CD1C6E">
      <w:pPr>
        <w:spacing w:after="160" w:line="276" w:lineRule="auto"/>
        <w:jc w:val="both"/>
      </w:pPr>
      <w:r>
        <w:rPr>
          <w:color w:val="262626"/>
          <w:sz w:val="22"/>
          <w:szCs w:val="22"/>
        </w:rPr>
        <w:t xml:space="preserve">The story of residential care in the UK begins in the 1800s, when people who could not look after themselves were sent to workhouses. These were harsh institutions run by the government that were deliberately made unpleasant </w:t>
      </w:r>
      <w:proofErr w:type="gramStart"/>
      <w:r>
        <w:rPr>
          <w:color w:val="262626"/>
          <w:sz w:val="22"/>
          <w:szCs w:val="22"/>
        </w:rPr>
        <w:t>in order to</w:t>
      </w:r>
      <w:proofErr w:type="gramEnd"/>
      <w:r>
        <w:rPr>
          <w:color w:val="262626"/>
          <w:sz w:val="22"/>
          <w:szCs w:val="22"/>
        </w:rPr>
        <w:t xml:space="preserve"> discourage people from relying on public support (Means and Smith, 2008). Older and disabled people had little choice but to live in these difficult conditions, doing hard work in exchange for food and shelter.</w:t>
      </w:r>
    </w:p>
    <w:p w14:paraId="6D6C3EF3" w14:textId="77777777" w:rsidR="0087009A" w:rsidRDefault="00CD1C6E">
      <w:pPr>
        <w:spacing w:after="160" w:line="276" w:lineRule="auto"/>
        <w:jc w:val="both"/>
      </w:pPr>
      <w:r>
        <w:rPr>
          <w:color w:val="262626"/>
          <w:sz w:val="22"/>
          <w:szCs w:val="22"/>
        </w:rPr>
        <w:t xml:space="preserve">The National Assistance Act 1948 changed everything. It abolished workhouses and placed a legal duty on local councils to provide proper accommodation for people who needed care (Townsend, 1962). This marked the beginning of the modern care home </w:t>
      </w:r>
      <w:proofErr w:type="gramStart"/>
      <w:r>
        <w:rPr>
          <w:color w:val="262626"/>
          <w:sz w:val="22"/>
          <w:szCs w:val="22"/>
        </w:rPr>
        <w:t>system,</w:t>
      </w:r>
      <w:proofErr w:type="gramEnd"/>
      <w:r>
        <w:rPr>
          <w:color w:val="262626"/>
          <w:sz w:val="22"/>
          <w:szCs w:val="22"/>
        </w:rPr>
        <w:t xml:space="preserve"> one built around welfare and support rather than punishment.</w:t>
      </w:r>
    </w:p>
    <w:p w14:paraId="6D6C3EF4" w14:textId="77777777" w:rsidR="0087009A" w:rsidRDefault="00CD1C6E">
      <w:pPr>
        <w:spacing w:after="160" w:line="276" w:lineRule="auto"/>
        <w:jc w:val="both"/>
      </w:pPr>
      <w:r>
        <w:rPr>
          <w:color w:val="262626"/>
          <w:sz w:val="22"/>
          <w:szCs w:val="22"/>
        </w:rPr>
        <w:t>Further change came with the NHS and Community Care Act 1990, which encouraged private companies and charities to run care homes alongside councils. Today, roughly 84% of care home places in England are provided by the independent sector (Care Quality Commission, 2023). The Care Act 2014 later introduced a requirement for every resident to have a personal care plan that is tailored to their individual needs and wishes.</w:t>
      </w:r>
    </w:p>
    <w:p w14:paraId="6D6C3EF5" w14:textId="77777777" w:rsidR="0087009A" w:rsidRDefault="00CD1C6E">
      <w:pPr>
        <w:spacing w:before="200" w:after="100"/>
      </w:pPr>
      <w:r>
        <w:rPr>
          <w:b/>
          <w:bCs/>
          <w:color w:val="0E5A45"/>
          <w:sz w:val="26"/>
          <w:szCs w:val="26"/>
        </w:rPr>
        <w:t>How residential care homes work today</w:t>
      </w:r>
    </w:p>
    <w:p w14:paraId="6D6C3EF6" w14:textId="77777777" w:rsidR="0087009A" w:rsidRDefault="00CD1C6E">
      <w:pPr>
        <w:spacing w:after="160" w:line="276" w:lineRule="auto"/>
        <w:jc w:val="both"/>
      </w:pPr>
      <w:r>
        <w:rPr>
          <w:color w:val="262626"/>
          <w:sz w:val="22"/>
          <w:szCs w:val="22"/>
        </w:rPr>
        <w:t>Care homes in England are inspected by the Care Quality Commission, known as the CQC. The CQC checks whether homes are safe, caring, well-run, and responsive to what residents need. In 2023, 80% of care homes were rated Good or Outstanding (CQC, 2023), which shows that the quality of care has improved significantly over time.</w:t>
      </w:r>
    </w:p>
    <w:p w14:paraId="6D6C3EF7" w14:textId="77777777" w:rsidR="0087009A" w:rsidRDefault="00CD1C6E">
      <w:pPr>
        <w:spacing w:after="160" w:line="276" w:lineRule="auto"/>
        <w:jc w:val="both"/>
      </w:pPr>
      <w:r>
        <w:rPr>
          <w:color w:val="262626"/>
          <w:sz w:val="22"/>
          <w:szCs w:val="22"/>
        </w:rPr>
        <w:t xml:space="preserve">Modern care homes try to feel like real homes rather than institutions. Staff are trained to treat each resident as an individual, </w:t>
      </w:r>
      <w:proofErr w:type="gramStart"/>
      <w:r>
        <w:rPr>
          <w:color w:val="262626"/>
          <w:sz w:val="22"/>
          <w:szCs w:val="22"/>
        </w:rPr>
        <w:t>taking into account</w:t>
      </w:r>
      <w:proofErr w:type="gramEnd"/>
      <w:r>
        <w:rPr>
          <w:color w:val="262626"/>
          <w:sz w:val="22"/>
          <w:szCs w:val="22"/>
        </w:rPr>
        <w:t xml:space="preserve"> their preferences, culture, and daily routine. Many homes offer activities, outings, and events to keep residents socially connected to others. Specialist units for people with dementia are also common, with staff trained to understand how the condition affects daily life and how best to support residents (Alzheimer’s Society, 2023). Around 430,000 people live in care homes in England at any one time (Skills for Care, 2023).</w:t>
      </w:r>
    </w:p>
    <w:p w14:paraId="6D6C3EF8" w14:textId="77777777" w:rsidR="0087009A" w:rsidRDefault="00CD1C6E">
      <w:pPr>
        <w:spacing w:before="200" w:after="100"/>
      </w:pPr>
      <w:r>
        <w:rPr>
          <w:b/>
          <w:bCs/>
          <w:color w:val="0E5A45"/>
          <w:sz w:val="26"/>
          <w:szCs w:val="26"/>
        </w:rPr>
        <w:t>Why residential care homes matter</w:t>
      </w:r>
    </w:p>
    <w:p w14:paraId="6D6C3EF9" w14:textId="77777777" w:rsidR="0087009A" w:rsidRDefault="00CD1C6E">
      <w:pPr>
        <w:spacing w:after="160" w:line="276" w:lineRule="auto"/>
        <w:jc w:val="both"/>
      </w:pPr>
      <w:r>
        <w:rPr>
          <w:color w:val="262626"/>
          <w:sz w:val="22"/>
          <w:szCs w:val="22"/>
        </w:rPr>
        <w:t>For people with advanced dementia, serious health conditions, or those who need help around the clock, a care home is often the only safe option. Research has found that when care homes treat residents with respect, give them real choices, and help them stay socially active, residents report feeling much happier and healthier (Bowling, 2009).</w:t>
      </w:r>
    </w:p>
    <w:p w14:paraId="6D6C3EFA" w14:textId="77777777" w:rsidR="0087009A" w:rsidRDefault="00CD1C6E">
      <w:pPr>
        <w:spacing w:after="160" w:line="276" w:lineRule="auto"/>
        <w:jc w:val="both"/>
      </w:pPr>
      <w:r>
        <w:rPr>
          <w:color w:val="262626"/>
          <w:sz w:val="22"/>
          <w:szCs w:val="22"/>
        </w:rPr>
        <w:t xml:space="preserve">Care homes also help to reduce pressure on NHS hospitals. By keeping a close eye on residents’ health and catching problems early, care homes can prevent unnecessary hospital </w:t>
      </w:r>
      <w:r>
        <w:rPr>
          <w:color w:val="262626"/>
          <w:sz w:val="22"/>
          <w:szCs w:val="22"/>
        </w:rPr>
        <w:lastRenderedPageBreak/>
        <w:t>admissions (British Geriatrics Society, 2022). The Mental Capacity Act 2005 also protects people living in care homes by making sure that staff always act in the best interests of residents who cannot make decisions for themselves, and that any restrictions on a person’s freedom are kept to a minimum.</w:t>
      </w:r>
    </w:p>
    <w:p w14:paraId="6D6C3EFB" w14:textId="77777777" w:rsidR="0087009A" w:rsidRDefault="00CD1C6E">
      <w:pPr>
        <w:spacing w:before="200" w:after="100"/>
      </w:pPr>
      <w:r>
        <w:rPr>
          <w:b/>
          <w:bCs/>
          <w:color w:val="0E5A45"/>
          <w:sz w:val="26"/>
          <w:szCs w:val="26"/>
        </w:rPr>
        <w:t>Conclusion</w:t>
      </w:r>
    </w:p>
    <w:p w14:paraId="6D6C3EFC" w14:textId="77777777" w:rsidR="0087009A" w:rsidRDefault="00CD1C6E">
      <w:pPr>
        <w:spacing w:after="160" w:line="276" w:lineRule="auto"/>
        <w:jc w:val="both"/>
      </w:pPr>
      <w:r>
        <w:rPr>
          <w:color w:val="262626"/>
          <w:sz w:val="22"/>
          <w:szCs w:val="22"/>
        </w:rPr>
        <w:t>Residential care homes have changed enormously since the days of workhouses. Today they give vulnerable people a safe and dignified place to live. Despite ongoing challenges such as staff shortages and funding pressures, they remain an essential part of the UK’s care system, supporting people with high needs and helping to take pressure off NHS hospitals.</w:t>
      </w:r>
    </w:p>
    <w:p w14:paraId="6D6C3EFD" w14:textId="77777777" w:rsidR="0087009A" w:rsidRDefault="00CD1C6E">
      <w:pPr>
        <w:spacing w:before="200" w:after="100"/>
      </w:pPr>
      <w:r>
        <w:rPr>
          <w:b/>
          <w:bCs/>
          <w:color w:val="0E5A45"/>
          <w:sz w:val="26"/>
          <w:szCs w:val="26"/>
        </w:rPr>
        <w:t>References</w:t>
      </w:r>
    </w:p>
    <w:p w14:paraId="6D6C3EFE" w14:textId="77777777" w:rsidR="0087009A" w:rsidRDefault="00CD1C6E">
      <w:pPr>
        <w:spacing w:after="90" w:line="252" w:lineRule="auto"/>
        <w:ind w:left="360" w:hanging="360"/>
      </w:pPr>
      <w:r>
        <w:rPr>
          <w:color w:val="262626"/>
        </w:rPr>
        <w:t>Alzheimer’s Society (2023) Dementia and Residential Care. Available at: https://www.alzheimers.org.uk (Accessed: 10 June 2026).</w:t>
      </w:r>
    </w:p>
    <w:p w14:paraId="6D6C3EFF" w14:textId="77777777" w:rsidR="0087009A" w:rsidRDefault="00CD1C6E">
      <w:pPr>
        <w:spacing w:after="90" w:line="252" w:lineRule="auto"/>
        <w:ind w:left="360" w:hanging="360"/>
      </w:pPr>
      <w:r>
        <w:rPr>
          <w:color w:val="262626"/>
        </w:rPr>
        <w:t>Bowling, A. (2009) ‘The Psychosocial Framework of Quality of Life in Older People’, Ageing and Society, 29(3), pp. 413–439.</w:t>
      </w:r>
    </w:p>
    <w:p w14:paraId="6D6C3F00" w14:textId="77777777" w:rsidR="0087009A" w:rsidRDefault="00CD1C6E">
      <w:pPr>
        <w:spacing w:after="90" w:line="252" w:lineRule="auto"/>
        <w:ind w:left="360" w:hanging="360"/>
      </w:pPr>
      <w:r>
        <w:rPr>
          <w:color w:val="262626"/>
        </w:rPr>
        <w:t>British Geriatrics Society (2022) Care Homes and Acute Hospital Admissions. Available at: https://www.bgs.org.uk (Accessed: 10 June 2026).</w:t>
      </w:r>
    </w:p>
    <w:p w14:paraId="6D6C3F01" w14:textId="77777777" w:rsidR="0087009A" w:rsidRDefault="00CD1C6E">
      <w:pPr>
        <w:spacing w:after="90" w:line="252" w:lineRule="auto"/>
        <w:ind w:left="360" w:hanging="360"/>
      </w:pPr>
      <w:r>
        <w:rPr>
          <w:color w:val="262626"/>
        </w:rPr>
        <w:t>Care Quality Commission (2023) State of Care Report 2022–23. London: CQC. Available at: https://www.cqc.org.uk (Accessed: 10 June 2026).</w:t>
      </w:r>
    </w:p>
    <w:p w14:paraId="6D6C3F02" w14:textId="77777777" w:rsidR="0087009A" w:rsidRDefault="00CD1C6E">
      <w:pPr>
        <w:spacing w:after="90" w:line="252" w:lineRule="auto"/>
        <w:ind w:left="360" w:hanging="360"/>
      </w:pPr>
      <w:r>
        <w:rPr>
          <w:color w:val="262626"/>
        </w:rPr>
        <w:t xml:space="preserve">Means, R. and Smith, R. (2008) Community Care: Policy and Practice. 4th </w:t>
      </w:r>
      <w:proofErr w:type="spellStart"/>
      <w:r>
        <w:rPr>
          <w:color w:val="262626"/>
        </w:rPr>
        <w:t>edn</w:t>
      </w:r>
      <w:proofErr w:type="spellEnd"/>
      <w:r>
        <w:rPr>
          <w:color w:val="262626"/>
        </w:rPr>
        <w:t>. Basingstoke: Palgrave Macmillan.</w:t>
      </w:r>
    </w:p>
    <w:p w14:paraId="6D6C3F03" w14:textId="77777777" w:rsidR="0087009A" w:rsidRDefault="00CD1C6E">
      <w:pPr>
        <w:spacing w:after="90" w:line="252" w:lineRule="auto"/>
        <w:ind w:left="360" w:hanging="360"/>
      </w:pPr>
      <w:r>
        <w:rPr>
          <w:color w:val="262626"/>
        </w:rPr>
        <w:t>NHS and Community Care Act 1990. London: HMSO.</w:t>
      </w:r>
    </w:p>
    <w:p w14:paraId="6D6C3F04" w14:textId="77777777" w:rsidR="0087009A" w:rsidRDefault="00CD1C6E">
      <w:pPr>
        <w:spacing w:after="90" w:line="252" w:lineRule="auto"/>
        <w:ind w:left="360" w:hanging="360"/>
      </w:pPr>
      <w:r>
        <w:rPr>
          <w:color w:val="262626"/>
        </w:rPr>
        <w:t>Skills for Care (2023) The State of the Adult Social Care Sector and Workforce in England. Leeds: Skills for Care.</w:t>
      </w:r>
    </w:p>
    <w:p w14:paraId="6D6C3F05" w14:textId="77777777" w:rsidR="0087009A" w:rsidRDefault="00CD1C6E">
      <w:pPr>
        <w:spacing w:after="90" w:line="252" w:lineRule="auto"/>
        <w:ind w:left="360" w:hanging="360"/>
      </w:pPr>
      <w:r>
        <w:rPr>
          <w:color w:val="262626"/>
        </w:rPr>
        <w:t>Townsend, P. (1962) The Last Refuge: A Survey of Residential Institutions for the Aged. London: Routledge.</w:t>
      </w:r>
    </w:p>
    <w:sectPr w:rsidR="0087009A">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2E096" w14:textId="77777777" w:rsidR="00CD1C6E" w:rsidRDefault="00CD1C6E">
      <w:r>
        <w:separator/>
      </w:r>
    </w:p>
  </w:endnote>
  <w:endnote w:type="continuationSeparator" w:id="0">
    <w:p w14:paraId="756B34EF" w14:textId="77777777" w:rsidR="00CD1C6E" w:rsidRDefault="00CD1C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C3F0C" w14:textId="69FE60DC" w:rsidR="0087009A" w:rsidRDefault="00CD1C6E">
    <w:pPr>
      <w:pBdr>
        <w:top w:val="single" w:sz="4" w:space="6" w:color="D9D9D9"/>
      </w:pBdr>
      <w:tabs>
        <w:tab w:val="right" w:pos="10466"/>
      </w:tabs>
    </w:pPr>
    <w:r>
      <w:rPr>
        <w:color w:val="5F6470"/>
        <w:sz w:val="16"/>
        <w:szCs w:val="16"/>
      </w:rPr>
      <w:t>LCHS</w:t>
    </w:r>
    <w:proofErr w:type="gramStart"/>
    <w:r>
      <w:rPr>
        <w:color w:val="5F6470"/>
        <w:sz w:val="16"/>
        <w:szCs w:val="16"/>
      </w:rPr>
      <w:t>4003  ·</w:t>
    </w:r>
    <w:proofErr w:type="gramEnd"/>
    <w:r>
      <w:rPr>
        <w:color w:val="5F6470"/>
        <w:sz w:val="16"/>
        <w:szCs w:val="16"/>
      </w:rPr>
      <w:t xml:space="preserve">  Task 1: Pharmacy Services (poster)</w:t>
    </w:r>
    <w:r>
      <w:rPr>
        <w:color w:val="5F6470"/>
        <w:sz w:val="16"/>
        <w:szCs w:val="16"/>
      </w:rPr>
      <w:tab/>
      <w:t xml:space="preserve">Page </w:t>
    </w:r>
    <w:r>
      <w:rPr>
        <w:color w:val="5F6470"/>
        <w:sz w:val="16"/>
        <w:szCs w:val="16"/>
      </w:rPr>
      <w:fldChar w:fldCharType="begin"/>
    </w:r>
    <w:r>
      <w:rPr>
        <w:color w:val="5F6470"/>
        <w:sz w:val="16"/>
        <w:szCs w:val="16"/>
      </w:rPr>
      <w:instrText>PAGE</w:instrText>
    </w:r>
    <w:r>
      <w:rPr>
        <w:color w:val="5F6470"/>
        <w:sz w:val="16"/>
        <w:szCs w:val="16"/>
      </w:rPr>
      <w:fldChar w:fldCharType="separate"/>
    </w:r>
    <w:r w:rsidR="00C76C71">
      <w:rPr>
        <w:noProof/>
        <w:color w:val="5F6470"/>
        <w:sz w:val="16"/>
        <w:szCs w:val="16"/>
      </w:rPr>
      <w:t>1</w:t>
    </w:r>
    <w:r>
      <w:rPr>
        <w:color w:val="5F6470"/>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C3F0D" w14:textId="5ED6C3E4" w:rsidR="0087009A" w:rsidRDefault="00CD1C6E">
    <w:pPr>
      <w:pBdr>
        <w:top w:val="single" w:sz="4" w:space="6" w:color="D9D9D9"/>
      </w:pBdr>
      <w:tabs>
        <w:tab w:val="right" w:pos="10466"/>
      </w:tabs>
    </w:pPr>
    <w:r>
      <w:rPr>
        <w:color w:val="5F6470"/>
        <w:sz w:val="16"/>
        <w:szCs w:val="16"/>
      </w:rPr>
      <w:t>LCHS</w:t>
    </w:r>
    <w:proofErr w:type="gramStart"/>
    <w:r>
      <w:rPr>
        <w:color w:val="5F6470"/>
        <w:sz w:val="16"/>
        <w:szCs w:val="16"/>
      </w:rPr>
      <w:t>4003  ·</w:t>
    </w:r>
    <w:proofErr w:type="gramEnd"/>
    <w:r>
      <w:rPr>
        <w:color w:val="5F6470"/>
        <w:sz w:val="16"/>
        <w:szCs w:val="16"/>
      </w:rPr>
      <w:t xml:space="preserve">  Task 2: Residential Care Homes (essay)</w:t>
    </w:r>
    <w:r>
      <w:rPr>
        <w:color w:val="5F6470"/>
        <w:sz w:val="16"/>
        <w:szCs w:val="16"/>
      </w:rPr>
      <w:tab/>
      <w:t xml:space="preserve">Page </w:t>
    </w:r>
    <w:r>
      <w:rPr>
        <w:color w:val="5F6470"/>
        <w:sz w:val="16"/>
        <w:szCs w:val="16"/>
      </w:rPr>
      <w:fldChar w:fldCharType="begin"/>
    </w:r>
    <w:r>
      <w:rPr>
        <w:color w:val="5F6470"/>
        <w:sz w:val="16"/>
        <w:szCs w:val="16"/>
      </w:rPr>
      <w:instrText>PAGE</w:instrText>
    </w:r>
    <w:r>
      <w:rPr>
        <w:color w:val="5F6470"/>
        <w:sz w:val="16"/>
        <w:szCs w:val="16"/>
      </w:rPr>
      <w:fldChar w:fldCharType="separate"/>
    </w:r>
    <w:r w:rsidR="00C76C71">
      <w:rPr>
        <w:noProof/>
        <w:color w:val="5F6470"/>
        <w:sz w:val="16"/>
        <w:szCs w:val="16"/>
      </w:rPr>
      <w:t>3</w:t>
    </w:r>
    <w:r>
      <w:rPr>
        <w:color w:val="5F6470"/>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98C3B" w14:textId="77777777" w:rsidR="00CD1C6E" w:rsidRDefault="00CD1C6E">
      <w:r>
        <w:separator/>
      </w:r>
    </w:p>
  </w:footnote>
  <w:footnote w:type="continuationSeparator" w:id="0">
    <w:p w14:paraId="37B18A61" w14:textId="77777777" w:rsidR="00CD1C6E" w:rsidRDefault="00CD1C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A94E0E"/>
    <w:multiLevelType w:val="hybridMultilevel"/>
    <w:tmpl w:val="7D8AB2A2"/>
    <w:lvl w:ilvl="0" w:tplc="75465D66">
      <w:start w:val="1"/>
      <w:numFmt w:val="bullet"/>
      <w:lvlText w:val="●"/>
      <w:lvlJc w:val="left"/>
      <w:pPr>
        <w:ind w:left="720" w:hanging="360"/>
      </w:pPr>
    </w:lvl>
    <w:lvl w:ilvl="1" w:tplc="9BCEBE0A">
      <w:start w:val="1"/>
      <w:numFmt w:val="bullet"/>
      <w:lvlText w:val="○"/>
      <w:lvlJc w:val="left"/>
      <w:pPr>
        <w:ind w:left="1440" w:hanging="360"/>
      </w:pPr>
    </w:lvl>
    <w:lvl w:ilvl="2" w:tplc="36CA580E">
      <w:start w:val="1"/>
      <w:numFmt w:val="bullet"/>
      <w:lvlText w:val="■"/>
      <w:lvlJc w:val="left"/>
      <w:pPr>
        <w:ind w:left="2160" w:hanging="360"/>
      </w:pPr>
    </w:lvl>
    <w:lvl w:ilvl="3" w:tplc="97F88216">
      <w:start w:val="1"/>
      <w:numFmt w:val="bullet"/>
      <w:lvlText w:val="●"/>
      <w:lvlJc w:val="left"/>
      <w:pPr>
        <w:ind w:left="2880" w:hanging="360"/>
      </w:pPr>
    </w:lvl>
    <w:lvl w:ilvl="4" w:tplc="07023D7A">
      <w:start w:val="1"/>
      <w:numFmt w:val="bullet"/>
      <w:lvlText w:val="○"/>
      <w:lvlJc w:val="left"/>
      <w:pPr>
        <w:ind w:left="3600" w:hanging="360"/>
      </w:pPr>
    </w:lvl>
    <w:lvl w:ilvl="5" w:tplc="CB9EF534">
      <w:start w:val="1"/>
      <w:numFmt w:val="bullet"/>
      <w:lvlText w:val="■"/>
      <w:lvlJc w:val="left"/>
      <w:pPr>
        <w:ind w:left="4320" w:hanging="360"/>
      </w:pPr>
    </w:lvl>
    <w:lvl w:ilvl="6" w:tplc="72767ACC">
      <w:start w:val="1"/>
      <w:numFmt w:val="bullet"/>
      <w:lvlText w:val="●"/>
      <w:lvlJc w:val="left"/>
      <w:pPr>
        <w:ind w:left="5040" w:hanging="360"/>
      </w:pPr>
    </w:lvl>
    <w:lvl w:ilvl="7" w:tplc="76286F82">
      <w:start w:val="1"/>
      <w:numFmt w:val="bullet"/>
      <w:lvlText w:val="●"/>
      <w:lvlJc w:val="left"/>
      <w:pPr>
        <w:ind w:left="5760" w:hanging="360"/>
      </w:pPr>
    </w:lvl>
    <w:lvl w:ilvl="8" w:tplc="70781EE6">
      <w:start w:val="1"/>
      <w:numFmt w:val="bullet"/>
      <w:lvlText w:val="●"/>
      <w:lvlJc w:val="left"/>
      <w:pPr>
        <w:ind w:left="6480" w:hanging="360"/>
      </w:pPr>
    </w:lvl>
  </w:abstractNum>
  <w:num w:numId="1" w16cid:durableId="80481104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09A"/>
    <w:rsid w:val="0087009A"/>
    <w:rsid w:val="00C76C71"/>
    <w:rsid w:val="00CD1C6E"/>
    <w:rsid w:val="00CF0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C3E96"/>
  <w15:docId w15:val="{398816F8-E8DC-4279-AD5F-B12A7D35C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1368</Words>
  <Characters>7802</Characters>
  <Application>Microsoft Office Word</Application>
  <DocSecurity>0</DocSecurity>
  <Lines>65</Lines>
  <Paragraphs>18</Paragraphs>
  <ScaleCrop>false</ScaleCrop>
  <Company/>
  <LinksUpToDate>false</LinksUpToDate>
  <CharactersWithSpaces>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Alexandra Moise</cp:lastModifiedBy>
  <cp:revision>2</cp:revision>
  <dcterms:created xsi:type="dcterms:W3CDTF">2026-06-21T18:11:00Z</dcterms:created>
  <dcterms:modified xsi:type="dcterms:W3CDTF">2026-06-21T18:33:00Z</dcterms:modified>
</cp:coreProperties>
</file>